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4DA4F231"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p>
    <w:p w14:paraId="3E0C7BCF" w14:textId="77777777" w:rsidR="00371956" w:rsidRPr="009B2E51" w:rsidRDefault="00604C78" w:rsidP="00371956">
      <w:pPr>
        <w:rPr>
          <w:rFonts w:ascii="Tahoma" w:hAnsi="Tahoma" w:cs="Tahoma"/>
          <w:sz w:val="24"/>
          <w:szCs w:val="24"/>
        </w:rPr>
      </w:pPr>
      <w:sdt>
        <w:sdtPr>
          <w:rPr>
            <w:rFonts w:ascii="Tahoma" w:eastAsia="Calibri" w:hAnsi="Tahoma" w:cs="Tahoma"/>
            <w:sz w:val="24"/>
            <w:szCs w:val="24"/>
          </w:rPr>
          <w:id w:val="495000437"/>
          <w:placeholder>
            <w:docPart w:val="EA952454843D4B87982DBCE3C91F4715"/>
          </w:placeholder>
          <w:text/>
        </w:sdtPr>
        <w:sdtEndPr/>
        <w:sdtContent>
          <w:r w:rsidR="00371956">
            <w:rPr>
              <w:rFonts w:ascii="Tahoma" w:eastAsia="Calibri" w:hAnsi="Tahoma" w:cs="Tahoma"/>
              <w:sz w:val="24"/>
              <w:szCs w:val="24"/>
            </w:rPr>
            <w:t>Building the pharmacy workforce research capacity: a rapid literature review of interventions to support healthcare professionals’ research engagement.</w:t>
          </w:r>
        </w:sdtContent>
      </w:sdt>
      <w:r w:rsidR="00371956" w:rsidRPr="009B2E51">
        <w:rPr>
          <w:rFonts w:ascii="Tahoma" w:hAnsi="Tahoma" w:cs="Tahoma"/>
          <w:sz w:val="24"/>
          <w:szCs w:val="24"/>
        </w:rPr>
        <w:t xml:space="preserve"> </w:t>
      </w:r>
    </w:p>
    <w:p w14:paraId="5CFA3287" w14:textId="42C343C1" w:rsidR="003378B3" w:rsidRPr="00E0156E"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00371956" w:rsidRPr="00371956">
        <w:rPr>
          <w:rFonts w:ascii="Tahoma" w:hAnsi="Tahoma" w:cs="Tahoma"/>
          <w:sz w:val="24"/>
          <w:szCs w:val="24"/>
        </w:rPr>
        <w:t xml:space="preserve"> </w:t>
      </w:r>
      <w:sdt>
        <w:sdtPr>
          <w:rPr>
            <w:rFonts w:ascii="Tahoma" w:hAnsi="Tahoma" w:cs="Tahoma"/>
            <w:sz w:val="24"/>
            <w:szCs w:val="24"/>
          </w:rPr>
          <w:id w:val="-1002514772"/>
          <w:placeholder>
            <w:docPart w:val="E70BBF055AD0470CBA6F1DAACF13052A"/>
          </w:placeholder>
          <w:text/>
        </w:sdtPr>
        <w:sdtEndPr/>
        <w:sdtContent>
          <w:r w:rsidR="00371956">
            <w:rPr>
              <w:rFonts w:ascii="Tahoma" w:hAnsi="Tahoma" w:cs="Tahoma"/>
              <w:sz w:val="24"/>
              <w:szCs w:val="24"/>
            </w:rPr>
            <w:t>Roberts</w:t>
          </w:r>
        </w:sdtContent>
      </w:sdt>
      <w:r w:rsidR="00371956">
        <w:rPr>
          <w:rFonts w:ascii="Tahoma" w:hAnsi="Tahoma" w:cs="Tahoma"/>
          <w:sz w:val="24"/>
          <w:szCs w:val="24"/>
        </w:rPr>
        <w:t>, G</w:t>
      </w:r>
      <w:r w:rsidR="00371956">
        <w:rPr>
          <w:rFonts w:ascii="Tahoma" w:hAnsi="Tahoma" w:cs="Tahoma"/>
          <w:sz w:val="24"/>
          <w:szCs w:val="24"/>
          <w:vertAlign w:val="superscript"/>
        </w:rPr>
        <w:t>1</w:t>
      </w:r>
      <w:r w:rsidR="00371956">
        <w:rPr>
          <w:rFonts w:ascii="Tahoma" w:hAnsi="Tahoma" w:cs="Tahoma"/>
          <w:sz w:val="24"/>
          <w:szCs w:val="24"/>
        </w:rPr>
        <w:t>., James, D</w:t>
      </w:r>
      <w:r w:rsidR="00371956">
        <w:rPr>
          <w:rFonts w:ascii="Tahoma" w:hAnsi="Tahoma" w:cs="Tahoma"/>
          <w:sz w:val="24"/>
          <w:szCs w:val="24"/>
          <w:vertAlign w:val="superscript"/>
        </w:rPr>
        <w:t>2</w:t>
      </w:r>
      <w:r w:rsidR="00371956">
        <w:rPr>
          <w:rFonts w:ascii="Tahoma" w:hAnsi="Tahoma" w:cs="Tahoma"/>
          <w:sz w:val="24"/>
          <w:szCs w:val="24"/>
        </w:rPr>
        <w:t>., Brown, S</w:t>
      </w:r>
      <w:r w:rsidR="00371956">
        <w:rPr>
          <w:rFonts w:ascii="Tahoma" w:hAnsi="Tahoma" w:cs="Tahoma"/>
          <w:sz w:val="24"/>
          <w:szCs w:val="24"/>
          <w:vertAlign w:val="superscript"/>
        </w:rPr>
        <w:t>2</w:t>
      </w:r>
      <w:r w:rsidR="00371956">
        <w:rPr>
          <w:rFonts w:ascii="Tahoma" w:hAnsi="Tahoma" w:cs="Tahoma"/>
          <w:sz w:val="24"/>
          <w:szCs w:val="24"/>
        </w:rPr>
        <w:t>.</w:t>
      </w:r>
      <w:r w:rsidR="00E0156E">
        <w:rPr>
          <w:rFonts w:ascii="Tahoma" w:hAnsi="Tahoma" w:cs="Tahoma"/>
          <w:b/>
          <w:bCs/>
          <w:noProof/>
          <w:color w:val="32598A"/>
          <w:sz w:val="28"/>
          <w:szCs w:val="28"/>
        </w:rPr>
        <w:t xml:space="preserve"> </w:t>
      </w:r>
    </w:p>
    <w:p w14:paraId="0EF06F1D" w14:textId="19757EE3" w:rsidR="0073698D" w:rsidRPr="00371956" w:rsidRDefault="0073698D" w:rsidP="003378B3">
      <w:pPr>
        <w:rPr>
          <w:rFonts w:ascii="Tahoma" w:hAnsi="Tahoma" w:cs="Tahoma"/>
          <w:noProof/>
          <w:sz w:val="24"/>
          <w:szCs w:val="24"/>
        </w:rPr>
      </w:pPr>
      <w:r>
        <w:rPr>
          <w:rFonts w:ascii="Tahoma" w:hAnsi="Tahoma" w:cs="Tahoma"/>
          <w:b/>
          <w:bCs/>
          <w:noProof/>
          <w:color w:val="32598A"/>
          <w:sz w:val="28"/>
          <w:szCs w:val="28"/>
        </w:rPr>
        <w:t>Department:</w:t>
      </w:r>
      <w:r w:rsidR="00371956" w:rsidRPr="00371956">
        <w:rPr>
          <w:rFonts w:ascii="Tahoma" w:hAnsi="Tahoma" w:cs="Tahoma"/>
          <w:noProof/>
          <w:sz w:val="24"/>
          <w:szCs w:val="24"/>
          <w:vertAlign w:val="superscript"/>
        </w:rPr>
        <w:t>1</w:t>
      </w:r>
      <w:r w:rsidR="00371956" w:rsidRPr="00371956">
        <w:rPr>
          <w:rFonts w:ascii="Tahoma" w:hAnsi="Tahoma" w:cs="Tahoma"/>
          <w:noProof/>
          <w:sz w:val="24"/>
          <w:szCs w:val="24"/>
        </w:rPr>
        <w:t>Pharmacy,</w:t>
      </w:r>
      <w:r w:rsidR="00371956">
        <w:rPr>
          <w:rFonts w:ascii="Tahoma" w:hAnsi="Tahoma" w:cs="Tahoma"/>
          <w:noProof/>
          <w:sz w:val="24"/>
          <w:szCs w:val="24"/>
        </w:rPr>
        <w:t xml:space="preserve"> Cwm Taf Morgannwg University Health Board. </w:t>
      </w:r>
      <w:r w:rsidR="00371956">
        <w:rPr>
          <w:rFonts w:ascii="Tahoma" w:hAnsi="Tahoma" w:cs="Tahoma"/>
          <w:noProof/>
          <w:sz w:val="24"/>
          <w:szCs w:val="24"/>
          <w:vertAlign w:val="superscript"/>
        </w:rPr>
        <w:t>2</w:t>
      </w:r>
      <w:r w:rsidR="00371956" w:rsidRPr="00371956">
        <w:rPr>
          <w:rFonts w:ascii="Tahoma" w:hAnsi="Tahoma" w:cs="Tahoma"/>
          <w:sz w:val="24"/>
          <w:szCs w:val="24"/>
        </w:rPr>
        <w:t xml:space="preserve"> </w:t>
      </w:r>
      <w:sdt>
        <w:sdtPr>
          <w:rPr>
            <w:rFonts w:ascii="Tahoma" w:hAnsi="Tahoma" w:cs="Tahoma"/>
            <w:sz w:val="24"/>
            <w:szCs w:val="24"/>
          </w:rPr>
          <w:id w:val="-2038336652"/>
          <w:placeholder>
            <w:docPart w:val="43ED596F66F94764B8AD22032B2CBC0E"/>
          </w:placeholder>
          <w:text/>
        </w:sdtPr>
        <w:sdtEndPr/>
        <w:sdtContent>
          <w:r w:rsidR="00371956">
            <w:rPr>
              <w:rFonts w:ascii="Tahoma" w:hAnsi="Tahoma" w:cs="Tahoma"/>
              <w:sz w:val="24"/>
              <w:szCs w:val="24"/>
            </w:rPr>
            <w:t>Cardiff School of Sport and Health Sciences</w:t>
          </w:r>
        </w:sdtContent>
      </w:sdt>
      <w:r w:rsidR="00371956">
        <w:rPr>
          <w:rFonts w:ascii="Tahoma" w:hAnsi="Tahoma" w:cs="Tahoma"/>
          <w:sz w:val="24"/>
          <w:szCs w:val="24"/>
        </w:rPr>
        <w:t>, Cardiff Metropolitan University</w:t>
      </w:r>
    </w:p>
    <w:p w14:paraId="5C2DF48A" w14:textId="77777777" w:rsidR="001D73FB" w:rsidRPr="00101A21" w:rsidRDefault="001D73FB" w:rsidP="001D73FB">
      <w:pPr>
        <w:shd w:val="clear" w:color="auto" w:fill="32598A"/>
        <w:rPr>
          <w:color w:val="0066CC"/>
        </w:rPr>
      </w:pPr>
    </w:p>
    <w:p w14:paraId="538FA88B" w14:textId="35BB4F46" w:rsidR="00400A84" w:rsidRDefault="001D73FB" w:rsidP="00604C78">
      <w:pPr>
        <w:spacing w:after="0"/>
        <w:rPr>
          <w:rFonts w:ascii="Tahoma" w:hAnsi="Tahoma" w:cs="Tahoma"/>
          <w:b/>
          <w:bCs/>
          <w:sz w:val="24"/>
          <w:szCs w:val="24"/>
        </w:rPr>
      </w:pPr>
      <w:r>
        <w:rPr>
          <w:rFonts w:ascii="Tahoma" w:hAnsi="Tahoma" w:cs="Tahoma"/>
          <w:b/>
          <w:bCs/>
          <w:sz w:val="24"/>
          <w:szCs w:val="24"/>
        </w:rPr>
        <w:t>Introduction:</w:t>
      </w:r>
    </w:p>
    <w:p w14:paraId="4BB83AAE" w14:textId="233A91F5" w:rsidR="00532E43" w:rsidRDefault="00371956" w:rsidP="002A6754">
      <w:pPr>
        <w:jc w:val="both"/>
        <w:rPr>
          <w:rFonts w:ascii="Tahoma" w:eastAsia="ヒラギノ角ゴ Pro W3" w:hAnsi="Tahoma" w:cs="Tahoma"/>
          <w:color w:val="000000"/>
          <w:sz w:val="24"/>
          <w:szCs w:val="24"/>
        </w:rPr>
      </w:pPr>
      <w:r>
        <w:rPr>
          <w:rFonts w:ascii="Tahoma" w:hAnsi="Tahoma" w:cs="Tahoma"/>
          <w:sz w:val="24"/>
          <w:szCs w:val="24"/>
        </w:rPr>
        <w:t>Research is key to improving the delivery of pharmacy services and facilitating</w:t>
      </w:r>
      <w:r w:rsidR="006B4A08">
        <w:rPr>
          <w:rFonts w:ascii="Tahoma" w:hAnsi="Tahoma" w:cs="Tahoma"/>
          <w:sz w:val="24"/>
          <w:szCs w:val="24"/>
        </w:rPr>
        <w:t xml:space="preserve"> evidence-based healthcare (1). It has been reported that hospitals actively involved in research see improved health outcomes and lower mortality rates (2). A recent survey of pharmacy professionals in the United Kingdom (UK), reported that only a minority of the pharmacy workforce in research</w:t>
      </w:r>
      <w:r w:rsidR="00CC36EC">
        <w:rPr>
          <w:rFonts w:ascii="Tahoma" w:hAnsi="Tahoma" w:cs="Tahoma"/>
          <w:sz w:val="24"/>
          <w:szCs w:val="24"/>
        </w:rPr>
        <w:t>-</w:t>
      </w:r>
      <w:r w:rsidR="006B4A08">
        <w:rPr>
          <w:rFonts w:ascii="Tahoma" w:hAnsi="Tahoma" w:cs="Tahoma"/>
          <w:sz w:val="24"/>
          <w:szCs w:val="24"/>
        </w:rPr>
        <w:t xml:space="preserve"> active</w:t>
      </w:r>
      <w:r w:rsidR="00CC36EC">
        <w:rPr>
          <w:rFonts w:ascii="Tahoma" w:hAnsi="Tahoma" w:cs="Tahoma"/>
          <w:sz w:val="24"/>
          <w:szCs w:val="24"/>
        </w:rPr>
        <w:t>, and the profession is underrepresented in the uptake of clinical research training opportunities (1). Whilst the medical profession has a structure</w:t>
      </w:r>
      <w:r w:rsidR="00EB2AF6">
        <w:rPr>
          <w:rFonts w:ascii="Tahoma" w:hAnsi="Tahoma" w:cs="Tahoma"/>
          <w:sz w:val="24"/>
          <w:szCs w:val="24"/>
        </w:rPr>
        <w:t>d</w:t>
      </w:r>
      <w:r w:rsidR="00CC36EC">
        <w:rPr>
          <w:rFonts w:ascii="Tahoma" w:hAnsi="Tahoma" w:cs="Tahoma"/>
          <w:sz w:val="24"/>
          <w:szCs w:val="24"/>
        </w:rPr>
        <w:t xml:space="preserve"> learning programme that involves conducting research throughout their career to progress professionally</w:t>
      </w:r>
      <w:r w:rsidR="002A6754">
        <w:rPr>
          <w:rFonts w:ascii="Tahoma" w:hAnsi="Tahoma" w:cs="Tahoma"/>
          <w:sz w:val="24"/>
          <w:szCs w:val="24"/>
        </w:rPr>
        <w:t xml:space="preserve"> </w:t>
      </w:r>
      <w:r w:rsidR="00CC36EC">
        <w:rPr>
          <w:rFonts w:ascii="Tahoma" w:hAnsi="Tahoma" w:cs="Tahoma"/>
          <w:sz w:val="24"/>
          <w:szCs w:val="24"/>
        </w:rPr>
        <w:t>(3), pharmacists in the UK can currently progress to a higher professional grade without any experience of conducting any research. Conducting research has been acknowledged by the Royal Pharmaceutical Society (RPS) as a key pillar of professional practice and is a requirement of the advanced and consultant pharmacist pathways (4). Identifying and exploring the components of interventions to support healthcare professionals to engage in research could inform the design of effective strategies to support pharmacists in Wales to conduct research. Previous work with pharmacists in Cwm Taf Morgannwg University Health Board (CTMUHB) explored their barriers and facilitators to research engagement using the COM-B model (5). This model enables investigation into the drivers of behaviour and subsequent intervention design to support</w:t>
      </w:r>
      <w:r w:rsidR="00532E43">
        <w:rPr>
          <w:rFonts w:ascii="Tahoma" w:hAnsi="Tahoma" w:cs="Tahoma"/>
          <w:sz w:val="24"/>
          <w:szCs w:val="24"/>
        </w:rPr>
        <w:t xml:space="preserve"> behaviour change through exploration of the Capability </w:t>
      </w:r>
      <w:r w:rsidR="00532E43">
        <w:rPr>
          <w:rFonts w:ascii="Tahoma" w:eastAsia="ヒラギノ角ゴ Pro W3" w:hAnsi="Tahoma" w:cs="Tahoma"/>
          <w:color w:val="000000"/>
          <w:sz w:val="24"/>
          <w:szCs w:val="24"/>
        </w:rPr>
        <w:t>(C), Opportunity (O) and Motivation (M) to engage in the Behaviour (B) (i.e. engaging in research in this case). This project builds on previous work, forming part of a Research Capacity Building Collaboration (RCBC) Wales Fellowship, funded by the Welsh Government through Health and Care Research Wales (HCRW) working in collaboration with Cardiff School of Sport and Health Sciences, Cardiff Metropolitan University.  This project will follow a phased approach. Phase 1 (March-December 2024): A   rapid literature review to identify, collate and appraise global literature on interventions to build the research capacity of the pharmacy, allied health professions, nursing and midwifery workforce. Interventions will be mapped to the COM-B model. Phase 2 (January – March 2025):</w:t>
      </w:r>
      <w:r w:rsidR="002A6754">
        <w:rPr>
          <w:rFonts w:ascii="Tahoma" w:eastAsia="ヒラギノ角ゴ Pro W3" w:hAnsi="Tahoma" w:cs="Tahoma"/>
          <w:color w:val="000000"/>
          <w:sz w:val="24"/>
          <w:szCs w:val="24"/>
        </w:rPr>
        <w:t xml:space="preserve"> Potential strategies to support pharmacy research capability and capacity in Wales will be identified, informed by results of phase 1 and the views of key stakeholders will be sought.  Findings from Phase 1 are presented in this abstract.</w:t>
      </w:r>
    </w:p>
    <w:p w14:paraId="7348F163" w14:textId="035C0E02" w:rsidR="001D73FB" w:rsidRDefault="001D73FB" w:rsidP="002A6754">
      <w:pPr>
        <w:spacing w:after="0"/>
        <w:jc w:val="both"/>
        <w:rPr>
          <w:rFonts w:ascii="Tahoma" w:hAnsi="Tahoma" w:cs="Tahoma"/>
          <w:b/>
          <w:bCs/>
          <w:sz w:val="24"/>
          <w:szCs w:val="24"/>
        </w:rPr>
      </w:pPr>
      <w:r>
        <w:rPr>
          <w:rFonts w:ascii="Tahoma" w:hAnsi="Tahoma" w:cs="Tahoma"/>
          <w:b/>
          <w:bCs/>
          <w:sz w:val="24"/>
          <w:szCs w:val="24"/>
        </w:rPr>
        <w:t>Aim:</w:t>
      </w:r>
    </w:p>
    <w:p w14:paraId="7D921872" w14:textId="1EA00268" w:rsidR="002A6754" w:rsidRDefault="00604C78" w:rsidP="002A6754">
      <w:pPr>
        <w:spacing w:after="0"/>
        <w:jc w:val="both"/>
        <w:rPr>
          <w:rFonts w:ascii="Tahoma" w:hAnsi="Tahoma" w:cs="Tahoma"/>
          <w:b/>
          <w:bCs/>
          <w:sz w:val="24"/>
          <w:szCs w:val="24"/>
        </w:rPr>
      </w:pPr>
      <w:sdt>
        <w:sdtPr>
          <w:rPr>
            <w:rFonts w:ascii="Tahoma" w:eastAsia="Calibri" w:hAnsi="Tahoma" w:cs="Tahoma"/>
            <w:sz w:val="24"/>
            <w:szCs w:val="24"/>
          </w:rPr>
          <w:id w:val="506803389"/>
          <w:placeholder>
            <w:docPart w:val="044980B3FFF14ADA8D31E399C9267762"/>
          </w:placeholder>
          <w:text/>
        </w:sdtPr>
        <w:sdtEndPr/>
        <w:sdtContent>
          <w:r w:rsidR="002A6754">
            <w:rPr>
              <w:rFonts w:ascii="Tahoma" w:eastAsia="Calibri" w:hAnsi="Tahoma" w:cs="Tahoma"/>
              <w:sz w:val="24"/>
              <w:szCs w:val="24"/>
            </w:rPr>
            <w:t xml:space="preserve">To identify strategies for building the research capability and capacity of the pharmacy, Allied Health Professionals (AHPs), nursing  and midwifery workforce.  </w:t>
          </w:r>
        </w:sdtContent>
      </w:sdt>
    </w:p>
    <w:p w14:paraId="089D8911" w14:textId="77777777" w:rsidR="002A6754" w:rsidRDefault="002A6754" w:rsidP="00EF0E17">
      <w:pPr>
        <w:spacing w:after="0"/>
        <w:rPr>
          <w:rFonts w:ascii="Tahoma" w:hAnsi="Tahoma" w:cs="Tahoma"/>
          <w:b/>
          <w:bCs/>
          <w:sz w:val="24"/>
          <w:szCs w:val="24"/>
        </w:rPr>
      </w:pPr>
    </w:p>
    <w:p w14:paraId="4F0C03D1" w14:textId="792CEE6C" w:rsidR="001D73FB" w:rsidRDefault="001D73FB" w:rsidP="00EF0E17">
      <w:pPr>
        <w:spacing w:after="0"/>
        <w:rPr>
          <w:rFonts w:ascii="Tahoma" w:hAnsi="Tahoma" w:cs="Tahoma"/>
          <w:b/>
          <w:bCs/>
          <w:sz w:val="24"/>
          <w:szCs w:val="24"/>
        </w:rPr>
      </w:pPr>
      <w:r>
        <w:rPr>
          <w:rFonts w:ascii="Tahoma" w:hAnsi="Tahoma" w:cs="Tahoma"/>
          <w:b/>
          <w:bCs/>
          <w:sz w:val="24"/>
          <w:szCs w:val="24"/>
        </w:rPr>
        <w:lastRenderedPageBreak/>
        <w:t>Methodology</w:t>
      </w:r>
      <w:r w:rsidR="00EF0E17">
        <w:rPr>
          <w:rFonts w:ascii="Tahoma" w:hAnsi="Tahoma" w:cs="Tahoma"/>
          <w:b/>
          <w:bCs/>
          <w:sz w:val="24"/>
          <w:szCs w:val="24"/>
        </w:rPr>
        <w:t>:</w:t>
      </w:r>
    </w:p>
    <w:sdt>
      <w:sdtPr>
        <w:rPr>
          <w:rFonts w:ascii="Tahoma" w:eastAsia="ヒラギノ角ゴ Pro W3" w:hAnsi="Tahoma" w:cs="Tahoma"/>
          <w:sz w:val="24"/>
          <w:szCs w:val="24"/>
          <w:lang w:eastAsia="en-GB"/>
        </w:rPr>
        <w:id w:val="1038167157"/>
        <w:placeholder>
          <w:docPart w:val="54CA72B46CE54CDB9DE8969C0EF77DEE"/>
        </w:placeholder>
        <w:text/>
      </w:sdtPr>
      <w:sdtEndPr/>
      <w:sdtContent>
        <w:p w14:paraId="27E2F726" w14:textId="77777777" w:rsidR="002A6754" w:rsidRPr="003A2B37" w:rsidRDefault="002A6754" w:rsidP="002A6754">
          <w:pPr>
            <w:ind w:right="142"/>
            <w:jc w:val="both"/>
            <w:rPr>
              <w:rFonts w:ascii="Tahoma" w:hAnsi="Tahoma" w:cs="Tahoma"/>
              <w:sz w:val="24"/>
              <w:szCs w:val="24"/>
            </w:rPr>
          </w:pPr>
          <w:r>
            <w:rPr>
              <w:rFonts w:ascii="Tahoma" w:eastAsia="ヒラギノ角ゴ Pro W3" w:hAnsi="Tahoma" w:cs="Tahoma"/>
              <w:sz w:val="24"/>
              <w:szCs w:val="24"/>
              <w:lang w:eastAsia="en-GB"/>
            </w:rPr>
            <w:t xml:space="preserve">A rapid literature review was undertaken to identify interventions intended to support research within pharmacy, allied health professions, nursing and midwifery, following recommended guidelines for a rapid review (6). The review question was developed, and a protocol was written that clearly defined the eligibility criteria. A PICO (population, intervention, context and outcome) table was generated to outline the inclusion and exclusion criteria. Included in the search criteria were allied health professionals, pharmacists, nurses and midwives (with doctors and dentists excluded). Interventions with the aim of increasing research activity within any of the above professions were included and where the outcome identified an increase in research output as a result of the interventions. Publication date was restricted to the last 10 years (between January 2014 – August 2024) as this timeframe corresponds with the publication of the RPS Foundation Pharmacy Framework, identifying research as a required component of pharmacy practice. Keywords and search terms were discussed with a subject librarian and search strategies refined and tested. As per guidelines, three databases were searched: Medline, Embase and PubMed. </w:t>
          </w:r>
          <w:proofErr w:type="spellStart"/>
          <w:r>
            <w:rPr>
              <w:rFonts w:ascii="Tahoma" w:eastAsia="ヒラギノ角ゴ Pro W3" w:hAnsi="Tahoma" w:cs="Tahoma"/>
              <w:sz w:val="24"/>
              <w:szCs w:val="24"/>
              <w:lang w:eastAsia="en-GB"/>
            </w:rPr>
            <w:t>EndnoteTM</w:t>
          </w:r>
          <w:proofErr w:type="spellEnd"/>
          <w:r>
            <w:rPr>
              <w:rFonts w:ascii="Tahoma" w:eastAsia="ヒラギノ角ゴ Pro W3" w:hAnsi="Tahoma" w:cs="Tahoma"/>
              <w:sz w:val="24"/>
              <w:szCs w:val="24"/>
              <w:lang w:eastAsia="en-GB"/>
            </w:rPr>
            <w:t xml:space="preserve">. Reference management software, and </w:t>
          </w:r>
          <w:proofErr w:type="spellStart"/>
          <w:r>
            <w:rPr>
              <w:rFonts w:ascii="Tahoma" w:eastAsia="ヒラギノ角ゴ Pro W3" w:hAnsi="Tahoma" w:cs="Tahoma"/>
              <w:sz w:val="24"/>
              <w:szCs w:val="24"/>
              <w:lang w:eastAsia="en-GB"/>
            </w:rPr>
            <w:t>RayyanTM</w:t>
          </w:r>
          <w:proofErr w:type="spellEnd"/>
          <w:r>
            <w:rPr>
              <w:rFonts w:ascii="Tahoma" w:eastAsia="ヒラギノ角ゴ Pro W3" w:hAnsi="Tahoma" w:cs="Tahoma"/>
              <w:sz w:val="24"/>
              <w:szCs w:val="24"/>
              <w:lang w:eastAsia="en-GB"/>
            </w:rPr>
            <w:t xml:space="preserve"> . an electronic literature screening tool, were used during the review process of the title and abstract screening to facilitate timely project management.  An independent assessor (SB) reviewed (10%) of the title and abstract results initially for agreement before reviewing 10% of the full text results (SB and DHJ). Identified discrepancies were discussed and resolved before a full-text review was undertaken. Data extracted included study author and year of publication, country, profession the intervention related to study design and objective measure of research activity used. Study outcomes and any additional comments were also noted. Due to the limited time available and the heterogeneity of interventions and outcome measures, a quantitative meta-analysis was not deemed appropriate. As the nature of the project was to identify interventions used in practice regardless of effectiveness, a risk of bias assessment was not necessary.</w:t>
          </w:r>
        </w:p>
      </w:sdtContent>
    </w:sdt>
    <w:p w14:paraId="335C0979" w14:textId="698807F9" w:rsidR="001D73FB" w:rsidRDefault="001D73FB" w:rsidP="00EF0E17">
      <w:pPr>
        <w:spacing w:after="0"/>
        <w:rPr>
          <w:rFonts w:ascii="Tahoma" w:hAnsi="Tahoma" w:cs="Tahoma"/>
          <w:b/>
          <w:bCs/>
          <w:sz w:val="24"/>
          <w:szCs w:val="24"/>
        </w:rPr>
      </w:pPr>
      <w:r>
        <w:rPr>
          <w:rFonts w:ascii="Tahoma" w:hAnsi="Tahoma" w:cs="Tahoma"/>
          <w:b/>
          <w:bCs/>
          <w:sz w:val="24"/>
          <w:szCs w:val="24"/>
        </w:rPr>
        <w:t>Results:</w:t>
      </w:r>
    </w:p>
    <w:sdt>
      <w:sdtPr>
        <w:rPr>
          <w:rFonts w:ascii="Tahoma" w:hAnsi="Tahoma" w:cs="Tahoma"/>
          <w:sz w:val="24"/>
          <w:szCs w:val="24"/>
        </w:rPr>
        <w:id w:val="-2081054370"/>
        <w:placeholder>
          <w:docPart w:val="E60B31C8065F46BB9A1E519A38BDF2CE"/>
        </w:placeholder>
        <w:text/>
      </w:sdtPr>
      <w:sdtEndPr/>
      <w:sdtContent>
        <w:p w14:paraId="41942E2C" w14:textId="77777777" w:rsidR="002A6754" w:rsidRPr="00024C3E" w:rsidRDefault="002A6754" w:rsidP="002A6754">
          <w:pPr>
            <w:rPr>
              <w:rFonts w:ascii="Tahoma" w:hAnsi="Tahoma" w:cs="Tahoma"/>
              <w:sz w:val="24"/>
              <w:szCs w:val="24"/>
            </w:rPr>
          </w:pPr>
          <w:r w:rsidRPr="00024C3E">
            <w:rPr>
              <w:rFonts w:ascii="Tahoma" w:hAnsi="Tahoma" w:cs="Tahoma"/>
              <w:sz w:val="24"/>
              <w:szCs w:val="24"/>
            </w:rPr>
            <w:t xml:space="preserve">A rapid review of the literature returned 629 articles for initial screening, 348 of which were duplicates and subsequently removed leaving 281 articles to be screened for eligibility at title and abstract stage. From the title and abstract screening, 182 records were excluded based on the PICO criteria, leaving 99 articles to be put through full text screening. Of these 77  articles were excluded due to no measure of research activity being reported, 10 systematic reviews were excluded and a further 5 were excluded as they were abstracts only. This left 7 articles for final analysis. All 7 studies reported interventions to support nurses whilst only 3 of the 7 discussed AHPs and midwives. None of the articles identified reported interventions for pharmacists. Four of the studies were UK based with the others from Australia, Canada and Thailand. Preliminary results demonstrated that all seven studies reported an increase in research output as a result of the interventions. Data extraction is still in progress. </w:t>
          </w:r>
        </w:p>
      </w:sdtContent>
    </w:sdt>
    <w:p w14:paraId="79D016C6" w14:textId="26224D1A" w:rsidR="001D73FB" w:rsidRDefault="001D73FB" w:rsidP="00EF0E17">
      <w:pPr>
        <w:spacing w:after="0"/>
        <w:rPr>
          <w:rFonts w:ascii="Tahoma" w:hAnsi="Tahoma" w:cs="Tahoma"/>
          <w:b/>
          <w:bCs/>
          <w:sz w:val="24"/>
          <w:szCs w:val="24"/>
        </w:rPr>
      </w:pPr>
      <w:r>
        <w:rPr>
          <w:rFonts w:ascii="Tahoma" w:hAnsi="Tahoma" w:cs="Tahoma"/>
          <w:b/>
          <w:bCs/>
          <w:sz w:val="24"/>
          <w:szCs w:val="24"/>
        </w:rPr>
        <w:t>Conclusion:</w:t>
      </w:r>
    </w:p>
    <w:p w14:paraId="1EBCAED4" w14:textId="77777777" w:rsidR="002A6754" w:rsidRDefault="00604C78" w:rsidP="002A6754">
      <w:pPr>
        <w:jc w:val="both"/>
        <w:rPr>
          <w:rFonts w:ascii="Tahoma" w:hAnsi="Tahoma" w:cs="Tahoma"/>
          <w:sz w:val="24"/>
          <w:szCs w:val="24"/>
        </w:rPr>
      </w:pPr>
      <w:sdt>
        <w:sdtPr>
          <w:rPr>
            <w:rFonts w:ascii="Tahoma" w:hAnsi="Tahoma" w:cs="Tahoma"/>
            <w:sz w:val="24"/>
            <w:szCs w:val="24"/>
          </w:rPr>
          <w:id w:val="1710290598"/>
          <w:placeholder>
            <w:docPart w:val="25E0CE7C6EAA47858A80CB72559E3C04"/>
          </w:placeholder>
          <w:text/>
        </w:sdtPr>
        <w:sdtEndPr/>
        <w:sdtContent>
          <w:r w:rsidR="002A6754">
            <w:rPr>
              <w:rFonts w:ascii="Tahoma" w:hAnsi="Tahoma" w:cs="Tahoma"/>
              <w:sz w:val="24"/>
              <w:szCs w:val="24"/>
            </w:rPr>
            <w:t>The results demonstrate favourable findings of the identified interventions on research output, however, there is a clear need for more work to be undertaken to involve developing research capacity within the pharmacy profession.</w:t>
          </w:r>
        </w:sdtContent>
      </w:sdt>
    </w:p>
    <w:p w14:paraId="262DBA1E" w14:textId="76FB2F9F" w:rsidR="002A6754" w:rsidRDefault="002A6754" w:rsidP="002A6754">
      <w:pPr>
        <w:tabs>
          <w:tab w:val="left" w:pos="6735"/>
        </w:tabs>
        <w:jc w:val="both"/>
        <w:rPr>
          <w:rFonts w:ascii="Tahoma" w:hAnsi="Tahoma" w:cs="Tahoma"/>
          <w:sz w:val="24"/>
          <w:szCs w:val="24"/>
        </w:rPr>
      </w:pPr>
      <w:r>
        <w:rPr>
          <w:rFonts w:ascii="Tahoma" w:hAnsi="Tahoma" w:cs="Tahoma"/>
          <w:sz w:val="24"/>
          <w:szCs w:val="24"/>
        </w:rPr>
        <w:t>References</w:t>
      </w:r>
      <w:r>
        <w:rPr>
          <w:rFonts w:ascii="Tahoma" w:hAnsi="Tahoma" w:cs="Tahoma"/>
          <w:sz w:val="24"/>
          <w:szCs w:val="24"/>
        </w:rPr>
        <w:tab/>
      </w:r>
    </w:p>
    <w:p w14:paraId="4349CDAA" w14:textId="77777777" w:rsidR="002A6754" w:rsidRPr="0004262D" w:rsidRDefault="002A6754" w:rsidP="002A6754">
      <w:pPr>
        <w:numPr>
          <w:ilvl w:val="0"/>
          <w:numId w:val="1"/>
        </w:numPr>
        <w:tabs>
          <w:tab w:val="left" w:pos="1778"/>
        </w:tabs>
        <w:spacing w:line="252" w:lineRule="auto"/>
        <w:ind w:right="-11"/>
        <w:contextualSpacing/>
        <w:jc w:val="both"/>
        <w:rPr>
          <w:rFonts w:ascii="Calibri" w:eastAsia="Times New Roman" w:hAnsi="Calibri" w:cs="Calibri"/>
          <w:sz w:val="20"/>
          <w:szCs w:val="20"/>
        </w:rPr>
      </w:pPr>
      <w:r w:rsidRPr="0004262D">
        <w:rPr>
          <w:rFonts w:ascii="Calibri" w:eastAsia="Times New Roman" w:hAnsi="Calibri" w:cs="Calibri"/>
          <w:sz w:val="20"/>
          <w:szCs w:val="20"/>
        </w:rPr>
        <w:t>NHS England. Report of a UK survey of pharmacy professionals’ involvement in research. Available at</w:t>
      </w:r>
      <w:r w:rsidRPr="0004262D">
        <w:rPr>
          <w:rFonts w:eastAsia="Times New Roman" w:cstheme="minorHAnsi"/>
          <w:sz w:val="20"/>
          <w:szCs w:val="20"/>
        </w:rPr>
        <w:t xml:space="preserve">: </w:t>
      </w:r>
      <w:hyperlink r:id="rId6" w:history="1">
        <w:r w:rsidRPr="0004262D">
          <w:rPr>
            <w:rFonts w:eastAsia="Times New Roman" w:cstheme="minorHAnsi"/>
            <w:color w:val="0000FF"/>
            <w:sz w:val="20"/>
            <w:szCs w:val="20"/>
            <w:u w:val="single"/>
            <w:lang w:eastAsia="en-GB"/>
          </w:rPr>
          <w:t>NHS England » Report of a UK survey of pharmacy professionals’ involvement in research</w:t>
        </w:r>
      </w:hyperlink>
      <w:r w:rsidRPr="0004262D">
        <w:rPr>
          <w:rFonts w:eastAsia="Times New Roman" w:cstheme="minorHAnsi"/>
          <w:sz w:val="20"/>
          <w:szCs w:val="20"/>
          <w:lang w:eastAsia="en-GB"/>
        </w:rPr>
        <w:t xml:space="preserve"> [Accessed 1/3/24].</w:t>
      </w:r>
    </w:p>
    <w:p w14:paraId="0163D884" w14:textId="77777777" w:rsidR="002A6754" w:rsidRPr="00F84E71" w:rsidRDefault="002A6754" w:rsidP="002A6754">
      <w:pPr>
        <w:pStyle w:val="ListParagraph"/>
        <w:numPr>
          <w:ilvl w:val="0"/>
          <w:numId w:val="1"/>
        </w:numPr>
        <w:tabs>
          <w:tab w:val="left" w:pos="1778"/>
        </w:tabs>
        <w:spacing w:line="252" w:lineRule="auto"/>
        <w:ind w:right="-11"/>
        <w:jc w:val="both"/>
        <w:rPr>
          <w:sz w:val="20"/>
          <w:szCs w:val="20"/>
        </w:rPr>
      </w:pPr>
      <w:r w:rsidRPr="00F84E71">
        <w:rPr>
          <w:rFonts w:cstheme="minorHAnsi"/>
          <w:sz w:val="20"/>
          <w:szCs w:val="20"/>
        </w:rPr>
        <w:t xml:space="preserve">Downing A, Morris EJ, Corrigan N et al. 2016. High hospital research participation and improved colorectal cancer survival outcomes: a population-based study. Available at:  </w:t>
      </w:r>
      <w:hyperlink r:id="rId7" w:history="1">
        <w:r w:rsidRPr="00F84E71">
          <w:rPr>
            <w:rStyle w:val="Hyperlink"/>
            <w:sz w:val="20"/>
          </w:rPr>
          <w:t>https://pubmed.ncbi.nlm.nih.gov/27797935</w:t>
        </w:r>
      </w:hyperlink>
      <w:r w:rsidRPr="00F84E71">
        <w:rPr>
          <w:sz w:val="20"/>
          <w:szCs w:val="20"/>
        </w:rPr>
        <w:t xml:space="preserve"> [</w:t>
      </w:r>
      <w:r w:rsidRPr="00F84E71">
        <w:rPr>
          <w:rFonts w:cstheme="minorHAnsi"/>
          <w:sz w:val="20"/>
          <w:szCs w:val="20"/>
        </w:rPr>
        <w:t>Accessed 16/1/24].</w:t>
      </w:r>
      <w:r w:rsidRPr="00F84E71">
        <w:rPr>
          <w:sz w:val="20"/>
          <w:szCs w:val="20"/>
        </w:rPr>
        <w:t xml:space="preserve"> </w:t>
      </w:r>
    </w:p>
    <w:p w14:paraId="6E75E6B0" w14:textId="77777777" w:rsidR="002A6754" w:rsidRDefault="002A6754" w:rsidP="002A6754">
      <w:pPr>
        <w:pStyle w:val="ListParagraph"/>
        <w:numPr>
          <w:ilvl w:val="0"/>
          <w:numId w:val="1"/>
        </w:numPr>
        <w:tabs>
          <w:tab w:val="left" w:pos="1778"/>
        </w:tabs>
        <w:spacing w:line="252" w:lineRule="auto"/>
        <w:ind w:right="-11"/>
        <w:jc w:val="both"/>
        <w:rPr>
          <w:sz w:val="20"/>
          <w:szCs w:val="20"/>
        </w:rPr>
      </w:pPr>
      <w:r w:rsidRPr="00F84E71">
        <w:rPr>
          <w:sz w:val="20"/>
          <w:szCs w:val="20"/>
        </w:rPr>
        <w:lastRenderedPageBreak/>
        <w:t xml:space="preserve">General Medical Council. Normalising research – promoting research for all doctors. Available at: </w:t>
      </w:r>
      <w:hyperlink r:id="rId8" w:history="1">
        <w:r w:rsidRPr="00F84E71">
          <w:rPr>
            <w:color w:val="0000FF"/>
            <w:sz w:val="20"/>
            <w:szCs w:val="20"/>
            <w:u w:val="single"/>
          </w:rPr>
          <w:t>Normalising research – Promoting research for all doctors - GMC (gmc-uk.org)</w:t>
        </w:r>
      </w:hyperlink>
      <w:r w:rsidRPr="00F84E71">
        <w:rPr>
          <w:sz w:val="20"/>
          <w:szCs w:val="20"/>
        </w:rPr>
        <w:t xml:space="preserve"> [Accessed 3/2/24].</w:t>
      </w:r>
    </w:p>
    <w:p w14:paraId="3C1FEA9F" w14:textId="77777777" w:rsidR="002A6754" w:rsidRPr="00675465" w:rsidRDefault="002A6754" w:rsidP="002A6754">
      <w:pPr>
        <w:pStyle w:val="ListParagraph"/>
        <w:numPr>
          <w:ilvl w:val="0"/>
          <w:numId w:val="1"/>
        </w:numPr>
        <w:tabs>
          <w:tab w:val="left" w:pos="1778"/>
        </w:tabs>
        <w:spacing w:line="252" w:lineRule="auto"/>
        <w:ind w:right="-11"/>
        <w:jc w:val="both"/>
        <w:rPr>
          <w:sz w:val="20"/>
          <w:szCs w:val="20"/>
        </w:rPr>
      </w:pPr>
      <w:r w:rsidRPr="00675465">
        <w:rPr>
          <w:sz w:val="20"/>
          <w:szCs w:val="20"/>
        </w:rPr>
        <w:t xml:space="preserve">Royal Pharmaceutical Society. Consultant pharmacist credentialing. Available at: </w:t>
      </w:r>
      <w:hyperlink r:id="rId9" w:anchor=":~:text=Consultant%20pharmacist%20credentialing%20is%20available%20to%20all%20pharmacists,pharmacists%20working%20in%20England%2C%20Wales%20and%20Northern%20Ireland." w:history="1">
        <w:r w:rsidRPr="00675465">
          <w:rPr>
            <w:color w:val="0000FF"/>
            <w:sz w:val="20"/>
            <w:szCs w:val="20"/>
            <w:u w:val="single"/>
          </w:rPr>
          <w:t>https://www.rpharms.com/Portals/0/Consultant/Open%20Access/RPS%20Consultant%20Pharmacist%20Credentialing%20-%20Candidate%20guidance.pdf?ver=2021-04-23-152823-783</w:t>
        </w:r>
      </w:hyperlink>
      <w:r>
        <w:rPr>
          <w:sz w:val="20"/>
          <w:szCs w:val="20"/>
        </w:rPr>
        <w:t xml:space="preserve"> [Accessed 20/6/24]. </w:t>
      </w:r>
    </w:p>
    <w:p w14:paraId="2F789E5E" w14:textId="77777777" w:rsidR="002A6754" w:rsidRDefault="002A6754" w:rsidP="002A6754">
      <w:pPr>
        <w:pStyle w:val="ListParagraph"/>
        <w:numPr>
          <w:ilvl w:val="0"/>
          <w:numId w:val="1"/>
        </w:numPr>
        <w:tabs>
          <w:tab w:val="left" w:pos="1778"/>
        </w:tabs>
        <w:spacing w:line="252" w:lineRule="auto"/>
        <w:ind w:right="-11"/>
        <w:jc w:val="both"/>
        <w:rPr>
          <w:sz w:val="20"/>
          <w:szCs w:val="20"/>
        </w:rPr>
      </w:pPr>
      <w:r w:rsidRPr="00F84E71">
        <w:rPr>
          <w:sz w:val="20"/>
          <w:szCs w:val="20"/>
        </w:rPr>
        <w:t>Michie S, Atkins L and West R. (2014). The Behaviour Change Wheel. A guide to designing interventions. Great Britain: Silverback Publishing.</w:t>
      </w:r>
    </w:p>
    <w:p w14:paraId="4160565D" w14:textId="77777777" w:rsidR="002A6754" w:rsidRPr="0004262D" w:rsidRDefault="002A6754" w:rsidP="002A6754">
      <w:pPr>
        <w:numPr>
          <w:ilvl w:val="0"/>
          <w:numId w:val="1"/>
        </w:numPr>
        <w:tabs>
          <w:tab w:val="left" w:pos="1778"/>
        </w:tabs>
        <w:spacing w:line="252" w:lineRule="auto"/>
        <w:ind w:right="-11"/>
        <w:contextualSpacing/>
        <w:jc w:val="both"/>
        <w:rPr>
          <w:rFonts w:ascii="Calibri" w:eastAsia="Times New Roman" w:hAnsi="Calibri" w:cs="Calibri"/>
          <w:sz w:val="20"/>
          <w:szCs w:val="20"/>
        </w:rPr>
      </w:pPr>
      <w:proofErr w:type="spellStart"/>
      <w:r w:rsidRPr="00155BFD">
        <w:rPr>
          <w:rFonts w:ascii="Calibri" w:eastAsia="Times New Roman" w:hAnsi="Calibri" w:cs="Calibri"/>
          <w:sz w:val="20"/>
          <w:szCs w:val="20"/>
        </w:rPr>
        <w:t>Garritty</w:t>
      </w:r>
      <w:proofErr w:type="spellEnd"/>
      <w:r w:rsidRPr="00155BFD">
        <w:rPr>
          <w:rFonts w:ascii="Calibri" w:eastAsia="Times New Roman" w:hAnsi="Calibri" w:cs="Calibri"/>
          <w:sz w:val="20"/>
          <w:szCs w:val="20"/>
        </w:rPr>
        <w:t xml:space="preserve"> C, Hamel C, </w:t>
      </w:r>
      <w:proofErr w:type="spellStart"/>
      <w:r w:rsidRPr="00155BFD">
        <w:rPr>
          <w:rFonts w:ascii="Calibri" w:eastAsia="Times New Roman" w:hAnsi="Calibri" w:cs="Calibri"/>
          <w:sz w:val="20"/>
          <w:szCs w:val="20"/>
        </w:rPr>
        <w:t>Trivella</w:t>
      </w:r>
      <w:proofErr w:type="spellEnd"/>
      <w:r w:rsidRPr="00155BFD">
        <w:rPr>
          <w:rFonts w:ascii="Calibri" w:eastAsia="Times New Roman" w:hAnsi="Calibri" w:cs="Calibri"/>
          <w:sz w:val="20"/>
          <w:szCs w:val="20"/>
        </w:rPr>
        <w:t xml:space="preserve"> M et al. 2023. Updated recommendations for the Cochrane rapid review methods guidance for rapid reviews of effectiveness. Available at: </w:t>
      </w:r>
      <w:hyperlink r:id="rId10" w:history="1">
        <w:r w:rsidRPr="00155BFD">
          <w:rPr>
            <w:color w:val="0000FF"/>
            <w:sz w:val="20"/>
            <w:szCs w:val="20"/>
            <w:u w:val="single"/>
          </w:rPr>
          <w:t>Updated recommendations for the Cochrane rapid review methods guidance for rapid reviews of effectiveness | The BMJ</w:t>
        </w:r>
      </w:hyperlink>
      <w:r w:rsidRPr="00155BFD">
        <w:rPr>
          <w:sz w:val="20"/>
          <w:szCs w:val="20"/>
        </w:rPr>
        <w:t xml:space="preserve"> [Accessed 20/6/24]. </w:t>
      </w:r>
    </w:p>
    <w:p w14:paraId="27DDFBF0" w14:textId="77777777" w:rsidR="002A6754" w:rsidRPr="003A2B37" w:rsidRDefault="002A6754" w:rsidP="002A6754">
      <w:pPr>
        <w:jc w:val="both"/>
        <w:rPr>
          <w:rFonts w:ascii="Tahoma" w:hAnsi="Tahoma" w:cs="Tahoma"/>
          <w:sz w:val="24"/>
          <w:szCs w:val="24"/>
        </w:rPr>
      </w:pPr>
    </w:p>
    <w:p w14:paraId="0CF499CB" w14:textId="77777777" w:rsidR="002A6754" w:rsidRDefault="002A6754" w:rsidP="002A6754">
      <w:pPr>
        <w:spacing w:after="0"/>
        <w:jc w:val="both"/>
        <w:rPr>
          <w:rFonts w:ascii="Tahoma" w:hAnsi="Tahoma" w:cs="Tahoma"/>
          <w:b/>
          <w:bCs/>
          <w:sz w:val="24"/>
          <w:szCs w:val="24"/>
        </w:rPr>
      </w:pPr>
    </w:p>
    <w:p w14:paraId="5E895DCE" w14:textId="56E08186" w:rsidR="002A6754" w:rsidRDefault="002A6754" w:rsidP="002A6754">
      <w:pPr>
        <w:rPr>
          <w:rFonts w:ascii="Tahoma" w:hAnsi="Tahoma" w:cs="Tahoma"/>
          <w:b/>
          <w:bCs/>
          <w:sz w:val="24"/>
          <w:szCs w:val="24"/>
        </w:rPr>
      </w:pPr>
    </w:p>
    <w:p w14:paraId="7DD5DBC6" w14:textId="105D42EE" w:rsidR="002A6754" w:rsidRPr="002A6754" w:rsidRDefault="002A6754" w:rsidP="002A6754">
      <w:pPr>
        <w:tabs>
          <w:tab w:val="left" w:pos="4260"/>
        </w:tabs>
        <w:rPr>
          <w:rFonts w:ascii="Tahoma" w:hAnsi="Tahoma" w:cs="Tahoma"/>
          <w:sz w:val="24"/>
          <w:szCs w:val="24"/>
        </w:rPr>
      </w:pPr>
      <w:r>
        <w:rPr>
          <w:rFonts w:ascii="Tahoma" w:hAnsi="Tahoma" w:cs="Tahoma"/>
          <w:sz w:val="24"/>
          <w:szCs w:val="24"/>
        </w:rPr>
        <w:tab/>
      </w:r>
    </w:p>
    <w:sectPr w:rsidR="002A6754" w:rsidRPr="002A6754"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ヒラギノ角ゴ Pro W3">
    <w:charset w:val="80"/>
    <w:family w:val="auto"/>
    <w:pitch w:val="variable"/>
    <w:sig w:usb0="E00002FF" w:usb1="7AC7FFFF" w:usb2="00000012" w:usb3="00000000" w:csb0="0002000D" w:csb1="00000000"/>
  </w:font>
  <w:font w:name="Lucida Grande">
    <w:charset w:val="00"/>
    <w:family w:val="swiss"/>
    <w:pitch w:val="variable"/>
    <w:sig w:usb0="E1000AEF" w:usb1="5000A1FF" w:usb2="00000000" w:usb3="00000000" w:csb0="000001B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33359BD"/>
    <w:multiLevelType w:val="hybridMultilevel"/>
    <w:tmpl w:val="5AE8F76C"/>
    <w:lvl w:ilvl="0" w:tplc="AF96A9A6">
      <w:start w:val="1"/>
      <w:numFmt w:val="decimal"/>
      <w:lvlText w:val="%1."/>
      <w:lvlJc w:val="left"/>
      <w:pPr>
        <w:ind w:left="1080" w:hanging="360"/>
      </w:pPr>
      <w:rPr>
        <w:rFonts w:eastAsia="ヒラギノ角ゴ Pro W3" w:cs="Lucida Grande" w:hint="default"/>
        <w:color w:val="000000"/>
        <w:sz w:val="16"/>
        <w:szCs w:val="16"/>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A45"/>
    <w:rsid w:val="001D73FB"/>
    <w:rsid w:val="002A6754"/>
    <w:rsid w:val="00312351"/>
    <w:rsid w:val="003378B3"/>
    <w:rsid w:val="00371956"/>
    <w:rsid w:val="00400A84"/>
    <w:rsid w:val="00532E43"/>
    <w:rsid w:val="00604C78"/>
    <w:rsid w:val="006B4A08"/>
    <w:rsid w:val="0073698D"/>
    <w:rsid w:val="0084790E"/>
    <w:rsid w:val="00957516"/>
    <w:rsid w:val="00A70F30"/>
    <w:rsid w:val="00AC3303"/>
    <w:rsid w:val="00CC36EC"/>
    <w:rsid w:val="00DB03CE"/>
    <w:rsid w:val="00E0156E"/>
    <w:rsid w:val="00E065C5"/>
    <w:rsid w:val="00EB2AF6"/>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2A6754"/>
    <w:pPr>
      <w:ind w:left="720"/>
      <w:contextualSpacing/>
    </w:pPr>
  </w:style>
  <w:style w:type="character" w:styleId="Hyperlink">
    <w:name w:val="Hyperlink"/>
    <w:basedOn w:val="DefaultParagraphFont"/>
    <w:rsid w:val="002A6754"/>
    <w:rPr>
      <w:color w:val="0000FF"/>
      <w:u w:val="single"/>
    </w:rPr>
  </w:style>
  <w:style w:type="character" w:customStyle="1" w:styleId="ListParagraphChar">
    <w:name w:val="List Paragraph Char"/>
    <w:basedOn w:val="DefaultParagraphFont"/>
    <w:link w:val="ListParagraph"/>
    <w:uiPriority w:val="34"/>
    <w:rsid w:val="002A67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mc-uk.org/education/standards-guidance-and-curricula/position-statements/normalising-research---promoting-research-for-all-doctor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pubmed.ncbi.nlm.nih.gov/27797935" TargetMode="External"/><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england.nhs.uk/long-read/report-of-a-uk-survey-of-pharmacy-professionals-involvement-in-research/" TargetMode="External"/><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hyperlink" Target="https://www.bmj.com/content/384/bmj-2023-076335" TargetMode="External"/><Relationship Id="rId4" Type="http://schemas.openxmlformats.org/officeDocument/2006/relationships/webSettings" Target="webSettings.xml"/><Relationship Id="rId9" Type="http://schemas.openxmlformats.org/officeDocument/2006/relationships/hyperlink" Target="https://www.rpharms.com/Portals/0/Consultant/Open%20Access/RPS%20Consultant%20Pharmacist%20Credentialing%20-%20Candidate%20guidance.pdf?ver=2021-04-23-152823-783"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A952454843D4B87982DBCE3C91F4715"/>
        <w:category>
          <w:name w:val="General"/>
          <w:gallery w:val="placeholder"/>
        </w:category>
        <w:types>
          <w:type w:val="bbPlcHdr"/>
        </w:types>
        <w:behaviors>
          <w:behavior w:val="content"/>
        </w:behaviors>
        <w:guid w:val="{1024C774-94D9-4831-B4CE-590AC12B01EC}"/>
      </w:docPartPr>
      <w:docPartBody>
        <w:p w:rsidR="00A27302" w:rsidRDefault="00B46017" w:rsidP="00B46017">
          <w:pPr>
            <w:pStyle w:val="EA952454843D4B87982DBCE3C91F4715"/>
          </w:pPr>
          <w:r w:rsidRPr="00810C78">
            <w:rPr>
              <w:rStyle w:val="PlaceholderText"/>
            </w:rPr>
            <w:t>Click or tap here to enter text.</w:t>
          </w:r>
        </w:p>
      </w:docPartBody>
    </w:docPart>
    <w:docPart>
      <w:docPartPr>
        <w:name w:val="E70BBF055AD0470CBA6F1DAACF13052A"/>
        <w:category>
          <w:name w:val="General"/>
          <w:gallery w:val="placeholder"/>
        </w:category>
        <w:types>
          <w:type w:val="bbPlcHdr"/>
        </w:types>
        <w:behaviors>
          <w:behavior w:val="content"/>
        </w:behaviors>
        <w:guid w:val="{AA693BA0-D492-4884-9DC7-6C6D97A9E0F8}"/>
      </w:docPartPr>
      <w:docPartBody>
        <w:p w:rsidR="00A27302" w:rsidRDefault="00B46017" w:rsidP="00B46017">
          <w:pPr>
            <w:pStyle w:val="E70BBF055AD0470CBA6F1DAACF13052A"/>
          </w:pPr>
          <w:r w:rsidRPr="00810C78">
            <w:rPr>
              <w:rStyle w:val="PlaceholderText"/>
            </w:rPr>
            <w:t>Click or tap here to enter text.</w:t>
          </w:r>
        </w:p>
      </w:docPartBody>
    </w:docPart>
    <w:docPart>
      <w:docPartPr>
        <w:name w:val="43ED596F66F94764B8AD22032B2CBC0E"/>
        <w:category>
          <w:name w:val="General"/>
          <w:gallery w:val="placeholder"/>
        </w:category>
        <w:types>
          <w:type w:val="bbPlcHdr"/>
        </w:types>
        <w:behaviors>
          <w:behavior w:val="content"/>
        </w:behaviors>
        <w:guid w:val="{CC6B2835-3054-47D0-AF62-392AF67F5642}"/>
      </w:docPartPr>
      <w:docPartBody>
        <w:p w:rsidR="00A27302" w:rsidRDefault="00B46017" w:rsidP="00B46017">
          <w:pPr>
            <w:pStyle w:val="43ED596F66F94764B8AD22032B2CBC0E"/>
          </w:pPr>
          <w:r w:rsidRPr="00810C78">
            <w:rPr>
              <w:rStyle w:val="PlaceholderText"/>
            </w:rPr>
            <w:t>Click or tap here to enter text.</w:t>
          </w:r>
        </w:p>
      </w:docPartBody>
    </w:docPart>
    <w:docPart>
      <w:docPartPr>
        <w:name w:val="044980B3FFF14ADA8D31E399C9267762"/>
        <w:category>
          <w:name w:val="General"/>
          <w:gallery w:val="placeholder"/>
        </w:category>
        <w:types>
          <w:type w:val="bbPlcHdr"/>
        </w:types>
        <w:behaviors>
          <w:behavior w:val="content"/>
        </w:behaviors>
        <w:guid w:val="{F3C8E92E-5918-4916-9A0B-C392E6DBCCD2}"/>
      </w:docPartPr>
      <w:docPartBody>
        <w:p w:rsidR="00A27302" w:rsidRDefault="00B46017" w:rsidP="00B46017">
          <w:pPr>
            <w:pStyle w:val="044980B3FFF14ADA8D31E399C9267762"/>
          </w:pPr>
          <w:r w:rsidRPr="00810C78">
            <w:rPr>
              <w:rStyle w:val="PlaceholderText"/>
            </w:rPr>
            <w:t>Click or tap here to enter text.</w:t>
          </w:r>
        </w:p>
      </w:docPartBody>
    </w:docPart>
    <w:docPart>
      <w:docPartPr>
        <w:name w:val="54CA72B46CE54CDB9DE8969C0EF77DEE"/>
        <w:category>
          <w:name w:val="General"/>
          <w:gallery w:val="placeholder"/>
        </w:category>
        <w:types>
          <w:type w:val="bbPlcHdr"/>
        </w:types>
        <w:behaviors>
          <w:behavior w:val="content"/>
        </w:behaviors>
        <w:guid w:val="{FEB3FE86-D864-4107-84B1-22203DB6BEC5}"/>
      </w:docPartPr>
      <w:docPartBody>
        <w:p w:rsidR="00A27302" w:rsidRDefault="00B46017" w:rsidP="00B46017">
          <w:pPr>
            <w:pStyle w:val="54CA72B46CE54CDB9DE8969C0EF77DEE"/>
          </w:pPr>
          <w:r w:rsidRPr="00810C78">
            <w:rPr>
              <w:rStyle w:val="PlaceholderText"/>
            </w:rPr>
            <w:t>Click or tap here to enter text.</w:t>
          </w:r>
        </w:p>
      </w:docPartBody>
    </w:docPart>
    <w:docPart>
      <w:docPartPr>
        <w:name w:val="E60B31C8065F46BB9A1E519A38BDF2CE"/>
        <w:category>
          <w:name w:val="General"/>
          <w:gallery w:val="placeholder"/>
        </w:category>
        <w:types>
          <w:type w:val="bbPlcHdr"/>
        </w:types>
        <w:behaviors>
          <w:behavior w:val="content"/>
        </w:behaviors>
        <w:guid w:val="{54503D08-2B5E-49E9-A666-102BDA16027B}"/>
      </w:docPartPr>
      <w:docPartBody>
        <w:p w:rsidR="00A27302" w:rsidRDefault="00B46017" w:rsidP="00B46017">
          <w:pPr>
            <w:pStyle w:val="E60B31C8065F46BB9A1E519A38BDF2CE"/>
          </w:pPr>
          <w:r w:rsidRPr="00810C78">
            <w:rPr>
              <w:rStyle w:val="PlaceholderText"/>
            </w:rPr>
            <w:t>Click or tap here to enter text.</w:t>
          </w:r>
        </w:p>
      </w:docPartBody>
    </w:docPart>
    <w:docPart>
      <w:docPartPr>
        <w:name w:val="25E0CE7C6EAA47858A80CB72559E3C04"/>
        <w:category>
          <w:name w:val="General"/>
          <w:gallery w:val="placeholder"/>
        </w:category>
        <w:types>
          <w:type w:val="bbPlcHdr"/>
        </w:types>
        <w:behaviors>
          <w:behavior w:val="content"/>
        </w:behaviors>
        <w:guid w:val="{31FD3CC3-0781-457A-AD4D-6ADE2C6195B6}"/>
      </w:docPartPr>
      <w:docPartBody>
        <w:p w:rsidR="00A27302" w:rsidRDefault="00B46017" w:rsidP="00B46017">
          <w:pPr>
            <w:pStyle w:val="25E0CE7C6EAA47858A80CB72559E3C04"/>
          </w:pPr>
          <w:r w:rsidRPr="00810C78">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ヒラギノ角ゴ Pro W3">
    <w:charset w:val="80"/>
    <w:family w:val="auto"/>
    <w:pitch w:val="variable"/>
    <w:sig w:usb0="E00002FF" w:usb1="7AC7FFFF" w:usb2="00000012" w:usb3="00000000" w:csb0="0002000D" w:csb1="00000000"/>
  </w:font>
  <w:font w:name="Lucida Grande">
    <w:charset w:val="00"/>
    <w:family w:val="swiss"/>
    <w:pitch w:val="variable"/>
    <w:sig w:usb0="E1000AEF" w:usb1="5000A1FF" w:usb2="00000000" w:usb3="00000000" w:csb0="000001B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6017"/>
    <w:rsid w:val="00A27302"/>
    <w:rsid w:val="00B460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46017"/>
    <w:rPr>
      <w:color w:val="808080"/>
    </w:rPr>
  </w:style>
  <w:style w:type="paragraph" w:customStyle="1" w:styleId="EA952454843D4B87982DBCE3C91F4715">
    <w:name w:val="EA952454843D4B87982DBCE3C91F4715"/>
    <w:rsid w:val="00B46017"/>
  </w:style>
  <w:style w:type="paragraph" w:customStyle="1" w:styleId="E70BBF055AD0470CBA6F1DAACF13052A">
    <w:name w:val="E70BBF055AD0470CBA6F1DAACF13052A"/>
    <w:rsid w:val="00B46017"/>
  </w:style>
  <w:style w:type="paragraph" w:customStyle="1" w:styleId="43ED596F66F94764B8AD22032B2CBC0E">
    <w:name w:val="43ED596F66F94764B8AD22032B2CBC0E"/>
    <w:rsid w:val="00B46017"/>
  </w:style>
  <w:style w:type="paragraph" w:customStyle="1" w:styleId="044980B3FFF14ADA8D31E399C9267762">
    <w:name w:val="044980B3FFF14ADA8D31E399C9267762"/>
    <w:rsid w:val="00B46017"/>
  </w:style>
  <w:style w:type="paragraph" w:customStyle="1" w:styleId="54CA72B46CE54CDB9DE8969C0EF77DEE">
    <w:name w:val="54CA72B46CE54CDB9DE8969C0EF77DEE"/>
    <w:rsid w:val="00B46017"/>
  </w:style>
  <w:style w:type="paragraph" w:customStyle="1" w:styleId="E60B31C8065F46BB9A1E519A38BDF2CE">
    <w:name w:val="E60B31C8065F46BB9A1E519A38BDF2CE"/>
    <w:rsid w:val="00B46017"/>
  </w:style>
  <w:style w:type="paragraph" w:customStyle="1" w:styleId="25E0CE7C6EAA47858A80CB72559E3C04">
    <w:name w:val="25E0CE7C6EAA47858A80CB72559E3C04"/>
    <w:rsid w:val="00B4601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1313</Words>
  <Characters>7489</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4</cp:revision>
  <dcterms:created xsi:type="dcterms:W3CDTF">2024-11-04T16:13:00Z</dcterms:created>
  <dcterms:modified xsi:type="dcterms:W3CDTF">2024-11-15T11:30:00Z</dcterms:modified>
</cp:coreProperties>
</file>