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227E1A01" w:rsidR="003378B3" w:rsidRPr="001A30DA" w:rsidRDefault="003378B3" w:rsidP="00702999">
      <w:pPr>
        <w:spacing w:after="0" w:line="240" w:lineRule="auto"/>
        <w:rPr>
          <w:rFonts w:ascii="Tahoma" w:hAnsi="Tahoma" w:cs="Tahoma"/>
          <w:b/>
          <w:bCs/>
          <w:noProof/>
          <w:color w:val="32598A"/>
          <w:sz w:val="24"/>
          <w:szCs w:val="24"/>
        </w:rPr>
      </w:pPr>
      <w:r w:rsidRPr="001A30DA">
        <w:rPr>
          <w:rFonts w:ascii="Tahoma" w:hAnsi="Tahoma" w:cs="Tahoma"/>
          <w:b/>
          <w:bCs/>
          <w:noProof/>
          <w:color w:val="32598A"/>
          <w:sz w:val="24"/>
          <w:szCs w:val="24"/>
        </w:rPr>
        <w:t>POSTER PRESENTATION :</w:t>
      </w:r>
      <w:r w:rsidR="00F92FED">
        <w:rPr>
          <w:rFonts w:ascii="Tahoma" w:hAnsi="Tahoma" w:cs="Tahoma"/>
          <w:b/>
          <w:bCs/>
          <w:noProof/>
          <w:color w:val="32598A"/>
          <w:sz w:val="24"/>
          <w:szCs w:val="24"/>
        </w:rPr>
        <w:t xml:space="preserve"> 7</w:t>
      </w:r>
    </w:p>
    <w:p w14:paraId="669B8959" w14:textId="037D51EE" w:rsidR="005D0514" w:rsidRPr="001A30DA" w:rsidRDefault="005D0514" w:rsidP="00702999">
      <w:pPr>
        <w:spacing w:after="0" w:line="240" w:lineRule="auto"/>
        <w:rPr>
          <w:rFonts w:ascii="Tahoma" w:hAnsi="Tahoma" w:cs="Tahoma"/>
          <w:noProof/>
          <w:sz w:val="24"/>
          <w:szCs w:val="24"/>
        </w:rPr>
      </w:pPr>
      <w:r w:rsidRPr="001A30DA">
        <w:rPr>
          <w:rFonts w:ascii="Tahoma" w:hAnsi="Tahoma" w:cs="Tahoma"/>
          <w:noProof/>
          <w:sz w:val="24"/>
          <w:szCs w:val="24"/>
        </w:rPr>
        <w:t>A qualitative, service evaluation exploring user experiences of Diabetes Prevention Programmes in Cwm Taf Morgannwg University Health Board.</w:t>
      </w:r>
    </w:p>
    <w:p w14:paraId="79BCD439" w14:textId="77777777" w:rsidR="005D0514" w:rsidRPr="00612277" w:rsidRDefault="005D0514" w:rsidP="00702999">
      <w:pPr>
        <w:spacing w:after="0" w:line="240" w:lineRule="auto"/>
        <w:rPr>
          <w:rFonts w:ascii="Tahoma" w:hAnsi="Tahoma" w:cs="Tahoma"/>
          <w:b/>
          <w:bCs/>
          <w:noProof/>
          <w:color w:val="32598A"/>
          <w:sz w:val="16"/>
          <w:szCs w:val="16"/>
        </w:rPr>
      </w:pPr>
    </w:p>
    <w:p w14:paraId="5CFA3287" w14:textId="0E157492" w:rsidR="003378B3" w:rsidRPr="001A30DA" w:rsidRDefault="003378B3" w:rsidP="00702999">
      <w:pPr>
        <w:spacing w:line="240" w:lineRule="auto"/>
        <w:rPr>
          <w:rFonts w:ascii="Tahoma" w:hAnsi="Tahoma" w:cs="Tahoma"/>
          <w:noProof/>
          <w:sz w:val="24"/>
          <w:szCs w:val="24"/>
        </w:rPr>
      </w:pPr>
      <w:r w:rsidRPr="001A30DA">
        <w:rPr>
          <w:rFonts w:ascii="Tahoma" w:hAnsi="Tahoma" w:cs="Tahoma"/>
          <w:b/>
          <w:bCs/>
          <w:noProof/>
          <w:color w:val="32598A"/>
          <w:sz w:val="24"/>
          <w:szCs w:val="24"/>
        </w:rPr>
        <w:t>Author/s:</w:t>
      </w:r>
      <w:r w:rsidR="00E0156E" w:rsidRPr="001A30DA">
        <w:rPr>
          <w:rFonts w:ascii="Tahoma" w:hAnsi="Tahoma" w:cs="Tahoma"/>
          <w:b/>
          <w:bCs/>
          <w:noProof/>
          <w:color w:val="32598A"/>
          <w:sz w:val="24"/>
          <w:szCs w:val="24"/>
        </w:rPr>
        <w:t xml:space="preserve"> </w:t>
      </w:r>
      <w:r w:rsidR="005D0514" w:rsidRPr="001A30DA">
        <w:rPr>
          <w:rFonts w:ascii="Tahoma" w:hAnsi="Tahoma" w:cs="Tahoma"/>
          <w:noProof/>
          <w:sz w:val="24"/>
          <w:szCs w:val="24"/>
        </w:rPr>
        <w:t>Lewis, J</w:t>
      </w:r>
      <w:r w:rsidR="005D0514" w:rsidRPr="001A30DA">
        <w:rPr>
          <w:rFonts w:ascii="Tahoma" w:hAnsi="Tahoma" w:cs="Tahoma"/>
          <w:noProof/>
          <w:sz w:val="24"/>
          <w:szCs w:val="24"/>
          <w:vertAlign w:val="superscript"/>
        </w:rPr>
        <w:t>1</w:t>
      </w:r>
      <w:r w:rsidR="005D0514" w:rsidRPr="001A30DA">
        <w:rPr>
          <w:rFonts w:ascii="Tahoma" w:hAnsi="Tahoma" w:cs="Tahoma"/>
          <w:noProof/>
          <w:sz w:val="24"/>
          <w:szCs w:val="24"/>
        </w:rPr>
        <w:t>., Samuel, F</w:t>
      </w:r>
      <w:r w:rsidR="005D0514" w:rsidRPr="001A30DA">
        <w:rPr>
          <w:rFonts w:ascii="Tahoma" w:hAnsi="Tahoma" w:cs="Tahoma"/>
          <w:noProof/>
          <w:sz w:val="24"/>
          <w:szCs w:val="24"/>
          <w:vertAlign w:val="superscript"/>
        </w:rPr>
        <w:t>2</w:t>
      </w:r>
      <w:r w:rsidR="005D0514" w:rsidRPr="001A30DA">
        <w:rPr>
          <w:rFonts w:ascii="Tahoma" w:hAnsi="Tahoma" w:cs="Tahoma"/>
          <w:noProof/>
          <w:sz w:val="24"/>
          <w:szCs w:val="24"/>
        </w:rPr>
        <w:t>.</w:t>
      </w:r>
      <w:r w:rsidR="00702999" w:rsidRPr="001A30DA">
        <w:rPr>
          <w:rFonts w:ascii="Tahoma" w:hAnsi="Tahoma" w:cs="Tahoma"/>
          <w:sz w:val="24"/>
          <w:szCs w:val="24"/>
        </w:rPr>
        <w:t xml:space="preserve"> Szekeres, Z</w:t>
      </w:r>
      <w:r w:rsidR="00702999" w:rsidRPr="001A30DA">
        <w:rPr>
          <w:rFonts w:ascii="Tahoma" w:hAnsi="Tahoma" w:cs="Tahoma"/>
          <w:sz w:val="24"/>
          <w:szCs w:val="24"/>
          <w:vertAlign w:val="superscript"/>
        </w:rPr>
        <w:t>1</w:t>
      </w:r>
      <w:r w:rsidR="00702999" w:rsidRPr="001A30DA">
        <w:rPr>
          <w:rFonts w:ascii="Tahoma" w:hAnsi="Tahoma" w:cs="Tahoma"/>
          <w:sz w:val="24"/>
          <w:szCs w:val="24"/>
        </w:rPr>
        <w:t>., Touray, T</w:t>
      </w:r>
      <w:r w:rsidR="00702999" w:rsidRPr="001A30DA">
        <w:rPr>
          <w:rFonts w:ascii="Tahoma" w:hAnsi="Tahoma" w:cs="Tahoma"/>
          <w:sz w:val="24"/>
          <w:szCs w:val="24"/>
          <w:vertAlign w:val="superscript"/>
        </w:rPr>
        <w:t>1</w:t>
      </w:r>
      <w:r w:rsidR="00702999" w:rsidRPr="001A30DA">
        <w:rPr>
          <w:rFonts w:ascii="Tahoma" w:hAnsi="Tahoma" w:cs="Tahoma"/>
          <w:sz w:val="24"/>
          <w:szCs w:val="24"/>
        </w:rPr>
        <w:t>., Vuolo, F</w:t>
      </w:r>
      <w:r w:rsidR="00702999" w:rsidRPr="001A30DA">
        <w:rPr>
          <w:rFonts w:ascii="Tahoma" w:hAnsi="Tahoma" w:cs="Tahoma"/>
          <w:sz w:val="24"/>
          <w:szCs w:val="24"/>
          <w:vertAlign w:val="superscript"/>
        </w:rPr>
        <w:t>1</w:t>
      </w:r>
      <w:r w:rsidR="00702999" w:rsidRPr="001A30DA">
        <w:rPr>
          <w:rFonts w:ascii="Tahoma" w:hAnsi="Tahoma" w:cs="Tahoma"/>
          <w:sz w:val="24"/>
          <w:szCs w:val="24"/>
        </w:rPr>
        <w:t>., Elliott, M</w:t>
      </w:r>
      <w:r w:rsidR="00702999" w:rsidRPr="001A30DA">
        <w:rPr>
          <w:rFonts w:ascii="Tahoma" w:hAnsi="Tahoma" w:cs="Tahoma"/>
          <w:sz w:val="24"/>
          <w:szCs w:val="24"/>
          <w:vertAlign w:val="superscript"/>
        </w:rPr>
        <w:t>3</w:t>
      </w:r>
      <w:r w:rsidR="00702999" w:rsidRPr="001A30DA">
        <w:rPr>
          <w:rFonts w:ascii="Tahoma" w:hAnsi="Tahoma" w:cs="Tahoma"/>
          <w:sz w:val="24"/>
          <w:szCs w:val="24"/>
        </w:rPr>
        <w:t xml:space="preserve">.  </w:t>
      </w:r>
    </w:p>
    <w:p w14:paraId="0EF06F1D" w14:textId="38A98630" w:rsidR="0073698D" w:rsidRPr="001A30DA" w:rsidRDefault="0073698D" w:rsidP="00702999">
      <w:pPr>
        <w:spacing w:line="240" w:lineRule="auto"/>
        <w:rPr>
          <w:rFonts w:ascii="Tahoma" w:hAnsi="Tahoma" w:cs="Tahoma"/>
          <w:b/>
          <w:bCs/>
          <w:noProof/>
          <w:color w:val="32598A"/>
          <w:sz w:val="24"/>
          <w:szCs w:val="24"/>
        </w:rPr>
      </w:pPr>
      <w:r w:rsidRPr="001A30DA">
        <w:rPr>
          <w:rFonts w:ascii="Tahoma" w:hAnsi="Tahoma" w:cs="Tahoma"/>
          <w:b/>
          <w:bCs/>
          <w:noProof/>
          <w:color w:val="32598A"/>
          <w:sz w:val="24"/>
          <w:szCs w:val="24"/>
        </w:rPr>
        <w:t>Department:</w:t>
      </w:r>
      <w:r w:rsidR="005D0514" w:rsidRPr="001A30DA">
        <w:rPr>
          <w:rFonts w:ascii="Tahoma" w:hAnsi="Tahoma" w:cs="Tahoma"/>
          <w:noProof/>
          <w:sz w:val="24"/>
          <w:szCs w:val="24"/>
        </w:rPr>
        <w:t xml:space="preserve"> </w:t>
      </w:r>
      <w:r w:rsidR="00702999" w:rsidRPr="001A30DA">
        <w:rPr>
          <w:rFonts w:ascii="Tahoma" w:hAnsi="Tahoma" w:cs="Tahoma"/>
          <w:noProof/>
          <w:sz w:val="24"/>
          <w:szCs w:val="24"/>
          <w:vertAlign w:val="superscript"/>
        </w:rPr>
        <w:t>1</w:t>
      </w:r>
      <w:r w:rsidR="005D0514" w:rsidRPr="001A30DA">
        <w:rPr>
          <w:rFonts w:ascii="Tahoma" w:hAnsi="Tahoma" w:cs="Tahoma"/>
          <w:noProof/>
          <w:sz w:val="24"/>
          <w:szCs w:val="24"/>
        </w:rPr>
        <w:t>Cardiff School of Sport and Health Sciences (CSSHS)</w:t>
      </w:r>
      <w:r w:rsidR="00702999" w:rsidRPr="001A30DA">
        <w:rPr>
          <w:rFonts w:ascii="Tahoma" w:hAnsi="Tahoma" w:cs="Tahoma"/>
          <w:noProof/>
          <w:sz w:val="24"/>
          <w:szCs w:val="24"/>
        </w:rPr>
        <w:t>, Cardiff Metropolitan University.</w:t>
      </w:r>
      <w:r w:rsidR="005D0514" w:rsidRPr="001A30DA">
        <w:rPr>
          <w:rFonts w:ascii="Tahoma" w:hAnsi="Tahoma" w:cs="Tahoma"/>
          <w:noProof/>
          <w:sz w:val="24"/>
          <w:szCs w:val="24"/>
        </w:rPr>
        <w:t xml:space="preserve"> </w:t>
      </w:r>
      <w:r w:rsidR="00702999" w:rsidRPr="001A30DA">
        <w:rPr>
          <w:rFonts w:ascii="Tahoma" w:hAnsi="Tahoma" w:cs="Tahoma"/>
          <w:noProof/>
          <w:sz w:val="24"/>
          <w:szCs w:val="24"/>
          <w:vertAlign w:val="superscript"/>
        </w:rPr>
        <w:t>2</w:t>
      </w:r>
      <w:r w:rsidR="005D0514" w:rsidRPr="001A30DA">
        <w:rPr>
          <w:rFonts w:ascii="Tahoma" w:hAnsi="Tahoma" w:cs="Tahoma"/>
          <w:noProof/>
          <w:sz w:val="24"/>
          <w:szCs w:val="24"/>
        </w:rPr>
        <w:t>Dietetics</w:t>
      </w:r>
      <w:r w:rsidR="00702999" w:rsidRPr="001A30DA">
        <w:rPr>
          <w:rFonts w:ascii="Tahoma" w:hAnsi="Tahoma" w:cs="Tahoma"/>
          <w:noProof/>
          <w:sz w:val="24"/>
          <w:szCs w:val="24"/>
        </w:rPr>
        <w:t xml:space="preserve">, Cwm Taf Morgannwg University Health Board. </w:t>
      </w:r>
      <w:r w:rsidR="00702999" w:rsidRPr="001A30DA">
        <w:rPr>
          <w:rFonts w:ascii="Tahoma" w:hAnsi="Tahoma" w:cs="Tahoma"/>
          <w:noProof/>
          <w:sz w:val="24"/>
          <w:szCs w:val="24"/>
          <w:vertAlign w:val="superscript"/>
        </w:rPr>
        <w:t>3</w:t>
      </w:r>
      <w:r w:rsidR="00702999" w:rsidRPr="001A30DA">
        <w:rPr>
          <w:rFonts w:ascii="Tahoma" w:hAnsi="Tahoma" w:cs="Tahoma"/>
          <w:noProof/>
          <w:sz w:val="24"/>
          <w:szCs w:val="24"/>
        </w:rPr>
        <w:t>Public Health, Cwm Taf Morgannwg University Health Board.</w:t>
      </w:r>
    </w:p>
    <w:p w14:paraId="5C2DF48A" w14:textId="77777777" w:rsidR="001D73FB" w:rsidRPr="00101A21" w:rsidRDefault="001D73FB" w:rsidP="001D73FB">
      <w:pPr>
        <w:shd w:val="clear" w:color="auto" w:fill="32598A"/>
        <w:rPr>
          <w:color w:val="0066CC"/>
        </w:rPr>
      </w:pPr>
    </w:p>
    <w:p w14:paraId="538FA88B" w14:textId="52E043A1" w:rsidR="00400A84" w:rsidRDefault="001D73FB" w:rsidP="001A30DA">
      <w:pPr>
        <w:spacing w:after="0" w:line="240" w:lineRule="auto"/>
        <w:jc w:val="both"/>
        <w:rPr>
          <w:rFonts w:ascii="Tahoma" w:hAnsi="Tahoma" w:cs="Tahoma"/>
          <w:b/>
          <w:bCs/>
          <w:sz w:val="24"/>
          <w:szCs w:val="24"/>
        </w:rPr>
      </w:pPr>
      <w:r>
        <w:rPr>
          <w:rFonts w:ascii="Tahoma" w:hAnsi="Tahoma" w:cs="Tahoma"/>
          <w:b/>
          <w:bCs/>
          <w:sz w:val="24"/>
          <w:szCs w:val="24"/>
        </w:rPr>
        <w:t>Introduction:</w:t>
      </w:r>
    </w:p>
    <w:p w14:paraId="008F5DC5" w14:textId="303CCB12" w:rsidR="00702999" w:rsidRDefault="00702999" w:rsidP="001A30DA">
      <w:pPr>
        <w:spacing w:line="240" w:lineRule="auto"/>
        <w:jc w:val="both"/>
        <w:rPr>
          <w:rFonts w:ascii="Tahoma" w:hAnsi="Tahoma" w:cs="Tahoma"/>
          <w:b/>
          <w:bCs/>
          <w:sz w:val="24"/>
          <w:szCs w:val="24"/>
        </w:rPr>
      </w:pPr>
      <w:r w:rsidRPr="008F79FE">
        <w:rPr>
          <w:rFonts w:ascii="Tahoma" w:hAnsi="Tahoma" w:cs="Tahoma"/>
          <w:noProof/>
          <w:sz w:val="24"/>
          <w:szCs w:val="24"/>
        </w:rPr>
        <w:t>The global burden of diabetes is increasing, necessitating improved surveillance and prevention efforts. Evidence supports identifying high-risk individuals and implementing intervention programs. In Cwm Taf Morgannwg UHB, two diabetes prevention initiatives follow Public Health Wales's MECC approach: the All-Wales Diabetes Prevention Programme (AWDPP) and the WISE Diabetes Prevention Programme, both focusing on brief lifestyle interventions.</w:t>
      </w:r>
    </w:p>
    <w:p w14:paraId="7348F163" w14:textId="2747459C" w:rsidR="001D73FB" w:rsidRDefault="001D73FB" w:rsidP="001A30DA">
      <w:pPr>
        <w:spacing w:after="0" w:line="240" w:lineRule="auto"/>
        <w:jc w:val="both"/>
        <w:rPr>
          <w:rFonts w:ascii="Tahoma" w:hAnsi="Tahoma" w:cs="Tahoma"/>
          <w:b/>
          <w:bCs/>
          <w:sz w:val="24"/>
          <w:szCs w:val="24"/>
        </w:rPr>
      </w:pPr>
      <w:r>
        <w:rPr>
          <w:rFonts w:ascii="Tahoma" w:hAnsi="Tahoma" w:cs="Tahoma"/>
          <w:b/>
          <w:bCs/>
          <w:sz w:val="24"/>
          <w:szCs w:val="24"/>
        </w:rPr>
        <w:t>Aim:</w:t>
      </w:r>
    </w:p>
    <w:p w14:paraId="744643DE" w14:textId="2BE3DA29" w:rsidR="00702999" w:rsidRDefault="00702999" w:rsidP="001A30DA">
      <w:pPr>
        <w:spacing w:after="0" w:line="240" w:lineRule="auto"/>
        <w:jc w:val="both"/>
        <w:rPr>
          <w:rFonts w:ascii="Tahoma" w:hAnsi="Tahoma" w:cs="Tahoma"/>
          <w:noProof/>
          <w:sz w:val="24"/>
          <w:szCs w:val="24"/>
        </w:rPr>
      </w:pPr>
      <w:r w:rsidRPr="00FA2E52">
        <w:rPr>
          <w:rFonts w:ascii="Tahoma" w:hAnsi="Tahoma" w:cs="Tahoma"/>
          <w:noProof/>
          <w:sz w:val="24"/>
          <w:szCs w:val="24"/>
        </w:rPr>
        <w:t>This project aimed to review diabetes prevention programs globally and to evaluate patient experiences in two local initiatives, identifying barriers and facilitators to engagement. Recommendations were to be provided based on the findings.</w:t>
      </w:r>
    </w:p>
    <w:p w14:paraId="5F352891" w14:textId="77777777" w:rsidR="00702999" w:rsidRDefault="00702999" w:rsidP="001A30DA">
      <w:pPr>
        <w:spacing w:after="0" w:line="240" w:lineRule="auto"/>
        <w:jc w:val="both"/>
        <w:rPr>
          <w:rFonts w:ascii="Tahoma" w:hAnsi="Tahoma" w:cs="Tahoma"/>
          <w:b/>
          <w:bCs/>
          <w:sz w:val="24"/>
          <w:szCs w:val="24"/>
        </w:rPr>
      </w:pPr>
    </w:p>
    <w:p w14:paraId="4F0C03D1" w14:textId="53BFE92B" w:rsidR="001D73FB" w:rsidRDefault="001D73FB" w:rsidP="001A30DA">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0461090A" w14:textId="19A4861F" w:rsidR="00702999" w:rsidRDefault="00702999" w:rsidP="001A30DA">
      <w:pPr>
        <w:spacing w:after="0" w:line="240" w:lineRule="auto"/>
        <w:jc w:val="both"/>
        <w:rPr>
          <w:rFonts w:ascii="Tahoma" w:hAnsi="Tahoma" w:cs="Tahoma"/>
          <w:b/>
          <w:bCs/>
          <w:sz w:val="24"/>
          <w:szCs w:val="24"/>
        </w:rPr>
      </w:pPr>
      <w:r w:rsidRPr="00C42C23">
        <w:rPr>
          <w:rFonts w:ascii="Tahoma" w:hAnsi="Tahoma" w:cs="Tahoma"/>
          <w:noProof/>
          <w:sz w:val="24"/>
          <w:szCs w:val="24"/>
        </w:rPr>
        <w:t>A synthesis and narrative review of published literature examined barriers and facilitators to diabetes prevention program uptake globally. A qualitative study using the COM-B model evaluated experiences of the local programmes in CTM UHB, exploring access, interactions, and behaviour change. Data collection involved 11 interviews and five focus groups with a total of 27 participants recruited from January to March 2024. Thematic analysis followed Braun and Clarke's approach.</w:t>
      </w:r>
    </w:p>
    <w:p w14:paraId="41CCDAF5" w14:textId="77777777" w:rsidR="00312351" w:rsidRPr="00312351" w:rsidRDefault="00312351" w:rsidP="001A30DA">
      <w:pPr>
        <w:spacing w:after="0" w:line="240" w:lineRule="auto"/>
        <w:jc w:val="both"/>
        <w:rPr>
          <w:rFonts w:ascii="Tahoma" w:hAnsi="Tahoma" w:cs="Tahoma"/>
          <w:sz w:val="24"/>
          <w:szCs w:val="24"/>
        </w:rPr>
      </w:pPr>
    </w:p>
    <w:p w14:paraId="335C0979" w14:textId="57BA23A9" w:rsidR="001D73FB" w:rsidRDefault="001D73FB" w:rsidP="001A30DA">
      <w:pPr>
        <w:spacing w:after="0" w:line="240" w:lineRule="auto"/>
        <w:jc w:val="both"/>
        <w:rPr>
          <w:rFonts w:ascii="Tahoma" w:hAnsi="Tahoma" w:cs="Tahoma"/>
          <w:b/>
          <w:bCs/>
          <w:sz w:val="24"/>
          <w:szCs w:val="24"/>
        </w:rPr>
      </w:pPr>
      <w:r>
        <w:rPr>
          <w:rFonts w:ascii="Tahoma" w:hAnsi="Tahoma" w:cs="Tahoma"/>
          <w:b/>
          <w:bCs/>
          <w:sz w:val="24"/>
          <w:szCs w:val="24"/>
        </w:rPr>
        <w:t>Results:</w:t>
      </w:r>
    </w:p>
    <w:p w14:paraId="1AF6E06A" w14:textId="6D2DDFDC" w:rsidR="00702999" w:rsidRDefault="00702999" w:rsidP="001A30DA">
      <w:pPr>
        <w:spacing w:after="0" w:line="240" w:lineRule="auto"/>
        <w:jc w:val="both"/>
        <w:rPr>
          <w:rFonts w:ascii="Tahoma" w:hAnsi="Tahoma" w:cs="Tahoma"/>
          <w:noProof/>
          <w:sz w:val="24"/>
          <w:szCs w:val="24"/>
        </w:rPr>
      </w:pPr>
      <w:r w:rsidRPr="00E47774">
        <w:rPr>
          <w:rFonts w:ascii="Tahoma" w:hAnsi="Tahoma" w:cs="Tahoma"/>
          <w:noProof/>
          <w:sz w:val="24"/>
          <w:szCs w:val="24"/>
        </w:rPr>
        <w:t>The evaluation identified various factors influencing programme engagement and lifestyle changes. Psychological and physical capabilities, social and physical opportunities, and automatic and reflective motivation all played roles. Key elements included prior knowledge, supportive staff, health checks, personalised guidance, risk awareness, and personal responsibility. The findings revealed a complex interplay of factors affecting participant engagement and behaviour change.</w:t>
      </w:r>
    </w:p>
    <w:p w14:paraId="13F1FC53" w14:textId="77777777" w:rsidR="00702999" w:rsidRDefault="00702999" w:rsidP="001A30DA">
      <w:pPr>
        <w:spacing w:after="0" w:line="240" w:lineRule="auto"/>
        <w:jc w:val="both"/>
        <w:rPr>
          <w:rFonts w:ascii="Tahoma" w:hAnsi="Tahoma" w:cs="Tahoma"/>
          <w:b/>
          <w:bCs/>
          <w:sz w:val="24"/>
          <w:szCs w:val="24"/>
        </w:rPr>
      </w:pPr>
    </w:p>
    <w:p w14:paraId="79D016C6" w14:textId="6483905C" w:rsidR="001D73FB" w:rsidRDefault="001D73FB" w:rsidP="001A30DA">
      <w:pPr>
        <w:spacing w:after="0" w:line="240" w:lineRule="auto"/>
        <w:jc w:val="both"/>
        <w:rPr>
          <w:rFonts w:ascii="Tahoma" w:hAnsi="Tahoma" w:cs="Tahoma"/>
          <w:b/>
          <w:bCs/>
          <w:sz w:val="24"/>
          <w:szCs w:val="24"/>
        </w:rPr>
      </w:pPr>
      <w:r>
        <w:rPr>
          <w:rFonts w:ascii="Tahoma" w:hAnsi="Tahoma" w:cs="Tahoma"/>
          <w:b/>
          <w:bCs/>
          <w:sz w:val="24"/>
          <w:szCs w:val="24"/>
        </w:rPr>
        <w:t>Conclusion:</w:t>
      </w:r>
    </w:p>
    <w:p w14:paraId="2645F9EE" w14:textId="6591F780" w:rsidR="00702999" w:rsidRDefault="00702999" w:rsidP="001A30DA">
      <w:pPr>
        <w:spacing w:after="0" w:line="240" w:lineRule="auto"/>
        <w:jc w:val="both"/>
        <w:rPr>
          <w:rFonts w:ascii="Tahoma" w:hAnsi="Tahoma" w:cs="Tahoma"/>
          <w:b/>
          <w:bCs/>
          <w:sz w:val="24"/>
          <w:szCs w:val="24"/>
        </w:rPr>
      </w:pPr>
      <w:r w:rsidRPr="005B5BBF">
        <w:rPr>
          <w:rFonts w:ascii="Tahoma" w:hAnsi="Tahoma" w:cs="Tahoma"/>
          <w:noProof/>
          <w:sz w:val="24"/>
          <w:szCs w:val="24"/>
        </w:rPr>
        <w:t>Published research indicates face-to-face diabetes prevention programs with regular contact are more effective than a single brief intervention for those with barriers to engagement. Engaged users found local programmes beneficial. However, increased flexibility in delivery (out-of-hours), and availability (resources to be made available online out of hours), more frequent contact (e.g. monthly for the first 6 months), and regular health checks (e.g. HbA1c every 6 months), could improve initial uptake and sustained engagement in the programmes.</w:t>
      </w:r>
    </w:p>
    <w:sectPr w:rsidR="00702999"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A30DA"/>
    <w:rsid w:val="001D73FB"/>
    <w:rsid w:val="00312351"/>
    <w:rsid w:val="003378B3"/>
    <w:rsid w:val="00400A84"/>
    <w:rsid w:val="005D0514"/>
    <w:rsid w:val="00612277"/>
    <w:rsid w:val="00702999"/>
    <w:rsid w:val="0073698D"/>
    <w:rsid w:val="0084790E"/>
    <w:rsid w:val="00957516"/>
    <w:rsid w:val="00A70F30"/>
    <w:rsid w:val="00AC3303"/>
    <w:rsid w:val="00DB03CE"/>
    <w:rsid w:val="00E0156E"/>
    <w:rsid w:val="00E065C5"/>
    <w:rsid w:val="00EF0E17"/>
    <w:rsid w:val="00F057AF"/>
    <w:rsid w:val="00F92F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413</Words>
  <Characters>2356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2024-11-04T11:20:00Z</dcterms:created>
  <dcterms:modified xsi:type="dcterms:W3CDTF">2024-11-22T09:21:00Z</dcterms:modified>
</cp:coreProperties>
</file>