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DB4B68E"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8B7B36">
        <w:rPr>
          <w:rFonts w:ascii="Tahoma" w:hAnsi="Tahoma" w:cs="Tahoma"/>
          <w:b/>
          <w:bCs/>
          <w:noProof/>
          <w:color w:val="32598A"/>
          <w:sz w:val="28"/>
          <w:szCs w:val="28"/>
        </w:rPr>
        <w:t xml:space="preserve"> 5</w:t>
      </w:r>
    </w:p>
    <w:p w14:paraId="6F47A89C" w14:textId="12E3B99E" w:rsidR="00CB4800" w:rsidRDefault="00CB4800" w:rsidP="00E0156E">
      <w:pPr>
        <w:spacing w:after="0"/>
        <w:rPr>
          <w:rFonts w:ascii="Tahoma" w:hAnsi="Tahoma" w:cs="Tahoma"/>
          <w:sz w:val="24"/>
          <w:szCs w:val="24"/>
        </w:rPr>
      </w:pPr>
      <w:r w:rsidRPr="00B641D3">
        <w:rPr>
          <w:rFonts w:ascii="Tahoma" w:hAnsi="Tahoma" w:cs="Tahoma"/>
          <w:sz w:val="24"/>
          <w:szCs w:val="24"/>
        </w:rPr>
        <w:t>Development of a label-free liquid biopsy for early-stage cancer detection</w:t>
      </w:r>
      <w:r>
        <w:rPr>
          <w:rFonts w:ascii="Tahoma" w:hAnsi="Tahoma" w:cs="Tahoma"/>
          <w:sz w:val="24"/>
          <w:szCs w:val="24"/>
        </w:rPr>
        <w:t>.</w:t>
      </w:r>
    </w:p>
    <w:p w14:paraId="45548B16" w14:textId="77777777" w:rsidR="00CB4800" w:rsidRPr="00CB4800" w:rsidRDefault="00CB4800" w:rsidP="00E0156E">
      <w:pPr>
        <w:spacing w:after="0"/>
        <w:rPr>
          <w:rFonts w:ascii="Tahoma" w:hAnsi="Tahoma" w:cs="Tahoma"/>
          <w:b/>
          <w:bCs/>
          <w:noProof/>
          <w:color w:val="32598A"/>
          <w:sz w:val="16"/>
          <w:szCs w:val="16"/>
        </w:rPr>
      </w:pPr>
    </w:p>
    <w:p w14:paraId="5CFA3287" w14:textId="0E2027D0"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CB4800">
        <w:rPr>
          <w:rFonts w:ascii="Tahoma" w:hAnsi="Tahoma" w:cs="Tahoma"/>
          <w:noProof/>
          <w:sz w:val="24"/>
          <w:szCs w:val="24"/>
        </w:rPr>
        <w:t>Thomas, N., Harris, D.</w:t>
      </w:r>
    </w:p>
    <w:p w14:paraId="0EF06F1D" w14:textId="5EFAC4E7"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CB4800">
        <w:rPr>
          <w:rFonts w:ascii="Tahoma" w:hAnsi="Tahoma" w:cs="Tahoma"/>
          <w:b/>
          <w:bCs/>
          <w:noProof/>
          <w:color w:val="32598A"/>
          <w:sz w:val="28"/>
          <w:szCs w:val="28"/>
        </w:rPr>
        <w:t xml:space="preserve"> </w:t>
      </w:r>
      <w:r w:rsidR="00CB4800" w:rsidRPr="00CB4800">
        <w:rPr>
          <w:rFonts w:ascii="Tahoma" w:hAnsi="Tahoma" w:cs="Tahoma"/>
          <w:noProof/>
          <w:sz w:val="24"/>
          <w:szCs w:val="24"/>
        </w:rPr>
        <w:t>Research &amp; Development, CanSense</w:t>
      </w:r>
    </w:p>
    <w:p w14:paraId="5C2DF48A" w14:textId="77777777" w:rsidR="001D73FB" w:rsidRPr="00101A21" w:rsidRDefault="001D73FB" w:rsidP="001D73FB">
      <w:pPr>
        <w:shd w:val="clear" w:color="auto" w:fill="32598A"/>
        <w:rPr>
          <w:color w:val="0066CC"/>
        </w:rPr>
      </w:pPr>
    </w:p>
    <w:p w14:paraId="538FA88B" w14:textId="58EE7848" w:rsidR="00400A84" w:rsidRDefault="001D73FB" w:rsidP="00CB4800">
      <w:pPr>
        <w:spacing w:after="0" w:line="240" w:lineRule="auto"/>
        <w:jc w:val="both"/>
        <w:rPr>
          <w:rFonts w:ascii="Tahoma" w:hAnsi="Tahoma" w:cs="Tahoma"/>
          <w:b/>
          <w:bCs/>
          <w:sz w:val="24"/>
          <w:szCs w:val="24"/>
        </w:rPr>
      </w:pPr>
      <w:r>
        <w:rPr>
          <w:rFonts w:ascii="Tahoma" w:hAnsi="Tahoma" w:cs="Tahoma"/>
          <w:b/>
          <w:bCs/>
          <w:sz w:val="24"/>
          <w:szCs w:val="24"/>
        </w:rPr>
        <w:t>Introduction:</w:t>
      </w:r>
    </w:p>
    <w:p w14:paraId="4F8943DD" w14:textId="281218F2" w:rsidR="00CB4800" w:rsidRDefault="00CB4800" w:rsidP="00CB4800">
      <w:pPr>
        <w:spacing w:line="240" w:lineRule="auto"/>
        <w:jc w:val="both"/>
        <w:rPr>
          <w:rFonts w:ascii="Tahoma" w:hAnsi="Tahoma" w:cs="Tahoma"/>
          <w:b/>
          <w:bCs/>
          <w:sz w:val="24"/>
          <w:szCs w:val="24"/>
        </w:rPr>
      </w:pPr>
      <w:r w:rsidRPr="004354C6">
        <w:rPr>
          <w:rFonts w:ascii="Tahoma" w:hAnsi="Tahoma" w:cs="Tahoma"/>
          <w:noProof/>
          <w:sz w:val="24"/>
          <w:szCs w:val="24"/>
        </w:rPr>
        <w:t>Globally, 1.9M  new cases of colorectal cancer (CRC) are diagnosed, with this number being expected to rise to 3.2 M per year by 2040. CRC is the second highest cause of cancer deaths per year and was responsible for 935K deaths in 2020 globally. CRC detection pathways for symptomatic or screening routes predominantly use faecal immunochemical test (FIT) followed by colonoscopy if above threshold. Although FIT is inexpensive and has reasonable sensitivity for colorectal cancer it is also elevated in benign conditions and has poor capability for detection of high-risk adenomas hampering its utility in scr</w:t>
      </w:r>
      <w:r>
        <w:rPr>
          <w:rFonts w:ascii="Tahoma" w:hAnsi="Tahoma" w:cs="Tahoma"/>
          <w:noProof/>
          <w:sz w:val="24"/>
          <w:szCs w:val="24"/>
        </w:rPr>
        <w:t>eening and prevention</w:t>
      </w:r>
      <w:r w:rsidR="008D385B">
        <w:rPr>
          <w:rFonts w:ascii="Tahoma" w:hAnsi="Tahoma" w:cs="Tahoma"/>
          <w:noProof/>
          <w:sz w:val="24"/>
          <w:szCs w:val="24"/>
        </w:rPr>
        <w:t>.</w:t>
      </w:r>
    </w:p>
    <w:p w14:paraId="7348F163" w14:textId="3B97D569" w:rsidR="001D73FB" w:rsidRDefault="001D73FB" w:rsidP="00CB4800">
      <w:pPr>
        <w:spacing w:after="0" w:line="240" w:lineRule="auto"/>
        <w:jc w:val="both"/>
        <w:rPr>
          <w:rFonts w:ascii="Tahoma" w:hAnsi="Tahoma" w:cs="Tahoma"/>
          <w:b/>
          <w:bCs/>
          <w:sz w:val="24"/>
          <w:szCs w:val="24"/>
        </w:rPr>
      </w:pPr>
      <w:r>
        <w:rPr>
          <w:rFonts w:ascii="Tahoma" w:hAnsi="Tahoma" w:cs="Tahoma"/>
          <w:b/>
          <w:bCs/>
          <w:sz w:val="24"/>
          <w:szCs w:val="24"/>
        </w:rPr>
        <w:t>Aim:</w:t>
      </w:r>
    </w:p>
    <w:p w14:paraId="4AE2FD47" w14:textId="137F438D" w:rsidR="00CB4800" w:rsidRDefault="00CB4800" w:rsidP="00CB4800">
      <w:pPr>
        <w:spacing w:after="0" w:line="240" w:lineRule="auto"/>
        <w:jc w:val="both"/>
        <w:rPr>
          <w:rFonts w:ascii="Tahoma" w:hAnsi="Tahoma" w:cs="Tahoma"/>
          <w:sz w:val="24"/>
          <w:szCs w:val="24"/>
        </w:rPr>
      </w:pPr>
      <w:r w:rsidRPr="006D72DB">
        <w:rPr>
          <w:rFonts w:ascii="Tahoma" w:hAnsi="Tahoma" w:cs="Tahoma"/>
          <w:sz w:val="24"/>
          <w:szCs w:val="24"/>
        </w:rPr>
        <w:t>CanSense-CRC is the first commercial use of Raman spectroscopy</w:t>
      </w:r>
      <w:r>
        <w:rPr>
          <w:rFonts w:ascii="Tahoma" w:hAnsi="Tahoma" w:cs="Tahoma"/>
          <w:sz w:val="24"/>
          <w:szCs w:val="24"/>
        </w:rPr>
        <w:t xml:space="preserve"> which aims</w:t>
      </w:r>
      <w:r w:rsidRPr="006D72DB">
        <w:rPr>
          <w:rFonts w:ascii="Tahoma" w:hAnsi="Tahoma" w:cs="Tahoma"/>
          <w:sz w:val="24"/>
          <w:szCs w:val="24"/>
        </w:rPr>
        <w:t xml:space="preserve"> to detect changes in serum specific to colorectal cancer as an alternative offering to FIT.</w:t>
      </w:r>
    </w:p>
    <w:p w14:paraId="144F3F8F" w14:textId="77777777" w:rsidR="00CB4800" w:rsidRPr="00CB4800" w:rsidRDefault="00CB4800" w:rsidP="00CB4800">
      <w:pPr>
        <w:spacing w:after="0" w:line="240" w:lineRule="auto"/>
        <w:jc w:val="both"/>
        <w:rPr>
          <w:rFonts w:ascii="Tahoma" w:hAnsi="Tahoma" w:cs="Tahoma"/>
          <w:b/>
          <w:bCs/>
          <w:sz w:val="16"/>
          <w:szCs w:val="16"/>
        </w:rPr>
      </w:pPr>
    </w:p>
    <w:p w14:paraId="4F0C03D1" w14:textId="104C5553" w:rsidR="001D73FB" w:rsidRDefault="001D73FB" w:rsidP="00CB4800">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2997CDDD" w:rsidR="00312351" w:rsidRDefault="00CB4800" w:rsidP="00CB4800">
      <w:pPr>
        <w:spacing w:after="0" w:line="240" w:lineRule="auto"/>
        <w:jc w:val="both"/>
        <w:rPr>
          <w:rFonts w:ascii="Tahoma" w:hAnsi="Tahoma" w:cs="Tahoma"/>
          <w:noProof/>
          <w:sz w:val="24"/>
          <w:szCs w:val="24"/>
        </w:rPr>
      </w:pPr>
      <w:r>
        <w:rPr>
          <w:rFonts w:ascii="Tahoma" w:hAnsi="Tahoma" w:cs="Tahoma"/>
          <w:sz w:val="24"/>
          <w:szCs w:val="24"/>
        </w:rPr>
        <w:t>Using Raman Spectroscopy, u</w:t>
      </w:r>
      <w:r w:rsidRPr="00062523">
        <w:rPr>
          <w:rFonts w:ascii="Tahoma" w:hAnsi="Tahoma" w:cs="Tahoma"/>
          <w:noProof/>
          <w:sz w:val="24"/>
          <w:szCs w:val="24"/>
        </w:rPr>
        <w:t>nlabelled serum metabolites from aberrant lipid/protein energy substrate pathways are excited by laser light to produce a vibrational spectroscopy output akin to a biological ‘barcode’. A machine-learning algorithm, trained on thousands of spectra, forms the software as a medical device that classifies the spectra arising from patient serum to rapidly inform the clinician the likelihood of colorectal cancer being present</w:t>
      </w:r>
      <w:r>
        <w:rPr>
          <w:rFonts w:ascii="Tahoma" w:hAnsi="Tahoma" w:cs="Tahoma"/>
          <w:noProof/>
          <w:sz w:val="24"/>
          <w:szCs w:val="24"/>
        </w:rPr>
        <w:t>.</w:t>
      </w:r>
    </w:p>
    <w:p w14:paraId="3FC16F7A" w14:textId="77777777" w:rsidR="00CB4800" w:rsidRPr="00CB4800" w:rsidRDefault="00CB4800" w:rsidP="00CB4800">
      <w:pPr>
        <w:spacing w:after="0" w:line="240" w:lineRule="auto"/>
        <w:jc w:val="both"/>
        <w:rPr>
          <w:rFonts w:ascii="Tahoma" w:hAnsi="Tahoma" w:cs="Tahoma"/>
          <w:sz w:val="16"/>
          <w:szCs w:val="16"/>
        </w:rPr>
      </w:pPr>
    </w:p>
    <w:p w14:paraId="335C0979" w14:textId="2A268CD7" w:rsidR="001D73FB" w:rsidRDefault="001D73FB" w:rsidP="00CB4800">
      <w:pPr>
        <w:spacing w:after="0" w:line="240" w:lineRule="auto"/>
        <w:jc w:val="both"/>
        <w:rPr>
          <w:rFonts w:ascii="Tahoma" w:hAnsi="Tahoma" w:cs="Tahoma"/>
          <w:b/>
          <w:bCs/>
          <w:sz w:val="24"/>
          <w:szCs w:val="24"/>
        </w:rPr>
      </w:pPr>
      <w:r>
        <w:rPr>
          <w:rFonts w:ascii="Tahoma" w:hAnsi="Tahoma" w:cs="Tahoma"/>
          <w:b/>
          <w:bCs/>
          <w:sz w:val="24"/>
          <w:szCs w:val="24"/>
        </w:rPr>
        <w:t>Results:</w:t>
      </w:r>
    </w:p>
    <w:p w14:paraId="23F5E794" w14:textId="101EFAB5" w:rsidR="00CB4800" w:rsidRDefault="00CB4800" w:rsidP="00CB4800">
      <w:pPr>
        <w:spacing w:after="0" w:line="240" w:lineRule="auto"/>
        <w:jc w:val="both"/>
        <w:rPr>
          <w:rFonts w:ascii="Tahoma" w:hAnsi="Tahoma" w:cs="Tahoma"/>
          <w:noProof/>
          <w:sz w:val="24"/>
          <w:szCs w:val="24"/>
        </w:rPr>
      </w:pPr>
      <w:r w:rsidRPr="00242CFB">
        <w:rPr>
          <w:rFonts w:ascii="Tahoma" w:hAnsi="Tahoma" w:cs="Tahoma"/>
          <w:noProof/>
          <w:sz w:val="24"/>
          <w:szCs w:val="24"/>
        </w:rPr>
        <w:t>Extensive patient/public engagement confirms the greater acceptability of the CanSense-CRC blood test to those declining/avoiding current testing with FIT, potentially increasing inclusivity of cancer detection to those at greatest need.</w:t>
      </w:r>
      <w:r w:rsidR="008D385B">
        <w:rPr>
          <w:rFonts w:ascii="Tahoma" w:hAnsi="Tahoma" w:cs="Tahoma"/>
          <w:noProof/>
          <w:sz w:val="24"/>
          <w:szCs w:val="24"/>
        </w:rPr>
        <w:t xml:space="preserve"> </w:t>
      </w:r>
      <w:r w:rsidRPr="00242CFB">
        <w:rPr>
          <w:rFonts w:ascii="Tahoma" w:hAnsi="Tahoma" w:cs="Tahoma"/>
          <w:noProof/>
          <w:sz w:val="24"/>
          <w:szCs w:val="24"/>
        </w:rPr>
        <w:t>Prototype testing found a 5% reduction in missed cancers compared to FIT and 57.6% greater patient acceptability. Clinical validation studies of the minimum viable product with 1,500 blood samples from prospective UK primary care patients found that 97.8% patients completed the CanSense-CRC blood test compared with just 67% compliance with the FIT comparator. Clinician feedback found 85% support for product adoption in their practice, and at least three Cancer Alliances/cancer networks intend to deploy the test in real world evaluations</w:t>
      </w:r>
      <w:r>
        <w:rPr>
          <w:rFonts w:ascii="Tahoma" w:hAnsi="Tahoma" w:cs="Tahoma"/>
          <w:noProof/>
          <w:sz w:val="24"/>
          <w:szCs w:val="24"/>
        </w:rPr>
        <w:t>.</w:t>
      </w:r>
    </w:p>
    <w:p w14:paraId="22B06CE8" w14:textId="77777777" w:rsidR="00CB4800" w:rsidRPr="00CB4800" w:rsidRDefault="00CB4800" w:rsidP="00CB4800">
      <w:pPr>
        <w:spacing w:after="0" w:line="240" w:lineRule="auto"/>
        <w:jc w:val="both"/>
        <w:rPr>
          <w:rFonts w:ascii="Tahoma" w:hAnsi="Tahoma" w:cs="Tahoma"/>
          <w:b/>
          <w:bCs/>
          <w:sz w:val="16"/>
          <w:szCs w:val="16"/>
        </w:rPr>
      </w:pPr>
    </w:p>
    <w:p w14:paraId="79D016C6" w14:textId="0055F5CC" w:rsidR="001D73FB" w:rsidRDefault="001D73FB" w:rsidP="00CB4800">
      <w:pPr>
        <w:spacing w:after="0" w:line="240" w:lineRule="auto"/>
        <w:jc w:val="both"/>
        <w:rPr>
          <w:rFonts w:ascii="Tahoma" w:hAnsi="Tahoma" w:cs="Tahoma"/>
          <w:b/>
          <w:bCs/>
          <w:sz w:val="24"/>
          <w:szCs w:val="24"/>
        </w:rPr>
      </w:pPr>
      <w:r>
        <w:rPr>
          <w:rFonts w:ascii="Tahoma" w:hAnsi="Tahoma" w:cs="Tahoma"/>
          <w:b/>
          <w:bCs/>
          <w:sz w:val="24"/>
          <w:szCs w:val="24"/>
        </w:rPr>
        <w:t>Conclusion:</w:t>
      </w:r>
    </w:p>
    <w:p w14:paraId="7CC34CCD" w14:textId="6FB50F3D" w:rsidR="00CB4800" w:rsidRDefault="00CB4800" w:rsidP="00CB4800">
      <w:pPr>
        <w:spacing w:after="0" w:line="240" w:lineRule="auto"/>
        <w:jc w:val="both"/>
        <w:rPr>
          <w:rFonts w:ascii="Tahoma" w:hAnsi="Tahoma" w:cs="Tahoma"/>
          <w:b/>
          <w:bCs/>
          <w:sz w:val="24"/>
          <w:szCs w:val="24"/>
        </w:rPr>
      </w:pPr>
      <w:r w:rsidRPr="00426E53">
        <w:rPr>
          <w:rFonts w:ascii="Tahoma" w:hAnsi="Tahoma" w:cs="Tahoma"/>
          <w:noProof/>
          <w:sz w:val="24"/>
          <w:szCs w:val="24"/>
        </w:rPr>
        <w:t>As a breakthrough test, CanSense-CRC moves the needle towards improved cancer survival through early cancer stage analyte detection in line with the NHS Long Term Plan ambition to detect 75% of cancers at stage I/II by 2028</w:t>
      </w:r>
      <w:r>
        <w:rPr>
          <w:rFonts w:ascii="Tahoma" w:hAnsi="Tahoma" w:cs="Tahoma"/>
          <w:noProof/>
          <w:sz w:val="24"/>
          <w:szCs w:val="24"/>
        </w:rPr>
        <w:t>.</w:t>
      </w:r>
      <w:r w:rsidR="008D385B">
        <w:rPr>
          <w:rFonts w:ascii="Tahoma" w:hAnsi="Tahoma" w:cs="Tahoma"/>
          <w:noProof/>
          <w:sz w:val="24"/>
          <w:szCs w:val="24"/>
        </w:rPr>
        <w:t xml:space="preserve"> </w:t>
      </w:r>
      <w:r w:rsidRPr="00355AA0">
        <w:rPr>
          <w:rFonts w:ascii="Tahoma" w:hAnsi="Tahoma" w:cs="Tahoma"/>
          <w:noProof/>
          <w:sz w:val="24"/>
          <w:szCs w:val="24"/>
        </w:rPr>
        <w:t>The CanSense-CRC test has the potential to rebalance the current socioeconomic inequality around testing in the UK and other countries with cancer detection challenges  where colonoscopy resources are limited and by offering an alternative choice to faecal testing</w:t>
      </w:r>
      <w:r w:rsidR="008D385B">
        <w:rPr>
          <w:rFonts w:ascii="Tahoma" w:hAnsi="Tahoma" w:cs="Tahoma"/>
          <w:noProof/>
          <w:sz w:val="24"/>
          <w:szCs w:val="24"/>
        </w:rPr>
        <w:t>.</w:t>
      </w:r>
    </w:p>
    <w:sectPr w:rsidR="00CB4800"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687EF4"/>
    <w:rsid w:val="0073698D"/>
    <w:rsid w:val="0084790E"/>
    <w:rsid w:val="008B7B36"/>
    <w:rsid w:val="008D385B"/>
    <w:rsid w:val="00957516"/>
    <w:rsid w:val="00A70F30"/>
    <w:rsid w:val="00AC3303"/>
    <w:rsid w:val="00CB4800"/>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418</Words>
  <Characters>2388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2024-11-13T12:28:00Z</dcterms:created>
  <dcterms:modified xsi:type="dcterms:W3CDTF">2024-11-22T09:20:00Z</dcterms:modified>
</cp:coreProperties>
</file>