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25CEE24"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2228D00B" w14:textId="3742D4CE" w:rsidR="007E44AF" w:rsidRDefault="007E44AF" w:rsidP="00E0156E">
      <w:pPr>
        <w:spacing w:after="0"/>
        <w:rPr>
          <w:rFonts w:ascii="Tahoma" w:hAnsi="Tahoma" w:cs="Tahoma"/>
          <w:noProof/>
          <w:sz w:val="24"/>
          <w:szCs w:val="24"/>
        </w:rPr>
      </w:pPr>
      <w:r w:rsidRPr="00A15076">
        <w:rPr>
          <w:rFonts w:ascii="Tahoma" w:hAnsi="Tahoma" w:cs="Tahoma"/>
          <w:noProof/>
          <w:sz w:val="24"/>
          <w:szCs w:val="24"/>
        </w:rPr>
        <w:t>Service Evaluation of a Value-based Heart Failure Cardiac Rehabilitation Pilot Programme in Cwm Taf Morgannwg University Health Board</w:t>
      </w:r>
      <w:r>
        <w:rPr>
          <w:rFonts w:ascii="Tahoma" w:hAnsi="Tahoma" w:cs="Tahoma"/>
          <w:noProof/>
          <w:sz w:val="24"/>
          <w:szCs w:val="24"/>
        </w:rPr>
        <w:t>.</w:t>
      </w:r>
    </w:p>
    <w:p w14:paraId="19EAC598" w14:textId="77777777" w:rsidR="007E44AF" w:rsidRPr="00A01A54" w:rsidRDefault="007E44AF" w:rsidP="00E0156E">
      <w:pPr>
        <w:spacing w:after="0"/>
        <w:rPr>
          <w:rFonts w:ascii="Tahoma" w:hAnsi="Tahoma" w:cs="Tahoma"/>
          <w:b/>
          <w:bCs/>
          <w:noProof/>
          <w:color w:val="32598A"/>
          <w:sz w:val="16"/>
          <w:szCs w:val="16"/>
        </w:rPr>
      </w:pPr>
    </w:p>
    <w:p w14:paraId="5CFA3287" w14:textId="159DFF20" w:rsidR="003378B3" w:rsidRPr="00A01A54"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7E44AF">
        <w:rPr>
          <w:rFonts w:ascii="Tahoma" w:hAnsi="Tahoma" w:cs="Tahoma"/>
          <w:bCs/>
          <w:noProof/>
          <w:sz w:val="24"/>
          <w:szCs w:val="28"/>
        </w:rPr>
        <w:t>James, R</w:t>
      </w:r>
      <w:r w:rsidR="00A01A54">
        <w:rPr>
          <w:rFonts w:ascii="Tahoma" w:hAnsi="Tahoma" w:cs="Tahoma"/>
          <w:bCs/>
          <w:noProof/>
          <w:sz w:val="24"/>
          <w:szCs w:val="28"/>
          <w:vertAlign w:val="superscript"/>
        </w:rPr>
        <w:t>1</w:t>
      </w:r>
      <w:r w:rsidR="007E44AF">
        <w:rPr>
          <w:rFonts w:ascii="Tahoma" w:hAnsi="Tahoma" w:cs="Tahoma"/>
          <w:bCs/>
          <w:noProof/>
          <w:sz w:val="24"/>
          <w:szCs w:val="28"/>
        </w:rPr>
        <w:t>., Drew, S</w:t>
      </w:r>
      <w:r w:rsidR="00A01A54">
        <w:rPr>
          <w:rFonts w:ascii="Tahoma" w:hAnsi="Tahoma" w:cs="Tahoma"/>
          <w:bCs/>
          <w:noProof/>
          <w:sz w:val="24"/>
          <w:szCs w:val="28"/>
          <w:vertAlign w:val="superscript"/>
        </w:rPr>
        <w:t>2</w:t>
      </w:r>
      <w:r w:rsidR="007E44AF">
        <w:rPr>
          <w:rFonts w:ascii="Tahoma" w:hAnsi="Tahoma" w:cs="Tahoma"/>
          <w:bCs/>
          <w:noProof/>
          <w:sz w:val="24"/>
          <w:szCs w:val="28"/>
        </w:rPr>
        <w:t>., Allen, A</w:t>
      </w:r>
      <w:r w:rsidR="00A01A54">
        <w:rPr>
          <w:rFonts w:ascii="Tahoma" w:hAnsi="Tahoma" w:cs="Tahoma"/>
          <w:bCs/>
          <w:noProof/>
          <w:sz w:val="24"/>
          <w:szCs w:val="28"/>
          <w:vertAlign w:val="superscript"/>
        </w:rPr>
        <w:t>2</w:t>
      </w:r>
      <w:r w:rsidR="007E44AF">
        <w:rPr>
          <w:rFonts w:ascii="Tahoma" w:hAnsi="Tahoma" w:cs="Tahoma"/>
          <w:bCs/>
          <w:noProof/>
          <w:sz w:val="24"/>
          <w:szCs w:val="28"/>
        </w:rPr>
        <w:t>., Davies, H</w:t>
      </w:r>
      <w:r w:rsidR="00A01A54">
        <w:rPr>
          <w:rFonts w:ascii="Tahoma" w:hAnsi="Tahoma" w:cs="Tahoma"/>
          <w:bCs/>
          <w:noProof/>
          <w:sz w:val="24"/>
          <w:szCs w:val="28"/>
          <w:vertAlign w:val="superscript"/>
        </w:rPr>
        <w:t>3</w:t>
      </w:r>
      <w:r w:rsidR="00A01A54">
        <w:rPr>
          <w:rFonts w:ascii="Tahoma" w:hAnsi="Tahoma" w:cs="Tahoma"/>
          <w:bCs/>
          <w:noProof/>
          <w:sz w:val="24"/>
          <w:szCs w:val="28"/>
        </w:rPr>
        <w:t>.</w:t>
      </w:r>
    </w:p>
    <w:p w14:paraId="0EF06F1D" w14:textId="5F097B88" w:rsidR="0073698D" w:rsidRPr="007E44AF" w:rsidRDefault="0073698D" w:rsidP="003378B3">
      <w:pPr>
        <w:rPr>
          <w:rFonts w:ascii="Tahoma" w:hAnsi="Tahoma" w:cs="Tahoma"/>
          <w:bCs/>
          <w:noProof/>
          <w:sz w:val="24"/>
          <w:szCs w:val="28"/>
        </w:rPr>
      </w:pPr>
      <w:r>
        <w:rPr>
          <w:rFonts w:ascii="Tahoma" w:hAnsi="Tahoma" w:cs="Tahoma"/>
          <w:b/>
          <w:bCs/>
          <w:noProof/>
          <w:color w:val="32598A"/>
          <w:sz w:val="28"/>
          <w:szCs w:val="28"/>
        </w:rPr>
        <w:t>Department:</w:t>
      </w:r>
      <w:r w:rsidR="007E44AF">
        <w:rPr>
          <w:rFonts w:ascii="Tahoma" w:hAnsi="Tahoma" w:cs="Tahoma"/>
          <w:b/>
          <w:bCs/>
          <w:noProof/>
          <w:color w:val="32598A"/>
          <w:sz w:val="28"/>
          <w:szCs w:val="28"/>
        </w:rPr>
        <w:t xml:space="preserve"> </w:t>
      </w:r>
      <w:r w:rsidR="007E44AF">
        <w:rPr>
          <w:rFonts w:ascii="Tahoma" w:hAnsi="Tahoma" w:cs="Tahoma"/>
          <w:bCs/>
          <w:noProof/>
          <w:sz w:val="24"/>
          <w:szCs w:val="28"/>
          <w:vertAlign w:val="superscript"/>
        </w:rPr>
        <w:t>1</w:t>
      </w:r>
      <w:r w:rsidR="007E44AF">
        <w:rPr>
          <w:rFonts w:ascii="Tahoma" w:hAnsi="Tahoma" w:cs="Tahoma"/>
          <w:bCs/>
          <w:noProof/>
          <w:sz w:val="24"/>
          <w:szCs w:val="28"/>
        </w:rPr>
        <w:t>Therapies, Cwm Taf Morgannwg University Health Board</w:t>
      </w:r>
      <w:r w:rsidR="00A01A54">
        <w:rPr>
          <w:rFonts w:ascii="Tahoma" w:hAnsi="Tahoma" w:cs="Tahoma"/>
          <w:bCs/>
          <w:noProof/>
          <w:sz w:val="24"/>
          <w:szCs w:val="28"/>
        </w:rPr>
        <w:t>.</w:t>
      </w:r>
      <w:r w:rsidR="007E44AF">
        <w:rPr>
          <w:rFonts w:ascii="Tahoma" w:hAnsi="Tahoma" w:cs="Tahoma"/>
          <w:bCs/>
          <w:noProof/>
          <w:sz w:val="24"/>
          <w:szCs w:val="28"/>
        </w:rPr>
        <w:t xml:space="preserve"> </w:t>
      </w:r>
      <w:r w:rsidR="007E44AF">
        <w:rPr>
          <w:rFonts w:ascii="Tahoma" w:hAnsi="Tahoma" w:cs="Tahoma"/>
          <w:bCs/>
          <w:noProof/>
          <w:sz w:val="24"/>
          <w:szCs w:val="28"/>
          <w:vertAlign w:val="superscript"/>
        </w:rPr>
        <w:t>2</w:t>
      </w:r>
      <w:r w:rsidR="007E44AF">
        <w:rPr>
          <w:rFonts w:ascii="Tahoma" w:hAnsi="Tahoma" w:cs="Tahoma"/>
          <w:bCs/>
          <w:noProof/>
          <w:sz w:val="24"/>
          <w:szCs w:val="28"/>
        </w:rPr>
        <w:t>Cardiology, Cwm Taf Morgannwg University Health Board</w:t>
      </w:r>
      <w:r w:rsidR="00A01A54">
        <w:rPr>
          <w:rFonts w:ascii="Tahoma" w:hAnsi="Tahoma" w:cs="Tahoma"/>
          <w:bCs/>
          <w:noProof/>
          <w:sz w:val="24"/>
          <w:szCs w:val="28"/>
        </w:rPr>
        <w:t>.</w:t>
      </w:r>
      <w:r w:rsidR="007E44AF">
        <w:rPr>
          <w:rFonts w:ascii="Tahoma" w:hAnsi="Tahoma" w:cs="Tahoma"/>
          <w:bCs/>
          <w:noProof/>
          <w:sz w:val="24"/>
          <w:szCs w:val="28"/>
        </w:rPr>
        <w:t xml:space="preserve">  </w:t>
      </w:r>
      <w:r w:rsidR="00A01A54">
        <w:rPr>
          <w:rFonts w:ascii="Tahoma" w:hAnsi="Tahoma" w:cs="Tahoma"/>
          <w:bCs/>
          <w:noProof/>
          <w:sz w:val="24"/>
          <w:szCs w:val="28"/>
          <w:vertAlign w:val="superscript"/>
        </w:rPr>
        <w:t>3</w:t>
      </w:r>
      <w:r w:rsidR="007E44AF">
        <w:rPr>
          <w:rFonts w:ascii="Tahoma" w:hAnsi="Tahoma" w:cs="Tahoma"/>
          <w:bCs/>
          <w:noProof/>
          <w:sz w:val="24"/>
          <w:szCs w:val="28"/>
        </w:rPr>
        <w:t>Therapies, Cardiff &amp; Vale University Health Board.</w:t>
      </w:r>
    </w:p>
    <w:p w14:paraId="5C2DF48A" w14:textId="77777777" w:rsidR="001D73FB" w:rsidRPr="00101A21" w:rsidRDefault="001D73FB" w:rsidP="001D73FB">
      <w:pPr>
        <w:shd w:val="clear" w:color="auto" w:fill="32598A"/>
        <w:rPr>
          <w:color w:val="0066CC"/>
        </w:rPr>
      </w:pPr>
    </w:p>
    <w:p w14:paraId="538FA88B" w14:textId="023497C3" w:rsidR="00400A84" w:rsidRDefault="001D73FB" w:rsidP="00127E65">
      <w:pPr>
        <w:spacing w:after="0" w:line="240" w:lineRule="auto"/>
        <w:jc w:val="both"/>
        <w:rPr>
          <w:rFonts w:ascii="Tahoma" w:hAnsi="Tahoma" w:cs="Tahoma"/>
          <w:b/>
          <w:bCs/>
          <w:sz w:val="24"/>
          <w:szCs w:val="24"/>
        </w:rPr>
      </w:pPr>
      <w:r>
        <w:rPr>
          <w:rFonts w:ascii="Tahoma" w:hAnsi="Tahoma" w:cs="Tahoma"/>
          <w:b/>
          <w:bCs/>
          <w:sz w:val="24"/>
          <w:szCs w:val="24"/>
        </w:rPr>
        <w:t>Introduction:</w:t>
      </w:r>
    </w:p>
    <w:p w14:paraId="1BAE4231" w14:textId="09D4ED3F" w:rsidR="007E44AF" w:rsidRPr="007E44AF" w:rsidRDefault="007E44AF" w:rsidP="00127E65">
      <w:pPr>
        <w:spacing w:line="240" w:lineRule="auto"/>
        <w:jc w:val="both"/>
        <w:rPr>
          <w:rFonts w:ascii="Tahoma" w:hAnsi="Tahoma" w:cs="Tahoma"/>
          <w:bCs/>
          <w:sz w:val="2"/>
          <w:szCs w:val="24"/>
        </w:rPr>
      </w:pPr>
      <w:r w:rsidRPr="00F9757F">
        <w:rPr>
          <w:rFonts w:ascii="Tahoma" w:hAnsi="Tahoma" w:cs="Tahoma"/>
          <w:sz w:val="24"/>
          <w:szCs w:val="24"/>
        </w:rPr>
        <w:t>Heart failure (HF) is a complex condition characterised by the heart’s inability to pump sufficient blood to meet the body’s metabolic demands, leading to frequent hospitalisations, increased mortality, and diminished quality of life (QoL). Despite recommendations from national guidelines, cardiac rehabilitation (CR) continues to be underutilised for patients with HF. In response to the NCEPOD (2018) report and population needs, CTM UHB identified HF as a priority area. With temporary funding from the VBHC team, a pilot Heart Failure Cardiac Rehabilitation (HFCR) programme was launched for patients with reduced ejection fraction (</w:t>
      </w:r>
      <w:proofErr w:type="spellStart"/>
      <w:r w:rsidRPr="00F9757F">
        <w:rPr>
          <w:rFonts w:ascii="Tahoma" w:hAnsi="Tahoma" w:cs="Tahoma"/>
          <w:sz w:val="24"/>
          <w:szCs w:val="24"/>
        </w:rPr>
        <w:t>HFrEF</w:t>
      </w:r>
      <w:proofErr w:type="spellEnd"/>
      <w:r w:rsidRPr="00F9757F">
        <w:rPr>
          <w:rFonts w:ascii="Tahoma" w:hAnsi="Tahoma" w:cs="Tahoma"/>
          <w:sz w:val="24"/>
          <w:szCs w:val="24"/>
        </w:rPr>
        <w:t>)</w:t>
      </w:r>
      <w:r>
        <w:rPr>
          <w:rFonts w:ascii="Tahoma" w:hAnsi="Tahoma" w:cs="Tahoma"/>
          <w:sz w:val="24"/>
          <w:szCs w:val="24"/>
        </w:rPr>
        <w:t>.</w:t>
      </w:r>
    </w:p>
    <w:p w14:paraId="7348F163" w14:textId="21C65EDE" w:rsidR="001D73FB" w:rsidRDefault="001D73FB" w:rsidP="00127E65">
      <w:pPr>
        <w:spacing w:after="0" w:line="240" w:lineRule="auto"/>
        <w:jc w:val="both"/>
        <w:rPr>
          <w:rFonts w:ascii="Tahoma" w:hAnsi="Tahoma" w:cs="Tahoma"/>
          <w:b/>
          <w:bCs/>
          <w:sz w:val="24"/>
          <w:szCs w:val="24"/>
        </w:rPr>
      </w:pPr>
      <w:r>
        <w:rPr>
          <w:rFonts w:ascii="Tahoma" w:hAnsi="Tahoma" w:cs="Tahoma"/>
          <w:b/>
          <w:bCs/>
          <w:sz w:val="24"/>
          <w:szCs w:val="24"/>
        </w:rPr>
        <w:t>Aim:</w:t>
      </w:r>
    </w:p>
    <w:p w14:paraId="6CD94852" w14:textId="77777777" w:rsidR="007E44AF" w:rsidRPr="00F9757F" w:rsidRDefault="007E44AF" w:rsidP="00127E65">
      <w:pPr>
        <w:spacing w:line="240" w:lineRule="auto"/>
        <w:jc w:val="both"/>
        <w:rPr>
          <w:rFonts w:ascii="Tahoma" w:hAnsi="Tahoma" w:cs="Tahoma"/>
          <w:noProof/>
          <w:sz w:val="24"/>
          <w:szCs w:val="24"/>
        </w:rPr>
      </w:pPr>
      <w:r w:rsidRPr="00F9757F">
        <w:rPr>
          <w:rFonts w:ascii="Tahoma" w:hAnsi="Tahoma" w:cs="Tahoma"/>
          <w:noProof/>
          <w:sz w:val="24"/>
          <w:szCs w:val="24"/>
        </w:rPr>
        <w:t>To evaluate the aims, outcomes, feasibility, and clinical effectiveness of the HFCR pilot programme and assess its potential as a sustainable model for expansion across CTMUHB.</w:t>
      </w:r>
    </w:p>
    <w:p w14:paraId="4F0C03D1" w14:textId="104C5553" w:rsidR="001D73FB" w:rsidRDefault="001D73FB" w:rsidP="00127E65">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2C5E2C65" w:rsidR="00312351" w:rsidRDefault="007E44AF" w:rsidP="00127E65">
      <w:pPr>
        <w:spacing w:after="0" w:line="240" w:lineRule="auto"/>
        <w:jc w:val="both"/>
        <w:rPr>
          <w:rFonts w:ascii="Tahoma" w:hAnsi="Tahoma" w:cs="Tahoma"/>
          <w:sz w:val="24"/>
          <w:szCs w:val="24"/>
        </w:rPr>
      </w:pPr>
      <w:r w:rsidRPr="000C7184">
        <w:rPr>
          <w:rFonts w:ascii="Tahoma" w:hAnsi="Tahoma" w:cs="Tahoma"/>
          <w:sz w:val="24"/>
          <w:szCs w:val="24"/>
        </w:rPr>
        <w:t>A mixed methods approach was used to evaluate the outcomes of the HFCR pilot. Patient-reported outcome measures (PROMs), including the Hospital Anxiety and Depression Scale (HADS) and Dartmouth Cooperative Q</w:t>
      </w:r>
      <w:r>
        <w:rPr>
          <w:rFonts w:ascii="Tahoma" w:hAnsi="Tahoma" w:cs="Tahoma"/>
          <w:sz w:val="24"/>
          <w:szCs w:val="24"/>
        </w:rPr>
        <w:t>oL</w:t>
      </w:r>
      <w:r w:rsidRPr="000C7184">
        <w:rPr>
          <w:rFonts w:ascii="Tahoma" w:hAnsi="Tahoma" w:cs="Tahoma"/>
          <w:sz w:val="24"/>
          <w:szCs w:val="24"/>
        </w:rPr>
        <w:t xml:space="preserve"> Index, assessed QoL, anxiety, and depression. Clinician-reported outcome measures (CROMs) included the 6-Minute Walk Test (6MWT), Incremental Shuttle Walk Test (ISWT), grip strength, </w:t>
      </w:r>
      <w:proofErr w:type="spellStart"/>
      <w:r w:rsidRPr="000C7184">
        <w:rPr>
          <w:rFonts w:ascii="Tahoma" w:hAnsi="Tahoma" w:cs="Tahoma"/>
          <w:sz w:val="24"/>
          <w:szCs w:val="24"/>
        </w:rPr>
        <w:t>AusTOMs</w:t>
      </w:r>
      <w:proofErr w:type="spellEnd"/>
      <w:r w:rsidRPr="000C7184">
        <w:rPr>
          <w:rFonts w:ascii="Tahoma" w:hAnsi="Tahoma" w:cs="Tahoma"/>
          <w:sz w:val="24"/>
          <w:szCs w:val="24"/>
        </w:rPr>
        <w:t xml:space="preserve">, and ejection fraction (EF%). Patient-reported experience measures (PREMs) were gathered through questionnaires. Additional qualitative insights were obtained from </w:t>
      </w:r>
      <w:r>
        <w:rPr>
          <w:rFonts w:ascii="Tahoma" w:hAnsi="Tahoma" w:cs="Tahoma"/>
          <w:sz w:val="24"/>
          <w:szCs w:val="24"/>
        </w:rPr>
        <w:t>5</w:t>
      </w:r>
      <w:r w:rsidRPr="000C7184">
        <w:rPr>
          <w:rFonts w:ascii="Tahoma" w:hAnsi="Tahoma" w:cs="Tahoma"/>
          <w:sz w:val="24"/>
          <w:szCs w:val="24"/>
        </w:rPr>
        <w:t xml:space="preserve"> focus groups and </w:t>
      </w:r>
      <w:r>
        <w:rPr>
          <w:rFonts w:ascii="Tahoma" w:hAnsi="Tahoma" w:cs="Tahoma"/>
          <w:sz w:val="24"/>
          <w:szCs w:val="24"/>
        </w:rPr>
        <w:t>3</w:t>
      </w:r>
      <w:r w:rsidRPr="000C7184">
        <w:rPr>
          <w:rFonts w:ascii="Tahoma" w:hAnsi="Tahoma" w:cs="Tahoma"/>
          <w:sz w:val="24"/>
          <w:szCs w:val="24"/>
        </w:rPr>
        <w:t xml:space="preserve"> patient stories</w:t>
      </w:r>
      <w:r>
        <w:rPr>
          <w:rFonts w:ascii="Tahoma" w:hAnsi="Tahoma" w:cs="Tahoma"/>
          <w:sz w:val="24"/>
          <w:szCs w:val="24"/>
        </w:rPr>
        <w:t>,</w:t>
      </w:r>
      <w:r w:rsidRPr="000C7184">
        <w:rPr>
          <w:rFonts w:ascii="Tahoma" w:hAnsi="Tahoma" w:cs="Tahoma"/>
          <w:sz w:val="24"/>
          <w:szCs w:val="24"/>
        </w:rPr>
        <w:t xml:space="preserve"> analysed using thematic ana</w:t>
      </w:r>
      <w:r>
        <w:rPr>
          <w:rFonts w:ascii="Tahoma" w:hAnsi="Tahoma" w:cs="Tahoma"/>
          <w:sz w:val="24"/>
          <w:szCs w:val="24"/>
        </w:rPr>
        <w:t>lysis (TA).</w:t>
      </w:r>
    </w:p>
    <w:p w14:paraId="420EEFDC" w14:textId="77777777" w:rsidR="007E44AF" w:rsidRPr="00A01A54" w:rsidRDefault="007E44AF" w:rsidP="00127E65">
      <w:pPr>
        <w:spacing w:after="0" w:line="240" w:lineRule="auto"/>
        <w:jc w:val="both"/>
        <w:rPr>
          <w:rFonts w:ascii="Tahoma" w:hAnsi="Tahoma" w:cs="Tahoma"/>
          <w:sz w:val="16"/>
          <w:szCs w:val="16"/>
        </w:rPr>
      </w:pPr>
    </w:p>
    <w:p w14:paraId="335C0979" w14:textId="6FFA4D43" w:rsidR="001D73FB" w:rsidRDefault="001D73FB" w:rsidP="00127E65">
      <w:pPr>
        <w:spacing w:after="0" w:line="240" w:lineRule="auto"/>
        <w:jc w:val="both"/>
        <w:rPr>
          <w:rFonts w:ascii="Tahoma" w:hAnsi="Tahoma" w:cs="Tahoma"/>
          <w:b/>
          <w:bCs/>
          <w:sz w:val="24"/>
          <w:szCs w:val="24"/>
        </w:rPr>
      </w:pPr>
      <w:r>
        <w:rPr>
          <w:rFonts w:ascii="Tahoma" w:hAnsi="Tahoma" w:cs="Tahoma"/>
          <w:b/>
          <w:bCs/>
          <w:sz w:val="24"/>
          <w:szCs w:val="24"/>
        </w:rPr>
        <w:t>Results:</w:t>
      </w:r>
    </w:p>
    <w:p w14:paraId="7073033D" w14:textId="2DF81476" w:rsidR="007E44AF" w:rsidRDefault="007E44AF" w:rsidP="00127E65">
      <w:pPr>
        <w:spacing w:after="0" w:line="240" w:lineRule="auto"/>
        <w:jc w:val="both"/>
        <w:rPr>
          <w:rFonts w:ascii="Tahoma" w:hAnsi="Tahoma" w:cs="Tahoma"/>
          <w:noProof/>
          <w:sz w:val="24"/>
          <w:szCs w:val="24"/>
        </w:rPr>
      </w:pPr>
      <w:r w:rsidRPr="00195C1C">
        <w:rPr>
          <w:rFonts w:ascii="Tahoma" w:hAnsi="Tahoma" w:cs="Tahoma"/>
          <w:noProof/>
          <w:sz w:val="24"/>
          <w:szCs w:val="24"/>
        </w:rPr>
        <w:t>A total of 68 patients were recruited to the HFCR pilot, with an 85% completion rate. Improvements were observed in patients' functional capacity: 6MWT distance increased by 22%, ISWT by 23%, grip strength by 8%, and sit-to-stand time decreased by 23%. Psychosocial outcomes showed reductions in anxiety and depression (HADS) and improvements across all 9  Dartmouth COOP QoL index</w:t>
      </w:r>
      <w:r>
        <w:rPr>
          <w:rFonts w:ascii="Tahoma" w:hAnsi="Tahoma" w:cs="Tahoma"/>
          <w:noProof/>
          <w:sz w:val="24"/>
          <w:szCs w:val="24"/>
        </w:rPr>
        <w:t xml:space="preserve"> domains</w:t>
      </w:r>
      <w:r w:rsidRPr="00195C1C">
        <w:rPr>
          <w:rFonts w:ascii="Tahoma" w:hAnsi="Tahoma" w:cs="Tahoma"/>
          <w:noProof/>
          <w:sz w:val="24"/>
          <w:szCs w:val="24"/>
        </w:rPr>
        <w:t xml:space="preserve">. AusTOMs scores indicated enhanced well-being across all 5 domains post-HFCR. PREMs revealed a 94% satisfaction rate. Focus groups supported these findings, identifying </w:t>
      </w:r>
      <w:r>
        <w:rPr>
          <w:rFonts w:ascii="Tahoma" w:hAnsi="Tahoma" w:cs="Tahoma"/>
          <w:noProof/>
          <w:sz w:val="24"/>
          <w:szCs w:val="24"/>
        </w:rPr>
        <w:t>5</w:t>
      </w:r>
      <w:r w:rsidRPr="00195C1C">
        <w:rPr>
          <w:rFonts w:ascii="Tahoma" w:hAnsi="Tahoma" w:cs="Tahoma"/>
          <w:noProof/>
          <w:sz w:val="24"/>
          <w:szCs w:val="24"/>
        </w:rPr>
        <w:t xml:space="preserve"> key themes. Participants reported increased confidence, self-management, and physical function, appreciating social support and individualised care. Additionally, 87.5% showed improved EF% with no</w:t>
      </w:r>
      <w:r>
        <w:rPr>
          <w:rFonts w:ascii="Tahoma" w:hAnsi="Tahoma" w:cs="Tahoma"/>
          <w:noProof/>
          <w:sz w:val="24"/>
          <w:szCs w:val="24"/>
        </w:rPr>
        <w:t xml:space="preserve"> </w:t>
      </w:r>
      <w:r w:rsidRPr="00A15F53">
        <w:rPr>
          <w:rFonts w:ascii="Tahoma" w:hAnsi="Tahoma" w:cs="Tahoma"/>
          <w:noProof/>
          <w:sz w:val="24"/>
          <w:szCs w:val="24"/>
        </w:rPr>
        <w:t>hospital readmissions during the pilot</w:t>
      </w:r>
      <w:r>
        <w:rPr>
          <w:rFonts w:ascii="Tahoma" w:hAnsi="Tahoma" w:cs="Tahoma"/>
          <w:noProof/>
          <w:sz w:val="24"/>
          <w:szCs w:val="24"/>
        </w:rPr>
        <w:t>.</w:t>
      </w:r>
    </w:p>
    <w:p w14:paraId="34877E77" w14:textId="77777777" w:rsidR="007E44AF" w:rsidRPr="00A01A54" w:rsidRDefault="007E44AF" w:rsidP="00127E65">
      <w:pPr>
        <w:spacing w:after="0" w:line="240" w:lineRule="auto"/>
        <w:jc w:val="both"/>
        <w:rPr>
          <w:rFonts w:ascii="Tahoma" w:hAnsi="Tahoma" w:cs="Tahoma"/>
          <w:b/>
          <w:bCs/>
          <w:sz w:val="16"/>
          <w:szCs w:val="16"/>
        </w:rPr>
      </w:pPr>
    </w:p>
    <w:p w14:paraId="79D016C6" w14:textId="2135B422" w:rsidR="001D73FB" w:rsidRDefault="001D73FB" w:rsidP="00127E65">
      <w:pPr>
        <w:spacing w:after="0" w:line="240" w:lineRule="auto"/>
        <w:jc w:val="both"/>
        <w:rPr>
          <w:rFonts w:ascii="Tahoma" w:hAnsi="Tahoma" w:cs="Tahoma"/>
          <w:b/>
          <w:bCs/>
          <w:sz w:val="24"/>
          <w:szCs w:val="24"/>
        </w:rPr>
      </w:pPr>
      <w:r>
        <w:rPr>
          <w:rFonts w:ascii="Tahoma" w:hAnsi="Tahoma" w:cs="Tahoma"/>
          <w:b/>
          <w:bCs/>
          <w:sz w:val="24"/>
          <w:szCs w:val="24"/>
        </w:rPr>
        <w:t>Conclusion:</w:t>
      </w:r>
    </w:p>
    <w:p w14:paraId="7C6DD8D4" w14:textId="77777777" w:rsidR="00127E65" w:rsidRDefault="007E44AF" w:rsidP="00127E65">
      <w:pPr>
        <w:spacing w:after="0" w:line="240" w:lineRule="auto"/>
        <w:jc w:val="both"/>
        <w:rPr>
          <w:rFonts w:ascii="Tahoma" w:hAnsi="Tahoma" w:cs="Tahoma"/>
          <w:noProof/>
          <w:sz w:val="24"/>
          <w:szCs w:val="24"/>
        </w:rPr>
      </w:pPr>
      <w:r w:rsidRPr="005E5935">
        <w:rPr>
          <w:rFonts w:ascii="Tahoma" w:hAnsi="Tahoma" w:cs="Tahoma"/>
          <w:noProof/>
          <w:sz w:val="24"/>
          <w:szCs w:val="24"/>
        </w:rPr>
        <w:t xml:space="preserve">The HFCR pilot programme demonstrated significant improvements in the psychological, physical, </w:t>
      </w:r>
    </w:p>
    <w:p w14:paraId="0F64E084" w14:textId="77777777" w:rsidR="00127E65" w:rsidRDefault="00127E65" w:rsidP="00127E65">
      <w:pPr>
        <w:spacing w:after="0" w:line="240" w:lineRule="auto"/>
        <w:jc w:val="both"/>
        <w:rPr>
          <w:rFonts w:ascii="Tahoma" w:hAnsi="Tahoma" w:cs="Tahoma"/>
          <w:noProof/>
          <w:sz w:val="24"/>
          <w:szCs w:val="24"/>
        </w:rPr>
      </w:pPr>
    </w:p>
    <w:p w14:paraId="30BD7DF3" w14:textId="1D2429D0" w:rsidR="007E44AF" w:rsidRDefault="007E44AF" w:rsidP="00127E65">
      <w:pPr>
        <w:spacing w:after="0" w:line="240" w:lineRule="auto"/>
        <w:jc w:val="both"/>
        <w:rPr>
          <w:rFonts w:ascii="Tahoma" w:hAnsi="Tahoma" w:cs="Tahoma"/>
          <w:b/>
          <w:bCs/>
          <w:sz w:val="24"/>
          <w:szCs w:val="24"/>
        </w:rPr>
      </w:pPr>
      <w:r w:rsidRPr="005E5935">
        <w:rPr>
          <w:rFonts w:ascii="Tahoma" w:hAnsi="Tahoma" w:cs="Tahoma"/>
          <w:noProof/>
          <w:sz w:val="24"/>
          <w:szCs w:val="24"/>
        </w:rPr>
        <w:lastRenderedPageBreak/>
        <w:t>and social well-being of patients with HF. High satisfaction rates and positive patient feedback highlight the value of the programme’s holistic approach. By promoting self-management, fostering support, reducing anxiety and depression, and enhancing physical fitness, the HFCR programme has proven to be a crucial intervention for this high-risk population. These findings underscore the need for continued funding and broader implementation to address the growing burden of HF within CTMUHB. With ongoing development and expansion, the HFCR model has the potential to enhance access and outcomes for patients across the health board.</w:t>
      </w:r>
    </w:p>
    <w:sectPr w:rsidR="007E44AF"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127E65"/>
    <w:rsid w:val="001300DE"/>
    <w:rsid w:val="00194A45"/>
    <w:rsid w:val="001D73FB"/>
    <w:rsid w:val="00312351"/>
    <w:rsid w:val="003378B3"/>
    <w:rsid w:val="00400A84"/>
    <w:rsid w:val="0073698D"/>
    <w:rsid w:val="007E44AF"/>
    <w:rsid w:val="0084790E"/>
    <w:rsid w:val="00957516"/>
    <w:rsid w:val="00A01A54"/>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520</Words>
  <Characters>2967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2024-11-11T08:19:00Z</dcterms:created>
  <dcterms:modified xsi:type="dcterms:W3CDTF">2024-11-19T15:40:00Z</dcterms:modified>
</cp:coreProperties>
</file>