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4D714FC2" w14:textId="67FFC970" w:rsidR="00FD03CE" w:rsidRPr="00A13C28" w:rsidRDefault="00FD03CE" w:rsidP="00E07712">
      <w:pPr>
        <w:jc w:val="left"/>
        <w:rPr>
          <w:b/>
          <w:bCs/>
          <w:caps/>
          <w:color w:val="B9975B"/>
          <w:sz w:val="72"/>
          <w:szCs w:val="72"/>
        </w:rPr>
      </w:pPr>
      <w:r w:rsidRPr="00A13C28">
        <w:rPr>
          <w:b/>
          <w:bCs/>
          <w:caps/>
          <w:color w:val="B9975B"/>
          <w:sz w:val="72"/>
          <w:szCs w:val="72"/>
        </w:rPr>
        <w:t>three year</w:t>
      </w:r>
    </w:p>
    <w:p w14:paraId="0F0D9AAC" w14:textId="77777777" w:rsidR="00FD03CE" w:rsidRPr="00A13C28" w:rsidRDefault="00FD03CE" w:rsidP="00FD03CE">
      <w:pPr>
        <w:jc w:val="left"/>
        <w:rPr>
          <w:b/>
          <w:bCs/>
          <w:caps/>
          <w:color w:val="002060"/>
          <w:sz w:val="56"/>
          <w:szCs w:val="56"/>
        </w:rPr>
      </w:pPr>
      <w:r w:rsidRPr="00A13C28">
        <w:rPr>
          <w:b/>
          <w:bCs/>
          <w:caps/>
          <w:color w:val="002060"/>
          <w:sz w:val="56"/>
          <w:szCs w:val="56"/>
        </w:rPr>
        <w:t>integrated medium term plan</w:t>
      </w:r>
    </w:p>
    <w:p w14:paraId="3C20C849" w14:textId="3185C27B" w:rsidR="002B7AFA" w:rsidRPr="00A13C28" w:rsidRDefault="0047674D">
      <w:pPr>
        <w:jc w:val="left"/>
        <w:rPr>
          <w:bCs/>
          <w:sz w:val="56"/>
          <w:szCs w:val="56"/>
        </w:rPr>
      </w:pPr>
      <w:r>
        <w:rPr>
          <w:bCs/>
          <w:caps/>
          <w:color w:val="B9975B"/>
          <w:sz w:val="56"/>
          <w:szCs w:val="56"/>
        </w:rPr>
        <w:t>2020</w:t>
      </w:r>
      <w:r w:rsidR="00FD03CE" w:rsidRPr="00A13C28">
        <w:rPr>
          <w:bCs/>
          <w:caps/>
          <w:color w:val="B9975B"/>
          <w:sz w:val="56"/>
          <w:szCs w:val="56"/>
        </w:rPr>
        <w:t xml:space="preserve"> – 202</w:t>
      </w:r>
      <w:r>
        <w:rPr>
          <w:bCs/>
          <w:caps/>
          <w:color w:val="B9975B"/>
          <w:sz w:val="56"/>
          <w:szCs w:val="56"/>
        </w:rPr>
        <w:t>3</w:t>
      </w:r>
      <w:r w:rsidR="002B7AFA" w:rsidRPr="00E574A1">
        <w:rPr>
          <w:bCs/>
          <w:caps/>
          <w:sz w:val="56"/>
          <w:szCs w:val="56"/>
        </w:rPr>
        <w:t xml:space="preserve"> </w:t>
      </w:r>
      <w:r w:rsidR="007071C7">
        <w:rPr>
          <w:bCs/>
          <w:color w:val="002060"/>
          <w:sz w:val="28"/>
          <w:szCs w:val="28"/>
        </w:rPr>
        <w:t>MARCH</w:t>
      </w:r>
      <w:r w:rsidR="00032CA4">
        <w:rPr>
          <w:bCs/>
          <w:color w:val="002060"/>
          <w:sz w:val="28"/>
          <w:szCs w:val="28"/>
        </w:rPr>
        <w:t xml:space="preserve"> 2020</w:t>
      </w:r>
    </w:p>
    <w:p w14:paraId="31DFD64B" w14:textId="77777777" w:rsidR="003A3DF2" w:rsidRPr="00F06323" w:rsidRDefault="003A3DF2">
      <w:pPr>
        <w:jc w:val="left"/>
        <w:rPr>
          <w:b/>
          <w:bCs/>
          <w:caps/>
          <w:sz w:val="28"/>
          <w:szCs w:val="28"/>
          <w:u w:val="single"/>
        </w:rPr>
      </w:pPr>
    </w:p>
    <w:p w14:paraId="228109A2" w14:textId="77777777" w:rsidR="003A3DF2" w:rsidRPr="00F06323" w:rsidRDefault="003A3DF2">
      <w:pPr>
        <w:jc w:val="left"/>
        <w:rPr>
          <w:b/>
          <w:bCs/>
          <w:caps/>
          <w:sz w:val="28"/>
          <w:szCs w:val="28"/>
          <w:u w:val="single"/>
        </w:rPr>
      </w:pPr>
    </w:p>
    <w:p w14:paraId="4435D418" w14:textId="045AC97B" w:rsidR="00490335" w:rsidRPr="0014558C" w:rsidRDefault="0047674D" w:rsidP="008931D6">
      <w:pPr>
        <w:jc w:val="center"/>
        <w:rPr>
          <w:bCs/>
          <w:caps/>
          <w:sz w:val="28"/>
          <w:szCs w:val="28"/>
          <w:u w:val="single"/>
        </w:rPr>
      </w:pPr>
      <w:r>
        <w:rPr>
          <w:rFonts w:asciiTheme="minorHAnsi" w:hAnsiTheme="minorHAnsi"/>
          <w:noProof/>
          <w:sz w:val="16"/>
          <w:szCs w:val="16"/>
        </w:rPr>
        <w:drawing>
          <wp:inline distT="0" distB="0" distL="0" distR="0" wp14:anchorId="29F01E8B" wp14:editId="6AED17A6">
            <wp:extent cx="6336030" cy="6336030"/>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nfo9 no circle-01.png"/>
                    <pic:cNvPicPr/>
                  </pic:nvPicPr>
                  <pic:blipFill>
                    <a:blip r:embed="rId8">
                      <a:extLst>
                        <a:ext uri="{28A0092B-C50C-407E-A947-70E740481C1C}">
                          <a14:useLocalDpi xmlns:a14="http://schemas.microsoft.com/office/drawing/2010/main" val="0"/>
                        </a:ext>
                      </a:extLst>
                    </a:blip>
                    <a:stretch>
                      <a:fillRect/>
                    </a:stretch>
                  </pic:blipFill>
                  <pic:spPr>
                    <a:xfrm>
                      <a:off x="0" y="0"/>
                      <a:ext cx="6336030" cy="6336030"/>
                    </a:xfrm>
                    <a:prstGeom prst="rect">
                      <a:avLst/>
                    </a:prstGeom>
                  </pic:spPr>
                </pic:pic>
              </a:graphicData>
            </a:graphic>
          </wp:inline>
        </w:drawing>
      </w:r>
    </w:p>
    <w:p w14:paraId="17FF61E2" w14:textId="77777777" w:rsidR="00077186" w:rsidRDefault="00077186">
      <w:pPr>
        <w:jc w:val="left"/>
        <w:rPr>
          <w:b/>
        </w:rPr>
      </w:pPr>
    </w:p>
    <w:p w14:paraId="16977837" w14:textId="77777777" w:rsidR="00ED3450" w:rsidRPr="0014558C" w:rsidRDefault="00ED3450">
      <w:pPr>
        <w:jc w:val="left"/>
        <w:rPr>
          <w:b/>
        </w:rPr>
      </w:pPr>
    </w:p>
    <w:tbl>
      <w:tblPr>
        <w:tblStyle w:val="TableGrid"/>
        <w:tblW w:w="6946" w:type="dxa"/>
        <w:tblInd w:w="23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1"/>
        <w:gridCol w:w="860"/>
        <w:gridCol w:w="740"/>
        <w:gridCol w:w="885"/>
      </w:tblGrid>
      <w:tr w:rsidR="0014558C" w:rsidRPr="0014558C" w14:paraId="659CFB2C" w14:textId="77777777" w:rsidTr="00077186">
        <w:tc>
          <w:tcPr>
            <w:tcW w:w="4461" w:type="dxa"/>
            <w:vAlign w:val="center"/>
          </w:tcPr>
          <w:p w14:paraId="3B5AC9A2" w14:textId="7F9C9549" w:rsidR="008931D6" w:rsidRPr="0014558C" w:rsidRDefault="008931D6" w:rsidP="00077186">
            <w:pPr>
              <w:jc w:val="center"/>
              <w:rPr>
                <w:b/>
              </w:rPr>
            </w:pPr>
          </w:p>
        </w:tc>
        <w:tc>
          <w:tcPr>
            <w:tcW w:w="860" w:type="dxa"/>
            <w:vAlign w:val="center"/>
          </w:tcPr>
          <w:p w14:paraId="24F61DFA" w14:textId="77777777" w:rsidR="008931D6" w:rsidRPr="0014558C" w:rsidRDefault="008931D6" w:rsidP="008931D6">
            <w:pPr>
              <w:jc w:val="center"/>
              <w:rPr>
                <w:b/>
              </w:rPr>
            </w:pPr>
            <w:r w:rsidRPr="0014558C">
              <w:rPr>
                <w:b/>
                <w:noProof/>
              </w:rPr>
              <w:drawing>
                <wp:inline distT="0" distB="0" distL="0" distR="0" wp14:anchorId="73D801AE" wp14:editId="40C554B1">
                  <wp:extent cx="382772" cy="382772"/>
                  <wp:effectExtent l="0" t="0" r="0" b="0"/>
                  <wp:docPr id="10" name="Picture 10" descr="C:\Users\sh119619\AppData\Local\Microsoft\Windows\Temporary Internet Files\Content.Outlook\TCN7MEJ2\faceboo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h119619\AppData\Local\Microsoft\Windows\Temporary Internet Files\Content.Outlook\TCN7MEJ2\facebook.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8830" cy="388830"/>
                          </a:xfrm>
                          <a:prstGeom prst="rect">
                            <a:avLst/>
                          </a:prstGeom>
                          <a:noFill/>
                          <a:ln>
                            <a:noFill/>
                          </a:ln>
                        </pic:spPr>
                      </pic:pic>
                    </a:graphicData>
                  </a:graphic>
                </wp:inline>
              </w:drawing>
            </w:r>
          </w:p>
        </w:tc>
        <w:tc>
          <w:tcPr>
            <w:tcW w:w="740" w:type="dxa"/>
            <w:vAlign w:val="center"/>
          </w:tcPr>
          <w:p w14:paraId="10E8B64C" w14:textId="77777777" w:rsidR="008931D6" w:rsidRPr="0014558C" w:rsidRDefault="008931D6" w:rsidP="008931D6">
            <w:pPr>
              <w:jc w:val="center"/>
              <w:rPr>
                <w:b/>
              </w:rPr>
            </w:pPr>
            <w:r w:rsidRPr="0014558C">
              <w:rPr>
                <w:b/>
                <w:noProof/>
              </w:rPr>
              <w:drawing>
                <wp:inline distT="0" distB="0" distL="0" distR="0" wp14:anchorId="6D4ED41A" wp14:editId="042BE66E">
                  <wp:extent cx="308344" cy="308344"/>
                  <wp:effectExtent l="0" t="0" r="0" b="0"/>
                  <wp:docPr id="11" name="Picture 11" descr="C:\Users\sh119619\AppData\Local\Microsoft\Windows\Temporary Internet Files\Content.Outlook\TCN7MEJ2\twi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h119619\AppData\Local\Microsoft\Windows\Temporary Internet Files\Content.Outlook\TCN7MEJ2\twitter.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4809" cy="314809"/>
                          </a:xfrm>
                          <a:prstGeom prst="rect">
                            <a:avLst/>
                          </a:prstGeom>
                          <a:noFill/>
                          <a:ln>
                            <a:noFill/>
                          </a:ln>
                        </pic:spPr>
                      </pic:pic>
                    </a:graphicData>
                  </a:graphic>
                </wp:inline>
              </w:drawing>
            </w:r>
          </w:p>
        </w:tc>
        <w:tc>
          <w:tcPr>
            <w:tcW w:w="885" w:type="dxa"/>
            <w:vAlign w:val="center"/>
          </w:tcPr>
          <w:p w14:paraId="4AA6371C" w14:textId="77777777" w:rsidR="008931D6" w:rsidRPr="0014558C" w:rsidRDefault="008931D6" w:rsidP="008931D6">
            <w:pPr>
              <w:jc w:val="center"/>
              <w:rPr>
                <w:b/>
              </w:rPr>
            </w:pPr>
            <w:r w:rsidRPr="0014558C">
              <w:rPr>
                <w:b/>
                <w:noProof/>
              </w:rPr>
              <w:drawing>
                <wp:inline distT="0" distB="0" distL="0" distR="0" wp14:anchorId="2333BC8A" wp14:editId="12D4C4EA">
                  <wp:extent cx="403713" cy="403713"/>
                  <wp:effectExtent l="0" t="0" r="0" b="0"/>
                  <wp:docPr id="12" name="Picture 12" descr="C:\Users\sh119619\AppData\Local\Microsoft\Windows\Temporary Internet Files\Content.Outlook\TCN7MEJ2\youtub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h119619\AppData\Local\Microsoft\Windows\Temporary Internet Files\Content.Outlook\TCN7MEJ2\youtube.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flipV="1">
                            <a:off x="0" y="0"/>
                            <a:ext cx="410676" cy="410676"/>
                          </a:xfrm>
                          <a:prstGeom prst="rect">
                            <a:avLst/>
                          </a:prstGeom>
                          <a:noFill/>
                          <a:ln>
                            <a:noFill/>
                          </a:ln>
                        </pic:spPr>
                      </pic:pic>
                    </a:graphicData>
                  </a:graphic>
                </wp:inline>
              </w:drawing>
            </w:r>
          </w:p>
        </w:tc>
      </w:tr>
    </w:tbl>
    <w:p w14:paraId="52C68BC4" w14:textId="77777777" w:rsidR="005419AD" w:rsidRDefault="005419AD" w:rsidP="005419AD">
      <w:pPr>
        <w:sectPr w:rsidR="005419AD" w:rsidSect="00611BEB">
          <w:headerReference w:type="default" r:id="rId12"/>
          <w:footerReference w:type="default" r:id="rId13"/>
          <w:pgSz w:w="11906" w:h="16838"/>
          <w:pgMar w:top="964" w:right="964" w:bottom="964" w:left="964" w:header="709" w:footer="709" w:gutter="0"/>
          <w:pgBorders w:display="firstPage" w:offsetFrom="page">
            <w:top w:val="thinThickThinSmallGap" w:sz="24" w:space="24" w:color="002060"/>
            <w:left w:val="thinThickThinSmallGap" w:sz="24" w:space="24" w:color="002060"/>
            <w:bottom w:val="thinThickThinSmallGap" w:sz="24" w:space="24" w:color="002060"/>
            <w:right w:val="thinThickThinSmallGap" w:sz="24" w:space="24" w:color="002060"/>
          </w:pgBorders>
          <w:cols w:space="708"/>
          <w:titlePg/>
          <w:docGrid w:linePitch="360"/>
        </w:sectPr>
      </w:pPr>
    </w:p>
    <w:p w14:paraId="1AAEB375" w14:textId="6A3E6E66" w:rsidR="005419AD" w:rsidRPr="0001375D" w:rsidRDefault="005419AD" w:rsidP="00003466">
      <w:pPr>
        <w:pStyle w:val="Header"/>
        <w:jc w:val="center"/>
      </w:pPr>
      <w:bookmarkStart w:id="0" w:name="_Toc532074494"/>
      <w:bookmarkStart w:id="1" w:name="_Toc532299659"/>
      <w:r w:rsidRPr="0001375D">
        <w:lastRenderedPageBreak/>
        <w:t xml:space="preserve">Message from the Chair and </w:t>
      </w:r>
      <w:r w:rsidR="00003466">
        <w:t xml:space="preserve">INTERIM </w:t>
      </w:r>
      <w:r w:rsidRPr="0001375D">
        <w:t>Chief Executive</w:t>
      </w:r>
      <w:bookmarkEnd w:id="0"/>
      <w:bookmarkEnd w:id="1"/>
      <w:r w:rsidRPr="0001375D">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7"/>
        <w:gridCol w:w="4479"/>
      </w:tblGrid>
      <w:tr w:rsidR="00E023DB" w:rsidRPr="0001375D" w14:paraId="04A78B8F" w14:textId="77777777" w:rsidTr="00BA2BC4">
        <w:trPr>
          <w:jc w:val="center"/>
        </w:trPr>
        <w:tc>
          <w:tcPr>
            <w:tcW w:w="4547" w:type="dxa"/>
          </w:tcPr>
          <w:p w14:paraId="7720FE91" w14:textId="176F695F" w:rsidR="00E023DB" w:rsidRPr="0001375D" w:rsidRDefault="009C725B" w:rsidP="009C725B">
            <w:pPr>
              <w:autoSpaceDE w:val="0"/>
              <w:autoSpaceDN w:val="0"/>
              <w:adjustRightInd w:val="0"/>
              <w:jc w:val="center"/>
              <w:rPr>
                <w:rFonts w:cs="Calibri"/>
              </w:rPr>
            </w:pPr>
            <w:r w:rsidRPr="00C46CE7">
              <w:rPr>
                <w:noProof/>
              </w:rPr>
              <w:drawing>
                <wp:inline distT="0" distB="0" distL="0" distR="0" wp14:anchorId="63980A9C" wp14:editId="5ADBE49A">
                  <wp:extent cx="2105025" cy="2136614"/>
                  <wp:effectExtent l="133350" t="76200" r="85725" b="130810"/>
                  <wp:docPr id="39" name="Picture 39" descr="C:\Users\sh119619\AppData\Local\Microsoft\Windows\Temporary Internet Files\Content.Outlook\7VX8Q50X\Chairman Prof Longle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119619\AppData\Local\Microsoft\Windows\Temporary Internet Files\Content.Outlook\7VX8Q50X\Chairman Prof Longley.jpg"/>
                          <pic:cNvPicPr>
                            <a:picLocks noChangeAspect="1" noChangeArrowheads="1"/>
                          </pic:cNvPicPr>
                        </pic:nvPicPr>
                        <pic:blipFill rotWithShape="1">
                          <a:blip r:embed="rId14">
                            <a:extLst>
                              <a:ext uri="{28A0092B-C50C-407E-A947-70E740481C1C}">
                                <a14:useLocalDpi xmlns:a14="http://schemas.microsoft.com/office/drawing/2010/main" val="0"/>
                              </a:ext>
                            </a:extLst>
                          </a:blip>
                          <a:srcRect/>
                          <a:stretch/>
                        </pic:blipFill>
                        <pic:spPr bwMode="auto">
                          <a:xfrm>
                            <a:off x="0" y="0"/>
                            <a:ext cx="2107418" cy="2139043"/>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p>
        </w:tc>
        <w:tc>
          <w:tcPr>
            <w:tcW w:w="4479" w:type="dxa"/>
            <w:vAlign w:val="center"/>
          </w:tcPr>
          <w:p w14:paraId="47D2FFAE" w14:textId="51D8DD68" w:rsidR="00E023DB" w:rsidRPr="0001375D" w:rsidRDefault="009C725B" w:rsidP="002C0EC9">
            <w:pPr>
              <w:autoSpaceDE w:val="0"/>
              <w:autoSpaceDN w:val="0"/>
              <w:adjustRightInd w:val="0"/>
              <w:jc w:val="center"/>
              <w:rPr>
                <w:rFonts w:cs="Calibri"/>
              </w:rPr>
            </w:pPr>
            <w:r>
              <w:rPr>
                <w:rFonts w:cs="Calibri"/>
                <w:noProof/>
              </w:rPr>
              <w:drawing>
                <wp:inline distT="0" distB="0" distL="0" distR="0" wp14:anchorId="07B2B82D" wp14:editId="6E503E35">
                  <wp:extent cx="1514475" cy="2274278"/>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NC051593_Sharon Hopkins.JPG"/>
                          <pic:cNvPicPr/>
                        </pic:nvPicPr>
                        <pic:blipFill>
                          <a:blip r:embed="rId15">
                            <a:extLst>
                              <a:ext uri="{28A0092B-C50C-407E-A947-70E740481C1C}">
                                <a14:useLocalDpi xmlns:a14="http://schemas.microsoft.com/office/drawing/2010/main" val="0"/>
                              </a:ext>
                            </a:extLst>
                          </a:blip>
                          <a:stretch>
                            <a:fillRect/>
                          </a:stretch>
                        </pic:blipFill>
                        <pic:spPr>
                          <a:xfrm>
                            <a:off x="0" y="0"/>
                            <a:ext cx="1522354" cy="2286110"/>
                          </a:xfrm>
                          <a:prstGeom prst="roundRect">
                            <a:avLst/>
                          </a:prstGeom>
                        </pic:spPr>
                      </pic:pic>
                    </a:graphicData>
                  </a:graphic>
                </wp:inline>
              </w:drawing>
            </w:r>
          </w:p>
        </w:tc>
      </w:tr>
      <w:tr w:rsidR="00E023DB" w:rsidRPr="0001375D" w14:paraId="66D167B0" w14:textId="77777777" w:rsidTr="00BA2BC4">
        <w:trPr>
          <w:jc w:val="center"/>
        </w:trPr>
        <w:tc>
          <w:tcPr>
            <w:tcW w:w="4547" w:type="dxa"/>
          </w:tcPr>
          <w:p w14:paraId="2AA19C28" w14:textId="5AA06E2A" w:rsidR="00E023DB" w:rsidRPr="0001375D" w:rsidRDefault="009C725B" w:rsidP="009C725B">
            <w:pPr>
              <w:autoSpaceDE w:val="0"/>
              <w:autoSpaceDN w:val="0"/>
              <w:adjustRightInd w:val="0"/>
              <w:jc w:val="center"/>
              <w:rPr>
                <w:rFonts w:cs="Calibri"/>
              </w:rPr>
            </w:pPr>
            <w:r w:rsidRPr="0001375D">
              <w:rPr>
                <w:b/>
              </w:rPr>
              <w:t xml:space="preserve">Professor Marcus Longley </w:t>
            </w:r>
          </w:p>
        </w:tc>
        <w:tc>
          <w:tcPr>
            <w:tcW w:w="4479" w:type="dxa"/>
          </w:tcPr>
          <w:p w14:paraId="14F06EA5" w14:textId="57AF1B05" w:rsidR="00E023DB" w:rsidRPr="0001375D" w:rsidRDefault="009C725B" w:rsidP="002C0EC9">
            <w:pPr>
              <w:autoSpaceDE w:val="0"/>
              <w:autoSpaceDN w:val="0"/>
              <w:adjustRightInd w:val="0"/>
              <w:jc w:val="center"/>
              <w:rPr>
                <w:rFonts w:cs="Calibri"/>
              </w:rPr>
            </w:pPr>
            <w:r>
              <w:rPr>
                <w:b/>
              </w:rPr>
              <w:t>Sharon Hopkins</w:t>
            </w:r>
          </w:p>
        </w:tc>
      </w:tr>
      <w:tr w:rsidR="00E023DB" w:rsidRPr="0001375D" w14:paraId="1F1EA040" w14:textId="77777777" w:rsidTr="00BA2BC4">
        <w:trPr>
          <w:jc w:val="center"/>
        </w:trPr>
        <w:tc>
          <w:tcPr>
            <w:tcW w:w="4547" w:type="dxa"/>
          </w:tcPr>
          <w:p w14:paraId="0A83AA2D" w14:textId="3BB2DE9D" w:rsidR="00E023DB" w:rsidRPr="0001375D" w:rsidRDefault="009C725B" w:rsidP="002C0EC9">
            <w:pPr>
              <w:autoSpaceDE w:val="0"/>
              <w:autoSpaceDN w:val="0"/>
              <w:adjustRightInd w:val="0"/>
              <w:jc w:val="center"/>
              <w:rPr>
                <w:rFonts w:cs="Calibri"/>
              </w:rPr>
            </w:pPr>
            <w:r w:rsidRPr="0001375D">
              <w:rPr>
                <w:b/>
              </w:rPr>
              <w:t>Chair</w:t>
            </w:r>
          </w:p>
        </w:tc>
        <w:tc>
          <w:tcPr>
            <w:tcW w:w="4479" w:type="dxa"/>
          </w:tcPr>
          <w:p w14:paraId="78242EA6" w14:textId="531DB7AA" w:rsidR="00E023DB" w:rsidRPr="0001375D" w:rsidRDefault="009C725B" w:rsidP="002C0EC9">
            <w:pPr>
              <w:autoSpaceDE w:val="0"/>
              <w:autoSpaceDN w:val="0"/>
              <w:adjustRightInd w:val="0"/>
              <w:jc w:val="center"/>
              <w:rPr>
                <w:rFonts w:cs="Calibri"/>
              </w:rPr>
            </w:pPr>
            <w:r>
              <w:rPr>
                <w:b/>
              </w:rPr>
              <w:t xml:space="preserve">Interim </w:t>
            </w:r>
            <w:r w:rsidRPr="0001375D">
              <w:rPr>
                <w:b/>
              </w:rPr>
              <w:t>Chief Executive</w:t>
            </w:r>
          </w:p>
        </w:tc>
      </w:tr>
    </w:tbl>
    <w:p w14:paraId="020C73EB" w14:textId="77777777" w:rsidR="00E023DB" w:rsidRPr="0001375D" w:rsidRDefault="00E023DB" w:rsidP="005419AD">
      <w:pPr>
        <w:autoSpaceDE w:val="0"/>
        <w:autoSpaceDN w:val="0"/>
        <w:adjustRightInd w:val="0"/>
        <w:rPr>
          <w:rFonts w:cs="Calibri"/>
        </w:rPr>
      </w:pPr>
    </w:p>
    <w:p w14:paraId="50D3EE42" w14:textId="77777777" w:rsidR="003F0853" w:rsidRDefault="003F0853" w:rsidP="003F0853">
      <w:pPr>
        <w:rPr>
          <w:color w:val="000000" w:themeColor="text1"/>
        </w:rPr>
      </w:pPr>
      <w:r w:rsidRPr="004E51BF">
        <w:rPr>
          <w:color w:val="000000" w:themeColor="text1"/>
        </w:rPr>
        <w:t>On the 1 April 2019,</w:t>
      </w:r>
      <w:r>
        <w:rPr>
          <w:color w:val="000000" w:themeColor="text1"/>
        </w:rPr>
        <w:t xml:space="preserve"> following consultation with</w:t>
      </w:r>
      <w:r w:rsidRPr="004E51BF">
        <w:rPr>
          <w:color w:val="000000" w:themeColor="text1"/>
        </w:rPr>
        <w:t xml:space="preserve"> </w:t>
      </w:r>
      <w:r>
        <w:rPr>
          <w:color w:val="000000" w:themeColor="text1"/>
        </w:rPr>
        <w:t xml:space="preserve">the </w:t>
      </w:r>
      <w:r w:rsidRPr="004E51BF">
        <w:rPr>
          <w:color w:val="000000" w:themeColor="text1"/>
        </w:rPr>
        <w:t>public, partners and staff</w:t>
      </w:r>
      <w:r>
        <w:rPr>
          <w:color w:val="000000" w:themeColor="text1"/>
        </w:rPr>
        <w:t>,</w:t>
      </w:r>
      <w:r w:rsidRPr="004E51BF">
        <w:rPr>
          <w:color w:val="000000" w:themeColor="text1"/>
        </w:rPr>
        <w:t xml:space="preserve"> C</w:t>
      </w:r>
      <w:r>
        <w:rPr>
          <w:color w:val="000000" w:themeColor="text1"/>
        </w:rPr>
        <w:t xml:space="preserve">wm Taf Morgannwg </w:t>
      </w:r>
      <w:r w:rsidRPr="004E51BF">
        <w:rPr>
          <w:color w:val="000000" w:themeColor="text1"/>
        </w:rPr>
        <w:t xml:space="preserve">University Health Board </w:t>
      </w:r>
      <w:r>
        <w:rPr>
          <w:color w:val="000000" w:themeColor="text1"/>
        </w:rPr>
        <w:t xml:space="preserve">(UHB) </w:t>
      </w:r>
      <w:r w:rsidRPr="004E51BF">
        <w:rPr>
          <w:color w:val="000000" w:themeColor="text1"/>
        </w:rPr>
        <w:t>was formed.  This is the</w:t>
      </w:r>
      <w:r>
        <w:rPr>
          <w:color w:val="000000" w:themeColor="text1"/>
        </w:rPr>
        <w:t xml:space="preserve">refore the </w:t>
      </w:r>
      <w:r w:rsidRPr="004E51BF">
        <w:rPr>
          <w:color w:val="000000" w:themeColor="text1"/>
        </w:rPr>
        <w:t>first I</w:t>
      </w:r>
      <w:r>
        <w:rPr>
          <w:color w:val="000000" w:themeColor="text1"/>
        </w:rPr>
        <w:t>ntegrated Medium Term Plan (I</w:t>
      </w:r>
      <w:r w:rsidRPr="004E51BF">
        <w:rPr>
          <w:color w:val="000000" w:themeColor="text1"/>
        </w:rPr>
        <w:t>MTP</w:t>
      </w:r>
      <w:r>
        <w:rPr>
          <w:color w:val="000000" w:themeColor="text1"/>
        </w:rPr>
        <w:t>)</w:t>
      </w:r>
      <w:r w:rsidRPr="004E51BF">
        <w:rPr>
          <w:color w:val="000000" w:themeColor="text1"/>
        </w:rPr>
        <w:t xml:space="preserve"> of the new University Health Board</w:t>
      </w:r>
      <w:r>
        <w:rPr>
          <w:color w:val="000000" w:themeColor="text1"/>
        </w:rPr>
        <w:t>, bringing together our plans to deliver safe, quality heath and care for the population of Bridgend,</w:t>
      </w:r>
      <w:r w:rsidRPr="004E51BF">
        <w:rPr>
          <w:color w:val="000000" w:themeColor="text1"/>
        </w:rPr>
        <w:t xml:space="preserve"> R</w:t>
      </w:r>
      <w:r>
        <w:rPr>
          <w:color w:val="000000" w:themeColor="text1"/>
        </w:rPr>
        <w:t>hondda Cynon Taf and Merthyr.</w:t>
      </w:r>
    </w:p>
    <w:p w14:paraId="6D68493E" w14:textId="77777777" w:rsidR="003F0853" w:rsidRDefault="003F0853" w:rsidP="003F0853">
      <w:pPr>
        <w:rPr>
          <w:color w:val="000000" w:themeColor="text1"/>
        </w:rPr>
      </w:pPr>
    </w:p>
    <w:p w14:paraId="54CEC59C" w14:textId="77777777" w:rsidR="003F0853" w:rsidRDefault="003F0853" w:rsidP="003F0853">
      <w:pPr>
        <w:rPr>
          <w:color w:val="000000" w:themeColor="text1"/>
        </w:rPr>
      </w:pPr>
      <w:r>
        <w:rPr>
          <w:color w:val="000000" w:themeColor="text1"/>
        </w:rPr>
        <w:t>The past year has been one of significant reflection and action for the Health Board, not only because of the establishment of our new organisation, but also importantly, as a result of the failings in M</w:t>
      </w:r>
      <w:r w:rsidRPr="00615478">
        <w:rPr>
          <w:color w:val="000000" w:themeColor="text1"/>
        </w:rPr>
        <w:t xml:space="preserve">aternity </w:t>
      </w:r>
      <w:r>
        <w:rPr>
          <w:color w:val="000000" w:themeColor="text1"/>
        </w:rPr>
        <w:t>S</w:t>
      </w:r>
      <w:r w:rsidRPr="00615478">
        <w:rPr>
          <w:color w:val="000000" w:themeColor="text1"/>
        </w:rPr>
        <w:t xml:space="preserve">ervices within the former Cwm Taf </w:t>
      </w:r>
      <w:r>
        <w:rPr>
          <w:color w:val="000000" w:themeColor="text1"/>
        </w:rPr>
        <w:t xml:space="preserve">University </w:t>
      </w:r>
      <w:r w:rsidRPr="00615478">
        <w:rPr>
          <w:color w:val="000000" w:themeColor="text1"/>
        </w:rPr>
        <w:t xml:space="preserve">Health </w:t>
      </w:r>
      <w:r>
        <w:rPr>
          <w:color w:val="000000" w:themeColor="text1"/>
        </w:rPr>
        <w:t xml:space="preserve">Board, in addition to wider </w:t>
      </w:r>
      <w:r w:rsidRPr="004E02DC">
        <w:rPr>
          <w:rFonts w:cstheme="minorHAnsi"/>
        </w:rPr>
        <w:t xml:space="preserve">concerns raised by </w:t>
      </w:r>
      <w:r>
        <w:rPr>
          <w:rFonts w:cstheme="minorHAnsi"/>
        </w:rPr>
        <w:t xml:space="preserve">the </w:t>
      </w:r>
      <w:r w:rsidRPr="004E02DC">
        <w:rPr>
          <w:rFonts w:cstheme="minorHAnsi"/>
        </w:rPr>
        <w:t>Welsh Government, Wales Audit Office</w:t>
      </w:r>
      <w:r>
        <w:rPr>
          <w:rFonts w:cstheme="minorHAnsi"/>
        </w:rPr>
        <w:t xml:space="preserve"> (WAO)</w:t>
      </w:r>
      <w:r w:rsidRPr="004E02DC">
        <w:rPr>
          <w:rFonts w:cstheme="minorHAnsi"/>
        </w:rPr>
        <w:t xml:space="preserve"> and Healthcare Inspectorate Wales</w:t>
      </w:r>
      <w:r>
        <w:rPr>
          <w:color w:val="000000" w:themeColor="text1"/>
        </w:rPr>
        <w:t xml:space="preserve"> (HIW) in respect of quality, culture, leadership and governance. As a result, this </w:t>
      </w:r>
      <w:r w:rsidRPr="004E51BF">
        <w:rPr>
          <w:color w:val="000000" w:themeColor="text1"/>
        </w:rPr>
        <w:t>IMTP is written in the context of an enhance</w:t>
      </w:r>
      <w:r>
        <w:rPr>
          <w:color w:val="000000" w:themeColor="text1"/>
        </w:rPr>
        <w:t>d</w:t>
      </w:r>
      <w:r w:rsidRPr="004E51BF">
        <w:rPr>
          <w:color w:val="000000" w:themeColor="text1"/>
        </w:rPr>
        <w:t xml:space="preserve"> escalation status for C</w:t>
      </w:r>
      <w:r>
        <w:rPr>
          <w:color w:val="000000" w:themeColor="text1"/>
        </w:rPr>
        <w:t>wm Taf Morgannwg UHB</w:t>
      </w:r>
      <w:r w:rsidRPr="004E51BF">
        <w:rPr>
          <w:color w:val="000000" w:themeColor="text1"/>
        </w:rPr>
        <w:t>,</w:t>
      </w:r>
      <w:r>
        <w:rPr>
          <w:color w:val="000000" w:themeColor="text1"/>
        </w:rPr>
        <w:t xml:space="preserve"> currently in ‘Targeted Intervention’ for quality and governance, and ‘Special Measures’ for its Maternity Services.</w:t>
      </w:r>
    </w:p>
    <w:p w14:paraId="1B7FD5B4" w14:textId="77777777" w:rsidR="003F0853" w:rsidRDefault="003F0853" w:rsidP="003F0853">
      <w:pPr>
        <w:rPr>
          <w:color w:val="000000" w:themeColor="text1"/>
        </w:rPr>
      </w:pPr>
    </w:p>
    <w:p w14:paraId="123620AD" w14:textId="77777777" w:rsidR="003F0853" w:rsidRDefault="003F0853" w:rsidP="003F0853">
      <w:pPr>
        <w:rPr>
          <w:rFonts w:cstheme="minorHAnsi"/>
          <w:color w:val="000000"/>
        </w:rPr>
      </w:pPr>
      <w:r>
        <w:rPr>
          <w:rFonts w:cstheme="minorHAnsi"/>
        </w:rPr>
        <w:t>T</w:t>
      </w:r>
      <w:r w:rsidRPr="00C11691">
        <w:rPr>
          <w:rFonts w:cstheme="minorHAnsi"/>
        </w:rPr>
        <w:t xml:space="preserve">he </w:t>
      </w:r>
      <w:r w:rsidRPr="00C11691">
        <w:rPr>
          <w:rFonts w:cstheme="minorHAnsi"/>
          <w:color w:val="000000"/>
        </w:rPr>
        <w:t xml:space="preserve">Royal College of Obstetricians and Gynaecologists </w:t>
      </w:r>
      <w:r>
        <w:rPr>
          <w:rFonts w:cstheme="minorHAnsi"/>
          <w:color w:val="000000"/>
        </w:rPr>
        <w:t xml:space="preserve">(RCOG) </w:t>
      </w:r>
      <w:r w:rsidRPr="00C11691">
        <w:rPr>
          <w:rFonts w:cstheme="minorHAnsi"/>
          <w:color w:val="000000"/>
        </w:rPr>
        <w:t xml:space="preserve">and the Royal College of Midwives </w:t>
      </w:r>
      <w:r>
        <w:rPr>
          <w:rFonts w:cstheme="minorHAnsi"/>
          <w:color w:val="000000"/>
        </w:rPr>
        <w:t>(RCM) published their report into M</w:t>
      </w:r>
      <w:r w:rsidRPr="00C11691">
        <w:rPr>
          <w:rFonts w:cstheme="minorHAnsi"/>
          <w:color w:val="000000"/>
        </w:rPr>
        <w:t xml:space="preserve">aternity </w:t>
      </w:r>
      <w:r>
        <w:rPr>
          <w:rFonts w:cstheme="minorHAnsi"/>
          <w:color w:val="000000"/>
        </w:rPr>
        <w:t>S</w:t>
      </w:r>
      <w:r w:rsidRPr="00C11691">
        <w:rPr>
          <w:rFonts w:cstheme="minorHAnsi"/>
          <w:color w:val="000000"/>
        </w:rPr>
        <w:t xml:space="preserve">ervices at both </w:t>
      </w:r>
      <w:r>
        <w:rPr>
          <w:rFonts w:cstheme="minorHAnsi"/>
          <w:color w:val="000000"/>
        </w:rPr>
        <w:t xml:space="preserve">Prince Charles and Royal Glamorgan Hospitals on 31 April 2019. </w:t>
      </w:r>
      <w:r w:rsidRPr="00EB371E">
        <w:rPr>
          <w:rFonts w:cstheme="minorHAnsi"/>
          <w:color w:val="000000"/>
        </w:rPr>
        <w:t xml:space="preserve">Following </w:t>
      </w:r>
      <w:r>
        <w:rPr>
          <w:rFonts w:cstheme="minorHAnsi"/>
          <w:color w:val="000000"/>
        </w:rPr>
        <w:t xml:space="preserve">publication </w:t>
      </w:r>
      <w:r w:rsidRPr="00EB371E">
        <w:rPr>
          <w:rFonts w:cstheme="minorHAnsi"/>
          <w:color w:val="000000"/>
        </w:rPr>
        <w:t>as part of a wider statement</w:t>
      </w:r>
      <w:r>
        <w:rPr>
          <w:rFonts w:cstheme="minorHAnsi"/>
          <w:color w:val="000000"/>
        </w:rPr>
        <w:t>,</w:t>
      </w:r>
      <w:r w:rsidRPr="00EB371E">
        <w:rPr>
          <w:rFonts w:cstheme="minorHAnsi"/>
          <w:color w:val="000000"/>
        </w:rPr>
        <w:t xml:space="preserve"> </w:t>
      </w:r>
      <w:r>
        <w:rPr>
          <w:rFonts w:cstheme="minorHAnsi"/>
          <w:color w:val="000000"/>
        </w:rPr>
        <w:t xml:space="preserve">we </w:t>
      </w:r>
      <w:r w:rsidRPr="00EB371E">
        <w:rPr>
          <w:rFonts w:cstheme="minorHAnsi"/>
          <w:color w:val="000000"/>
        </w:rPr>
        <w:t>said</w:t>
      </w:r>
      <w:r>
        <w:rPr>
          <w:rFonts w:cstheme="minorHAnsi"/>
          <w:color w:val="000000"/>
        </w:rPr>
        <w:t>,</w:t>
      </w:r>
    </w:p>
    <w:p w14:paraId="41904EDC" w14:textId="77777777" w:rsidR="003F0853" w:rsidRDefault="003F0853" w:rsidP="003F0853">
      <w:pPr>
        <w:rPr>
          <w:rFonts w:cstheme="minorHAnsi"/>
          <w:color w:val="000000"/>
        </w:rPr>
      </w:pPr>
    </w:p>
    <w:p w14:paraId="582E28BC" w14:textId="77777777" w:rsidR="003F0853" w:rsidRDefault="003F0853" w:rsidP="003F0853">
      <w:pPr>
        <w:rPr>
          <w:color w:val="000000" w:themeColor="text1"/>
        </w:rPr>
      </w:pPr>
      <w:r w:rsidRPr="00EB371E">
        <w:rPr>
          <w:rFonts w:cstheme="minorHAnsi"/>
          <w:color w:val="000000"/>
        </w:rPr>
        <w:t xml:space="preserve"> “On behalf of the Health Board, I </w:t>
      </w:r>
      <w:r>
        <w:rPr>
          <w:rFonts w:cstheme="minorHAnsi"/>
          <w:color w:val="000000"/>
        </w:rPr>
        <w:t>[</w:t>
      </w:r>
      <w:r w:rsidRPr="00EB371E">
        <w:rPr>
          <w:rFonts w:cstheme="minorHAnsi"/>
          <w:color w:val="000000"/>
        </w:rPr>
        <w:t>Professor Marcus Longley</w:t>
      </w:r>
      <w:r>
        <w:rPr>
          <w:rFonts w:cstheme="minorHAnsi"/>
          <w:color w:val="000000"/>
        </w:rPr>
        <w:t xml:space="preserve">] </w:t>
      </w:r>
      <w:r w:rsidRPr="00EB371E">
        <w:rPr>
          <w:rFonts w:cstheme="minorHAnsi"/>
          <w:color w:val="000000"/>
        </w:rPr>
        <w:t>apologise unreservedly for the failings in our maternity service. We will now do everything we can to put right the problems identified in the review and we will not stop until our materni</w:t>
      </w:r>
      <w:r>
        <w:rPr>
          <w:rFonts w:cstheme="minorHAnsi"/>
          <w:color w:val="000000"/>
        </w:rPr>
        <w:t>ty services are of the standard</w:t>
      </w:r>
      <w:r w:rsidRPr="00EB371E">
        <w:rPr>
          <w:rFonts w:cstheme="minorHAnsi"/>
          <w:color w:val="000000"/>
        </w:rPr>
        <w:t xml:space="preserve"> which everyone has a right to expect. We are determined to deliver on the recommendations of today’s report</w:t>
      </w:r>
      <w:r>
        <w:rPr>
          <w:rFonts w:cstheme="minorHAnsi"/>
          <w:color w:val="000000"/>
        </w:rPr>
        <w:t>,</w:t>
      </w:r>
      <w:r w:rsidRPr="00EB371E">
        <w:rPr>
          <w:rFonts w:cstheme="minorHAnsi"/>
          <w:color w:val="000000"/>
        </w:rPr>
        <w:t xml:space="preserve"> however we know this will require a significant amount of work</w:t>
      </w:r>
      <w:r>
        <w:rPr>
          <w:rFonts w:cstheme="minorHAnsi"/>
          <w:color w:val="000000"/>
        </w:rPr>
        <w:t>”</w:t>
      </w:r>
      <w:r>
        <w:rPr>
          <w:rFonts w:ascii="Verdana" w:hAnsi="Verdana"/>
        </w:rPr>
        <w:t>.</w:t>
      </w:r>
    </w:p>
    <w:p w14:paraId="7DDD93D4" w14:textId="77777777" w:rsidR="003F0853" w:rsidRPr="00EB371E" w:rsidRDefault="003F0853" w:rsidP="003F0853">
      <w:pPr>
        <w:rPr>
          <w:rFonts w:ascii="Verdana" w:hAnsi="Verdana"/>
        </w:rPr>
      </w:pPr>
    </w:p>
    <w:p w14:paraId="387D1C8F" w14:textId="77777777" w:rsidR="003F0853" w:rsidRDefault="003F0853" w:rsidP="003F0853">
      <w:pPr>
        <w:rPr>
          <w:color w:val="000000" w:themeColor="text1"/>
        </w:rPr>
      </w:pPr>
      <w:r>
        <w:rPr>
          <w:color w:val="000000" w:themeColor="text1"/>
        </w:rPr>
        <w:t xml:space="preserve">The Health Board remains determined to deliver this commitment, and within the wider context of our </w:t>
      </w:r>
      <w:r w:rsidRPr="004E51BF">
        <w:rPr>
          <w:color w:val="000000" w:themeColor="text1"/>
        </w:rPr>
        <w:t xml:space="preserve">escalation </w:t>
      </w:r>
      <w:r>
        <w:rPr>
          <w:color w:val="000000" w:themeColor="text1"/>
        </w:rPr>
        <w:t>status,</w:t>
      </w:r>
      <w:r w:rsidRPr="004E51BF">
        <w:rPr>
          <w:color w:val="000000" w:themeColor="text1"/>
        </w:rPr>
        <w:t xml:space="preserve"> </w:t>
      </w:r>
      <w:r>
        <w:rPr>
          <w:color w:val="000000" w:themeColor="text1"/>
        </w:rPr>
        <w:t xml:space="preserve">fully </w:t>
      </w:r>
      <w:r w:rsidRPr="004E51BF">
        <w:rPr>
          <w:color w:val="000000" w:themeColor="text1"/>
        </w:rPr>
        <w:t>recognise</w:t>
      </w:r>
      <w:r>
        <w:rPr>
          <w:color w:val="000000" w:themeColor="text1"/>
        </w:rPr>
        <w:t>s</w:t>
      </w:r>
      <w:r w:rsidRPr="004E51BF">
        <w:rPr>
          <w:color w:val="000000" w:themeColor="text1"/>
        </w:rPr>
        <w:t xml:space="preserve"> the serious nature of </w:t>
      </w:r>
      <w:r>
        <w:rPr>
          <w:color w:val="000000" w:themeColor="text1"/>
        </w:rPr>
        <w:t>the current</w:t>
      </w:r>
      <w:r w:rsidRPr="004E51BF">
        <w:rPr>
          <w:color w:val="000000" w:themeColor="text1"/>
        </w:rPr>
        <w:t xml:space="preserve"> position an</w:t>
      </w:r>
      <w:r>
        <w:rPr>
          <w:color w:val="000000" w:themeColor="text1"/>
        </w:rPr>
        <w:t>d the issues we need to put right for our population</w:t>
      </w:r>
      <w:r w:rsidRPr="004E51BF">
        <w:rPr>
          <w:color w:val="000000" w:themeColor="text1"/>
        </w:rPr>
        <w:t xml:space="preserve">. </w:t>
      </w:r>
      <w:r>
        <w:rPr>
          <w:color w:val="000000" w:themeColor="text1"/>
        </w:rPr>
        <w:t xml:space="preserve">It is vitally important that we do not simply accept the findings of the reports which have been presented, treating the recommendations just as a check list of actions, but that we truly learn from the feedback we have received, and that we deliver the strategic and cultural change required, fundamentally improving the quality of our services and demonstrating this change to all involved. Our approach also seeks to recognise the development of good practice as we seek to ensure a motivated workforce who everyday continue to work with our communities.  </w:t>
      </w:r>
    </w:p>
    <w:p w14:paraId="32BD6D32" w14:textId="77777777" w:rsidR="003F0853" w:rsidRDefault="003F0853" w:rsidP="003F0853">
      <w:pPr>
        <w:rPr>
          <w:color w:val="000000" w:themeColor="text1"/>
        </w:rPr>
      </w:pPr>
    </w:p>
    <w:p w14:paraId="2812E970" w14:textId="77777777" w:rsidR="003F0853" w:rsidRDefault="003F0853" w:rsidP="003F0853">
      <w:pPr>
        <w:rPr>
          <w:color w:val="000000" w:themeColor="text1"/>
        </w:rPr>
      </w:pPr>
      <w:r>
        <w:rPr>
          <w:color w:val="000000" w:themeColor="text1"/>
        </w:rPr>
        <w:t>Throughout this past year, w</w:t>
      </w:r>
      <w:r w:rsidRPr="004E51BF">
        <w:rPr>
          <w:color w:val="000000" w:themeColor="text1"/>
        </w:rPr>
        <w:t xml:space="preserve">e </w:t>
      </w:r>
      <w:r>
        <w:rPr>
          <w:color w:val="000000" w:themeColor="text1"/>
        </w:rPr>
        <w:t xml:space="preserve">have </w:t>
      </w:r>
      <w:r w:rsidRPr="004E51BF">
        <w:rPr>
          <w:color w:val="000000" w:themeColor="text1"/>
        </w:rPr>
        <w:t>value</w:t>
      </w:r>
      <w:r>
        <w:rPr>
          <w:color w:val="000000" w:themeColor="text1"/>
        </w:rPr>
        <w:t>d</w:t>
      </w:r>
      <w:r w:rsidRPr="004E51BF">
        <w:rPr>
          <w:color w:val="000000" w:themeColor="text1"/>
        </w:rPr>
        <w:t xml:space="preserve"> the constructive working relationships developed with Welsh Government, WAO, HIW and other regulators, and </w:t>
      </w:r>
      <w:r>
        <w:rPr>
          <w:color w:val="000000" w:themeColor="text1"/>
        </w:rPr>
        <w:t xml:space="preserve">we </w:t>
      </w:r>
      <w:r w:rsidRPr="004E51BF">
        <w:rPr>
          <w:color w:val="000000" w:themeColor="text1"/>
        </w:rPr>
        <w:t>will continue to proactively engage and learn from external review bodies</w:t>
      </w:r>
      <w:r>
        <w:rPr>
          <w:color w:val="000000" w:themeColor="text1"/>
        </w:rPr>
        <w:t xml:space="preserve"> and other organisations across the UK</w:t>
      </w:r>
      <w:r w:rsidRPr="004E51BF">
        <w:rPr>
          <w:color w:val="000000" w:themeColor="text1"/>
        </w:rPr>
        <w:t>. The s</w:t>
      </w:r>
      <w:r>
        <w:rPr>
          <w:color w:val="000000" w:themeColor="text1"/>
        </w:rPr>
        <w:t>cale of the challenge that the Health B</w:t>
      </w:r>
      <w:r w:rsidRPr="004E51BF">
        <w:rPr>
          <w:color w:val="000000" w:themeColor="text1"/>
        </w:rPr>
        <w:t xml:space="preserve">oard </w:t>
      </w:r>
      <w:r w:rsidRPr="004E51BF">
        <w:rPr>
          <w:color w:val="000000" w:themeColor="text1"/>
        </w:rPr>
        <w:lastRenderedPageBreak/>
        <w:t xml:space="preserve">faces in achieving sustainable change and improvement remains considerable, and we are committed to addressing this challenge in an open and transparent manner. A key part of </w:t>
      </w:r>
      <w:r>
        <w:rPr>
          <w:color w:val="000000" w:themeColor="text1"/>
        </w:rPr>
        <w:t>this change will be transforming our</w:t>
      </w:r>
      <w:r w:rsidRPr="004E51BF">
        <w:rPr>
          <w:color w:val="000000" w:themeColor="text1"/>
        </w:rPr>
        <w:t xml:space="preserve"> organisational culture to one </w:t>
      </w:r>
      <w:r>
        <w:rPr>
          <w:color w:val="000000" w:themeColor="text1"/>
        </w:rPr>
        <w:t xml:space="preserve">which is underpinned by a clear, and shared set of </w:t>
      </w:r>
      <w:r w:rsidRPr="004E51BF">
        <w:rPr>
          <w:color w:val="000000" w:themeColor="text1"/>
        </w:rPr>
        <w:t>values and beha</w:t>
      </w:r>
      <w:r>
        <w:rPr>
          <w:color w:val="000000" w:themeColor="text1"/>
        </w:rPr>
        <w:t>viours for our new organisation and its people – which will define what is important to us, and our population, and provide clear expectations of how we intend to do go about our business.</w:t>
      </w:r>
    </w:p>
    <w:p w14:paraId="78923218" w14:textId="77777777" w:rsidR="003F0853" w:rsidRDefault="003F0853" w:rsidP="003F0853">
      <w:pPr>
        <w:rPr>
          <w:color w:val="000000" w:themeColor="text1"/>
        </w:rPr>
      </w:pPr>
    </w:p>
    <w:p w14:paraId="1B98BCB4" w14:textId="77777777" w:rsidR="003F0853" w:rsidRDefault="003F0853" w:rsidP="003F0853">
      <w:pPr>
        <w:rPr>
          <w:color w:val="000000" w:themeColor="text1"/>
        </w:rPr>
      </w:pPr>
      <w:r>
        <w:rPr>
          <w:color w:val="000000" w:themeColor="text1"/>
        </w:rPr>
        <w:t xml:space="preserve">Recognising this, we have put in place a comprehensive programme of work to enable the whole organisation to take the opportunity to learn from the reviews and from one another, to share best practice and form new relationships. The programme addresses: Leadership and Culture; Values and Behaviours; Rebuilding Trust and Confidence and Maternity Improvement, with the 10 inter-related workstreams which form part of this improvement journey detailed within </w:t>
      </w:r>
      <w:r w:rsidRPr="00415B1C">
        <w:rPr>
          <w:b/>
          <w:color w:val="000000" w:themeColor="text1"/>
        </w:rPr>
        <w:t>section 1.2</w:t>
      </w:r>
      <w:r>
        <w:rPr>
          <w:color w:val="000000" w:themeColor="text1"/>
        </w:rPr>
        <w:t xml:space="preserve"> of the IMTP.</w:t>
      </w:r>
    </w:p>
    <w:p w14:paraId="4D8C1424" w14:textId="77777777" w:rsidR="003F0853" w:rsidRDefault="003F0853" w:rsidP="003F0853">
      <w:pPr>
        <w:rPr>
          <w:color w:val="000000" w:themeColor="text1"/>
        </w:rPr>
      </w:pPr>
    </w:p>
    <w:p w14:paraId="11ED7F40" w14:textId="77777777" w:rsidR="003F0853" w:rsidRDefault="003F0853" w:rsidP="003F0853">
      <w:pPr>
        <w:rPr>
          <w:color w:val="000000" w:themeColor="text1"/>
        </w:rPr>
      </w:pPr>
      <w:r>
        <w:rPr>
          <w:color w:val="000000" w:themeColor="text1"/>
        </w:rPr>
        <w:t>Learning through engagement has been an important part of setting the tone and ambition for this work. Underpinning any achievement against the programme we have set ourselves is an understanding that when we listen to the views and experiences of our patients and their families, we must ensure that we are seeking to provide the services that people need in the ways that they want.  Important examples of this are: the growing use of patient stories across the Health Board, with all Health Board meetings now starting with a patient story; and the whole family engagement work which has been undertaken through maternity services .  It is important that we take this opportunity to thank all those patients and their families who are giving their time to join us on our improvement journey.</w:t>
      </w:r>
    </w:p>
    <w:p w14:paraId="5F376961" w14:textId="77777777" w:rsidR="003F0853" w:rsidRDefault="003F0853" w:rsidP="003F0853">
      <w:pPr>
        <w:rPr>
          <w:color w:val="000000" w:themeColor="text1"/>
        </w:rPr>
      </w:pPr>
    </w:p>
    <w:p w14:paraId="6BD291BE" w14:textId="77777777" w:rsidR="003F0853" w:rsidRDefault="003F0853" w:rsidP="003F0853">
      <w:r>
        <w:t>Our staff are showing the energy and commitment to make constructive and meaningful improvements. As a result an extensive</w:t>
      </w:r>
      <w:r w:rsidRPr="00221F64">
        <w:t xml:space="preserve"> huge cultural conversa</w:t>
      </w:r>
      <w:r>
        <w:t>tion</w:t>
      </w:r>
      <w:r w:rsidRPr="00221F64">
        <w:t xml:space="preserve"> is underway within the </w:t>
      </w:r>
      <w:r>
        <w:t xml:space="preserve">Health Board.  Bringing together the best of the Bridgend Locality and the former Cwm Taf UHB, with real patient experience, has resulted in a draft set of values and behaviours, </w:t>
      </w:r>
      <w:r w:rsidRPr="00415B1C">
        <w:rPr>
          <w:b/>
        </w:rPr>
        <w:t>section 1.3</w:t>
      </w:r>
      <w:r>
        <w:t xml:space="preserve"> for Cwm Taf Morgannwg UHB.  These will be fundamental in informing decision-making and will underpin the quality of the services we provide to our population.</w:t>
      </w:r>
    </w:p>
    <w:p w14:paraId="082E0842" w14:textId="77777777" w:rsidR="003F0853" w:rsidRDefault="003F0853" w:rsidP="003F0853">
      <w:pPr>
        <w:rPr>
          <w:color w:val="000000" w:themeColor="text1"/>
        </w:rPr>
      </w:pPr>
      <w:r>
        <w:t xml:space="preserve">This engagement has further </w:t>
      </w:r>
      <w:r>
        <w:rPr>
          <w:color w:val="000000" w:themeColor="text1"/>
        </w:rPr>
        <w:t>contributed to the delivery of a key milestone for the new Health Board, the agreement of its mission and vision.  Approved in January 2020, these are:</w:t>
      </w:r>
    </w:p>
    <w:p w14:paraId="68FF848C" w14:textId="77777777" w:rsidR="003F0853" w:rsidRDefault="003F0853" w:rsidP="003F0853">
      <w:pPr>
        <w:rPr>
          <w:color w:val="000000" w:themeColor="text1"/>
        </w:rPr>
      </w:pPr>
    </w:p>
    <w:p w14:paraId="2D8CCE05" w14:textId="77777777" w:rsidR="003F0853" w:rsidRDefault="003F0853" w:rsidP="003F0853">
      <w:pPr>
        <w:ind w:left="567" w:right="804"/>
        <w:jc w:val="center"/>
        <w:rPr>
          <w:color w:val="000000" w:themeColor="text1"/>
        </w:rPr>
      </w:pPr>
      <w:r>
        <w:rPr>
          <w:color w:val="000000" w:themeColor="text1"/>
        </w:rPr>
        <w:t xml:space="preserve">Mission: </w:t>
      </w:r>
      <w:r w:rsidRPr="00FA3C97">
        <w:rPr>
          <w:i/>
          <w:color w:val="000000" w:themeColor="text1"/>
        </w:rPr>
        <w:t>Building healthier communities together</w:t>
      </w:r>
    </w:p>
    <w:p w14:paraId="0DC86385" w14:textId="77777777" w:rsidR="003F0853" w:rsidRDefault="003F0853" w:rsidP="003F0853">
      <w:pPr>
        <w:ind w:left="567" w:right="804"/>
        <w:jc w:val="center"/>
        <w:rPr>
          <w:color w:val="000000" w:themeColor="text1"/>
        </w:rPr>
      </w:pPr>
    </w:p>
    <w:p w14:paraId="5B9EA6A7" w14:textId="77777777" w:rsidR="003F0853" w:rsidRDefault="003F0853" w:rsidP="003F0853">
      <w:pPr>
        <w:ind w:left="567" w:right="804"/>
        <w:jc w:val="center"/>
        <w:rPr>
          <w:i/>
          <w:color w:val="000000" w:themeColor="text1"/>
        </w:rPr>
      </w:pPr>
      <w:r>
        <w:rPr>
          <w:color w:val="000000" w:themeColor="text1"/>
        </w:rPr>
        <w:t xml:space="preserve">Vision: </w:t>
      </w:r>
      <w:r w:rsidRPr="00FA3C97">
        <w:rPr>
          <w:i/>
          <w:color w:val="000000" w:themeColor="text1"/>
        </w:rPr>
        <w:t>Across every community people begin, live and end life well, feeling involved in their health and care choices</w:t>
      </w:r>
    </w:p>
    <w:p w14:paraId="706C3D7D" w14:textId="77777777" w:rsidR="003F0853" w:rsidRDefault="003F0853" w:rsidP="003F0853">
      <w:pPr>
        <w:ind w:left="567" w:right="804"/>
        <w:jc w:val="center"/>
        <w:rPr>
          <w:color w:val="000000" w:themeColor="text1"/>
        </w:rPr>
      </w:pPr>
    </w:p>
    <w:p w14:paraId="037FE90A" w14:textId="77777777" w:rsidR="003F0853" w:rsidRDefault="003F0853" w:rsidP="003F0853">
      <w:pPr>
        <w:rPr>
          <w:color w:val="000000" w:themeColor="text1"/>
        </w:rPr>
      </w:pPr>
      <w:r>
        <w:rPr>
          <w:color w:val="000000" w:themeColor="text1"/>
        </w:rPr>
        <w:t xml:space="preserve">The first of many milestones within the IMTP 2020 – 23 is to establish our Operating Model such that it becomes truly clinically-led and community focused.  On the 1 April 2020, Cwm Taf Morgannwg UHB will deliver services through three Integrated Locality Groups: Bridgend; Rhondda and Taf Ely; and Merthyr and Cynon. These new structures will bring decision-making closer to those who use our services, empowering staff and providing an easier opportunity for community leadership and involvement in developing and delivering quality services, with a focus on population health. An aligned Quality and Patient Safety Governance Framework will ensure that the Health Board is better positioned to identify, respond and learn from quality concerns in a timely way – putting the patient at the centre of all that we do. </w:t>
      </w:r>
    </w:p>
    <w:p w14:paraId="5D1BC53A" w14:textId="77777777" w:rsidR="003F0853" w:rsidRDefault="003F0853" w:rsidP="003F0853">
      <w:pPr>
        <w:rPr>
          <w:color w:val="000000" w:themeColor="text1"/>
        </w:rPr>
      </w:pPr>
    </w:p>
    <w:p w14:paraId="0D6A1C70" w14:textId="77777777" w:rsidR="003F0853" w:rsidRDefault="003F0853" w:rsidP="003F0853">
      <w:pPr>
        <w:rPr>
          <w:color w:val="000000" w:themeColor="text1"/>
        </w:rPr>
      </w:pPr>
      <w:r>
        <w:rPr>
          <w:color w:val="000000" w:themeColor="text1"/>
        </w:rPr>
        <w:t xml:space="preserve">While it is important that we have a clear vision of where we want our improvement journey to take us, it is equally as important that we are able to plan the steps and measure our progress along the way.  We have developed a set of milestones and measures, </w:t>
      </w:r>
      <w:r w:rsidRPr="006B6B0E">
        <w:rPr>
          <w:b/>
          <w:color w:val="000000" w:themeColor="text1"/>
        </w:rPr>
        <w:t>section 1.2</w:t>
      </w:r>
      <w:r>
        <w:rPr>
          <w:color w:val="000000" w:themeColor="text1"/>
        </w:rPr>
        <w:t>., which clearly set out our Health Board’s expectations for Leadership and Culture; Quality and Governance; Rebuilding Trust and Confidence and Maternity Improvement.  Delivering across each for these areas will mean that over the life time of this three year plan, we will become a mature organisation, demonstrating good practice which is routinely shared and adopted by others.</w:t>
      </w:r>
    </w:p>
    <w:p w14:paraId="3AD1AA69" w14:textId="77777777" w:rsidR="003F0853" w:rsidRDefault="003F0853" w:rsidP="003F0853">
      <w:pPr>
        <w:rPr>
          <w:color w:val="000000" w:themeColor="text1"/>
        </w:rPr>
      </w:pPr>
    </w:p>
    <w:p w14:paraId="1883610D" w14:textId="77777777" w:rsidR="003F0853" w:rsidRDefault="003F0853" w:rsidP="003F0853">
      <w:pPr>
        <w:rPr>
          <w:sz w:val="23"/>
          <w:szCs w:val="23"/>
        </w:rPr>
      </w:pPr>
      <w:r>
        <w:rPr>
          <w:color w:val="000000" w:themeColor="text1"/>
        </w:rPr>
        <w:t xml:space="preserve">Our </w:t>
      </w:r>
      <w:r w:rsidRPr="005E558A">
        <w:rPr>
          <w:color w:val="000000" w:themeColor="text1"/>
        </w:rPr>
        <w:t>vision for engagement and involvement is to become an organisation which proactively and routinely provides opportunities for everyone to be involved in our work</w:t>
      </w:r>
      <w:r>
        <w:rPr>
          <w:color w:val="000000" w:themeColor="text1"/>
        </w:rPr>
        <w:t xml:space="preserve">.  As a result, we have taken a number of steps to rebuild the trust and confidence of our population; </w:t>
      </w:r>
      <w:r w:rsidRPr="002A64D5">
        <w:rPr>
          <w:b/>
          <w:color w:val="000000" w:themeColor="text1"/>
        </w:rPr>
        <w:t>section 1.X</w:t>
      </w:r>
      <w:r>
        <w:rPr>
          <w:color w:val="000000" w:themeColor="text1"/>
        </w:rPr>
        <w:t xml:space="preserve">, however, we recognise that this will be further tested as we take the steps needed to secure the sustainability of our organisation’s fragile services. There is an </w:t>
      </w:r>
      <w:r>
        <w:rPr>
          <w:color w:val="000000" w:themeColor="text1"/>
        </w:rPr>
        <w:lastRenderedPageBreak/>
        <w:t xml:space="preserve">immediate focus on the Emergency Department at Royal Glamorgan Hospital, and the Health Board has </w:t>
      </w:r>
      <w:r>
        <w:rPr>
          <w:sz w:val="23"/>
          <w:szCs w:val="23"/>
        </w:rPr>
        <w:t>already learned a huge amount from listening to what the public and partners have said. We understand that it is essential for the concerns raised and the ideas suggested by individuals, communities and organisations to be heard and for this information to be used to help shape the development and assessment of options for this key service change.</w:t>
      </w:r>
    </w:p>
    <w:p w14:paraId="032F0093" w14:textId="77777777" w:rsidR="003F0853" w:rsidRDefault="003F0853" w:rsidP="003F0853">
      <w:pPr>
        <w:rPr>
          <w:color w:val="000000" w:themeColor="text1"/>
        </w:rPr>
      </w:pPr>
    </w:p>
    <w:p w14:paraId="3D35BA81" w14:textId="77777777" w:rsidR="003F0853" w:rsidRDefault="003F0853" w:rsidP="003F0853">
      <w:pPr>
        <w:rPr>
          <w:color w:val="000000" w:themeColor="text1"/>
        </w:rPr>
      </w:pPr>
      <w:r>
        <w:rPr>
          <w:noProof/>
          <w:color w:val="000000" w:themeColor="text1"/>
        </w:rPr>
        <w:drawing>
          <wp:anchor distT="0" distB="0" distL="114300" distR="114300" simplePos="0" relativeHeight="252936192" behindDoc="0" locked="0" layoutInCell="1" allowOverlap="1" wp14:anchorId="31E20198" wp14:editId="4663F0CC">
            <wp:simplePos x="0" y="0"/>
            <wp:positionH relativeFrom="margin">
              <wp:align>right</wp:align>
            </wp:positionH>
            <wp:positionV relativeFrom="paragraph">
              <wp:posOffset>24130</wp:posOffset>
            </wp:positionV>
            <wp:extent cx="2348865" cy="227838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48865" cy="2278380"/>
                    </a:xfrm>
                    <a:prstGeom prst="rect">
                      <a:avLst/>
                    </a:prstGeom>
                    <a:noFill/>
                  </pic:spPr>
                </pic:pic>
              </a:graphicData>
            </a:graphic>
            <wp14:sizeRelH relativeFrom="margin">
              <wp14:pctWidth>0</wp14:pctWidth>
            </wp14:sizeRelH>
            <wp14:sizeRelV relativeFrom="margin">
              <wp14:pctHeight>0</wp14:pctHeight>
            </wp14:sizeRelV>
          </wp:anchor>
        </w:drawing>
      </w:r>
      <w:r w:rsidRPr="00782241">
        <w:rPr>
          <w:color w:val="000000" w:themeColor="text1"/>
        </w:rPr>
        <w:t xml:space="preserve">The </w:t>
      </w:r>
      <w:r>
        <w:rPr>
          <w:color w:val="000000" w:themeColor="text1"/>
        </w:rPr>
        <w:t>IMTP</w:t>
      </w:r>
      <w:r w:rsidRPr="00782241">
        <w:rPr>
          <w:color w:val="000000" w:themeColor="text1"/>
        </w:rPr>
        <w:t xml:space="preserve"> has been developed as part of a ‘bottom-up’ planning process, building upon our Directorate, </w:t>
      </w:r>
      <w:r>
        <w:rPr>
          <w:color w:val="000000" w:themeColor="text1"/>
        </w:rPr>
        <w:t>Locality, and Corporate enabling</w:t>
      </w:r>
      <w:r w:rsidRPr="00782241">
        <w:rPr>
          <w:color w:val="000000" w:themeColor="text1"/>
        </w:rPr>
        <w:t xml:space="preserve"> plans. It integrates our service, workforce and financial plans</w:t>
      </w:r>
      <w:r>
        <w:rPr>
          <w:color w:val="000000" w:themeColor="text1"/>
        </w:rPr>
        <w:t xml:space="preserve">. </w:t>
      </w:r>
      <w:r w:rsidRPr="00782241">
        <w:rPr>
          <w:color w:val="000000" w:themeColor="text1"/>
        </w:rPr>
        <w:t xml:space="preserve">As plans </w:t>
      </w:r>
      <w:r>
        <w:rPr>
          <w:color w:val="000000" w:themeColor="text1"/>
        </w:rPr>
        <w:t xml:space="preserve">have been </w:t>
      </w:r>
      <w:r w:rsidRPr="00782241">
        <w:rPr>
          <w:color w:val="000000" w:themeColor="text1"/>
        </w:rPr>
        <w:t>developed, they are triangulated against quali</w:t>
      </w:r>
      <w:r>
        <w:rPr>
          <w:color w:val="000000" w:themeColor="text1"/>
        </w:rPr>
        <w:t>ty, resource (finance, people</w:t>
      </w:r>
      <w:r w:rsidRPr="00782241">
        <w:rPr>
          <w:color w:val="000000" w:themeColor="text1"/>
        </w:rPr>
        <w:t>, capital, estates, ICT) and outcome.</w:t>
      </w:r>
      <w:r>
        <w:rPr>
          <w:color w:val="000000" w:themeColor="text1"/>
        </w:rPr>
        <w:t xml:space="preserve">  This has been underpinned by consideration of the Well-being of Future Generations Act, Sustainable Development Principle: ‘the five ways of working’.</w:t>
      </w:r>
    </w:p>
    <w:p w14:paraId="5140BC0F" w14:textId="77777777" w:rsidR="003F0853" w:rsidRDefault="003F0853" w:rsidP="003F0853">
      <w:pPr>
        <w:rPr>
          <w:color w:val="000000" w:themeColor="text1"/>
        </w:rPr>
      </w:pPr>
    </w:p>
    <w:p w14:paraId="3B7B6A16" w14:textId="77777777" w:rsidR="003F0853" w:rsidRDefault="003F0853" w:rsidP="003F0853">
      <w:pPr>
        <w:rPr>
          <w:color w:val="000000" w:themeColor="text1"/>
        </w:rPr>
      </w:pPr>
      <w:r>
        <w:rPr>
          <w:color w:val="000000" w:themeColor="text1"/>
        </w:rPr>
        <w:t>We recognise the scale of the challenges we face; we are starting out on our improvement journey and there is still much to do. No plan is without risk and while we have delivered the ‘green shoots of change’ we are by no means complacent.</w:t>
      </w:r>
    </w:p>
    <w:p w14:paraId="08A19148" w14:textId="77777777" w:rsidR="003F0853" w:rsidRDefault="003F0853" w:rsidP="003F0853">
      <w:pPr>
        <w:rPr>
          <w:color w:val="000000" w:themeColor="text1"/>
        </w:rPr>
      </w:pPr>
    </w:p>
    <w:p w14:paraId="394F2EFB" w14:textId="77777777" w:rsidR="003F0853" w:rsidRDefault="003F0853" w:rsidP="003F0853">
      <w:pPr>
        <w:rPr>
          <w:color w:val="000000" w:themeColor="text1"/>
        </w:rPr>
      </w:pPr>
      <w:r>
        <w:rPr>
          <w:color w:val="000000" w:themeColor="text1"/>
        </w:rPr>
        <w:t>We recognise the need to finish what we have started, and that the capacity of the organisation to develop, learn and grow at the pace required will be tested. Areas of focus for 2020-23 include:</w:t>
      </w:r>
    </w:p>
    <w:p w14:paraId="2DCA1306" w14:textId="77777777" w:rsidR="003F0853" w:rsidRDefault="003F0853" w:rsidP="003F0853">
      <w:pPr>
        <w:rPr>
          <w:color w:val="000000" w:themeColor="text1"/>
        </w:rPr>
      </w:pPr>
    </w:p>
    <w:p w14:paraId="3C489DBA" w14:textId="77777777" w:rsidR="003F0853" w:rsidRDefault="003F0853" w:rsidP="003F0853">
      <w:pPr>
        <w:numPr>
          <w:ilvl w:val="0"/>
          <w:numId w:val="42"/>
        </w:numPr>
      </w:pPr>
      <w:r>
        <w:t xml:space="preserve">The </w:t>
      </w:r>
      <w:r w:rsidRPr="00A43980">
        <w:t>c</w:t>
      </w:r>
      <w:r>
        <w:t>ontinued development of the Health Board</w:t>
      </w:r>
      <w:r w:rsidRPr="00A43980">
        <w:t xml:space="preserve">, focusing on engaging and </w:t>
      </w:r>
      <w:r w:rsidRPr="00A43980">
        <w:rPr>
          <w:lang w:val="en-US"/>
        </w:rPr>
        <w:t xml:space="preserve">empowering our people, embedding our values and </w:t>
      </w:r>
      <w:r w:rsidRPr="00A43980">
        <w:t>behaviours</w:t>
      </w:r>
      <w:r w:rsidRPr="00A43980">
        <w:rPr>
          <w:lang w:val="en-US"/>
        </w:rPr>
        <w:t>, and a clear structure and operating model</w:t>
      </w:r>
      <w:r w:rsidRPr="00A43980">
        <w:t>.</w:t>
      </w:r>
    </w:p>
    <w:p w14:paraId="48D7CC86" w14:textId="77777777" w:rsidR="003F0853" w:rsidRDefault="003F0853" w:rsidP="003F0853">
      <w:pPr>
        <w:numPr>
          <w:ilvl w:val="0"/>
          <w:numId w:val="42"/>
        </w:numPr>
      </w:pPr>
      <w:r>
        <w:t>Grow clinical and community leadership and deliver robust, simplified and safe decision making; learning through quality improvements and strengthening involvement of patients, staff and partners in service redesign.</w:t>
      </w:r>
    </w:p>
    <w:p w14:paraId="19CE165C" w14:textId="77777777" w:rsidR="003F0853" w:rsidRDefault="003F0853" w:rsidP="003F0853">
      <w:pPr>
        <w:numPr>
          <w:ilvl w:val="0"/>
          <w:numId w:val="42"/>
        </w:numPr>
      </w:pPr>
      <w:r>
        <w:t xml:space="preserve">The implementation of the Health Board’s Quality and Patient Safety Governance Framework, including across maternity services. </w:t>
      </w:r>
    </w:p>
    <w:p w14:paraId="123C8D8F" w14:textId="77777777" w:rsidR="003F0853" w:rsidRDefault="003F0853" w:rsidP="003F0853">
      <w:pPr>
        <w:numPr>
          <w:ilvl w:val="0"/>
          <w:numId w:val="42"/>
        </w:numPr>
      </w:pPr>
      <w:r>
        <w:t>The development of the 10 year Health Board Integrated Health and Care Strategy.</w:t>
      </w:r>
    </w:p>
    <w:p w14:paraId="380F5B06" w14:textId="77777777" w:rsidR="003F0853" w:rsidRDefault="003F0853" w:rsidP="003F0853">
      <w:pPr>
        <w:numPr>
          <w:ilvl w:val="0"/>
          <w:numId w:val="42"/>
        </w:numPr>
      </w:pPr>
      <w:r>
        <w:t>Ensuring the outstanding issues first identified in the South Wales Programme, regarding potentially unsafe and unsustainable services (particularly emergency medicine (A&amp;E), acute medicine and inpatient paediatric services), are fully addressed, following extensive public and clinical discussion.</w:t>
      </w:r>
    </w:p>
    <w:p w14:paraId="4023D83C" w14:textId="77777777" w:rsidR="003F0853" w:rsidRDefault="003F0853" w:rsidP="003F0853">
      <w:pPr>
        <w:numPr>
          <w:ilvl w:val="0"/>
          <w:numId w:val="42"/>
        </w:numPr>
      </w:pPr>
      <w:r>
        <w:t>Delivery of regional and national service change plans, including Major Trauma services.</w:t>
      </w:r>
    </w:p>
    <w:p w14:paraId="3A2B5495" w14:textId="77777777" w:rsidR="003F0853" w:rsidRDefault="003F0853" w:rsidP="003F0853">
      <w:pPr>
        <w:numPr>
          <w:ilvl w:val="0"/>
          <w:numId w:val="42"/>
        </w:numPr>
      </w:pPr>
      <w:r>
        <w:t>The continued implementation of the Regional Partnership Board transformation ambition and further alignment of Primary Care Clusters and Mental Health Localities.</w:t>
      </w:r>
    </w:p>
    <w:p w14:paraId="2B58A95A" w14:textId="77777777" w:rsidR="003F0853" w:rsidRDefault="003F0853" w:rsidP="003F0853">
      <w:pPr>
        <w:numPr>
          <w:ilvl w:val="0"/>
          <w:numId w:val="42"/>
        </w:numPr>
      </w:pPr>
      <w:r>
        <w:t xml:space="preserve">Delivery against the NHS Wales Delivery and Outcomes Framework, including ensuring patients are more consistently able to access services in a timely manner. </w:t>
      </w:r>
    </w:p>
    <w:p w14:paraId="0365B7A4" w14:textId="77777777" w:rsidR="003F0853" w:rsidRPr="00934CEB" w:rsidRDefault="003F0853" w:rsidP="003F0853">
      <w:pPr>
        <w:numPr>
          <w:ilvl w:val="0"/>
          <w:numId w:val="42"/>
        </w:numPr>
      </w:pPr>
      <w:r>
        <w:t>Planning for recurrent financial balance.</w:t>
      </w:r>
    </w:p>
    <w:p w14:paraId="7042CF2A" w14:textId="77777777" w:rsidR="003F0853" w:rsidRDefault="003F0853" w:rsidP="003F0853">
      <w:pPr>
        <w:rPr>
          <w:color w:val="000000" w:themeColor="text1"/>
        </w:rPr>
      </w:pPr>
    </w:p>
    <w:p w14:paraId="4E126E20" w14:textId="77777777" w:rsidR="003F0853" w:rsidRDefault="003F0853" w:rsidP="003F0853">
      <w:pPr>
        <w:rPr>
          <w:color w:val="000000" w:themeColor="text1"/>
        </w:rPr>
      </w:pPr>
      <w:r w:rsidRPr="00E348E2">
        <w:rPr>
          <w:color w:val="000000" w:themeColor="text1"/>
        </w:rPr>
        <w:t xml:space="preserve">Key enablers in the delivery of the priorities will be patient engagement and </w:t>
      </w:r>
      <w:r>
        <w:rPr>
          <w:color w:val="000000" w:themeColor="text1"/>
        </w:rPr>
        <w:t>involvement</w:t>
      </w:r>
      <w:r w:rsidRPr="00E348E2">
        <w:rPr>
          <w:color w:val="000000" w:themeColor="text1"/>
        </w:rPr>
        <w:t xml:space="preserve">, </w:t>
      </w:r>
      <w:r>
        <w:rPr>
          <w:color w:val="000000" w:themeColor="text1"/>
        </w:rPr>
        <w:t>developing</w:t>
      </w:r>
      <w:r w:rsidRPr="00E348E2">
        <w:rPr>
          <w:color w:val="000000" w:themeColor="text1"/>
        </w:rPr>
        <w:t xml:space="preserve"> work in relation to the Health Board</w:t>
      </w:r>
      <w:r>
        <w:rPr>
          <w:color w:val="000000" w:themeColor="text1"/>
        </w:rPr>
        <w:t>’</w:t>
      </w:r>
      <w:r w:rsidRPr="00E348E2">
        <w:rPr>
          <w:color w:val="000000" w:themeColor="text1"/>
        </w:rPr>
        <w:t>s digital plans, and the implementation of the Welsh Language (Wales) Measure 2011. The Well-being Plans and Area Plan for the CTM region form an underlying work programme for the IMTP.</w:t>
      </w:r>
    </w:p>
    <w:p w14:paraId="3417A2CF" w14:textId="77777777" w:rsidR="003F0853" w:rsidRDefault="003F0853" w:rsidP="003F0853">
      <w:pPr>
        <w:rPr>
          <w:color w:val="000000" w:themeColor="text1"/>
        </w:rPr>
      </w:pPr>
    </w:p>
    <w:p w14:paraId="0595D094" w14:textId="12657970" w:rsidR="00456C35" w:rsidRPr="009C725B" w:rsidRDefault="003F0853" w:rsidP="00456C35">
      <w:r>
        <w:rPr>
          <w:color w:val="000000" w:themeColor="text1"/>
        </w:rPr>
        <w:t xml:space="preserve">The Health Board objectives, including the improvement journey outlined above, </w:t>
      </w:r>
      <w:r w:rsidRPr="007358E7">
        <w:rPr>
          <w:color w:val="000000" w:themeColor="text1"/>
        </w:rPr>
        <w:t xml:space="preserve">will </w:t>
      </w:r>
      <w:r>
        <w:rPr>
          <w:color w:val="000000" w:themeColor="text1"/>
        </w:rPr>
        <w:t xml:space="preserve">only </w:t>
      </w:r>
      <w:r w:rsidRPr="007358E7">
        <w:rPr>
          <w:color w:val="000000" w:themeColor="text1"/>
        </w:rPr>
        <w:t>be achieved by w</w:t>
      </w:r>
      <w:r>
        <w:rPr>
          <w:color w:val="000000" w:themeColor="text1"/>
        </w:rPr>
        <w:t>orking closely in with our people</w:t>
      </w:r>
      <w:r w:rsidRPr="007358E7">
        <w:rPr>
          <w:color w:val="000000" w:themeColor="text1"/>
        </w:rPr>
        <w:t xml:space="preserve">, </w:t>
      </w:r>
      <w:r>
        <w:rPr>
          <w:color w:val="000000" w:themeColor="text1"/>
        </w:rPr>
        <w:t xml:space="preserve">our </w:t>
      </w:r>
      <w:r w:rsidRPr="007358E7">
        <w:rPr>
          <w:color w:val="000000" w:themeColor="text1"/>
        </w:rPr>
        <w:t>partners and</w:t>
      </w:r>
      <w:r>
        <w:rPr>
          <w:color w:val="000000" w:themeColor="text1"/>
        </w:rPr>
        <w:t xml:space="preserve"> our</w:t>
      </w:r>
      <w:r w:rsidRPr="007358E7">
        <w:rPr>
          <w:color w:val="000000" w:themeColor="text1"/>
        </w:rPr>
        <w:t xml:space="preserve"> local communities; in line with our quality and performance standards; and wi</w:t>
      </w:r>
      <w:r>
        <w:rPr>
          <w:color w:val="000000" w:themeColor="text1"/>
        </w:rPr>
        <w:t>thin a financial envelope which provides</w:t>
      </w:r>
      <w:r w:rsidRPr="007358E7">
        <w:rPr>
          <w:color w:val="000000" w:themeColor="text1"/>
        </w:rPr>
        <w:t xml:space="preserve"> value for money and </w:t>
      </w:r>
      <w:r>
        <w:rPr>
          <w:color w:val="000000" w:themeColor="text1"/>
        </w:rPr>
        <w:t xml:space="preserve">is </w:t>
      </w:r>
      <w:r w:rsidRPr="007358E7">
        <w:rPr>
          <w:color w:val="000000" w:themeColor="text1"/>
        </w:rPr>
        <w:t>affordable.</w:t>
      </w:r>
      <w:r>
        <w:rPr>
          <w:color w:val="000000" w:themeColor="text1"/>
        </w:rPr>
        <w:t xml:space="preserve">  This would be challenging enough in a ‘typical NHS year’ however, as we enter a period of huge uncertainty and action related to the global Covid-19 pandemic, our staff, partners and population will be tested in ways not seen for generations.  This IMTP sets out our ambition prior to this enormous challenge. In the coming weeks and months the test will be how we flex and adapt this plan while remaining true to our values and vision.</w:t>
      </w:r>
    </w:p>
    <w:p w14:paraId="2DC3AC46" w14:textId="64AB92E9" w:rsidR="00611BEB" w:rsidRDefault="00611BEB" w:rsidP="005A47D6">
      <w:pPr>
        <w:rPr>
          <w:color w:val="000000" w:themeColor="text1"/>
          <w:lang w:eastAsia="en-US"/>
        </w:rPr>
      </w:pPr>
    </w:p>
    <w:p w14:paraId="46B4D7D7" w14:textId="5514FA20" w:rsidR="00611BEB" w:rsidRDefault="00611BEB" w:rsidP="005A47D6">
      <w:pPr>
        <w:rPr>
          <w:color w:val="000000" w:themeColor="text1"/>
          <w:lang w:eastAsia="en-US"/>
        </w:rPr>
      </w:pPr>
    </w:p>
    <w:p w14:paraId="22C927DA" w14:textId="77777777" w:rsidR="00611BEB" w:rsidRPr="005A47D6" w:rsidRDefault="00611BEB" w:rsidP="005A47D6">
      <w:pPr>
        <w:rPr>
          <w:color w:val="000000" w:themeColor="text1"/>
          <w:lang w:eastAsia="en-US"/>
        </w:rPr>
        <w:sectPr w:rsidR="00611BEB" w:rsidRPr="005A47D6" w:rsidSect="00611BEB">
          <w:headerReference w:type="even" r:id="rId17"/>
          <w:headerReference w:type="default" r:id="rId18"/>
          <w:headerReference w:type="first" r:id="rId19"/>
          <w:footerReference w:type="first" r:id="rId20"/>
          <w:pgSz w:w="11906" w:h="16838"/>
          <w:pgMar w:top="964" w:right="964" w:bottom="964" w:left="964" w:header="709" w:footer="709" w:gutter="0"/>
          <w:pgNumType w:fmt="lowerRoman"/>
          <w:cols w:space="708"/>
          <w:titlePg/>
          <w:docGrid w:linePitch="360"/>
        </w:sectPr>
      </w:pPr>
    </w:p>
    <w:p w14:paraId="60161D0B" w14:textId="77777777" w:rsidR="000F62E2" w:rsidRDefault="00611BEB">
      <w:pPr>
        <w:pStyle w:val="TOC1"/>
        <w:tabs>
          <w:tab w:val="left" w:pos="390"/>
          <w:tab w:val="right" w:pos="9968"/>
        </w:tabs>
        <w:rPr>
          <w:rFonts w:eastAsiaTheme="minorEastAsia" w:cstheme="minorBidi"/>
          <w:b w:val="0"/>
          <w:bCs w:val="0"/>
          <w:caps w:val="0"/>
          <w:noProof/>
          <w:u w:val="none"/>
        </w:rPr>
      </w:pPr>
      <w:r>
        <w:rPr>
          <w:smallCaps/>
        </w:rPr>
        <w:lastRenderedPageBreak/>
        <w:fldChar w:fldCharType="begin"/>
      </w:r>
      <w:r>
        <w:instrText xml:space="preserve"> TOC \o "1-2" \h \z \u </w:instrText>
      </w:r>
      <w:r>
        <w:rPr>
          <w:smallCaps/>
        </w:rPr>
        <w:fldChar w:fldCharType="separate"/>
      </w:r>
      <w:hyperlink w:anchor="_Toc29573927" w:history="1">
        <w:r w:rsidR="000F62E2" w:rsidRPr="0085681C">
          <w:rPr>
            <w:rStyle w:val="Hyperlink"/>
            <w:noProof/>
          </w:rPr>
          <w:t>1.</w:t>
        </w:r>
        <w:r w:rsidR="000F62E2">
          <w:rPr>
            <w:rFonts w:eastAsiaTheme="minorEastAsia" w:cstheme="minorBidi"/>
            <w:b w:val="0"/>
            <w:bCs w:val="0"/>
            <w:caps w:val="0"/>
            <w:noProof/>
            <w:u w:val="none"/>
          </w:rPr>
          <w:tab/>
        </w:r>
        <w:r w:rsidR="000F62E2" w:rsidRPr="0085681C">
          <w:rPr>
            <w:rStyle w:val="Hyperlink"/>
            <w:noProof/>
          </w:rPr>
          <w:t>STRATEGIC CONTEXT</w:t>
        </w:r>
        <w:r w:rsidR="000F62E2">
          <w:rPr>
            <w:noProof/>
            <w:webHidden/>
          </w:rPr>
          <w:tab/>
        </w:r>
        <w:r w:rsidR="000F62E2">
          <w:rPr>
            <w:noProof/>
            <w:webHidden/>
          </w:rPr>
          <w:fldChar w:fldCharType="begin"/>
        </w:r>
        <w:r w:rsidR="000F62E2">
          <w:rPr>
            <w:noProof/>
            <w:webHidden/>
          </w:rPr>
          <w:instrText xml:space="preserve"> PAGEREF _Toc29573927 \h </w:instrText>
        </w:r>
        <w:r w:rsidR="000F62E2">
          <w:rPr>
            <w:noProof/>
            <w:webHidden/>
          </w:rPr>
        </w:r>
        <w:r w:rsidR="000F62E2">
          <w:rPr>
            <w:noProof/>
            <w:webHidden/>
          </w:rPr>
          <w:fldChar w:fldCharType="separate"/>
        </w:r>
        <w:r w:rsidR="00A611A7">
          <w:rPr>
            <w:noProof/>
            <w:webHidden/>
          </w:rPr>
          <w:t>1</w:t>
        </w:r>
        <w:r w:rsidR="000F62E2">
          <w:rPr>
            <w:noProof/>
            <w:webHidden/>
          </w:rPr>
          <w:fldChar w:fldCharType="end"/>
        </w:r>
      </w:hyperlink>
    </w:p>
    <w:p w14:paraId="4B65247C" w14:textId="77777777" w:rsidR="000F62E2" w:rsidRDefault="00883972">
      <w:pPr>
        <w:pStyle w:val="TOC2"/>
        <w:tabs>
          <w:tab w:val="left" w:pos="502"/>
          <w:tab w:val="right" w:pos="9968"/>
        </w:tabs>
        <w:rPr>
          <w:rFonts w:eastAsiaTheme="minorEastAsia" w:cstheme="minorBidi"/>
          <w:b w:val="0"/>
          <w:bCs w:val="0"/>
          <w:smallCaps w:val="0"/>
          <w:noProof/>
        </w:rPr>
      </w:pPr>
      <w:hyperlink w:anchor="_Toc29573928" w:history="1">
        <w:r w:rsidR="000F62E2" w:rsidRPr="0085681C">
          <w:rPr>
            <w:rStyle w:val="Hyperlink"/>
            <w:noProof/>
          </w:rPr>
          <w:t>1.1</w:t>
        </w:r>
        <w:r w:rsidR="000F62E2">
          <w:rPr>
            <w:rFonts w:eastAsiaTheme="minorEastAsia" w:cstheme="minorBidi"/>
            <w:b w:val="0"/>
            <w:bCs w:val="0"/>
            <w:smallCaps w:val="0"/>
            <w:noProof/>
          </w:rPr>
          <w:tab/>
        </w:r>
        <w:r w:rsidR="000F62E2" w:rsidRPr="0085681C">
          <w:rPr>
            <w:rStyle w:val="Hyperlink"/>
            <w:noProof/>
          </w:rPr>
          <w:t>Health Board Profile</w:t>
        </w:r>
        <w:r w:rsidR="000F62E2">
          <w:rPr>
            <w:noProof/>
            <w:webHidden/>
          </w:rPr>
          <w:tab/>
        </w:r>
        <w:r w:rsidR="000F62E2">
          <w:rPr>
            <w:noProof/>
            <w:webHidden/>
          </w:rPr>
          <w:fldChar w:fldCharType="begin"/>
        </w:r>
        <w:r w:rsidR="000F62E2">
          <w:rPr>
            <w:noProof/>
            <w:webHidden/>
          </w:rPr>
          <w:instrText xml:space="preserve"> PAGEREF _Toc29573928 \h </w:instrText>
        </w:r>
        <w:r w:rsidR="000F62E2">
          <w:rPr>
            <w:noProof/>
            <w:webHidden/>
          </w:rPr>
        </w:r>
        <w:r w:rsidR="000F62E2">
          <w:rPr>
            <w:noProof/>
            <w:webHidden/>
          </w:rPr>
          <w:fldChar w:fldCharType="separate"/>
        </w:r>
        <w:r w:rsidR="00A611A7">
          <w:rPr>
            <w:noProof/>
            <w:webHidden/>
          </w:rPr>
          <w:t>1</w:t>
        </w:r>
        <w:r w:rsidR="000F62E2">
          <w:rPr>
            <w:noProof/>
            <w:webHidden/>
          </w:rPr>
          <w:fldChar w:fldCharType="end"/>
        </w:r>
      </w:hyperlink>
    </w:p>
    <w:p w14:paraId="02357BB2" w14:textId="77777777" w:rsidR="000F62E2" w:rsidRDefault="00883972">
      <w:pPr>
        <w:pStyle w:val="TOC2"/>
        <w:tabs>
          <w:tab w:val="left" w:pos="502"/>
          <w:tab w:val="right" w:pos="9968"/>
        </w:tabs>
        <w:rPr>
          <w:rFonts w:eastAsiaTheme="minorEastAsia" w:cstheme="minorBidi"/>
          <w:b w:val="0"/>
          <w:bCs w:val="0"/>
          <w:smallCaps w:val="0"/>
          <w:noProof/>
        </w:rPr>
      </w:pPr>
      <w:hyperlink w:anchor="_Toc29573929" w:history="1">
        <w:r w:rsidR="000F62E2" w:rsidRPr="0085681C">
          <w:rPr>
            <w:rStyle w:val="Hyperlink"/>
            <w:noProof/>
          </w:rPr>
          <w:t>1.2</w:t>
        </w:r>
        <w:r w:rsidR="000F62E2">
          <w:rPr>
            <w:rFonts w:eastAsiaTheme="minorEastAsia" w:cstheme="minorBidi"/>
            <w:b w:val="0"/>
            <w:bCs w:val="0"/>
            <w:smallCaps w:val="0"/>
            <w:noProof/>
          </w:rPr>
          <w:tab/>
        </w:r>
        <w:r w:rsidR="000F62E2" w:rsidRPr="0085681C">
          <w:rPr>
            <w:rStyle w:val="Hyperlink"/>
            <w:noProof/>
          </w:rPr>
          <w:t>THe Cwm Taf Morgannwg Improvement Journey</w:t>
        </w:r>
        <w:r w:rsidR="000F62E2">
          <w:rPr>
            <w:noProof/>
            <w:webHidden/>
          </w:rPr>
          <w:tab/>
        </w:r>
        <w:r w:rsidR="000F62E2">
          <w:rPr>
            <w:noProof/>
            <w:webHidden/>
          </w:rPr>
          <w:fldChar w:fldCharType="begin"/>
        </w:r>
        <w:r w:rsidR="000F62E2">
          <w:rPr>
            <w:noProof/>
            <w:webHidden/>
          </w:rPr>
          <w:instrText xml:space="preserve"> PAGEREF _Toc29573929 \h </w:instrText>
        </w:r>
        <w:r w:rsidR="000F62E2">
          <w:rPr>
            <w:noProof/>
            <w:webHidden/>
          </w:rPr>
        </w:r>
        <w:r w:rsidR="000F62E2">
          <w:rPr>
            <w:noProof/>
            <w:webHidden/>
          </w:rPr>
          <w:fldChar w:fldCharType="separate"/>
        </w:r>
        <w:r w:rsidR="00A611A7">
          <w:rPr>
            <w:noProof/>
            <w:webHidden/>
          </w:rPr>
          <w:t>1</w:t>
        </w:r>
        <w:r w:rsidR="000F62E2">
          <w:rPr>
            <w:noProof/>
            <w:webHidden/>
          </w:rPr>
          <w:fldChar w:fldCharType="end"/>
        </w:r>
      </w:hyperlink>
    </w:p>
    <w:p w14:paraId="58D71C8D" w14:textId="77777777" w:rsidR="000F62E2" w:rsidRDefault="00883972">
      <w:pPr>
        <w:pStyle w:val="TOC2"/>
        <w:tabs>
          <w:tab w:val="left" w:pos="502"/>
          <w:tab w:val="right" w:pos="9968"/>
        </w:tabs>
        <w:rPr>
          <w:rFonts w:eastAsiaTheme="minorEastAsia" w:cstheme="minorBidi"/>
          <w:b w:val="0"/>
          <w:bCs w:val="0"/>
          <w:smallCaps w:val="0"/>
          <w:noProof/>
        </w:rPr>
      </w:pPr>
      <w:hyperlink w:anchor="_Toc29573930" w:history="1">
        <w:r w:rsidR="000F62E2" w:rsidRPr="0085681C">
          <w:rPr>
            <w:rStyle w:val="Hyperlink"/>
            <w:noProof/>
          </w:rPr>
          <w:t>1.3</w:t>
        </w:r>
        <w:r w:rsidR="000F62E2">
          <w:rPr>
            <w:rFonts w:eastAsiaTheme="minorEastAsia" w:cstheme="minorBidi"/>
            <w:b w:val="0"/>
            <w:bCs w:val="0"/>
            <w:smallCaps w:val="0"/>
            <w:noProof/>
          </w:rPr>
          <w:tab/>
        </w:r>
        <w:r w:rsidR="000F62E2" w:rsidRPr="0085681C">
          <w:rPr>
            <w:rStyle w:val="Hyperlink"/>
            <w:noProof/>
          </w:rPr>
          <w:t>Values, Vision And Strategic Objectives</w:t>
        </w:r>
        <w:r w:rsidR="000F62E2">
          <w:rPr>
            <w:noProof/>
            <w:webHidden/>
          </w:rPr>
          <w:tab/>
        </w:r>
        <w:r w:rsidR="000F62E2">
          <w:rPr>
            <w:noProof/>
            <w:webHidden/>
          </w:rPr>
          <w:fldChar w:fldCharType="begin"/>
        </w:r>
        <w:r w:rsidR="000F62E2">
          <w:rPr>
            <w:noProof/>
            <w:webHidden/>
          </w:rPr>
          <w:instrText xml:space="preserve"> PAGEREF _Toc29573930 \h </w:instrText>
        </w:r>
        <w:r w:rsidR="000F62E2">
          <w:rPr>
            <w:noProof/>
            <w:webHidden/>
          </w:rPr>
        </w:r>
        <w:r w:rsidR="000F62E2">
          <w:rPr>
            <w:noProof/>
            <w:webHidden/>
          </w:rPr>
          <w:fldChar w:fldCharType="separate"/>
        </w:r>
        <w:r w:rsidR="00A611A7">
          <w:rPr>
            <w:noProof/>
            <w:webHidden/>
          </w:rPr>
          <w:t>2</w:t>
        </w:r>
        <w:r w:rsidR="000F62E2">
          <w:rPr>
            <w:noProof/>
            <w:webHidden/>
          </w:rPr>
          <w:fldChar w:fldCharType="end"/>
        </w:r>
      </w:hyperlink>
    </w:p>
    <w:p w14:paraId="4F6F329A" w14:textId="77777777" w:rsidR="000F62E2" w:rsidRDefault="00883972">
      <w:pPr>
        <w:pStyle w:val="TOC2"/>
        <w:tabs>
          <w:tab w:val="left" w:pos="502"/>
          <w:tab w:val="right" w:pos="9968"/>
        </w:tabs>
        <w:rPr>
          <w:rFonts w:eastAsiaTheme="minorEastAsia" w:cstheme="minorBidi"/>
          <w:b w:val="0"/>
          <w:bCs w:val="0"/>
          <w:smallCaps w:val="0"/>
          <w:noProof/>
        </w:rPr>
      </w:pPr>
      <w:hyperlink w:anchor="_Toc29573931" w:history="1">
        <w:r w:rsidR="000F62E2" w:rsidRPr="0085681C">
          <w:rPr>
            <w:rStyle w:val="Hyperlink"/>
            <w:noProof/>
          </w:rPr>
          <w:t>1.4</w:t>
        </w:r>
        <w:r w:rsidR="000F62E2">
          <w:rPr>
            <w:rFonts w:eastAsiaTheme="minorEastAsia" w:cstheme="minorBidi"/>
            <w:b w:val="0"/>
            <w:bCs w:val="0"/>
            <w:smallCaps w:val="0"/>
            <w:noProof/>
          </w:rPr>
          <w:tab/>
        </w:r>
        <w:r w:rsidR="000F62E2" w:rsidRPr="0085681C">
          <w:rPr>
            <w:rStyle w:val="Hyperlink"/>
            <w:noProof/>
          </w:rPr>
          <w:t>Integrated Health And Care Strategy</w:t>
        </w:r>
        <w:r w:rsidR="000F62E2">
          <w:rPr>
            <w:noProof/>
            <w:webHidden/>
          </w:rPr>
          <w:tab/>
        </w:r>
        <w:r w:rsidR="000F62E2">
          <w:rPr>
            <w:noProof/>
            <w:webHidden/>
          </w:rPr>
          <w:fldChar w:fldCharType="begin"/>
        </w:r>
        <w:r w:rsidR="000F62E2">
          <w:rPr>
            <w:noProof/>
            <w:webHidden/>
          </w:rPr>
          <w:instrText xml:space="preserve"> PAGEREF _Toc29573931 \h </w:instrText>
        </w:r>
        <w:r w:rsidR="000F62E2">
          <w:rPr>
            <w:noProof/>
            <w:webHidden/>
          </w:rPr>
        </w:r>
        <w:r w:rsidR="000F62E2">
          <w:rPr>
            <w:noProof/>
            <w:webHidden/>
          </w:rPr>
          <w:fldChar w:fldCharType="separate"/>
        </w:r>
        <w:r w:rsidR="00A611A7">
          <w:rPr>
            <w:noProof/>
            <w:webHidden/>
          </w:rPr>
          <w:t>4</w:t>
        </w:r>
        <w:r w:rsidR="000F62E2">
          <w:rPr>
            <w:noProof/>
            <w:webHidden/>
          </w:rPr>
          <w:fldChar w:fldCharType="end"/>
        </w:r>
      </w:hyperlink>
    </w:p>
    <w:p w14:paraId="77F52591" w14:textId="77777777" w:rsidR="000F62E2" w:rsidRDefault="00883972">
      <w:pPr>
        <w:pStyle w:val="TOC2"/>
        <w:tabs>
          <w:tab w:val="left" w:pos="502"/>
          <w:tab w:val="right" w:pos="9968"/>
        </w:tabs>
        <w:rPr>
          <w:rFonts w:eastAsiaTheme="minorEastAsia" w:cstheme="minorBidi"/>
          <w:b w:val="0"/>
          <w:bCs w:val="0"/>
          <w:smallCaps w:val="0"/>
          <w:noProof/>
        </w:rPr>
      </w:pPr>
      <w:hyperlink w:anchor="_Toc29573932" w:history="1">
        <w:r w:rsidR="000F62E2" w:rsidRPr="0085681C">
          <w:rPr>
            <w:rStyle w:val="Hyperlink"/>
            <w:noProof/>
          </w:rPr>
          <w:t>1.5</w:t>
        </w:r>
        <w:r w:rsidR="000F62E2">
          <w:rPr>
            <w:rFonts w:eastAsiaTheme="minorEastAsia" w:cstheme="minorBidi"/>
            <w:b w:val="0"/>
            <w:bCs w:val="0"/>
            <w:smallCaps w:val="0"/>
            <w:noProof/>
          </w:rPr>
          <w:tab/>
        </w:r>
        <w:r w:rsidR="000F62E2" w:rsidRPr="0085681C">
          <w:rPr>
            <w:rStyle w:val="Hyperlink"/>
            <w:noProof/>
          </w:rPr>
          <w:t>Cwm Taf Morgannwg Operating Model</w:t>
        </w:r>
        <w:r w:rsidR="000F62E2">
          <w:rPr>
            <w:noProof/>
            <w:webHidden/>
          </w:rPr>
          <w:tab/>
        </w:r>
        <w:r w:rsidR="000F62E2">
          <w:rPr>
            <w:noProof/>
            <w:webHidden/>
          </w:rPr>
          <w:fldChar w:fldCharType="begin"/>
        </w:r>
        <w:r w:rsidR="000F62E2">
          <w:rPr>
            <w:noProof/>
            <w:webHidden/>
          </w:rPr>
          <w:instrText xml:space="preserve"> PAGEREF _Toc29573932 \h </w:instrText>
        </w:r>
        <w:r w:rsidR="000F62E2">
          <w:rPr>
            <w:noProof/>
            <w:webHidden/>
          </w:rPr>
        </w:r>
        <w:r w:rsidR="000F62E2">
          <w:rPr>
            <w:noProof/>
            <w:webHidden/>
          </w:rPr>
          <w:fldChar w:fldCharType="separate"/>
        </w:r>
        <w:r w:rsidR="00A611A7">
          <w:rPr>
            <w:noProof/>
            <w:webHidden/>
          </w:rPr>
          <w:t>6</w:t>
        </w:r>
        <w:r w:rsidR="000F62E2">
          <w:rPr>
            <w:noProof/>
            <w:webHidden/>
          </w:rPr>
          <w:fldChar w:fldCharType="end"/>
        </w:r>
      </w:hyperlink>
    </w:p>
    <w:p w14:paraId="12AF33E6" w14:textId="77777777" w:rsidR="000F62E2" w:rsidRDefault="00883972">
      <w:pPr>
        <w:pStyle w:val="TOC2"/>
        <w:tabs>
          <w:tab w:val="left" w:pos="502"/>
          <w:tab w:val="right" w:pos="9968"/>
        </w:tabs>
        <w:rPr>
          <w:rFonts w:eastAsiaTheme="minorEastAsia" w:cstheme="minorBidi"/>
          <w:b w:val="0"/>
          <w:bCs w:val="0"/>
          <w:smallCaps w:val="0"/>
          <w:noProof/>
        </w:rPr>
      </w:pPr>
      <w:hyperlink w:anchor="_Toc29573933" w:history="1">
        <w:r w:rsidR="000F62E2" w:rsidRPr="0085681C">
          <w:rPr>
            <w:rStyle w:val="Hyperlink"/>
            <w:noProof/>
          </w:rPr>
          <w:t>1.6</w:t>
        </w:r>
        <w:r w:rsidR="000F62E2">
          <w:rPr>
            <w:rFonts w:eastAsiaTheme="minorEastAsia" w:cstheme="minorBidi"/>
            <w:b w:val="0"/>
            <w:bCs w:val="0"/>
            <w:smallCaps w:val="0"/>
            <w:noProof/>
          </w:rPr>
          <w:tab/>
        </w:r>
        <w:r w:rsidR="000F62E2" w:rsidRPr="0085681C">
          <w:rPr>
            <w:rStyle w:val="Hyperlink"/>
            <w:noProof/>
          </w:rPr>
          <w:t>Working In Partnership</w:t>
        </w:r>
        <w:r w:rsidR="000F62E2">
          <w:rPr>
            <w:noProof/>
            <w:webHidden/>
          </w:rPr>
          <w:tab/>
        </w:r>
        <w:r w:rsidR="000F62E2">
          <w:rPr>
            <w:noProof/>
            <w:webHidden/>
          </w:rPr>
          <w:fldChar w:fldCharType="begin"/>
        </w:r>
        <w:r w:rsidR="000F62E2">
          <w:rPr>
            <w:noProof/>
            <w:webHidden/>
          </w:rPr>
          <w:instrText xml:space="preserve"> PAGEREF _Toc29573933 \h </w:instrText>
        </w:r>
        <w:r w:rsidR="000F62E2">
          <w:rPr>
            <w:noProof/>
            <w:webHidden/>
          </w:rPr>
        </w:r>
        <w:r w:rsidR="000F62E2">
          <w:rPr>
            <w:noProof/>
            <w:webHidden/>
          </w:rPr>
          <w:fldChar w:fldCharType="separate"/>
        </w:r>
        <w:r w:rsidR="00A611A7">
          <w:rPr>
            <w:noProof/>
            <w:webHidden/>
          </w:rPr>
          <w:t>9</w:t>
        </w:r>
        <w:r w:rsidR="000F62E2">
          <w:rPr>
            <w:noProof/>
            <w:webHidden/>
          </w:rPr>
          <w:fldChar w:fldCharType="end"/>
        </w:r>
      </w:hyperlink>
    </w:p>
    <w:p w14:paraId="6666BAB8" w14:textId="373F0F24" w:rsidR="000F62E2" w:rsidRDefault="00883972">
      <w:pPr>
        <w:pStyle w:val="TOC2"/>
        <w:tabs>
          <w:tab w:val="left" w:pos="502"/>
          <w:tab w:val="right" w:pos="9968"/>
        </w:tabs>
        <w:rPr>
          <w:rFonts w:eastAsiaTheme="minorEastAsia" w:cstheme="minorBidi"/>
          <w:b w:val="0"/>
          <w:bCs w:val="0"/>
          <w:smallCaps w:val="0"/>
          <w:noProof/>
        </w:rPr>
      </w:pPr>
      <w:hyperlink w:anchor="_Toc29573934" w:history="1">
        <w:r w:rsidR="000F62E2" w:rsidRPr="0085681C">
          <w:rPr>
            <w:rStyle w:val="Hyperlink"/>
            <w:noProof/>
          </w:rPr>
          <w:t>1.7</w:t>
        </w:r>
        <w:r w:rsidR="000F62E2">
          <w:rPr>
            <w:rFonts w:eastAsiaTheme="minorEastAsia" w:cstheme="minorBidi"/>
            <w:b w:val="0"/>
            <w:bCs w:val="0"/>
            <w:smallCaps w:val="0"/>
            <w:noProof/>
          </w:rPr>
          <w:tab/>
        </w:r>
        <w:r w:rsidR="000F62E2" w:rsidRPr="0085681C">
          <w:rPr>
            <w:rStyle w:val="Hyperlink"/>
            <w:noProof/>
          </w:rPr>
          <w:t>Integrated Medium Term Plan 2020 – 2023 Priorities</w:t>
        </w:r>
        <w:r w:rsidR="000F62E2">
          <w:rPr>
            <w:noProof/>
            <w:webHidden/>
          </w:rPr>
          <w:tab/>
        </w:r>
        <w:r w:rsidR="000F62E2">
          <w:rPr>
            <w:noProof/>
            <w:webHidden/>
          </w:rPr>
          <w:fldChar w:fldCharType="begin"/>
        </w:r>
        <w:r w:rsidR="000F62E2">
          <w:rPr>
            <w:noProof/>
            <w:webHidden/>
          </w:rPr>
          <w:instrText xml:space="preserve"> PAGEREF _Toc29573934 \h </w:instrText>
        </w:r>
        <w:r w:rsidR="000F62E2">
          <w:rPr>
            <w:noProof/>
            <w:webHidden/>
          </w:rPr>
        </w:r>
        <w:r w:rsidR="000F62E2">
          <w:rPr>
            <w:noProof/>
            <w:webHidden/>
          </w:rPr>
          <w:fldChar w:fldCharType="separate"/>
        </w:r>
        <w:r w:rsidR="00A611A7">
          <w:rPr>
            <w:noProof/>
            <w:webHidden/>
          </w:rPr>
          <w:t>11</w:t>
        </w:r>
        <w:r w:rsidR="000F62E2">
          <w:rPr>
            <w:noProof/>
            <w:webHidden/>
          </w:rPr>
          <w:fldChar w:fldCharType="end"/>
        </w:r>
      </w:hyperlink>
    </w:p>
    <w:p w14:paraId="0E161F94" w14:textId="0934A6C2" w:rsidR="000F62E2" w:rsidRDefault="00883972">
      <w:pPr>
        <w:pStyle w:val="TOC1"/>
        <w:tabs>
          <w:tab w:val="left" w:pos="390"/>
          <w:tab w:val="right" w:pos="9968"/>
        </w:tabs>
        <w:rPr>
          <w:rFonts w:eastAsiaTheme="minorEastAsia" w:cstheme="minorBidi"/>
          <w:b w:val="0"/>
          <w:bCs w:val="0"/>
          <w:caps w:val="0"/>
          <w:noProof/>
          <w:u w:val="none"/>
        </w:rPr>
      </w:pPr>
      <w:hyperlink w:anchor="_Toc29573935" w:history="1">
        <w:r w:rsidR="000F62E2" w:rsidRPr="0085681C">
          <w:rPr>
            <w:rStyle w:val="Hyperlink"/>
            <w:noProof/>
          </w:rPr>
          <w:t>2.</w:t>
        </w:r>
        <w:r w:rsidR="000F62E2">
          <w:rPr>
            <w:rFonts w:eastAsiaTheme="minorEastAsia" w:cstheme="minorBidi"/>
            <w:b w:val="0"/>
            <w:bCs w:val="0"/>
            <w:caps w:val="0"/>
            <w:noProof/>
            <w:u w:val="none"/>
          </w:rPr>
          <w:tab/>
        </w:r>
        <w:r w:rsidR="000F62E2" w:rsidRPr="0085681C">
          <w:rPr>
            <w:rStyle w:val="Hyperlink"/>
            <w:noProof/>
          </w:rPr>
          <w:t>PROGRESS IN DELIVERING OUR PLAN</w:t>
        </w:r>
        <w:r w:rsidR="000F62E2">
          <w:rPr>
            <w:noProof/>
            <w:webHidden/>
          </w:rPr>
          <w:tab/>
        </w:r>
        <w:r w:rsidR="000F62E2">
          <w:rPr>
            <w:noProof/>
            <w:webHidden/>
          </w:rPr>
          <w:fldChar w:fldCharType="begin"/>
        </w:r>
        <w:r w:rsidR="000F62E2">
          <w:rPr>
            <w:noProof/>
            <w:webHidden/>
          </w:rPr>
          <w:instrText xml:space="preserve"> PAGEREF _Toc29573935 \h </w:instrText>
        </w:r>
        <w:r w:rsidR="000F62E2">
          <w:rPr>
            <w:noProof/>
            <w:webHidden/>
          </w:rPr>
        </w:r>
        <w:r w:rsidR="000F62E2">
          <w:rPr>
            <w:noProof/>
            <w:webHidden/>
          </w:rPr>
          <w:fldChar w:fldCharType="separate"/>
        </w:r>
        <w:r w:rsidR="00A611A7">
          <w:rPr>
            <w:noProof/>
            <w:webHidden/>
          </w:rPr>
          <w:t>13</w:t>
        </w:r>
        <w:r w:rsidR="000F62E2">
          <w:rPr>
            <w:noProof/>
            <w:webHidden/>
          </w:rPr>
          <w:fldChar w:fldCharType="end"/>
        </w:r>
      </w:hyperlink>
    </w:p>
    <w:p w14:paraId="01C6387A" w14:textId="43EE0950" w:rsidR="000F62E2" w:rsidRDefault="00883972">
      <w:pPr>
        <w:pStyle w:val="TOC1"/>
        <w:tabs>
          <w:tab w:val="left" w:pos="390"/>
          <w:tab w:val="right" w:pos="9968"/>
        </w:tabs>
        <w:rPr>
          <w:rFonts w:eastAsiaTheme="minorEastAsia" w:cstheme="minorBidi"/>
          <w:b w:val="0"/>
          <w:bCs w:val="0"/>
          <w:caps w:val="0"/>
          <w:noProof/>
          <w:u w:val="none"/>
        </w:rPr>
      </w:pPr>
      <w:hyperlink w:anchor="_Toc29573936" w:history="1">
        <w:r w:rsidR="000F62E2" w:rsidRPr="0085681C">
          <w:rPr>
            <w:rStyle w:val="Hyperlink"/>
            <w:noProof/>
          </w:rPr>
          <w:t>3.</w:t>
        </w:r>
        <w:r w:rsidR="000F62E2">
          <w:rPr>
            <w:rFonts w:eastAsiaTheme="minorEastAsia" w:cstheme="minorBidi"/>
            <w:b w:val="0"/>
            <w:bCs w:val="0"/>
            <w:caps w:val="0"/>
            <w:noProof/>
            <w:u w:val="none"/>
          </w:rPr>
          <w:tab/>
        </w:r>
        <w:r w:rsidR="000F62E2" w:rsidRPr="0085681C">
          <w:rPr>
            <w:rStyle w:val="Hyperlink"/>
            <w:noProof/>
          </w:rPr>
          <w:t>2020-23 DRIVERS FOR CHANGE</w:t>
        </w:r>
        <w:r w:rsidR="000F62E2">
          <w:rPr>
            <w:noProof/>
            <w:webHidden/>
          </w:rPr>
          <w:tab/>
        </w:r>
        <w:r w:rsidR="000F62E2">
          <w:rPr>
            <w:noProof/>
            <w:webHidden/>
          </w:rPr>
          <w:fldChar w:fldCharType="begin"/>
        </w:r>
        <w:r w:rsidR="000F62E2">
          <w:rPr>
            <w:noProof/>
            <w:webHidden/>
          </w:rPr>
          <w:instrText xml:space="preserve"> PAGEREF _Toc29573936 \h </w:instrText>
        </w:r>
        <w:r w:rsidR="000F62E2">
          <w:rPr>
            <w:noProof/>
            <w:webHidden/>
          </w:rPr>
        </w:r>
        <w:r w:rsidR="000F62E2">
          <w:rPr>
            <w:noProof/>
            <w:webHidden/>
          </w:rPr>
          <w:fldChar w:fldCharType="separate"/>
        </w:r>
        <w:r w:rsidR="00A611A7">
          <w:rPr>
            <w:noProof/>
            <w:webHidden/>
          </w:rPr>
          <w:t>15</w:t>
        </w:r>
        <w:r w:rsidR="000F62E2">
          <w:rPr>
            <w:noProof/>
            <w:webHidden/>
          </w:rPr>
          <w:fldChar w:fldCharType="end"/>
        </w:r>
      </w:hyperlink>
    </w:p>
    <w:p w14:paraId="2C714D47" w14:textId="1DE81BAE" w:rsidR="000F62E2" w:rsidRDefault="00883972">
      <w:pPr>
        <w:pStyle w:val="TOC2"/>
        <w:tabs>
          <w:tab w:val="left" w:pos="502"/>
          <w:tab w:val="right" w:pos="9968"/>
        </w:tabs>
        <w:rPr>
          <w:rFonts w:eastAsiaTheme="minorEastAsia" w:cstheme="minorBidi"/>
          <w:b w:val="0"/>
          <w:bCs w:val="0"/>
          <w:smallCaps w:val="0"/>
          <w:noProof/>
        </w:rPr>
      </w:pPr>
      <w:hyperlink w:anchor="_Toc29573937" w:history="1">
        <w:r w:rsidR="000F62E2" w:rsidRPr="0085681C">
          <w:rPr>
            <w:rStyle w:val="Hyperlink"/>
            <w:noProof/>
          </w:rPr>
          <w:t>3.1</w:t>
        </w:r>
        <w:r w:rsidR="000F62E2">
          <w:rPr>
            <w:rFonts w:eastAsiaTheme="minorEastAsia" w:cstheme="minorBidi"/>
            <w:b w:val="0"/>
            <w:bCs w:val="0"/>
            <w:smallCaps w:val="0"/>
            <w:noProof/>
          </w:rPr>
          <w:tab/>
        </w:r>
        <w:r w:rsidR="000F62E2" w:rsidRPr="0085681C">
          <w:rPr>
            <w:rStyle w:val="Hyperlink"/>
            <w:noProof/>
          </w:rPr>
          <w:t>Key Population Health Challenges</w:t>
        </w:r>
        <w:r w:rsidR="000F62E2">
          <w:rPr>
            <w:noProof/>
            <w:webHidden/>
          </w:rPr>
          <w:tab/>
        </w:r>
        <w:r w:rsidR="000F62E2">
          <w:rPr>
            <w:noProof/>
            <w:webHidden/>
          </w:rPr>
          <w:fldChar w:fldCharType="begin"/>
        </w:r>
        <w:r w:rsidR="000F62E2">
          <w:rPr>
            <w:noProof/>
            <w:webHidden/>
          </w:rPr>
          <w:instrText xml:space="preserve"> PAGEREF _Toc29573937 \h </w:instrText>
        </w:r>
        <w:r w:rsidR="000F62E2">
          <w:rPr>
            <w:noProof/>
            <w:webHidden/>
          </w:rPr>
        </w:r>
        <w:r w:rsidR="000F62E2">
          <w:rPr>
            <w:noProof/>
            <w:webHidden/>
          </w:rPr>
          <w:fldChar w:fldCharType="separate"/>
        </w:r>
        <w:r w:rsidR="00A611A7">
          <w:rPr>
            <w:noProof/>
            <w:webHidden/>
          </w:rPr>
          <w:t>15</w:t>
        </w:r>
        <w:r w:rsidR="000F62E2">
          <w:rPr>
            <w:noProof/>
            <w:webHidden/>
          </w:rPr>
          <w:fldChar w:fldCharType="end"/>
        </w:r>
      </w:hyperlink>
    </w:p>
    <w:p w14:paraId="11AE760A" w14:textId="6C7A9EFA" w:rsidR="000F62E2" w:rsidRDefault="00883972">
      <w:pPr>
        <w:pStyle w:val="TOC2"/>
        <w:tabs>
          <w:tab w:val="left" w:pos="502"/>
          <w:tab w:val="right" w:pos="9968"/>
        </w:tabs>
        <w:rPr>
          <w:rFonts w:eastAsiaTheme="minorEastAsia" w:cstheme="minorBidi"/>
          <w:b w:val="0"/>
          <w:bCs w:val="0"/>
          <w:smallCaps w:val="0"/>
          <w:noProof/>
        </w:rPr>
      </w:pPr>
      <w:hyperlink w:anchor="_Toc29573938" w:history="1">
        <w:r w:rsidR="000F62E2" w:rsidRPr="0085681C">
          <w:rPr>
            <w:rStyle w:val="Hyperlink"/>
            <w:noProof/>
          </w:rPr>
          <w:t>3.2</w:t>
        </w:r>
        <w:r w:rsidR="000F62E2">
          <w:rPr>
            <w:rFonts w:eastAsiaTheme="minorEastAsia" w:cstheme="minorBidi"/>
            <w:b w:val="0"/>
            <w:bCs w:val="0"/>
            <w:smallCaps w:val="0"/>
            <w:noProof/>
          </w:rPr>
          <w:tab/>
        </w:r>
        <w:r w:rsidR="000F62E2" w:rsidRPr="0085681C">
          <w:rPr>
            <w:rStyle w:val="Hyperlink"/>
            <w:noProof/>
          </w:rPr>
          <w:t>Health Board Challenges and Legislative and Policy Drivers</w:t>
        </w:r>
        <w:r w:rsidR="000F62E2">
          <w:rPr>
            <w:noProof/>
            <w:webHidden/>
          </w:rPr>
          <w:tab/>
        </w:r>
        <w:r w:rsidR="000F62E2">
          <w:rPr>
            <w:noProof/>
            <w:webHidden/>
          </w:rPr>
          <w:fldChar w:fldCharType="begin"/>
        </w:r>
        <w:r w:rsidR="000F62E2">
          <w:rPr>
            <w:noProof/>
            <w:webHidden/>
          </w:rPr>
          <w:instrText xml:space="preserve"> PAGEREF _Toc29573938 \h </w:instrText>
        </w:r>
        <w:r w:rsidR="000F62E2">
          <w:rPr>
            <w:noProof/>
            <w:webHidden/>
          </w:rPr>
        </w:r>
        <w:r w:rsidR="000F62E2">
          <w:rPr>
            <w:noProof/>
            <w:webHidden/>
          </w:rPr>
          <w:fldChar w:fldCharType="separate"/>
        </w:r>
        <w:r w:rsidR="00A611A7">
          <w:rPr>
            <w:noProof/>
            <w:webHidden/>
          </w:rPr>
          <w:t>16</w:t>
        </w:r>
        <w:r w:rsidR="000F62E2">
          <w:rPr>
            <w:noProof/>
            <w:webHidden/>
          </w:rPr>
          <w:fldChar w:fldCharType="end"/>
        </w:r>
      </w:hyperlink>
    </w:p>
    <w:p w14:paraId="6CF30E8F" w14:textId="0B024EA8" w:rsidR="000F62E2" w:rsidRDefault="00883972">
      <w:pPr>
        <w:pStyle w:val="TOC1"/>
        <w:tabs>
          <w:tab w:val="left" w:pos="390"/>
          <w:tab w:val="right" w:pos="9968"/>
        </w:tabs>
        <w:rPr>
          <w:rFonts w:eastAsiaTheme="minorEastAsia" w:cstheme="minorBidi"/>
          <w:b w:val="0"/>
          <w:bCs w:val="0"/>
          <w:caps w:val="0"/>
          <w:noProof/>
          <w:u w:val="none"/>
        </w:rPr>
      </w:pPr>
      <w:hyperlink w:anchor="_Toc29573939" w:history="1">
        <w:r w:rsidR="000F62E2" w:rsidRPr="0085681C">
          <w:rPr>
            <w:rStyle w:val="Hyperlink"/>
            <w:noProof/>
          </w:rPr>
          <w:t>4.</w:t>
        </w:r>
        <w:r w:rsidR="000F62E2">
          <w:rPr>
            <w:rFonts w:eastAsiaTheme="minorEastAsia" w:cstheme="minorBidi"/>
            <w:b w:val="0"/>
            <w:bCs w:val="0"/>
            <w:caps w:val="0"/>
            <w:noProof/>
            <w:u w:val="none"/>
          </w:rPr>
          <w:tab/>
        </w:r>
        <w:r w:rsidR="000F62E2" w:rsidRPr="0085681C">
          <w:rPr>
            <w:rStyle w:val="Hyperlink"/>
            <w:noProof/>
          </w:rPr>
          <w:t>QUALITY ASSURANCE AND IMPROVEMENT</w:t>
        </w:r>
        <w:r w:rsidR="000F62E2">
          <w:rPr>
            <w:noProof/>
            <w:webHidden/>
          </w:rPr>
          <w:tab/>
        </w:r>
        <w:r w:rsidR="000F62E2">
          <w:rPr>
            <w:noProof/>
            <w:webHidden/>
          </w:rPr>
          <w:fldChar w:fldCharType="begin"/>
        </w:r>
        <w:r w:rsidR="000F62E2">
          <w:rPr>
            <w:noProof/>
            <w:webHidden/>
          </w:rPr>
          <w:instrText xml:space="preserve"> PAGEREF _Toc29573939 \h </w:instrText>
        </w:r>
        <w:r w:rsidR="000F62E2">
          <w:rPr>
            <w:noProof/>
            <w:webHidden/>
          </w:rPr>
        </w:r>
        <w:r w:rsidR="000F62E2">
          <w:rPr>
            <w:noProof/>
            <w:webHidden/>
          </w:rPr>
          <w:fldChar w:fldCharType="separate"/>
        </w:r>
        <w:r w:rsidR="00A611A7">
          <w:rPr>
            <w:noProof/>
            <w:webHidden/>
          </w:rPr>
          <w:t>19</w:t>
        </w:r>
        <w:r w:rsidR="000F62E2">
          <w:rPr>
            <w:noProof/>
            <w:webHidden/>
          </w:rPr>
          <w:fldChar w:fldCharType="end"/>
        </w:r>
      </w:hyperlink>
    </w:p>
    <w:p w14:paraId="4382753E" w14:textId="231778ED" w:rsidR="000F62E2" w:rsidRDefault="00883972">
      <w:pPr>
        <w:pStyle w:val="TOC2"/>
        <w:tabs>
          <w:tab w:val="left" w:pos="502"/>
          <w:tab w:val="right" w:pos="9968"/>
        </w:tabs>
        <w:rPr>
          <w:rFonts w:eastAsiaTheme="minorEastAsia" w:cstheme="minorBidi"/>
          <w:b w:val="0"/>
          <w:bCs w:val="0"/>
          <w:smallCaps w:val="0"/>
          <w:noProof/>
        </w:rPr>
      </w:pPr>
      <w:hyperlink w:anchor="_Toc29573940" w:history="1">
        <w:r w:rsidR="000F62E2" w:rsidRPr="0085681C">
          <w:rPr>
            <w:rStyle w:val="Hyperlink"/>
            <w:noProof/>
          </w:rPr>
          <w:t>4.1</w:t>
        </w:r>
        <w:r w:rsidR="000F62E2">
          <w:rPr>
            <w:rFonts w:eastAsiaTheme="minorEastAsia" w:cstheme="minorBidi"/>
            <w:b w:val="0"/>
            <w:bCs w:val="0"/>
            <w:smallCaps w:val="0"/>
            <w:noProof/>
          </w:rPr>
          <w:tab/>
        </w:r>
        <w:r w:rsidR="000F62E2" w:rsidRPr="0085681C">
          <w:rPr>
            <w:rStyle w:val="Hyperlink"/>
            <w:noProof/>
          </w:rPr>
          <w:t>Quality Strategy</w:t>
        </w:r>
        <w:r w:rsidR="000F62E2">
          <w:rPr>
            <w:noProof/>
            <w:webHidden/>
          </w:rPr>
          <w:tab/>
        </w:r>
        <w:r w:rsidR="000F62E2">
          <w:rPr>
            <w:noProof/>
            <w:webHidden/>
          </w:rPr>
          <w:fldChar w:fldCharType="begin"/>
        </w:r>
        <w:r w:rsidR="000F62E2">
          <w:rPr>
            <w:noProof/>
            <w:webHidden/>
          </w:rPr>
          <w:instrText xml:space="preserve"> PAGEREF _Toc29573940 \h </w:instrText>
        </w:r>
        <w:r w:rsidR="000F62E2">
          <w:rPr>
            <w:noProof/>
            <w:webHidden/>
          </w:rPr>
        </w:r>
        <w:r w:rsidR="000F62E2">
          <w:rPr>
            <w:noProof/>
            <w:webHidden/>
          </w:rPr>
          <w:fldChar w:fldCharType="separate"/>
        </w:r>
        <w:r w:rsidR="00A611A7">
          <w:rPr>
            <w:noProof/>
            <w:webHidden/>
          </w:rPr>
          <w:t>19</w:t>
        </w:r>
        <w:r w:rsidR="000F62E2">
          <w:rPr>
            <w:noProof/>
            <w:webHidden/>
          </w:rPr>
          <w:fldChar w:fldCharType="end"/>
        </w:r>
      </w:hyperlink>
    </w:p>
    <w:p w14:paraId="7ED89792" w14:textId="0D2C4833" w:rsidR="000F62E2" w:rsidRDefault="00883972">
      <w:pPr>
        <w:pStyle w:val="TOC2"/>
        <w:tabs>
          <w:tab w:val="left" w:pos="502"/>
          <w:tab w:val="right" w:pos="9968"/>
        </w:tabs>
        <w:rPr>
          <w:rFonts w:eastAsiaTheme="minorEastAsia" w:cstheme="minorBidi"/>
          <w:b w:val="0"/>
          <w:bCs w:val="0"/>
          <w:smallCaps w:val="0"/>
          <w:noProof/>
        </w:rPr>
      </w:pPr>
      <w:hyperlink w:anchor="_Toc29573941" w:history="1">
        <w:r w:rsidR="000F62E2" w:rsidRPr="0085681C">
          <w:rPr>
            <w:rStyle w:val="Hyperlink"/>
            <w:noProof/>
          </w:rPr>
          <w:t>4.2</w:t>
        </w:r>
        <w:r w:rsidR="000F62E2">
          <w:rPr>
            <w:rFonts w:eastAsiaTheme="minorEastAsia" w:cstheme="minorBidi"/>
            <w:b w:val="0"/>
            <w:bCs w:val="0"/>
            <w:smallCaps w:val="0"/>
            <w:noProof/>
          </w:rPr>
          <w:tab/>
        </w:r>
        <w:r w:rsidR="000F62E2" w:rsidRPr="0085681C">
          <w:rPr>
            <w:rStyle w:val="Hyperlink"/>
            <w:noProof/>
          </w:rPr>
          <w:t>Quality Assurance and Quality Improvement</w:t>
        </w:r>
        <w:r w:rsidR="000F62E2">
          <w:rPr>
            <w:noProof/>
            <w:webHidden/>
          </w:rPr>
          <w:tab/>
        </w:r>
        <w:r w:rsidR="000F62E2">
          <w:rPr>
            <w:noProof/>
            <w:webHidden/>
          </w:rPr>
          <w:fldChar w:fldCharType="begin"/>
        </w:r>
        <w:r w:rsidR="000F62E2">
          <w:rPr>
            <w:noProof/>
            <w:webHidden/>
          </w:rPr>
          <w:instrText xml:space="preserve"> PAGEREF _Toc29573941 \h </w:instrText>
        </w:r>
        <w:r w:rsidR="000F62E2">
          <w:rPr>
            <w:noProof/>
            <w:webHidden/>
          </w:rPr>
        </w:r>
        <w:r w:rsidR="000F62E2">
          <w:rPr>
            <w:noProof/>
            <w:webHidden/>
          </w:rPr>
          <w:fldChar w:fldCharType="separate"/>
        </w:r>
        <w:r w:rsidR="00A611A7">
          <w:rPr>
            <w:noProof/>
            <w:webHidden/>
          </w:rPr>
          <w:t>19</w:t>
        </w:r>
        <w:r w:rsidR="000F62E2">
          <w:rPr>
            <w:noProof/>
            <w:webHidden/>
          </w:rPr>
          <w:fldChar w:fldCharType="end"/>
        </w:r>
      </w:hyperlink>
    </w:p>
    <w:p w14:paraId="563BCA40" w14:textId="3614878E" w:rsidR="000F62E2" w:rsidRDefault="00883972">
      <w:pPr>
        <w:pStyle w:val="TOC2"/>
        <w:tabs>
          <w:tab w:val="left" w:pos="502"/>
          <w:tab w:val="right" w:pos="9968"/>
        </w:tabs>
        <w:rPr>
          <w:rFonts w:eastAsiaTheme="minorEastAsia" w:cstheme="minorBidi"/>
          <w:b w:val="0"/>
          <w:bCs w:val="0"/>
          <w:smallCaps w:val="0"/>
          <w:noProof/>
        </w:rPr>
      </w:pPr>
      <w:hyperlink w:anchor="_Toc29573942" w:history="1">
        <w:r w:rsidR="000F62E2" w:rsidRPr="0085681C">
          <w:rPr>
            <w:rStyle w:val="Hyperlink"/>
            <w:noProof/>
          </w:rPr>
          <w:t>4.3</w:t>
        </w:r>
        <w:r w:rsidR="000F62E2">
          <w:rPr>
            <w:rFonts w:eastAsiaTheme="minorEastAsia" w:cstheme="minorBidi"/>
            <w:b w:val="0"/>
            <w:bCs w:val="0"/>
            <w:smallCaps w:val="0"/>
            <w:noProof/>
          </w:rPr>
          <w:tab/>
        </w:r>
        <w:r w:rsidR="000F62E2" w:rsidRPr="0085681C">
          <w:rPr>
            <w:rStyle w:val="Hyperlink"/>
            <w:noProof/>
          </w:rPr>
          <w:t>Addressing Quality Concerns</w:t>
        </w:r>
        <w:r w:rsidR="000F62E2">
          <w:rPr>
            <w:noProof/>
            <w:webHidden/>
          </w:rPr>
          <w:tab/>
        </w:r>
        <w:r w:rsidR="000F62E2">
          <w:rPr>
            <w:noProof/>
            <w:webHidden/>
          </w:rPr>
          <w:fldChar w:fldCharType="begin"/>
        </w:r>
        <w:r w:rsidR="000F62E2">
          <w:rPr>
            <w:noProof/>
            <w:webHidden/>
          </w:rPr>
          <w:instrText xml:space="preserve"> PAGEREF _Toc29573942 \h </w:instrText>
        </w:r>
        <w:r w:rsidR="000F62E2">
          <w:rPr>
            <w:noProof/>
            <w:webHidden/>
          </w:rPr>
        </w:r>
        <w:r w:rsidR="000F62E2">
          <w:rPr>
            <w:noProof/>
            <w:webHidden/>
          </w:rPr>
          <w:fldChar w:fldCharType="separate"/>
        </w:r>
        <w:r w:rsidR="00A611A7">
          <w:rPr>
            <w:noProof/>
            <w:webHidden/>
          </w:rPr>
          <w:t>20</w:t>
        </w:r>
        <w:r w:rsidR="000F62E2">
          <w:rPr>
            <w:noProof/>
            <w:webHidden/>
          </w:rPr>
          <w:fldChar w:fldCharType="end"/>
        </w:r>
      </w:hyperlink>
    </w:p>
    <w:p w14:paraId="4ECAF029" w14:textId="5D85AB07" w:rsidR="000F62E2" w:rsidRDefault="00883972">
      <w:pPr>
        <w:pStyle w:val="TOC1"/>
        <w:tabs>
          <w:tab w:val="left" w:pos="390"/>
          <w:tab w:val="right" w:pos="9968"/>
        </w:tabs>
        <w:rPr>
          <w:rFonts w:eastAsiaTheme="minorEastAsia" w:cstheme="minorBidi"/>
          <w:b w:val="0"/>
          <w:bCs w:val="0"/>
          <w:caps w:val="0"/>
          <w:noProof/>
          <w:u w:val="none"/>
        </w:rPr>
      </w:pPr>
      <w:hyperlink w:anchor="_Toc29573943" w:history="1">
        <w:r w:rsidR="000F62E2" w:rsidRPr="0085681C">
          <w:rPr>
            <w:rStyle w:val="Hyperlink"/>
            <w:noProof/>
          </w:rPr>
          <w:t>5.</w:t>
        </w:r>
        <w:r w:rsidR="000F62E2">
          <w:rPr>
            <w:rFonts w:eastAsiaTheme="minorEastAsia" w:cstheme="minorBidi"/>
            <w:b w:val="0"/>
            <w:bCs w:val="0"/>
            <w:caps w:val="0"/>
            <w:noProof/>
            <w:u w:val="none"/>
          </w:rPr>
          <w:tab/>
        </w:r>
        <w:r w:rsidR="000F62E2" w:rsidRPr="0085681C">
          <w:rPr>
            <w:rStyle w:val="Hyperlink"/>
            <w:noProof/>
          </w:rPr>
          <w:t>SERVICE CHANGE IN 2020-23</w:t>
        </w:r>
        <w:r w:rsidR="000F62E2">
          <w:rPr>
            <w:noProof/>
            <w:webHidden/>
          </w:rPr>
          <w:tab/>
        </w:r>
        <w:r w:rsidR="000F62E2">
          <w:rPr>
            <w:noProof/>
            <w:webHidden/>
          </w:rPr>
          <w:fldChar w:fldCharType="begin"/>
        </w:r>
        <w:r w:rsidR="000F62E2">
          <w:rPr>
            <w:noProof/>
            <w:webHidden/>
          </w:rPr>
          <w:instrText xml:space="preserve"> PAGEREF _Toc29573943 \h </w:instrText>
        </w:r>
        <w:r w:rsidR="000F62E2">
          <w:rPr>
            <w:noProof/>
            <w:webHidden/>
          </w:rPr>
        </w:r>
        <w:r w:rsidR="000F62E2">
          <w:rPr>
            <w:noProof/>
            <w:webHidden/>
          </w:rPr>
          <w:fldChar w:fldCharType="separate"/>
        </w:r>
        <w:r w:rsidR="00A611A7">
          <w:rPr>
            <w:noProof/>
            <w:webHidden/>
          </w:rPr>
          <w:t>22</w:t>
        </w:r>
        <w:r w:rsidR="000F62E2">
          <w:rPr>
            <w:noProof/>
            <w:webHidden/>
          </w:rPr>
          <w:fldChar w:fldCharType="end"/>
        </w:r>
      </w:hyperlink>
    </w:p>
    <w:p w14:paraId="5A6C38D9" w14:textId="33FC7590" w:rsidR="000F62E2" w:rsidRDefault="00883972">
      <w:pPr>
        <w:pStyle w:val="TOC2"/>
        <w:tabs>
          <w:tab w:val="left" w:pos="502"/>
          <w:tab w:val="right" w:pos="9968"/>
        </w:tabs>
        <w:rPr>
          <w:rFonts w:eastAsiaTheme="minorEastAsia" w:cstheme="minorBidi"/>
          <w:b w:val="0"/>
          <w:bCs w:val="0"/>
          <w:smallCaps w:val="0"/>
          <w:noProof/>
        </w:rPr>
      </w:pPr>
      <w:hyperlink w:anchor="_Toc29573944" w:history="1">
        <w:r w:rsidR="000F62E2" w:rsidRPr="0085681C">
          <w:rPr>
            <w:rStyle w:val="Hyperlink"/>
            <w:noProof/>
          </w:rPr>
          <w:t>5.1</w:t>
        </w:r>
        <w:r w:rsidR="000F62E2">
          <w:rPr>
            <w:rFonts w:eastAsiaTheme="minorEastAsia" w:cstheme="minorBidi"/>
            <w:b w:val="0"/>
            <w:bCs w:val="0"/>
            <w:smallCaps w:val="0"/>
            <w:noProof/>
          </w:rPr>
          <w:tab/>
        </w:r>
        <w:r w:rsidR="000F62E2" w:rsidRPr="0085681C">
          <w:rPr>
            <w:rStyle w:val="Hyperlink"/>
            <w:noProof/>
          </w:rPr>
          <w:t>Well-being – Self Care and Supported Self Care</w:t>
        </w:r>
        <w:r w:rsidR="000F62E2">
          <w:rPr>
            <w:noProof/>
            <w:webHidden/>
          </w:rPr>
          <w:tab/>
        </w:r>
        <w:r w:rsidR="000F62E2">
          <w:rPr>
            <w:noProof/>
            <w:webHidden/>
          </w:rPr>
          <w:fldChar w:fldCharType="begin"/>
        </w:r>
        <w:r w:rsidR="000F62E2">
          <w:rPr>
            <w:noProof/>
            <w:webHidden/>
          </w:rPr>
          <w:instrText xml:space="preserve"> PAGEREF _Toc29573944 \h </w:instrText>
        </w:r>
        <w:r w:rsidR="000F62E2">
          <w:rPr>
            <w:noProof/>
            <w:webHidden/>
          </w:rPr>
        </w:r>
        <w:r w:rsidR="000F62E2">
          <w:rPr>
            <w:noProof/>
            <w:webHidden/>
          </w:rPr>
          <w:fldChar w:fldCharType="separate"/>
        </w:r>
        <w:r w:rsidR="00A611A7">
          <w:rPr>
            <w:noProof/>
            <w:webHidden/>
          </w:rPr>
          <w:t>22</w:t>
        </w:r>
        <w:r w:rsidR="000F62E2">
          <w:rPr>
            <w:noProof/>
            <w:webHidden/>
          </w:rPr>
          <w:fldChar w:fldCharType="end"/>
        </w:r>
      </w:hyperlink>
    </w:p>
    <w:p w14:paraId="04CDC283" w14:textId="12507388" w:rsidR="000F62E2" w:rsidRDefault="00883972">
      <w:pPr>
        <w:pStyle w:val="TOC2"/>
        <w:tabs>
          <w:tab w:val="left" w:pos="502"/>
          <w:tab w:val="right" w:pos="9968"/>
        </w:tabs>
        <w:rPr>
          <w:rFonts w:eastAsiaTheme="minorEastAsia" w:cstheme="minorBidi"/>
          <w:b w:val="0"/>
          <w:bCs w:val="0"/>
          <w:smallCaps w:val="0"/>
          <w:noProof/>
        </w:rPr>
      </w:pPr>
      <w:hyperlink w:anchor="_Toc29573945" w:history="1">
        <w:r w:rsidR="000F62E2" w:rsidRPr="0085681C">
          <w:rPr>
            <w:rStyle w:val="Hyperlink"/>
            <w:noProof/>
          </w:rPr>
          <w:t>5.2</w:t>
        </w:r>
        <w:r w:rsidR="000F62E2">
          <w:rPr>
            <w:rFonts w:eastAsiaTheme="minorEastAsia" w:cstheme="minorBidi"/>
            <w:b w:val="0"/>
            <w:bCs w:val="0"/>
            <w:smallCaps w:val="0"/>
            <w:noProof/>
          </w:rPr>
          <w:tab/>
        </w:r>
        <w:r w:rsidR="000F62E2" w:rsidRPr="0085681C">
          <w:rPr>
            <w:rStyle w:val="Hyperlink"/>
            <w:noProof/>
          </w:rPr>
          <w:t>Integrated Community Services</w:t>
        </w:r>
        <w:r w:rsidR="000F62E2">
          <w:rPr>
            <w:noProof/>
            <w:webHidden/>
          </w:rPr>
          <w:tab/>
        </w:r>
        <w:r w:rsidR="000F62E2">
          <w:rPr>
            <w:noProof/>
            <w:webHidden/>
          </w:rPr>
          <w:fldChar w:fldCharType="begin"/>
        </w:r>
        <w:r w:rsidR="000F62E2">
          <w:rPr>
            <w:noProof/>
            <w:webHidden/>
          </w:rPr>
          <w:instrText xml:space="preserve"> PAGEREF _Toc29573945 \h </w:instrText>
        </w:r>
        <w:r w:rsidR="000F62E2">
          <w:rPr>
            <w:noProof/>
            <w:webHidden/>
          </w:rPr>
        </w:r>
        <w:r w:rsidR="000F62E2">
          <w:rPr>
            <w:noProof/>
            <w:webHidden/>
          </w:rPr>
          <w:fldChar w:fldCharType="separate"/>
        </w:r>
        <w:r w:rsidR="00A611A7">
          <w:rPr>
            <w:noProof/>
            <w:webHidden/>
          </w:rPr>
          <w:t>25</w:t>
        </w:r>
        <w:r w:rsidR="000F62E2">
          <w:rPr>
            <w:noProof/>
            <w:webHidden/>
          </w:rPr>
          <w:fldChar w:fldCharType="end"/>
        </w:r>
      </w:hyperlink>
    </w:p>
    <w:p w14:paraId="64ABE1B9" w14:textId="73B7ADB3" w:rsidR="000F62E2" w:rsidRDefault="00883972">
      <w:pPr>
        <w:pStyle w:val="TOC2"/>
        <w:tabs>
          <w:tab w:val="left" w:pos="502"/>
          <w:tab w:val="right" w:pos="9968"/>
        </w:tabs>
        <w:rPr>
          <w:rFonts w:eastAsiaTheme="minorEastAsia" w:cstheme="minorBidi"/>
          <w:b w:val="0"/>
          <w:bCs w:val="0"/>
          <w:smallCaps w:val="0"/>
          <w:noProof/>
        </w:rPr>
      </w:pPr>
      <w:hyperlink w:anchor="_Toc29573946" w:history="1">
        <w:r w:rsidR="000F62E2" w:rsidRPr="0085681C">
          <w:rPr>
            <w:rStyle w:val="Hyperlink"/>
            <w:noProof/>
          </w:rPr>
          <w:t>5.3</w:t>
        </w:r>
        <w:r w:rsidR="000F62E2">
          <w:rPr>
            <w:rFonts w:eastAsiaTheme="minorEastAsia" w:cstheme="minorBidi"/>
            <w:b w:val="0"/>
            <w:bCs w:val="0"/>
            <w:smallCaps w:val="0"/>
            <w:noProof/>
          </w:rPr>
          <w:tab/>
        </w:r>
        <w:r w:rsidR="000F62E2" w:rsidRPr="0085681C">
          <w:rPr>
            <w:rStyle w:val="Hyperlink"/>
            <w:noProof/>
          </w:rPr>
          <w:t>Mental Health, Primary Care and Locality Services</w:t>
        </w:r>
        <w:r w:rsidR="000F62E2">
          <w:rPr>
            <w:noProof/>
            <w:webHidden/>
          </w:rPr>
          <w:tab/>
        </w:r>
        <w:r w:rsidR="000F62E2">
          <w:rPr>
            <w:noProof/>
            <w:webHidden/>
          </w:rPr>
          <w:fldChar w:fldCharType="begin"/>
        </w:r>
        <w:r w:rsidR="000F62E2">
          <w:rPr>
            <w:noProof/>
            <w:webHidden/>
          </w:rPr>
          <w:instrText xml:space="preserve"> PAGEREF _Toc29573946 \h </w:instrText>
        </w:r>
        <w:r w:rsidR="000F62E2">
          <w:rPr>
            <w:noProof/>
            <w:webHidden/>
          </w:rPr>
        </w:r>
        <w:r w:rsidR="000F62E2">
          <w:rPr>
            <w:noProof/>
            <w:webHidden/>
          </w:rPr>
          <w:fldChar w:fldCharType="separate"/>
        </w:r>
        <w:r w:rsidR="00A611A7">
          <w:rPr>
            <w:noProof/>
            <w:webHidden/>
          </w:rPr>
          <w:t>31</w:t>
        </w:r>
        <w:r w:rsidR="000F62E2">
          <w:rPr>
            <w:noProof/>
            <w:webHidden/>
          </w:rPr>
          <w:fldChar w:fldCharType="end"/>
        </w:r>
      </w:hyperlink>
    </w:p>
    <w:p w14:paraId="30FF50A6" w14:textId="69B571DA" w:rsidR="000F62E2" w:rsidRDefault="00883972">
      <w:pPr>
        <w:pStyle w:val="TOC2"/>
        <w:tabs>
          <w:tab w:val="left" w:pos="502"/>
          <w:tab w:val="right" w:pos="9968"/>
        </w:tabs>
        <w:rPr>
          <w:rFonts w:eastAsiaTheme="minorEastAsia" w:cstheme="minorBidi"/>
          <w:b w:val="0"/>
          <w:bCs w:val="0"/>
          <w:smallCaps w:val="0"/>
          <w:noProof/>
        </w:rPr>
      </w:pPr>
      <w:hyperlink w:anchor="_Toc29573947" w:history="1">
        <w:r w:rsidR="000F62E2" w:rsidRPr="0085681C">
          <w:rPr>
            <w:rStyle w:val="Hyperlink"/>
            <w:noProof/>
          </w:rPr>
          <w:t>5.4</w:t>
        </w:r>
        <w:r w:rsidR="000F62E2">
          <w:rPr>
            <w:rFonts w:eastAsiaTheme="minorEastAsia" w:cstheme="minorBidi"/>
            <w:b w:val="0"/>
            <w:bCs w:val="0"/>
            <w:smallCaps w:val="0"/>
            <w:noProof/>
          </w:rPr>
          <w:tab/>
        </w:r>
        <w:r w:rsidR="000F62E2" w:rsidRPr="0085681C">
          <w:rPr>
            <w:rStyle w:val="Hyperlink"/>
            <w:noProof/>
          </w:rPr>
          <w:t>Acute Care – Local and Regional Secondary Care</w:t>
        </w:r>
        <w:r w:rsidR="000F62E2">
          <w:rPr>
            <w:noProof/>
            <w:webHidden/>
          </w:rPr>
          <w:tab/>
        </w:r>
        <w:r w:rsidR="000F62E2">
          <w:rPr>
            <w:noProof/>
            <w:webHidden/>
          </w:rPr>
          <w:fldChar w:fldCharType="begin"/>
        </w:r>
        <w:r w:rsidR="000F62E2">
          <w:rPr>
            <w:noProof/>
            <w:webHidden/>
          </w:rPr>
          <w:instrText xml:space="preserve"> PAGEREF _Toc29573947 \h </w:instrText>
        </w:r>
        <w:r w:rsidR="000F62E2">
          <w:rPr>
            <w:noProof/>
            <w:webHidden/>
          </w:rPr>
        </w:r>
        <w:r w:rsidR="000F62E2">
          <w:rPr>
            <w:noProof/>
            <w:webHidden/>
          </w:rPr>
          <w:fldChar w:fldCharType="separate"/>
        </w:r>
        <w:r w:rsidR="00A611A7">
          <w:rPr>
            <w:noProof/>
            <w:webHidden/>
          </w:rPr>
          <w:t>43</w:t>
        </w:r>
        <w:r w:rsidR="000F62E2">
          <w:rPr>
            <w:noProof/>
            <w:webHidden/>
          </w:rPr>
          <w:fldChar w:fldCharType="end"/>
        </w:r>
      </w:hyperlink>
    </w:p>
    <w:p w14:paraId="4DC5ACFF" w14:textId="033A66C7" w:rsidR="000F62E2" w:rsidRDefault="00883972">
      <w:pPr>
        <w:pStyle w:val="TOC2"/>
        <w:tabs>
          <w:tab w:val="left" w:pos="502"/>
          <w:tab w:val="right" w:pos="9968"/>
        </w:tabs>
        <w:rPr>
          <w:rFonts w:eastAsiaTheme="minorEastAsia" w:cstheme="minorBidi"/>
          <w:b w:val="0"/>
          <w:bCs w:val="0"/>
          <w:smallCaps w:val="0"/>
          <w:noProof/>
        </w:rPr>
      </w:pPr>
      <w:hyperlink w:anchor="_Toc29573948" w:history="1">
        <w:r w:rsidR="000F62E2" w:rsidRPr="0085681C">
          <w:rPr>
            <w:rStyle w:val="Hyperlink"/>
            <w:noProof/>
          </w:rPr>
          <w:t>5.5</w:t>
        </w:r>
        <w:r w:rsidR="000F62E2">
          <w:rPr>
            <w:rFonts w:eastAsiaTheme="minorEastAsia" w:cstheme="minorBidi"/>
            <w:b w:val="0"/>
            <w:bCs w:val="0"/>
            <w:smallCaps w:val="0"/>
            <w:noProof/>
          </w:rPr>
          <w:tab/>
        </w:r>
        <w:r w:rsidR="000F62E2" w:rsidRPr="0085681C">
          <w:rPr>
            <w:rStyle w:val="Hyperlink"/>
            <w:noProof/>
          </w:rPr>
          <w:t>Tertiary Services</w:t>
        </w:r>
        <w:r w:rsidR="000F62E2">
          <w:rPr>
            <w:noProof/>
            <w:webHidden/>
          </w:rPr>
          <w:tab/>
        </w:r>
        <w:r w:rsidR="000F62E2">
          <w:rPr>
            <w:noProof/>
            <w:webHidden/>
          </w:rPr>
          <w:fldChar w:fldCharType="begin"/>
        </w:r>
        <w:r w:rsidR="000F62E2">
          <w:rPr>
            <w:noProof/>
            <w:webHidden/>
          </w:rPr>
          <w:instrText xml:space="preserve"> PAGEREF _Toc29573948 \h </w:instrText>
        </w:r>
        <w:r w:rsidR="000F62E2">
          <w:rPr>
            <w:noProof/>
            <w:webHidden/>
          </w:rPr>
        </w:r>
        <w:r w:rsidR="000F62E2">
          <w:rPr>
            <w:noProof/>
            <w:webHidden/>
          </w:rPr>
          <w:fldChar w:fldCharType="separate"/>
        </w:r>
        <w:r w:rsidR="00A611A7">
          <w:rPr>
            <w:noProof/>
            <w:webHidden/>
          </w:rPr>
          <w:t>64</w:t>
        </w:r>
        <w:r w:rsidR="000F62E2">
          <w:rPr>
            <w:noProof/>
            <w:webHidden/>
          </w:rPr>
          <w:fldChar w:fldCharType="end"/>
        </w:r>
      </w:hyperlink>
    </w:p>
    <w:p w14:paraId="338A916C" w14:textId="0771D60A" w:rsidR="000F62E2" w:rsidRDefault="00883972">
      <w:pPr>
        <w:pStyle w:val="TOC2"/>
        <w:tabs>
          <w:tab w:val="left" w:pos="502"/>
          <w:tab w:val="right" w:pos="9968"/>
        </w:tabs>
        <w:rPr>
          <w:rFonts w:eastAsiaTheme="minorEastAsia" w:cstheme="minorBidi"/>
          <w:b w:val="0"/>
          <w:bCs w:val="0"/>
          <w:smallCaps w:val="0"/>
          <w:noProof/>
        </w:rPr>
      </w:pPr>
      <w:hyperlink w:anchor="_Toc29573949" w:history="1">
        <w:r w:rsidR="000F62E2" w:rsidRPr="0085681C">
          <w:rPr>
            <w:rStyle w:val="Hyperlink"/>
            <w:noProof/>
          </w:rPr>
          <w:t>5.6</w:t>
        </w:r>
        <w:r w:rsidR="000F62E2">
          <w:rPr>
            <w:rFonts w:eastAsiaTheme="minorEastAsia" w:cstheme="minorBidi"/>
            <w:b w:val="0"/>
            <w:bCs w:val="0"/>
            <w:smallCaps w:val="0"/>
            <w:noProof/>
          </w:rPr>
          <w:tab/>
        </w:r>
        <w:r w:rsidR="000F62E2" w:rsidRPr="0085681C">
          <w:rPr>
            <w:rStyle w:val="Hyperlink"/>
            <w:noProof/>
          </w:rPr>
          <w:t>Efficiency Productivity and Value</w:t>
        </w:r>
        <w:r w:rsidR="000F62E2">
          <w:rPr>
            <w:noProof/>
            <w:webHidden/>
          </w:rPr>
          <w:tab/>
        </w:r>
        <w:r w:rsidR="000F62E2">
          <w:rPr>
            <w:noProof/>
            <w:webHidden/>
          </w:rPr>
          <w:fldChar w:fldCharType="begin"/>
        </w:r>
        <w:r w:rsidR="000F62E2">
          <w:rPr>
            <w:noProof/>
            <w:webHidden/>
          </w:rPr>
          <w:instrText xml:space="preserve"> PAGEREF _Toc29573949 \h </w:instrText>
        </w:r>
        <w:r w:rsidR="000F62E2">
          <w:rPr>
            <w:noProof/>
            <w:webHidden/>
          </w:rPr>
        </w:r>
        <w:r w:rsidR="000F62E2">
          <w:rPr>
            <w:noProof/>
            <w:webHidden/>
          </w:rPr>
          <w:fldChar w:fldCharType="separate"/>
        </w:r>
        <w:r w:rsidR="00A611A7">
          <w:rPr>
            <w:noProof/>
            <w:webHidden/>
          </w:rPr>
          <w:t>64</w:t>
        </w:r>
        <w:r w:rsidR="000F62E2">
          <w:rPr>
            <w:noProof/>
            <w:webHidden/>
          </w:rPr>
          <w:fldChar w:fldCharType="end"/>
        </w:r>
      </w:hyperlink>
    </w:p>
    <w:p w14:paraId="65F9AD74" w14:textId="1A35B94F" w:rsidR="000F62E2" w:rsidRDefault="00883972">
      <w:pPr>
        <w:pStyle w:val="TOC2"/>
        <w:tabs>
          <w:tab w:val="left" w:pos="502"/>
          <w:tab w:val="right" w:pos="9968"/>
        </w:tabs>
        <w:rPr>
          <w:rFonts w:eastAsiaTheme="minorEastAsia" w:cstheme="minorBidi"/>
          <w:b w:val="0"/>
          <w:bCs w:val="0"/>
          <w:smallCaps w:val="0"/>
          <w:noProof/>
        </w:rPr>
      </w:pPr>
      <w:hyperlink w:anchor="_Toc29573950" w:history="1">
        <w:r w:rsidR="000F62E2" w:rsidRPr="0085681C">
          <w:rPr>
            <w:rStyle w:val="Hyperlink"/>
            <w:noProof/>
          </w:rPr>
          <w:t>5.7</w:t>
        </w:r>
        <w:r w:rsidR="000F62E2">
          <w:rPr>
            <w:rFonts w:eastAsiaTheme="minorEastAsia" w:cstheme="minorBidi"/>
            <w:b w:val="0"/>
            <w:bCs w:val="0"/>
            <w:smallCaps w:val="0"/>
            <w:noProof/>
          </w:rPr>
          <w:tab/>
        </w:r>
        <w:r w:rsidR="000F62E2" w:rsidRPr="0085681C">
          <w:rPr>
            <w:rStyle w:val="Hyperlink"/>
            <w:noProof/>
          </w:rPr>
          <w:t>Performance and Information</w:t>
        </w:r>
        <w:r w:rsidR="000F62E2">
          <w:rPr>
            <w:noProof/>
            <w:webHidden/>
          </w:rPr>
          <w:tab/>
        </w:r>
        <w:r w:rsidR="000F62E2">
          <w:rPr>
            <w:noProof/>
            <w:webHidden/>
          </w:rPr>
          <w:fldChar w:fldCharType="begin"/>
        </w:r>
        <w:r w:rsidR="000F62E2">
          <w:rPr>
            <w:noProof/>
            <w:webHidden/>
          </w:rPr>
          <w:instrText xml:space="preserve"> PAGEREF _Toc29573950 \h </w:instrText>
        </w:r>
        <w:r w:rsidR="000F62E2">
          <w:rPr>
            <w:noProof/>
            <w:webHidden/>
          </w:rPr>
        </w:r>
        <w:r w:rsidR="000F62E2">
          <w:rPr>
            <w:noProof/>
            <w:webHidden/>
          </w:rPr>
          <w:fldChar w:fldCharType="separate"/>
        </w:r>
        <w:r w:rsidR="00A611A7">
          <w:rPr>
            <w:noProof/>
            <w:webHidden/>
          </w:rPr>
          <w:t>66</w:t>
        </w:r>
        <w:r w:rsidR="000F62E2">
          <w:rPr>
            <w:noProof/>
            <w:webHidden/>
          </w:rPr>
          <w:fldChar w:fldCharType="end"/>
        </w:r>
      </w:hyperlink>
    </w:p>
    <w:p w14:paraId="36803773" w14:textId="5EC0D60D" w:rsidR="000F62E2" w:rsidRDefault="00883972">
      <w:pPr>
        <w:pStyle w:val="TOC2"/>
        <w:tabs>
          <w:tab w:val="left" w:pos="502"/>
          <w:tab w:val="right" w:pos="9968"/>
        </w:tabs>
        <w:rPr>
          <w:rFonts w:eastAsiaTheme="minorEastAsia" w:cstheme="minorBidi"/>
          <w:b w:val="0"/>
          <w:bCs w:val="0"/>
          <w:smallCaps w:val="0"/>
          <w:noProof/>
        </w:rPr>
      </w:pPr>
      <w:hyperlink w:anchor="_Toc29573951" w:history="1">
        <w:r w:rsidR="000F62E2" w:rsidRPr="0085681C">
          <w:rPr>
            <w:rStyle w:val="Hyperlink"/>
            <w:noProof/>
          </w:rPr>
          <w:t>5.8</w:t>
        </w:r>
        <w:r w:rsidR="000F62E2">
          <w:rPr>
            <w:rFonts w:eastAsiaTheme="minorEastAsia" w:cstheme="minorBidi"/>
            <w:b w:val="0"/>
            <w:bCs w:val="0"/>
            <w:smallCaps w:val="0"/>
            <w:noProof/>
          </w:rPr>
          <w:tab/>
        </w:r>
        <w:r w:rsidR="000F62E2" w:rsidRPr="0085681C">
          <w:rPr>
            <w:rStyle w:val="Hyperlink"/>
            <w:noProof/>
          </w:rPr>
          <w:t>Ensuring Integration with Our Partners’ Plans</w:t>
        </w:r>
        <w:r w:rsidR="000F62E2">
          <w:rPr>
            <w:noProof/>
            <w:webHidden/>
          </w:rPr>
          <w:tab/>
        </w:r>
        <w:r w:rsidR="000F62E2">
          <w:rPr>
            <w:noProof/>
            <w:webHidden/>
          </w:rPr>
          <w:fldChar w:fldCharType="begin"/>
        </w:r>
        <w:r w:rsidR="000F62E2">
          <w:rPr>
            <w:noProof/>
            <w:webHidden/>
          </w:rPr>
          <w:instrText xml:space="preserve"> PAGEREF _Toc29573951 \h </w:instrText>
        </w:r>
        <w:r w:rsidR="000F62E2">
          <w:rPr>
            <w:noProof/>
            <w:webHidden/>
          </w:rPr>
        </w:r>
        <w:r w:rsidR="000F62E2">
          <w:rPr>
            <w:noProof/>
            <w:webHidden/>
          </w:rPr>
          <w:fldChar w:fldCharType="separate"/>
        </w:r>
        <w:r w:rsidR="00A611A7">
          <w:rPr>
            <w:noProof/>
            <w:webHidden/>
          </w:rPr>
          <w:t>67</w:t>
        </w:r>
        <w:r w:rsidR="000F62E2">
          <w:rPr>
            <w:noProof/>
            <w:webHidden/>
          </w:rPr>
          <w:fldChar w:fldCharType="end"/>
        </w:r>
      </w:hyperlink>
    </w:p>
    <w:p w14:paraId="6FDBF75D" w14:textId="0EC34CE7" w:rsidR="000F62E2" w:rsidRDefault="00883972">
      <w:pPr>
        <w:pStyle w:val="TOC1"/>
        <w:tabs>
          <w:tab w:val="left" w:pos="390"/>
          <w:tab w:val="right" w:pos="9968"/>
        </w:tabs>
        <w:rPr>
          <w:rFonts w:eastAsiaTheme="minorEastAsia" w:cstheme="minorBidi"/>
          <w:b w:val="0"/>
          <w:bCs w:val="0"/>
          <w:caps w:val="0"/>
          <w:noProof/>
          <w:u w:val="none"/>
        </w:rPr>
      </w:pPr>
      <w:hyperlink w:anchor="_Toc29573952" w:history="1">
        <w:r w:rsidR="000F62E2" w:rsidRPr="0085681C">
          <w:rPr>
            <w:rStyle w:val="Hyperlink"/>
            <w:noProof/>
          </w:rPr>
          <w:t>6.</w:t>
        </w:r>
        <w:r w:rsidR="000F62E2">
          <w:rPr>
            <w:rFonts w:eastAsiaTheme="minorEastAsia" w:cstheme="minorBidi"/>
            <w:b w:val="0"/>
            <w:bCs w:val="0"/>
            <w:caps w:val="0"/>
            <w:noProof/>
            <w:u w:val="none"/>
          </w:rPr>
          <w:tab/>
        </w:r>
        <w:r w:rsidR="000F62E2" w:rsidRPr="0085681C">
          <w:rPr>
            <w:rStyle w:val="Hyperlink"/>
            <w:noProof/>
          </w:rPr>
          <w:t>WORKFORCE AND ORGANISATIONAL DEVELOPMENT</w:t>
        </w:r>
        <w:r w:rsidR="000F62E2">
          <w:rPr>
            <w:noProof/>
            <w:webHidden/>
          </w:rPr>
          <w:tab/>
        </w:r>
        <w:r w:rsidR="000F62E2">
          <w:rPr>
            <w:noProof/>
            <w:webHidden/>
          </w:rPr>
          <w:fldChar w:fldCharType="begin"/>
        </w:r>
        <w:r w:rsidR="000F62E2">
          <w:rPr>
            <w:noProof/>
            <w:webHidden/>
          </w:rPr>
          <w:instrText xml:space="preserve"> PAGEREF _Toc29573952 \h </w:instrText>
        </w:r>
        <w:r w:rsidR="000F62E2">
          <w:rPr>
            <w:noProof/>
            <w:webHidden/>
          </w:rPr>
        </w:r>
        <w:r w:rsidR="000F62E2">
          <w:rPr>
            <w:noProof/>
            <w:webHidden/>
          </w:rPr>
          <w:fldChar w:fldCharType="separate"/>
        </w:r>
        <w:r w:rsidR="00A611A7">
          <w:rPr>
            <w:noProof/>
            <w:webHidden/>
          </w:rPr>
          <w:t>70</w:t>
        </w:r>
        <w:r w:rsidR="000F62E2">
          <w:rPr>
            <w:noProof/>
            <w:webHidden/>
          </w:rPr>
          <w:fldChar w:fldCharType="end"/>
        </w:r>
      </w:hyperlink>
    </w:p>
    <w:p w14:paraId="64AD9AA7" w14:textId="7C2C88B4" w:rsidR="000F62E2" w:rsidRDefault="00883972">
      <w:pPr>
        <w:pStyle w:val="TOC2"/>
        <w:tabs>
          <w:tab w:val="left" w:pos="502"/>
          <w:tab w:val="right" w:pos="9968"/>
        </w:tabs>
        <w:rPr>
          <w:rFonts w:eastAsiaTheme="minorEastAsia" w:cstheme="minorBidi"/>
          <w:b w:val="0"/>
          <w:bCs w:val="0"/>
          <w:smallCaps w:val="0"/>
          <w:noProof/>
        </w:rPr>
      </w:pPr>
      <w:hyperlink w:anchor="_Toc29573953" w:history="1">
        <w:r w:rsidR="000F62E2" w:rsidRPr="0085681C">
          <w:rPr>
            <w:rStyle w:val="Hyperlink"/>
            <w:noProof/>
          </w:rPr>
          <w:t>6.1</w:t>
        </w:r>
        <w:r w:rsidR="000F62E2">
          <w:rPr>
            <w:rFonts w:eastAsiaTheme="minorEastAsia" w:cstheme="minorBidi"/>
            <w:b w:val="0"/>
            <w:bCs w:val="0"/>
            <w:smallCaps w:val="0"/>
            <w:noProof/>
          </w:rPr>
          <w:tab/>
        </w:r>
        <w:r w:rsidR="000F62E2" w:rsidRPr="0085681C">
          <w:rPr>
            <w:rStyle w:val="Hyperlink"/>
            <w:noProof/>
          </w:rPr>
          <w:t>Organisation Development</w:t>
        </w:r>
        <w:r w:rsidR="000F62E2">
          <w:rPr>
            <w:noProof/>
            <w:webHidden/>
          </w:rPr>
          <w:tab/>
        </w:r>
        <w:r w:rsidR="000F62E2">
          <w:rPr>
            <w:noProof/>
            <w:webHidden/>
          </w:rPr>
          <w:fldChar w:fldCharType="begin"/>
        </w:r>
        <w:r w:rsidR="000F62E2">
          <w:rPr>
            <w:noProof/>
            <w:webHidden/>
          </w:rPr>
          <w:instrText xml:space="preserve"> PAGEREF _Toc29573953 \h </w:instrText>
        </w:r>
        <w:r w:rsidR="000F62E2">
          <w:rPr>
            <w:noProof/>
            <w:webHidden/>
          </w:rPr>
        </w:r>
        <w:r w:rsidR="000F62E2">
          <w:rPr>
            <w:noProof/>
            <w:webHidden/>
          </w:rPr>
          <w:fldChar w:fldCharType="separate"/>
        </w:r>
        <w:r w:rsidR="00A611A7">
          <w:rPr>
            <w:noProof/>
            <w:webHidden/>
          </w:rPr>
          <w:t>71</w:t>
        </w:r>
        <w:r w:rsidR="000F62E2">
          <w:rPr>
            <w:noProof/>
            <w:webHidden/>
          </w:rPr>
          <w:fldChar w:fldCharType="end"/>
        </w:r>
      </w:hyperlink>
    </w:p>
    <w:p w14:paraId="7312D9D9" w14:textId="3FB5CDB0" w:rsidR="000F62E2" w:rsidRDefault="00883972">
      <w:pPr>
        <w:pStyle w:val="TOC2"/>
        <w:tabs>
          <w:tab w:val="left" w:pos="502"/>
          <w:tab w:val="right" w:pos="9968"/>
        </w:tabs>
        <w:rPr>
          <w:rFonts w:eastAsiaTheme="minorEastAsia" w:cstheme="minorBidi"/>
          <w:b w:val="0"/>
          <w:bCs w:val="0"/>
          <w:smallCaps w:val="0"/>
          <w:noProof/>
        </w:rPr>
      </w:pPr>
      <w:hyperlink w:anchor="_Toc29573954" w:history="1">
        <w:r w:rsidR="000F62E2" w:rsidRPr="0085681C">
          <w:rPr>
            <w:rStyle w:val="Hyperlink"/>
            <w:noProof/>
          </w:rPr>
          <w:t>6.2</w:t>
        </w:r>
        <w:r w:rsidR="000F62E2">
          <w:rPr>
            <w:rFonts w:eastAsiaTheme="minorEastAsia" w:cstheme="minorBidi"/>
            <w:b w:val="0"/>
            <w:bCs w:val="0"/>
            <w:smallCaps w:val="0"/>
            <w:noProof/>
          </w:rPr>
          <w:tab/>
        </w:r>
        <w:r w:rsidR="000F62E2" w:rsidRPr="0085681C">
          <w:rPr>
            <w:rStyle w:val="Hyperlink"/>
            <w:noProof/>
          </w:rPr>
          <w:t>Workforce Sustainability</w:t>
        </w:r>
        <w:r w:rsidR="000F62E2">
          <w:rPr>
            <w:noProof/>
            <w:webHidden/>
          </w:rPr>
          <w:tab/>
        </w:r>
        <w:r w:rsidR="000F62E2">
          <w:rPr>
            <w:noProof/>
            <w:webHidden/>
          </w:rPr>
          <w:fldChar w:fldCharType="begin"/>
        </w:r>
        <w:r w:rsidR="000F62E2">
          <w:rPr>
            <w:noProof/>
            <w:webHidden/>
          </w:rPr>
          <w:instrText xml:space="preserve"> PAGEREF _Toc29573954 \h </w:instrText>
        </w:r>
        <w:r w:rsidR="000F62E2">
          <w:rPr>
            <w:noProof/>
            <w:webHidden/>
          </w:rPr>
        </w:r>
        <w:r w:rsidR="000F62E2">
          <w:rPr>
            <w:noProof/>
            <w:webHidden/>
          </w:rPr>
          <w:fldChar w:fldCharType="separate"/>
        </w:r>
        <w:r w:rsidR="00A611A7">
          <w:rPr>
            <w:noProof/>
            <w:webHidden/>
          </w:rPr>
          <w:t>73</w:t>
        </w:r>
        <w:r w:rsidR="000F62E2">
          <w:rPr>
            <w:noProof/>
            <w:webHidden/>
          </w:rPr>
          <w:fldChar w:fldCharType="end"/>
        </w:r>
      </w:hyperlink>
    </w:p>
    <w:p w14:paraId="353C4A3A" w14:textId="7DA95A6F" w:rsidR="000F62E2" w:rsidRDefault="00883972">
      <w:pPr>
        <w:pStyle w:val="TOC2"/>
        <w:tabs>
          <w:tab w:val="left" w:pos="502"/>
          <w:tab w:val="right" w:pos="9968"/>
        </w:tabs>
        <w:rPr>
          <w:rFonts w:eastAsiaTheme="minorEastAsia" w:cstheme="minorBidi"/>
          <w:b w:val="0"/>
          <w:bCs w:val="0"/>
          <w:smallCaps w:val="0"/>
          <w:noProof/>
        </w:rPr>
      </w:pPr>
      <w:hyperlink w:anchor="_Toc29573955" w:history="1">
        <w:r w:rsidR="000F62E2" w:rsidRPr="0085681C">
          <w:rPr>
            <w:rStyle w:val="Hyperlink"/>
            <w:noProof/>
          </w:rPr>
          <w:t>6.3</w:t>
        </w:r>
        <w:r w:rsidR="000F62E2">
          <w:rPr>
            <w:rFonts w:eastAsiaTheme="minorEastAsia" w:cstheme="minorBidi"/>
            <w:b w:val="0"/>
            <w:bCs w:val="0"/>
            <w:smallCaps w:val="0"/>
            <w:noProof/>
          </w:rPr>
          <w:tab/>
        </w:r>
        <w:r w:rsidR="000F62E2" w:rsidRPr="0085681C">
          <w:rPr>
            <w:rStyle w:val="Hyperlink"/>
            <w:noProof/>
          </w:rPr>
          <w:t>Development and Transformation</w:t>
        </w:r>
        <w:r w:rsidR="000F62E2">
          <w:rPr>
            <w:noProof/>
            <w:webHidden/>
          </w:rPr>
          <w:tab/>
        </w:r>
        <w:r w:rsidR="000F62E2">
          <w:rPr>
            <w:noProof/>
            <w:webHidden/>
          </w:rPr>
          <w:fldChar w:fldCharType="begin"/>
        </w:r>
        <w:r w:rsidR="000F62E2">
          <w:rPr>
            <w:noProof/>
            <w:webHidden/>
          </w:rPr>
          <w:instrText xml:space="preserve"> PAGEREF _Toc29573955 \h </w:instrText>
        </w:r>
        <w:r w:rsidR="000F62E2">
          <w:rPr>
            <w:noProof/>
            <w:webHidden/>
          </w:rPr>
        </w:r>
        <w:r w:rsidR="000F62E2">
          <w:rPr>
            <w:noProof/>
            <w:webHidden/>
          </w:rPr>
          <w:fldChar w:fldCharType="separate"/>
        </w:r>
        <w:r w:rsidR="00A611A7">
          <w:rPr>
            <w:noProof/>
            <w:webHidden/>
          </w:rPr>
          <w:t>77</w:t>
        </w:r>
        <w:r w:rsidR="000F62E2">
          <w:rPr>
            <w:noProof/>
            <w:webHidden/>
          </w:rPr>
          <w:fldChar w:fldCharType="end"/>
        </w:r>
      </w:hyperlink>
    </w:p>
    <w:p w14:paraId="64F8583A" w14:textId="3104801B" w:rsidR="000F62E2" w:rsidRDefault="00883972">
      <w:pPr>
        <w:pStyle w:val="TOC2"/>
        <w:tabs>
          <w:tab w:val="left" w:pos="502"/>
          <w:tab w:val="right" w:pos="9968"/>
        </w:tabs>
        <w:rPr>
          <w:rFonts w:eastAsiaTheme="minorEastAsia" w:cstheme="minorBidi"/>
          <w:b w:val="0"/>
          <w:bCs w:val="0"/>
          <w:smallCaps w:val="0"/>
          <w:noProof/>
        </w:rPr>
      </w:pPr>
      <w:hyperlink w:anchor="_Toc29573956" w:history="1">
        <w:r w:rsidR="000F62E2" w:rsidRPr="0085681C">
          <w:rPr>
            <w:rStyle w:val="Hyperlink"/>
            <w:noProof/>
          </w:rPr>
          <w:t>6.4</w:t>
        </w:r>
        <w:r w:rsidR="000F62E2">
          <w:rPr>
            <w:rFonts w:eastAsiaTheme="minorEastAsia" w:cstheme="minorBidi"/>
            <w:b w:val="0"/>
            <w:bCs w:val="0"/>
            <w:smallCaps w:val="0"/>
            <w:noProof/>
          </w:rPr>
          <w:tab/>
        </w:r>
        <w:r w:rsidR="000F62E2" w:rsidRPr="0085681C">
          <w:rPr>
            <w:rStyle w:val="Hyperlink"/>
            <w:noProof/>
          </w:rPr>
          <w:t>Wellbeing, diverse and engaged workforce</w:t>
        </w:r>
        <w:r w:rsidR="000F62E2">
          <w:rPr>
            <w:noProof/>
            <w:webHidden/>
          </w:rPr>
          <w:tab/>
        </w:r>
        <w:r w:rsidR="000F62E2">
          <w:rPr>
            <w:noProof/>
            <w:webHidden/>
          </w:rPr>
          <w:fldChar w:fldCharType="begin"/>
        </w:r>
        <w:r w:rsidR="000F62E2">
          <w:rPr>
            <w:noProof/>
            <w:webHidden/>
          </w:rPr>
          <w:instrText xml:space="preserve"> PAGEREF _Toc29573956 \h </w:instrText>
        </w:r>
        <w:r w:rsidR="000F62E2">
          <w:rPr>
            <w:noProof/>
            <w:webHidden/>
          </w:rPr>
        </w:r>
        <w:r w:rsidR="000F62E2">
          <w:rPr>
            <w:noProof/>
            <w:webHidden/>
          </w:rPr>
          <w:fldChar w:fldCharType="separate"/>
        </w:r>
        <w:r w:rsidR="00A611A7">
          <w:rPr>
            <w:noProof/>
            <w:webHidden/>
          </w:rPr>
          <w:t>83</w:t>
        </w:r>
        <w:r w:rsidR="000F62E2">
          <w:rPr>
            <w:noProof/>
            <w:webHidden/>
          </w:rPr>
          <w:fldChar w:fldCharType="end"/>
        </w:r>
      </w:hyperlink>
    </w:p>
    <w:p w14:paraId="265D9C03" w14:textId="3FFF121C" w:rsidR="000F62E2" w:rsidRDefault="00883972">
      <w:pPr>
        <w:pStyle w:val="TOC2"/>
        <w:tabs>
          <w:tab w:val="left" w:pos="502"/>
          <w:tab w:val="right" w:pos="9968"/>
        </w:tabs>
        <w:rPr>
          <w:rFonts w:eastAsiaTheme="minorEastAsia" w:cstheme="minorBidi"/>
          <w:b w:val="0"/>
          <w:bCs w:val="0"/>
          <w:smallCaps w:val="0"/>
          <w:noProof/>
        </w:rPr>
      </w:pPr>
      <w:hyperlink w:anchor="_Toc29573957" w:history="1">
        <w:r w:rsidR="000F62E2" w:rsidRPr="0085681C">
          <w:rPr>
            <w:rStyle w:val="Hyperlink"/>
            <w:noProof/>
          </w:rPr>
          <w:t>6.5</w:t>
        </w:r>
        <w:r w:rsidR="000F62E2">
          <w:rPr>
            <w:rFonts w:eastAsiaTheme="minorEastAsia" w:cstheme="minorBidi"/>
            <w:b w:val="0"/>
            <w:bCs w:val="0"/>
            <w:smallCaps w:val="0"/>
            <w:noProof/>
          </w:rPr>
          <w:tab/>
        </w:r>
        <w:r w:rsidR="000F62E2" w:rsidRPr="0085681C">
          <w:rPr>
            <w:rStyle w:val="Hyperlink"/>
            <w:noProof/>
          </w:rPr>
          <w:t>Workforce Performance Reporting</w:t>
        </w:r>
        <w:r w:rsidR="000F62E2">
          <w:rPr>
            <w:noProof/>
            <w:webHidden/>
          </w:rPr>
          <w:tab/>
        </w:r>
        <w:r w:rsidR="000F62E2">
          <w:rPr>
            <w:noProof/>
            <w:webHidden/>
          </w:rPr>
          <w:fldChar w:fldCharType="begin"/>
        </w:r>
        <w:r w:rsidR="000F62E2">
          <w:rPr>
            <w:noProof/>
            <w:webHidden/>
          </w:rPr>
          <w:instrText xml:space="preserve"> PAGEREF _Toc29573957 \h </w:instrText>
        </w:r>
        <w:r w:rsidR="000F62E2">
          <w:rPr>
            <w:noProof/>
            <w:webHidden/>
          </w:rPr>
        </w:r>
        <w:r w:rsidR="000F62E2">
          <w:rPr>
            <w:noProof/>
            <w:webHidden/>
          </w:rPr>
          <w:fldChar w:fldCharType="separate"/>
        </w:r>
        <w:r w:rsidR="00A611A7">
          <w:rPr>
            <w:noProof/>
            <w:webHidden/>
          </w:rPr>
          <w:t>87</w:t>
        </w:r>
        <w:r w:rsidR="000F62E2">
          <w:rPr>
            <w:noProof/>
            <w:webHidden/>
          </w:rPr>
          <w:fldChar w:fldCharType="end"/>
        </w:r>
      </w:hyperlink>
    </w:p>
    <w:p w14:paraId="7036EAFD" w14:textId="7309401E" w:rsidR="000F62E2" w:rsidRDefault="00883972">
      <w:pPr>
        <w:pStyle w:val="TOC1"/>
        <w:tabs>
          <w:tab w:val="left" w:pos="390"/>
          <w:tab w:val="right" w:pos="9968"/>
        </w:tabs>
        <w:rPr>
          <w:rFonts w:eastAsiaTheme="minorEastAsia" w:cstheme="minorBidi"/>
          <w:b w:val="0"/>
          <w:bCs w:val="0"/>
          <w:caps w:val="0"/>
          <w:noProof/>
          <w:u w:val="none"/>
        </w:rPr>
      </w:pPr>
      <w:hyperlink w:anchor="_Toc29573958" w:history="1">
        <w:r w:rsidR="000F62E2" w:rsidRPr="0085681C">
          <w:rPr>
            <w:rStyle w:val="Hyperlink"/>
            <w:noProof/>
          </w:rPr>
          <w:t>7.</w:t>
        </w:r>
        <w:r w:rsidR="000F62E2">
          <w:rPr>
            <w:rFonts w:eastAsiaTheme="minorEastAsia" w:cstheme="minorBidi"/>
            <w:b w:val="0"/>
            <w:bCs w:val="0"/>
            <w:caps w:val="0"/>
            <w:noProof/>
            <w:u w:val="none"/>
          </w:rPr>
          <w:tab/>
        </w:r>
        <w:r w:rsidR="000F62E2" w:rsidRPr="0085681C">
          <w:rPr>
            <w:rStyle w:val="Hyperlink"/>
            <w:noProof/>
          </w:rPr>
          <w:t>FINANCE - 2020/21 to 2022/23</w:t>
        </w:r>
        <w:r w:rsidR="000F62E2">
          <w:rPr>
            <w:noProof/>
            <w:webHidden/>
          </w:rPr>
          <w:tab/>
        </w:r>
        <w:r w:rsidR="000F62E2">
          <w:rPr>
            <w:noProof/>
            <w:webHidden/>
          </w:rPr>
          <w:fldChar w:fldCharType="begin"/>
        </w:r>
        <w:r w:rsidR="000F62E2">
          <w:rPr>
            <w:noProof/>
            <w:webHidden/>
          </w:rPr>
          <w:instrText xml:space="preserve"> PAGEREF _Toc29573958 \h </w:instrText>
        </w:r>
        <w:r w:rsidR="000F62E2">
          <w:rPr>
            <w:noProof/>
            <w:webHidden/>
          </w:rPr>
        </w:r>
        <w:r w:rsidR="000F62E2">
          <w:rPr>
            <w:noProof/>
            <w:webHidden/>
          </w:rPr>
          <w:fldChar w:fldCharType="separate"/>
        </w:r>
        <w:r w:rsidR="00A611A7">
          <w:rPr>
            <w:noProof/>
            <w:webHidden/>
          </w:rPr>
          <w:t>88</w:t>
        </w:r>
        <w:r w:rsidR="000F62E2">
          <w:rPr>
            <w:noProof/>
            <w:webHidden/>
          </w:rPr>
          <w:fldChar w:fldCharType="end"/>
        </w:r>
      </w:hyperlink>
    </w:p>
    <w:p w14:paraId="05E1EC31" w14:textId="6C2E63C7" w:rsidR="000F62E2" w:rsidRDefault="00883972">
      <w:pPr>
        <w:pStyle w:val="TOC2"/>
        <w:tabs>
          <w:tab w:val="left" w:pos="502"/>
          <w:tab w:val="right" w:pos="9968"/>
        </w:tabs>
        <w:rPr>
          <w:rFonts w:eastAsiaTheme="minorEastAsia" w:cstheme="minorBidi"/>
          <w:b w:val="0"/>
          <w:bCs w:val="0"/>
          <w:smallCaps w:val="0"/>
          <w:noProof/>
        </w:rPr>
      </w:pPr>
      <w:hyperlink w:anchor="_Toc29573959" w:history="1">
        <w:r w:rsidR="000F62E2" w:rsidRPr="0085681C">
          <w:rPr>
            <w:rStyle w:val="Hyperlink"/>
            <w:noProof/>
          </w:rPr>
          <w:t>7.1</w:t>
        </w:r>
        <w:r w:rsidR="000F62E2">
          <w:rPr>
            <w:rFonts w:eastAsiaTheme="minorEastAsia" w:cstheme="minorBidi"/>
            <w:b w:val="0"/>
            <w:bCs w:val="0"/>
            <w:smallCaps w:val="0"/>
            <w:noProof/>
          </w:rPr>
          <w:tab/>
        </w:r>
        <w:r w:rsidR="000F62E2" w:rsidRPr="0085681C">
          <w:rPr>
            <w:rStyle w:val="Hyperlink"/>
            <w:noProof/>
          </w:rPr>
          <w:t>Statutory Financial Duty</w:t>
        </w:r>
        <w:r w:rsidR="000F62E2">
          <w:rPr>
            <w:noProof/>
            <w:webHidden/>
          </w:rPr>
          <w:tab/>
        </w:r>
        <w:r w:rsidR="000F62E2">
          <w:rPr>
            <w:noProof/>
            <w:webHidden/>
          </w:rPr>
          <w:fldChar w:fldCharType="begin"/>
        </w:r>
        <w:r w:rsidR="000F62E2">
          <w:rPr>
            <w:noProof/>
            <w:webHidden/>
          </w:rPr>
          <w:instrText xml:space="preserve"> PAGEREF _Toc29573959 \h </w:instrText>
        </w:r>
        <w:r w:rsidR="000F62E2">
          <w:rPr>
            <w:noProof/>
            <w:webHidden/>
          </w:rPr>
        </w:r>
        <w:r w:rsidR="000F62E2">
          <w:rPr>
            <w:noProof/>
            <w:webHidden/>
          </w:rPr>
          <w:fldChar w:fldCharType="separate"/>
        </w:r>
        <w:r w:rsidR="00A611A7">
          <w:rPr>
            <w:noProof/>
            <w:webHidden/>
          </w:rPr>
          <w:t>88</w:t>
        </w:r>
        <w:r w:rsidR="000F62E2">
          <w:rPr>
            <w:noProof/>
            <w:webHidden/>
          </w:rPr>
          <w:fldChar w:fldCharType="end"/>
        </w:r>
      </w:hyperlink>
    </w:p>
    <w:p w14:paraId="472EC614" w14:textId="25811BA0" w:rsidR="000F62E2" w:rsidRDefault="00883972">
      <w:pPr>
        <w:pStyle w:val="TOC2"/>
        <w:tabs>
          <w:tab w:val="left" w:pos="502"/>
          <w:tab w:val="right" w:pos="9968"/>
        </w:tabs>
        <w:rPr>
          <w:rFonts w:eastAsiaTheme="minorEastAsia" w:cstheme="minorBidi"/>
          <w:b w:val="0"/>
          <w:bCs w:val="0"/>
          <w:smallCaps w:val="0"/>
          <w:noProof/>
        </w:rPr>
      </w:pPr>
      <w:hyperlink w:anchor="_Toc29573960" w:history="1">
        <w:r w:rsidR="000F62E2" w:rsidRPr="0085681C">
          <w:rPr>
            <w:rStyle w:val="Hyperlink"/>
            <w:noProof/>
          </w:rPr>
          <w:t>7.2</w:t>
        </w:r>
        <w:r w:rsidR="000F62E2">
          <w:rPr>
            <w:rFonts w:eastAsiaTheme="minorEastAsia" w:cstheme="minorBidi"/>
            <w:b w:val="0"/>
            <w:bCs w:val="0"/>
            <w:smallCaps w:val="0"/>
            <w:noProof/>
          </w:rPr>
          <w:tab/>
        </w:r>
        <w:r w:rsidR="000F62E2" w:rsidRPr="0085681C">
          <w:rPr>
            <w:rStyle w:val="Hyperlink"/>
            <w:noProof/>
          </w:rPr>
          <w:t>Update on Financial Performance in 2019/20</w:t>
        </w:r>
        <w:r w:rsidR="000F62E2">
          <w:rPr>
            <w:noProof/>
            <w:webHidden/>
          </w:rPr>
          <w:tab/>
        </w:r>
        <w:r w:rsidR="000F62E2">
          <w:rPr>
            <w:noProof/>
            <w:webHidden/>
          </w:rPr>
          <w:fldChar w:fldCharType="begin"/>
        </w:r>
        <w:r w:rsidR="000F62E2">
          <w:rPr>
            <w:noProof/>
            <w:webHidden/>
          </w:rPr>
          <w:instrText xml:space="preserve"> PAGEREF _Toc29573960 \h </w:instrText>
        </w:r>
        <w:r w:rsidR="000F62E2">
          <w:rPr>
            <w:noProof/>
            <w:webHidden/>
          </w:rPr>
        </w:r>
        <w:r w:rsidR="000F62E2">
          <w:rPr>
            <w:noProof/>
            <w:webHidden/>
          </w:rPr>
          <w:fldChar w:fldCharType="separate"/>
        </w:r>
        <w:r w:rsidR="00A611A7">
          <w:rPr>
            <w:noProof/>
            <w:webHidden/>
          </w:rPr>
          <w:t>88</w:t>
        </w:r>
        <w:r w:rsidR="000F62E2">
          <w:rPr>
            <w:noProof/>
            <w:webHidden/>
          </w:rPr>
          <w:fldChar w:fldCharType="end"/>
        </w:r>
      </w:hyperlink>
    </w:p>
    <w:p w14:paraId="6871C288" w14:textId="5532066C" w:rsidR="000F62E2" w:rsidRDefault="00883972">
      <w:pPr>
        <w:pStyle w:val="TOC2"/>
        <w:tabs>
          <w:tab w:val="left" w:pos="502"/>
          <w:tab w:val="right" w:pos="9968"/>
        </w:tabs>
        <w:rPr>
          <w:rFonts w:eastAsiaTheme="minorEastAsia" w:cstheme="minorBidi"/>
          <w:b w:val="0"/>
          <w:bCs w:val="0"/>
          <w:smallCaps w:val="0"/>
          <w:noProof/>
        </w:rPr>
      </w:pPr>
      <w:hyperlink w:anchor="_Toc29573961" w:history="1">
        <w:r w:rsidR="000F62E2" w:rsidRPr="0085681C">
          <w:rPr>
            <w:rStyle w:val="Hyperlink"/>
            <w:noProof/>
          </w:rPr>
          <w:t>7.3</w:t>
        </w:r>
        <w:r w:rsidR="000F62E2">
          <w:rPr>
            <w:rFonts w:eastAsiaTheme="minorEastAsia" w:cstheme="minorBidi"/>
            <w:b w:val="0"/>
            <w:bCs w:val="0"/>
            <w:smallCaps w:val="0"/>
            <w:noProof/>
          </w:rPr>
          <w:tab/>
        </w:r>
        <w:r w:rsidR="000F62E2" w:rsidRPr="0085681C">
          <w:rPr>
            <w:rStyle w:val="Hyperlink"/>
            <w:noProof/>
          </w:rPr>
          <w:t>FINANCIAL STRATEGY</w:t>
        </w:r>
        <w:r w:rsidR="000F62E2">
          <w:rPr>
            <w:noProof/>
            <w:webHidden/>
          </w:rPr>
          <w:tab/>
        </w:r>
        <w:r w:rsidR="000F62E2">
          <w:rPr>
            <w:noProof/>
            <w:webHidden/>
          </w:rPr>
          <w:fldChar w:fldCharType="begin"/>
        </w:r>
        <w:r w:rsidR="000F62E2">
          <w:rPr>
            <w:noProof/>
            <w:webHidden/>
          </w:rPr>
          <w:instrText xml:space="preserve"> PAGEREF _Toc29573961 \h </w:instrText>
        </w:r>
        <w:r w:rsidR="000F62E2">
          <w:rPr>
            <w:noProof/>
            <w:webHidden/>
          </w:rPr>
        </w:r>
        <w:r w:rsidR="000F62E2">
          <w:rPr>
            <w:noProof/>
            <w:webHidden/>
          </w:rPr>
          <w:fldChar w:fldCharType="separate"/>
        </w:r>
        <w:r w:rsidR="00A611A7">
          <w:rPr>
            <w:noProof/>
            <w:webHidden/>
          </w:rPr>
          <w:t>88</w:t>
        </w:r>
        <w:r w:rsidR="000F62E2">
          <w:rPr>
            <w:noProof/>
            <w:webHidden/>
          </w:rPr>
          <w:fldChar w:fldCharType="end"/>
        </w:r>
      </w:hyperlink>
    </w:p>
    <w:p w14:paraId="6F40D05E" w14:textId="11479E56" w:rsidR="000F62E2" w:rsidRDefault="00883972">
      <w:pPr>
        <w:pStyle w:val="TOC2"/>
        <w:tabs>
          <w:tab w:val="left" w:pos="502"/>
          <w:tab w:val="right" w:pos="9968"/>
        </w:tabs>
        <w:rPr>
          <w:rFonts w:eastAsiaTheme="minorEastAsia" w:cstheme="minorBidi"/>
          <w:b w:val="0"/>
          <w:bCs w:val="0"/>
          <w:smallCaps w:val="0"/>
          <w:noProof/>
        </w:rPr>
      </w:pPr>
      <w:hyperlink w:anchor="_Toc29573962" w:history="1">
        <w:r w:rsidR="000F62E2" w:rsidRPr="0085681C">
          <w:rPr>
            <w:rStyle w:val="Hyperlink"/>
            <w:noProof/>
          </w:rPr>
          <w:t>7.4</w:t>
        </w:r>
        <w:r w:rsidR="000F62E2">
          <w:rPr>
            <w:rFonts w:eastAsiaTheme="minorEastAsia" w:cstheme="minorBidi"/>
            <w:b w:val="0"/>
            <w:bCs w:val="0"/>
            <w:smallCaps w:val="0"/>
            <w:noProof/>
          </w:rPr>
          <w:tab/>
        </w:r>
        <w:r w:rsidR="000F62E2" w:rsidRPr="0085681C">
          <w:rPr>
            <w:rStyle w:val="Hyperlink"/>
            <w:noProof/>
          </w:rPr>
          <w:t>Overview of the Financial Plan for 2020/21 to 2022/23</w:t>
        </w:r>
        <w:r w:rsidR="000F62E2">
          <w:rPr>
            <w:noProof/>
            <w:webHidden/>
          </w:rPr>
          <w:tab/>
        </w:r>
        <w:r w:rsidR="000F62E2">
          <w:rPr>
            <w:noProof/>
            <w:webHidden/>
          </w:rPr>
          <w:fldChar w:fldCharType="begin"/>
        </w:r>
        <w:r w:rsidR="000F62E2">
          <w:rPr>
            <w:noProof/>
            <w:webHidden/>
          </w:rPr>
          <w:instrText xml:space="preserve"> PAGEREF _Toc29573962 \h </w:instrText>
        </w:r>
        <w:r w:rsidR="000F62E2">
          <w:rPr>
            <w:noProof/>
            <w:webHidden/>
          </w:rPr>
        </w:r>
        <w:r w:rsidR="000F62E2">
          <w:rPr>
            <w:noProof/>
            <w:webHidden/>
          </w:rPr>
          <w:fldChar w:fldCharType="separate"/>
        </w:r>
        <w:r w:rsidR="00A611A7">
          <w:rPr>
            <w:noProof/>
            <w:webHidden/>
          </w:rPr>
          <w:t>91</w:t>
        </w:r>
        <w:r w:rsidR="000F62E2">
          <w:rPr>
            <w:noProof/>
            <w:webHidden/>
          </w:rPr>
          <w:fldChar w:fldCharType="end"/>
        </w:r>
      </w:hyperlink>
    </w:p>
    <w:p w14:paraId="248694BF" w14:textId="12767212" w:rsidR="000F62E2" w:rsidRDefault="00883972">
      <w:pPr>
        <w:pStyle w:val="TOC2"/>
        <w:tabs>
          <w:tab w:val="left" w:pos="502"/>
          <w:tab w:val="right" w:pos="9968"/>
        </w:tabs>
        <w:rPr>
          <w:rFonts w:eastAsiaTheme="minorEastAsia" w:cstheme="minorBidi"/>
          <w:b w:val="0"/>
          <w:bCs w:val="0"/>
          <w:smallCaps w:val="0"/>
          <w:noProof/>
        </w:rPr>
      </w:pPr>
      <w:hyperlink w:anchor="_Toc29573963" w:history="1">
        <w:r w:rsidR="000F62E2" w:rsidRPr="0085681C">
          <w:rPr>
            <w:rStyle w:val="Hyperlink"/>
            <w:noProof/>
          </w:rPr>
          <w:t>7.5</w:t>
        </w:r>
        <w:r w:rsidR="000F62E2">
          <w:rPr>
            <w:rFonts w:eastAsiaTheme="minorEastAsia" w:cstheme="minorBidi"/>
            <w:b w:val="0"/>
            <w:bCs w:val="0"/>
            <w:smallCaps w:val="0"/>
            <w:noProof/>
          </w:rPr>
          <w:tab/>
        </w:r>
        <w:r w:rsidR="000F62E2" w:rsidRPr="0085681C">
          <w:rPr>
            <w:rStyle w:val="Hyperlink"/>
            <w:noProof/>
          </w:rPr>
          <w:t>Income Changes – 2020/21 TO 2022/23</w:t>
        </w:r>
        <w:r w:rsidR="000F62E2">
          <w:rPr>
            <w:noProof/>
            <w:webHidden/>
          </w:rPr>
          <w:tab/>
        </w:r>
        <w:r w:rsidR="000F62E2">
          <w:rPr>
            <w:noProof/>
            <w:webHidden/>
          </w:rPr>
          <w:fldChar w:fldCharType="begin"/>
        </w:r>
        <w:r w:rsidR="000F62E2">
          <w:rPr>
            <w:noProof/>
            <w:webHidden/>
          </w:rPr>
          <w:instrText xml:space="preserve"> PAGEREF _Toc29573963 \h </w:instrText>
        </w:r>
        <w:r w:rsidR="000F62E2">
          <w:rPr>
            <w:noProof/>
            <w:webHidden/>
          </w:rPr>
        </w:r>
        <w:r w:rsidR="000F62E2">
          <w:rPr>
            <w:noProof/>
            <w:webHidden/>
          </w:rPr>
          <w:fldChar w:fldCharType="separate"/>
        </w:r>
        <w:r w:rsidR="00A611A7">
          <w:rPr>
            <w:noProof/>
            <w:webHidden/>
          </w:rPr>
          <w:t>94</w:t>
        </w:r>
        <w:r w:rsidR="000F62E2">
          <w:rPr>
            <w:noProof/>
            <w:webHidden/>
          </w:rPr>
          <w:fldChar w:fldCharType="end"/>
        </w:r>
      </w:hyperlink>
    </w:p>
    <w:p w14:paraId="5A051AC2" w14:textId="398B28C3" w:rsidR="000F62E2" w:rsidRDefault="00883972">
      <w:pPr>
        <w:pStyle w:val="TOC2"/>
        <w:tabs>
          <w:tab w:val="left" w:pos="502"/>
          <w:tab w:val="right" w:pos="9968"/>
        </w:tabs>
        <w:rPr>
          <w:rFonts w:eastAsiaTheme="minorEastAsia" w:cstheme="minorBidi"/>
          <w:b w:val="0"/>
          <w:bCs w:val="0"/>
          <w:smallCaps w:val="0"/>
          <w:noProof/>
        </w:rPr>
      </w:pPr>
      <w:hyperlink w:anchor="_Toc29573964" w:history="1">
        <w:r w:rsidR="000F62E2" w:rsidRPr="0085681C">
          <w:rPr>
            <w:rStyle w:val="Hyperlink"/>
            <w:noProof/>
          </w:rPr>
          <w:t>7.6</w:t>
        </w:r>
        <w:r w:rsidR="000F62E2">
          <w:rPr>
            <w:rFonts w:eastAsiaTheme="minorEastAsia" w:cstheme="minorBidi"/>
            <w:b w:val="0"/>
            <w:bCs w:val="0"/>
            <w:smallCaps w:val="0"/>
            <w:noProof/>
          </w:rPr>
          <w:tab/>
        </w:r>
        <w:r w:rsidR="000F62E2" w:rsidRPr="0085681C">
          <w:rPr>
            <w:rStyle w:val="Hyperlink"/>
            <w:noProof/>
          </w:rPr>
          <w:t>Inflationary, Service Demand and Cost Pressures</w:t>
        </w:r>
        <w:r w:rsidR="000F62E2">
          <w:rPr>
            <w:noProof/>
            <w:webHidden/>
          </w:rPr>
          <w:tab/>
        </w:r>
        <w:r w:rsidR="000F62E2">
          <w:rPr>
            <w:noProof/>
            <w:webHidden/>
          </w:rPr>
          <w:fldChar w:fldCharType="begin"/>
        </w:r>
        <w:r w:rsidR="000F62E2">
          <w:rPr>
            <w:noProof/>
            <w:webHidden/>
          </w:rPr>
          <w:instrText xml:space="preserve"> PAGEREF _Toc29573964 \h </w:instrText>
        </w:r>
        <w:r w:rsidR="000F62E2">
          <w:rPr>
            <w:noProof/>
            <w:webHidden/>
          </w:rPr>
        </w:r>
        <w:r w:rsidR="000F62E2">
          <w:rPr>
            <w:noProof/>
            <w:webHidden/>
          </w:rPr>
          <w:fldChar w:fldCharType="separate"/>
        </w:r>
        <w:r w:rsidR="00A611A7">
          <w:rPr>
            <w:noProof/>
            <w:webHidden/>
          </w:rPr>
          <w:t>97</w:t>
        </w:r>
        <w:r w:rsidR="000F62E2">
          <w:rPr>
            <w:noProof/>
            <w:webHidden/>
          </w:rPr>
          <w:fldChar w:fldCharType="end"/>
        </w:r>
      </w:hyperlink>
    </w:p>
    <w:p w14:paraId="10E0673C" w14:textId="795EE878" w:rsidR="000F62E2" w:rsidRDefault="00883972">
      <w:pPr>
        <w:pStyle w:val="TOC2"/>
        <w:tabs>
          <w:tab w:val="left" w:pos="502"/>
          <w:tab w:val="right" w:pos="9968"/>
        </w:tabs>
        <w:rPr>
          <w:rFonts w:eastAsiaTheme="minorEastAsia" w:cstheme="minorBidi"/>
          <w:b w:val="0"/>
          <w:bCs w:val="0"/>
          <w:smallCaps w:val="0"/>
          <w:noProof/>
        </w:rPr>
      </w:pPr>
      <w:hyperlink w:anchor="_Toc29573965" w:history="1">
        <w:r w:rsidR="000F62E2" w:rsidRPr="0085681C">
          <w:rPr>
            <w:rStyle w:val="Hyperlink"/>
            <w:noProof/>
          </w:rPr>
          <w:t>7.7</w:t>
        </w:r>
        <w:r w:rsidR="000F62E2">
          <w:rPr>
            <w:rFonts w:eastAsiaTheme="minorEastAsia" w:cstheme="minorBidi"/>
            <w:b w:val="0"/>
            <w:bCs w:val="0"/>
            <w:smallCaps w:val="0"/>
            <w:noProof/>
          </w:rPr>
          <w:tab/>
        </w:r>
        <w:r w:rsidR="000F62E2" w:rsidRPr="0085681C">
          <w:rPr>
            <w:rStyle w:val="Hyperlink"/>
            <w:noProof/>
          </w:rPr>
          <w:t>Investment in Service Improvement</w:t>
        </w:r>
        <w:r w:rsidR="000F62E2">
          <w:rPr>
            <w:noProof/>
            <w:webHidden/>
          </w:rPr>
          <w:tab/>
        </w:r>
        <w:r w:rsidR="000F62E2">
          <w:rPr>
            <w:noProof/>
            <w:webHidden/>
          </w:rPr>
          <w:fldChar w:fldCharType="begin"/>
        </w:r>
        <w:r w:rsidR="000F62E2">
          <w:rPr>
            <w:noProof/>
            <w:webHidden/>
          </w:rPr>
          <w:instrText xml:space="preserve"> PAGEREF _Toc29573965 \h </w:instrText>
        </w:r>
        <w:r w:rsidR="000F62E2">
          <w:rPr>
            <w:noProof/>
            <w:webHidden/>
          </w:rPr>
        </w:r>
        <w:r w:rsidR="000F62E2">
          <w:rPr>
            <w:noProof/>
            <w:webHidden/>
          </w:rPr>
          <w:fldChar w:fldCharType="separate"/>
        </w:r>
        <w:r w:rsidR="00A611A7">
          <w:rPr>
            <w:noProof/>
            <w:webHidden/>
          </w:rPr>
          <w:t>100</w:t>
        </w:r>
        <w:r w:rsidR="000F62E2">
          <w:rPr>
            <w:noProof/>
            <w:webHidden/>
          </w:rPr>
          <w:fldChar w:fldCharType="end"/>
        </w:r>
      </w:hyperlink>
    </w:p>
    <w:p w14:paraId="0BE52BB6" w14:textId="012A9580" w:rsidR="000F62E2" w:rsidRDefault="00883972">
      <w:pPr>
        <w:pStyle w:val="TOC2"/>
        <w:tabs>
          <w:tab w:val="left" w:pos="502"/>
          <w:tab w:val="right" w:pos="9968"/>
        </w:tabs>
        <w:rPr>
          <w:rFonts w:eastAsiaTheme="minorEastAsia" w:cstheme="minorBidi"/>
          <w:b w:val="0"/>
          <w:bCs w:val="0"/>
          <w:smallCaps w:val="0"/>
          <w:noProof/>
        </w:rPr>
      </w:pPr>
      <w:hyperlink w:anchor="_Toc29573966" w:history="1">
        <w:r w:rsidR="000F62E2" w:rsidRPr="0085681C">
          <w:rPr>
            <w:rStyle w:val="Hyperlink"/>
            <w:noProof/>
          </w:rPr>
          <w:t>7.8</w:t>
        </w:r>
        <w:r w:rsidR="000F62E2">
          <w:rPr>
            <w:rFonts w:eastAsiaTheme="minorEastAsia" w:cstheme="minorBidi"/>
            <w:b w:val="0"/>
            <w:bCs w:val="0"/>
            <w:smallCaps w:val="0"/>
            <w:noProof/>
          </w:rPr>
          <w:tab/>
        </w:r>
        <w:r w:rsidR="000F62E2" w:rsidRPr="0085681C">
          <w:rPr>
            <w:rStyle w:val="Hyperlink"/>
            <w:noProof/>
          </w:rPr>
          <w:t>Non Recurring Costs and Benefits</w:t>
        </w:r>
        <w:r w:rsidR="000F62E2">
          <w:rPr>
            <w:noProof/>
            <w:webHidden/>
          </w:rPr>
          <w:tab/>
        </w:r>
        <w:r w:rsidR="000F62E2">
          <w:rPr>
            <w:noProof/>
            <w:webHidden/>
          </w:rPr>
          <w:fldChar w:fldCharType="begin"/>
        </w:r>
        <w:r w:rsidR="000F62E2">
          <w:rPr>
            <w:noProof/>
            <w:webHidden/>
          </w:rPr>
          <w:instrText xml:space="preserve"> PAGEREF _Toc29573966 \h </w:instrText>
        </w:r>
        <w:r w:rsidR="000F62E2">
          <w:rPr>
            <w:noProof/>
            <w:webHidden/>
          </w:rPr>
        </w:r>
        <w:r w:rsidR="000F62E2">
          <w:rPr>
            <w:noProof/>
            <w:webHidden/>
          </w:rPr>
          <w:fldChar w:fldCharType="separate"/>
        </w:r>
        <w:r w:rsidR="00A611A7">
          <w:rPr>
            <w:noProof/>
            <w:webHidden/>
          </w:rPr>
          <w:t>101</w:t>
        </w:r>
        <w:r w:rsidR="000F62E2">
          <w:rPr>
            <w:noProof/>
            <w:webHidden/>
          </w:rPr>
          <w:fldChar w:fldCharType="end"/>
        </w:r>
      </w:hyperlink>
    </w:p>
    <w:p w14:paraId="71CAA075" w14:textId="3854CEB5" w:rsidR="000F62E2" w:rsidRDefault="00883972">
      <w:pPr>
        <w:pStyle w:val="TOC2"/>
        <w:tabs>
          <w:tab w:val="left" w:pos="502"/>
          <w:tab w:val="right" w:pos="9968"/>
        </w:tabs>
        <w:rPr>
          <w:rFonts w:eastAsiaTheme="minorEastAsia" w:cstheme="minorBidi"/>
          <w:b w:val="0"/>
          <w:bCs w:val="0"/>
          <w:smallCaps w:val="0"/>
          <w:noProof/>
        </w:rPr>
      </w:pPr>
      <w:hyperlink w:anchor="_Toc29573967" w:history="1">
        <w:r w:rsidR="000F62E2" w:rsidRPr="0085681C">
          <w:rPr>
            <w:rStyle w:val="Hyperlink"/>
            <w:noProof/>
          </w:rPr>
          <w:t>7.9</w:t>
        </w:r>
        <w:r w:rsidR="000F62E2">
          <w:rPr>
            <w:rFonts w:eastAsiaTheme="minorEastAsia" w:cstheme="minorBidi"/>
            <w:b w:val="0"/>
            <w:bCs w:val="0"/>
            <w:smallCaps w:val="0"/>
            <w:noProof/>
          </w:rPr>
          <w:tab/>
        </w:r>
        <w:r w:rsidR="000F62E2" w:rsidRPr="0085681C">
          <w:rPr>
            <w:rStyle w:val="Hyperlink"/>
            <w:noProof/>
          </w:rPr>
          <w:t>Medium Term Savings Plan 2020/21 to 2022/23</w:t>
        </w:r>
        <w:r w:rsidR="000F62E2">
          <w:rPr>
            <w:noProof/>
            <w:webHidden/>
          </w:rPr>
          <w:tab/>
        </w:r>
        <w:r w:rsidR="000F62E2">
          <w:rPr>
            <w:noProof/>
            <w:webHidden/>
          </w:rPr>
          <w:fldChar w:fldCharType="begin"/>
        </w:r>
        <w:r w:rsidR="000F62E2">
          <w:rPr>
            <w:noProof/>
            <w:webHidden/>
          </w:rPr>
          <w:instrText xml:space="preserve"> PAGEREF _Toc29573967 \h </w:instrText>
        </w:r>
        <w:r w:rsidR="000F62E2">
          <w:rPr>
            <w:noProof/>
            <w:webHidden/>
          </w:rPr>
        </w:r>
        <w:r w:rsidR="000F62E2">
          <w:rPr>
            <w:noProof/>
            <w:webHidden/>
          </w:rPr>
          <w:fldChar w:fldCharType="separate"/>
        </w:r>
        <w:r w:rsidR="00A611A7">
          <w:rPr>
            <w:noProof/>
            <w:webHidden/>
          </w:rPr>
          <w:t>102</w:t>
        </w:r>
        <w:r w:rsidR="000F62E2">
          <w:rPr>
            <w:noProof/>
            <w:webHidden/>
          </w:rPr>
          <w:fldChar w:fldCharType="end"/>
        </w:r>
      </w:hyperlink>
    </w:p>
    <w:p w14:paraId="057AA351" w14:textId="6F7055B7" w:rsidR="000F62E2" w:rsidRDefault="00883972">
      <w:pPr>
        <w:pStyle w:val="TOC2"/>
        <w:tabs>
          <w:tab w:val="left" w:pos="613"/>
          <w:tab w:val="right" w:pos="9968"/>
        </w:tabs>
        <w:rPr>
          <w:rFonts w:eastAsiaTheme="minorEastAsia" w:cstheme="minorBidi"/>
          <w:b w:val="0"/>
          <w:bCs w:val="0"/>
          <w:smallCaps w:val="0"/>
          <w:noProof/>
        </w:rPr>
      </w:pPr>
      <w:hyperlink w:anchor="_Toc29573968" w:history="1">
        <w:r w:rsidR="000F62E2" w:rsidRPr="0085681C">
          <w:rPr>
            <w:rStyle w:val="Hyperlink"/>
            <w:noProof/>
          </w:rPr>
          <w:t>7.10</w:t>
        </w:r>
        <w:r w:rsidR="000F62E2">
          <w:rPr>
            <w:rFonts w:eastAsiaTheme="minorEastAsia" w:cstheme="minorBidi"/>
            <w:b w:val="0"/>
            <w:bCs w:val="0"/>
            <w:smallCaps w:val="0"/>
            <w:noProof/>
          </w:rPr>
          <w:tab/>
        </w:r>
        <w:r w:rsidR="000F62E2" w:rsidRPr="0085681C">
          <w:rPr>
            <w:rStyle w:val="Hyperlink"/>
            <w:noProof/>
          </w:rPr>
          <w:t>Key Risks to the 2020/21 Financial Plan</w:t>
        </w:r>
        <w:r w:rsidR="000F62E2">
          <w:rPr>
            <w:noProof/>
            <w:webHidden/>
          </w:rPr>
          <w:tab/>
        </w:r>
        <w:r w:rsidR="000F62E2">
          <w:rPr>
            <w:noProof/>
            <w:webHidden/>
          </w:rPr>
          <w:fldChar w:fldCharType="begin"/>
        </w:r>
        <w:r w:rsidR="000F62E2">
          <w:rPr>
            <w:noProof/>
            <w:webHidden/>
          </w:rPr>
          <w:instrText xml:space="preserve"> PAGEREF _Toc29573968 \h </w:instrText>
        </w:r>
        <w:r w:rsidR="000F62E2">
          <w:rPr>
            <w:noProof/>
            <w:webHidden/>
          </w:rPr>
        </w:r>
        <w:r w:rsidR="000F62E2">
          <w:rPr>
            <w:noProof/>
            <w:webHidden/>
          </w:rPr>
          <w:fldChar w:fldCharType="separate"/>
        </w:r>
        <w:r w:rsidR="00A611A7">
          <w:rPr>
            <w:noProof/>
            <w:webHidden/>
          </w:rPr>
          <w:t>104</w:t>
        </w:r>
        <w:r w:rsidR="000F62E2">
          <w:rPr>
            <w:noProof/>
            <w:webHidden/>
          </w:rPr>
          <w:fldChar w:fldCharType="end"/>
        </w:r>
      </w:hyperlink>
    </w:p>
    <w:p w14:paraId="4CD802D0" w14:textId="52B23A3C" w:rsidR="000F62E2" w:rsidRDefault="00883972">
      <w:pPr>
        <w:pStyle w:val="TOC2"/>
        <w:tabs>
          <w:tab w:val="left" w:pos="613"/>
          <w:tab w:val="right" w:pos="9968"/>
        </w:tabs>
        <w:rPr>
          <w:rFonts w:eastAsiaTheme="minorEastAsia" w:cstheme="minorBidi"/>
          <w:b w:val="0"/>
          <w:bCs w:val="0"/>
          <w:smallCaps w:val="0"/>
          <w:noProof/>
        </w:rPr>
      </w:pPr>
      <w:hyperlink w:anchor="_Toc29573969" w:history="1">
        <w:r w:rsidR="000F62E2" w:rsidRPr="0085681C">
          <w:rPr>
            <w:rStyle w:val="Hyperlink"/>
            <w:noProof/>
          </w:rPr>
          <w:t>7.11</w:t>
        </w:r>
        <w:r w:rsidR="000F62E2">
          <w:rPr>
            <w:rFonts w:eastAsiaTheme="minorEastAsia" w:cstheme="minorBidi"/>
            <w:b w:val="0"/>
            <w:bCs w:val="0"/>
            <w:smallCaps w:val="0"/>
            <w:noProof/>
          </w:rPr>
          <w:tab/>
        </w:r>
        <w:r w:rsidR="000F62E2" w:rsidRPr="0085681C">
          <w:rPr>
            <w:rStyle w:val="Hyperlink"/>
            <w:noProof/>
          </w:rPr>
          <w:t>Key Risks to the Financial Plan in Years 2 and 3</w:t>
        </w:r>
        <w:r w:rsidR="000F62E2">
          <w:rPr>
            <w:noProof/>
            <w:webHidden/>
          </w:rPr>
          <w:tab/>
        </w:r>
        <w:r w:rsidR="000F62E2">
          <w:rPr>
            <w:noProof/>
            <w:webHidden/>
          </w:rPr>
          <w:fldChar w:fldCharType="begin"/>
        </w:r>
        <w:r w:rsidR="000F62E2">
          <w:rPr>
            <w:noProof/>
            <w:webHidden/>
          </w:rPr>
          <w:instrText xml:space="preserve"> PAGEREF _Toc29573969 \h </w:instrText>
        </w:r>
        <w:r w:rsidR="000F62E2">
          <w:rPr>
            <w:noProof/>
            <w:webHidden/>
          </w:rPr>
        </w:r>
        <w:r w:rsidR="000F62E2">
          <w:rPr>
            <w:noProof/>
            <w:webHidden/>
          </w:rPr>
          <w:fldChar w:fldCharType="separate"/>
        </w:r>
        <w:r w:rsidR="00A611A7">
          <w:rPr>
            <w:noProof/>
            <w:webHidden/>
          </w:rPr>
          <w:t>105</w:t>
        </w:r>
        <w:r w:rsidR="000F62E2">
          <w:rPr>
            <w:noProof/>
            <w:webHidden/>
          </w:rPr>
          <w:fldChar w:fldCharType="end"/>
        </w:r>
      </w:hyperlink>
    </w:p>
    <w:p w14:paraId="15F0BBBC" w14:textId="778C51B9" w:rsidR="000F62E2" w:rsidRDefault="00883972">
      <w:pPr>
        <w:pStyle w:val="TOC1"/>
        <w:tabs>
          <w:tab w:val="left" w:pos="390"/>
          <w:tab w:val="right" w:pos="9968"/>
        </w:tabs>
        <w:rPr>
          <w:rFonts w:eastAsiaTheme="minorEastAsia" w:cstheme="minorBidi"/>
          <w:b w:val="0"/>
          <w:bCs w:val="0"/>
          <w:caps w:val="0"/>
          <w:noProof/>
          <w:u w:val="none"/>
        </w:rPr>
      </w:pPr>
      <w:hyperlink w:anchor="_Toc29573970" w:history="1">
        <w:r w:rsidR="000F62E2" w:rsidRPr="0085681C">
          <w:rPr>
            <w:rStyle w:val="Hyperlink"/>
            <w:noProof/>
          </w:rPr>
          <w:t>8.</w:t>
        </w:r>
        <w:r w:rsidR="000F62E2">
          <w:rPr>
            <w:rFonts w:eastAsiaTheme="minorEastAsia" w:cstheme="minorBidi"/>
            <w:b w:val="0"/>
            <w:bCs w:val="0"/>
            <w:caps w:val="0"/>
            <w:noProof/>
            <w:u w:val="none"/>
          </w:rPr>
          <w:tab/>
        </w:r>
        <w:r w:rsidR="000F62E2" w:rsidRPr="0085681C">
          <w:rPr>
            <w:rStyle w:val="Hyperlink"/>
            <w:noProof/>
          </w:rPr>
          <w:t>ENABLERS</w:t>
        </w:r>
        <w:r w:rsidR="000F62E2">
          <w:rPr>
            <w:noProof/>
            <w:webHidden/>
          </w:rPr>
          <w:tab/>
        </w:r>
        <w:r w:rsidR="000F62E2">
          <w:rPr>
            <w:noProof/>
            <w:webHidden/>
          </w:rPr>
          <w:fldChar w:fldCharType="begin"/>
        </w:r>
        <w:r w:rsidR="000F62E2">
          <w:rPr>
            <w:noProof/>
            <w:webHidden/>
          </w:rPr>
          <w:instrText xml:space="preserve"> PAGEREF _Toc29573970 \h </w:instrText>
        </w:r>
        <w:r w:rsidR="000F62E2">
          <w:rPr>
            <w:noProof/>
            <w:webHidden/>
          </w:rPr>
        </w:r>
        <w:r w:rsidR="000F62E2">
          <w:rPr>
            <w:noProof/>
            <w:webHidden/>
          </w:rPr>
          <w:fldChar w:fldCharType="separate"/>
        </w:r>
        <w:r w:rsidR="00A611A7">
          <w:rPr>
            <w:noProof/>
            <w:webHidden/>
          </w:rPr>
          <w:t>106</w:t>
        </w:r>
        <w:r w:rsidR="000F62E2">
          <w:rPr>
            <w:noProof/>
            <w:webHidden/>
          </w:rPr>
          <w:fldChar w:fldCharType="end"/>
        </w:r>
      </w:hyperlink>
    </w:p>
    <w:p w14:paraId="4F5ECA6D" w14:textId="655C9E3C" w:rsidR="000F62E2" w:rsidRDefault="00883972">
      <w:pPr>
        <w:pStyle w:val="TOC2"/>
        <w:tabs>
          <w:tab w:val="left" w:pos="502"/>
          <w:tab w:val="right" w:pos="9968"/>
        </w:tabs>
        <w:rPr>
          <w:rFonts w:eastAsiaTheme="minorEastAsia" w:cstheme="minorBidi"/>
          <w:b w:val="0"/>
          <w:bCs w:val="0"/>
          <w:smallCaps w:val="0"/>
          <w:noProof/>
        </w:rPr>
      </w:pPr>
      <w:hyperlink w:anchor="_Toc29573971" w:history="1">
        <w:r w:rsidR="000F62E2" w:rsidRPr="0085681C">
          <w:rPr>
            <w:rStyle w:val="Hyperlink"/>
            <w:noProof/>
          </w:rPr>
          <w:t>8.1</w:t>
        </w:r>
        <w:r w:rsidR="000F62E2">
          <w:rPr>
            <w:rFonts w:eastAsiaTheme="minorEastAsia" w:cstheme="minorBidi"/>
            <w:b w:val="0"/>
            <w:bCs w:val="0"/>
            <w:smallCaps w:val="0"/>
            <w:noProof/>
          </w:rPr>
          <w:tab/>
        </w:r>
        <w:r w:rsidR="000F62E2" w:rsidRPr="0085681C">
          <w:rPr>
            <w:rStyle w:val="Hyperlink"/>
            <w:noProof/>
          </w:rPr>
          <w:t>Innovation, Learning and Purposeful Collaboration</w:t>
        </w:r>
        <w:r w:rsidR="000F62E2">
          <w:rPr>
            <w:noProof/>
            <w:webHidden/>
          </w:rPr>
          <w:tab/>
        </w:r>
        <w:r w:rsidR="000F62E2">
          <w:rPr>
            <w:noProof/>
            <w:webHidden/>
          </w:rPr>
          <w:fldChar w:fldCharType="begin"/>
        </w:r>
        <w:r w:rsidR="000F62E2">
          <w:rPr>
            <w:noProof/>
            <w:webHidden/>
          </w:rPr>
          <w:instrText xml:space="preserve"> PAGEREF _Toc29573971 \h </w:instrText>
        </w:r>
        <w:r w:rsidR="000F62E2">
          <w:rPr>
            <w:noProof/>
            <w:webHidden/>
          </w:rPr>
        </w:r>
        <w:r w:rsidR="000F62E2">
          <w:rPr>
            <w:noProof/>
            <w:webHidden/>
          </w:rPr>
          <w:fldChar w:fldCharType="separate"/>
        </w:r>
        <w:r w:rsidR="00A611A7">
          <w:rPr>
            <w:noProof/>
            <w:webHidden/>
          </w:rPr>
          <w:t>106</w:t>
        </w:r>
        <w:r w:rsidR="000F62E2">
          <w:rPr>
            <w:noProof/>
            <w:webHidden/>
          </w:rPr>
          <w:fldChar w:fldCharType="end"/>
        </w:r>
      </w:hyperlink>
    </w:p>
    <w:p w14:paraId="02889B1B" w14:textId="0D10D1B4" w:rsidR="000F62E2" w:rsidRDefault="00883972">
      <w:pPr>
        <w:pStyle w:val="TOC2"/>
        <w:tabs>
          <w:tab w:val="left" w:pos="502"/>
          <w:tab w:val="right" w:pos="9968"/>
        </w:tabs>
        <w:rPr>
          <w:rFonts w:eastAsiaTheme="minorEastAsia" w:cstheme="minorBidi"/>
          <w:b w:val="0"/>
          <w:bCs w:val="0"/>
          <w:smallCaps w:val="0"/>
          <w:noProof/>
        </w:rPr>
      </w:pPr>
      <w:hyperlink w:anchor="_Toc29573972" w:history="1">
        <w:r w:rsidR="000F62E2" w:rsidRPr="0085681C">
          <w:rPr>
            <w:rStyle w:val="Hyperlink"/>
            <w:noProof/>
          </w:rPr>
          <w:t>8.2</w:t>
        </w:r>
        <w:r w:rsidR="000F62E2">
          <w:rPr>
            <w:rFonts w:eastAsiaTheme="minorEastAsia" w:cstheme="minorBidi"/>
            <w:b w:val="0"/>
            <w:bCs w:val="0"/>
            <w:smallCaps w:val="0"/>
            <w:noProof/>
          </w:rPr>
          <w:tab/>
        </w:r>
        <w:r w:rsidR="000F62E2" w:rsidRPr="0085681C">
          <w:rPr>
            <w:rStyle w:val="Hyperlink"/>
            <w:noProof/>
          </w:rPr>
          <w:t>Information and Communications Technology (ICT)</w:t>
        </w:r>
        <w:r w:rsidR="000F62E2">
          <w:rPr>
            <w:noProof/>
            <w:webHidden/>
          </w:rPr>
          <w:tab/>
        </w:r>
        <w:r w:rsidR="000F62E2">
          <w:rPr>
            <w:noProof/>
            <w:webHidden/>
          </w:rPr>
          <w:fldChar w:fldCharType="begin"/>
        </w:r>
        <w:r w:rsidR="000F62E2">
          <w:rPr>
            <w:noProof/>
            <w:webHidden/>
          </w:rPr>
          <w:instrText xml:space="preserve"> PAGEREF _Toc29573972 \h </w:instrText>
        </w:r>
        <w:r w:rsidR="000F62E2">
          <w:rPr>
            <w:noProof/>
            <w:webHidden/>
          </w:rPr>
        </w:r>
        <w:r w:rsidR="000F62E2">
          <w:rPr>
            <w:noProof/>
            <w:webHidden/>
          </w:rPr>
          <w:fldChar w:fldCharType="separate"/>
        </w:r>
        <w:r w:rsidR="00A611A7">
          <w:rPr>
            <w:noProof/>
            <w:webHidden/>
          </w:rPr>
          <w:t>111</w:t>
        </w:r>
        <w:r w:rsidR="000F62E2">
          <w:rPr>
            <w:noProof/>
            <w:webHidden/>
          </w:rPr>
          <w:fldChar w:fldCharType="end"/>
        </w:r>
      </w:hyperlink>
    </w:p>
    <w:p w14:paraId="4DB316AD" w14:textId="77810CBD" w:rsidR="000F62E2" w:rsidRDefault="00883972">
      <w:pPr>
        <w:pStyle w:val="TOC2"/>
        <w:tabs>
          <w:tab w:val="left" w:pos="502"/>
          <w:tab w:val="right" w:pos="9968"/>
        </w:tabs>
        <w:rPr>
          <w:rFonts w:eastAsiaTheme="minorEastAsia" w:cstheme="minorBidi"/>
          <w:b w:val="0"/>
          <w:bCs w:val="0"/>
          <w:smallCaps w:val="0"/>
          <w:noProof/>
        </w:rPr>
      </w:pPr>
      <w:hyperlink w:anchor="_Toc29573973" w:history="1">
        <w:r w:rsidR="000F62E2" w:rsidRPr="0085681C">
          <w:rPr>
            <w:rStyle w:val="Hyperlink"/>
            <w:noProof/>
          </w:rPr>
          <w:t>8.3</w:t>
        </w:r>
        <w:r w:rsidR="000F62E2">
          <w:rPr>
            <w:rFonts w:eastAsiaTheme="minorEastAsia" w:cstheme="minorBidi"/>
            <w:b w:val="0"/>
            <w:bCs w:val="0"/>
            <w:smallCaps w:val="0"/>
            <w:noProof/>
          </w:rPr>
          <w:tab/>
        </w:r>
        <w:r w:rsidR="000F62E2" w:rsidRPr="0085681C">
          <w:rPr>
            <w:rStyle w:val="Hyperlink"/>
            <w:noProof/>
          </w:rPr>
          <w:t>Estates and Capital</w:t>
        </w:r>
        <w:r w:rsidR="000F62E2">
          <w:rPr>
            <w:noProof/>
            <w:webHidden/>
          </w:rPr>
          <w:tab/>
        </w:r>
        <w:r w:rsidR="000F62E2">
          <w:rPr>
            <w:noProof/>
            <w:webHidden/>
          </w:rPr>
          <w:fldChar w:fldCharType="begin"/>
        </w:r>
        <w:r w:rsidR="000F62E2">
          <w:rPr>
            <w:noProof/>
            <w:webHidden/>
          </w:rPr>
          <w:instrText xml:space="preserve"> PAGEREF _Toc29573973 \h </w:instrText>
        </w:r>
        <w:r w:rsidR="000F62E2">
          <w:rPr>
            <w:noProof/>
            <w:webHidden/>
          </w:rPr>
        </w:r>
        <w:r w:rsidR="000F62E2">
          <w:rPr>
            <w:noProof/>
            <w:webHidden/>
          </w:rPr>
          <w:fldChar w:fldCharType="separate"/>
        </w:r>
        <w:r w:rsidR="00A611A7">
          <w:rPr>
            <w:noProof/>
            <w:webHidden/>
          </w:rPr>
          <w:t>116</w:t>
        </w:r>
        <w:r w:rsidR="000F62E2">
          <w:rPr>
            <w:noProof/>
            <w:webHidden/>
          </w:rPr>
          <w:fldChar w:fldCharType="end"/>
        </w:r>
      </w:hyperlink>
    </w:p>
    <w:p w14:paraId="6A79C9B5" w14:textId="2A853ADB" w:rsidR="000F62E2" w:rsidRDefault="00883972">
      <w:pPr>
        <w:pStyle w:val="TOC1"/>
        <w:tabs>
          <w:tab w:val="left" w:pos="390"/>
          <w:tab w:val="right" w:pos="9968"/>
        </w:tabs>
        <w:rPr>
          <w:rFonts w:eastAsiaTheme="minorEastAsia" w:cstheme="minorBidi"/>
          <w:b w:val="0"/>
          <w:bCs w:val="0"/>
          <w:caps w:val="0"/>
          <w:noProof/>
          <w:u w:val="none"/>
        </w:rPr>
      </w:pPr>
      <w:hyperlink w:anchor="_Toc29573974" w:history="1">
        <w:r w:rsidR="000F62E2" w:rsidRPr="0085681C">
          <w:rPr>
            <w:rStyle w:val="Hyperlink"/>
            <w:noProof/>
          </w:rPr>
          <w:t>9.</w:t>
        </w:r>
        <w:r w:rsidR="000F62E2">
          <w:rPr>
            <w:rFonts w:eastAsiaTheme="minorEastAsia" w:cstheme="minorBidi"/>
            <w:b w:val="0"/>
            <w:bCs w:val="0"/>
            <w:caps w:val="0"/>
            <w:noProof/>
            <w:u w:val="none"/>
          </w:rPr>
          <w:tab/>
        </w:r>
        <w:r w:rsidR="000F62E2" w:rsidRPr="0085681C">
          <w:rPr>
            <w:rStyle w:val="Hyperlink"/>
            <w:noProof/>
          </w:rPr>
          <w:t>STEWARDSHIP and GOVERNANCE</w:t>
        </w:r>
        <w:r w:rsidR="000F62E2">
          <w:rPr>
            <w:noProof/>
            <w:webHidden/>
          </w:rPr>
          <w:tab/>
        </w:r>
        <w:r w:rsidR="000F62E2">
          <w:rPr>
            <w:noProof/>
            <w:webHidden/>
          </w:rPr>
          <w:fldChar w:fldCharType="begin"/>
        </w:r>
        <w:r w:rsidR="000F62E2">
          <w:rPr>
            <w:noProof/>
            <w:webHidden/>
          </w:rPr>
          <w:instrText xml:space="preserve"> PAGEREF _Toc29573974 \h </w:instrText>
        </w:r>
        <w:r w:rsidR="000F62E2">
          <w:rPr>
            <w:noProof/>
            <w:webHidden/>
          </w:rPr>
        </w:r>
        <w:r w:rsidR="000F62E2">
          <w:rPr>
            <w:noProof/>
            <w:webHidden/>
          </w:rPr>
          <w:fldChar w:fldCharType="separate"/>
        </w:r>
        <w:r w:rsidR="00A611A7">
          <w:rPr>
            <w:noProof/>
            <w:webHidden/>
          </w:rPr>
          <w:t>122</w:t>
        </w:r>
        <w:r w:rsidR="000F62E2">
          <w:rPr>
            <w:noProof/>
            <w:webHidden/>
          </w:rPr>
          <w:fldChar w:fldCharType="end"/>
        </w:r>
      </w:hyperlink>
    </w:p>
    <w:p w14:paraId="5D3C13F2" w14:textId="468A6357" w:rsidR="000F62E2" w:rsidRDefault="00883972">
      <w:pPr>
        <w:pStyle w:val="TOC2"/>
        <w:tabs>
          <w:tab w:val="left" w:pos="502"/>
          <w:tab w:val="right" w:pos="9968"/>
        </w:tabs>
        <w:rPr>
          <w:rFonts w:eastAsiaTheme="minorEastAsia" w:cstheme="minorBidi"/>
          <w:b w:val="0"/>
          <w:bCs w:val="0"/>
          <w:smallCaps w:val="0"/>
          <w:noProof/>
        </w:rPr>
      </w:pPr>
      <w:hyperlink w:anchor="_Toc29573975" w:history="1">
        <w:r w:rsidR="000F62E2" w:rsidRPr="0085681C">
          <w:rPr>
            <w:rStyle w:val="Hyperlink"/>
            <w:noProof/>
          </w:rPr>
          <w:t>9.1</w:t>
        </w:r>
        <w:r w:rsidR="000F62E2">
          <w:rPr>
            <w:rFonts w:eastAsiaTheme="minorEastAsia" w:cstheme="minorBidi"/>
            <w:b w:val="0"/>
            <w:bCs w:val="0"/>
            <w:smallCaps w:val="0"/>
            <w:noProof/>
          </w:rPr>
          <w:tab/>
        </w:r>
        <w:r w:rsidR="000F62E2" w:rsidRPr="0085681C">
          <w:rPr>
            <w:rStyle w:val="Hyperlink"/>
            <w:noProof/>
          </w:rPr>
          <w:t>Board Assurance Framework</w:t>
        </w:r>
        <w:r w:rsidR="000F62E2">
          <w:rPr>
            <w:noProof/>
            <w:webHidden/>
          </w:rPr>
          <w:tab/>
        </w:r>
        <w:r w:rsidR="000F62E2">
          <w:rPr>
            <w:noProof/>
            <w:webHidden/>
          </w:rPr>
          <w:fldChar w:fldCharType="begin"/>
        </w:r>
        <w:r w:rsidR="000F62E2">
          <w:rPr>
            <w:noProof/>
            <w:webHidden/>
          </w:rPr>
          <w:instrText xml:space="preserve"> PAGEREF _Toc29573975 \h </w:instrText>
        </w:r>
        <w:r w:rsidR="000F62E2">
          <w:rPr>
            <w:noProof/>
            <w:webHidden/>
          </w:rPr>
        </w:r>
        <w:r w:rsidR="000F62E2">
          <w:rPr>
            <w:noProof/>
            <w:webHidden/>
          </w:rPr>
          <w:fldChar w:fldCharType="separate"/>
        </w:r>
        <w:r w:rsidR="00A611A7">
          <w:rPr>
            <w:noProof/>
            <w:webHidden/>
          </w:rPr>
          <w:t>122</w:t>
        </w:r>
        <w:r w:rsidR="000F62E2">
          <w:rPr>
            <w:noProof/>
            <w:webHidden/>
          </w:rPr>
          <w:fldChar w:fldCharType="end"/>
        </w:r>
      </w:hyperlink>
    </w:p>
    <w:p w14:paraId="64D61A08" w14:textId="340A8F34" w:rsidR="000F62E2" w:rsidRDefault="00883972">
      <w:pPr>
        <w:pStyle w:val="TOC2"/>
        <w:tabs>
          <w:tab w:val="left" w:pos="502"/>
          <w:tab w:val="right" w:pos="9968"/>
        </w:tabs>
        <w:rPr>
          <w:rFonts w:eastAsiaTheme="minorEastAsia" w:cstheme="minorBidi"/>
          <w:b w:val="0"/>
          <w:bCs w:val="0"/>
          <w:smallCaps w:val="0"/>
          <w:noProof/>
        </w:rPr>
      </w:pPr>
      <w:hyperlink w:anchor="_Toc29573976" w:history="1">
        <w:r w:rsidR="000F62E2" w:rsidRPr="0085681C">
          <w:rPr>
            <w:rStyle w:val="Hyperlink"/>
            <w:noProof/>
          </w:rPr>
          <w:t>9.2</w:t>
        </w:r>
        <w:r w:rsidR="000F62E2">
          <w:rPr>
            <w:rFonts w:eastAsiaTheme="minorEastAsia" w:cstheme="minorBidi"/>
            <w:b w:val="0"/>
            <w:bCs w:val="0"/>
            <w:smallCaps w:val="0"/>
            <w:noProof/>
          </w:rPr>
          <w:tab/>
        </w:r>
        <w:r w:rsidR="000F62E2" w:rsidRPr="0085681C">
          <w:rPr>
            <w:rStyle w:val="Hyperlink"/>
            <w:noProof/>
          </w:rPr>
          <w:t>Principal Risks to Delivery and Mitigating Actions</w:t>
        </w:r>
        <w:r w:rsidR="000F62E2">
          <w:rPr>
            <w:noProof/>
            <w:webHidden/>
          </w:rPr>
          <w:tab/>
        </w:r>
        <w:r w:rsidR="000F62E2">
          <w:rPr>
            <w:noProof/>
            <w:webHidden/>
          </w:rPr>
          <w:fldChar w:fldCharType="begin"/>
        </w:r>
        <w:r w:rsidR="000F62E2">
          <w:rPr>
            <w:noProof/>
            <w:webHidden/>
          </w:rPr>
          <w:instrText xml:space="preserve"> PAGEREF _Toc29573976 \h </w:instrText>
        </w:r>
        <w:r w:rsidR="000F62E2">
          <w:rPr>
            <w:noProof/>
            <w:webHidden/>
          </w:rPr>
        </w:r>
        <w:r w:rsidR="000F62E2">
          <w:rPr>
            <w:noProof/>
            <w:webHidden/>
          </w:rPr>
          <w:fldChar w:fldCharType="separate"/>
        </w:r>
        <w:r w:rsidR="00A611A7">
          <w:rPr>
            <w:noProof/>
            <w:webHidden/>
          </w:rPr>
          <w:t>124</w:t>
        </w:r>
        <w:r w:rsidR="000F62E2">
          <w:rPr>
            <w:noProof/>
            <w:webHidden/>
          </w:rPr>
          <w:fldChar w:fldCharType="end"/>
        </w:r>
      </w:hyperlink>
    </w:p>
    <w:p w14:paraId="765D55D7" w14:textId="11EE8369" w:rsidR="00612EDC" w:rsidRDefault="00611BEB" w:rsidP="00124FEC">
      <w:r>
        <w:fldChar w:fldCharType="end"/>
      </w:r>
    </w:p>
    <w:p w14:paraId="1135542E" w14:textId="77777777" w:rsidR="0086456A" w:rsidRDefault="0086456A" w:rsidP="00E33F23">
      <w:pPr>
        <w:rPr>
          <w:b/>
          <w:szCs w:val="22"/>
        </w:rPr>
      </w:pPr>
      <w:r>
        <w:rPr>
          <w:b/>
          <w:szCs w:val="22"/>
        </w:rPr>
        <w:t>LOCAL ANNEXES (A1 TO A()</w:t>
      </w:r>
    </w:p>
    <w:p w14:paraId="6A12132C" w14:textId="77777777" w:rsidR="0086456A" w:rsidRDefault="0086456A" w:rsidP="00E33F23">
      <w:pPr>
        <w:rPr>
          <w:b/>
          <w:szCs w:val="22"/>
        </w:rPr>
      </w:pPr>
    </w:p>
    <w:p w14:paraId="01B97DE8" w14:textId="79529873" w:rsidR="0086456A" w:rsidRPr="0086456A" w:rsidRDefault="0086456A" w:rsidP="0086456A">
      <w:pPr>
        <w:rPr>
          <w:b/>
          <w:szCs w:val="22"/>
        </w:rPr>
      </w:pPr>
      <w:r w:rsidRPr="0086456A">
        <w:rPr>
          <w:b/>
          <w:szCs w:val="22"/>
        </w:rPr>
        <w:t>Annex 1</w:t>
      </w:r>
      <w:r w:rsidRPr="0086456A">
        <w:rPr>
          <w:b/>
          <w:szCs w:val="22"/>
        </w:rPr>
        <w:tab/>
      </w:r>
      <w:r>
        <w:rPr>
          <w:b/>
          <w:szCs w:val="22"/>
        </w:rPr>
        <w:t xml:space="preserve">Draft </w:t>
      </w:r>
      <w:r w:rsidRPr="0086456A">
        <w:rPr>
          <w:b/>
          <w:szCs w:val="22"/>
        </w:rPr>
        <w:t>Maturity Matrix</w:t>
      </w:r>
    </w:p>
    <w:p w14:paraId="441FCDCD" w14:textId="77777777" w:rsidR="0086456A" w:rsidRPr="0086456A" w:rsidRDefault="0086456A" w:rsidP="0086456A">
      <w:pPr>
        <w:rPr>
          <w:b/>
          <w:szCs w:val="22"/>
        </w:rPr>
      </w:pPr>
      <w:r w:rsidRPr="0086456A">
        <w:rPr>
          <w:b/>
          <w:szCs w:val="22"/>
        </w:rPr>
        <w:t>Annex 2</w:t>
      </w:r>
      <w:r w:rsidRPr="0086456A">
        <w:rPr>
          <w:b/>
          <w:szCs w:val="22"/>
        </w:rPr>
        <w:tab/>
        <w:t>Well Being of Future Generations Sustainable Principle</w:t>
      </w:r>
    </w:p>
    <w:p w14:paraId="453D8F87" w14:textId="647B34C3" w:rsidR="0086456A" w:rsidRPr="0086456A" w:rsidRDefault="0047053B" w:rsidP="0086456A">
      <w:pPr>
        <w:rPr>
          <w:b/>
          <w:szCs w:val="22"/>
        </w:rPr>
      </w:pPr>
      <w:r>
        <w:rPr>
          <w:b/>
          <w:szCs w:val="22"/>
        </w:rPr>
        <w:t xml:space="preserve">Annex 3 </w:t>
      </w:r>
      <w:r w:rsidR="00BA1435">
        <w:rPr>
          <w:b/>
          <w:szCs w:val="22"/>
        </w:rPr>
        <w:tab/>
      </w:r>
      <w:r w:rsidR="004B321A">
        <w:rPr>
          <w:b/>
          <w:szCs w:val="22"/>
        </w:rPr>
        <w:t>National Collaborative Commissioning Unit</w:t>
      </w:r>
    </w:p>
    <w:p w14:paraId="65B7FA65" w14:textId="36CB9968" w:rsidR="0086456A" w:rsidRPr="0086456A" w:rsidRDefault="0047053B" w:rsidP="0086456A">
      <w:pPr>
        <w:rPr>
          <w:b/>
          <w:szCs w:val="22"/>
        </w:rPr>
      </w:pPr>
      <w:r>
        <w:rPr>
          <w:b/>
          <w:szCs w:val="22"/>
        </w:rPr>
        <w:t>Annex</w:t>
      </w:r>
      <w:r w:rsidR="004B321A">
        <w:rPr>
          <w:b/>
          <w:szCs w:val="22"/>
        </w:rPr>
        <w:t xml:space="preserve"> 4 </w:t>
      </w:r>
      <w:r w:rsidR="00BA1435">
        <w:rPr>
          <w:b/>
          <w:szCs w:val="22"/>
        </w:rPr>
        <w:tab/>
      </w:r>
      <w:r w:rsidR="004B321A">
        <w:rPr>
          <w:b/>
          <w:szCs w:val="22"/>
        </w:rPr>
        <w:t>Joint Health Board and WAST Priority Schemes</w:t>
      </w:r>
    </w:p>
    <w:p w14:paraId="5E0DD20D" w14:textId="38385A0B" w:rsidR="0086456A" w:rsidRPr="0086456A" w:rsidRDefault="00BA1435" w:rsidP="0086456A">
      <w:pPr>
        <w:rPr>
          <w:b/>
          <w:szCs w:val="22"/>
        </w:rPr>
      </w:pPr>
      <w:r>
        <w:rPr>
          <w:b/>
          <w:szCs w:val="22"/>
        </w:rPr>
        <w:t xml:space="preserve">Annex </w:t>
      </w:r>
      <w:r w:rsidR="004B321A">
        <w:rPr>
          <w:b/>
          <w:szCs w:val="22"/>
        </w:rPr>
        <w:t xml:space="preserve">5 </w:t>
      </w:r>
      <w:r>
        <w:rPr>
          <w:b/>
          <w:szCs w:val="22"/>
        </w:rPr>
        <w:tab/>
      </w:r>
      <w:r w:rsidR="0086456A" w:rsidRPr="0086456A">
        <w:rPr>
          <w:b/>
          <w:szCs w:val="22"/>
        </w:rPr>
        <w:t>Organisational Risk Register</w:t>
      </w:r>
    </w:p>
    <w:p w14:paraId="527676F2" w14:textId="77777777" w:rsidR="0086456A" w:rsidRDefault="0086456A" w:rsidP="00E33F23">
      <w:pPr>
        <w:rPr>
          <w:b/>
          <w:szCs w:val="22"/>
        </w:rPr>
      </w:pPr>
    </w:p>
    <w:p w14:paraId="073C374B" w14:textId="45EB2C5F" w:rsidR="00AE2753" w:rsidRPr="0014558C" w:rsidRDefault="00AE2753" w:rsidP="00E33F23">
      <w:pPr>
        <w:rPr>
          <w:b/>
          <w:szCs w:val="22"/>
        </w:rPr>
      </w:pPr>
      <w:r w:rsidRPr="0014558C">
        <w:rPr>
          <w:b/>
          <w:szCs w:val="22"/>
        </w:rPr>
        <w:t>WE</w:t>
      </w:r>
      <w:r w:rsidR="00AC1CB8" w:rsidRPr="0014558C">
        <w:rPr>
          <w:b/>
          <w:szCs w:val="22"/>
        </w:rPr>
        <w:t>L</w:t>
      </w:r>
      <w:r w:rsidR="004551AB" w:rsidRPr="0014558C">
        <w:rPr>
          <w:b/>
          <w:szCs w:val="22"/>
        </w:rPr>
        <w:t>SH GOVERNMENT ANNEXES (C1 TO C21</w:t>
      </w:r>
      <w:r w:rsidRPr="0014558C">
        <w:rPr>
          <w:b/>
          <w:szCs w:val="22"/>
        </w:rPr>
        <w:t>)</w:t>
      </w:r>
    </w:p>
    <w:p w14:paraId="29BF2803" w14:textId="77777777" w:rsidR="00EC7D85" w:rsidRPr="003302A6" w:rsidRDefault="00EC7D85" w:rsidP="00EC7D85">
      <w:pPr>
        <w:rPr>
          <w:b/>
          <w:szCs w:val="22"/>
        </w:rPr>
      </w:pPr>
      <w:r w:rsidRPr="003302A6">
        <w:rPr>
          <w:b/>
          <w:szCs w:val="22"/>
        </w:rPr>
        <w:t>C1</w:t>
      </w:r>
      <w:r w:rsidRPr="003302A6">
        <w:rPr>
          <w:b/>
          <w:szCs w:val="22"/>
        </w:rPr>
        <w:tab/>
        <w:t xml:space="preserve">Outcomes Framework - Delivery of Measures </w:t>
      </w:r>
    </w:p>
    <w:p w14:paraId="256ED59B" w14:textId="77777777" w:rsidR="00EC7D85" w:rsidRPr="003302A6" w:rsidRDefault="00AC1CB8" w:rsidP="00AC1CB8">
      <w:pPr>
        <w:ind w:left="720" w:hanging="720"/>
        <w:rPr>
          <w:b/>
          <w:szCs w:val="22"/>
        </w:rPr>
      </w:pPr>
      <w:r w:rsidRPr="003302A6">
        <w:rPr>
          <w:b/>
          <w:szCs w:val="22"/>
        </w:rPr>
        <w:t>C2</w:t>
      </w:r>
      <w:r w:rsidRPr="003302A6">
        <w:rPr>
          <w:b/>
          <w:szCs w:val="22"/>
        </w:rPr>
        <w:tab/>
      </w:r>
      <w:r w:rsidR="00EC7D85" w:rsidRPr="003302A6">
        <w:rPr>
          <w:b/>
          <w:szCs w:val="22"/>
        </w:rPr>
        <w:t>Service Shift from Secondar</w:t>
      </w:r>
      <w:r w:rsidR="00FE43E7" w:rsidRPr="003302A6">
        <w:rPr>
          <w:b/>
          <w:szCs w:val="22"/>
        </w:rPr>
        <w:t>y to Primary and Community Care</w:t>
      </w:r>
    </w:p>
    <w:p w14:paraId="28055EF8" w14:textId="28CAEB0E" w:rsidR="00EC7D85" w:rsidRPr="003302A6" w:rsidRDefault="00BD2600" w:rsidP="00EC7D85">
      <w:pPr>
        <w:rPr>
          <w:b/>
          <w:szCs w:val="22"/>
        </w:rPr>
      </w:pPr>
      <w:r w:rsidRPr="003302A6">
        <w:rPr>
          <w:b/>
          <w:szCs w:val="22"/>
        </w:rPr>
        <w:t>C3</w:t>
      </w:r>
      <w:r w:rsidRPr="003302A6">
        <w:rPr>
          <w:b/>
          <w:szCs w:val="22"/>
        </w:rPr>
        <w:tab/>
      </w:r>
      <w:r w:rsidR="003A3DF2" w:rsidRPr="003302A6">
        <w:rPr>
          <w:b/>
          <w:szCs w:val="22"/>
        </w:rPr>
        <w:t>Finance – Statement of Comprehensiv</w:t>
      </w:r>
      <w:r w:rsidR="00115D29" w:rsidRPr="003302A6">
        <w:rPr>
          <w:b/>
          <w:szCs w:val="22"/>
        </w:rPr>
        <w:t xml:space="preserve">e Net Income/Expenditure – </w:t>
      </w:r>
      <w:r w:rsidR="00347D38" w:rsidRPr="003302A6">
        <w:rPr>
          <w:b/>
          <w:szCs w:val="22"/>
        </w:rPr>
        <w:t>3</w:t>
      </w:r>
      <w:r w:rsidR="004551AB" w:rsidRPr="003302A6">
        <w:rPr>
          <w:b/>
          <w:szCs w:val="22"/>
        </w:rPr>
        <w:t xml:space="preserve"> years</w:t>
      </w:r>
    </w:p>
    <w:p w14:paraId="71192AC1" w14:textId="0BA83887" w:rsidR="00EC7D85" w:rsidRPr="003302A6" w:rsidRDefault="00BD2600" w:rsidP="00EC7D85">
      <w:pPr>
        <w:rPr>
          <w:b/>
          <w:szCs w:val="22"/>
        </w:rPr>
      </w:pPr>
      <w:r w:rsidRPr="003302A6">
        <w:rPr>
          <w:b/>
          <w:szCs w:val="22"/>
        </w:rPr>
        <w:t>C4</w:t>
      </w:r>
      <w:r w:rsidRPr="003302A6">
        <w:rPr>
          <w:b/>
          <w:szCs w:val="22"/>
        </w:rPr>
        <w:tab/>
      </w:r>
      <w:r w:rsidR="003A3DF2" w:rsidRPr="003302A6">
        <w:rPr>
          <w:b/>
          <w:szCs w:val="22"/>
        </w:rPr>
        <w:t xml:space="preserve">Finance – Statement of Comprehensive Net Income/Expenditure NET profile </w:t>
      </w:r>
    </w:p>
    <w:p w14:paraId="6D8A2612" w14:textId="7DF755DC" w:rsidR="00EC7D85" w:rsidRPr="003302A6" w:rsidRDefault="00BD2600" w:rsidP="00EC7D85">
      <w:pPr>
        <w:rPr>
          <w:b/>
          <w:szCs w:val="22"/>
        </w:rPr>
      </w:pPr>
      <w:r w:rsidRPr="003302A6">
        <w:rPr>
          <w:b/>
          <w:szCs w:val="22"/>
        </w:rPr>
        <w:t>C5</w:t>
      </w:r>
      <w:r w:rsidRPr="003302A6">
        <w:rPr>
          <w:b/>
          <w:szCs w:val="22"/>
        </w:rPr>
        <w:tab/>
      </w:r>
      <w:r w:rsidR="003A3DF2" w:rsidRPr="003302A6">
        <w:rPr>
          <w:b/>
          <w:szCs w:val="22"/>
        </w:rPr>
        <w:t>Finance – Financial Plan Summary</w:t>
      </w:r>
    </w:p>
    <w:p w14:paraId="67E37965" w14:textId="5654B2B8" w:rsidR="00EC7D85" w:rsidRPr="003302A6" w:rsidRDefault="00BD2600" w:rsidP="00EC7D85">
      <w:pPr>
        <w:rPr>
          <w:b/>
          <w:szCs w:val="22"/>
        </w:rPr>
      </w:pPr>
      <w:r w:rsidRPr="003302A6">
        <w:rPr>
          <w:b/>
          <w:szCs w:val="22"/>
        </w:rPr>
        <w:t>C6</w:t>
      </w:r>
      <w:r w:rsidRPr="003302A6">
        <w:rPr>
          <w:b/>
          <w:szCs w:val="22"/>
        </w:rPr>
        <w:tab/>
      </w:r>
      <w:r w:rsidR="003A3DF2" w:rsidRPr="003302A6">
        <w:rPr>
          <w:b/>
          <w:szCs w:val="22"/>
        </w:rPr>
        <w:t>Finance – RP Assumptions</w:t>
      </w:r>
    </w:p>
    <w:p w14:paraId="1CB51772" w14:textId="5DBFE291" w:rsidR="00EC7D85" w:rsidRPr="003302A6" w:rsidRDefault="00BD2600" w:rsidP="00EC7D85">
      <w:pPr>
        <w:rPr>
          <w:b/>
          <w:szCs w:val="22"/>
        </w:rPr>
      </w:pPr>
      <w:r w:rsidRPr="003302A6">
        <w:rPr>
          <w:b/>
          <w:szCs w:val="22"/>
        </w:rPr>
        <w:t>C7</w:t>
      </w:r>
      <w:r w:rsidRPr="003302A6">
        <w:rPr>
          <w:b/>
          <w:szCs w:val="22"/>
        </w:rPr>
        <w:tab/>
      </w:r>
      <w:r w:rsidR="003A3DF2" w:rsidRPr="003302A6">
        <w:rPr>
          <w:b/>
          <w:szCs w:val="22"/>
        </w:rPr>
        <w:t>Finance – Revenue Resource Limit Assumptions</w:t>
      </w:r>
    </w:p>
    <w:p w14:paraId="6A513EA3" w14:textId="77777777" w:rsidR="00EC7D85" w:rsidRPr="003302A6" w:rsidRDefault="00BD2600" w:rsidP="00EC7D85">
      <w:pPr>
        <w:rPr>
          <w:b/>
          <w:szCs w:val="22"/>
        </w:rPr>
      </w:pPr>
      <w:r w:rsidRPr="003302A6">
        <w:rPr>
          <w:b/>
          <w:szCs w:val="22"/>
        </w:rPr>
        <w:t>C8</w:t>
      </w:r>
      <w:r w:rsidRPr="003302A6">
        <w:rPr>
          <w:b/>
          <w:szCs w:val="22"/>
        </w:rPr>
        <w:tab/>
      </w:r>
      <w:r w:rsidR="00EC7D85" w:rsidRPr="003302A6">
        <w:rPr>
          <w:b/>
          <w:szCs w:val="22"/>
        </w:rPr>
        <w:t xml:space="preserve">Income and Expenditure Assumptions (Wales NHS) </w:t>
      </w:r>
    </w:p>
    <w:p w14:paraId="49DCE555" w14:textId="77777777" w:rsidR="00EC7D85" w:rsidRPr="003302A6" w:rsidRDefault="00BD2600" w:rsidP="00EC7D85">
      <w:pPr>
        <w:rPr>
          <w:b/>
          <w:szCs w:val="22"/>
        </w:rPr>
      </w:pPr>
      <w:r w:rsidRPr="003302A6">
        <w:rPr>
          <w:b/>
          <w:szCs w:val="22"/>
        </w:rPr>
        <w:t>C9</w:t>
      </w:r>
      <w:r w:rsidRPr="003302A6">
        <w:rPr>
          <w:b/>
          <w:szCs w:val="22"/>
        </w:rPr>
        <w:tab/>
      </w:r>
      <w:r w:rsidR="00EC7D85" w:rsidRPr="003302A6">
        <w:rPr>
          <w:b/>
          <w:szCs w:val="22"/>
        </w:rPr>
        <w:t xml:space="preserve">Finance – Year 1 Savings Plan </w:t>
      </w:r>
    </w:p>
    <w:p w14:paraId="3A56B9DB" w14:textId="584F0502" w:rsidR="00EC7D85" w:rsidRPr="003302A6" w:rsidRDefault="00BD2600" w:rsidP="00EC7D85">
      <w:pPr>
        <w:rPr>
          <w:b/>
          <w:szCs w:val="22"/>
        </w:rPr>
      </w:pPr>
      <w:r w:rsidRPr="003302A6">
        <w:rPr>
          <w:b/>
          <w:szCs w:val="22"/>
        </w:rPr>
        <w:t>C10</w:t>
      </w:r>
      <w:r w:rsidRPr="003302A6">
        <w:rPr>
          <w:b/>
          <w:szCs w:val="22"/>
        </w:rPr>
        <w:tab/>
      </w:r>
      <w:r w:rsidR="00EC7D85" w:rsidRPr="003302A6">
        <w:rPr>
          <w:b/>
          <w:szCs w:val="22"/>
        </w:rPr>
        <w:t xml:space="preserve">Finance – Years 2 </w:t>
      </w:r>
      <w:r w:rsidR="00876289" w:rsidRPr="003302A6">
        <w:rPr>
          <w:b/>
          <w:szCs w:val="22"/>
        </w:rPr>
        <w:t>and</w:t>
      </w:r>
      <w:r w:rsidR="00EC7D85" w:rsidRPr="003302A6">
        <w:rPr>
          <w:b/>
          <w:szCs w:val="22"/>
        </w:rPr>
        <w:t xml:space="preserve"> 3 Savings Plan </w:t>
      </w:r>
    </w:p>
    <w:p w14:paraId="2C24E771" w14:textId="612C92E8" w:rsidR="00EC7D85" w:rsidRPr="003302A6" w:rsidRDefault="00BD2600" w:rsidP="00EC7D85">
      <w:pPr>
        <w:rPr>
          <w:b/>
          <w:szCs w:val="22"/>
        </w:rPr>
      </w:pPr>
      <w:r w:rsidRPr="003302A6">
        <w:rPr>
          <w:b/>
          <w:szCs w:val="22"/>
        </w:rPr>
        <w:t>C11</w:t>
      </w:r>
      <w:r w:rsidRPr="003302A6">
        <w:rPr>
          <w:b/>
          <w:szCs w:val="22"/>
        </w:rPr>
        <w:tab/>
      </w:r>
      <w:r w:rsidR="003A3DF2" w:rsidRPr="003302A6">
        <w:rPr>
          <w:b/>
          <w:szCs w:val="22"/>
        </w:rPr>
        <w:t>Finance – Risks and Opportunities</w:t>
      </w:r>
    </w:p>
    <w:p w14:paraId="1ECFAE92" w14:textId="77777777" w:rsidR="00EC7D85" w:rsidRPr="003302A6" w:rsidRDefault="00BD2600" w:rsidP="00EC7D85">
      <w:pPr>
        <w:rPr>
          <w:b/>
          <w:szCs w:val="22"/>
        </w:rPr>
      </w:pPr>
      <w:r w:rsidRPr="003302A6">
        <w:rPr>
          <w:b/>
          <w:szCs w:val="22"/>
        </w:rPr>
        <w:t>C12</w:t>
      </w:r>
      <w:r w:rsidRPr="003302A6">
        <w:rPr>
          <w:b/>
          <w:szCs w:val="22"/>
        </w:rPr>
        <w:tab/>
      </w:r>
      <w:r w:rsidR="00EC7D85" w:rsidRPr="003302A6">
        <w:rPr>
          <w:b/>
          <w:szCs w:val="22"/>
        </w:rPr>
        <w:t xml:space="preserve">Asset Investment Summary </w:t>
      </w:r>
    </w:p>
    <w:p w14:paraId="2068ECAF" w14:textId="13CC2E83" w:rsidR="00EC7D85" w:rsidRPr="003302A6" w:rsidRDefault="00BD2600" w:rsidP="00EC7D85">
      <w:pPr>
        <w:rPr>
          <w:b/>
          <w:szCs w:val="22"/>
        </w:rPr>
      </w:pPr>
      <w:r w:rsidRPr="003302A6">
        <w:rPr>
          <w:b/>
          <w:szCs w:val="22"/>
        </w:rPr>
        <w:t>C13</w:t>
      </w:r>
      <w:r w:rsidRPr="003302A6">
        <w:rPr>
          <w:b/>
          <w:szCs w:val="22"/>
        </w:rPr>
        <w:tab/>
      </w:r>
      <w:r w:rsidR="003A3DF2" w:rsidRPr="003302A6">
        <w:rPr>
          <w:b/>
          <w:szCs w:val="22"/>
        </w:rPr>
        <w:t>Asset Investment Approved</w:t>
      </w:r>
    </w:p>
    <w:p w14:paraId="1B2122AC" w14:textId="3C4B2FD0" w:rsidR="003A3DF2" w:rsidRPr="003302A6" w:rsidRDefault="003A3DF2" w:rsidP="00EC7D85">
      <w:pPr>
        <w:rPr>
          <w:b/>
          <w:szCs w:val="22"/>
        </w:rPr>
      </w:pPr>
      <w:r w:rsidRPr="003302A6">
        <w:rPr>
          <w:b/>
          <w:szCs w:val="22"/>
        </w:rPr>
        <w:t>C14</w:t>
      </w:r>
      <w:r w:rsidRPr="003302A6">
        <w:rPr>
          <w:b/>
          <w:szCs w:val="22"/>
        </w:rPr>
        <w:tab/>
        <w:t>Asset Investment Unapproved</w:t>
      </w:r>
    </w:p>
    <w:p w14:paraId="744CC0A6" w14:textId="4160D46F" w:rsidR="00EC7D85" w:rsidRPr="003302A6" w:rsidRDefault="00756967" w:rsidP="00EC7D85">
      <w:pPr>
        <w:rPr>
          <w:b/>
          <w:szCs w:val="22"/>
        </w:rPr>
      </w:pPr>
      <w:r w:rsidRPr="003302A6">
        <w:rPr>
          <w:b/>
          <w:szCs w:val="22"/>
        </w:rPr>
        <w:t>C15</w:t>
      </w:r>
      <w:r w:rsidR="00BD2600" w:rsidRPr="003302A6">
        <w:rPr>
          <w:b/>
          <w:szCs w:val="22"/>
        </w:rPr>
        <w:tab/>
      </w:r>
      <w:r w:rsidR="00EC7D85" w:rsidRPr="003302A6">
        <w:rPr>
          <w:b/>
          <w:szCs w:val="22"/>
        </w:rPr>
        <w:t xml:space="preserve">Revenue Funded Infrastructure </w:t>
      </w:r>
    </w:p>
    <w:p w14:paraId="3F87A0A8" w14:textId="4FF87CBE" w:rsidR="00EC7D85" w:rsidRPr="003302A6" w:rsidRDefault="00756967" w:rsidP="00EC7D85">
      <w:pPr>
        <w:rPr>
          <w:b/>
          <w:szCs w:val="22"/>
        </w:rPr>
      </w:pPr>
      <w:r w:rsidRPr="003302A6">
        <w:rPr>
          <w:b/>
          <w:szCs w:val="22"/>
        </w:rPr>
        <w:t>C16</w:t>
      </w:r>
      <w:r w:rsidR="00BD2600" w:rsidRPr="003302A6">
        <w:rPr>
          <w:b/>
          <w:szCs w:val="22"/>
        </w:rPr>
        <w:tab/>
      </w:r>
      <w:r w:rsidR="00EC7D85" w:rsidRPr="003302A6">
        <w:rPr>
          <w:b/>
          <w:szCs w:val="22"/>
        </w:rPr>
        <w:t xml:space="preserve">Workforce - WTE </w:t>
      </w:r>
    </w:p>
    <w:p w14:paraId="512B2CB7" w14:textId="5F637A8A" w:rsidR="00EC7D85" w:rsidRPr="003302A6" w:rsidRDefault="00756967" w:rsidP="00EC7D85">
      <w:pPr>
        <w:rPr>
          <w:b/>
          <w:szCs w:val="22"/>
        </w:rPr>
      </w:pPr>
      <w:r w:rsidRPr="003302A6">
        <w:rPr>
          <w:b/>
          <w:szCs w:val="22"/>
        </w:rPr>
        <w:t>C17</w:t>
      </w:r>
      <w:r w:rsidR="00BD2600" w:rsidRPr="003302A6">
        <w:rPr>
          <w:b/>
          <w:szCs w:val="22"/>
        </w:rPr>
        <w:tab/>
      </w:r>
      <w:r w:rsidR="00EC7D85" w:rsidRPr="003302A6">
        <w:rPr>
          <w:b/>
          <w:szCs w:val="22"/>
        </w:rPr>
        <w:t xml:space="preserve">Workforce - £'000 </w:t>
      </w:r>
    </w:p>
    <w:p w14:paraId="005F409A" w14:textId="4DD328E7" w:rsidR="00EC7D85" w:rsidRPr="003302A6" w:rsidRDefault="00756967" w:rsidP="00EC7D85">
      <w:pPr>
        <w:rPr>
          <w:b/>
          <w:szCs w:val="22"/>
        </w:rPr>
      </w:pPr>
      <w:r w:rsidRPr="003302A6">
        <w:rPr>
          <w:b/>
          <w:szCs w:val="22"/>
        </w:rPr>
        <w:t>C18</w:t>
      </w:r>
      <w:r w:rsidR="00BD2600" w:rsidRPr="003302A6">
        <w:rPr>
          <w:b/>
          <w:szCs w:val="22"/>
        </w:rPr>
        <w:tab/>
      </w:r>
      <w:r w:rsidR="00EC7D85" w:rsidRPr="003302A6">
        <w:rPr>
          <w:b/>
          <w:szCs w:val="22"/>
        </w:rPr>
        <w:t xml:space="preserve">Workforce - Recruitment Difficulties </w:t>
      </w:r>
    </w:p>
    <w:p w14:paraId="613DF86F" w14:textId="02D85A2D" w:rsidR="00EC7D85" w:rsidRPr="003302A6" w:rsidRDefault="00756967" w:rsidP="00EC7D85">
      <w:pPr>
        <w:rPr>
          <w:b/>
          <w:szCs w:val="22"/>
        </w:rPr>
      </w:pPr>
      <w:r w:rsidRPr="003302A6">
        <w:rPr>
          <w:b/>
          <w:szCs w:val="22"/>
        </w:rPr>
        <w:t>C19</w:t>
      </w:r>
      <w:r w:rsidR="00BD2600" w:rsidRPr="003302A6">
        <w:rPr>
          <w:b/>
          <w:szCs w:val="22"/>
        </w:rPr>
        <w:tab/>
      </w:r>
      <w:r w:rsidR="00EC7D85" w:rsidRPr="003302A6">
        <w:rPr>
          <w:b/>
          <w:szCs w:val="22"/>
        </w:rPr>
        <w:t xml:space="preserve">Educational </w:t>
      </w:r>
      <w:r w:rsidR="00347D38" w:rsidRPr="003302A6">
        <w:rPr>
          <w:b/>
          <w:szCs w:val="22"/>
        </w:rPr>
        <w:t>C</w:t>
      </w:r>
      <w:r w:rsidR="00E23FB4" w:rsidRPr="003302A6">
        <w:rPr>
          <w:b/>
          <w:szCs w:val="22"/>
        </w:rPr>
        <w:t>ommissioning</w:t>
      </w:r>
      <w:r w:rsidR="00347D38" w:rsidRPr="003302A6">
        <w:rPr>
          <w:b/>
          <w:szCs w:val="22"/>
        </w:rPr>
        <w:t xml:space="preserve"> I</w:t>
      </w:r>
      <w:r w:rsidR="00EC7D85" w:rsidRPr="003302A6">
        <w:rPr>
          <w:b/>
          <w:szCs w:val="22"/>
        </w:rPr>
        <w:t xml:space="preserve">nformation </w:t>
      </w:r>
    </w:p>
    <w:p w14:paraId="2170A5C6" w14:textId="4911731F" w:rsidR="00EC7D85" w:rsidRPr="003302A6" w:rsidRDefault="00756967" w:rsidP="00EC7D85">
      <w:pPr>
        <w:rPr>
          <w:b/>
          <w:szCs w:val="22"/>
        </w:rPr>
      </w:pPr>
      <w:r w:rsidRPr="003302A6">
        <w:rPr>
          <w:b/>
          <w:szCs w:val="22"/>
        </w:rPr>
        <w:t>C19</w:t>
      </w:r>
      <w:r w:rsidR="00BD2600" w:rsidRPr="003302A6">
        <w:rPr>
          <w:b/>
          <w:szCs w:val="22"/>
        </w:rPr>
        <w:t>.1</w:t>
      </w:r>
      <w:r w:rsidR="00BD2600" w:rsidRPr="003302A6">
        <w:rPr>
          <w:b/>
          <w:szCs w:val="22"/>
        </w:rPr>
        <w:tab/>
      </w:r>
      <w:r w:rsidR="00347D38" w:rsidRPr="003302A6">
        <w:rPr>
          <w:b/>
          <w:szCs w:val="22"/>
        </w:rPr>
        <w:t>Nursing &amp; Midwifery</w:t>
      </w:r>
    </w:p>
    <w:p w14:paraId="799470EC" w14:textId="16AC6773" w:rsidR="00EC7D85" w:rsidRPr="003302A6" w:rsidRDefault="00756967" w:rsidP="00EC7D85">
      <w:pPr>
        <w:rPr>
          <w:b/>
          <w:szCs w:val="22"/>
        </w:rPr>
      </w:pPr>
      <w:r w:rsidRPr="003302A6">
        <w:rPr>
          <w:b/>
          <w:szCs w:val="22"/>
        </w:rPr>
        <w:t>C19</w:t>
      </w:r>
      <w:r w:rsidR="00BD2600" w:rsidRPr="003302A6">
        <w:rPr>
          <w:b/>
          <w:szCs w:val="22"/>
        </w:rPr>
        <w:t>.2</w:t>
      </w:r>
      <w:r w:rsidR="00BD2600" w:rsidRPr="003302A6">
        <w:rPr>
          <w:b/>
          <w:szCs w:val="22"/>
        </w:rPr>
        <w:tab/>
      </w:r>
      <w:r w:rsidR="00347D38" w:rsidRPr="003302A6">
        <w:rPr>
          <w:b/>
          <w:szCs w:val="22"/>
        </w:rPr>
        <w:t>AHPs</w:t>
      </w:r>
      <w:r w:rsidR="00EC7D85" w:rsidRPr="003302A6">
        <w:rPr>
          <w:b/>
          <w:szCs w:val="22"/>
        </w:rPr>
        <w:t xml:space="preserve"> </w:t>
      </w:r>
    </w:p>
    <w:p w14:paraId="4EBCFF53" w14:textId="54654675" w:rsidR="00EC7D85" w:rsidRPr="003302A6" w:rsidRDefault="00756967" w:rsidP="00EC7D85">
      <w:pPr>
        <w:rPr>
          <w:b/>
          <w:szCs w:val="22"/>
        </w:rPr>
      </w:pPr>
      <w:r w:rsidRPr="003302A6">
        <w:rPr>
          <w:b/>
          <w:szCs w:val="22"/>
        </w:rPr>
        <w:t>C19</w:t>
      </w:r>
      <w:r w:rsidR="00BD2600" w:rsidRPr="003302A6">
        <w:rPr>
          <w:b/>
          <w:szCs w:val="22"/>
        </w:rPr>
        <w:t>.3</w:t>
      </w:r>
      <w:r w:rsidR="00BD2600" w:rsidRPr="003302A6">
        <w:rPr>
          <w:b/>
          <w:szCs w:val="22"/>
        </w:rPr>
        <w:tab/>
      </w:r>
      <w:r w:rsidR="00347D38" w:rsidRPr="003302A6">
        <w:rPr>
          <w:b/>
          <w:szCs w:val="22"/>
        </w:rPr>
        <w:t>HCS</w:t>
      </w:r>
      <w:r w:rsidR="00EC7D85" w:rsidRPr="003302A6">
        <w:rPr>
          <w:b/>
          <w:szCs w:val="22"/>
        </w:rPr>
        <w:t xml:space="preserve"> </w:t>
      </w:r>
    </w:p>
    <w:p w14:paraId="3B8AFE80" w14:textId="77777777" w:rsidR="00347D38" w:rsidRPr="003302A6" w:rsidRDefault="00756967" w:rsidP="00EC7D85">
      <w:pPr>
        <w:rPr>
          <w:b/>
          <w:szCs w:val="22"/>
        </w:rPr>
      </w:pPr>
      <w:r w:rsidRPr="003302A6">
        <w:rPr>
          <w:b/>
          <w:szCs w:val="22"/>
        </w:rPr>
        <w:t>C19</w:t>
      </w:r>
      <w:r w:rsidR="00BD2600" w:rsidRPr="003302A6">
        <w:rPr>
          <w:b/>
          <w:szCs w:val="22"/>
        </w:rPr>
        <w:t>.4</w:t>
      </w:r>
      <w:r w:rsidR="00BD2600" w:rsidRPr="003302A6">
        <w:rPr>
          <w:b/>
          <w:szCs w:val="22"/>
        </w:rPr>
        <w:tab/>
      </w:r>
      <w:r w:rsidR="00347D38" w:rsidRPr="003302A6">
        <w:rPr>
          <w:b/>
          <w:szCs w:val="22"/>
        </w:rPr>
        <w:t>Pharmacy</w:t>
      </w:r>
    </w:p>
    <w:p w14:paraId="439BFB14" w14:textId="7998653E" w:rsidR="00EC7D85" w:rsidRPr="003302A6" w:rsidRDefault="00347D38" w:rsidP="00EC7D85">
      <w:pPr>
        <w:rPr>
          <w:b/>
          <w:szCs w:val="22"/>
        </w:rPr>
      </w:pPr>
      <w:r w:rsidRPr="003302A6">
        <w:rPr>
          <w:b/>
          <w:szCs w:val="22"/>
        </w:rPr>
        <w:t>C19.5</w:t>
      </w:r>
      <w:r w:rsidRPr="003302A6">
        <w:rPr>
          <w:b/>
          <w:szCs w:val="22"/>
        </w:rPr>
        <w:tab/>
        <w:t>Other Professions</w:t>
      </w:r>
    </w:p>
    <w:p w14:paraId="0E51F7B4" w14:textId="6670E5D8" w:rsidR="00347D38" w:rsidRPr="003302A6" w:rsidRDefault="00347D38" w:rsidP="00EC7D85">
      <w:pPr>
        <w:rPr>
          <w:b/>
          <w:szCs w:val="22"/>
        </w:rPr>
      </w:pPr>
      <w:r w:rsidRPr="003302A6">
        <w:rPr>
          <w:b/>
          <w:szCs w:val="22"/>
        </w:rPr>
        <w:t>C19.6</w:t>
      </w:r>
      <w:r w:rsidRPr="003302A6">
        <w:rPr>
          <w:b/>
          <w:szCs w:val="22"/>
        </w:rPr>
        <w:tab/>
        <w:t>Medical &amp; Dental</w:t>
      </w:r>
    </w:p>
    <w:p w14:paraId="51FC05A2" w14:textId="03938662" w:rsidR="00EC7D85" w:rsidRPr="003302A6" w:rsidRDefault="00756967" w:rsidP="00EC7D85">
      <w:pPr>
        <w:rPr>
          <w:b/>
          <w:szCs w:val="22"/>
        </w:rPr>
      </w:pPr>
      <w:r w:rsidRPr="003302A6">
        <w:rPr>
          <w:b/>
          <w:szCs w:val="22"/>
        </w:rPr>
        <w:t>C21</w:t>
      </w:r>
      <w:r w:rsidRPr="003302A6">
        <w:rPr>
          <w:b/>
          <w:szCs w:val="22"/>
        </w:rPr>
        <w:tab/>
      </w:r>
      <w:r w:rsidR="00347D38" w:rsidRPr="003302A6">
        <w:rPr>
          <w:b/>
          <w:szCs w:val="22"/>
        </w:rPr>
        <w:t>Finance – Supplementary Master Savings Review Template</w:t>
      </w:r>
    </w:p>
    <w:p w14:paraId="21E4DD4A" w14:textId="77777777" w:rsidR="00611327" w:rsidRPr="003302A6" w:rsidRDefault="00611327" w:rsidP="00372E13">
      <w:pPr>
        <w:sectPr w:rsidR="00611327" w:rsidRPr="003302A6" w:rsidSect="00611BEB">
          <w:pgSz w:w="11906" w:h="16838"/>
          <w:pgMar w:top="964" w:right="964" w:bottom="964" w:left="964" w:header="709" w:footer="709" w:gutter="0"/>
          <w:pgNumType w:fmt="lowerRoman"/>
          <w:cols w:space="708"/>
          <w:titlePg/>
          <w:docGrid w:linePitch="360"/>
        </w:sectPr>
      </w:pPr>
    </w:p>
    <w:p w14:paraId="5948DDF5" w14:textId="3A049B3C" w:rsidR="003A1F82" w:rsidRPr="00E07712" w:rsidRDefault="000739DC" w:rsidP="00A97FE5">
      <w:pPr>
        <w:pStyle w:val="Heading1"/>
        <w:rPr>
          <w:szCs w:val="26"/>
        </w:rPr>
      </w:pPr>
      <w:bookmarkStart w:id="2" w:name="_Toc536195543"/>
      <w:bookmarkStart w:id="3" w:name="_Toc29573927"/>
      <w:r w:rsidRPr="00E07712">
        <w:rPr>
          <w:szCs w:val="26"/>
        </w:rPr>
        <w:lastRenderedPageBreak/>
        <w:t>STRATEGIC CONTEXT</w:t>
      </w:r>
      <w:bookmarkEnd w:id="2"/>
      <w:bookmarkEnd w:id="3"/>
    </w:p>
    <w:p w14:paraId="5904CBE2" w14:textId="32F00E47" w:rsidR="005D34A5" w:rsidRPr="00E07712" w:rsidRDefault="006B31E5" w:rsidP="00D73B8A">
      <w:pPr>
        <w:pStyle w:val="Heading2"/>
        <w:rPr>
          <w:szCs w:val="22"/>
        </w:rPr>
      </w:pPr>
      <w:bookmarkStart w:id="4" w:name="_Toc532299665"/>
      <w:bookmarkStart w:id="5" w:name="_Toc532463937"/>
      <w:bookmarkStart w:id="6" w:name="_Toc536195544"/>
      <w:bookmarkStart w:id="7" w:name="_Toc29573928"/>
      <w:bookmarkStart w:id="8" w:name="_Toc441757215"/>
      <w:bookmarkStart w:id="9" w:name="_Toc447195619"/>
      <w:bookmarkStart w:id="10" w:name="_Toc471829970"/>
      <w:bookmarkStart w:id="11" w:name="_Toc473290288"/>
      <w:bookmarkStart w:id="12" w:name="_Toc478738512"/>
      <w:r w:rsidRPr="00E07712">
        <w:rPr>
          <w:szCs w:val="22"/>
        </w:rPr>
        <w:t>H</w:t>
      </w:r>
      <w:r w:rsidR="0005692A" w:rsidRPr="00E07712">
        <w:rPr>
          <w:szCs w:val="22"/>
        </w:rPr>
        <w:t>ealth</w:t>
      </w:r>
      <w:r w:rsidRPr="00E07712">
        <w:rPr>
          <w:szCs w:val="22"/>
        </w:rPr>
        <w:t xml:space="preserve"> Board P</w:t>
      </w:r>
      <w:r w:rsidR="0005692A" w:rsidRPr="00E07712">
        <w:rPr>
          <w:szCs w:val="22"/>
        </w:rPr>
        <w:t>rofile</w:t>
      </w:r>
      <w:bookmarkEnd w:id="4"/>
      <w:bookmarkEnd w:id="5"/>
      <w:bookmarkEnd w:id="6"/>
      <w:bookmarkEnd w:id="7"/>
    </w:p>
    <w:p w14:paraId="6376414A" w14:textId="1A244B71" w:rsidR="002E3731" w:rsidRDefault="006D4B8F" w:rsidP="002E3731">
      <w:pPr>
        <w:rPr>
          <w:rFonts w:cs="Calibri"/>
          <w:szCs w:val="22"/>
        </w:rPr>
      </w:pPr>
      <w:bookmarkStart w:id="13" w:name="_Toc532463938"/>
      <w:r>
        <w:t xml:space="preserve">Cwm Taf Morgannwg University </w:t>
      </w:r>
      <w:r w:rsidR="002E3731">
        <w:t>Health Board</w:t>
      </w:r>
      <w:r>
        <w:t xml:space="preserve"> (CTMUHB)</w:t>
      </w:r>
      <w:r w:rsidR="002E3731">
        <w:t>, from 1 April 2019, provides and commissions a full range of hospital and community based services for the residents of Rhondda Cynon Taf, Merthyr Tydfil and Bridgend.  This includes the provision of local primary care services; GP Practices, Dental Practices, Optometry Practices and Community Pharmacy and the running of hospitals, health centres and community health teams.  The Health Board is also responsible for making arrangements for residents to access more specialised health services where these are not provided within the Health Board boundary.</w:t>
      </w:r>
    </w:p>
    <w:p w14:paraId="4AB3A194" w14:textId="77777777" w:rsidR="002E3731" w:rsidRDefault="002E3731" w:rsidP="002E3731">
      <w:pPr>
        <w:rPr>
          <w:lang w:eastAsia="en-US"/>
        </w:rPr>
      </w:pPr>
    </w:p>
    <w:p w14:paraId="684A819B" w14:textId="35500019" w:rsidR="002E3731" w:rsidRDefault="002E3731" w:rsidP="002E3731">
      <w:pPr>
        <w:rPr>
          <w:b/>
          <w:bCs/>
        </w:rPr>
      </w:pPr>
      <w:r>
        <w:t xml:space="preserve">The resident population of Merthyr Tydfil, Rhondda Cynon Taf and Bridgend was estimated to be 441,293 in 2016 accounting for just over 14% of the Welsh population.  Just over 54% of the population live in Rhondda Cynon Taf Local Authority, 13.5% in Merthyr Tydfil and almost 32.5% reside in Bridgend.  The Health Board’s catchment population increases to approximately 530,000 when including patient flow from the Upper Rhymney Valley, South Powys, North Cardiff, Neath Port Talbot </w:t>
      </w:r>
      <w:r w:rsidR="00140573">
        <w:t xml:space="preserve">(NPT) </w:t>
      </w:r>
      <w:r>
        <w:t xml:space="preserve">and Vale of Glamorgan. </w:t>
      </w:r>
    </w:p>
    <w:p w14:paraId="0D5B0528" w14:textId="77777777" w:rsidR="002E3731" w:rsidRDefault="002E3731" w:rsidP="002E3731"/>
    <w:p w14:paraId="77E18DF2" w14:textId="77777777" w:rsidR="002E3731" w:rsidRDefault="002E3731" w:rsidP="002E3731">
      <w:r>
        <w:t>In the primary care sector, Merthyr Tydfil, Rhondda Cynon Taf and Bridgend have 110 Community Pharmacies, 58 Dental Practices, 54 General Medical Practices and 46 Optometrist Practices.  The Health Board manages three District General Hospitals and 46 other sites made up of community hospitals, health centres/clinics and support facilities.  Several of our hospitals are now amongst the most modern in Wales.</w:t>
      </w:r>
    </w:p>
    <w:p w14:paraId="230F6285" w14:textId="77777777" w:rsidR="002E3731" w:rsidRDefault="002E3731" w:rsidP="002E3731"/>
    <w:p w14:paraId="2043477C" w14:textId="1420E535" w:rsidR="002E3731" w:rsidRDefault="002E3731" w:rsidP="002E3731">
      <w:r>
        <w:t>The Health Board currently employs on average 7,215</w:t>
      </w:r>
      <w:r>
        <w:rPr>
          <w:i/>
          <w:iCs/>
        </w:rPr>
        <w:t xml:space="preserve"> </w:t>
      </w:r>
      <w:r>
        <w:t>whole time equivalent staff, with a headcount of approximately 8,225 and a current pay bill of approximately £542m.  As the second largest employer in the area, a significant number of our workforce live and work within the communities that we serve.</w:t>
      </w:r>
    </w:p>
    <w:p w14:paraId="4D05DE32" w14:textId="77777777" w:rsidR="002E3731" w:rsidRDefault="002E3731" w:rsidP="002E3731"/>
    <w:p w14:paraId="04B50FB3" w14:textId="6131D0E6" w:rsidR="002E49D4" w:rsidRDefault="002E3731" w:rsidP="00074CEA">
      <w:pPr>
        <w:rPr>
          <w:rFonts w:asciiTheme="minorHAnsi" w:hAnsiTheme="minorHAnsi"/>
          <w:szCs w:val="22"/>
        </w:rPr>
      </w:pPr>
      <w:r w:rsidRPr="002E3731">
        <w:rPr>
          <w:rFonts w:asciiTheme="minorHAnsi" w:hAnsiTheme="minorHAnsi"/>
          <w:szCs w:val="22"/>
        </w:rPr>
        <w:t xml:space="preserve">Detailed information about the services we provide and our facilities can be found on our website in the section under </w:t>
      </w:r>
      <w:hyperlink r:id="rId21" w:history="1">
        <w:r w:rsidRPr="002E3731">
          <w:rPr>
            <w:rStyle w:val="Hyperlink"/>
            <w:rFonts w:asciiTheme="minorHAnsi" w:hAnsiTheme="minorHAnsi" w:cs="Tahoma"/>
            <w:color w:val="auto"/>
            <w:szCs w:val="22"/>
          </w:rPr>
          <w:t>'Services'</w:t>
        </w:r>
      </w:hyperlink>
      <w:r w:rsidRPr="002E3731">
        <w:rPr>
          <w:rFonts w:asciiTheme="minorHAnsi" w:hAnsiTheme="minorHAnsi"/>
          <w:szCs w:val="22"/>
        </w:rPr>
        <w:t xml:space="preserve">.  The Health Board reports regularly on its performance including the </w:t>
      </w:r>
      <w:hyperlink r:id="rId22" w:history="1">
        <w:r w:rsidRPr="002E3731">
          <w:rPr>
            <w:rStyle w:val="Hyperlink"/>
            <w:rFonts w:asciiTheme="minorHAnsi" w:hAnsiTheme="minorHAnsi" w:cs="Tahoma"/>
            <w:color w:val="auto"/>
            <w:szCs w:val="22"/>
          </w:rPr>
          <w:t>Delivery Framework</w:t>
        </w:r>
      </w:hyperlink>
      <w:r w:rsidRPr="002E3731">
        <w:rPr>
          <w:rFonts w:asciiTheme="minorHAnsi" w:hAnsiTheme="minorHAnsi"/>
          <w:szCs w:val="22"/>
        </w:rPr>
        <w:t xml:space="preserve"> targets set by Welsh Government.  The key reporting mechanisms are through the Health Board, Executive Board, the </w:t>
      </w:r>
      <w:r w:rsidR="00661E57">
        <w:rPr>
          <w:rFonts w:asciiTheme="minorHAnsi" w:hAnsiTheme="minorHAnsi"/>
          <w:szCs w:val="22"/>
        </w:rPr>
        <w:t>Quality and Safety</w:t>
      </w:r>
      <w:r w:rsidRPr="002E3731">
        <w:rPr>
          <w:rFonts w:asciiTheme="minorHAnsi" w:hAnsiTheme="minorHAnsi"/>
          <w:szCs w:val="22"/>
        </w:rPr>
        <w:t xml:space="preserve"> Committee, Finance, Performance and Workforce Committee and through other Health Board meetings</w:t>
      </w:r>
      <w:r w:rsidR="00074CEA">
        <w:rPr>
          <w:rFonts w:asciiTheme="minorHAnsi" w:hAnsiTheme="minorHAnsi"/>
          <w:szCs w:val="22"/>
        </w:rPr>
        <w:t>.</w:t>
      </w:r>
    </w:p>
    <w:p w14:paraId="33CD9FEE" w14:textId="3BD04B45" w:rsidR="002E49D4" w:rsidRPr="00E07712" w:rsidRDefault="002E49D4" w:rsidP="002E49D4">
      <w:pPr>
        <w:pStyle w:val="Heading2"/>
        <w:rPr>
          <w:szCs w:val="22"/>
        </w:rPr>
      </w:pPr>
      <w:bookmarkStart w:id="14" w:name="_Toc29573929"/>
      <w:r>
        <w:rPr>
          <w:szCs w:val="22"/>
        </w:rPr>
        <w:t>THe Cwm Taf Morgannwg Improvement Journey</w:t>
      </w:r>
      <w:bookmarkEnd w:id="14"/>
    </w:p>
    <w:p w14:paraId="3556B046" w14:textId="77777777" w:rsidR="0012556F" w:rsidRDefault="005445A4" w:rsidP="0012556F">
      <w:pPr>
        <w:rPr>
          <w:rFonts w:asciiTheme="minorHAnsi" w:hAnsiTheme="minorHAnsi" w:cstheme="minorHAnsi"/>
          <w:color w:val="000000"/>
        </w:rPr>
      </w:pPr>
      <w:r w:rsidRPr="0012556F">
        <w:rPr>
          <w:rFonts w:asciiTheme="minorHAnsi" w:hAnsiTheme="minorHAnsi" w:cstheme="minorHAnsi"/>
          <w:color w:val="000000"/>
        </w:rPr>
        <w:t xml:space="preserve">At the same time as forming </w:t>
      </w:r>
      <w:r w:rsidR="002A3312" w:rsidRPr="0012556F">
        <w:rPr>
          <w:rFonts w:asciiTheme="minorHAnsi" w:hAnsiTheme="minorHAnsi" w:cstheme="minorHAnsi"/>
          <w:color w:val="000000"/>
        </w:rPr>
        <w:t>CTMUHB</w:t>
      </w:r>
      <w:r w:rsidRPr="0012556F">
        <w:rPr>
          <w:rFonts w:asciiTheme="minorHAnsi" w:hAnsiTheme="minorHAnsi" w:cstheme="minorHAnsi"/>
          <w:color w:val="000000"/>
        </w:rPr>
        <w:t xml:space="preserve">, the </w:t>
      </w:r>
      <w:r w:rsidRPr="00C11691">
        <w:rPr>
          <w:rFonts w:asciiTheme="minorHAnsi" w:hAnsiTheme="minorHAnsi" w:cstheme="minorHAnsi"/>
          <w:color w:val="000000"/>
        </w:rPr>
        <w:t xml:space="preserve">Royal College of Obstetricians and Gynaecologists </w:t>
      </w:r>
      <w:r w:rsidR="009676FE">
        <w:rPr>
          <w:rFonts w:asciiTheme="minorHAnsi" w:hAnsiTheme="minorHAnsi" w:cstheme="minorHAnsi"/>
          <w:color w:val="000000"/>
        </w:rPr>
        <w:t xml:space="preserve">(RCOG) </w:t>
      </w:r>
      <w:r w:rsidRPr="00C11691">
        <w:rPr>
          <w:rFonts w:asciiTheme="minorHAnsi" w:hAnsiTheme="minorHAnsi" w:cstheme="minorHAnsi"/>
          <w:color w:val="000000"/>
        </w:rPr>
        <w:t xml:space="preserve">and the Royal College of Midwives </w:t>
      </w:r>
      <w:r w:rsidR="009676FE">
        <w:rPr>
          <w:rFonts w:asciiTheme="minorHAnsi" w:hAnsiTheme="minorHAnsi" w:cstheme="minorHAnsi"/>
          <w:color w:val="000000"/>
        </w:rPr>
        <w:t xml:space="preserve">(RCM) </w:t>
      </w:r>
      <w:r w:rsidRPr="00C11691">
        <w:rPr>
          <w:rFonts w:asciiTheme="minorHAnsi" w:hAnsiTheme="minorHAnsi" w:cstheme="minorHAnsi"/>
          <w:color w:val="000000"/>
        </w:rPr>
        <w:t xml:space="preserve">published their report into maternity services at both </w:t>
      </w:r>
      <w:r w:rsidR="00E32360">
        <w:rPr>
          <w:rFonts w:asciiTheme="minorHAnsi" w:hAnsiTheme="minorHAnsi" w:cstheme="minorHAnsi"/>
          <w:color w:val="000000"/>
        </w:rPr>
        <w:t>PCH and RGH</w:t>
      </w:r>
      <w:r w:rsidRPr="00C11691">
        <w:rPr>
          <w:rFonts w:asciiTheme="minorHAnsi" w:hAnsiTheme="minorHAnsi" w:cstheme="minorHAnsi"/>
          <w:color w:val="000000"/>
        </w:rPr>
        <w:t>.</w:t>
      </w:r>
      <w:r>
        <w:rPr>
          <w:rFonts w:asciiTheme="minorHAnsi" w:hAnsiTheme="minorHAnsi" w:cstheme="minorHAnsi"/>
          <w:color w:val="000000"/>
        </w:rPr>
        <w:t xml:space="preserve"> </w:t>
      </w:r>
      <w:r w:rsidR="000610F0">
        <w:rPr>
          <w:rFonts w:asciiTheme="minorHAnsi" w:hAnsiTheme="minorHAnsi" w:cstheme="minorHAnsi"/>
          <w:color w:val="000000"/>
        </w:rPr>
        <w:t xml:space="preserve">The report highlighted serious concerns about the quality of care, governance arrangements and culture within the service. </w:t>
      </w:r>
      <w:r w:rsidRPr="00C11691">
        <w:rPr>
          <w:rFonts w:asciiTheme="minorHAnsi" w:hAnsiTheme="minorHAnsi" w:cstheme="minorHAnsi"/>
          <w:color w:val="000000"/>
        </w:rPr>
        <w:t xml:space="preserve"> </w:t>
      </w:r>
      <w:r w:rsidR="0000590D">
        <w:rPr>
          <w:rFonts w:asciiTheme="minorHAnsi" w:hAnsiTheme="minorHAnsi" w:cstheme="minorHAnsi"/>
          <w:color w:val="000000"/>
        </w:rPr>
        <w:t>As well as the need to take immediate action to address the risks highlighted, i</w:t>
      </w:r>
      <w:r w:rsidRPr="00C11691">
        <w:rPr>
          <w:rFonts w:asciiTheme="minorHAnsi" w:hAnsiTheme="minorHAnsi" w:cstheme="minorHAnsi"/>
          <w:color w:val="000000"/>
        </w:rPr>
        <w:t xml:space="preserve">ncluded in the report’s recommendations was the need to revise and strengthen how the organisation will work with patients, the public and partners to </w:t>
      </w:r>
      <w:r w:rsidR="0000590D">
        <w:rPr>
          <w:rFonts w:asciiTheme="minorHAnsi" w:hAnsiTheme="minorHAnsi" w:cstheme="minorHAnsi"/>
          <w:color w:val="000000"/>
        </w:rPr>
        <w:t xml:space="preserve">provide reassurance and </w:t>
      </w:r>
      <w:r w:rsidRPr="00C11691">
        <w:rPr>
          <w:rFonts w:asciiTheme="minorHAnsi" w:hAnsiTheme="minorHAnsi" w:cstheme="minorHAnsi"/>
          <w:color w:val="000000"/>
        </w:rPr>
        <w:t>co-produce s</w:t>
      </w:r>
      <w:r>
        <w:rPr>
          <w:rFonts w:asciiTheme="minorHAnsi" w:hAnsiTheme="minorHAnsi" w:cstheme="minorHAnsi"/>
          <w:color w:val="000000"/>
        </w:rPr>
        <w:t>ervices which meet their needs.</w:t>
      </w:r>
      <w:r w:rsidR="0012556F">
        <w:rPr>
          <w:rFonts w:asciiTheme="minorHAnsi" w:hAnsiTheme="minorHAnsi" w:cstheme="minorHAnsi"/>
          <w:color w:val="000000"/>
        </w:rPr>
        <w:t xml:space="preserve">  </w:t>
      </w:r>
      <w:r w:rsidR="0012556F" w:rsidRPr="00C11691">
        <w:rPr>
          <w:rFonts w:asciiTheme="minorHAnsi" w:hAnsiTheme="minorHAnsi" w:cstheme="minorHAnsi"/>
          <w:color w:val="000000"/>
        </w:rPr>
        <w:t>Following the publication of this</w:t>
      </w:r>
      <w:r w:rsidR="0012556F">
        <w:rPr>
          <w:rFonts w:asciiTheme="minorHAnsi" w:hAnsiTheme="minorHAnsi" w:cstheme="minorHAnsi"/>
          <w:color w:val="000000"/>
        </w:rPr>
        <w:t xml:space="preserve"> RCOG an RCM</w:t>
      </w:r>
      <w:r w:rsidR="0012556F" w:rsidRPr="00C11691">
        <w:rPr>
          <w:rFonts w:asciiTheme="minorHAnsi" w:hAnsiTheme="minorHAnsi" w:cstheme="minorHAnsi"/>
          <w:color w:val="000000"/>
        </w:rPr>
        <w:t xml:space="preserve"> report, the organisation’s escalation level was increased to Targeted Intervention</w:t>
      </w:r>
      <w:r w:rsidR="0012556F">
        <w:rPr>
          <w:rFonts w:asciiTheme="minorHAnsi" w:hAnsiTheme="minorHAnsi" w:cstheme="minorHAnsi"/>
          <w:color w:val="000000"/>
        </w:rPr>
        <w:t xml:space="preserve"> for Quality and Governance</w:t>
      </w:r>
      <w:r w:rsidR="0012556F" w:rsidRPr="00C11691">
        <w:rPr>
          <w:rFonts w:asciiTheme="minorHAnsi" w:hAnsiTheme="minorHAnsi" w:cstheme="minorHAnsi"/>
          <w:color w:val="000000"/>
        </w:rPr>
        <w:t>, and Special Measures for Maternity Services.</w:t>
      </w:r>
    </w:p>
    <w:p w14:paraId="59B53A4E" w14:textId="77777777" w:rsidR="0012556F" w:rsidRDefault="0012556F" w:rsidP="0012556F">
      <w:pPr>
        <w:rPr>
          <w:rFonts w:asciiTheme="minorHAnsi" w:hAnsiTheme="minorHAnsi" w:cstheme="minorHAnsi"/>
          <w:color w:val="000000"/>
        </w:rPr>
      </w:pPr>
    </w:p>
    <w:p w14:paraId="188AAA1D" w14:textId="77777777" w:rsidR="0012556F" w:rsidRPr="0012556F" w:rsidRDefault="0012556F" w:rsidP="0012556F">
      <w:pPr>
        <w:rPr>
          <w:rFonts w:asciiTheme="minorHAnsi" w:hAnsiTheme="minorHAnsi" w:cstheme="minorHAnsi"/>
          <w:color w:val="000000"/>
        </w:rPr>
      </w:pPr>
      <w:r w:rsidRPr="0012556F">
        <w:rPr>
          <w:rFonts w:asciiTheme="minorHAnsi" w:hAnsiTheme="minorHAnsi" w:cstheme="minorHAnsi"/>
          <w:color w:val="000000"/>
        </w:rPr>
        <w:t xml:space="preserve"> In November 2019 HIW/WAO published a joint review into the Health Board’s Quality Governance arrangements.  The review looked at how Cwm Taf Morgannwg University Health Board’s overall governance arrangements support delivery of high quality, safe and effective services. The publication of the report highlighted a number of significant findings for CTMUHB, including the need to:</w:t>
      </w:r>
    </w:p>
    <w:p w14:paraId="1AACE3F8" w14:textId="77777777" w:rsidR="0012556F" w:rsidRPr="0012556F" w:rsidRDefault="0012556F" w:rsidP="0012556F">
      <w:pPr>
        <w:numPr>
          <w:ilvl w:val="0"/>
          <w:numId w:val="128"/>
        </w:numPr>
        <w:ind w:left="357" w:hanging="357"/>
        <w:rPr>
          <w:rFonts w:asciiTheme="minorHAnsi" w:hAnsiTheme="minorHAnsi" w:cstheme="minorHAnsi"/>
          <w:color w:val="000000"/>
        </w:rPr>
      </w:pPr>
      <w:r w:rsidRPr="0012556F">
        <w:rPr>
          <w:rFonts w:asciiTheme="minorHAnsi" w:hAnsiTheme="minorHAnsi" w:cstheme="minorHAnsi"/>
          <w:color w:val="000000"/>
        </w:rPr>
        <w:t>Place a greater focus on the quality of our service</w:t>
      </w:r>
    </w:p>
    <w:p w14:paraId="75B254DE" w14:textId="77777777" w:rsidR="0012556F" w:rsidRPr="0012556F" w:rsidRDefault="0012556F" w:rsidP="0012556F">
      <w:pPr>
        <w:numPr>
          <w:ilvl w:val="0"/>
          <w:numId w:val="128"/>
        </w:numPr>
        <w:ind w:left="357" w:hanging="357"/>
        <w:rPr>
          <w:rFonts w:asciiTheme="minorHAnsi" w:hAnsiTheme="minorHAnsi" w:cstheme="minorHAnsi"/>
          <w:color w:val="000000"/>
        </w:rPr>
      </w:pPr>
      <w:r w:rsidRPr="0012556F">
        <w:rPr>
          <w:rFonts w:asciiTheme="minorHAnsi" w:hAnsiTheme="minorHAnsi" w:cstheme="minorHAnsi"/>
          <w:color w:val="000000"/>
        </w:rPr>
        <w:t xml:space="preserve"> Develop and deliver stronger systems for quality governance</w:t>
      </w:r>
    </w:p>
    <w:p w14:paraId="556EB631" w14:textId="77777777" w:rsidR="0012556F" w:rsidRPr="0012556F" w:rsidRDefault="0012556F" w:rsidP="0012556F">
      <w:pPr>
        <w:numPr>
          <w:ilvl w:val="0"/>
          <w:numId w:val="128"/>
        </w:numPr>
        <w:ind w:left="357" w:hanging="357"/>
        <w:rPr>
          <w:rFonts w:asciiTheme="minorHAnsi" w:hAnsiTheme="minorHAnsi" w:cstheme="minorHAnsi"/>
          <w:color w:val="000000"/>
        </w:rPr>
      </w:pPr>
      <w:r w:rsidRPr="0012556F">
        <w:rPr>
          <w:rFonts w:asciiTheme="minorHAnsi" w:hAnsiTheme="minorHAnsi" w:cstheme="minorHAnsi"/>
          <w:color w:val="000000"/>
        </w:rPr>
        <w:t>Strengthen leadership</w:t>
      </w:r>
    </w:p>
    <w:p w14:paraId="13506539" w14:textId="77777777" w:rsidR="0012556F" w:rsidRPr="0012556F" w:rsidRDefault="0012556F" w:rsidP="0012556F">
      <w:pPr>
        <w:numPr>
          <w:ilvl w:val="0"/>
          <w:numId w:val="128"/>
        </w:numPr>
        <w:ind w:left="357" w:hanging="357"/>
        <w:rPr>
          <w:rFonts w:asciiTheme="minorHAnsi" w:hAnsiTheme="minorHAnsi" w:cstheme="minorHAnsi"/>
          <w:color w:val="000000"/>
        </w:rPr>
      </w:pPr>
      <w:r w:rsidRPr="0012556F">
        <w:rPr>
          <w:rFonts w:asciiTheme="minorHAnsi" w:hAnsiTheme="minorHAnsi" w:cstheme="minorHAnsi"/>
          <w:color w:val="000000"/>
        </w:rPr>
        <w:t>Strengthen how we identify and manage risk</w:t>
      </w:r>
    </w:p>
    <w:p w14:paraId="0E47F302" w14:textId="77777777" w:rsidR="0012556F" w:rsidRPr="0012556F" w:rsidRDefault="0012556F" w:rsidP="0012556F">
      <w:pPr>
        <w:numPr>
          <w:ilvl w:val="0"/>
          <w:numId w:val="128"/>
        </w:numPr>
        <w:ind w:left="357" w:hanging="357"/>
        <w:rPr>
          <w:rFonts w:asciiTheme="minorHAnsi" w:hAnsiTheme="minorHAnsi" w:cstheme="minorHAnsi"/>
          <w:color w:val="000000"/>
        </w:rPr>
      </w:pPr>
      <w:r w:rsidRPr="0012556F">
        <w:rPr>
          <w:rFonts w:asciiTheme="minorHAnsi" w:hAnsiTheme="minorHAnsi" w:cstheme="minorHAnsi"/>
          <w:color w:val="000000"/>
        </w:rPr>
        <w:t xml:space="preserve">Develop a culture that supports the delivery of high quality,   compassionate and continually improving care. </w:t>
      </w:r>
    </w:p>
    <w:p w14:paraId="54FF0DA6" w14:textId="77777777" w:rsidR="0012556F" w:rsidRDefault="0012556F" w:rsidP="0012556F">
      <w:pPr>
        <w:rPr>
          <w:rFonts w:asciiTheme="minorHAnsi" w:hAnsiTheme="minorHAnsi" w:cstheme="minorHAnsi"/>
          <w:color w:val="000000"/>
        </w:rPr>
      </w:pPr>
    </w:p>
    <w:p w14:paraId="79424926" w14:textId="77777777" w:rsidR="0012556F" w:rsidRPr="0012556F" w:rsidRDefault="0012556F" w:rsidP="0012556F">
      <w:pPr>
        <w:rPr>
          <w:rFonts w:asciiTheme="minorHAnsi" w:hAnsiTheme="minorHAnsi" w:cstheme="minorHAnsi"/>
          <w:color w:val="000000"/>
        </w:rPr>
      </w:pPr>
      <w:r w:rsidRPr="0012556F">
        <w:rPr>
          <w:rFonts w:asciiTheme="minorHAnsi" w:hAnsiTheme="minorHAnsi" w:cstheme="minorHAnsi"/>
          <w:color w:val="000000"/>
        </w:rPr>
        <w:t xml:space="preserve">The Health Board recognises the serious nature of the report findings and the escalation status and issues we are dealing with.  The findings within these reports have helped inform our improvement plans in response to being placed in escalation.  </w:t>
      </w:r>
    </w:p>
    <w:p w14:paraId="1BDCFD9E" w14:textId="10DACF7D" w:rsidR="005445A4" w:rsidRDefault="005445A4" w:rsidP="0012556F">
      <w:pPr>
        <w:pStyle w:val="NormalWeb"/>
        <w:spacing w:before="0" w:beforeAutospacing="0" w:after="0" w:afterAutospacing="0"/>
        <w:rPr>
          <w:rFonts w:asciiTheme="minorHAnsi" w:hAnsiTheme="minorHAnsi" w:cstheme="minorHAnsi"/>
          <w:color w:val="000000"/>
        </w:rPr>
      </w:pPr>
    </w:p>
    <w:p w14:paraId="2A4C8CE4" w14:textId="7673A773" w:rsidR="005445A4" w:rsidRDefault="005445A4" w:rsidP="005445A4">
      <w:pPr>
        <w:pStyle w:val="NormalWeb"/>
        <w:spacing w:before="0" w:beforeAutospacing="0" w:after="0" w:afterAutospacing="0"/>
        <w:rPr>
          <w:rFonts w:asciiTheme="minorHAnsi" w:hAnsiTheme="minorHAnsi" w:cstheme="minorHAnsi"/>
          <w:color w:val="000000"/>
        </w:rPr>
      </w:pPr>
      <w:r w:rsidRPr="00C11691">
        <w:rPr>
          <w:rFonts w:asciiTheme="minorHAnsi" w:hAnsiTheme="minorHAnsi" w:cstheme="minorHAnsi"/>
          <w:color w:val="000000"/>
        </w:rPr>
        <w:t xml:space="preserve">During the months following the Health Board entering into </w:t>
      </w:r>
      <w:r w:rsidR="0012556F">
        <w:rPr>
          <w:rFonts w:asciiTheme="minorHAnsi" w:hAnsiTheme="minorHAnsi" w:cstheme="minorHAnsi"/>
          <w:color w:val="000000"/>
        </w:rPr>
        <w:t>increased escalation</w:t>
      </w:r>
      <w:r w:rsidRPr="00C11691">
        <w:rPr>
          <w:rFonts w:asciiTheme="minorHAnsi" w:hAnsiTheme="minorHAnsi" w:cstheme="minorHAnsi"/>
          <w:color w:val="000000"/>
        </w:rPr>
        <w:t xml:space="preserve"> intervention, we have been working closely with external agencies including </w:t>
      </w:r>
      <w:r w:rsidR="00026E19">
        <w:rPr>
          <w:rFonts w:asciiTheme="minorHAnsi" w:hAnsiTheme="minorHAnsi" w:cstheme="minorHAnsi"/>
          <w:color w:val="000000"/>
        </w:rPr>
        <w:t>Wales Audit Office (</w:t>
      </w:r>
      <w:r w:rsidRPr="00C11691">
        <w:rPr>
          <w:rFonts w:asciiTheme="minorHAnsi" w:hAnsiTheme="minorHAnsi" w:cstheme="minorHAnsi"/>
          <w:color w:val="000000"/>
        </w:rPr>
        <w:t>WAO</w:t>
      </w:r>
      <w:r w:rsidR="00026E19">
        <w:rPr>
          <w:rFonts w:asciiTheme="minorHAnsi" w:hAnsiTheme="minorHAnsi" w:cstheme="minorHAnsi"/>
          <w:color w:val="000000"/>
        </w:rPr>
        <w:t>)</w:t>
      </w:r>
      <w:r w:rsidRPr="00C11691">
        <w:rPr>
          <w:rFonts w:asciiTheme="minorHAnsi" w:hAnsiTheme="minorHAnsi" w:cstheme="minorHAnsi"/>
          <w:color w:val="000000"/>
        </w:rPr>
        <w:t xml:space="preserve">, </w:t>
      </w:r>
      <w:r w:rsidR="00026E19">
        <w:rPr>
          <w:rFonts w:asciiTheme="minorHAnsi" w:hAnsiTheme="minorHAnsi" w:cstheme="minorHAnsi"/>
          <w:color w:val="000000"/>
        </w:rPr>
        <w:t>Health Inspectorate Wales (</w:t>
      </w:r>
      <w:r w:rsidRPr="00C11691">
        <w:rPr>
          <w:rFonts w:asciiTheme="minorHAnsi" w:hAnsiTheme="minorHAnsi" w:cstheme="minorHAnsi"/>
          <w:color w:val="000000"/>
        </w:rPr>
        <w:t>HIW</w:t>
      </w:r>
      <w:r w:rsidR="00026E19">
        <w:rPr>
          <w:rFonts w:asciiTheme="minorHAnsi" w:hAnsiTheme="minorHAnsi" w:cstheme="minorHAnsi"/>
          <w:color w:val="000000"/>
        </w:rPr>
        <w:t>)</w:t>
      </w:r>
      <w:r w:rsidRPr="00C11691">
        <w:rPr>
          <w:rFonts w:asciiTheme="minorHAnsi" w:hAnsiTheme="minorHAnsi" w:cstheme="minorHAnsi"/>
          <w:color w:val="000000"/>
        </w:rPr>
        <w:t xml:space="preserve"> and the </w:t>
      </w:r>
      <w:r>
        <w:rPr>
          <w:rFonts w:asciiTheme="minorHAnsi" w:hAnsiTheme="minorHAnsi" w:cstheme="minorHAnsi"/>
          <w:color w:val="000000"/>
        </w:rPr>
        <w:t xml:space="preserve">NHS Wales </w:t>
      </w:r>
      <w:r w:rsidRPr="00C11691">
        <w:rPr>
          <w:rFonts w:asciiTheme="minorHAnsi" w:hAnsiTheme="minorHAnsi" w:cstheme="minorHAnsi"/>
          <w:color w:val="000000"/>
        </w:rPr>
        <w:t xml:space="preserve">Delivery Unit </w:t>
      </w:r>
      <w:r w:rsidR="009B01E5">
        <w:rPr>
          <w:rFonts w:asciiTheme="minorHAnsi" w:hAnsiTheme="minorHAnsi" w:cstheme="minorHAnsi"/>
          <w:color w:val="000000"/>
        </w:rPr>
        <w:t xml:space="preserve">(DU) </w:t>
      </w:r>
      <w:r w:rsidRPr="00C11691">
        <w:rPr>
          <w:rFonts w:asciiTheme="minorHAnsi" w:hAnsiTheme="minorHAnsi" w:cstheme="minorHAnsi"/>
          <w:color w:val="000000"/>
        </w:rPr>
        <w:t xml:space="preserve">amongst others to take the learning and recommendations from reports received to formulate an overarching approach for the organisation to embed sustainable improvement. </w:t>
      </w:r>
      <w:r w:rsidR="009B01E5">
        <w:rPr>
          <w:rFonts w:asciiTheme="minorHAnsi" w:hAnsiTheme="minorHAnsi" w:cstheme="minorHAnsi"/>
          <w:color w:val="000000"/>
        </w:rPr>
        <w:t xml:space="preserve"> </w:t>
      </w:r>
      <w:r>
        <w:rPr>
          <w:rFonts w:asciiTheme="minorHAnsi" w:hAnsiTheme="minorHAnsi" w:cstheme="minorHAnsi"/>
          <w:color w:val="000000"/>
        </w:rPr>
        <w:t xml:space="preserve">More detail is available in </w:t>
      </w:r>
      <w:r w:rsidRPr="00164805">
        <w:rPr>
          <w:rFonts w:asciiTheme="minorHAnsi" w:hAnsiTheme="minorHAnsi" w:cstheme="minorHAnsi"/>
          <w:b/>
          <w:color w:val="000000"/>
        </w:rPr>
        <w:t>section 3.2.1</w:t>
      </w:r>
      <w:r>
        <w:rPr>
          <w:rFonts w:asciiTheme="minorHAnsi" w:hAnsiTheme="minorHAnsi" w:cstheme="minorHAnsi"/>
          <w:color w:val="000000"/>
        </w:rPr>
        <w:t xml:space="preserve">. </w:t>
      </w:r>
      <w:r w:rsidR="009B01E5">
        <w:rPr>
          <w:rFonts w:asciiTheme="minorHAnsi" w:hAnsiTheme="minorHAnsi" w:cstheme="minorHAnsi"/>
          <w:color w:val="000000"/>
        </w:rPr>
        <w:t xml:space="preserve"> </w:t>
      </w:r>
      <w:r w:rsidRPr="00C11691">
        <w:rPr>
          <w:rFonts w:asciiTheme="minorHAnsi" w:hAnsiTheme="minorHAnsi" w:cstheme="minorHAnsi"/>
          <w:color w:val="000000"/>
        </w:rPr>
        <w:t>There is also a concerted effort to ensure improvements are made in engagement and involvement with our staff, patients, families and stakeholders to learn from them</w:t>
      </w:r>
      <w:r w:rsidR="0005472C">
        <w:rPr>
          <w:rFonts w:asciiTheme="minorHAnsi" w:hAnsiTheme="minorHAnsi" w:cstheme="minorHAnsi"/>
          <w:color w:val="000000"/>
        </w:rPr>
        <w:t xml:space="preserve">, </w:t>
      </w:r>
      <w:r w:rsidRPr="00C11691">
        <w:rPr>
          <w:rFonts w:asciiTheme="minorHAnsi" w:hAnsiTheme="minorHAnsi" w:cstheme="minorHAnsi"/>
          <w:color w:val="000000"/>
        </w:rPr>
        <w:t>identify opportunities and develop a culture that supports and empowers staff and those who use our service</w:t>
      </w:r>
      <w:r>
        <w:rPr>
          <w:rFonts w:asciiTheme="minorHAnsi" w:hAnsiTheme="minorHAnsi" w:cstheme="minorHAnsi"/>
          <w:color w:val="000000"/>
        </w:rPr>
        <w:t>s to improve their experiences.</w:t>
      </w:r>
    </w:p>
    <w:p w14:paraId="55C5CAC9" w14:textId="77777777" w:rsidR="005445A4" w:rsidRPr="00C11691" w:rsidRDefault="005445A4" w:rsidP="005445A4">
      <w:pPr>
        <w:pStyle w:val="NormalWeb"/>
        <w:spacing w:before="0" w:beforeAutospacing="0" w:after="0" w:afterAutospacing="0"/>
        <w:rPr>
          <w:rFonts w:asciiTheme="minorHAnsi" w:hAnsiTheme="minorHAnsi" w:cstheme="minorHAnsi"/>
          <w:color w:val="000000"/>
        </w:rPr>
      </w:pPr>
    </w:p>
    <w:p w14:paraId="212036A2" w14:textId="5A2D5963" w:rsidR="005445A4" w:rsidRPr="00557AE1" w:rsidRDefault="005445A4" w:rsidP="00557AE1">
      <w:pPr>
        <w:pStyle w:val="NormalWeb"/>
        <w:spacing w:before="0" w:beforeAutospacing="0" w:after="0" w:afterAutospacing="0"/>
        <w:rPr>
          <w:rFonts w:asciiTheme="minorHAnsi" w:hAnsiTheme="minorHAnsi" w:cstheme="minorHAnsi"/>
          <w:color w:val="000000"/>
        </w:rPr>
      </w:pPr>
      <w:r w:rsidRPr="00C11691">
        <w:rPr>
          <w:rFonts w:asciiTheme="minorHAnsi" w:hAnsiTheme="minorHAnsi" w:cstheme="minorHAnsi"/>
          <w:color w:val="000000"/>
        </w:rPr>
        <w:t>A comprehensive programme of work has been established to address Targeted Interv</w:t>
      </w:r>
      <w:r w:rsidR="00557AE1">
        <w:rPr>
          <w:rFonts w:asciiTheme="minorHAnsi" w:hAnsiTheme="minorHAnsi" w:cstheme="minorHAnsi"/>
          <w:color w:val="000000"/>
        </w:rPr>
        <w:t xml:space="preserve">ention and </w:t>
      </w:r>
      <w:r w:rsidR="0012556F">
        <w:rPr>
          <w:rFonts w:asciiTheme="minorHAnsi" w:hAnsiTheme="minorHAnsi" w:cstheme="minorHAnsi"/>
          <w:color w:val="000000"/>
        </w:rPr>
        <w:t>S</w:t>
      </w:r>
      <w:r w:rsidR="00557AE1">
        <w:rPr>
          <w:rFonts w:asciiTheme="minorHAnsi" w:hAnsiTheme="minorHAnsi" w:cstheme="minorHAnsi"/>
          <w:color w:val="000000"/>
        </w:rPr>
        <w:t xml:space="preserve">pecial Measures: </w:t>
      </w:r>
      <w:r w:rsidRPr="00557AE1">
        <w:rPr>
          <w:rFonts w:asciiTheme="minorHAnsi" w:hAnsiTheme="minorHAnsi" w:cstheme="minorHAnsi"/>
          <w:color w:val="000000"/>
        </w:rPr>
        <w:t>Leadership &amp; Culture;</w:t>
      </w:r>
      <w:r w:rsidR="00557AE1" w:rsidRPr="00557AE1">
        <w:rPr>
          <w:rFonts w:asciiTheme="minorHAnsi" w:hAnsiTheme="minorHAnsi" w:cstheme="minorHAnsi"/>
          <w:color w:val="000000"/>
        </w:rPr>
        <w:t xml:space="preserve"> </w:t>
      </w:r>
      <w:r w:rsidR="0012556F">
        <w:rPr>
          <w:rFonts w:asciiTheme="minorHAnsi" w:hAnsiTheme="minorHAnsi" w:cstheme="minorHAnsi"/>
          <w:color w:val="000000"/>
        </w:rPr>
        <w:t>Quality and Governance</w:t>
      </w:r>
      <w:r w:rsidRPr="00557AE1">
        <w:rPr>
          <w:rFonts w:asciiTheme="minorHAnsi" w:hAnsiTheme="minorHAnsi" w:cstheme="minorHAnsi"/>
          <w:color w:val="000000"/>
        </w:rPr>
        <w:t>;</w:t>
      </w:r>
      <w:r w:rsidR="00557AE1" w:rsidRPr="00557AE1">
        <w:rPr>
          <w:rFonts w:asciiTheme="minorHAnsi" w:hAnsiTheme="minorHAnsi" w:cstheme="minorHAnsi"/>
          <w:color w:val="000000"/>
        </w:rPr>
        <w:t xml:space="preserve"> </w:t>
      </w:r>
      <w:r w:rsidRPr="00557AE1">
        <w:rPr>
          <w:rFonts w:asciiTheme="minorHAnsi" w:hAnsiTheme="minorHAnsi" w:cstheme="minorHAnsi"/>
          <w:color w:val="000000"/>
        </w:rPr>
        <w:t>Rebuilding Trust and Confidence; and</w:t>
      </w:r>
      <w:r w:rsidR="00557AE1" w:rsidRPr="00557AE1">
        <w:rPr>
          <w:rFonts w:asciiTheme="minorHAnsi" w:hAnsiTheme="minorHAnsi" w:cstheme="minorHAnsi"/>
          <w:color w:val="000000"/>
        </w:rPr>
        <w:t xml:space="preserve"> </w:t>
      </w:r>
      <w:r w:rsidRPr="00557AE1">
        <w:rPr>
          <w:rFonts w:asciiTheme="minorHAnsi" w:hAnsiTheme="minorHAnsi" w:cstheme="minorHAnsi"/>
          <w:color w:val="000000"/>
        </w:rPr>
        <w:t>Maternity Improvement.</w:t>
      </w:r>
    </w:p>
    <w:p w14:paraId="7C45B6DF" w14:textId="77777777" w:rsidR="005445A4" w:rsidRDefault="005445A4" w:rsidP="005445A4">
      <w:pPr>
        <w:pStyle w:val="NormalWeb"/>
        <w:spacing w:before="0" w:beforeAutospacing="0" w:after="0" w:afterAutospacing="0"/>
        <w:rPr>
          <w:rFonts w:asciiTheme="minorHAnsi" w:hAnsiTheme="minorHAnsi" w:cstheme="minorHAnsi"/>
          <w:color w:val="000000"/>
        </w:rPr>
      </w:pPr>
    </w:p>
    <w:p w14:paraId="4D41FCF7" w14:textId="3EBB3C04" w:rsidR="0012556F" w:rsidRDefault="005445A4" w:rsidP="0012556F">
      <w:pPr>
        <w:pStyle w:val="NormalWeb"/>
        <w:spacing w:before="0" w:beforeAutospacing="0" w:after="0" w:afterAutospacing="0"/>
        <w:rPr>
          <w:rFonts w:asciiTheme="minorHAnsi" w:hAnsiTheme="minorHAnsi" w:cstheme="minorHAnsi"/>
          <w:color w:val="000000"/>
        </w:rPr>
      </w:pPr>
      <w:r w:rsidRPr="00C11691">
        <w:rPr>
          <w:rFonts w:asciiTheme="minorHAnsi" w:hAnsiTheme="minorHAnsi" w:cstheme="minorHAnsi"/>
          <w:color w:val="000000"/>
        </w:rPr>
        <w:lastRenderedPageBreak/>
        <w:t xml:space="preserve">Each of these areas has been assigned a Senior Responsible Owner (SRO) and each </w:t>
      </w:r>
      <w:r w:rsidR="00D93F12">
        <w:rPr>
          <w:rFonts w:asciiTheme="minorHAnsi" w:hAnsiTheme="minorHAnsi" w:cstheme="minorHAnsi"/>
          <w:color w:val="000000"/>
        </w:rPr>
        <w:t>has</w:t>
      </w:r>
      <w:r w:rsidR="00D93F12" w:rsidRPr="00C11691">
        <w:rPr>
          <w:rFonts w:asciiTheme="minorHAnsi" w:hAnsiTheme="minorHAnsi" w:cstheme="minorHAnsi"/>
          <w:color w:val="000000"/>
        </w:rPr>
        <w:t xml:space="preserve"> </w:t>
      </w:r>
      <w:r w:rsidRPr="00C11691">
        <w:rPr>
          <w:rFonts w:asciiTheme="minorHAnsi" w:hAnsiTheme="minorHAnsi" w:cstheme="minorHAnsi"/>
          <w:color w:val="000000"/>
        </w:rPr>
        <w:t>a work programme developed to deliver continuous</w:t>
      </w:r>
      <w:r w:rsidRPr="00E2441A">
        <w:rPr>
          <w:rFonts w:asciiTheme="minorHAnsi" w:hAnsiTheme="minorHAnsi" w:cstheme="minorHAnsi"/>
        </w:rPr>
        <w:t xml:space="preserve">, sustainable improvement. </w:t>
      </w:r>
      <w:r w:rsidR="0005472C" w:rsidRPr="00E2441A">
        <w:rPr>
          <w:rFonts w:asciiTheme="minorHAnsi" w:hAnsiTheme="minorHAnsi" w:cstheme="minorHAnsi"/>
        </w:rPr>
        <w:t xml:space="preserve"> </w:t>
      </w:r>
      <w:r w:rsidRPr="00E2441A">
        <w:rPr>
          <w:rFonts w:asciiTheme="minorHAnsi" w:hAnsiTheme="minorHAnsi" w:cstheme="minorHAnsi"/>
        </w:rPr>
        <w:t xml:space="preserve">Progress in relation to these plans is monitored by the relevant Committees, the Full Board and by </w:t>
      </w:r>
      <w:r w:rsidR="00897141" w:rsidRPr="00E2441A">
        <w:rPr>
          <w:rFonts w:asciiTheme="minorHAnsi" w:hAnsiTheme="minorHAnsi" w:cstheme="minorHAnsi"/>
        </w:rPr>
        <w:t>WG</w:t>
      </w:r>
      <w:r w:rsidRPr="00E2441A">
        <w:rPr>
          <w:rFonts w:asciiTheme="minorHAnsi" w:hAnsiTheme="minorHAnsi" w:cstheme="minorHAnsi"/>
        </w:rPr>
        <w:t xml:space="preserve"> in </w:t>
      </w:r>
      <w:r w:rsidR="0012556F">
        <w:rPr>
          <w:rFonts w:asciiTheme="minorHAnsi" w:hAnsiTheme="minorHAnsi" w:cstheme="minorHAnsi"/>
        </w:rPr>
        <w:t xml:space="preserve">bi- </w:t>
      </w:r>
      <w:r w:rsidRPr="00E2441A">
        <w:rPr>
          <w:rFonts w:asciiTheme="minorHAnsi" w:hAnsiTheme="minorHAnsi" w:cstheme="minorHAnsi"/>
        </w:rPr>
        <w:t>onthly Targeted Intervention meetings chaired by the Chief Executive for NHS Wales.</w:t>
      </w:r>
      <w:r w:rsidR="0005472C" w:rsidRPr="00E2441A">
        <w:rPr>
          <w:rFonts w:asciiTheme="minorHAnsi" w:hAnsiTheme="minorHAnsi" w:cstheme="minorHAnsi"/>
        </w:rPr>
        <w:t xml:space="preserve"> </w:t>
      </w:r>
      <w:r w:rsidRPr="00E2441A">
        <w:rPr>
          <w:rFonts w:asciiTheme="minorHAnsi" w:hAnsiTheme="minorHAnsi" w:cstheme="minorHAnsi"/>
        </w:rPr>
        <w:t xml:space="preserve"> </w:t>
      </w:r>
      <w:r w:rsidR="00D93F12" w:rsidRPr="00E2441A">
        <w:rPr>
          <w:rFonts w:asciiTheme="minorHAnsi" w:hAnsiTheme="minorHAnsi" w:cstheme="minorHAnsi"/>
        </w:rPr>
        <w:t xml:space="preserve">Reassurance </w:t>
      </w:r>
      <w:r w:rsidR="007327E1" w:rsidRPr="00E2441A">
        <w:rPr>
          <w:rFonts w:asciiTheme="minorHAnsi" w:hAnsiTheme="minorHAnsi" w:cstheme="minorHAnsi"/>
        </w:rPr>
        <w:t xml:space="preserve">on progress </w:t>
      </w:r>
      <w:r w:rsidR="00D93F12" w:rsidRPr="00E2441A">
        <w:rPr>
          <w:rFonts w:asciiTheme="minorHAnsi" w:hAnsiTheme="minorHAnsi" w:cstheme="minorHAnsi"/>
        </w:rPr>
        <w:t>is provided to our population and stakeholders through</w:t>
      </w:r>
      <w:r w:rsidR="00E2441A" w:rsidRPr="00E2441A">
        <w:rPr>
          <w:rFonts w:asciiTheme="minorHAnsi" w:hAnsiTheme="minorHAnsi" w:cstheme="minorHAnsi"/>
        </w:rPr>
        <w:t xml:space="preserve"> regular reports to Board</w:t>
      </w:r>
      <w:r w:rsidR="007327E1" w:rsidRPr="00E2441A">
        <w:rPr>
          <w:rFonts w:asciiTheme="minorHAnsi" w:hAnsiTheme="minorHAnsi" w:cstheme="minorHAnsi"/>
        </w:rPr>
        <w:t>.</w:t>
      </w:r>
      <w:r w:rsidR="00E2441A">
        <w:rPr>
          <w:rFonts w:asciiTheme="minorHAnsi" w:hAnsiTheme="minorHAnsi" w:cstheme="minorHAnsi"/>
        </w:rPr>
        <w:t xml:space="preserve"> </w:t>
      </w:r>
      <w:r w:rsidRPr="00E2441A">
        <w:rPr>
          <w:rFonts w:asciiTheme="minorHAnsi" w:hAnsiTheme="minorHAnsi" w:cstheme="minorHAnsi"/>
        </w:rPr>
        <w:t xml:space="preserve">The development of a maturity </w:t>
      </w:r>
      <w:r w:rsidRPr="00C11691">
        <w:rPr>
          <w:rFonts w:asciiTheme="minorHAnsi" w:hAnsiTheme="minorHAnsi" w:cstheme="minorHAnsi"/>
          <w:color w:val="000000"/>
        </w:rPr>
        <w:t>matrix during 2019/2020 will be key to monitoring progress and evidencing sustainable impro</w:t>
      </w:r>
      <w:r>
        <w:rPr>
          <w:rFonts w:asciiTheme="minorHAnsi" w:hAnsiTheme="minorHAnsi" w:cstheme="minorHAnsi"/>
          <w:color w:val="000000"/>
        </w:rPr>
        <w:t xml:space="preserve">vement across the Health Board, a draft </w:t>
      </w:r>
      <w:r w:rsidR="0012556F">
        <w:rPr>
          <w:rFonts w:asciiTheme="minorHAnsi" w:hAnsiTheme="minorHAnsi" w:cstheme="minorHAnsi"/>
          <w:color w:val="000000"/>
        </w:rPr>
        <w:t xml:space="preserve">of each of the the four </w:t>
      </w:r>
      <w:r w:rsidR="0012556F">
        <w:rPr>
          <w:rFonts w:asciiTheme="minorHAnsi" w:hAnsiTheme="minorHAnsi" w:cstheme="minorHAnsi"/>
          <w:color w:val="000000"/>
        </w:rPr>
        <w:t>maturity</w:t>
      </w:r>
      <w:r w:rsidR="0012556F">
        <w:rPr>
          <w:rFonts w:asciiTheme="minorHAnsi" w:hAnsiTheme="minorHAnsi" w:cstheme="minorHAnsi"/>
          <w:color w:val="000000"/>
        </w:rPr>
        <w:t xml:space="preserve"> </w:t>
      </w:r>
      <w:r w:rsidR="0012556F">
        <w:rPr>
          <w:rFonts w:asciiTheme="minorHAnsi" w:hAnsiTheme="minorHAnsi" w:cstheme="minorHAnsi"/>
          <w:color w:val="000000"/>
        </w:rPr>
        <w:t>matrices</w:t>
      </w:r>
      <w:r w:rsidR="0012556F">
        <w:rPr>
          <w:rFonts w:asciiTheme="minorHAnsi" w:hAnsiTheme="minorHAnsi" w:cstheme="minorHAnsi"/>
          <w:color w:val="000000"/>
        </w:rPr>
        <w:t xml:space="preserve"> can be seen in </w:t>
      </w:r>
      <w:r w:rsidR="0012556F" w:rsidRPr="00624A8C">
        <w:rPr>
          <w:rFonts w:asciiTheme="minorHAnsi" w:hAnsiTheme="minorHAnsi" w:cstheme="minorHAnsi"/>
          <w:b/>
          <w:color w:val="000000"/>
        </w:rPr>
        <w:t>Annex 1</w:t>
      </w:r>
      <w:r w:rsidR="0012556F">
        <w:rPr>
          <w:rFonts w:asciiTheme="minorHAnsi" w:hAnsiTheme="minorHAnsi" w:cstheme="minorHAnsi"/>
          <w:b/>
          <w:color w:val="000000"/>
        </w:rPr>
        <w:t xml:space="preserve">. </w:t>
      </w:r>
      <w:r w:rsidR="0012556F" w:rsidRPr="0028518F">
        <w:rPr>
          <w:rFonts w:asciiTheme="minorHAnsi" w:hAnsiTheme="minorHAnsi" w:cstheme="minorHAnsi"/>
          <w:color w:val="000000"/>
        </w:rPr>
        <w:t xml:space="preserve">Definitions for the </w:t>
      </w:r>
      <w:r w:rsidR="0012556F" w:rsidRPr="0028518F">
        <w:rPr>
          <w:rFonts w:asciiTheme="minorHAnsi" w:hAnsiTheme="minorHAnsi" w:cstheme="minorHAnsi"/>
          <w:color w:val="000000"/>
        </w:rPr>
        <w:t>different</w:t>
      </w:r>
      <w:r w:rsidR="0012556F" w:rsidRPr="0028518F">
        <w:rPr>
          <w:rFonts w:asciiTheme="minorHAnsi" w:hAnsiTheme="minorHAnsi" w:cstheme="minorHAnsi"/>
          <w:color w:val="000000"/>
        </w:rPr>
        <w:t xml:space="preserve"> </w:t>
      </w:r>
      <w:r w:rsidR="0012556F" w:rsidRPr="0028518F">
        <w:rPr>
          <w:rFonts w:asciiTheme="minorHAnsi" w:hAnsiTheme="minorHAnsi" w:cstheme="minorHAnsi"/>
          <w:color w:val="000000"/>
        </w:rPr>
        <w:t>Maturity</w:t>
      </w:r>
      <w:r w:rsidR="0012556F" w:rsidRPr="0028518F">
        <w:rPr>
          <w:rFonts w:asciiTheme="minorHAnsi" w:hAnsiTheme="minorHAnsi" w:cstheme="minorHAnsi"/>
          <w:color w:val="000000"/>
        </w:rPr>
        <w:t xml:space="preserve"> Matrix levels can be seen below, and a self-assessment process is underway to establish the current level the UHB is operating at, so that ongoing monitoring can take place to see progress against the levels.</w:t>
      </w:r>
    </w:p>
    <w:p w14:paraId="2FFA2CDC" w14:textId="77777777" w:rsidR="0012556F" w:rsidRDefault="0012556F" w:rsidP="0012556F">
      <w:pPr>
        <w:pStyle w:val="NormalWeb"/>
        <w:spacing w:before="0" w:beforeAutospacing="0" w:after="0" w:afterAutospacing="0"/>
        <w:rPr>
          <w:rFonts w:asciiTheme="minorHAnsi" w:hAnsiTheme="minorHAnsi" w:cstheme="minorHAnsi"/>
          <w:color w:val="000000"/>
        </w:rPr>
      </w:pPr>
    </w:p>
    <w:tbl>
      <w:tblPr>
        <w:tblW w:w="9900" w:type="dxa"/>
        <w:tblCellMar>
          <w:left w:w="0" w:type="dxa"/>
          <w:right w:w="0" w:type="dxa"/>
        </w:tblCellMar>
        <w:tblLook w:val="0600" w:firstRow="0" w:lastRow="0" w:firstColumn="0" w:lastColumn="0" w:noHBand="1" w:noVBand="1"/>
      </w:tblPr>
      <w:tblGrid>
        <w:gridCol w:w="2740"/>
        <w:gridCol w:w="7160"/>
      </w:tblGrid>
      <w:tr w:rsidR="0012556F" w:rsidRPr="00BE69A3" w14:paraId="74502F4A" w14:textId="77777777" w:rsidTr="0012556F">
        <w:trPr>
          <w:trHeight w:val="427"/>
        </w:trPr>
        <w:tc>
          <w:tcPr>
            <w:tcW w:w="2740" w:type="dxa"/>
            <w:tcBorders>
              <w:top w:val="single" w:sz="18" w:space="0" w:color="000000"/>
              <w:left w:val="single" w:sz="18" w:space="0" w:color="000000"/>
              <w:bottom w:val="single" w:sz="8" w:space="0" w:color="000000"/>
              <w:right w:val="single" w:sz="8" w:space="0" w:color="000000"/>
            </w:tcBorders>
            <w:shd w:val="clear" w:color="auto" w:fill="333399"/>
            <w:tcMar>
              <w:top w:w="72" w:type="dxa"/>
              <w:left w:w="144" w:type="dxa"/>
              <w:bottom w:w="72" w:type="dxa"/>
              <w:right w:w="144" w:type="dxa"/>
            </w:tcMar>
            <w:hideMark/>
          </w:tcPr>
          <w:p w14:paraId="2DCF0852" w14:textId="77777777" w:rsidR="0012556F" w:rsidRPr="0028518F" w:rsidRDefault="0012556F" w:rsidP="0028518F">
            <w:pPr>
              <w:spacing w:before="86"/>
              <w:jc w:val="center"/>
              <w:textAlignment w:val="baseline"/>
              <w:rPr>
                <w:rFonts w:ascii="Arial" w:hAnsi="Arial" w:cs="Arial"/>
                <w:sz w:val="20"/>
                <w:szCs w:val="20"/>
              </w:rPr>
            </w:pPr>
            <w:r w:rsidRPr="0028518F">
              <w:rPr>
                <w:rFonts w:ascii="Arial" w:hAnsi="Arial" w:cs="Arial"/>
                <w:color w:val="FFFFFF" w:themeColor="background1"/>
                <w:kern w:val="24"/>
                <w:sz w:val="20"/>
                <w:szCs w:val="20"/>
              </w:rPr>
              <w:t>Criteria</w:t>
            </w:r>
          </w:p>
        </w:tc>
        <w:tc>
          <w:tcPr>
            <w:tcW w:w="7160" w:type="dxa"/>
            <w:tcBorders>
              <w:top w:val="single" w:sz="18" w:space="0" w:color="000000"/>
              <w:left w:val="single" w:sz="8" w:space="0" w:color="000000"/>
              <w:bottom w:val="single" w:sz="8" w:space="0" w:color="000000"/>
              <w:right w:val="single" w:sz="18" w:space="0" w:color="000000"/>
            </w:tcBorders>
            <w:shd w:val="clear" w:color="auto" w:fill="333399"/>
            <w:tcMar>
              <w:top w:w="72" w:type="dxa"/>
              <w:left w:w="144" w:type="dxa"/>
              <w:bottom w:w="72" w:type="dxa"/>
              <w:right w:w="144" w:type="dxa"/>
            </w:tcMar>
            <w:hideMark/>
          </w:tcPr>
          <w:p w14:paraId="7A7EFA2B" w14:textId="77777777" w:rsidR="0012556F" w:rsidRPr="0028518F" w:rsidRDefault="0012556F" w:rsidP="0028518F">
            <w:pPr>
              <w:spacing w:before="86"/>
              <w:jc w:val="center"/>
              <w:textAlignment w:val="baseline"/>
              <w:rPr>
                <w:rFonts w:ascii="Arial" w:hAnsi="Arial" w:cs="Arial"/>
                <w:sz w:val="20"/>
                <w:szCs w:val="20"/>
              </w:rPr>
            </w:pPr>
            <w:r w:rsidRPr="0028518F">
              <w:rPr>
                <w:rFonts w:ascii="Arial" w:hAnsi="Arial" w:cs="Arial"/>
                <w:color w:val="FFFFFF" w:themeColor="background1"/>
                <w:kern w:val="24"/>
                <w:sz w:val="20"/>
                <w:szCs w:val="20"/>
              </w:rPr>
              <w:t>Definition</w:t>
            </w:r>
          </w:p>
        </w:tc>
      </w:tr>
      <w:tr w:rsidR="0012556F" w:rsidRPr="00BE69A3" w14:paraId="6671C9F2" w14:textId="77777777" w:rsidTr="0028518F">
        <w:trPr>
          <w:trHeight w:val="1008"/>
        </w:trPr>
        <w:tc>
          <w:tcPr>
            <w:tcW w:w="2740" w:type="dxa"/>
            <w:tcBorders>
              <w:top w:val="single" w:sz="8" w:space="0" w:color="000000"/>
              <w:left w:val="single" w:sz="18" w:space="0" w:color="000000"/>
              <w:bottom w:val="single" w:sz="8" w:space="0" w:color="000000"/>
              <w:right w:val="single" w:sz="8" w:space="0" w:color="000000"/>
            </w:tcBorders>
            <w:shd w:val="clear" w:color="auto" w:fill="333399"/>
            <w:tcMar>
              <w:top w:w="72" w:type="dxa"/>
              <w:left w:w="144" w:type="dxa"/>
              <w:bottom w:w="72" w:type="dxa"/>
              <w:right w:w="144" w:type="dxa"/>
            </w:tcMar>
            <w:hideMark/>
          </w:tcPr>
          <w:p w14:paraId="43332AD6" w14:textId="77777777" w:rsidR="0012556F" w:rsidRPr="0028518F" w:rsidRDefault="0012556F" w:rsidP="0028518F">
            <w:pPr>
              <w:spacing w:before="67"/>
              <w:jc w:val="left"/>
              <w:textAlignment w:val="baseline"/>
              <w:rPr>
                <w:rFonts w:ascii="Arial" w:hAnsi="Arial" w:cs="Arial"/>
                <w:sz w:val="20"/>
                <w:szCs w:val="20"/>
              </w:rPr>
            </w:pPr>
            <w:r w:rsidRPr="0028518F">
              <w:rPr>
                <w:rFonts w:ascii="Arial" w:hAnsi="Arial" w:cs="Arial"/>
                <w:b/>
                <w:bCs/>
                <w:color w:val="FFFFFF" w:themeColor="background1"/>
                <w:kern w:val="24"/>
                <w:sz w:val="20"/>
                <w:szCs w:val="20"/>
              </w:rPr>
              <w:t>1 Basic Level</w:t>
            </w:r>
          </w:p>
          <w:p w14:paraId="1CFF1E73" w14:textId="77777777" w:rsidR="0012556F" w:rsidRPr="0028518F" w:rsidRDefault="0012556F" w:rsidP="0028518F">
            <w:pPr>
              <w:spacing w:before="48"/>
              <w:jc w:val="left"/>
              <w:textAlignment w:val="baseline"/>
              <w:rPr>
                <w:rFonts w:ascii="Arial" w:hAnsi="Arial" w:cs="Arial"/>
                <w:sz w:val="20"/>
                <w:szCs w:val="20"/>
              </w:rPr>
            </w:pPr>
            <w:r w:rsidRPr="00BE69A3">
              <w:rPr>
                <w:rFonts w:ascii="Arial" w:hAnsi="Arial" w:cs="Arial"/>
                <w:color w:val="FFFFFF" w:themeColor="background1"/>
                <w:kern w:val="24"/>
                <w:sz w:val="20"/>
                <w:szCs w:val="20"/>
              </w:rPr>
              <w:t xml:space="preserve">Principle accepted and commitment to </w:t>
            </w:r>
            <w:r w:rsidRPr="00FF5DA8">
              <w:rPr>
                <w:rFonts w:ascii="Arial" w:hAnsi="Arial" w:cs="Arial"/>
                <w:color w:val="FFFFFF" w:themeColor="background1"/>
                <w:kern w:val="24"/>
                <w:sz w:val="20"/>
                <w:szCs w:val="20"/>
              </w:rPr>
              <w:t>action</w:t>
            </w:r>
          </w:p>
        </w:tc>
        <w:tc>
          <w:tcPr>
            <w:tcW w:w="7160"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14:paraId="023FD8EE" w14:textId="77777777" w:rsidR="0012556F" w:rsidRPr="0028518F" w:rsidRDefault="0012556F" w:rsidP="0028518F">
            <w:pPr>
              <w:spacing w:before="58"/>
              <w:jc w:val="left"/>
              <w:textAlignment w:val="baseline"/>
              <w:rPr>
                <w:rFonts w:ascii="Arial" w:hAnsi="Arial" w:cs="Arial"/>
                <w:sz w:val="20"/>
                <w:szCs w:val="20"/>
              </w:rPr>
            </w:pPr>
            <w:r w:rsidRPr="0028518F">
              <w:rPr>
                <w:rFonts w:ascii="Arial" w:hAnsi="Arial" w:cs="Arial"/>
                <w:color w:val="000000" w:themeColor="text1"/>
                <w:kern w:val="24"/>
                <w:sz w:val="20"/>
                <w:szCs w:val="20"/>
              </w:rPr>
              <w:t>Health Board is aware of the requirement but is unable to demonstrate meeting it and/or cannot evidence clear plans or approaches to meet the criteria.</w:t>
            </w:r>
          </w:p>
        </w:tc>
      </w:tr>
      <w:tr w:rsidR="0012556F" w:rsidRPr="00BE69A3" w14:paraId="6041E907" w14:textId="77777777" w:rsidTr="0028518F">
        <w:trPr>
          <w:trHeight w:val="1296"/>
        </w:trPr>
        <w:tc>
          <w:tcPr>
            <w:tcW w:w="2740" w:type="dxa"/>
            <w:tcBorders>
              <w:top w:val="single" w:sz="8" w:space="0" w:color="000000"/>
              <w:left w:val="single" w:sz="18" w:space="0" w:color="000000"/>
              <w:bottom w:val="single" w:sz="8" w:space="0" w:color="000000"/>
              <w:right w:val="single" w:sz="8" w:space="0" w:color="000000"/>
            </w:tcBorders>
            <w:shd w:val="clear" w:color="auto" w:fill="333399"/>
            <w:tcMar>
              <w:top w:w="72" w:type="dxa"/>
              <w:left w:w="144" w:type="dxa"/>
              <w:bottom w:w="72" w:type="dxa"/>
              <w:right w:w="144" w:type="dxa"/>
            </w:tcMar>
            <w:hideMark/>
          </w:tcPr>
          <w:p w14:paraId="365D3E8E" w14:textId="77777777" w:rsidR="0012556F" w:rsidRPr="0028518F" w:rsidRDefault="0012556F" w:rsidP="0028518F">
            <w:pPr>
              <w:spacing w:before="67"/>
              <w:jc w:val="left"/>
              <w:textAlignment w:val="baseline"/>
              <w:rPr>
                <w:rFonts w:ascii="Arial" w:hAnsi="Arial" w:cs="Arial"/>
                <w:sz w:val="20"/>
                <w:szCs w:val="20"/>
              </w:rPr>
            </w:pPr>
            <w:r w:rsidRPr="0028518F">
              <w:rPr>
                <w:rFonts w:ascii="Arial" w:hAnsi="Arial" w:cs="Arial"/>
                <w:b/>
                <w:bCs/>
                <w:color w:val="FFFFFF" w:themeColor="background1"/>
                <w:kern w:val="24"/>
                <w:sz w:val="20"/>
                <w:szCs w:val="20"/>
              </w:rPr>
              <w:t>2 Early Progress</w:t>
            </w:r>
          </w:p>
          <w:p w14:paraId="32359ECF" w14:textId="77777777" w:rsidR="0012556F" w:rsidRPr="0028518F" w:rsidRDefault="0012556F" w:rsidP="0028518F">
            <w:pPr>
              <w:spacing w:before="48"/>
              <w:jc w:val="left"/>
              <w:textAlignment w:val="baseline"/>
              <w:rPr>
                <w:rFonts w:ascii="Arial" w:hAnsi="Arial" w:cs="Arial"/>
                <w:sz w:val="20"/>
                <w:szCs w:val="20"/>
              </w:rPr>
            </w:pPr>
            <w:r w:rsidRPr="00BE69A3">
              <w:rPr>
                <w:rFonts w:ascii="Arial" w:hAnsi="Arial" w:cs="Arial"/>
                <w:color w:val="FFFFFF" w:themeColor="background1"/>
                <w:kern w:val="24"/>
                <w:sz w:val="20"/>
                <w:szCs w:val="20"/>
              </w:rPr>
              <w:t>Early Progress in development</w:t>
            </w:r>
          </w:p>
        </w:tc>
        <w:tc>
          <w:tcPr>
            <w:tcW w:w="7160"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14:paraId="4E1A4124" w14:textId="77777777" w:rsidR="0012556F" w:rsidRPr="0028518F" w:rsidRDefault="0012556F" w:rsidP="0028518F">
            <w:pPr>
              <w:spacing w:before="58"/>
              <w:jc w:val="left"/>
              <w:textAlignment w:val="baseline"/>
              <w:rPr>
                <w:rFonts w:ascii="Arial" w:hAnsi="Arial" w:cs="Arial"/>
                <w:sz w:val="20"/>
                <w:szCs w:val="20"/>
              </w:rPr>
            </w:pPr>
            <w:r w:rsidRPr="0028518F">
              <w:rPr>
                <w:rFonts w:ascii="Arial" w:hAnsi="Arial" w:cs="Arial"/>
                <w:color w:val="000000" w:themeColor="text1"/>
                <w:kern w:val="24"/>
                <w:sz w:val="20"/>
                <w:szCs w:val="20"/>
              </w:rPr>
              <w:t xml:space="preserve">The Health Board recognises what is required for the criteria. The Health Board is able to evidence being able to meet </w:t>
            </w:r>
            <w:r w:rsidRPr="0028518F">
              <w:rPr>
                <w:rFonts w:ascii="Arial" w:hAnsi="Arial" w:cs="Arial"/>
                <w:i/>
                <w:iCs/>
                <w:color w:val="000000" w:themeColor="text1"/>
                <w:kern w:val="24"/>
                <w:sz w:val="20"/>
                <w:szCs w:val="20"/>
              </w:rPr>
              <w:t xml:space="preserve">some </w:t>
            </w:r>
            <w:r w:rsidRPr="0028518F">
              <w:rPr>
                <w:rFonts w:ascii="Arial" w:hAnsi="Arial" w:cs="Arial"/>
                <w:color w:val="000000" w:themeColor="text1"/>
                <w:kern w:val="24"/>
                <w:sz w:val="20"/>
                <w:szCs w:val="20"/>
              </w:rPr>
              <w:t>of the criteria but cannot evidence being able to meet all aspects in full. The Health Board plans to meet all the criteria in full</w:t>
            </w:r>
          </w:p>
        </w:tc>
      </w:tr>
      <w:tr w:rsidR="0012556F" w:rsidRPr="00BE69A3" w14:paraId="3867A021" w14:textId="77777777" w:rsidTr="0028518F">
        <w:trPr>
          <w:trHeight w:val="1008"/>
        </w:trPr>
        <w:tc>
          <w:tcPr>
            <w:tcW w:w="2740" w:type="dxa"/>
            <w:tcBorders>
              <w:top w:val="single" w:sz="8" w:space="0" w:color="000000"/>
              <w:left w:val="single" w:sz="18" w:space="0" w:color="000000"/>
              <w:bottom w:val="single" w:sz="8" w:space="0" w:color="000000"/>
              <w:right w:val="single" w:sz="8" w:space="0" w:color="000000"/>
            </w:tcBorders>
            <w:shd w:val="clear" w:color="auto" w:fill="333399"/>
            <w:tcMar>
              <w:top w:w="72" w:type="dxa"/>
              <w:left w:w="144" w:type="dxa"/>
              <w:bottom w:w="72" w:type="dxa"/>
              <w:right w:w="144" w:type="dxa"/>
            </w:tcMar>
            <w:hideMark/>
          </w:tcPr>
          <w:p w14:paraId="5B95A169" w14:textId="77777777" w:rsidR="0012556F" w:rsidRPr="0028518F" w:rsidRDefault="0012556F" w:rsidP="0028518F">
            <w:pPr>
              <w:spacing w:before="67"/>
              <w:jc w:val="left"/>
              <w:textAlignment w:val="baseline"/>
              <w:rPr>
                <w:rFonts w:ascii="Arial" w:hAnsi="Arial" w:cs="Arial"/>
                <w:sz w:val="20"/>
                <w:szCs w:val="20"/>
              </w:rPr>
            </w:pPr>
            <w:r w:rsidRPr="0028518F">
              <w:rPr>
                <w:rFonts w:ascii="Arial" w:hAnsi="Arial" w:cs="Arial"/>
                <w:b/>
                <w:bCs/>
                <w:color w:val="FFFFFF" w:themeColor="background1"/>
                <w:kern w:val="24"/>
                <w:sz w:val="20"/>
                <w:szCs w:val="20"/>
              </w:rPr>
              <w:t>3 Results</w:t>
            </w:r>
          </w:p>
          <w:p w14:paraId="165E1A41" w14:textId="77777777" w:rsidR="0012556F" w:rsidRPr="0028518F" w:rsidRDefault="0012556F" w:rsidP="0028518F">
            <w:pPr>
              <w:spacing w:before="48"/>
              <w:jc w:val="left"/>
              <w:textAlignment w:val="baseline"/>
              <w:rPr>
                <w:rFonts w:ascii="Arial" w:hAnsi="Arial" w:cs="Arial"/>
                <w:sz w:val="20"/>
                <w:szCs w:val="20"/>
              </w:rPr>
            </w:pPr>
            <w:r w:rsidRPr="00BE69A3">
              <w:rPr>
                <w:rFonts w:ascii="Arial" w:hAnsi="Arial" w:cs="Arial"/>
                <w:color w:val="FFFFFF" w:themeColor="background1"/>
                <w:kern w:val="24"/>
                <w:sz w:val="20"/>
                <w:szCs w:val="20"/>
              </w:rPr>
              <w:t>Initial achievements realised</w:t>
            </w:r>
          </w:p>
        </w:tc>
        <w:tc>
          <w:tcPr>
            <w:tcW w:w="7160"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14:paraId="3321F2AD" w14:textId="77777777" w:rsidR="0012556F" w:rsidRPr="0028518F" w:rsidRDefault="0012556F" w:rsidP="0028518F">
            <w:pPr>
              <w:spacing w:before="58"/>
              <w:jc w:val="left"/>
              <w:textAlignment w:val="baseline"/>
              <w:rPr>
                <w:rFonts w:ascii="Arial" w:hAnsi="Arial" w:cs="Arial"/>
                <w:sz w:val="20"/>
                <w:szCs w:val="20"/>
              </w:rPr>
            </w:pPr>
            <w:r w:rsidRPr="0028518F">
              <w:rPr>
                <w:rFonts w:ascii="Arial" w:hAnsi="Arial" w:cs="Arial"/>
                <w:color w:val="000000" w:themeColor="text1"/>
                <w:kern w:val="24"/>
                <w:sz w:val="20"/>
                <w:szCs w:val="20"/>
              </w:rPr>
              <w:t>The Health Board meets some of the criteria, in</w:t>
            </w:r>
            <w:r>
              <w:rPr>
                <w:rFonts w:ascii="Arial" w:hAnsi="Arial" w:cs="Arial"/>
                <w:color w:val="000000" w:themeColor="text1"/>
                <w:kern w:val="24"/>
                <w:sz w:val="20"/>
                <w:szCs w:val="20"/>
              </w:rPr>
              <w:t>-</w:t>
            </w:r>
            <w:r w:rsidRPr="0028518F">
              <w:rPr>
                <w:rFonts w:ascii="Arial" w:hAnsi="Arial" w:cs="Arial"/>
                <w:color w:val="000000" w:themeColor="text1"/>
                <w:kern w:val="24"/>
                <w:sz w:val="20"/>
                <w:szCs w:val="20"/>
              </w:rPr>
              <w:t>line with its agreed milestones, it has clear and credible plans to continually and sustainably improve service provision.</w:t>
            </w:r>
          </w:p>
        </w:tc>
      </w:tr>
      <w:tr w:rsidR="0012556F" w:rsidRPr="00BE69A3" w14:paraId="1A3871D7" w14:textId="77777777" w:rsidTr="0028518F">
        <w:trPr>
          <w:trHeight w:val="1008"/>
        </w:trPr>
        <w:tc>
          <w:tcPr>
            <w:tcW w:w="2740" w:type="dxa"/>
            <w:tcBorders>
              <w:top w:val="single" w:sz="8" w:space="0" w:color="000000"/>
              <w:left w:val="single" w:sz="18" w:space="0" w:color="000000"/>
              <w:bottom w:val="single" w:sz="8" w:space="0" w:color="000000"/>
              <w:right w:val="single" w:sz="8" w:space="0" w:color="000000"/>
            </w:tcBorders>
            <w:shd w:val="clear" w:color="auto" w:fill="333399"/>
            <w:tcMar>
              <w:top w:w="72" w:type="dxa"/>
              <w:left w:w="144" w:type="dxa"/>
              <w:bottom w:w="72" w:type="dxa"/>
              <w:right w:w="144" w:type="dxa"/>
            </w:tcMar>
            <w:hideMark/>
          </w:tcPr>
          <w:p w14:paraId="7A76DE30" w14:textId="77777777" w:rsidR="0012556F" w:rsidRPr="0028518F" w:rsidRDefault="0012556F" w:rsidP="0028518F">
            <w:pPr>
              <w:spacing w:before="67"/>
              <w:jc w:val="left"/>
              <w:textAlignment w:val="baseline"/>
              <w:rPr>
                <w:rFonts w:ascii="Arial" w:hAnsi="Arial" w:cs="Arial"/>
                <w:sz w:val="20"/>
                <w:szCs w:val="20"/>
              </w:rPr>
            </w:pPr>
            <w:r w:rsidRPr="0028518F">
              <w:rPr>
                <w:rFonts w:ascii="Arial" w:hAnsi="Arial" w:cs="Arial"/>
                <w:b/>
                <w:bCs/>
                <w:color w:val="FFFFFF" w:themeColor="background1"/>
                <w:kern w:val="24"/>
                <w:sz w:val="20"/>
                <w:szCs w:val="20"/>
              </w:rPr>
              <w:t>4 Maturity</w:t>
            </w:r>
          </w:p>
          <w:p w14:paraId="3D36CD3A" w14:textId="77777777" w:rsidR="0012556F" w:rsidRPr="0028518F" w:rsidRDefault="0012556F" w:rsidP="0028518F">
            <w:pPr>
              <w:spacing w:before="48"/>
              <w:jc w:val="left"/>
              <w:textAlignment w:val="baseline"/>
              <w:rPr>
                <w:rFonts w:ascii="Arial" w:hAnsi="Arial" w:cs="Arial"/>
                <w:sz w:val="20"/>
                <w:szCs w:val="20"/>
              </w:rPr>
            </w:pPr>
            <w:r w:rsidRPr="00BE69A3">
              <w:rPr>
                <w:rFonts w:ascii="Arial" w:hAnsi="Arial" w:cs="Arial"/>
                <w:color w:val="FFFFFF" w:themeColor="background1"/>
                <w:kern w:val="24"/>
                <w:sz w:val="20"/>
                <w:szCs w:val="20"/>
              </w:rPr>
              <w:t>Results consistently achieved</w:t>
            </w:r>
          </w:p>
        </w:tc>
        <w:tc>
          <w:tcPr>
            <w:tcW w:w="7160" w:type="dxa"/>
            <w:tcBorders>
              <w:top w:val="single" w:sz="8" w:space="0" w:color="000000"/>
              <w:left w:val="single" w:sz="8" w:space="0" w:color="000000"/>
              <w:bottom w:val="single" w:sz="8" w:space="0" w:color="000000"/>
              <w:right w:val="single" w:sz="18" w:space="0" w:color="000000"/>
            </w:tcBorders>
            <w:shd w:val="clear" w:color="auto" w:fill="auto"/>
            <w:tcMar>
              <w:top w:w="72" w:type="dxa"/>
              <w:left w:w="144" w:type="dxa"/>
              <w:bottom w:w="72" w:type="dxa"/>
              <w:right w:w="144" w:type="dxa"/>
            </w:tcMar>
            <w:hideMark/>
          </w:tcPr>
          <w:p w14:paraId="7A6BF239" w14:textId="77777777" w:rsidR="0012556F" w:rsidRPr="0028518F" w:rsidRDefault="0012556F" w:rsidP="0028518F">
            <w:pPr>
              <w:spacing w:before="58"/>
              <w:jc w:val="left"/>
              <w:textAlignment w:val="baseline"/>
              <w:rPr>
                <w:rFonts w:ascii="Arial" w:hAnsi="Arial" w:cs="Arial"/>
                <w:sz w:val="20"/>
                <w:szCs w:val="20"/>
              </w:rPr>
            </w:pPr>
            <w:r w:rsidRPr="0028518F">
              <w:rPr>
                <w:rFonts w:ascii="Arial" w:hAnsi="Arial" w:cs="Arial"/>
                <w:color w:val="000000" w:themeColor="text1"/>
                <w:kern w:val="24"/>
                <w:sz w:val="20"/>
                <w:szCs w:val="20"/>
              </w:rPr>
              <w:t>The Health Board meets all the criteria to a high standard, can evidence many examples of good practice against the criteria which are routinely shared and adopted by others.</w:t>
            </w:r>
          </w:p>
        </w:tc>
      </w:tr>
      <w:tr w:rsidR="0012556F" w:rsidRPr="00BE69A3" w14:paraId="1FEBB934" w14:textId="77777777" w:rsidTr="0028518F">
        <w:trPr>
          <w:trHeight w:val="1542"/>
        </w:trPr>
        <w:tc>
          <w:tcPr>
            <w:tcW w:w="2740" w:type="dxa"/>
            <w:tcBorders>
              <w:top w:val="single" w:sz="8" w:space="0" w:color="000000"/>
              <w:left w:val="single" w:sz="18" w:space="0" w:color="000000"/>
              <w:bottom w:val="single" w:sz="18" w:space="0" w:color="000000"/>
              <w:right w:val="single" w:sz="8" w:space="0" w:color="000000"/>
            </w:tcBorders>
            <w:shd w:val="clear" w:color="auto" w:fill="333399"/>
            <w:tcMar>
              <w:top w:w="72" w:type="dxa"/>
              <w:left w:w="144" w:type="dxa"/>
              <w:bottom w:w="72" w:type="dxa"/>
              <w:right w:w="144" w:type="dxa"/>
            </w:tcMar>
            <w:hideMark/>
          </w:tcPr>
          <w:p w14:paraId="027405C6" w14:textId="77777777" w:rsidR="0012556F" w:rsidRPr="0028518F" w:rsidRDefault="0012556F" w:rsidP="0028518F">
            <w:pPr>
              <w:spacing w:before="67"/>
              <w:jc w:val="left"/>
              <w:textAlignment w:val="baseline"/>
              <w:rPr>
                <w:rFonts w:ascii="Arial" w:hAnsi="Arial" w:cs="Arial"/>
                <w:sz w:val="20"/>
                <w:szCs w:val="20"/>
              </w:rPr>
            </w:pPr>
            <w:r w:rsidRPr="0028518F">
              <w:rPr>
                <w:rFonts w:ascii="Arial" w:hAnsi="Arial" w:cs="Arial"/>
                <w:b/>
                <w:bCs/>
                <w:color w:val="FFFFFF" w:themeColor="background1"/>
                <w:kern w:val="24"/>
                <w:sz w:val="20"/>
                <w:szCs w:val="20"/>
              </w:rPr>
              <w:t>5 Exemplar</w:t>
            </w:r>
          </w:p>
          <w:p w14:paraId="380E270A" w14:textId="77777777" w:rsidR="0012556F" w:rsidRPr="0028518F" w:rsidRDefault="0012556F" w:rsidP="0028518F">
            <w:pPr>
              <w:spacing w:before="48"/>
              <w:jc w:val="left"/>
              <w:textAlignment w:val="baseline"/>
              <w:rPr>
                <w:rFonts w:ascii="Arial" w:hAnsi="Arial" w:cs="Arial"/>
                <w:sz w:val="20"/>
                <w:szCs w:val="20"/>
              </w:rPr>
            </w:pPr>
            <w:r w:rsidRPr="00BE69A3">
              <w:rPr>
                <w:rFonts w:ascii="Arial" w:hAnsi="Arial" w:cs="Arial"/>
                <w:color w:val="FFFFFF" w:themeColor="background1"/>
                <w:kern w:val="24"/>
                <w:sz w:val="20"/>
                <w:szCs w:val="20"/>
              </w:rPr>
              <w:t>Others learning from our consistent achievements</w:t>
            </w:r>
          </w:p>
        </w:tc>
        <w:tc>
          <w:tcPr>
            <w:tcW w:w="7160" w:type="dxa"/>
            <w:tcBorders>
              <w:top w:val="single" w:sz="8" w:space="0" w:color="000000"/>
              <w:left w:val="single" w:sz="8" w:space="0" w:color="000000"/>
              <w:bottom w:val="single" w:sz="18" w:space="0" w:color="000000"/>
              <w:right w:val="single" w:sz="18" w:space="0" w:color="000000"/>
            </w:tcBorders>
            <w:shd w:val="clear" w:color="auto" w:fill="auto"/>
            <w:tcMar>
              <w:top w:w="72" w:type="dxa"/>
              <w:left w:w="144" w:type="dxa"/>
              <w:bottom w:w="72" w:type="dxa"/>
              <w:right w:w="144" w:type="dxa"/>
            </w:tcMar>
            <w:hideMark/>
          </w:tcPr>
          <w:p w14:paraId="11FC87A0" w14:textId="77777777" w:rsidR="0012556F" w:rsidRPr="0028518F" w:rsidRDefault="0012556F" w:rsidP="0028518F">
            <w:pPr>
              <w:spacing w:before="58"/>
              <w:jc w:val="left"/>
              <w:textAlignment w:val="baseline"/>
              <w:rPr>
                <w:rFonts w:ascii="Arial" w:hAnsi="Arial" w:cs="Arial"/>
                <w:sz w:val="20"/>
                <w:szCs w:val="20"/>
              </w:rPr>
            </w:pPr>
            <w:r w:rsidRPr="0028518F">
              <w:rPr>
                <w:rFonts w:ascii="Arial" w:hAnsi="Arial" w:cs="Arial"/>
                <w:color w:val="000000" w:themeColor="text1"/>
                <w:kern w:val="24"/>
                <w:sz w:val="20"/>
                <w:szCs w:val="20"/>
              </w:rPr>
              <w:t>The Health Board’s excels at all criteria, service provision and patient experience is excellent. The Health Board is leading the strategic agenda through the implementation of innovative practice that is shared with other Health Boards and beyond the organisation to others, enabling realisation of long term sustainability.</w:t>
            </w:r>
          </w:p>
        </w:tc>
      </w:tr>
    </w:tbl>
    <w:p w14:paraId="2B97D1BC" w14:textId="77777777" w:rsidR="0012556F" w:rsidRDefault="0012556F" w:rsidP="0012556F">
      <w:pPr>
        <w:pStyle w:val="NormalWeb"/>
        <w:spacing w:before="0" w:beforeAutospacing="0" w:after="0" w:afterAutospacing="0"/>
        <w:rPr>
          <w:rFonts w:asciiTheme="minorHAnsi" w:hAnsiTheme="minorHAnsi" w:cstheme="minorHAnsi"/>
          <w:b/>
          <w:color w:val="000000"/>
        </w:rPr>
      </w:pPr>
    </w:p>
    <w:p w14:paraId="7347B56D" w14:textId="3D559632" w:rsidR="002E49D4" w:rsidRPr="0012556F" w:rsidRDefault="0012556F" w:rsidP="0012556F">
      <w:pPr>
        <w:pStyle w:val="NormalWeb"/>
        <w:spacing w:before="0" w:beforeAutospacing="0" w:after="0" w:afterAutospacing="0"/>
        <w:rPr>
          <w:rFonts w:ascii="Calibri" w:hAnsi="Calibri" w:cs="Tahoma"/>
          <w:szCs w:val="22"/>
        </w:rPr>
      </w:pPr>
      <w:r>
        <w:rPr>
          <w:rFonts w:ascii="Calibri" w:hAnsi="Calibri" w:cs="Tahoma"/>
          <w:szCs w:val="22"/>
        </w:rPr>
        <w:t>A</w:t>
      </w:r>
      <w:r w:rsidR="002E49D4" w:rsidRPr="0012556F">
        <w:rPr>
          <w:rFonts w:ascii="Calibri" w:hAnsi="Calibri" w:cs="Tahoma"/>
          <w:szCs w:val="22"/>
        </w:rPr>
        <w:t xml:space="preserve"> different approach is being actively developed to ensure that the organisation has a culture, mind-set and behaviours that reflect its emerging ambition.</w:t>
      </w:r>
      <w:r w:rsidR="0005472C" w:rsidRPr="0012556F">
        <w:rPr>
          <w:rFonts w:ascii="Calibri" w:hAnsi="Calibri" w:cs="Tahoma"/>
          <w:szCs w:val="22"/>
        </w:rPr>
        <w:t xml:space="preserve"> </w:t>
      </w:r>
      <w:r w:rsidR="002E49D4" w:rsidRPr="0012556F">
        <w:rPr>
          <w:rFonts w:ascii="Calibri" w:hAnsi="Calibri" w:cs="Tahoma"/>
          <w:szCs w:val="22"/>
        </w:rPr>
        <w:t xml:space="preserve"> Our improvement jour</w:t>
      </w:r>
      <w:r w:rsidR="0005472C" w:rsidRPr="0012556F">
        <w:rPr>
          <w:rFonts w:ascii="Calibri" w:hAnsi="Calibri" w:cs="Tahoma"/>
          <w:szCs w:val="22"/>
        </w:rPr>
        <w:t xml:space="preserve">ney is </w:t>
      </w:r>
      <w:r w:rsidR="007327E1" w:rsidRPr="0012556F">
        <w:rPr>
          <w:rFonts w:ascii="Calibri" w:hAnsi="Calibri" w:cs="Tahoma"/>
          <w:szCs w:val="22"/>
        </w:rPr>
        <w:t>underway</w:t>
      </w:r>
      <w:r w:rsidR="0005472C" w:rsidRPr="0012556F">
        <w:rPr>
          <w:rFonts w:ascii="Calibri" w:hAnsi="Calibri" w:cs="Tahoma"/>
          <w:szCs w:val="22"/>
        </w:rPr>
        <w:t xml:space="preserve"> with 10 </w:t>
      </w:r>
      <w:r w:rsidR="002E49D4" w:rsidRPr="0012556F">
        <w:rPr>
          <w:rFonts w:ascii="Calibri" w:hAnsi="Calibri" w:cs="Tahoma"/>
          <w:szCs w:val="22"/>
        </w:rPr>
        <w:t xml:space="preserve">separate but inter-related workstreams, intended to create </w:t>
      </w:r>
      <w:r w:rsidR="00411B9E" w:rsidRPr="0012556F">
        <w:rPr>
          <w:rFonts w:ascii="Calibri" w:hAnsi="Calibri" w:cs="Tahoma"/>
          <w:szCs w:val="22"/>
        </w:rPr>
        <w:t xml:space="preserve">a cohesive </w:t>
      </w:r>
      <w:r w:rsidR="003702FE" w:rsidRPr="0012556F">
        <w:rPr>
          <w:rFonts w:ascii="Calibri" w:hAnsi="Calibri" w:cs="Tahoma"/>
          <w:szCs w:val="22"/>
        </w:rPr>
        <w:t>Health Board</w:t>
      </w:r>
      <w:r w:rsidR="002E49D4" w:rsidRPr="0012556F">
        <w:rPr>
          <w:rFonts w:ascii="Calibri" w:hAnsi="Calibri" w:cs="Tahoma"/>
          <w:szCs w:val="22"/>
        </w:rPr>
        <w:t>,</w:t>
      </w:r>
      <w:r>
        <w:rPr>
          <w:rFonts w:ascii="Calibri" w:hAnsi="Calibri" w:cs="Tahoma"/>
          <w:szCs w:val="22"/>
        </w:rPr>
        <w:t xml:space="preserve"> </w:t>
      </w:r>
      <w:r w:rsidR="002E49D4" w:rsidRPr="0012556F">
        <w:rPr>
          <w:rFonts w:ascii="Calibri" w:hAnsi="Calibri" w:cs="Tahoma"/>
          <w:szCs w:val="22"/>
        </w:rPr>
        <w:t xml:space="preserve">clear on its vision for the future, underpinned by shared values and behaviours, and a strong quality governance framework.  The </w:t>
      </w:r>
      <w:r w:rsidR="00614BBE" w:rsidRPr="0012556F">
        <w:rPr>
          <w:rFonts w:ascii="Calibri" w:hAnsi="Calibri" w:cs="Tahoma"/>
          <w:szCs w:val="22"/>
        </w:rPr>
        <w:t>workstreams</w:t>
      </w:r>
      <w:r w:rsidR="002E49D4" w:rsidRPr="0012556F">
        <w:rPr>
          <w:rFonts w:ascii="Calibri" w:hAnsi="Calibri" w:cs="Tahoma"/>
          <w:szCs w:val="22"/>
        </w:rPr>
        <w:t xml:space="preserve"> include:</w:t>
      </w:r>
    </w:p>
    <w:p w14:paraId="2107FB74" w14:textId="63B31EF9" w:rsidR="002E49D4" w:rsidRPr="0012556F" w:rsidRDefault="002E49D4" w:rsidP="002E49D4">
      <w:pPr>
        <w:pStyle w:val="NormaBullet"/>
        <w:rPr>
          <w:szCs w:val="22"/>
        </w:rPr>
      </w:pPr>
      <w:r w:rsidRPr="0012556F">
        <w:rPr>
          <w:szCs w:val="22"/>
        </w:rPr>
        <w:t xml:space="preserve">Developing and embedding the </w:t>
      </w:r>
      <w:r w:rsidR="00667ED7" w:rsidRPr="0012556F">
        <w:rPr>
          <w:szCs w:val="22"/>
        </w:rPr>
        <w:t xml:space="preserve">Health </w:t>
      </w:r>
      <w:r w:rsidR="00411B9E" w:rsidRPr="0012556F">
        <w:rPr>
          <w:szCs w:val="22"/>
        </w:rPr>
        <w:t>Board</w:t>
      </w:r>
      <w:r w:rsidR="00667ED7" w:rsidRPr="0012556F">
        <w:rPr>
          <w:szCs w:val="22"/>
        </w:rPr>
        <w:t>’s</w:t>
      </w:r>
      <w:r w:rsidRPr="0012556F">
        <w:rPr>
          <w:szCs w:val="22"/>
        </w:rPr>
        <w:t xml:space="preserve"> values and behaviours;</w:t>
      </w:r>
    </w:p>
    <w:p w14:paraId="4A46577F" w14:textId="1F30A3A2" w:rsidR="002E49D4" w:rsidRPr="0012556F" w:rsidRDefault="002E49D4" w:rsidP="002E49D4">
      <w:pPr>
        <w:pStyle w:val="NormaBullet"/>
        <w:rPr>
          <w:szCs w:val="22"/>
        </w:rPr>
      </w:pPr>
      <w:r w:rsidRPr="0012556F">
        <w:rPr>
          <w:szCs w:val="22"/>
        </w:rPr>
        <w:t xml:space="preserve">Developing the </w:t>
      </w:r>
      <w:r w:rsidR="00667ED7" w:rsidRPr="0012556F">
        <w:rPr>
          <w:szCs w:val="22"/>
        </w:rPr>
        <w:t>CTMUHB</w:t>
      </w:r>
      <w:r w:rsidRPr="0012556F">
        <w:rPr>
          <w:szCs w:val="22"/>
        </w:rPr>
        <w:t xml:space="preserve"> vision and mission;</w:t>
      </w:r>
    </w:p>
    <w:p w14:paraId="0797927C" w14:textId="77777777" w:rsidR="002E49D4" w:rsidRPr="0012556F" w:rsidRDefault="002E49D4" w:rsidP="002E49D4">
      <w:pPr>
        <w:pStyle w:val="NormaBullet"/>
        <w:rPr>
          <w:szCs w:val="22"/>
        </w:rPr>
      </w:pPr>
      <w:r w:rsidRPr="0012556F">
        <w:rPr>
          <w:szCs w:val="22"/>
        </w:rPr>
        <w:t>Taking the vision a step further developing the organisation’s long term Integrated Health and Care Strategy;</w:t>
      </w:r>
    </w:p>
    <w:p w14:paraId="5CDB4F60" w14:textId="77777777" w:rsidR="002E49D4" w:rsidRPr="0012556F" w:rsidRDefault="002E49D4" w:rsidP="002E49D4">
      <w:pPr>
        <w:pStyle w:val="NormaBullet"/>
        <w:rPr>
          <w:szCs w:val="22"/>
        </w:rPr>
      </w:pPr>
      <w:r w:rsidRPr="0012556F">
        <w:rPr>
          <w:szCs w:val="22"/>
        </w:rPr>
        <w:t>Establishing a clear Operating Model to enable the organisation to achieve its core purpose, based on agreed design principles;</w:t>
      </w:r>
    </w:p>
    <w:p w14:paraId="6480F5C8" w14:textId="77777777" w:rsidR="002E49D4" w:rsidRPr="0012556F" w:rsidRDefault="002E49D4" w:rsidP="002E49D4">
      <w:pPr>
        <w:pStyle w:val="NormaBullet"/>
        <w:rPr>
          <w:szCs w:val="22"/>
        </w:rPr>
      </w:pPr>
      <w:r w:rsidRPr="0012556F">
        <w:rPr>
          <w:szCs w:val="22"/>
        </w:rPr>
        <w:t>Establishing a Quality Governance Framework and supporting systems (including workforce skills and support) and embedding these throughout the organisation;</w:t>
      </w:r>
    </w:p>
    <w:p w14:paraId="4261E6AD" w14:textId="77777777" w:rsidR="002E49D4" w:rsidRPr="0012556F" w:rsidRDefault="002E49D4" w:rsidP="002E49D4">
      <w:pPr>
        <w:pStyle w:val="NormaBullet"/>
        <w:rPr>
          <w:szCs w:val="22"/>
        </w:rPr>
      </w:pPr>
      <w:r w:rsidRPr="0012556F">
        <w:rPr>
          <w:szCs w:val="22"/>
        </w:rPr>
        <w:t>Reviewing, renewing and embedding the corporate governance framework, processes and systems;</w:t>
      </w:r>
    </w:p>
    <w:p w14:paraId="40DB5FB4" w14:textId="77777777" w:rsidR="002E49D4" w:rsidRPr="0012556F" w:rsidRDefault="002E49D4" w:rsidP="002E49D4">
      <w:pPr>
        <w:pStyle w:val="NormaBullet"/>
        <w:rPr>
          <w:szCs w:val="22"/>
        </w:rPr>
      </w:pPr>
      <w:r w:rsidRPr="0012556F">
        <w:rPr>
          <w:szCs w:val="22"/>
        </w:rPr>
        <w:t>Designing and implementing an involvement and engagement strategy and framework to ensure ongoing two way engagement and involvement with patients, communities, staff and partners;</w:t>
      </w:r>
    </w:p>
    <w:p w14:paraId="3AF34299" w14:textId="0D7AB6CA" w:rsidR="002E49D4" w:rsidRPr="0012556F" w:rsidRDefault="002E49D4" w:rsidP="002E49D4">
      <w:pPr>
        <w:pStyle w:val="NormaBullet"/>
        <w:rPr>
          <w:szCs w:val="22"/>
        </w:rPr>
      </w:pPr>
      <w:r w:rsidRPr="0012556F">
        <w:rPr>
          <w:szCs w:val="22"/>
        </w:rPr>
        <w:t xml:space="preserve">Developing staff capability and capacity for </w:t>
      </w:r>
      <w:r w:rsidR="00614BBE" w:rsidRPr="0012556F">
        <w:rPr>
          <w:szCs w:val="22"/>
        </w:rPr>
        <w:t>improvement, transformation and</w:t>
      </w:r>
      <w:r w:rsidRPr="0012556F">
        <w:rPr>
          <w:szCs w:val="22"/>
        </w:rPr>
        <w:t xml:space="preserve"> making best use of health intelligence</w:t>
      </w:r>
      <w:r w:rsidR="00934CEB" w:rsidRPr="0012556F">
        <w:rPr>
          <w:szCs w:val="22"/>
        </w:rPr>
        <w:t xml:space="preserve"> becoming a digitally enabled UHB</w:t>
      </w:r>
    </w:p>
    <w:p w14:paraId="214EC8FE" w14:textId="77777777" w:rsidR="002E49D4" w:rsidRPr="0012556F" w:rsidRDefault="002E49D4" w:rsidP="002E49D4">
      <w:pPr>
        <w:pStyle w:val="NormaBullet"/>
        <w:rPr>
          <w:szCs w:val="22"/>
        </w:rPr>
      </w:pPr>
      <w:r w:rsidRPr="0012556F">
        <w:rPr>
          <w:szCs w:val="22"/>
        </w:rPr>
        <w:t>Designing and securing leadership and management skills development and continual learning for all staff, and as an organisation; and</w:t>
      </w:r>
    </w:p>
    <w:p w14:paraId="668170D8" w14:textId="77777777" w:rsidR="002E49D4" w:rsidRPr="0012556F" w:rsidRDefault="002E49D4" w:rsidP="002E49D4">
      <w:pPr>
        <w:pStyle w:val="NormaBullet"/>
        <w:rPr>
          <w:szCs w:val="22"/>
        </w:rPr>
      </w:pPr>
      <w:r w:rsidRPr="0012556F">
        <w:rPr>
          <w:szCs w:val="22"/>
        </w:rPr>
        <w:t>Establishing a clear delivery programme to secure sustainability for the organisations fragile services.</w:t>
      </w:r>
    </w:p>
    <w:p w14:paraId="0A14E31A" w14:textId="77777777" w:rsidR="007178A0" w:rsidRPr="00E07712" w:rsidRDefault="007178A0" w:rsidP="007178A0">
      <w:pPr>
        <w:pStyle w:val="Heading2"/>
        <w:rPr>
          <w:szCs w:val="22"/>
        </w:rPr>
      </w:pPr>
      <w:bookmarkStart w:id="15" w:name="_Toc29573930"/>
      <w:r w:rsidRPr="00E07712">
        <w:rPr>
          <w:szCs w:val="22"/>
        </w:rPr>
        <w:t>Values, Vision</w:t>
      </w:r>
      <w:r>
        <w:rPr>
          <w:szCs w:val="22"/>
        </w:rPr>
        <w:t xml:space="preserve"> And Strategic Objectives</w:t>
      </w:r>
      <w:bookmarkEnd w:id="15"/>
    </w:p>
    <w:p w14:paraId="5E5919F6" w14:textId="1245FB05" w:rsidR="007178A0" w:rsidRPr="00931EA6" w:rsidRDefault="007178A0" w:rsidP="007178A0">
      <w:pPr>
        <w:pStyle w:val="NormalWeb"/>
        <w:spacing w:before="0" w:beforeAutospacing="0" w:after="0" w:afterAutospacing="0"/>
        <w:rPr>
          <w:rFonts w:ascii="Calibri" w:hAnsi="Calibri" w:cs="Tahoma"/>
          <w:szCs w:val="22"/>
        </w:rPr>
      </w:pPr>
      <w:r w:rsidRPr="00931EA6">
        <w:rPr>
          <w:rFonts w:ascii="Calibri" w:hAnsi="Calibri" w:cs="Tahoma"/>
          <w:szCs w:val="22"/>
        </w:rPr>
        <w:t xml:space="preserve">In April 2019, the boundary between Cwm Taf University Health Board and Abertawe Bro Morgannwg University Health Board </w:t>
      </w:r>
      <w:r w:rsidR="00962B16">
        <w:rPr>
          <w:rFonts w:ascii="Calibri" w:hAnsi="Calibri" w:cs="Tahoma"/>
          <w:szCs w:val="22"/>
        </w:rPr>
        <w:t xml:space="preserve">(ABMUHB) </w:t>
      </w:r>
      <w:r w:rsidRPr="00931EA6">
        <w:rPr>
          <w:rFonts w:ascii="Calibri" w:hAnsi="Calibri" w:cs="Tahoma"/>
          <w:szCs w:val="22"/>
        </w:rPr>
        <w:t xml:space="preserve">changed resulting in the establishment of </w:t>
      </w:r>
      <w:r w:rsidR="002A3312">
        <w:rPr>
          <w:rFonts w:ascii="Calibri" w:hAnsi="Calibri" w:cs="Tahoma"/>
          <w:szCs w:val="22"/>
        </w:rPr>
        <w:t>CTMUHB</w:t>
      </w:r>
      <w:r>
        <w:rPr>
          <w:rFonts w:ascii="Calibri" w:hAnsi="Calibri" w:cs="Tahoma"/>
          <w:szCs w:val="22"/>
        </w:rPr>
        <w:t xml:space="preserve">. </w:t>
      </w:r>
      <w:r w:rsidRPr="00931EA6">
        <w:rPr>
          <w:rFonts w:ascii="Calibri" w:hAnsi="Calibri" w:cs="Tahoma"/>
          <w:szCs w:val="22"/>
        </w:rPr>
        <w:t xml:space="preserve"> </w:t>
      </w:r>
      <w:r w:rsidR="002317CC">
        <w:rPr>
          <w:rFonts w:ascii="Calibri" w:hAnsi="Calibri" w:cs="Tahoma"/>
          <w:szCs w:val="22"/>
        </w:rPr>
        <w:t xml:space="preserve">To help shape </w:t>
      </w:r>
      <w:r w:rsidR="002317CC" w:rsidRPr="00931EA6">
        <w:rPr>
          <w:rFonts w:ascii="Calibri" w:hAnsi="Calibri" w:cs="Tahoma"/>
          <w:szCs w:val="22"/>
        </w:rPr>
        <w:t>the future direction of the new organisation</w:t>
      </w:r>
      <w:r w:rsidR="002317CC">
        <w:rPr>
          <w:rFonts w:ascii="Calibri" w:hAnsi="Calibri" w:cs="Tahoma"/>
          <w:szCs w:val="22"/>
        </w:rPr>
        <w:t xml:space="preserve">, underpin </w:t>
      </w:r>
      <w:r w:rsidR="002317CC" w:rsidRPr="00931EA6">
        <w:rPr>
          <w:rFonts w:ascii="Calibri" w:hAnsi="Calibri" w:cs="Tahoma"/>
          <w:szCs w:val="22"/>
        </w:rPr>
        <w:t>the</w:t>
      </w:r>
      <w:r w:rsidR="002317CC">
        <w:rPr>
          <w:rFonts w:ascii="Calibri" w:hAnsi="Calibri" w:cs="Tahoma"/>
          <w:szCs w:val="22"/>
        </w:rPr>
        <w:t xml:space="preserve"> developing </w:t>
      </w:r>
      <w:r w:rsidR="002317CC" w:rsidRPr="00931EA6">
        <w:rPr>
          <w:rFonts w:ascii="Calibri" w:hAnsi="Calibri" w:cs="Tahoma"/>
          <w:szCs w:val="22"/>
        </w:rPr>
        <w:t>Integrated Health and Care Strategy</w:t>
      </w:r>
      <w:r w:rsidR="002317CC">
        <w:rPr>
          <w:rFonts w:ascii="Calibri" w:hAnsi="Calibri" w:cs="Tahoma"/>
          <w:szCs w:val="22"/>
        </w:rPr>
        <w:t>, and address the cultural and quality challenges raised, a set of v</w:t>
      </w:r>
      <w:r w:rsidRPr="00931EA6">
        <w:rPr>
          <w:rFonts w:ascii="Calibri" w:hAnsi="Calibri" w:cs="Tahoma"/>
          <w:szCs w:val="22"/>
        </w:rPr>
        <w:t xml:space="preserve">alues and behaviours, a mission, vision and strategic objectives </w:t>
      </w:r>
      <w:r>
        <w:rPr>
          <w:rFonts w:ascii="Calibri" w:hAnsi="Calibri" w:cs="Tahoma"/>
          <w:szCs w:val="22"/>
        </w:rPr>
        <w:t xml:space="preserve">have been developed </w:t>
      </w:r>
      <w:r w:rsidR="00EF4B58">
        <w:rPr>
          <w:rFonts w:ascii="Calibri" w:hAnsi="Calibri" w:cs="Tahoma"/>
          <w:szCs w:val="22"/>
        </w:rPr>
        <w:t>co-p</w:t>
      </w:r>
      <w:r w:rsidR="0009623F">
        <w:rPr>
          <w:rFonts w:ascii="Calibri" w:hAnsi="Calibri" w:cs="Tahoma"/>
          <w:szCs w:val="22"/>
        </w:rPr>
        <w:t xml:space="preserve">roductively with patients and staff. </w:t>
      </w:r>
      <w:r w:rsidRPr="00931EA6">
        <w:rPr>
          <w:rFonts w:ascii="Calibri" w:hAnsi="Calibri" w:cs="Tahoma"/>
          <w:szCs w:val="22"/>
        </w:rPr>
        <w:t xml:space="preserve">. </w:t>
      </w:r>
    </w:p>
    <w:p w14:paraId="1B45D114" w14:textId="77777777" w:rsidR="007178A0" w:rsidRDefault="007178A0" w:rsidP="007178A0">
      <w:pPr>
        <w:pStyle w:val="Heading3"/>
        <w:ind w:left="709" w:hanging="709"/>
        <w:rPr>
          <w:szCs w:val="22"/>
        </w:rPr>
      </w:pPr>
      <w:r>
        <w:rPr>
          <w:szCs w:val="22"/>
        </w:rPr>
        <w:t>Values and Behaviours</w:t>
      </w:r>
    </w:p>
    <w:p w14:paraId="6072B685" w14:textId="10B48B57" w:rsidR="007178A0" w:rsidRPr="000A78FB" w:rsidRDefault="0009623F" w:rsidP="007178A0">
      <w:pPr>
        <w:rPr>
          <w:rFonts w:cs="Calibri"/>
          <w:color w:val="000000"/>
          <w:szCs w:val="22"/>
        </w:rPr>
      </w:pPr>
      <w:r>
        <w:rPr>
          <w:szCs w:val="22"/>
        </w:rPr>
        <w:t xml:space="preserve">An extensive </w:t>
      </w:r>
      <w:r w:rsidR="007178A0" w:rsidRPr="00221F64">
        <w:rPr>
          <w:szCs w:val="22"/>
        </w:rPr>
        <w:t>cultural conversa</w:t>
      </w:r>
      <w:r w:rsidR="007178A0">
        <w:rPr>
          <w:szCs w:val="22"/>
        </w:rPr>
        <w:t>tion</w:t>
      </w:r>
      <w:r w:rsidR="007178A0" w:rsidRPr="00221F64">
        <w:rPr>
          <w:szCs w:val="22"/>
        </w:rPr>
        <w:t xml:space="preserve"> is underway within the </w:t>
      </w:r>
      <w:r w:rsidR="007178A0">
        <w:rPr>
          <w:szCs w:val="22"/>
        </w:rPr>
        <w:t>Health Board</w:t>
      </w:r>
      <w:r w:rsidR="005877B3">
        <w:rPr>
          <w:szCs w:val="22"/>
        </w:rPr>
        <w:t xml:space="preserve"> and with our local population</w:t>
      </w:r>
      <w:r w:rsidR="007178A0">
        <w:rPr>
          <w:szCs w:val="22"/>
        </w:rPr>
        <w:t xml:space="preserve">, </w:t>
      </w:r>
      <w:r w:rsidR="007178A0" w:rsidRPr="000A78FB">
        <w:rPr>
          <w:rFonts w:cs="Calibri"/>
          <w:color w:val="000000"/>
          <w:szCs w:val="22"/>
        </w:rPr>
        <w:t>begin</w:t>
      </w:r>
      <w:r w:rsidR="007178A0">
        <w:rPr>
          <w:rFonts w:cs="Calibri"/>
          <w:color w:val="000000"/>
          <w:szCs w:val="22"/>
        </w:rPr>
        <w:t>ning</w:t>
      </w:r>
      <w:r w:rsidR="007178A0" w:rsidRPr="000A78FB">
        <w:rPr>
          <w:rFonts w:cs="Calibri"/>
          <w:color w:val="000000"/>
          <w:szCs w:val="22"/>
        </w:rPr>
        <w:t xml:space="preserve"> the process of developing a culture that supports and empowers staff and those who use our services to improve their experiences</w:t>
      </w:r>
      <w:r w:rsidR="007178A0">
        <w:rPr>
          <w:rFonts w:cs="Calibri"/>
          <w:color w:val="000000"/>
          <w:szCs w:val="22"/>
        </w:rPr>
        <w:t>.  The</w:t>
      </w:r>
      <w:r w:rsidR="007178A0" w:rsidRPr="000A78FB">
        <w:rPr>
          <w:rFonts w:cs="Calibri"/>
          <w:color w:val="000000"/>
          <w:szCs w:val="22"/>
        </w:rPr>
        <w:t xml:space="preserve"> first phase has been a w</w:t>
      </w:r>
      <w:r w:rsidR="0012556F">
        <w:rPr>
          <w:rFonts w:cs="Calibri"/>
          <w:color w:val="000000"/>
          <w:szCs w:val="22"/>
        </w:rPr>
        <w:t xml:space="preserve">ide reaching engagement process, with over 4000 interactions, </w:t>
      </w:r>
      <w:r w:rsidR="007178A0" w:rsidRPr="000A78FB">
        <w:rPr>
          <w:rFonts w:cs="Calibri"/>
          <w:color w:val="000000"/>
          <w:szCs w:val="22"/>
        </w:rPr>
        <w:t xml:space="preserve">through staff and patient listening workshops and surveys. Following analysis, the insight from this and other reviews </w:t>
      </w:r>
      <w:r w:rsidR="005877B3">
        <w:rPr>
          <w:rFonts w:cs="Calibri"/>
          <w:color w:val="000000"/>
          <w:szCs w:val="22"/>
        </w:rPr>
        <w:t>has</w:t>
      </w:r>
      <w:r w:rsidR="005877B3" w:rsidRPr="000A78FB">
        <w:rPr>
          <w:rFonts w:cs="Calibri"/>
          <w:color w:val="000000"/>
          <w:szCs w:val="22"/>
        </w:rPr>
        <w:t xml:space="preserve"> </w:t>
      </w:r>
      <w:r w:rsidR="007178A0" w:rsidRPr="000A78FB">
        <w:rPr>
          <w:rFonts w:cs="Calibri"/>
          <w:color w:val="000000"/>
          <w:szCs w:val="22"/>
        </w:rPr>
        <w:t>inform</w:t>
      </w:r>
      <w:r w:rsidR="005877B3">
        <w:rPr>
          <w:rFonts w:cs="Calibri"/>
          <w:color w:val="000000"/>
          <w:szCs w:val="22"/>
        </w:rPr>
        <w:t>ed</w:t>
      </w:r>
      <w:r w:rsidR="007178A0" w:rsidRPr="000A78FB">
        <w:rPr>
          <w:rFonts w:cs="Calibri"/>
          <w:color w:val="000000"/>
          <w:szCs w:val="22"/>
        </w:rPr>
        <w:t xml:space="preserve"> the co-creation of a shared set of values and behaviours.</w:t>
      </w:r>
      <w:r w:rsidR="007178A0">
        <w:rPr>
          <w:rFonts w:cs="Calibri"/>
          <w:color w:val="000000"/>
          <w:szCs w:val="22"/>
        </w:rPr>
        <w:t xml:space="preserve">  </w:t>
      </w:r>
      <w:r w:rsidR="007178A0" w:rsidRPr="000A78FB">
        <w:rPr>
          <w:rFonts w:cs="Calibri"/>
          <w:color w:val="000000"/>
          <w:szCs w:val="22"/>
        </w:rPr>
        <w:t>The organisations new values and behaviours framework will be launched in April 2020.</w:t>
      </w:r>
    </w:p>
    <w:p w14:paraId="2BD0E662" w14:textId="77777777" w:rsidR="007178A0" w:rsidRPr="000A78FB" w:rsidRDefault="007178A0" w:rsidP="007178A0">
      <w:pPr>
        <w:pStyle w:val="NormalWeb"/>
        <w:spacing w:before="0" w:beforeAutospacing="0" w:after="0" w:afterAutospacing="0"/>
        <w:rPr>
          <w:rFonts w:ascii="Calibri" w:hAnsi="Calibri" w:cs="Calibri"/>
          <w:color w:val="000000"/>
          <w:szCs w:val="22"/>
        </w:rPr>
      </w:pPr>
    </w:p>
    <w:p w14:paraId="0822FDD2" w14:textId="77777777" w:rsidR="007178A0" w:rsidRPr="000A78FB" w:rsidRDefault="007178A0" w:rsidP="007178A0">
      <w:pPr>
        <w:pStyle w:val="NormalWeb"/>
        <w:spacing w:before="0" w:beforeAutospacing="0" w:after="0" w:afterAutospacing="0"/>
        <w:rPr>
          <w:rFonts w:ascii="Calibri" w:hAnsi="Calibri" w:cs="Calibri"/>
          <w:color w:val="000000"/>
          <w:szCs w:val="22"/>
        </w:rPr>
      </w:pPr>
      <w:r w:rsidRPr="000A78FB">
        <w:rPr>
          <w:rFonts w:ascii="Calibri" w:hAnsi="Calibri" w:cs="Calibri"/>
          <w:color w:val="000000"/>
          <w:szCs w:val="22"/>
        </w:rPr>
        <w:t>Our intention is to:</w:t>
      </w:r>
    </w:p>
    <w:p w14:paraId="05131BCB" w14:textId="491DEA07" w:rsidR="005877B3" w:rsidRPr="005877B3" w:rsidRDefault="005877B3" w:rsidP="005F65CD">
      <w:pPr>
        <w:pStyle w:val="ListParagraph"/>
        <w:numPr>
          <w:ilvl w:val="0"/>
          <w:numId w:val="98"/>
        </w:numPr>
        <w:ind w:left="357" w:hanging="357"/>
        <w:rPr>
          <w:rFonts w:cs="Calibri"/>
          <w:szCs w:val="22"/>
        </w:rPr>
      </w:pPr>
      <w:r>
        <w:rPr>
          <w:rFonts w:cs="Calibri"/>
          <w:szCs w:val="22"/>
        </w:rPr>
        <w:t xml:space="preserve">Acknowledge and address the cultural and behavioural issues identified </w:t>
      </w:r>
    </w:p>
    <w:p w14:paraId="417007F4" w14:textId="77777777" w:rsidR="007178A0" w:rsidRPr="000A78FB" w:rsidRDefault="007178A0" w:rsidP="005F65CD">
      <w:pPr>
        <w:pStyle w:val="ListParagraph"/>
        <w:numPr>
          <w:ilvl w:val="0"/>
          <w:numId w:val="98"/>
        </w:numPr>
        <w:ind w:left="357" w:hanging="357"/>
        <w:rPr>
          <w:rFonts w:cs="Calibri"/>
          <w:szCs w:val="22"/>
        </w:rPr>
      </w:pPr>
      <w:r w:rsidRPr="000A78FB">
        <w:rPr>
          <w:szCs w:val="22"/>
        </w:rPr>
        <w:t>Bring together the best of the former Cwm Taf and Bridgend organisations</w:t>
      </w:r>
    </w:p>
    <w:p w14:paraId="01EDEAFE" w14:textId="77777777" w:rsidR="007178A0" w:rsidRPr="000A78FB" w:rsidRDefault="007178A0" w:rsidP="005F65CD">
      <w:pPr>
        <w:pStyle w:val="ListParagraph"/>
        <w:numPr>
          <w:ilvl w:val="0"/>
          <w:numId w:val="98"/>
        </w:numPr>
        <w:ind w:left="357" w:hanging="357"/>
        <w:rPr>
          <w:szCs w:val="22"/>
        </w:rPr>
      </w:pPr>
      <w:r w:rsidRPr="000A78FB">
        <w:rPr>
          <w:szCs w:val="22"/>
        </w:rPr>
        <w:t>With staff and patients, co-create a shared set of values and behaviours for Cwm Taf Morgannwg</w:t>
      </w:r>
    </w:p>
    <w:p w14:paraId="1F5CD377" w14:textId="77777777" w:rsidR="007178A0" w:rsidRPr="000A78FB" w:rsidRDefault="007178A0" w:rsidP="005F65CD">
      <w:pPr>
        <w:pStyle w:val="ListParagraph"/>
        <w:numPr>
          <w:ilvl w:val="0"/>
          <w:numId w:val="98"/>
        </w:numPr>
        <w:ind w:left="357" w:hanging="357"/>
        <w:rPr>
          <w:szCs w:val="22"/>
        </w:rPr>
      </w:pPr>
      <w:r w:rsidRPr="000A78FB">
        <w:rPr>
          <w:szCs w:val="22"/>
        </w:rPr>
        <w:t>Embed our new values and behaviours in to our strategy, systems and process</w:t>
      </w:r>
    </w:p>
    <w:p w14:paraId="472930C2" w14:textId="77777777" w:rsidR="007178A0" w:rsidRPr="000A78FB" w:rsidRDefault="007178A0" w:rsidP="005F65CD">
      <w:pPr>
        <w:pStyle w:val="ListParagraph"/>
        <w:numPr>
          <w:ilvl w:val="0"/>
          <w:numId w:val="98"/>
        </w:numPr>
        <w:ind w:left="357" w:hanging="357"/>
        <w:rPr>
          <w:szCs w:val="22"/>
        </w:rPr>
      </w:pPr>
      <w:r w:rsidRPr="000A78FB">
        <w:rPr>
          <w:szCs w:val="22"/>
        </w:rPr>
        <w:t>Use our new values and behaviours to inform decision making and underpin the quality of services we provide to our population</w:t>
      </w:r>
    </w:p>
    <w:p w14:paraId="1240599F" w14:textId="77777777" w:rsidR="007178A0" w:rsidRDefault="007178A0" w:rsidP="005F65CD">
      <w:pPr>
        <w:pStyle w:val="ListParagraph"/>
        <w:numPr>
          <w:ilvl w:val="0"/>
          <w:numId w:val="98"/>
        </w:numPr>
        <w:ind w:left="357" w:hanging="357"/>
        <w:rPr>
          <w:szCs w:val="22"/>
        </w:rPr>
      </w:pPr>
      <w:r w:rsidRPr="000A78FB">
        <w:rPr>
          <w:szCs w:val="22"/>
        </w:rPr>
        <w:t>Use our new values and behaviours to shape the culture of the organisation</w:t>
      </w:r>
    </w:p>
    <w:p w14:paraId="49BAE5C1" w14:textId="77777777" w:rsidR="007178A0" w:rsidRDefault="007178A0" w:rsidP="005F65CD">
      <w:pPr>
        <w:pStyle w:val="ListParagraph"/>
        <w:numPr>
          <w:ilvl w:val="0"/>
          <w:numId w:val="98"/>
        </w:numPr>
        <w:ind w:left="357" w:hanging="357"/>
        <w:rPr>
          <w:szCs w:val="22"/>
        </w:rPr>
      </w:pPr>
      <w:r w:rsidRPr="000A78FB">
        <w:rPr>
          <w:szCs w:val="22"/>
        </w:rPr>
        <w:t>Create a compelling, shared cultural narrative</w:t>
      </w:r>
    </w:p>
    <w:p w14:paraId="1BA7D9A0" w14:textId="250D9D92" w:rsidR="005877B3" w:rsidRPr="000A78FB" w:rsidRDefault="005877B3" w:rsidP="005F65CD">
      <w:pPr>
        <w:pStyle w:val="ListParagraph"/>
        <w:numPr>
          <w:ilvl w:val="0"/>
          <w:numId w:val="98"/>
        </w:numPr>
        <w:ind w:left="357" w:hanging="357"/>
        <w:rPr>
          <w:szCs w:val="22"/>
        </w:rPr>
      </w:pPr>
      <w:r>
        <w:rPr>
          <w:szCs w:val="22"/>
        </w:rPr>
        <w:t>Provide reassurance and rebuild trust both within the Health Board and with our local population and stakeholders</w:t>
      </w:r>
    </w:p>
    <w:p w14:paraId="220CF169" w14:textId="77777777" w:rsidR="007178A0" w:rsidRPr="00525EE5" w:rsidRDefault="007178A0" w:rsidP="007178A0">
      <w:pPr>
        <w:pStyle w:val="Heading3"/>
        <w:ind w:left="709" w:hanging="709"/>
        <w:rPr>
          <w:szCs w:val="22"/>
        </w:rPr>
      </w:pPr>
      <w:r>
        <w:rPr>
          <w:szCs w:val="22"/>
        </w:rPr>
        <w:lastRenderedPageBreak/>
        <w:t>Mission, Vision and Strategic Objectives</w:t>
      </w:r>
    </w:p>
    <w:p w14:paraId="659609E1" w14:textId="14B3B4A0" w:rsidR="007178A0" w:rsidRDefault="007178A0" w:rsidP="007178A0">
      <w:pPr>
        <w:shd w:val="clear" w:color="auto" w:fill="FFFFFF"/>
        <w:rPr>
          <w:szCs w:val="22"/>
        </w:rPr>
      </w:pPr>
      <w:r>
        <w:rPr>
          <w:szCs w:val="22"/>
        </w:rPr>
        <w:t xml:space="preserve">The Health Board is not starting from a blank piece of paper in developing a mission, vision and strategic objectives.  There is rich information from work underway to deliver the Well-being of Future Generations Act, the Social Service and Well-Being Act and ‘A Healthier Wales: Our Plan for Health and Social Care’.  </w:t>
      </w:r>
      <w:r w:rsidR="00614BBE">
        <w:rPr>
          <w:szCs w:val="22"/>
        </w:rPr>
        <w:t>C</w:t>
      </w:r>
      <w:r>
        <w:rPr>
          <w:szCs w:val="22"/>
        </w:rPr>
        <w:t xml:space="preserve">onversations with staff and partners to inform the Bridgend Boundary Change, the feedback from recent independent reviews including from Royal Colleges, the NHS </w:t>
      </w:r>
      <w:r w:rsidR="00614BBE">
        <w:rPr>
          <w:szCs w:val="22"/>
        </w:rPr>
        <w:t>DU</w:t>
      </w:r>
      <w:r>
        <w:rPr>
          <w:szCs w:val="22"/>
        </w:rPr>
        <w:t xml:space="preserve">, HIW and </w:t>
      </w:r>
      <w:r w:rsidR="00026E19">
        <w:rPr>
          <w:szCs w:val="22"/>
        </w:rPr>
        <w:t xml:space="preserve">WAO </w:t>
      </w:r>
      <w:r>
        <w:rPr>
          <w:szCs w:val="22"/>
        </w:rPr>
        <w:t>reports and the learning gathered from public engagement and patient concerns, can all be used to inform the future ambition of the organisation.</w:t>
      </w:r>
    </w:p>
    <w:p w14:paraId="4805FA8B" w14:textId="72DE177E" w:rsidR="007178A0" w:rsidRDefault="007178A0" w:rsidP="007178A0">
      <w:pPr>
        <w:shd w:val="clear" w:color="auto" w:fill="FFFFFF"/>
        <w:rPr>
          <w:szCs w:val="22"/>
        </w:rPr>
      </w:pPr>
    </w:p>
    <w:p w14:paraId="707E5AD5" w14:textId="62F81526" w:rsidR="007178A0" w:rsidRDefault="00E742F7" w:rsidP="007178A0">
      <w:pPr>
        <w:rPr>
          <w:szCs w:val="22"/>
        </w:rPr>
      </w:pPr>
      <w:r>
        <w:rPr>
          <w:noProof/>
        </w:rPr>
        <w:drawing>
          <wp:anchor distT="0" distB="0" distL="114300" distR="114300" simplePos="0" relativeHeight="252839936" behindDoc="0" locked="0" layoutInCell="1" allowOverlap="1" wp14:anchorId="72BCD3AB" wp14:editId="525D0194">
            <wp:simplePos x="0" y="0"/>
            <wp:positionH relativeFrom="margin">
              <wp:align>left</wp:align>
            </wp:positionH>
            <wp:positionV relativeFrom="paragraph">
              <wp:posOffset>140335</wp:posOffset>
            </wp:positionV>
            <wp:extent cx="939800" cy="948055"/>
            <wp:effectExtent l="0" t="0" r="0" b="4445"/>
            <wp:wrapSquare wrapText="bothSides"/>
            <wp:docPr id="4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939800" cy="94805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Pr>
          <w:noProof/>
          <w:szCs w:val="22"/>
        </w:rPr>
        <w:drawing>
          <wp:anchor distT="0" distB="0" distL="114300" distR="114300" simplePos="0" relativeHeight="252887040" behindDoc="0" locked="0" layoutInCell="1" allowOverlap="1" wp14:anchorId="60C6AB05" wp14:editId="625035B5">
            <wp:simplePos x="0" y="0"/>
            <wp:positionH relativeFrom="margin">
              <wp:align>right</wp:align>
            </wp:positionH>
            <wp:positionV relativeFrom="paragraph">
              <wp:posOffset>8255</wp:posOffset>
            </wp:positionV>
            <wp:extent cx="2138680" cy="1356360"/>
            <wp:effectExtent l="0" t="0" r="0" b="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38680" cy="1356360"/>
                    </a:xfrm>
                    <a:prstGeom prst="rect">
                      <a:avLst/>
                    </a:prstGeom>
                    <a:noFill/>
                  </pic:spPr>
                </pic:pic>
              </a:graphicData>
            </a:graphic>
            <wp14:sizeRelH relativeFrom="margin">
              <wp14:pctWidth>0</wp14:pctWidth>
            </wp14:sizeRelH>
            <wp14:sizeRelV relativeFrom="margin">
              <wp14:pctHeight>0</wp14:pctHeight>
            </wp14:sizeRelV>
          </wp:anchor>
        </w:drawing>
      </w:r>
      <w:r w:rsidR="007178A0">
        <w:rPr>
          <w:szCs w:val="22"/>
        </w:rPr>
        <w:t xml:space="preserve">A key milestone for the organisation is the agreement of a mission and vision, whilst ensuring a balanced </w:t>
      </w:r>
      <w:r w:rsidR="007178A0" w:rsidRPr="00861351">
        <w:rPr>
          <w:szCs w:val="22"/>
        </w:rPr>
        <w:t>approach</w:t>
      </w:r>
      <w:r w:rsidR="007178A0">
        <w:rPr>
          <w:szCs w:val="22"/>
        </w:rPr>
        <w:t xml:space="preserve"> to the development of </w:t>
      </w:r>
      <w:r w:rsidR="007178A0" w:rsidRPr="00861351">
        <w:rPr>
          <w:szCs w:val="22"/>
        </w:rPr>
        <w:t>strategic objectives</w:t>
      </w:r>
      <w:r w:rsidR="007178A0">
        <w:rPr>
          <w:szCs w:val="22"/>
        </w:rPr>
        <w:t>.</w:t>
      </w:r>
    </w:p>
    <w:p w14:paraId="65B57D9E" w14:textId="506CFD91" w:rsidR="007178A0" w:rsidRDefault="007178A0" w:rsidP="007178A0">
      <w:pPr>
        <w:rPr>
          <w:szCs w:val="22"/>
        </w:rPr>
      </w:pPr>
    </w:p>
    <w:p w14:paraId="7247D698" w14:textId="4E041E36" w:rsidR="007178A0" w:rsidRDefault="007178A0" w:rsidP="00183686">
      <w:pPr>
        <w:rPr>
          <w:szCs w:val="22"/>
        </w:rPr>
      </w:pPr>
      <w:r>
        <w:rPr>
          <w:szCs w:val="22"/>
        </w:rPr>
        <w:t xml:space="preserve">The </w:t>
      </w:r>
      <w:r w:rsidR="000F62E2">
        <w:rPr>
          <w:szCs w:val="22"/>
        </w:rPr>
        <w:t>strategic</w:t>
      </w:r>
      <w:r>
        <w:rPr>
          <w:szCs w:val="22"/>
        </w:rPr>
        <w:t xml:space="preserve"> objectives </w:t>
      </w:r>
      <w:r w:rsidR="000F62E2">
        <w:rPr>
          <w:szCs w:val="22"/>
        </w:rPr>
        <w:t>of the organisation</w:t>
      </w:r>
      <w:r>
        <w:rPr>
          <w:szCs w:val="22"/>
        </w:rPr>
        <w:t xml:space="preserve"> have be</w:t>
      </w:r>
      <w:r w:rsidR="000F62E2">
        <w:rPr>
          <w:szCs w:val="22"/>
        </w:rPr>
        <w:t>e</w:t>
      </w:r>
      <w:r>
        <w:rPr>
          <w:szCs w:val="22"/>
        </w:rPr>
        <w:t xml:space="preserve">n developed in such a way </w:t>
      </w:r>
      <w:r w:rsidR="00183686">
        <w:rPr>
          <w:szCs w:val="22"/>
        </w:rPr>
        <w:t>t</w:t>
      </w:r>
      <w:r w:rsidR="000F62E2">
        <w:rPr>
          <w:szCs w:val="22"/>
        </w:rPr>
        <w:t xml:space="preserve">hat they can also be considered our </w:t>
      </w:r>
      <w:r w:rsidRPr="00861351">
        <w:rPr>
          <w:szCs w:val="22"/>
        </w:rPr>
        <w:t>well-being objectives</w:t>
      </w:r>
      <w:r>
        <w:rPr>
          <w:szCs w:val="22"/>
        </w:rPr>
        <w:t>.</w:t>
      </w:r>
    </w:p>
    <w:p w14:paraId="2DDEDA93" w14:textId="77777777" w:rsidR="000F62E2" w:rsidRDefault="000F62E2" w:rsidP="007178A0">
      <w:pPr>
        <w:shd w:val="clear" w:color="auto" w:fill="FFFFFF"/>
        <w:rPr>
          <w:szCs w:val="22"/>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1413"/>
        <w:gridCol w:w="8555"/>
      </w:tblGrid>
      <w:tr w:rsidR="007178A0" w14:paraId="4B06AEA3" w14:textId="77777777" w:rsidTr="00183686">
        <w:tc>
          <w:tcPr>
            <w:tcW w:w="1413" w:type="dxa"/>
            <w:vAlign w:val="center"/>
          </w:tcPr>
          <w:p w14:paraId="3081DAA5" w14:textId="505905B0" w:rsidR="007178A0" w:rsidRPr="00557AE1" w:rsidRDefault="007178A0" w:rsidP="00183686">
            <w:pPr>
              <w:spacing w:before="120" w:after="120"/>
              <w:jc w:val="left"/>
              <w:rPr>
                <w:sz w:val="22"/>
                <w:szCs w:val="22"/>
              </w:rPr>
            </w:pPr>
            <w:r w:rsidRPr="00557AE1">
              <w:rPr>
                <w:sz w:val="22"/>
                <w:szCs w:val="22"/>
              </w:rPr>
              <w:t>Mission</w:t>
            </w:r>
          </w:p>
        </w:tc>
        <w:tc>
          <w:tcPr>
            <w:tcW w:w="8555" w:type="dxa"/>
            <w:vAlign w:val="center"/>
          </w:tcPr>
          <w:p w14:paraId="248986D7" w14:textId="1A141989" w:rsidR="007178A0" w:rsidRPr="00557AE1" w:rsidRDefault="00E742F7" w:rsidP="00183686">
            <w:pPr>
              <w:spacing w:before="120" w:after="120"/>
              <w:jc w:val="left"/>
              <w:rPr>
                <w:sz w:val="22"/>
                <w:szCs w:val="22"/>
              </w:rPr>
            </w:pPr>
            <w:r>
              <w:rPr>
                <w:sz w:val="22"/>
                <w:szCs w:val="22"/>
              </w:rPr>
              <w:t>Building Healthier Communities Together</w:t>
            </w:r>
          </w:p>
        </w:tc>
      </w:tr>
      <w:tr w:rsidR="007178A0" w14:paraId="3594571A" w14:textId="77777777" w:rsidTr="00183686">
        <w:tc>
          <w:tcPr>
            <w:tcW w:w="1413" w:type="dxa"/>
            <w:vAlign w:val="center"/>
          </w:tcPr>
          <w:p w14:paraId="5A6681F6" w14:textId="77777777" w:rsidR="007178A0" w:rsidRPr="00557AE1" w:rsidRDefault="007178A0" w:rsidP="00183686">
            <w:pPr>
              <w:spacing w:before="120" w:after="120"/>
              <w:jc w:val="left"/>
              <w:rPr>
                <w:sz w:val="22"/>
                <w:szCs w:val="22"/>
              </w:rPr>
            </w:pPr>
            <w:r w:rsidRPr="00557AE1">
              <w:rPr>
                <w:sz w:val="22"/>
                <w:szCs w:val="22"/>
              </w:rPr>
              <w:t>Vision</w:t>
            </w:r>
          </w:p>
        </w:tc>
        <w:tc>
          <w:tcPr>
            <w:tcW w:w="8555" w:type="dxa"/>
            <w:vAlign w:val="center"/>
          </w:tcPr>
          <w:p w14:paraId="45179AA4" w14:textId="3884BBFF" w:rsidR="000F62E2" w:rsidRPr="00557AE1" w:rsidRDefault="00A2199F" w:rsidP="00183686">
            <w:pPr>
              <w:spacing w:before="120" w:after="120"/>
              <w:jc w:val="left"/>
              <w:rPr>
                <w:sz w:val="22"/>
                <w:szCs w:val="22"/>
              </w:rPr>
            </w:pPr>
            <w:r>
              <w:rPr>
                <w:sz w:val="22"/>
                <w:szCs w:val="22"/>
              </w:rPr>
              <w:t>In every community</w:t>
            </w:r>
            <w:r w:rsidR="007178A0" w:rsidRPr="00557AE1">
              <w:rPr>
                <w:sz w:val="22"/>
                <w:szCs w:val="22"/>
              </w:rPr>
              <w:t xml:space="preserve"> people begin, live and end life well, feeling involved in their health and care choices </w:t>
            </w:r>
          </w:p>
        </w:tc>
      </w:tr>
      <w:tr w:rsidR="007178A0" w14:paraId="55420BB8" w14:textId="77777777" w:rsidTr="00183686">
        <w:tc>
          <w:tcPr>
            <w:tcW w:w="1413" w:type="dxa"/>
            <w:vAlign w:val="center"/>
          </w:tcPr>
          <w:p w14:paraId="16DE4BE7" w14:textId="388AF90B" w:rsidR="007178A0" w:rsidRPr="00557AE1" w:rsidRDefault="007178A0" w:rsidP="00183686">
            <w:pPr>
              <w:spacing w:before="120" w:after="120"/>
              <w:jc w:val="left"/>
              <w:rPr>
                <w:sz w:val="22"/>
                <w:szCs w:val="22"/>
              </w:rPr>
            </w:pPr>
            <w:r w:rsidRPr="00557AE1">
              <w:rPr>
                <w:sz w:val="22"/>
                <w:szCs w:val="22"/>
              </w:rPr>
              <w:t xml:space="preserve">Strategic </w:t>
            </w:r>
            <w:r w:rsidR="00943296" w:rsidRPr="00557AE1">
              <w:rPr>
                <w:sz w:val="22"/>
                <w:szCs w:val="22"/>
              </w:rPr>
              <w:t xml:space="preserve">Well-being </w:t>
            </w:r>
            <w:r w:rsidRPr="00557AE1">
              <w:rPr>
                <w:sz w:val="22"/>
                <w:szCs w:val="22"/>
              </w:rPr>
              <w:t>Objectives</w:t>
            </w:r>
          </w:p>
        </w:tc>
        <w:tc>
          <w:tcPr>
            <w:tcW w:w="8555" w:type="dxa"/>
            <w:vAlign w:val="center"/>
          </w:tcPr>
          <w:p w14:paraId="7D20E622" w14:textId="10244FA6" w:rsidR="007178A0" w:rsidRPr="00557AE1" w:rsidRDefault="007178A0" w:rsidP="00F60A35">
            <w:pPr>
              <w:pStyle w:val="ListParagraph"/>
              <w:numPr>
                <w:ilvl w:val="0"/>
                <w:numId w:val="74"/>
              </w:numPr>
              <w:spacing w:before="120" w:after="120"/>
              <w:ind w:left="312" w:hanging="357"/>
              <w:jc w:val="left"/>
              <w:rPr>
                <w:sz w:val="22"/>
                <w:szCs w:val="22"/>
              </w:rPr>
            </w:pPr>
            <w:r w:rsidRPr="00557AE1">
              <w:rPr>
                <w:sz w:val="22"/>
                <w:szCs w:val="22"/>
              </w:rPr>
              <w:t xml:space="preserve">Work with </w:t>
            </w:r>
            <w:r w:rsidR="00E742F7" w:rsidRPr="00557AE1">
              <w:rPr>
                <w:sz w:val="22"/>
                <w:szCs w:val="22"/>
              </w:rPr>
              <w:t xml:space="preserve">communities </w:t>
            </w:r>
            <w:r w:rsidR="00E742F7">
              <w:rPr>
                <w:sz w:val="22"/>
                <w:szCs w:val="22"/>
              </w:rPr>
              <w:t xml:space="preserve">and </w:t>
            </w:r>
            <w:r w:rsidRPr="00557AE1">
              <w:rPr>
                <w:sz w:val="22"/>
                <w:szCs w:val="22"/>
              </w:rPr>
              <w:t>partners to reduce inequality, promote well-being and prevent ill-health</w:t>
            </w:r>
            <w:r w:rsidR="00557AE1">
              <w:rPr>
                <w:sz w:val="22"/>
                <w:szCs w:val="22"/>
              </w:rPr>
              <w:t>.</w:t>
            </w:r>
          </w:p>
          <w:p w14:paraId="2AB85951" w14:textId="35847F5C" w:rsidR="007178A0" w:rsidRPr="00557AE1" w:rsidRDefault="007178A0" w:rsidP="00F60A35">
            <w:pPr>
              <w:pStyle w:val="ListParagraph"/>
              <w:numPr>
                <w:ilvl w:val="0"/>
                <w:numId w:val="74"/>
              </w:numPr>
              <w:spacing w:before="120" w:after="120"/>
              <w:ind w:left="312" w:hanging="357"/>
              <w:jc w:val="left"/>
              <w:rPr>
                <w:sz w:val="22"/>
                <w:szCs w:val="22"/>
              </w:rPr>
            </w:pPr>
            <w:r w:rsidRPr="00557AE1">
              <w:rPr>
                <w:sz w:val="22"/>
                <w:szCs w:val="22"/>
              </w:rPr>
              <w:t xml:space="preserve">Provide high quality, </w:t>
            </w:r>
            <w:r w:rsidR="00557AE1">
              <w:rPr>
                <w:sz w:val="22"/>
                <w:szCs w:val="22"/>
              </w:rPr>
              <w:t xml:space="preserve">evidence based, </w:t>
            </w:r>
            <w:r w:rsidR="00AE0C07">
              <w:rPr>
                <w:sz w:val="22"/>
                <w:szCs w:val="22"/>
              </w:rPr>
              <w:t>and accessible</w:t>
            </w:r>
            <w:r w:rsidR="00557AE1">
              <w:rPr>
                <w:sz w:val="22"/>
                <w:szCs w:val="22"/>
              </w:rPr>
              <w:t xml:space="preserve"> care.</w:t>
            </w:r>
          </w:p>
          <w:p w14:paraId="1A6D94D7" w14:textId="21637A30" w:rsidR="000F62E2" w:rsidRPr="00557AE1" w:rsidRDefault="000F62E2" w:rsidP="00F60A35">
            <w:pPr>
              <w:pStyle w:val="ListParagraph"/>
              <w:numPr>
                <w:ilvl w:val="0"/>
                <w:numId w:val="74"/>
              </w:numPr>
              <w:spacing w:before="120" w:after="120"/>
              <w:ind w:left="312" w:hanging="357"/>
              <w:jc w:val="left"/>
              <w:rPr>
                <w:sz w:val="22"/>
                <w:szCs w:val="22"/>
              </w:rPr>
            </w:pPr>
            <w:r w:rsidRPr="00557AE1">
              <w:rPr>
                <w:sz w:val="22"/>
                <w:szCs w:val="22"/>
              </w:rPr>
              <w:t xml:space="preserve">Ensure sustainability in all that we do, economically, </w:t>
            </w:r>
            <w:r w:rsidR="00557AE1">
              <w:rPr>
                <w:sz w:val="22"/>
                <w:szCs w:val="22"/>
              </w:rPr>
              <w:t>environmentally and socially.</w:t>
            </w:r>
          </w:p>
          <w:p w14:paraId="6D6EF88C" w14:textId="5C105397" w:rsidR="000F62E2" w:rsidRPr="00557AE1" w:rsidRDefault="000F62E2" w:rsidP="00E742F7">
            <w:pPr>
              <w:pStyle w:val="ListParagraph"/>
              <w:numPr>
                <w:ilvl w:val="0"/>
                <w:numId w:val="74"/>
              </w:numPr>
              <w:spacing w:before="120" w:after="120"/>
              <w:ind w:left="312" w:hanging="357"/>
              <w:jc w:val="left"/>
              <w:rPr>
                <w:sz w:val="22"/>
                <w:szCs w:val="22"/>
              </w:rPr>
            </w:pPr>
            <w:r w:rsidRPr="00557AE1">
              <w:rPr>
                <w:sz w:val="22"/>
                <w:szCs w:val="22"/>
              </w:rPr>
              <w:t xml:space="preserve">Co-create with </w:t>
            </w:r>
            <w:r w:rsidR="00E742F7">
              <w:rPr>
                <w:sz w:val="22"/>
                <w:szCs w:val="22"/>
              </w:rPr>
              <w:t xml:space="preserve">staff and </w:t>
            </w:r>
            <w:r w:rsidRPr="00557AE1">
              <w:rPr>
                <w:sz w:val="22"/>
                <w:szCs w:val="22"/>
              </w:rPr>
              <w:t>partners a learning and growing culture.</w:t>
            </w:r>
          </w:p>
        </w:tc>
      </w:tr>
    </w:tbl>
    <w:p w14:paraId="2BC5FD20" w14:textId="33719BF3" w:rsidR="00074CEA" w:rsidRPr="00E07712" w:rsidRDefault="00074CEA" w:rsidP="000F62E2">
      <w:pPr>
        <w:pStyle w:val="Heading3"/>
      </w:pPr>
      <w:r>
        <w:t>D</w:t>
      </w:r>
      <w:r w:rsidR="00A32A85">
        <w:t>elivering For The Well-Being of Future Generations</w:t>
      </w:r>
    </w:p>
    <w:p w14:paraId="1580CBE6" w14:textId="45881C41" w:rsidR="007B6DC3" w:rsidRDefault="00943296" w:rsidP="00074CEA">
      <w:pPr>
        <w:rPr>
          <w:szCs w:val="22"/>
        </w:rPr>
      </w:pPr>
      <w:bookmarkStart w:id="16" w:name="_Toc532299668"/>
      <w:bookmarkStart w:id="17" w:name="_Toc532463943"/>
      <w:bookmarkStart w:id="18" w:name="_Toc536195545"/>
      <w:bookmarkEnd w:id="13"/>
      <w:r>
        <w:rPr>
          <w:rFonts w:ascii="Verdana" w:hAnsi="Verdana"/>
          <w:noProof/>
        </w:rPr>
        <w:drawing>
          <wp:anchor distT="0" distB="0" distL="114300" distR="114300" simplePos="0" relativeHeight="252889088" behindDoc="0" locked="0" layoutInCell="1" allowOverlap="1" wp14:anchorId="508D3211" wp14:editId="5243334D">
            <wp:simplePos x="0" y="0"/>
            <wp:positionH relativeFrom="margin">
              <wp:posOffset>3341370</wp:posOffset>
            </wp:positionH>
            <wp:positionV relativeFrom="paragraph">
              <wp:posOffset>414020</wp:posOffset>
            </wp:positionV>
            <wp:extent cx="2993390" cy="1793875"/>
            <wp:effectExtent l="0" t="0" r="0" b="0"/>
            <wp:wrapSquare wrapText="bothSides"/>
            <wp:docPr id="1810" name="Picture 1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93390" cy="1793875"/>
                    </a:xfrm>
                    <a:prstGeom prst="rect">
                      <a:avLst/>
                    </a:prstGeom>
                    <a:noFill/>
                  </pic:spPr>
                </pic:pic>
              </a:graphicData>
            </a:graphic>
            <wp14:sizeRelH relativeFrom="page">
              <wp14:pctWidth>0</wp14:pctWidth>
            </wp14:sizeRelH>
            <wp14:sizeRelV relativeFrom="page">
              <wp14:pctHeight>0</wp14:pctHeight>
            </wp14:sizeRelV>
          </wp:anchor>
        </w:drawing>
      </w:r>
      <w:r w:rsidR="007B6DC3">
        <w:rPr>
          <w:szCs w:val="22"/>
        </w:rPr>
        <w:t xml:space="preserve">Whilst </w:t>
      </w:r>
      <w:r w:rsidR="007B6DC3" w:rsidRPr="00624A8C">
        <w:rPr>
          <w:rFonts w:asciiTheme="minorHAnsi" w:hAnsiTheme="minorHAnsi" w:cstheme="minorHAnsi"/>
          <w:b/>
          <w:color w:val="000000"/>
        </w:rPr>
        <w:t xml:space="preserve">Annex </w:t>
      </w:r>
      <w:r w:rsidR="00624A8C" w:rsidRPr="00624A8C">
        <w:rPr>
          <w:rFonts w:asciiTheme="minorHAnsi" w:hAnsiTheme="minorHAnsi" w:cstheme="minorHAnsi"/>
          <w:b/>
          <w:color w:val="000000"/>
        </w:rPr>
        <w:t>2</w:t>
      </w:r>
      <w:r w:rsidR="007B6DC3" w:rsidRPr="00525EE5">
        <w:rPr>
          <w:szCs w:val="22"/>
        </w:rPr>
        <w:t xml:space="preserve"> </w:t>
      </w:r>
      <w:r w:rsidR="007B6DC3">
        <w:rPr>
          <w:szCs w:val="22"/>
        </w:rPr>
        <w:t>contains examples of how the Well-Being of Future Generations Sustainable Development P</w:t>
      </w:r>
      <w:r>
        <w:rPr>
          <w:szCs w:val="22"/>
        </w:rPr>
        <w:t xml:space="preserve">rinciple is being applied across the </w:t>
      </w:r>
      <w:r w:rsidR="004F0D38">
        <w:rPr>
          <w:szCs w:val="22"/>
        </w:rPr>
        <w:t>UHB</w:t>
      </w:r>
      <w:r>
        <w:rPr>
          <w:szCs w:val="22"/>
        </w:rPr>
        <w:t xml:space="preserve">, it underpins the planning and delivery of the </w:t>
      </w:r>
      <w:r w:rsidR="004F0D38">
        <w:rPr>
          <w:szCs w:val="22"/>
        </w:rPr>
        <w:t>UHB</w:t>
      </w:r>
      <w:r>
        <w:rPr>
          <w:szCs w:val="22"/>
        </w:rPr>
        <w:t xml:space="preserve"> through the objectives set out above.</w:t>
      </w:r>
    </w:p>
    <w:p w14:paraId="1F236CE2" w14:textId="79064F1B" w:rsidR="00943296" w:rsidRDefault="00943296" w:rsidP="00074CEA">
      <w:pPr>
        <w:rPr>
          <w:szCs w:val="22"/>
        </w:rPr>
      </w:pPr>
    </w:p>
    <w:p w14:paraId="145B7EB4" w14:textId="2B9D21F7" w:rsidR="00943296" w:rsidRDefault="00943296" w:rsidP="00074CEA">
      <w:pPr>
        <w:rPr>
          <w:szCs w:val="22"/>
        </w:rPr>
      </w:pPr>
      <w:r>
        <w:rPr>
          <w:szCs w:val="22"/>
        </w:rPr>
        <w:t xml:space="preserve">In addition, </w:t>
      </w:r>
      <w:r w:rsidR="004F0D38">
        <w:rPr>
          <w:szCs w:val="22"/>
        </w:rPr>
        <w:t>CTMUHB</w:t>
      </w:r>
      <w:r>
        <w:rPr>
          <w:szCs w:val="22"/>
        </w:rPr>
        <w:t xml:space="preserve"> </w:t>
      </w:r>
      <w:r w:rsidR="00557AE1">
        <w:rPr>
          <w:szCs w:val="22"/>
        </w:rPr>
        <w:t xml:space="preserve">continues its commitment </w:t>
      </w:r>
      <w:r>
        <w:rPr>
          <w:szCs w:val="22"/>
        </w:rPr>
        <w:t xml:space="preserve">to decarbonisation and biodiversity and </w:t>
      </w:r>
      <w:r w:rsidRPr="00943296">
        <w:rPr>
          <w:szCs w:val="22"/>
        </w:rPr>
        <w:t xml:space="preserve">will continue to maintain and build on current success with its year on year reduction in energy and carbon emissions.  </w:t>
      </w:r>
      <w:r>
        <w:rPr>
          <w:szCs w:val="22"/>
        </w:rPr>
        <w:t>O</w:t>
      </w:r>
      <w:r w:rsidRPr="00943296">
        <w:rPr>
          <w:szCs w:val="22"/>
        </w:rPr>
        <w:t xml:space="preserve">pportunities </w:t>
      </w:r>
      <w:r>
        <w:rPr>
          <w:szCs w:val="22"/>
        </w:rPr>
        <w:t xml:space="preserve">will be </w:t>
      </w:r>
      <w:r w:rsidRPr="00943296">
        <w:rPr>
          <w:szCs w:val="22"/>
        </w:rPr>
        <w:t xml:space="preserve">taken through the Green Growth programme to further reduce energy consumption and review </w:t>
      </w:r>
      <w:r>
        <w:rPr>
          <w:szCs w:val="22"/>
        </w:rPr>
        <w:t>renewable energy opportunities.</w:t>
      </w:r>
    </w:p>
    <w:p w14:paraId="74775396" w14:textId="77777777" w:rsidR="00557AE1" w:rsidRDefault="00557AE1" w:rsidP="00074CEA">
      <w:pPr>
        <w:rPr>
          <w:szCs w:val="22"/>
        </w:rPr>
      </w:pPr>
    </w:p>
    <w:p w14:paraId="20CE93D6" w14:textId="63117D9F" w:rsidR="00557AE1" w:rsidRDefault="00557AE1" w:rsidP="00074CEA">
      <w:pPr>
        <w:rPr>
          <w:szCs w:val="22"/>
        </w:rPr>
      </w:pPr>
      <w:r>
        <w:rPr>
          <w:szCs w:val="22"/>
        </w:rPr>
        <w:t xml:space="preserve">The </w:t>
      </w:r>
      <w:r w:rsidR="004F0D38">
        <w:rPr>
          <w:szCs w:val="22"/>
        </w:rPr>
        <w:t>UHBs</w:t>
      </w:r>
      <w:r>
        <w:rPr>
          <w:szCs w:val="22"/>
        </w:rPr>
        <w:t xml:space="preserve"> </w:t>
      </w:r>
      <w:r w:rsidRPr="00557AE1">
        <w:rPr>
          <w:szCs w:val="22"/>
        </w:rPr>
        <w:t xml:space="preserve">grounds and gardens contract and service specification </w:t>
      </w:r>
      <w:r>
        <w:rPr>
          <w:szCs w:val="22"/>
        </w:rPr>
        <w:t>requires</w:t>
      </w:r>
      <w:r w:rsidRPr="00557AE1">
        <w:rPr>
          <w:szCs w:val="22"/>
        </w:rPr>
        <w:t xml:space="preserve"> consideration to promoting biodiversity and ecosystems in </w:t>
      </w:r>
      <w:r>
        <w:rPr>
          <w:szCs w:val="22"/>
        </w:rPr>
        <w:t xml:space="preserve">the grounds at all our sites.  </w:t>
      </w:r>
      <w:r w:rsidRPr="00557AE1">
        <w:rPr>
          <w:szCs w:val="22"/>
        </w:rPr>
        <w:t xml:space="preserve">This reduced the frequency and the amount of grass cutting right across the Estate.   The aim being to encourage pollinators, insects and native flowering plants and trees.   </w:t>
      </w:r>
      <w:r>
        <w:rPr>
          <w:szCs w:val="22"/>
        </w:rPr>
        <w:t xml:space="preserve">The </w:t>
      </w:r>
      <w:r w:rsidR="004F0D38">
        <w:rPr>
          <w:szCs w:val="22"/>
        </w:rPr>
        <w:t>UHB</w:t>
      </w:r>
      <w:r>
        <w:rPr>
          <w:szCs w:val="22"/>
        </w:rPr>
        <w:t xml:space="preserve"> </w:t>
      </w:r>
      <w:r w:rsidRPr="00557AE1">
        <w:rPr>
          <w:szCs w:val="22"/>
        </w:rPr>
        <w:t>will continue to build on its recent (July 2019) ISO 14001:15 environmental management external audits success.</w:t>
      </w:r>
    </w:p>
    <w:p w14:paraId="49432220" w14:textId="77777777" w:rsidR="00557AE1" w:rsidRDefault="00557AE1" w:rsidP="00074CEA">
      <w:pPr>
        <w:rPr>
          <w:szCs w:val="22"/>
        </w:rPr>
      </w:pPr>
    </w:p>
    <w:p w14:paraId="65CD0985" w14:textId="5CA1EFA2" w:rsidR="00557AE1" w:rsidRPr="00557AE1" w:rsidRDefault="00557AE1" w:rsidP="00557AE1">
      <w:pPr>
        <w:autoSpaceDE w:val="0"/>
        <w:autoSpaceDN w:val="0"/>
        <w:adjustRightInd w:val="0"/>
        <w:rPr>
          <w:i/>
          <w:szCs w:val="22"/>
        </w:rPr>
      </w:pPr>
      <w:r w:rsidRPr="00557AE1">
        <w:rPr>
          <w:i/>
          <w:szCs w:val="22"/>
        </w:rPr>
        <w:t xml:space="preserve">“The outstanding quality of the grounds and landscaping demonstrate the positive contribution to local visual landscape and biodiversity that a hospital and clinic campus can contribute, that goes beyond compliance and is in keeping with other health and well-being initiatives related to wellbeing for staff as well as for patients and visitors’. </w:t>
      </w:r>
    </w:p>
    <w:p w14:paraId="05F30E49" w14:textId="77777777" w:rsidR="00557AE1" w:rsidRPr="00557AE1" w:rsidRDefault="00557AE1" w:rsidP="00557AE1">
      <w:pPr>
        <w:autoSpaceDE w:val="0"/>
        <w:autoSpaceDN w:val="0"/>
        <w:adjustRightInd w:val="0"/>
        <w:rPr>
          <w:i/>
          <w:szCs w:val="22"/>
        </w:rPr>
      </w:pPr>
    </w:p>
    <w:p w14:paraId="5877A743" w14:textId="4C5533CB" w:rsidR="00557AE1" w:rsidRPr="00557AE1" w:rsidRDefault="00557AE1" w:rsidP="00557AE1">
      <w:pPr>
        <w:autoSpaceDE w:val="0"/>
        <w:autoSpaceDN w:val="0"/>
        <w:adjustRightInd w:val="0"/>
        <w:rPr>
          <w:i/>
          <w:szCs w:val="22"/>
        </w:rPr>
      </w:pPr>
      <w:r w:rsidRPr="00557AE1">
        <w:rPr>
          <w:i/>
          <w:szCs w:val="22"/>
        </w:rPr>
        <w:lastRenderedPageBreak/>
        <w:t>There are clear ecological practical actions being implemented with regards to leaving some areas in a more natural environmental state with excellent planting to enable there to be flowers open and available for pollinators.”</w:t>
      </w:r>
    </w:p>
    <w:p w14:paraId="48BB414D" w14:textId="02A5FA6F" w:rsidR="007B2784" w:rsidRDefault="000F62E2" w:rsidP="00557AE1">
      <w:pPr>
        <w:pStyle w:val="NormalBullet"/>
        <w:numPr>
          <w:ilvl w:val="0"/>
          <w:numId w:val="0"/>
        </w:numPr>
        <w:ind w:left="357"/>
        <w:jc w:val="center"/>
        <w:rPr>
          <w:szCs w:val="22"/>
        </w:rPr>
      </w:pPr>
      <w:r>
        <w:rPr>
          <w:noProof/>
          <w:szCs w:val="22"/>
        </w:rPr>
        <w:drawing>
          <wp:inline distT="0" distB="0" distL="0" distR="0" wp14:anchorId="4A88F1A9" wp14:editId="02ABC1BB">
            <wp:extent cx="533400" cy="533400"/>
            <wp:effectExtent l="0" t="0" r="0" b="0"/>
            <wp:docPr id="1804" name="Picture 1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5ways Prevention.png"/>
                    <pic:cNvPicPr/>
                  </pic:nvPicPr>
                  <pic:blipFill>
                    <a:blip r:embed="rId26">
                      <a:extLst>
                        <a:ext uri="{28A0092B-C50C-407E-A947-70E740481C1C}">
                          <a14:useLocalDpi xmlns:a14="http://schemas.microsoft.com/office/drawing/2010/main" val="0"/>
                        </a:ext>
                      </a:extLst>
                    </a:blip>
                    <a:stretch>
                      <a:fillRect/>
                    </a:stretch>
                  </pic:blipFill>
                  <pic:spPr>
                    <a:xfrm>
                      <a:off x="0" y="0"/>
                      <a:ext cx="533400" cy="533400"/>
                    </a:xfrm>
                    <a:prstGeom prst="rect">
                      <a:avLst/>
                    </a:prstGeom>
                  </pic:spPr>
                </pic:pic>
              </a:graphicData>
            </a:graphic>
          </wp:inline>
        </w:drawing>
      </w:r>
      <w:r>
        <w:rPr>
          <w:noProof/>
          <w:szCs w:val="22"/>
        </w:rPr>
        <w:drawing>
          <wp:inline distT="0" distB="0" distL="0" distR="0" wp14:anchorId="66E54F4D" wp14:editId="7395E772">
            <wp:extent cx="520700" cy="520700"/>
            <wp:effectExtent l="0" t="0" r="0" b="0"/>
            <wp:docPr id="1805" name="Picture 1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5ways Long Term.png"/>
                    <pic:cNvPicPr/>
                  </pic:nvPicPr>
                  <pic:blipFill>
                    <a:blip r:embed="rId27">
                      <a:extLst>
                        <a:ext uri="{28A0092B-C50C-407E-A947-70E740481C1C}">
                          <a14:useLocalDpi xmlns:a14="http://schemas.microsoft.com/office/drawing/2010/main" val="0"/>
                        </a:ext>
                      </a:extLst>
                    </a:blip>
                    <a:stretch>
                      <a:fillRect/>
                    </a:stretch>
                  </pic:blipFill>
                  <pic:spPr>
                    <a:xfrm>
                      <a:off x="0" y="0"/>
                      <a:ext cx="520700" cy="520700"/>
                    </a:xfrm>
                    <a:prstGeom prst="rect">
                      <a:avLst/>
                    </a:prstGeom>
                  </pic:spPr>
                </pic:pic>
              </a:graphicData>
            </a:graphic>
          </wp:inline>
        </w:drawing>
      </w:r>
      <w:r>
        <w:rPr>
          <w:noProof/>
          <w:szCs w:val="22"/>
        </w:rPr>
        <w:drawing>
          <wp:inline distT="0" distB="0" distL="0" distR="0" wp14:anchorId="5C316DFF" wp14:editId="6F55B3AA">
            <wp:extent cx="520700" cy="520700"/>
            <wp:effectExtent l="0" t="0" r="0" b="0"/>
            <wp:docPr id="1806" name="Picture 1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5ways Integration.png"/>
                    <pic:cNvPicPr/>
                  </pic:nvPicPr>
                  <pic:blipFill>
                    <a:blip r:embed="rId28">
                      <a:extLst>
                        <a:ext uri="{28A0092B-C50C-407E-A947-70E740481C1C}">
                          <a14:useLocalDpi xmlns:a14="http://schemas.microsoft.com/office/drawing/2010/main" val="0"/>
                        </a:ext>
                      </a:extLst>
                    </a:blip>
                    <a:stretch>
                      <a:fillRect/>
                    </a:stretch>
                  </pic:blipFill>
                  <pic:spPr>
                    <a:xfrm>
                      <a:off x="0" y="0"/>
                      <a:ext cx="520700" cy="520700"/>
                    </a:xfrm>
                    <a:prstGeom prst="rect">
                      <a:avLst/>
                    </a:prstGeom>
                  </pic:spPr>
                </pic:pic>
              </a:graphicData>
            </a:graphic>
          </wp:inline>
        </w:drawing>
      </w:r>
      <w:r>
        <w:rPr>
          <w:noProof/>
          <w:szCs w:val="22"/>
        </w:rPr>
        <w:drawing>
          <wp:inline distT="0" distB="0" distL="0" distR="0" wp14:anchorId="17DE32EF" wp14:editId="745AFD7A">
            <wp:extent cx="520700" cy="520700"/>
            <wp:effectExtent l="0" t="0" r="0" b="0"/>
            <wp:docPr id="1807" name="Picture 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5ways Collaboration.png"/>
                    <pic:cNvPicPr/>
                  </pic:nvPicPr>
                  <pic:blipFill>
                    <a:blip r:embed="rId29">
                      <a:extLst>
                        <a:ext uri="{28A0092B-C50C-407E-A947-70E740481C1C}">
                          <a14:useLocalDpi xmlns:a14="http://schemas.microsoft.com/office/drawing/2010/main" val="0"/>
                        </a:ext>
                      </a:extLst>
                    </a:blip>
                    <a:stretch>
                      <a:fillRect/>
                    </a:stretch>
                  </pic:blipFill>
                  <pic:spPr>
                    <a:xfrm>
                      <a:off x="0" y="0"/>
                      <a:ext cx="520700" cy="520700"/>
                    </a:xfrm>
                    <a:prstGeom prst="rect">
                      <a:avLst/>
                    </a:prstGeom>
                  </pic:spPr>
                </pic:pic>
              </a:graphicData>
            </a:graphic>
          </wp:inline>
        </w:drawing>
      </w:r>
      <w:r>
        <w:rPr>
          <w:noProof/>
          <w:szCs w:val="22"/>
        </w:rPr>
        <w:drawing>
          <wp:inline distT="0" distB="0" distL="0" distR="0" wp14:anchorId="58168762" wp14:editId="459D0592">
            <wp:extent cx="539750" cy="539750"/>
            <wp:effectExtent l="0" t="0" r="0" b="0"/>
            <wp:docPr id="1808" name="Picture 1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5ways Involvement.png"/>
                    <pic:cNvPicPr/>
                  </pic:nvPicPr>
                  <pic:blipFill>
                    <a:blip r:embed="rId30">
                      <a:extLst>
                        <a:ext uri="{28A0092B-C50C-407E-A947-70E740481C1C}">
                          <a14:useLocalDpi xmlns:a14="http://schemas.microsoft.com/office/drawing/2010/main" val="0"/>
                        </a:ext>
                      </a:extLst>
                    </a:blip>
                    <a:stretch>
                      <a:fillRect/>
                    </a:stretch>
                  </pic:blipFill>
                  <pic:spPr>
                    <a:xfrm>
                      <a:off x="0" y="0"/>
                      <a:ext cx="539750" cy="539750"/>
                    </a:xfrm>
                    <a:prstGeom prst="rect">
                      <a:avLst/>
                    </a:prstGeom>
                  </pic:spPr>
                </pic:pic>
              </a:graphicData>
            </a:graphic>
          </wp:inline>
        </w:drawing>
      </w:r>
      <w:bookmarkStart w:id="19" w:name="_Toc471829971"/>
      <w:bookmarkStart w:id="20" w:name="_Toc473290289"/>
      <w:bookmarkEnd w:id="8"/>
      <w:bookmarkEnd w:id="9"/>
      <w:bookmarkEnd w:id="10"/>
      <w:bookmarkEnd w:id="11"/>
      <w:bookmarkEnd w:id="12"/>
      <w:bookmarkEnd w:id="16"/>
      <w:bookmarkEnd w:id="17"/>
      <w:bookmarkEnd w:id="18"/>
    </w:p>
    <w:p w14:paraId="4858CC0F" w14:textId="77777777" w:rsidR="00F0063F" w:rsidRDefault="00F0063F" w:rsidP="00557AE1">
      <w:pPr>
        <w:pStyle w:val="NormalBullet"/>
        <w:numPr>
          <w:ilvl w:val="0"/>
          <w:numId w:val="0"/>
        </w:numPr>
        <w:ind w:left="357"/>
        <w:jc w:val="center"/>
        <w:rPr>
          <w:szCs w:val="22"/>
        </w:rPr>
      </w:pPr>
    </w:p>
    <w:p w14:paraId="54767E38" w14:textId="16DC15E5" w:rsidR="00F0063F" w:rsidRPr="00F0063F" w:rsidRDefault="00F0063F" w:rsidP="00E62701">
      <w:pPr>
        <w:widowControl w:val="0"/>
        <w:spacing w:before="57"/>
        <w:ind w:right="216"/>
        <w:rPr>
          <w:rFonts w:asciiTheme="minorHAnsi" w:hAnsiTheme="minorHAnsi"/>
          <w:szCs w:val="22"/>
          <w:lang w:eastAsia="en-US"/>
        </w:rPr>
      </w:pPr>
      <w:r w:rsidRPr="00F0063F">
        <w:rPr>
          <w:rFonts w:asciiTheme="minorHAnsi" w:hAnsiTheme="minorHAnsi"/>
          <w:szCs w:val="22"/>
          <w:lang w:eastAsia="en-US"/>
        </w:rPr>
        <w:t>Sustainable facilities management and the encouragement of ecosystems and biodiversity reduces environmental harm as well as saving money</w:t>
      </w:r>
      <w:r w:rsidR="00E62701">
        <w:rPr>
          <w:rFonts w:asciiTheme="minorHAnsi" w:hAnsiTheme="minorHAnsi"/>
          <w:szCs w:val="22"/>
          <w:lang w:eastAsia="en-US"/>
        </w:rPr>
        <w:t xml:space="preserve"> by i</w:t>
      </w:r>
      <w:r w:rsidRPr="00F0063F">
        <w:rPr>
          <w:rFonts w:asciiTheme="minorHAnsi" w:hAnsiTheme="minorHAnsi"/>
          <w:szCs w:val="22"/>
          <w:lang w:eastAsia="en-US"/>
        </w:rPr>
        <w:t xml:space="preserve">nvesting in energy efficiency and water saving methods, such as good insulation, movement sensor control lighting and low flush toilets </w:t>
      </w:r>
      <w:r w:rsidR="00E62701">
        <w:rPr>
          <w:rFonts w:asciiTheme="minorHAnsi" w:hAnsiTheme="minorHAnsi"/>
          <w:szCs w:val="22"/>
          <w:lang w:eastAsia="en-US"/>
        </w:rPr>
        <w:t>resulting in</w:t>
      </w:r>
      <w:r w:rsidRPr="00F0063F">
        <w:rPr>
          <w:rFonts w:asciiTheme="minorHAnsi" w:hAnsiTheme="minorHAnsi"/>
          <w:szCs w:val="22"/>
          <w:lang w:eastAsia="en-US"/>
        </w:rPr>
        <w:t xml:space="preserve"> lower running costs.</w:t>
      </w:r>
      <w:r>
        <w:rPr>
          <w:rFonts w:asciiTheme="minorHAnsi" w:hAnsiTheme="minorHAnsi"/>
          <w:szCs w:val="22"/>
          <w:lang w:eastAsia="en-US"/>
        </w:rPr>
        <w:t xml:space="preserve">  The Health Board has</w:t>
      </w:r>
      <w:r w:rsidRPr="00F0063F">
        <w:rPr>
          <w:rFonts w:asciiTheme="minorHAnsi" w:hAnsiTheme="minorHAnsi"/>
          <w:szCs w:val="22"/>
          <w:lang w:eastAsia="en-US"/>
        </w:rPr>
        <w:t xml:space="preserve"> implemented the following in support of its environmental management policy and will continue to seek innovative ways to support and make further progress with environmental sustainability</w:t>
      </w:r>
      <w:r w:rsidR="00E62701">
        <w:rPr>
          <w:rFonts w:asciiTheme="minorHAnsi" w:hAnsiTheme="minorHAnsi"/>
          <w:szCs w:val="22"/>
          <w:lang w:eastAsia="en-US"/>
        </w:rPr>
        <w:t>:</w:t>
      </w:r>
    </w:p>
    <w:p w14:paraId="60D51D95" w14:textId="77777777" w:rsidR="00F0063F" w:rsidRPr="00F0063F" w:rsidRDefault="00F0063F" w:rsidP="005F65CD">
      <w:pPr>
        <w:widowControl w:val="0"/>
        <w:numPr>
          <w:ilvl w:val="0"/>
          <w:numId w:val="101"/>
        </w:numPr>
        <w:tabs>
          <w:tab w:val="left" w:pos="580"/>
        </w:tabs>
        <w:ind w:left="357" w:right="218" w:hanging="357"/>
        <w:contextualSpacing/>
        <w:rPr>
          <w:rFonts w:asciiTheme="minorHAnsi" w:hAnsiTheme="minorHAnsi"/>
          <w:szCs w:val="22"/>
          <w:lang w:eastAsia="en-US"/>
        </w:rPr>
      </w:pPr>
      <w:r w:rsidRPr="00F0063F">
        <w:rPr>
          <w:rFonts w:asciiTheme="minorHAnsi" w:hAnsiTheme="minorHAnsi"/>
          <w:szCs w:val="22"/>
          <w:lang w:eastAsia="en-US"/>
        </w:rPr>
        <w:t>Putting in place systematic procedures to monitor and improve performance, for example energy consumption, waste and chemical use;</w:t>
      </w:r>
    </w:p>
    <w:p w14:paraId="6ADCC4E7" w14:textId="77777777" w:rsidR="00F0063F" w:rsidRPr="00F0063F" w:rsidRDefault="00F0063F" w:rsidP="005F65CD">
      <w:pPr>
        <w:widowControl w:val="0"/>
        <w:numPr>
          <w:ilvl w:val="0"/>
          <w:numId w:val="101"/>
        </w:numPr>
        <w:tabs>
          <w:tab w:val="left" w:pos="580"/>
        </w:tabs>
        <w:spacing w:line="239" w:lineRule="auto"/>
        <w:ind w:left="357" w:right="215" w:hanging="357"/>
        <w:contextualSpacing/>
        <w:rPr>
          <w:rFonts w:asciiTheme="minorHAnsi" w:hAnsiTheme="minorHAnsi"/>
          <w:szCs w:val="22"/>
          <w:lang w:eastAsia="en-US"/>
        </w:rPr>
      </w:pPr>
      <w:r w:rsidRPr="00F0063F">
        <w:rPr>
          <w:rFonts w:asciiTheme="minorHAnsi" w:hAnsiTheme="minorHAnsi"/>
          <w:szCs w:val="22"/>
          <w:lang w:eastAsia="en-US"/>
        </w:rPr>
        <w:t>Ensuring operational procedures and equipment encourage energy efficiency, for example energy saving light bulbs, insulation and switching off lights when not needed;</w:t>
      </w:r>
    </w:p>
    <w:p w14:paraId="327AC1B6" w14:textId="77777777" w:rsidR="00F0063F" w:rsidRPr="00F0063F" w:rsidRDefault="00F0063F" w:rsidP="005F65CD">
      <w:pPr>
        <w:widowControl w:val="0"/>
        <w:numPr>
          <w:ilvl w:val="0"/>
          <w:numId w:val="101"/>
        </w:numPr>
        <w:tabs>
          <w:tab w:val="left" w:pos="580"/>
        </w:tabs>
        <w:spacing w:line="292" w:lineRule="exact"/>
        <w:ind w:left="357" w:hanging="357"/>
        <w:contextualSpacing/>
        <w:jc w:val="left"/>
        <w:rPr>
          <w:rFonts w:asciiTheme="minorHAnsi" w:hAnsiTheme="minorHAnsi"/>
          <w:szCs w:val="22"/>
          <w:lang w:eastAsia="en-US"/>
        </w:rPr>
      </w:pPr>
      <w:r w:rsidRPr="00F0063F">
        <w:rPr>
          <w:rFonts w:asciiTheme="minorHAnsi" w:hAnsiTheme="minorHAnsi"/>
          <w:szCs w:val="22"/>
          <w:lang w:eastAsia="en-US"/>
        </w:rPr>
        <w:t>Reducing waste through recycling and re-use (waste to landfill reduced from 389 tonnes in 2016-17 to an estimated 96 tonnes in 2018-19);</w:t>
      </w:r>
    </w:p>
    <w:p w14:paraId="2A663D42" w14:textId="77777777" w:rsidR="00F0063F" w:rsidRPr="00F0063F" w:rsidRDefault="00F0063F" w:rsidP="005F65CD">
      <w:pPr>
        <w:widowControl w:val="0"/>
        <w:numPr>
          <w:ilvl w:val="0"/>
          <w:numId w:val="101"/>
        </w:numPr>
        <w:tabs>
          <w:tab w:val="left" w:pos="580"/>
        </w:tabs>
        <w:spacing w:line="290" w:lineRule="exact"/>
        <w:ind w:left="360" w:right="220"/>
        <w:contextualSpacing/>
        <w:rPr>
          <w:rFonts w:asciiTheme="minorHAnsi" w:hAnsiTheme="minorHAnsi"/>
          <w:szCs w:val="22"/>
          <w:lang w:eastAsia="en-US"/>
        </w:rPr>
      </w:pPr>
      <w:r w:rsidRPr="00F0063F">
        <w:rPr>
          <w:rFonts w:asciiTheme="minorHAnsi" w:hAnsiTheme="minorHAnsi"/>
          <w:szCs w:val="22"/>
          <w:lang w:eastAsia="en-US"/>
        </w:rPr>
        <w:t>Reducing water consumption, for example low flush toilets and drinking fountains;</w:t>
      </w:r>
    </w:p>
    <w:p w14:paraId="2F48D429" w14:textId="77777777" w:rsidR="00F0063F" w:rsidRPr="00F0063F" w:rsidRDefault="00F0063F" w:rsidP="005F65CD">
      <w:pPr>
        <w:widowControl w:val="0"/>
        <w:numPr>
          <w:ilvl w:val="0"/>
          <w:numId w:val="101"/>
        </w:numPr>
        <w:tabs>
          <w:tab w:val="left" w:pos="580"/>
        </w:tabs>
        <w:spacing w:line="290" w:lineRule="exact"/>
        <w:ind w:left="360" w:right="220"/>
        <w:contextualSpacing/>
        <w:rPr>
          <w:rFonts w:asciiTheme="minorHAnsi" w:hAnsiTheme="minorHAnsi"/>
          <w:szCs w:val="22"/>
          <w:lang w:eastAsia="en-US"/>
        </w:rPr>
      </w:pPr>
      <w:r w:rsidRPr="00F0063F">
        <w:rPr>
          <w:rFonts w:asciiTheme="minorHAnsi" w:hAnsiTheme="minorHAnsi"/>
          <w:szCs w:val="22"/>
          <w:lang w:eastAsia="en-US"/>
        </w:rPr>
        <w:t>Reduce excessive chemical use and purchase products with low volatility and emissions;</w:t>
      </w:r>
    </w:p>
    <w:p w14:paraId="2CB861FD" w14:textId="002D7710" w:rsidR="00F0063F" w:rsidRPr="00CE01AD" w:rsidRDefault="00F0063F" w:rsidP="005F65CD">
      <w:pPr>
        <w:widowControl w:val="0"/>
        <w:numPr>
          <w:ilvl w:val="0"/>
          <w:numId w:val="101"/>
        </w:numPr>
        <w:tabs>
          <w:tab w:val="left" w:pos="580"/>
        </w:tabs>
        <w:spacing w:line="287" w:lineRule="exact"/>
        <w:ind w:left="360"/>
        <w:contextualSpacing/>
        <w:jc w:val="left"/>
        <w:rPr>
          <w:rFonts w:asciiTheme="minorHAnsi" w:hAnsiTheme="minorHAnsi"/>
          <w:szCs w:val="22"/>
          <w:lang w:eastAsia="en-US"/>
        </w:rPr>
      </w:pPr>
      <w:r w:rsidRPr="00F0063F">
        <w:rPr>
          <w:rFonts w:asciiTheme="minorHAnsi" w:hAnsiTheme="minorHAnsi"/>
          <w:szCs w:val="22"/>
          <w:lang w:eastAsia="en-US"/>
        </w:rPr>
        <w:t>Providing biodiverse and usable green areas;</w:t>
      </w:r>
    </w:p>
    <w:p w14:paraId="46C0ED98" w14:textId="7952552E" w:rsidR="00A32A85" w:rsidRPr="00E07712" w:rsidRDefault="00A32A85" w:rsidP="00A32A85">
      <w:pPr>
        <w:pStyle w:val="Heading2"/>
        <w:rPr>
          <w:rFonts w:asciiTheme="minorHAnsi" w:hAnsiTheme="minorHAnsi"/>
          <w:iCs w:val="0"/>
          <w:szCs w:val="22"/>
        </w:rPr>
      </w:pPr>
      <w:bookmarkStart w:id="21" w:name="_Toc29573931"/>
      <w:bookmarkEnd w:id="19"/>
      <w:bookmarkEnd w:id="20"/>
      <w:r>
        <w:rPr>
          <w:rFonts w:asciiTheme="minorHAnsi" w:hAnsiTheme="minorHAnsi"/>
          <w:iCs w:val="0"/>
          <w:szCs w:val="22"/>
        </w:rPr>
        <w:t>Integrated Health And Care Strategy</w:t>
      </w:r>
      <w:bookmarkEnd w:id="21"/>
      <w:r w:rsidR="0012556F">
        <w:rPr>
          <w:rFonts w:asciiTheme="minorHAnsi" w:hAnsiTheme="minorHAnsi"/>
          <w:iCs w:val="0"/>
          <w:szCs w:val="22"/>
        </w:rPr>
        <w:t xml:space="preserve"> 2020-2030</w:t>
      </w:r>
    </w:p>
    <w:p w14:paraId="3D5232A3" w14:textId="67862AD1" w:rsidR="00CE2276" w:rsidRPr="00CE2276" w:rsidRDefault="00EB1C5F" w:rsidP="00CE2276">
      <w:pPr>
        <w:autoSpaceDE w:val="0"/>
        <w:autoSpaceDN w:val="0"/>
        <w:adjustRightInd w:val="0"/>
        <w:rPr>
          <w:rFonts w:cs="Calibri"/>
          <w:color w:val="000000" w:themeColor="text1"/>
          <w:szCs w:val="22"/>
        </w:rPr>
      </w:pPr>
      <w:r>
        <w:rPr>
          <w:rFonts w:cs="Calibri"/>
          <w:color w:val="000000" w:themeColor="text1"/>
          <w:szCs w:val="22"/>
        </w:rPr>
        <w:t>CTMUHB</w:t>
      </w:r>
      <w:r w:rsidR="00CE2276" w:rsidRPr="00CE2276">
        <w:rPr>
          <w:rFonts w:cs="Calibri"/>
          <w:color w:val="000000" w:themeColor="text1"/>
          <w:szCs w:val="22"/>
        </w:rPr>
        <w:t xml:space="preserve"> has been developing and refining an Integrated Health and Care Strategy, rising to and seeking to address its challenges through implementing a whole-system, integrated plan, clearly aligned and integrated with social care, for the benefit of our patients and the communities we serve.  We are developing and refining our Integrated Health and Care Strategy using a number of key principles:</w:t>
      </w:r>
    </w:p>
    <w:p w14:paraId="156D7CF8" w14:textId="6D954641" w:rsidR="00CE2276" w:rsidRPr="00CE2276" w:rsidRDefault="00CE2276" w:rsidP="00E62701">
      <w:pPr>
        <w:pStyle w:val="ListParagraph"/>
        <w:numPr>
          <w:ilvl w:val="0"/>
          <w:numId w:val="3"/>
        </w:numPr>
        <w:autoSpaceDE w:val="0"/>
        <w:autoSpaceDN w:val="0"/>
        <w:adjustRightInd w:val="0"/>
        <w:ind w:left="357" w:hanging="357"/>
        <w:rPr>
          <w:rFonts w:cs="Calibri"/>
          <w:color w:val="000000" w:themeColor="text1"/>
          <w:szCs w:val="22"/>
        </w:rPr>
      </w:pPr>
      <w:r w:rsidRPr="00CE2276">
        <w:rPr>
          <w:rFonts w:cs="Calibri"/>
          <w:color w:val="000000" w:themeColor="text1"/>
          <w:szCs w:val="22"/>
        </w:rPr>
        <w:t xml:space="preserve">Innovation, quality and access to services will be the overarching principles by which the Health Board will develop clinical </w:t>
      </w:r>
      <w:r>
        <w:rPr>
          <w:rFonts w:cs="Calibri"/>
          <w:color w:val="000000" w:themeColor="text1"/>
          <w:szCs w:val="22"/>
        </w:rPr>
        <w:t>pathways</w:t>
      </w:r>
      <w:r w:rsidRPr="00CE2276">
        <w:rPr>
          <w:rFonts w:cs="Calibri"/>
          <w:color w:val="000000" w:themeColor="text1"/>
          <w:szCs w:val="22"/>
        </w:rPr>
        <w:t xml:space="preserve"> and drive forward service change and improvement.</w:t>
      </w:r>
    </w:p>
    <w:p w14:paraId="24600332" w14:textId="77777777" w:rsidR="00CE2276" w:rsidRPr="00CE2276" w:rsidRDefault="00CE2276" w:rsidP="00E62701">
      <w:pPr>
        <w:pStyle w:val="ListParagraph"/>
        <w:numPr>
          <w:ilvl w:val="0"/>
          <w:numId w:val="3"/>
        </w:numPr>
        <w:autoSpaceDE w:val="0"/>
        <w:autoSpaceDN w:val="0"/>
        <w:adjustRightInd w:val="0"/>
        <w:ind w:left="357" w:hanging="357"/>
        <w:rPr>
          <w:rFonts w:cs="Calibri"/>
          <w:color w:val="000000" w:themeColor="text1"/>
          <w:szCs w:val="22"/>
        </w:rPr>
      </w:pPr>
      <w:r w:rsidRPr="00CE2276">
        <w:rPr>
          <w:rFonts w:cs="Calibri"/>
          <w:color w:val="000000" w:themeColor="text1"/>
          <w:szCs w:val="22"/>
        </w:rPr>
        <w:t xml:space="preserve">Clinical leaders will continue to be empowered to work with all staff to develop new models of care, learning from best practice elsewhere but also being supported to design and test out new ideas where safe and possible. </w:t>
      </w:r>
    </w:p>
    <w:p w14:paraId="12676B7C" w14:textId="77777777" w:rsidR="00CE2276" w:rsidRPr="00CE2276" w:rsidRDefault="00CE2276" w:rsidP="007111FC">
      <w:pPr>
        <w:pStyle w:val="ListParagraph"/>
        <w:numPr>
          <w:ilvl w:val="0"/>
          <w:numId w:val="3"/>
        </w:numPr>
        <w:autoSpaceDE w:val="0"/>
        <w:autoSpaceDN w:val="0"/>
        <w:adjustRightInd w:val="0"/>
        <w:rPr>
          <w:rFonts w:cs="Calibri"/>
          <w:color w:val="000000" w:themeColor="text1"/>
          <w:szCs w:val="22"/>
        </w:rPr>
      </w:pPr>
      <w:r w:rsidRPr="00CE2276">
        <w:rPr>
          <w:rFonts w:cs="Calibri"/>
          <w:color w:val="000000" w:themeColor="text1"/>
          <w:szCs w:val="22"/>
        </w:rPr>
        <w:t xml:space="preserve">Closer working relationships with other Health Boards, Local Authorities, the Third Sector, other public sector partners and local communities together with the development of fully integrated services will be paramount to addressing the challenges, looking towards joint targets and accountabilities for the future. </w:t>
      </w:r>
    </w:p>
    <w:p w14:paraId="2493311E" w14:textId="08A53503" w:rsidR="00CE2276" w:rsidRPr="00CE2276" w:rsidRDefault="00CE2276" w:rsidP="007111FC">
      <w:pPr>
        <w:pStyle w:val="ListParagraph"/>
        <w:numPr>
          <w:ilvl w:val="0"/>
          <w:numId w:val="3"/>
        </w:numPr>
        <w:autoSpaceDE w:val="0"/>
        <w:autoSpaceDN w:val="0"/>
        <w:adjustRightInd w:val="0"/>
        <w:rPr>
          <w:rFonts w:cs="Calibri"/>
          <w:color w:val="000000" w:themeColor="text1"/>
          <w:szCs w:val="22"/>
        </w:rPr>
      </w:pPr>
      <w:r w:rsidRPr="00CE2276">
        <w:rPr>
          <w:rFonts w:cs="Calibri"/>
          <w:color w:val="000000" w:themeColor="text1"/>
          <w:szCs w:val="22"/>
        </w:rPr>
        <w:t>The Health Board is committed to maximising the use of technology to support and enable service change.</w:t>
      </w:r>
    </w:p>
    <w:p w14:paraId="75122C81" w14:textId="7D738485" w:rsidR="00A32A85" w:rsidRPr="004E02DC" w:rsidRDefault="00A32A85" w:rsidP="00A32A85">
      <w:pPr>
        <w:pStyle w:val="Heading3"/>
      </w:pPr>
      <w:r>
        <w:t xml:space="preserve">System Wide Approach </w:t>
      </w:r>
      <w:r w:rsidR="00AE0C07">
        <w:t>to</w:t>
      </w:r>
      <w:r>
        <w:t xml:space="preserve"> Well-Being</w:t>
      </w:r>
    </w:p>
    <w:p w14:paraId="14F74B8A" w14:textId="6D9985F7" w:rsidR="00A32A85" w:rsidRDefault="00A32A85" w:rsidP="00A32A85">
      <w:pPr>
        <w:rPr>
          <w:rFonts w:asciiTheme="minorHAnsi" w:hAnsiTheme="minorHAnsi"/>
          <w:szCs w:val="22"/>
          <w:lang w:eastAsia="en-US"/>
        </w:rPr>
      </w:pPr>
      <w:r w:rsidRPr="001753D3">
        <w:rPr>
          <w:rFonts w:asciiTheme="minorHAnsi" w:hAnsiTheme="minorHAnsi"/>
          <w:szCs w:val="22"/>
        </w:rPr>
        <w:t xml:space="preserve">Health care services traditionally have been developed to help those who are unwell.  </w:t>
      </w:r>
      <w:r w:rsidR="00AA7E94">
        <w:rPr>
          <w:rFonts w:asciiTheme="minorHAnsi" w:hAnsiTheme="minorHAnsi"/>
          <w:szCs w:val="22"/>
        </w:rPr>
        <w:t>As a consequence</w:t>
      </w:r>
      <w:r w:rsidRPr="001753D3">
        <w:rPr>
          <w:rFonts w:asciiTheme="minorHAnsi" w:hAnsiTheme="minorHAnsi"/>
          <w:szCs w:val="22"/>
        </w:rPr>
        <w:t>, most healthcare services are focused in primary care (which accounts for about 90% of health care interactions) and hospital bed-based care (</w:t>
      </w:r>
      <w:r w:rsidR="00AA7E94">
        <w:rPr>
          <w:rFonts w:asciiTheme="minorHAnsi" w:hAnsiTheme="minorHAnsi"/>
          <w:szCs w:val="22"/>
        </w:rPr>
        <w:t xml:space="preserve">accounting </w:t>
      </w:r>
      <w:r w:rsidRPr="001753D3">
        <w:rPr>
          <w:rFonts w:asciiTheme="minorHAnsi" w:hAnsiTheme="minorHAnsi"/>
          <w:szCs w:val="22"/>
        </w:rPr>
        <w:t>for majority of the remaining care).  These services can be reactive and service-centric</w:t>
      </w:r>
      <w:r w:rsidR="004022E3">
        <w:rPr>
          <w:rFonts w:asciiTheme="minorHAnsi" w:hAnsiTheme="minorHAnsi"/>
          <w:szCs w:val="22"/>
        </w:rPr>
        <w:t>,</w:t>
      </w:r>
      <w:r w:rsidRPr="001753D3">
        <w:rPr>
          <w:rFonts w:asciiTheme="minorHAnsi" w:hAnsiTheme="minorHAnsi"/>
          <w:szCs w:val="22"/>
        </w:rPr>
        <w:t xml:space="preserve"> largely structured after the specialisms of medicine.  We are exploring opportunities to further develop our population healthcare system into one that is more preventative and person-centric, and which considers needs of the broader population, not just those presenting for care.  </w:t>
      </w:r>
      <w:r w:rsidRPr="001753D3">
        <w:rPr>
          <w:rFonts w:asciiTheme="minorHAnsi" w:hAnsiTheme="minorHAnsi"/>
          <w:szCs w:val="22"/>
          <w:lang w:eastAsia="en-US"/>
        </w:rPr>
        <w:t>In doing so, we recognise the impact of the Health Board’s interventions and those of others including wider public bodies and the Third Sector.</w:t>
      </w:r>
    </w:p>
    <w:p w14:paraId="76647E82" w14:textId="77777777" w:rsidR="00602C86" w:rsidRPr="001753D3" w:rsidRDefault="00602C86" w:rsidP="00A32A85">
      <w:pPr>
        <w:rPr>
          <w:rFonts w:asciiTheme="minorHAnsi" w:hAnsiTheme="minorHAnsi"/>
          <w:szCs w:val="22"/>
        </w:rPr>
      </w:pPr>
    </w:p>
    <w:p w14:paraId="52E834D8" w14:textId="04E0881F" w:rsidR="00A32A85" w:rsidRPr="001753D3" w:rsidRDefault="00A32A85" w:rsidP="00602C86">
      <w:r w:rsidRPr="001753D3">
        <w:rPr>
          <w:rFonts w:asciiTheme="minorHAnsi" w:hAnsiTheme="minorHAnsi"/>
          <w:szCs w:val="22"/>
        </w:rPr>
        <w:t xml:space="preserve">This involves a different way of looking at groups of people in our population, using analyses of the data we hold to group them by their needs rather than exclusively by their disease condition.  It effectively means that individuals with different disease conditions could have similar needs and vice-versa.  </w:t>
      </w:r>
      <w:r w:rsidR="00647BCA">
        <w:rPr>
          <w:rFonts w:asciiTheme="minorHAnsi" w:hAnsiTheme="minorHAnsi"/>
          <w:szCs w:val="22"/>
        </w:rPr>
        <w:t>By developing e</w:t>
      </w:r>
      <w:r w:rsidRPr="001753D3">
        <w:rPr>
          <w:rFonts w:asciiTheme="minorHAnsi" w:hAnsiTheme="minorHAnsi"/>
          <w:szCs w:val="22"/>
        </w:rPr>
        <w:t>vidence bas</w:t>
      </w:r>
      <w:r w:rsidR="006D4B8F">
        <w:rPr>
          <w:rFonts w:asciiTheme="minorHAnsi" w:hAnsiTheme="minorHAnsi"/>
          <w:szCs w:val="22"/>
        </w:rPr>
        <w:t xml:space="preserve">ed anticipatory care plans </w:t>
      </w:r>
      <w:r w:rsidRPr="001753D3">
        <w:rPr>
          <w:rFonts w:asciiTheme="minorHAnsi" w:hAnsiTheme="minorHAnsi"/>
          <w:szCs w:val="22"/>
        </w:rPr>
        <w:t>address</w:t>
      </w:r>
      <w:r w:rsidR="006D4B8F">
        <w:rPr>
          <w:rFonts w:asciiTheme="minorHAnsi" w:hAnsiTheme="minorHAnsi"/>
          <w:szCs w:val="22"/>
        </w:rPr>
        <w:t>ing</w:t>
      </w:r>
      <w:r w:rsidRPr="001753D3">
        <w:rPr>
          <w:rFonts w:asciiTheme="minorHAnsi" w:hAnsiTheme="minorHAnsi"/>
          <w:szCs w:val="22"/>
        </w:rPr>
        <w:t xml:space="preserve"> the holistic needs of these </w:t>
      </w:r>
      <w:r w:rsidR="00647BCA">
        <w:rPr>
          <w:rFonts w:asciiTheme="minorHAnsi" w:hAnsiTheme="minorHAnsi"/>
          <w:szCs w:val="22"/>
        </w:rPr>
        <w:t xml:space="preserve">individuals we will aim to </w:t>
      </w:r>
      <w:r w:rsidRPr="001753D3">
        <w:rPr>
          <w:rFonts w:asciiTheme="minorHAnsi" w:hAnsiTheme="minorHAnsi"/>
          <w:szCs w:val="22"/>
        </w:rPr>
        <w:t>reduc</w:t>
      </w:r>
      <w:r w:rsidR="00647BCA">
        <w:rPr>
          <w:rFonts w:asciiTheme="minorHAnsi" w:hAnsiTheme="minorHAnsi"/>
          <w:szCs w:val="22"/>
        </w:rPr>
        <w:t>e</w:t>
      </w:r>
      <w:r w:rsidRPr="001753D3">
        <w:rPr>
          <w:rFonts w:asciiTheme="minorHAnsi" w:hAnsiTheme="minorHAnsi"/>
          <w:szCs w:val="22"/>
        </w:rPr>
        <w:t xml:space="preserve"> </w:t>
      </w:r>
      <w:r w:rsidR="007A674B">
        <w:rPr>
          <w:rFonts w:asciiTheme="minorHAnsi" w:hAnsiTheme="minorHAnsi"/>
          <w:szCs w:val="22"/>
        </w:rPr>
        <w:t xml:space="preserve">their need for </w:t>
      </w:r>
      <w:r w:rsidRPr="001753D3">
        <w:rPr>
          <w:rFonts w:asciiTheme="minorHAnsi" w:hAnsiTheme="minorHAnsi"/>
          <w:szCs w:val="22"/>
        </w:rPr>
        <w:t>healthcare utilisation and promo</w:t>
      </w:r>
      <w:r w:rsidR="007A674B">
        <w:rPr>
          <w:rFonts w:asciiTheme="minorHAnsi" w:hAnsiTheme="minorHAnsi"/>
          <w:szCs w:val="22"/>
        </w:rPr>
        <w:t xml:space="preserve">te their </w:t>
      </w:r>
      <w:r w:rsidRPr="001753D3">
        <w:rPr>
          <w:rFonts w:asciiTheme="minorHAnsi" w:hAnsiTheme="minorHAnsi"/>
          <w:szCs w:val="22"/>
        </w:rPr>
        <w:t xml:space="preserve">independence and wellbeing.  This approach requires weaving together and into practice </w:t>
      </w:r>
      <w:r w:rsidR="003F0853">
        <w:rPr>
          <w:rFonts w:asciiTheme="minorHAnsi" w:hAnsiTheme="minorHAnsi"/>
          <w:szCs w:val="22"/>
        </w:rPr>
        <w:t>four</w:t>
      </w:r>
      <w:r w:rsidR="003F0853" w:rsidRPr="001753D3">
        <w:rPr>
          <w:rFonts w:asciiTheme="minorHAnsi" w:hAnsiTheme="minorHAnsi"/>
          <w:szCs w:val="22"/>
        </w:rPr>
        <w:t xml:space="preserve"> </w:t>
      </w:r>
      <w:r w:rsidRPr="001753D3">
        <w:rPr>
          <w:rFonts w:asciiTheme="minorHAnsi" w:hAnsiTheme="minorHAnsi"/>
          <w:szCs w:val="22"/>
        </w:rPr>
        <w:t>principles:</w:t>
      </w:r>
    </w:p>
    <w:p w14:paraId="31403543" w14:textId="77777777" w:rsidR="00A32A85" w:rsidRDefault="00A32A85" w:rsidP="00A32A85">
      <w:pPr>
        <w:pStyle w:val="StyleNormaBullet11pt"/>
      </w:pPr>
      <w:r w:rsidRPr="001753D3">
        <w:t>Quadruple aim.</w:t>
      </w:r>
    </w:p>
    <w:p w14:paraId="6773F36D" w14:textId="6E6F9256" w:rsidR="007A674B" w:rsidRPr="001753D3" w:rsidRDefault="007A674B" w:rsidP="00A32A85">
      <w:pPr>
        <w:pStyle w:val="StyleNormaBullet11pt"/>
      </w:pPr>
      <w:r w:rsidRPr="001753D3">
        <w:lastRenderedPageBreak/>
        <w:t>Pruden</w:t>
      </w:r>
      <w:r>
        <w:t>t and value-based healthcare</w:t>
      </w:r>
      <w:r w:rsidRPr="001753D3">
        <w:t>.</w:t>
      </w:r>
    </w:p>
    <w:p w14:paraId="7199D77D" w14:textId="04703481" w:rsidR="00A32A85" w:rsidRPr="001753D3" w:rsidRDefault="00A32A85" w:rsidP="003F0853">
      <w:pPr>
        <w:pStyle w:val="StyleNormaBullet11pt"/>
      </w:pPr>
      <w:r w:rsidRPr="001753D3">
        <w:t>Equitable healthcare or ‘universal proportionalism’.</w:t>
      </w:r>
    </w:p>
    <w:p w14:paraId="35ECD4AA" w14:textId="5F9AEFA2" w:rsidR="00A32A85" w:rsidRPr="001753D3" w:rsidRDefault="00A32A85" w:rsidP="00A32A85">
      <w:pPr>
        <w:pStyle w:val="StyleNormaBullet11pt"/>
      </w:pPr>
      <w:r w:rsidRPr="001753D3">
        <w:t>Prevention</w:t>
      </w:r>
      <w:r w:rsidR="007A674B">
        <w:t xml:space="preserve"> and promotion of health and well</w:t>
      </w:r>
      <w:r w:rsidR="003F0853">
        <w:t>-</w:t>
      </w:r>
      <w:r w:rsidR="007A674B">
        <w:t xml:space="preserve">being </w:t>
      </w:r>
      <w:r w:rsidRPr="001753D3">
        <w:t>.</w:t>
      </w:r>
    </w:p>
    <w:p w14:paraId="59A75A25" w14:textId="77777777" w:rsidR="00A32A85" w:rsidRPr="001753D3" w:rsidRDefault="00A32A85" w:rsidP="00A32A85">
      <w:pPr>
        <w:pStyle w:val="NormalBullet"/>
        <w:numPr>
          <w:ilvl w:val="0"/>
          <w:numId w:val="0"/>
        </w:numPr>
        <w:rPr>
          <w:rFonts w:asciiTheme="minorHAnsi" w:hAnsiTheme="minorHAnsi"/>
          <w:szCs w:val="22"/>
          <w:lang w:eastAsia="en-US"/>
        </w:rPr>
      </w:pPr>
    </w:p>
    <w:p w14:paraId="221F207C" w14:textId="6EEA4EAF" w:rsidR="00A32A85" w:rsidRDefault="00A32A85" w:rsidP="00094D87">
      <w:pPr>
        <w:rPr>
          <w:rFonts w:asciiTheme="minorHAnsi" w:hAnsiTheme="minorHAnsi"/>
          <w:szCs w:val="22"/>
        </w:rPr>
      </w:pPr>
      <w:r w:rsidRPr="001753D3">
        <w:rPr>
          <w:rFonts w:asciiTheme="minorHAnsi" w:hAnsiTheme="minorHAnsi"/>
          <w:szCs w:val="22"/>
          <w:lang w:eastAsia="en-US"/>
        </w:rPr>
        <w:t xml:space="preserve">A key thrust of our </w:t>
      </w:r>
      <w:r>
        <w:rPr>
          <w:rFonts w:asciiTheme="minorHAnsi" w:hAnsiTheme="minorHAnsi"/>
          <w:szCs w:val="22"/>
          <w:lang w:eastAsia="en-US"/>
        </w:rPr>
        <w:t xml:space="preserve">Strategy and therefore our </w:t>
      </w:r>
      <w:r w:rsidRPr="001753D3">
        <w:rPr>
          <w:rFonts w:asciiTheme="minorHAnsi" w:hAnsiTheme="minorHAnsi"/>
          <w:szCs w:val="22"/>
          <w:lang w:eastAsia="en-US"/>
        </w:rPr>
        <w:t xml:space="preserve">Plan is therefore about actualising the potential for our healthcare system to drive sustainable </w:t>
      </w:r>
      <w:r w:rsidRPr="00EA0C2A">
        <w:rPr>
          <w:rFonts w:asciiTheme="minorHAnsi" w:hAnsiTheme="minorHAnsi"/>
          <w:szCs w:val="22"/>
          <w:lang w:eastAsia="en-US"/>
        </w:rPr>
        <w:t>improvements to population health, both directly and through leveraging public health, local partnerships and enabling policy and legislation.</w:t>
      </w:r>
      <w:r w:rsidR="00094D87" w:rsidRPr="00EA0C2A">
        <w:rPr>
          <w:rFonts w:asciiTheme="minorHAnsi" w:hAnsiTheme="minorHAnsi"/>
          <w:szCs w:val="22"/>
          <w:lang w:eastAsia="en-US"/>
        </w:rPr>
        <w:t xml:space="preserve">  </w:t>
      </w:r>
      <w:hyperlink r:id="rId31" w:history="1">
        <w:r w:rsidRPr="00EA0C2A">
          <w:rPr>
            <w:rStyle w:val="Hyperlink"/>
            <w:rFonts w:asciiTheme="minorHAnsi" w:hAnsiTheme="minorHAnsi" w:cs="Tahoma"/>
            <w:color w:val="auto"/>
            <w:szCs w:val="22"/>
          </w:rPr>
          <w:t>The Director of Public Health Annual Report 2016/17</w:t>
        </w:r>
      </w:hyperlink>
      <w:r w:rsidRPr="00EA0C2A">
        <w:rPr>
          <w:rFonts w:asciiTheme="minorHAnsi" w:hAnsiTheme="minorHAnsi"/>
          <w:szCs w:val="22"/>
        </w:rPr>
        <w:t xml:space="preserve"> contains more detail about our system wide approach to improving well-being.</w:t>
      </w:r>
    </w:p>
    <w:p w14:paraId="0F0896CD" w14:textId="77777777" w:rsidR="007A674B" w:rsidRDefault="007A674B" w:rsidP="00094D87">
      <w:pPr>
        <w:rPr>
          <w:rFonts w:asciiTheme="minorHAnsi" w:hAnsiTheme="minorHAnsi"/>
          <w:szCs w:val="22"/>
        </w:rPr>
      </w:pPr>
    </w:p>
    <w:p w14:paraId="578DE35B" w14:textId="7957EC54" w:rsidR="007A674B" w:rsidRPr="00EA0C2A" w:rsidRDefault="007A674B" w:rsidP="00094D87">
      <w:pPr>
        <w:rPr>
          <w:rFonts w:asciiTheme="minorHAnsi" w:hAnsiTheme="minorHAnsi"/>
          <w:szCs w:val="22"/>
          <w:lang w:eastAsia="en-US"/>
        </w:rPr>
      </w:pPr>
      <w:r>
        <w:rPr>
          <w:rFonts w:asciiTheme="minorHAnsi" w:hAnsiTheme="minorHAnsi"/>
          <w:szCs w:val="22"/>
        </w:rPr>
        <w:t>The strategic service model illustrating our approach is provided below:</w:t>
      </w:r>
    </w:p>
    <w:p w14:paraId="3E059188" w14:textId="0B9E3DE6" w:rsidR="00326DEF" w:rsidRPr="00EA0C2A" w:rsidRDefault="002266F1" w:rsidP="00326DEF">
      <w:pPr>
        <w:pStyle w:val="Heading3"/>
        <w:ind w:left="709" w:hanging="709"/>
        <w:rPr>
          <w:szCs w:val="22"/>
        </w:rPr>
      </w:pPr>
      <w:r w:rsidRPr="00EA0C2A">
        <w:rPr>
          <w:szCs w:val="22"/>
        </w:rPr>
        <w:t>Strategic Service Model</w:t>
      </w:r>
    </w:p>
    <w:p w14:paraId="2DD97182" w14:textId="77777777" w:rsidR="00094D87" w:rsidRDefault="00094D87" w:rsidP="00094D87">
      <w:pPr>
        <w:autoSpaceDE w:val="0"/>
        <w:autoSpaceDN w:val="0"/>
        <w:adjustRightInd w:val="0"/>
        <w:jc w:val="center"/>
        <w:rPr>
          <w:rFonts w:cs="Calibri"/>
          <w:color w:val="943634" w:themeColor="accent2" w:themeShade="BF"/>
          <w:szCs w:val="22"/>
        </w:rPr>
      </w:pPr>
      <w:r w:rsidRPr="00094D87">
        <w:rPr>
          <w:rFonts w:cs="Calibri"/>
          <w:noProof/>
          <w:color w:val="943634" w:themeColor="accent2" w:themeShade="BF"/>
          <w:szCs w:val="22"/>
        </w:rPr>
        <w:drawing>
          <wp:inline distT="0" distB="0" distL="0" distR="0" wp14:anchorId="6E8570A8" wp14:editId="019112F1">
            <wp:extent cx="5743575" cy="3230763"/>
            <wp:effectExtent l="0" t="0" r="0" b="8255"/>
            <wp:docPr id="1842" name="Picture 1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806328" cy="3266062"/>
                    </a:xfrm>
                    <a:prstGeom prst="rect">
                      <a:avLst/>
                    </a:prstGeom>
                  </pic:spPr>
                </pic:pic>
              </a:graphicData>
            </a:graphic>
          </wp:inline>
        </w:drawing>
      </w:r>
    </w:p>
    <w:p w14:paraId="380E922A" w14:textId="425B6F61" w:rsidR="00326DEF" w:rsidRPr="00E07712" w:rsidRDefault="00326DEF" w:rsidP="00326DEF">
      <w:pPr>
        <w:pStyle w:val="Heading3"/>
        <w:ind w:left="709" w:hanging="709"/>
        <w:rPr>
          <w:szCs w:val="22"/>
        </w:rPr>
      </w:pPr>
      <w:r w:rsidRPr="00E07712">
        <w:rPr>
          <w:szCs w:val="22"/>
        </w:rPr>
        <w:t xml:space="preserve">Engagement and Timescales for the </w:t>
      </w:r>
      <w:r w:rsidR="00CB4A67">
        <w:rPr>
          <w:szCs w:val="22"/>
        </w:rPr>
        <w:t>Integrated Health and Care</w:t>
      </w:r>
      <w:r w:rsidRPr="00E07712">
        <w:rPr>
          <w:szCs w:val="22"/>
        </w:rPr>
        <w:t xml:space="preserve"> Strategy</w:t>
      </w:r>
    </w:p>
    <w:p w14:paraId="7EC0487A" w14:textId="77777777" w:rsidR="00CE2276" w:rsidRPr="00CE2276" w:rsidRDefault="00CE2276" w:rsidP="00CE2276">
      <w:pPr>
        <w:jc w:val="left"/>
        <w:rPr>
          <w:rFonts w:asciiTheme="minorHAnsi" w:hAnsiTheme="minorHAnsi" w:cstheme="minorHAnsi"/>
          <w:szCs w:val="22"/>
        </w:rPr>
      </w:pPr>
      <w:r w:rsidRPr="00CE2276">
        <w:rPr>
          <w:rFonts w:asciiTheme="minorHAnsi" w:hAnsiTheme="minorHAnsi" w:cstheme="minorHAnsi"/>
          <w:szCs w:val="22"/>
        </w:rPr>
        <w:t>The steps required to move from mission, vision and objective development, to a published Integrated Health and Care Strategy are set out as follows:</w:t>
      </w:r>
    </w:p>
    <w:p w14:paraId="7B5D6324" w14:textId="77777777" w:rsidR="00CE2276" w:rsidRDefault="00CE2276" w:rsidP="00CE2276">
      <w:pPr>
        <w:rPr>
          <w:rFonts w:asciiTheme="minorHAnsi" w:hAnsiTheme="minorHAnsi" w:cstheme="minorHAnsi"/>
          <w:szCs w:val="22"/>
        </w:rPr>
      </w:pPr>
    </w:p>
    <w:p w14:paraId="31A95EEA" w14:textId="77777777" w:rsidR="00CE2276" w:rsidRPr="00CE2276" w:rsidRDefault="00CE2276" w:rsidP="00CE2276">
      <w:pPr>
        <w:rPr>
          <w:rFonts w:asciiTheme="minorHAnsi" w:hAnsiTheme="minorHAnsi" w:cstheme="minorHAnsi"/>
          <w:szCs w:val="22"/>
        </w:rPr>
      </w:pPr>
      <w:r w:rsidRPr="00CE2276">
        <w:rPr>
          <w:rFonts w:asciiTheme="minorHAnsi" w:hAnsiTheme="minorHAnsi" w:cstheme="minorHAnsi"/>
          <w:szCs w:val="22"/>
        </w:rPr>
        <w:t>Phase 0 (July 2019 – October 2019)</w:t>
      </w:r>
    </w:p>
    <w:p w14:paraId="49AB14BE" w14:textId="77777777" w:rsidR="00CE2276" w:rsidRPr="00CE2276" w:rsidRDefault="00CE2276" w:rsidP="00CE2276">
      <w:pPr>
        <w:pStyle w:val="NormaBullet"/>
        <w:rPr>
          <w:rFonts w:asciiTheme="minorHAnsi" w:hAnsiTheme="minorHAnsi" w:cstheme="minorHAnsi"/>
          <w:szCs w:val="22"/>
        </w:rPr>
      </w:pPr>
      <w:r w:rsidRPr="00CE2276">
        <w:rPr>
          <w:rFonts w:asciiTheme="minorHAnsi" w:hAnsiTheme="minorHAnsi" w:cstheme="minorHAnsi"/>
          <w:szCs w:val="22"/>
        </w:rPr>
        <w:t>Testing the appetite for change and the ambition for a population focus with clinical leaders.</w:t>
      </w:r>
    </w:p>
    <w:p w14:paraId="43479FC7" w14:textId="4EE1BE7C" w:rsidR="00CE2276" w:rsidRPr="00CE2276" w:rsidRDefault="00CE2276" w:rsidP="00CE2276">
      <w:pPr>
        <w:pStyle w:val="NormaBullet"/>
        <w:rPr>
          <w:rFonts w:asciiTheme="minorHAnsi" w:hAnsiTheme="minorHAnsi" w:cstheme="minorHAnsi"/>
          <w:szCs w:val="22"/>
        </w:rPr>
      </w:pPr>
      <w:r w:rsidRPr="00CE2276">
        <w:rPr>
          <w:rFonts w:asciiTheme="minorHAnsi" w:hAnsiTheme="minorHAnsi" w:cstheme="minorHAnsi"/>
          <w:szCs w:val="22"/>
        </w:rPr>
        <w:t xml:space="preserve">Agreement on use of </w:t>
      </w:r>
      <w:r w:rsidR="006D4B8F">
        <w:rPr>
          <w:rFonts w:asciiTheme="minorHAnsi" w:hAnsiTheme="minorHAnsi" w:cstheme="minorHAnsi"/>
          <w:szCs w:val="22"/>
        </w:rPr>
        <w:t>a</w:t>
      </w:r>
      <w:r w:rsidRPr="00CE2276">
        <w:rPr>
          <w:rFonts w:asciiTheme="minorHAnsi" w:hAnsiTheme="minorHAnsi" w:cstheme="minorHAnsi"/>
          <w:szCs w:val="22"/>
        </w:rPr>
        <w:t xml:space="preserve"> balanced scorecard approach to developing and then turning the strategy into action.</w:t>
      </w:r>
    </w:p>
    <w:p w14:paraId="2DC97E92" w14:textId="77777777" w:rsidR="00CE2276" w:rsidRPr="00CE2276" w:rsidRDefault="00CE2276" w:rsidP="00CE2276">
      <w:pPr>
        <w:pStyle w:val="NormaBullet"/>
        <w:rPr>
          <w:rFonts w:asciiTheme="minorHAnsi" w:hAnsiTheme="minorHAnsi" w:cstheme="minorHAnsi"/>
          <w:szCs w:val="22"/>
        </w:rPr>
      </w:pPr>
      <w:r w:rsidRPr="00CE2276">
        <w:rPr>
          <w:rFonts w:asciiTheme="minorHAnsi" w:hAnsiTheme="minorHAnsi" w:cstheme="minorHAnsi"/>
          <w:szCs w:val="22"/>
        </w:rPr>
        <w:t>Agreement that the Strategic Planning Group will provide oversight to the development of the strategy, with a small task and finish group to deliver the work.</w:t>
      </w:r>
    </w:p>
    <w:p w14:paraId="26096262" w14:textId="77777777" w:rsidR="00CE2276" w:rsidRPr="00CE2276" w:rsidRDefault="00CE2276" w:rsidP="00CE2276">
      <w:pPr>
        <w:pStyle w:val="NormaBullet"/>
        <w:rPr>
          <w:rFonts w:asciiTheme="minorHAnsi" w:hAnsiTheme="minorHAnsi" w:cstheme="minorHAnsi"/>
          <w:szCs w:val="22"/>
        </w:rPr>
      </w:pPr>
      <w:r w:rsidRPr="00CE2276">
        <w:rPr>
          <w:rFonts w:asciiTheme="minorHAnsi" w:hAnsiTheme="minorHAnsi" w:cstheme="minorHAnsi"/>
          <w:szCs w:val="22"/>
        </w:rPr>
        <w:t>Agreement on a communications and engagement plan.</w:t>
      </w:r>
    </w:p>
    <w:p w14:paraId="48B14A39" w14:textId="77777777" w:rsidR="00CE2276" w:rsidRDefault="00CE2276" w:rsidP="00CE2276">
      <w:pPr>
        <w:pStyle w:val="ListParagraph"/>
        <w:ind w:left="0"/>
        <w:contextualSpacing w:val="0"/>
        <w:rPr>
          <w:rFonts w:asciiTheme="minorHAnsi" w:hAnsiTheme="minorHAnsi" w:cstheme="minorHAnsi"/>
          <w:szCs w:val="22"/>
        </w:rPr>
      </w:pPr>
    </w:p>
    <w:p w14:paraId="51101E0C" w14:textId="77777777" w:rsidR="00CE2276" w:rsidRPr="00CE2276" w:rsidRDefault="00CE2276" w:rsidP="00CE2276">
      <w:pPr>
        <w:pStyle w:val="ListParagraph"/>
        <w:ind w:left="0"/>
        <w:contextualSpacing w:val="0"/>
        <w:rPr>
          <w:rFonts w:asciiTheme="minorHAnsi" w:hAnsiTheme="minorHAnsi" w:cstheme="minorHAnsi"/>
          <w:szCs w:val="22"/>
        </w:rPr>
      </w:pPr>
      <w:r w:rsidRPr="00CE2276">
        <w:rPr>
          <w:rFonts w:asciiTheme="minorHAnsi" w:hAnsiTheme="minorHAnsi" w:cstheme="minorHAnsi"/>
          <w:szCs w:val="22"/>
        </w:rPr>
        <w:t>Phase 1 (November 2019 – January 2020)</w:t>
      </w:r>
    </w:p>
    <w:p w14:paraId="725D8108" w14:textId="169F4679" w:rsidR="00CE2276" w:rsidRPr="00CE2276" w:rsidRDefault="00CE2276" w:rsidP="00CE2276">
      <w:pPr>
        <w:pStyle w:val="NormaBullet"/>
      </w:pPr>
      <w:r w:rsidRPr="00CE2276">
        <w:t>Test and engage on the missio</w:t>
      </w:r>
      <w:r w:rsidR="008205D9">
        <w:t>n and vision, ensuring they are</w:t>
      </w:r>
      <w:r w:rsidRPr="00CE2276">
        <w:t xml:space="preserve"> in keeping with the new organisation’s emerging values.</w:t>
      </w:r>
    </w:p>
    <w:p w14:paraId="082C0579" w14:textId="77777777" w:rsidR="00CE2276" w:rsidRPr="00CE2276" w:rsidRDefault="00CE2276" w:rsidP="00CE2276">
      <w:pPr>
        <w:pStyle w:val="NormaBullet"/>
      </w:pPr>
      <w:r w:rsidRPr="00CE2276">
        <w:t>Develop strategic principles / objectives.</w:t>
      </w:r>
    </w:p>
    <w:p w14:paraId="1BDAA649" w14:textId="77777777" w:rsidR="00CE2276" w:rsidRPr="00CE2276" w:rsidRDefault="00CE2276" w:rsidP="00CE2276">
      <w:pPr>
        <w:pStyle w:val="NormaBullet"/>
      </w:pPr>
      <w:r w:rsidRPr="00CE2276">
        <w:t>Agree the strategic framework for the Integrated Health and Care Strategy.</w:t>
      </w:r>
    </w:p>
    <w:p w14:paraId="2E2A0242" w14:textId="31AE1F7C" w:rsidR="00CE2276" w:rsidRPr="00CE2276" w:rsidRDefault="00CE2276" w:rsidP="00CE2276">
      <w:pPr>
        <w:pStyle w:val="NormaBullet"/>
      </w:pPr>
      <w:r w:rsidRPr="00CE2276">
        <w:t xml:space="preserve">Publish an Integrated Health </w:t>
      </w:r>
      <w:r w:rsidR="006D4B8F">
        <w:t>&amp;</w:t>
      </w:r>
      <w:r w:rsidRPr="00CE2276">
        <w:t xml:space="preserve"> Care Strategy engagement document, which will be described in the 2020-23, IMTP.</w:t>
      </w:r>
    </w:p>
    <w:p w14:paraId="63CB42DB" w14:textId="77777777" w:rsidR="00CE2276" w:rsidRDefault="00CE2276" w:rsidP="00CE2276">
      <w:pPr>
        <w:rPr>
          <w:rFonts w:asciiTheme="minorHAnsi" w:hAnsiTheme="minorHAnsi" w:cstheme="minorHAnsi"/>
          <w:szCs w:val="22"/>
        </w:rPr>
      </w:pPr>
    </w:p>
    <w:p w14:paraId="1CA5593F" w14:textId="77777777" w:rsidR="00CE2276" w:rsidRPr="00CE2276" w:rsidRDefault="00CE2276" w:rsidP="00CE2276">
      <w:pPr>
        <w:rPr>
          <w:rFonts w:asciiTheme="minorHAnsi" w:hAnsiTheme="minorHAnsi" w:cstheme="minorHAnsi"/>
          <w:szCs w:val="22"/>
        </w:rPr>
      </w:pPr>
      <w:r w:rsidRPr="00CE2276">
        <w:rPr>
          <w:rFonts w:asciiTheme="minorHAnsi" w:hAnsiTheme="minorHAnsi" w:cstheme="minorHAnsi"/>
          <w:szCs w:val="22"/>
        </w:rPr>
        <w:t>Phase 2 (February 2020 – March 2020)</w:t>
      </w:r>
    </w:p>
    <w:p w14:paraId="0E5D935E" w14:textId="77777777" w:rsidR="00CE2276" w:rsidRPr="00CE2276" w:rsidRDefault="00CE2276" w:rsidP="00CE2276">
      <w:pPr>
        <w:pStyle w:val="NormaBullet"/>
      </w:pPr>
      <w:r w:rsidRPr="00CE2276">
        <w:t>Large scale engagement on the mission, vision and values, and on turning the strategic principles into more detailed key objectives.</w:t>
      </w:r>
    </w:p>
    <w:p w14:paraId="36EB2995" w14:textId="77777777" w:rsidR="00CE2276" w:rsidRPr="00CE2276" w:rsidRDefault="00CE2276" w:rsidP="00CE2276">
      <w:pPr>
        <w:pStyle w:val="NormaBullet"/>
      </w:pPr>
      <w:r w:rsidRPr="00CE2276">
        <w:lastRenderedPageBreak/>
        <w:t>Develop high level outcomes and population pathway specifications based on the strategic framework for the Integrated Health and Care Strategy.</w:t>
      </w:r>
    </w:p>
    <w:p w14:paraId="76A707F3" w14:textId="77777777" w:rsidR="00CE2276" w:rsidRPr="00CE2276" w:rsidRDefault="00CE2276" w:rsidP="00CE2276">
      <w:pPr>
        <w:pStyle w:val="NormaBullet"/>
      </w:pPr>
      <w:r w:rsidRPr="00CE2276">
        <w:t>Establish the key enablers to delivering the population pathways, including workforce, digital and infrastructure.</w:t>
      </w:r>
    </w:p>
    <w:p w14:paraId="00E8F8C8" w14:textId="77777777" w:rsidR="00CE2276" w:rsidRPr="00CE2276" w:rsidRDefault="00CE2276" w:rsidP="00CE2276">
      <w:pPr>
        <w:pStyle w:val="NormaBullet"/>
      </w:pPr>
      <w:r w:rsidRPr="00CE2276">
        <w:t>Publish the Integrated Health and Care Strategy.</w:t>
      </w:r>
    </w:p>
    <w:p w14:paraId="20573729" w14:textId="0CD159F9" w:rsidR="002C0EC9" w:rsidRDefault="00326DEF" w:rsidP="002C0EC9">
      <w:pPr>
        <w:pStyle w:val="Heading2"/>
        <w:rPr>
          <w:rFonts w:asciiTheme="minorHAnsi" w:hAnsiTheme="minorHAnsi"/>
          <w:iCs w:val="0"/>
          <w:szCs w:val="22"/>
        </w:rPr>
      </w:pPr>
      <w:bookmarkStart w:id="22" w:name="_Toc29573932"/>
      <w:bookmarkStart w:id="23" w:name="_Toc471829972"/>
      <w:bookmarkStart w:id="24" w:name="_Toc473290290"/>
      <w:r>
        <w:rPr>
          <w:rFonts w:asciiTheme="minorHAnsi" w:hAnsiTheme="minorHAnsi"/>
          <w:iCs w:val="0"/>
          <w:szCs w:val="22"/>
        </w:rPr>
        <w:t>Cwm Taf Morgannwg Operating Model</w:t>
      </w:r>
      <w:bookmarkEnd w:id="22"/>
    </w:p>
    <w:p w14:paraId="3293F3D8" w14:textId="510E256E" w:rsidR="00741DA4" w:rsidRDefault="00C913DE" w:rsidP="00741DA4">
      <w:pPr>
        <w:rPr>
          <w:lang w:eastAsia="en-US"/>
        </w:rPr>
      </w:pPr>
      <w:r w:rsidRPr="00C913DE">
        <w:rPr>
          <w:noProof/>
        </w:rPr>
        <w:drawing>
          <wp:anchor distT="0" distB="0" distL="114300" distR="114300" simplePos="0" relativeHeight="252849152" behindDoc="0" locked="0" layoutInCell="1" allowOverlap="1" wp14:anchorId="1553351A" wp14:editId="6232FBBB">
            <wp:simplePos x="0" y="0"/>
            <wp:positionH relativeFrom="margin">
              <wp:posOffset>27940</wp:posOffset>
            </wp:positionH>
            <wp:positionV relativeFrom="paragraph">
              <wp:posOffset>97155</wp:posOffset>
            </wp:positionV>
            <wp:extent cx="3070860" cy="1985010"/>
            <wp:effectExtent l="0" t="0" r="0" b="0"/>
            <wp:wrapSquare wrapText="bothSides"/>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3070860" cy="1985010"/>
                    </a:xfrm>
                    <a:prstGeom prst="rect">
                      <a:avLst/>
                    </a:prstGeom>
                  </pic:spPr>
                </pic:pic>
              </a:graphicData>
            </a:graphic>
            <wp14:sizeRelH relativeFrom="margin">
              <wp14:pctWidth>0</wp14:pctWidth>
            </wp14:sizeRelH>
            <wp14:sizeRelV relativeFrom="margin">
              <wp14:pctHeight>0</wp14:pctHeight>
            </wp14:sizeRelV>
          </wp:anchor>
        </w:drawing>
      </w:r>
      <w:r w:rsidR="007A674B">
        <w:rPr>
          <w:lang w:eastAsia="en-US"/>
        </w:rPr>
        <w:t xml:space="preserve">A key enabler </w:t>
      </w:r>
      <w:r w:rsidR="00A10388">
        <w:rPr>
          <w:lang w:eastAsia="en-US"/>
        </w:rPr>
        <w:t xml:space="preserve">for the organisation to achieve our improvement ambitions is our new operating model.  </w:t>
      </w:r>
      <w:r w:rsidR="00741DA4">
        <w:rPr>
          <w:lang w:eastAsia="en-US"/>
        </w:rPr>
        <w:t xml:space="preserve">An </w:t>
      </w:r>
      <w:r w:rsidR="00CD6021">
        <w:rPr>
          <w:lang w:eastAsia="en-US"/>
        </w:rPr>
        <w:t>operating</w:t>
      </w:r>
      <w:r w:rsidR="00741DA4">
        <w:rPr>
          <w:lang w:eastAsia="en-US"/>
        </w:rPr>
        <w:t xml:space="preserve"> model d</w:t>
      </w:r>
      <w:r w:rsidR="00CD6021">
        <w:rPr>
          <w:lang w:eastAsia="en-US"/>
        </w:rPr>
        <w:t xml:space="preserve">escribes how the business of </w:t>
      </w:r>
      <w:r>
        <w:rPr>
          <w:lang w:eastAsia="en-US"/>
        </w:rPr>
        <w:t>a</w:t>
      </w:r>
      <w:r w:rsidR="00CD6021">
        <w:rPr>
          <w:lang w:eastAsia="en-US"/>
        </w:rPr>
        <w:t xml:space="preserve"> Health</w:t>
      </w:r>
      <w:r w:rsidR="00741DA4">
        <w:rPr>
          <w:lang w:eastAsia="en-US"/>
        </w:rPr>
        <w:t xml:space="preserve"> </w:t>
      </w:r>
      <w:r w:rsidR="00CD6021">
        <w:rPr>
          <w:lang w:eastAsia="en-US"/>
        </w:rPr>
        <w:t xml:space="preserve">Board </w:t>
      </w:r>
      <w:r w:rsidR="00741DA4">
        <w:rPr>
          <w:lang w:eastAsia="en-US"/>
        </w:rPr>
        <w:t xml:space="preserve">is </w:t>
      </w:r>
      <w:r w:rsidR="00CD6021">
        <w:rPr>
          <w:lang w:eastAsia="en-US"/>
        </w:rPr>
        <w:t xml:space="preserve">organised and managed.  That includes being clear </w:t>
      </w:r>
      <w:r w:rsidR="006D4B8F">
        <w:rPr>
          <w:lang w:eastAsia="en-US"/>
        </w:rPr>
        <w:t xml:space="preserve">on </w:t>
      </w:r>
      <w:r>
        <w:rPr>
          <w:lang w:eastAsia="en-US"/>
        </w:rPr>
        <w:t>the ‘</w:t>
      </w:r>
      <w:r w:rsidR="00CD6021">
        <w:rPr>
          <w:lang w:eastAsia="en-US"/>
        </w:rPr>
        <w:t>why, how and what</w:t>
      </w:r>
      <w:r>
        <w:rPr>
          <w:lang w:eastAsia="en-US"/>
        </w:rPr>
        <w:t>’</w:t>
      </w:r>
      <w:r w:rsidR="00CD6021">
        <w:rPr>
          <w:lang w:eastAsia="en-US"/>
        </w:rPr>
        <w:t xml:space="preserve"> for the Health Board</w:t>
      </w:r>
      <w:r>
        <w:rPr>
          <w:lang w:eastAsia="en-US"/>
        </w:rPr>
        <w:t>.</w:t>
      </w:r>
    </w:p>
    <w:p w14:paraId="50056782" w14:textId="77777777" w:rsidR="00C913DE" w:rsidRDefault="00C913DE" w:rsidP="00741DA4">
      <w:pPr>
        <w:rPr>
          <w:lang w:eastAsia="en-US"/>
        </w:rPr>
      </w:pPr>
    </w:p>
    <w:p w14:paraId="56D2B4FE" w14:textId="6C766856" w:rsidR="00DD1E8D" w:rsidRDefault="00C913DE" w:rsidP="00741DA4">
      <w:pPr>
        <w:rPr>
          <w:lang w:eastAsia="en-US"/>
        </w:rPr>
      </w:pPr>
      <w:r>
        <w:rPr>
          <w:lang w:eastAsia="en-US"/>
        </w:rPr>
        <w:t xml:space="preserve">The draft vision and emerging Integrated Health and Care Strategy are set out in </w:t>
      </w:r>
      <w:r w:rsidRPr="00164805">
        <w:rPr>
          <w:b/>
          <w:lang w:eastAsia="en-US"/>
        </w:rPr>
        <w:t>section 1.3.2</w:t>
      </w:r>
      <w:r>
        <w:rPr>
          <w:lang w:eastAsia="en-US"/>
        </w:rPr>
        <w:t xml:space="preserve"> and </w:t>
      </w:r>
      <w:r w:rsidRPr="00164805">
        <w:rPr>
          <w:b/>
          <w:lang w:eastAsia="en-US"/>
        </w:rPr>
        <w:t>1.4</w:t>
      </w:r>
      <w:r>
        <w:rPr>
          <w:lang w:eastAsia="en-US"/>
        </w:rPr>
        <w:t xml:space="preserve">.  The work and timeline to develop the values and behaviours for the organisation is set out in </w:t>
      </w:r>
      <w:r w:rsidRPr="00164805">
        <w:rPr>
          <w:b/>
          <w:lang w:eastAsia="en-US"/>
        </w:rPr>
        <w:t>section 1.3.1</w:t>
      </w:r>
      <w:r>
        <w:rPr>
          <w:lang w:eastAsia="en-US"/>
        </w:rPr>
        <w:t xml:space="preserve"> and </w:t>
      </w:r>
      <w:r w:rsidRPr="00164805">
        <w:rPr>
          <w:b/>
          <w:lang w:eastAsia="en-US"/>
        </w:rPr>
        <w:t>section 6.1</w:t>
      </w:r>
      <w:r>
        <w:rPr>
          <w:lang w:eastAsia="en-US"/>
        </w:rPr>
        <w:t xml:space="preserve">.  Below is the </w:t>
      </w:r>
      <w:r w:rsidR="00080933">
        <w:rPr>
          <w:lang w:eastAsia="en-US"/>
        </w:rPr>
        <w:t>further detail on the ‘how’: the operating structure and the corporate governance.</w:t>
      </w:r>
    </w:p>
    <w:p w14:paraId="158D92F2" w14:textId="085636CB" w:rsidR="00DD1E8D" w:rsidRPr="00DD1E8D" w:rsidRDefault="00C913DE" w:rsidP="00326DEF">
      <w:pPr>
        <w:pStyle w:val="Heading3"/>
      </w:pPr>
      <w:r>
        <w:t xml:space="preserve">Operating </w:t>
      </w:r>
      <w:r w:rsidR="00E742F7">
        <w:t>Model</w:t>
      </w:r>
    </w:p>
    <w:p w14:paraId="7DB338A3" w14:textId="585906AC" w:rsidR="00DD1E8D" w:rsidRDefault="00DD1E8D" w:rsidP="00DD1E8D">
      <w:pPr>
        <w:rPr>
          <w:szCs w:val="22"/>
        </w:rPr>
      </w:pPr>
      <w:r>
        <w:rPr>
          <w:szCs w:val="22"/>
        </w:rPr>
        <w:t>A set of principles have been developed to ensure that any new structure is organised for better outcomes for patients and communities, a more satisfying environment for those of us working in and with the Health Board and to promote an increased perspective of the care system in its widest sense, strengthening work with partners in the third sector and local authorities.  These principles which were internally and externally engaged on are:</w:t>
      </w:r>
    </w:p>
    <w:p w14:paraId="26FDA062" w14:textId="5E7EFFED" w:rsidR="00DD1E8D" w:rsidRDefault="00DD1E8D" w:rsidP="00F60A35">
      <w:pPr>
        <w:pStyle w:val="ListParagraph"/>
        <w:numPr>
          <w:ilvl w:val="0"/>
          <w:numId w:val="75"/>
        </w:numPr>
        <w:autoSpaceDE w:val="0"/>
        <w:autoSpaceDN w:val="0"/>
        <w:adjustRightInd w:val="0"/>
        <w:ind w:left="357" w:hanging="357"/>
        <w:rPr>
          <w:szCs w:val="22"/>
        </w:rPr>
      </w:pPr>
      <w:r w:rsidRPr="00DD1E8D">
        <w:rPr>
          <w:b/>
          <w:szCs w:val="22"/>
        </w:rPr>
        <w:t>Empowering People</w:t>
      </w:r>
      <w:r>
        <w:rPr>
          <w:szCs w:val="22"/>
        </w:rPr>
        <w:t>:</w:t>
      </w:r>
      <w:r w:rsidRPr="00DD1E8D">
        <w:rPr>
          <w:szCs w:val="22"/>
        </w:rPr>
        <w:t xml:space="preserve"> Empower staff, entrusting decision making closer to those delivering services. </w:t>
      </w:r>
      <w:r w:rsidR="006D4B8F">
        <w:rPr>
          <w:szCs w:val="22"/>
        </w:rPr>
        <w:t xml:space="preserve"> </w:t>
      </w:r>
      <w:r w:rsidRPr="00DD1E8D">
        <w:rPr>
          <w:szCs w:val="22"/>
        </w:rPr>
        <w:t>Enhance leadership, positive behaviours &amp; ways of working, embedding an open c</w:t>
      </w:r>
      <w:r>
        <w:rPr>
          <w:szCs w:val="22"/>
        </w:rPr>
        <w:t>ulture.</w:t>
      </w:r>
    </w:p>
    <w:p w14:paraId="6414CF97" w14:textId="61A3252A" w:rsidR="00DD1E8D" w:rsidRDefault="00DD1E8D" w:rsidP="00F60A35">
      <w:pPr>
        <w:pStyle w:val="ListParagraph"/>
        <w:numPr>
          <w:ilvl w:val="0"/>
          <w:numId w:val="75"/>
        </w:numPr>
        <w:autoSpaceDE w:val="0"/>
        <w:autoSpaceDN w:val="0"/>
        <w:adjustRightInd w:val="0"/>
        <w:ind w:left="357" w:hanging="357"/>
        <w:rPr>
          <w:szCs w:val="22"/>
        </w:rPr>
      </w:pPr>
      <w:r w:rsidRPr="00DD1E8D">
        <w:rPr>
          <w:b/>
          <w:szCs w:val="22"/>
        </w:rPr>
        <w:t>Community Leadership and Involvement</w:t>
      </w:r>
      <w:r>
        <w:rPr>
          <w:szCs w:val="22"/>
        </w:rPr>
        <w:t>:</w:t>
      </w:r>
      <w:r w:rsidRPr="00DD1E8D">
        <w:rPr>
          <w:szCs w:val="22"/>
        </w:rPr>
        <w:t xml:space="preserve"> Local health needs and wellbeing met through a community and prevention focus. </w:t>
      </w:r>
      <w:r w:rsidR="006D4B8F">
        <w:rPr>
          <w:szCs w:val="22"/>
        </w:rPr>
        <w:t xml:space="preserve"> </w:t>
      </w:r>
      <w:r w:rsidRPr="00DD1E8D">
        <w:rPr>
          <w:szCs w:val="22"/>
        </w:rPr>
        <w:t xml:space="preserve">Foster system leadership, serving the whole person’s needs, through collaboration with partners across all sectors. </w:t>
      </w:r>
      <w:r w:rsidR="006D4B8F">
        <w:rPr>
          <w:szCs w:val="22"/>
        </w:rPr>
        <w:t xml:space="preserve"> </w:t>
      </w:r>
      <w:r w:rsidRPr="00DD1E8D">
        <w:rPr>
          <w:szCs w:val="22"/>
        </w:rPr>
        <w:t xml:space="preserve">Strengthen the voice of our communities, patients, staff and partners </w:t>
      </w:r>
      <w:r>
        <w:rPr>
          <w:szCs w:val="22"/>
        </w:rPr>
        <w:t>in service design and delivery.</w:t>
      </w:r>
    </w:p>
    <w:p w14:paraId="4EED7DB3" w14:textId="4AD5A322" w:rsidR="00DD1E8D" w:rsidRDefault="00DD1E8D" w:rsidP="00F60A35">
      <w:pPr>
        <w:pStyle w:val="ListParagraph"/>
        <w:numPr>
          <w:ilvl w:val="0"/>
          <w:numId w:val="75"/>
        </w:numPr>
        <w:autoSpaceDE w:val="0"/>
        <w:autoSpaceDN w:val="0"/>
        <w:adjustRightInd w:val="0"/>
        <w:ind w:left="357" w:hanging="357"/>
        <w:rPr>
          <w:szCs w:val="22"/>
        </w:rPr>
      </w:pPr>
      <w:r w:rsidRPr="00DD1E8D">
        <w:rPr>
          <w:b/>
          <w:szCs w:val="22"/>
        </w:rPr>
        <w:t>Clinically Led, Community Focused Services</w:t>
      </w:r>
      <w:r>
        <w:rPr>
          <w:szCs w:val="22"/>
        </w:rPr>
        <w:t>:</w:t>
      </w:r>
      <w:r w:rsidRPr="00DD1E8D">
        <w:rPr>
          <w:szCs w:val="22"/>
        </w:rPr>
        <w:t xml:space="preserve"> Consistency in clinical standards and professional practice with quality and safety at the heart of all we do. </w:t>
      </w:r>
      <w:r w:rsidR="006D4B8F">
        <w:rPr>
          <w:szCs w:val="22"/>
        </w:rPr>
        <w:t xml:space="preserve"> </w:t>
      </w:r>
      <w:r w:rsidRPr="00DD1E8D">
        <w:rPr>
          <w:szCs w:val="22"/>
        </w:rPr>
        <w:t>Delivery of high value services and outcomes, as close as possible to our communities, supported by sound mana</w:t>
      </w:r>
      <w:r>
        <w:rPr>
          <w:szCs w:val="22"/>
        </w:rPr>
        <w:t>gement, and corporate services.</w:t>
      </w:r>
    </w:p>
    <w:p w14:paraId="55B66ED8" w14:textId="00E03841" w:rsidR="00DD1E8D" w:rsidRDefault="00DD1E8D" w:rsidP="00F60A35">
      <w:pPr>
        <w:pStyle w:val="ListParagraph"/>
        <w:numPr>
          <w:ilvl w:val="0"/>
          <w:numId w:val="75"/>
        </w:numPr>
        <w:autoSpaceDE w:val="0"/>
        <w:autoSpaceDN w:val="0"/>
        <w:adjustRightInd w:val="0"/>
        <w:ind w:left="357" w:hanging="357"/>
        <w:rPr>
          <w:szCs w:val="22"/>
        </w:rPr>
      </w:pPr>
      <w:r w:rsidRPr="00DD1E8D">
        <w:rPr>
          <w:b/>
          <w:szCs w:val="22"/>
        </w:rPr>
        <w:t>Learning and Innovating for Continual Quality Improvement</w:t>
      </w:r>
      <w:r>
        <w:rPr>
          <w:szCs w:val="22"/>
        </w:rPr>
        <w:t>:</w:t>
      </w:r>
      <w:r w:rsidRPr="00DD1E8D">
        <w:rPr>
          <w:szCs w:val="22"/>
        </w:rPr>
        <w:t xml:space="preserve"> Support research and innovation in all areas to identify, promote and embed continual service improvement. </w:t>
      </w:r>
      <w:r w:rsidR="006D4B8F">
        <w:rPr>
          <w:szCs w:val="22"/>
        </w:rPr>
        <w:t xml:space="preserve"> </w:t>
      </w:r>
      <w:r w:rsidRPr="00DD1E8D">
        <w:rPr>
          <w:szCs w:val="22"/>
        </w:rPr>
        <w:t xml:space="preserve">Enhance team and individual performance through skills development, learning and teaching opportunities, attracting and retaining world class staff. </w:t>
      </w:r>
    </w:p>
    <w:p w14:paraId="536C8B73" w14:textId="34DAD47B" w:rsidR="00DD1E8D" w:rsidRDefault="00DD1E8D" w:rsidP="00F60A35">
      <w:pPr>
        <w:pStyle w:val="ListParagraph"/>
        <w:numPr>
          <w:ilvl w:val="0"/>
          <w:numId w:val="75"/>
        </w:numPr>
        <w:autoSpaceDE w:val="0"/>
        <w:autoSpaceDN w:val="0"/>
        <w:adjustRightInd w:val="0"/>
        <w:ind w:left="357" w:hanging="357"/>
        <w:rPr>
          <w:szCs w:val="22"/>
        </w:rPr>
      </w:pPr>
      <w:r w:rsidRPr="00DD1E8D">
        <w:rPr>
          <w:b/>
          <w:szCs w:val="22"/>
        </w:rPr>
        <w:t>Robust, Simplified and Safe Decision Making</w:t>
      </w:r>
      <w:r>
        <w:rPr>
          <w:szCs w:val="22"/>
        </w:rPr>
        <w:t>:</w:t>
      </w:r>
      <w:r w:rsidRPr="00DD1E8D">
        <w:rPr>
          <w:szCs w:val="22"/>
        </w:rPr>
        <w:t xml:space="preserve"> Deliver good governance, clear accountabilities and organisational sustainability supported by simple, transparent and robust systems, structures, processes and technology. </w:t>
      </w:r>
      <w:r w:rsidR="006D4B8F">
        <w:rPr>
          <w:szCs w:val="22"/>
        </w:rPr>
        <w:t xml:space="preserve"> </w:t>
      </w:r>
      <w:r w:rsidRPr="00DD1E8D">
        <w:rPr>
          <w:szCs w:val="22"/>
        </w:rPr>
        <w:t>Have balanced conversations incorporating quality, performance and finance considerati</w:t>
      </w:r>
      <w:r w:rsidR="00593773">
        <w:rPr>
          <w:szCs w:val="22"/>
        </w:rPr>
        <w:t>ons, enabled by proactive data.</w:t>
      </w:r>
    </w:p>
    <w:p w14:paraId="2165C2E5" w14:textId="7D29B93A" w:rsidR="00593773" w:rsidRDefault="00593773" w:rsidP="00593773">
      <w:pPr>
        <w:autoSpaceDE w:val="0"/>
        <w:autoSpaceDN w:val="0"/>
        <w:adjustRightInd w:val="0"/>
        <w:rPr>
          <w:szCs w:val="22"/>
        </w:rPr>
      </w:pPr>
    </w:p>
    <w:p w14:paraId="17EF6D57" w14:textId="63D164F5" w:rsidR="00593773" w:rsidRDefault="00593773" w:rsidP="00593773">
      <w:pPr>
        <w:autoSpaceDE w:val="0"/>
        <w:autoSpaceDN w:val="0"/>
        <w:adjustRightInd w:val="0"/>
        <w:rPr>
          <w:szCs w:val="22"/>
        </w:rPr>
      </w:pPr>
      <w:r>
        <w:rPr>
          <w:szCs w:val="22"/>
        </w:rPr>
        <w:t xml:space="preserve">Aligning the emerging Integrated Health </w:t>
      </w:r>
      <w:r w:rsidR="006D4B8F">
        <w:rPr>
          <w:szCs w:val="22"/>
        </w:rPr>
        <w:t>&amp;</w:t>
      </w:r>
      <w:r>
        <w:rPr>
          <w:szCs w:val="22"/>
        </w:rPr>
        <w:t xml:space="preserve"> Care Strategy and the principles results in </w:t>
      </w:r>
      <w:r w:rsidR="00BE21DF">
        <w:rPr>
          <w:szCs w:val="22"/>
        </w:rPr>
        <w:t xml:space="preserve">the </w:t>
      </w:r>
      <w:r>
        <w:rPr>
          <w:szCs w:val="22"/>
        </w:rPr>
        <w:t>following high level model:</w:t>
      </w:r>
    </w:p>
    <w:p w14:paraId="765B67D0" w14:textId="731AFE77" w:rsidR="00E962D1" w:rsidRDefault="00E2441A" w:rsidP="00E742F7">
      <w:pPr>
        <w:autoSpaceDE w:val="0"/>
        <w:autoSpaceDN w:val="0"/>
        <w:adjustRightInd w:val="0"/>
        <w:rPr>
          <w:szCs w:val="22"/>
        </w:rPr>
      </w:pPr>
      <w:r>
        <w:rPr>
          <w:noProof/>
          <w:szCs w:val="22"/>
        </w:rPr>
        <w:drawing>
          <wp:anchor distT="0" distB="0" distL="114300" distR="114300" simplePos="0" relativeHeight="252923904" behindDoc="0" locked="0" layoutInCell="1" allowOverlap="1" wp14:anchorId="4A16355F" wp14:editId="64F65628">
            <wp:simplePos x="0" y="0"/>
            <wp:positionH relativeFrom="margin">
              <wp:posOffset>1186180</wp:posOffset>
            </wp:positionH>
            <wp:positionV relativeFrom="paragraph">
              <wp:posOffset>-22225</wp:posOffset>
            </wp:positionV>
            <wp:extent cx="4465320" cy="1628713"/>
            <wp:effectExtent l="0" t="0" r="0" b="0"/>
            <wp:wrapSquare wrapText="bothSides"/>
            <wp:docPr id="1844" name="Picture 1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65320" cy="1628713"/>
                    </a:xfrm>
                    <a:prstGeom prst="rect">
                      <a:avLst/>
                    </a:prstGeom>
                    <a:noFill/>
                  </pic:spPr>
                </pic:pic>
              </a:graphicData>
            </a:graphic>
            <wp14:sizeRelH relativeFrom="margin">
              <wp14:pctWidth>0</wp14:pctWidth>
            </wp14:sizeRelH>
            <wp14:sizeRelV relativeFrom="margin">
              <wp14:pctHeight>0</wp14:pctHeight>
            </wp14:sizeRelV>
          </wp:anchor>
        </w:drawing>
      </w:r>
    </w:p>
    <w:p w14:paraId="41FDD8EA" w14:textId="39676436" w:rsidR="006D4B8F" w:rsidRDefault="006D4B8F" w:rsidP="00593773">
      <w:pPr>
        <w:autoSpaceDE w:val="0"/>
        <w:autoSpaceDN w:val="0"/>
        <w:adjustRightInd w:val="0"/>
        <w:jc w:val="left"/>
        <w:rPr>
          <w:szCs w:val="22"/>
        </w:rPr>
      </w:pPr>
    </w:p>
    <w:p w14:paraId="427760F9" w14:textId="10408226" w:rsidR="006D4B8F" w:rsidRDefault="006D4B8F" w:rsidP="00593773">
      <w:pPr>
        <w:autoSpaceDE w:val="0"/>
        <w:autoSpaceDN w:val="0"/>
        <w:adjustRightInd w:val="0"/>
        <w:jc w:val="left"/>
        <w:rPr>
          <w:szCs w:val="22"/>
        </w:rPr>
      </w:pPr>
    </w:p>
    <w:p w14:paraId="2A5A6E72" w14:textId="77777777" w:rsidR="00E742F7" w:rsidRDefault="00E742F7" w:rsidP="00593773">
      <w:pPr>
        <w:autoSpaceDE w:val="0"/>
        <w:autoSpaceDN w:val="0"/>
        <w:adjustRightInd w:val="0"/>
        <w:jc w:val="left"/>
        <w:rPr>
          <w:szCs w:val="22"/>
        </w:rPr>
      </w:pPr>
    </w:p>
    <w:p w14:paraId="57E8811D" w14:textId="77777777" w:rsidR="00E742F7" w:rsidRDefault="00E742F7" w:rsidP="00593773">
      <w:pPr>
        <w:autoSpaceDE w:val="0"/>
        <w:autoSpaceDN w:val="0"/>
        <w:adjustRightInd w:val="0"/>
        <w:jc w:val="left"/>
        <w:rPr>
          <w:szCs w:val="22"/>
        </w:rPr>
      </w:pPr>
    </w:p>
    <w:p w14:paraId="0DAE1CF1" w14:textId="77777777" w:rsidR="00E742F7" w:rsidRDefault="00E742F7" w:rsidP="00593773">
      <w:pPr>
        <w:autoSpaceDE w:val="0"/>
        <w:autoSpaceDN w:val="0"/>
        <w:adjustRightInd w:val="0"/>
        <w:jc w:val="left"/>
        <w:rPr>
          <w:szCs w:val="22"/>
        </w:rPr>
      </w:pPr>
    </w:p>
    <w:p w14:paraId="6B98F023" w14:textId="77777777" w:rsidR="00E742F7" w:rsidRDefault="00E742F7" w:rsidP="00593773">
      <w:pPr>
        <w:autoSpaceDE w:val="0"/>
        <w:autoSpaceDN w:val="0"/>
        <w:adjustRightInd w:val="0"/>
        <w:jc w:val="left"/>
        <w:rPr>
          <w:szCs w:val="22"/>
        </w:rPr>
      </w:pPr>
    </w:p>
    <w:p w14:paraId="78D013BC" w14:textId="028C8D27" w:rsidR="006D4B8F" w:rsidRDefault="006D4B8F" w:rsidP="00593773">
      <w:pPr>
        <w:autoSpaceDE w:val="0"/>
        <w:autoSpaceDN w:val="0"/>
        <w:adjustRightInd w:val="0"/>
        <w:jc w:val="left"/>
        <w:rPr>
          <w:szCs w:val="22"/>
        </w:rPr>
      </w:pPr>
    </w:p>
    <w:p w14:paraId="7FF85806" w14:textId="64964432" w:rsidR="00593773" w:rsidRDefault="00E962D1" w:rsidP="00593773">
      <w:pPr>
        <w:autoSpaceDE w:val="0"/>
        <w:autoSpaceDN w:val="0"/>
        <w:adjustRightInd w:val="0"/>
        <w:jc w:val="left"/>
        <w:rPr>
          <w:szCs w:val="22"/>
        </w:rPr>
      </w:pPr>
      <w:r>
        <w:rPr>
          <w:szCs w:val="22"/>
        </w:rPr>
        <w:lastRenderedPageBreak/>
        <w:t>Whilst work is still underway to finalise the operating structures, the building blocks of the structure are:</w:t>
      </w:r>
    </w:p>
    <w:p w14:paraId="01BC9F3A" w14:textId="73C321A8" w:rsidR="00593773" w:rsidRDefault="00E742F7" w:rsidP="00E962D1">
      <w:pPr>
        <w:autoSpaceDE w:val="0"/>
        <w:autoSpaceDN w:val="0"/>
        <w:adjustRightInd w:val="0"/>
        <w:jc w:val="center"/>
        <w:rPr>
          <w:szCs w:val="22"/>
        </w:rPr>
      </w:pPr>
      <w:r>
        <w:rPr>
          <w:noProof/>
        </w:rPr>
        <w:drawing>
          <wp:anchor distT="0" distB="0" distL="114300" distR="114300" simplePos="0" relativeHeight="252924928" behindDoc="1" locked="0" layoutInCell="1" allowOverlap="1" wp14:anchorId="0A82B277" wp14:editId="22B2EDDE">
            <wp:simplePos x="0" y="0"/>
            <wp:positionH relativeFrom="margin">
              <wp:posOffset>-76200</wp:posOffset>
            </wp:positionH>
            <wp:positionV relativeFrom="paragraph">
              <wp:posOffset>107950</wp:posOffset>
            </wp:positionV>
            <wp:extent cx="6042660" cy="3524885"/>
            <wp:effectExtent l="0" t="0" r="0" b="0"/>
            <wp:wrapTight wrapText="bothSides">
              <wp:wrapPolygon edited="0">
                <wp:start x="0" y="0"/>
                <wp:lineTo x="0" y="21479"/>
                <wp:lineTo x="21518" y="21479"/>
                <wp:lineTo x="21518" y="0"/>
                <wp:lineTo x="0" y="0"/>
              </wp:wrapPolygon>
            </wp:wrapTight>
            <wp:docPr id="1840" name="Picture 1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l="4493" t="11335" r="55343" b="4658"/>
                    <a:stretch/>
                  </pic:blipFill>
                  <pic:spPr bwMode="auto">
                    <a:xfrm>
                      <a:off x="0" y="0"/>
                      <a:ext cx="6042660" cy="35248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C352500" w14:textId="12C17EF2" w:rsidR="00593773" w:rsidRDefault="00593773" w:rsidP="00E962D1">
      <w:pPr>
        <w:autoSpaceDE w:val="0"/>
        <w:autoSpaceDN w:val="0"/>
        <w:adjustRightInd w:val="0"/>
        <w:jc w:val="center"/>
        <w:rPr>
          <w:noProof/>
        </w:rPr>
      </w:pPr>
    </w:p>
    <w:p w14:paraId="090BEE15" w14:textId="677444C4" w:rsidR="00F0063F" w:rsidRDefault="00F0063F" w:rsidP="00931EA6">
      <w:pPr>
        <w:autoSpaceDE w:val="0"/>
        <w:autoSpaceDN w:val="0"/>
        <w:adjustRightInd w:val="0"/>
        <w:rPr>
          <w:szCs w:val="22"/>
        </w:rPr>
      </w:pPr>
    </w:p>
    <w:p w14:paraId="1BBC8D4C" w14:textId="42C8623C" w:rsidR="00F0063F" w:rsidRDefault="00F0063F" w:rsidP="00931EA6">
      <w:pPr>
        <w:autoSpaceDE w:val="0"/>
        <w:autoSpaceDN w:val="0"/>
        <w:adjustRightInd w:val="0"/>
        <w:rPr>
          <w:szCs w:val="22"/>
        </w:rPr>
      </w:pPr>
    </w:p>
    <w:p w14:paraId="2B8550D6" w14:textId="11A6682D" w:rsidR="00F0063F" w:rsidRDefault="00F0063F" w:rsidP="00931EA6">
      <w:pPr>
        <w:autoSpaceDE w:val="0"/>
        <w:autoSpaceDN w:val="0"/>
        <w:adjustRightInd w:val="0"/>
        <w:rPr>
          <w:szCs w:val="22"/>
        </w:rPr>
      </w:pPr>
    </w:p>
    <w:p w14:paraId="599AFA7E" w14:textId="145F7E3B" w:rsidR="00E12448" w:rsidRDefault="00E12448" w:rsidP="00931EA6">
      <w:pPr>
        <w:autoSpaceDE w:val="0"/>
        <w:autoSpaceDN w:val="0"/>
        <w:adjustRightInd w:val="0"/>
        <w:rPr>
          <w:szCs w:val="22"/>
        </w:rPr>
      </w:pPr>
    </w:p>
    <w:p w14:paraId="29889F39" w14:textId="30C03A42" w:rsidR="00E12448" w:rsidRDefault="00E12448" w:rsidP="00931EA6">
      <w:pPr>
        <w:autoSpaceDE w:val="0"/>
        <w:autoSpaceDN w:val="0"/>
        <w:adjustRightInd w:val="0"/>
        <w:rPr>
          <w:szCs w:val="22"/>
        </w:rPr>
      </w:pPr>
    </w:p>
    <w:p w14:paraId="79511350" w14:textId="7083886A" w:rsidR="00E12448" w:rsidRDefault="00E12448" w:rsidP="00931EA6">
      <w:pPr>
        <w:autoSpaceDE w:val="0"/>
        <w:autoSpaceDN w:val="0"/>
        <w:adjustRightInd w:val="0"/>
        <w:rPr>
          <w:szCs w:val="22"/>
        </w:rPr>
      </w:pPr>
    </w:p>
    <w:p w14:paraId="365EDA73" w14:textId="49D4F8F0" w:rsidR="00E12448" w:rsidRDefault="00E12448" w:rsidP="00931EA6">
      <w:pPr>
        <w:autoSpaceDE w:val="0"/>
        <w:autoSpaceDN w:val="0"/>
        <w:adjustRightInd w:val="0"/>
        <w:rPr>
          <w:szCs w:val="22"/>
        </w:rPr>
      </w:pPr>
    </w:p>
    <w:p w14:paraId="6FEF4750" w14:textId="6A9498BF" w:rsidR="00E12448" w:rsidRDefault="00E12448" w:rsidP="00931EA6">
      <w:pPr>
        <w:autoSpaceDE w:val="0"/>
        <w:autoSpaceDN w:val="0"/>
        <w:adjustRightInd w:val="0"/>
        <w:rPr>
          <w:szCs w:val="22"/>
        </w:rPr>
      </w:pPr>
    </w:p>
    <w:p w14:paraId="498FCA96" w14:textId="62EB3334" w:rsidR="00E12448" w:rsidRDefault="00E12448" w:rsidP="00931EA6">
      <w:pPr>
        <w:autoSpaceDE w:val="0"/>
        <w:autoSpaceDN w:val="0"/>
        <w:adjustRightInd w:val="0"/>
        <w:rPr>
          <w:szCs w:val="22"/>
        </w:rPr>
      </w:pPr>
    </w:p>
    <w:p w14:paraId="2C5BC684" w14:textId="711D655D" w:rsidR="00E12448" w:rsidRDefault="00E12448" w:rsidP="00931EA6">
      <w:pPr>
        <w:autoSpaceDE w:val="0"/>
        <w:autoSpaceDN w:val="0"/>
        <w:adjustRightInd w:val="0"/>
        <w:rPr>
          <w:szCs w:val="22"/>
        </w:rPr>
      </w:pPr>
    </w:p>
    <w:p w14:paraId="029C21A3" w14:textId="77777777" w:rsidR="00E742F7" w:rsidRDefault="00E742F7" w:rsidP="00931EA6">
      <w:pPr>
        <w:autoSpaceDE w:val="0"/>
        <w:autoSpaceDN w:val="0"/>
        <w:adjustRightInd w:val="0"/>
        <w:rPr>
          <w:szCs w:val="22"/>
        </w:rPr>
      </w:pPr>
    </w:p>
    <w:p w14:paraId="3AC32B67" w14:textId="77777777" w:rsidR="00E742F7" w:rsidRDefault="00E742F7" w:rsidP="00931EA6">
      <w:pPr>
        <w:autoSpaceDE w:val="0"/>
        <w:autoSpaceDN w:val="0"/>
        <w:adjustRightInd w:val="0"/>
        <w:rPr>
          <w:szCs w:val="22"/>
        </w:rPr>
      </w:pPr>
    </w:p>
    <w:p w14:paraId="6C64E94E" w14:textId="77777777" w:rsidR="00E742F7" w:rsidRDefault="00E742F7" w:rsidP="00931EA6">
      <w:pPr>
        <w:autoSpaceDE w:val="0"/>
        <w:autoSpaceDN w:val="0"/>
        <w:adjustRightInd w:val="0"/>
        <w:rPr>
          <w:szCs w:val="22"/>
        </w:rPr>
      </w:pPr>
    </w:p>
    <w:p w14:paraId="765752D6" w14:textId="77777777" w:rsidR="00E742F7" w:rsidRDefault="00E742F7" w:rsidP="00931EA6">
      <w:pPr>
        <w:autoSpaceDE w:val="0"/>
        <w:autoSpaceDN w:val="0"/>
        <w:adjustRightInd w:val="0"/>
        <w:rPr>
          <w:szCs w:val="22"/>
        </w:rPr>
      </w:pPr>
    </w:p>
    <w:p w14:paraId="0F11E58A" w14:textId="77777777" w:rsidR="00E742F7" w:rsidRDefault="00E742F7" w:rsidP="00931EA6">
      <w:pPr>
        <w:autoSpaceDE w:val="0"/>
        <w:autoSpaceDN w:val="0"/>
        <w:adjustRightInd w:val="0"/>
        <w:rPr>
          <w:szCs w:val="22"/>
        </w:rPr>
      </w:pPr>
    </w:p>
    <w:p w14:paraId="3C9F941C" w14:textId="77777777" w:rsidR="00E742F7" w:rsidRDefault="00E742F7" w:rsidP="00931EA6">
      <w:pPr>
        <w:autoSpaceDE w:val="0"/>
        <w:autoSpaceDN w:val="0"/>
        <w:adjustRightInd w:val="0"/>
        <w:rPr>
          <w:szCs w:val="22"/>
        </w:rPr>
      </w:pPr>
    </w:p>
    <w:p w14:paraId="5101B9C2" w14:textId="77777777" w:rsidR="00E742F7" w:rsidRDefault="00E742F7" w:rsidP="00931EA6">
      <w:pPr>
        <w:autoSpaceDE w:val="0"/>
        <w:autoSpaceDN w:val="0"/>
        <w:adjustRightInd w:val="0"/>
        <w:rPr>
          <w:szCs w:val="22"/>
        </w:rPr>
      </w:pPr>
    </w:p>
    <w:p w14:paraId="4A401B2C" w14:textId="77777777" w:rsidR="00E742F7" w:rsidRDefault="00E742F7" w:rsidP="00931EA6">
      <w:pPr>
        <w:autoSpaceDE w:val="0"/>
        <w:autoSpaceDN w:val="0"/>
        <w:adjustRightInd w:val="0"/>
        <w:rPr>
          <w:szCs w:val="22"/>
        </w:rPr>
      </w:pPr>
    </w:p>
    <w:p w14:paraId="185F3CB5" w14:textId="77777777" w:rsidR="00E742F7" w:rsidRDefault="00E742F7" w:rsidP="00931EA6">
      <w:pPr>
        <w:autoSpaceDE w:val="0"/>
        <w:autoSpaceDN w:val="0"/>
        <w:adjustRightInd w:val="0"/>
        <w:rPr>
          <w:szCs w:val="22"/>
        </w:rPr>
      </w:pPr>
    </w:p>
    <w:p w14:paraId="18A89771" w14:textId="77777777" w:rsidR="00E742F7" w:rsidRDefault="00E742F7" w:rsidP="00931EA6">
      <w:pPr>
        <w:autoSpaceDE w:val="0"/>
        <w:autoSpaceDN w:val="0"/>
        <w:adjustRightInd w:val="0"/>
        <w:rPr>
          <w:szCs w:val="22"/>
        </w:rPr>
      </w:pPr>
    </w:p>
    <w:p w14:paraId="16C6798F" w14:textId="77777777" w:rsidR="00E742F7" w:rsidRDefault="00E742F7" w:rsidP="00931EA6">
      <w:pPr>
        <w:autoSpaceDE w:val="0"/>
        <w:autoSpaceDN w:val="0"/>
        <w:adjustRightInd w:val="0"/>
        <w:rPr>
          <w:szCs w:val="22"/>
        </w:rPr>
      </w:pPr>
    </w:p>
    <w:p w14:paraId="6C2F9E70" w14:textId="115857EA" w:rsidR="00931EA6" w:rsidRPr="00E962D1" w:rsidRDefault="00931EA6" w:rsidP="00931EA6">
      <w:pPr>
        <w:autoSpaceDE w:val="0"/>
        <w:autoSpaceDN w:val="0"/>
        <w:adjustRightInd w:val="0"/>
        <w:rPr>
          <w:szCs w:val="22"/>
        </w:rPr>
      </w:pPr>
      <w:r>
        <w:rPr>
          <w:szCs w:val="22"/>
        </w:rPr>
        <w:t>This diagram explains further how these groups’ management arrangements and way of doing business could be organised in a way that brings our focus towards our communities, consider the whole person’s needs and also strengthens relationships with clinical colleagues and partners in local authorities and other sectors so we think about people’s pathways.</w:t>
      </w:r>
    </w:p>
    <w:p w14:paraId="51192F7E" w14:textId="329E39E0" w:rsidR="00E12448" w:rsidRDefault="00602C86" w:rsidP="00E12448">
      <w:pPr>
        <w:rPr>
          <w:szCs w:val="22"/>
        </w:rPr>
      </w:pPr>
      <w:r>
        <w:rPr>
          <w:noProof/>
        </w:rPr>
        <w:drawing>
          <wp:anchor distT="0" distB="0" distL="114300" distR="114300" simplePos="0" relativeHeight="252916736" behindDoc="1" locked="0" layoutInCell="1" allowOverlap="1" wp14:anchorId="129D6529" wp14:editId="69412CFB">
            <wp:simplePos x="0" y="0"/>
            <wp:positionH relativeFrom="margin">
              <wp:posOffset>1635760</wp:posOffset>
            </wp:positionH>
            <wp:positionV relativeFrom="paragraph">
              <wp:posOffset>7620</wp:posOffset>
            </wp:positionV>
            <wp:extent cx="3550285" cy="3390900"/>
            <wp:effectExtent l="0" t="0" r="0" b="0"/>
            <wp:wrapTight wrapText="bothSides">
              <wp:wrapPolygon edited="0">
                <wp:start x="0" y="0"/>
                <wp:lineTo x="0" y="21479"/>
                <wp:lineTo x="21442" y="21479"/>
                <wp:lineTo x="21442"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3550285" cy="3390900"/>
                    </a:xfrm>
                    <a:prstGeom prst="rect">
                      <a:avLst/>
                    </a:prstGeom>
                  </pic:spPr>
                </pic:pic>
              </a:graphicData>
            </a:graphic>
            <wp14:sizeRelH relativeFrom="margin">
              <wp14:pctWidth>0</wp14:pctWidth>
            </wp14:sizeRelH>
            <wp14:sizeRelV relativeFrom="margin">
              <wp14:pctHeight>0</wp14:pctHeight>
            </wp14:sizeRelV>
          </wp:anchor>
        </w:drawing>
      </w:r>
    </w:p>
    <w:p w14:paraId="68EE4DEB" w14:textId="7606EB60" w:rsidR="00E12448" w:rsidRDefault="00E12448" w:rsidP="00E12448">
      <w:pPr>
        <w:rPr>
          <w:szCs w:val="22"/>
        </w:rPr>
      </w:pPr>
    </w:p>
    <w:p w14:paraId="193027A9" w14:textId="52D78F38" w:rsidR="00E12448" w:rsidRDefault="00E12448" w:rsidP="00E12448">
      <w:pPr>
        <w:rPr>
          <w:szCs w:val="22"/>
        </w:rPr>
      </w:pPr>
    </w:p>
    <w:p w14:paraId="12C3AFB2" w14:textId="77777777" w:rsidR="00BE21DF" w:rsidRDefault="00BE21DF" w:rsidP="00E12448">
      <w:pPr>
        <w:rPr>
          <w:szCs w:val="22"/>
        </w:rPr>
      </w:pPr>
    </w:p>
    <w:p w14:paraId="0E111066" w14:textId="77777777" w:rsidR="00602C86" w:rsidRDefault="00602C86" w:rsidP="00E12448">
      <w:pPr>
        <w:rPr>
          <w:szCs w:val="22"/>
        </w:rPr>
      </w:pPr>
    </w:p>
    <w:p w14:paraId="3004AAEC" w14:textId="77777777" w:rsidR="00602C86" w:rsidRDefault="00602C86" w:rsidP="00E12448">
      <w:pPr>
        <w:rPr>
          <w:szCs w:val="22"/>
        </w:rPr>
      </w:pPr>
    </w:p>
    <w:p w14:paraId="3E1DEA4A" w14:textId="77777777" w:rsidR="00602C86" w:rsidRDefault="00602C86" w:rsidP="00E12448">
      <w:pPr>
        <w:rPr>
          <w:szCs w:val="22"/>
        </w:rPr>
      </w:pPr>
    </w:p>
    <w:p w14:paraId="1CB1E876" w14:textId="77777777" w:rsidR="00602C86" w:rsidRDefault="00602C86" w:rsidP="00E12448">
      <w:pPr>
        <w:rPr>
          <w:szCs w:val="22"/>
        </w:rPr>
      </w:pPr>
    </w:p>
    <w:p w14:paraId="702FA698" w14:textId="77777777" w:rsidR="00602C86" w:rsidRDefault="00602C86" w:rsidP="00E12448">
      <w:pPr>
        <w:rPr>
          <w:szCs w:val="22"/>
        </w:rPr>
      </w:pPr>
    </w:p>
    <w:p w14:paraId="6F170A1B" w14:textId="77777777" w:rsidR="00602C86" w:rsidRDefault="00602C86" w:rsidP="00E12448">
      <w:pPr>
        <w:rPr>
          <w:szCs w:val="22"/>
        </w:rPr>
      </w:pPr>
    </w:p>
    <w:p w14:paraId="61EB956F" w14:textId="77777777" w:rsidR="00602C86" w:rsidRDefault="00602C86" w:rsidP="00E12448">
      <w:pPr>
        <w:rPr>
          <w:szCs w:val="22"/>
        </w:rPr>
      </w:pPr>
    </w:p>
    <w:p w14:paraId="25D0A542" w14:textId="77777777" w:rsidR="00602C86" w:rsidRDefault="00602C86" w:rsidP="00E12448">
      <w:pPr>
        <w:rPr>
          <w:szCs w:val="22"/>
        </w:rPr>
      </w:pPr>
    </w:p>
    <w:p w14:paraId="506097F6" w14:textId="77777777" w:rsidR="00602C86" w:rsidRDefault="00602C86" w:rsidP="00E12448">
      <w:pPr>
        <w:rPr>
          <w:szCs w:val="22"/>
        </w:rPr>
      </w:pPr>
    </w:p>
    <w:p w14:paraId="24B2A10B" w14:textId="77777777" w:rsidR="00602C86" w:rsidRDefault="00602C86" w:rsidP="00E12448">
      <w:pPr>
        <w:rPr>
          <w:szCs w:val="22"/>
        </w:rPr>
      </w:pPr>
    </w:p>
    <w:p w14:paraId="73D8F351" w14:textId="77777777" w:rsidR="00602C86" w:rsidRDefault="00602C86" w:rsidP="00E12448">
      <w:pPr>
        <w:rPr>
          <w:szCs w:val="22"/>
        </w:rPr>
      </w:pPr>
    </w:p>
    <w:p w14:paraId="64FB5FD6" w14:textId="77777777" w:rsidR="00602C86" w:rsidRDefault="00602C86" w:rsidP="00E12448">
      <w:pPr>
        <w:rPr>
          <w:szCs w:val="22"/>
        </w:rPr>
      </w:pPr>
    </w:p>
    <w:p w14:paraId="1A9886DC" w14:textId="77777777" w:rsidR="00602C86" w:rsidRDefault="00602C86" w:rsidP="00E12448">
      <w:pPr>
        <w:rPr>
          <w:szCs w:val="22"/>
        </w:rPr>
      </w:pPr>
    </w:p>
    <w:p w14:paraId="687A71E6" w14:textId="77777777" w:rsidR="00602C86" w:rsidRDefault="00602C86" w:rsidP="00E12448">
      <w:pPr>
        <w:rPr>
          <w:szCs w:val="22"/>
        </w:rPr>
      </w:pPr>
    </w:p>
    <w:p w14:paraId="3C706570" w14:textId="77777777" w:rsidR="00602C86" w:rsidRDefault="00602C86" w:rsidP="00E12448">
      <w:pPr>
        <w:rPr>
          <w:szCs w:val="22"/>
        </w:rPr>
      </w:pPr>
    </w:p>
    <w:p w14:paraId="3EF04E35" w14:textId="77777777" w:rsidR="00602C86" w:rsidRDefault="00602C86" w:rsidP="00E12448">
      <w:pPr>
        <w:rPr>
          <w:szCs w:val="22"/>
        </w:rPr>
      </w:pPr>
    </w:p>
    <w:p w14:paraId="42A2DA07" w14:textId="40054915" w:rsidR="00741DA4" w:rsidRPr="004E02DC" w:rsidRDefault="00883972" w:rsidP="00883972">
      <w:pPr>
        <w:pStyle w:val="Heading2"/>
      </w:pPr>
      <w:r>
        <w:t xml:space="preserve">Quality and Corporate </w:t>
      </w:r>
      <w:r w:rsidR="00BE21DF">
        <w:t>G</w:t>
      </w:r>
      <w:r w:rsidR="00741DA4" w:rsidRPr="004E02DC">
        <w:t>overnance</w:t>
      </w:r>
    </w:p>
    <w:p w14:paraId="44B1930C" w14:textId="6CBFB722" w:rsidR="00C11691" w:rsidRDefault="00874781" w:rsidP="00C11691">
      <w:pPr>
        <w:pStyle w:val="NormalWeb"/>
        <w:spacing w:before="0" w:beforeAutospacing="0" w:after="0" w:afterAutospacing="0"/>
        <w:rPr>
          <w:rFonts w:asciiTheme="minorHAnsi" w:hAnsiTheme="minorHAnsi" w:cstheme="minorHAnsi"/>
          <w:color w:val="000000"/>
        </w:rPr>
      </w:pPr>
      <w:r w:rsidRPr="005425DF">
        <w:rPr>
          <w:rFonts w:asciiTheme="minorHAnsi" w:hAnsiTheme="minorHAnsi" w:cs="Arial"/>
          <w:iCs/>
          <w:szCs w:val="22"/>
        </w:rPr>
        <w:t>A different approach is being actively developed in the new organisation to ensure a culture, mind-set and behaviours that reflect its emerging ambition as a patient/community centred and qu</w:t>
      </w:r>
      <w:r w:rsidR="00C06B3A">
        <w:rPr>
          <w:rFonts w:asciiTheme="minorHAnsi" w:hAnsiTheme="minorHAnsi" w:cs="Arial"/>
          <w:iCs/>
          <w:szCs w:val="22"/>
        </w:rPr>
        <w:t xml:space="preserve">ality driven organisation. The </w:t>
      </w:r>
      <w:r w:rsidR="00563611">
        <w:rPr>
          <w:rFonts w:asciiTheme="minorHAnsi" w:hAnsiTheme="minorHAnsi" w:cs="Arial"/>
          <w:iCs/>
          <w:szCs w:val="22"/>
        </w:rPr>
        <w:t xml:space="preserve">UHB </w:t>
      </w:r>
      <w:r w:rsidRPr="005425DF">
        <w:rPr>
          <w:rFonts w:asciiTheme="minorHAnsi" w:hAnsiTheme="minorHAnsi" w:cs="Arial"/>
          <w:iCs/>
          <w:szCs w:val="22"/>
        </w:rPr>
        <w:t xml:space="preserve">is committed to creating a cohesive </w:t>
      </w:r>
      <w:r w:rsidR="00C06B3A">
        <w:rPr>
          <w:rFonts w:asciiTheme="minorHAnsi" w:hAnsiTheme="minorHAnsi" w:cs="Arial"/>
          <w:iCs/>
          <w:szCs w:val="22"/>
        </w:rPr>
        <w:t>organisation</w:t>
      </w:r>
      <w:r w:rsidRPr="005425DF">
        <w:rPr>
          <w:rFonts w:asciiTheme="minorHAnsi" w:hAnsiTheme="minorHAnsi" w:cs="Arial"/>
          <w:iCs/>
          <w:szCs w:val="22"/>
        </w:rPr>
        <w:t>, clear on its vision for the future, underpinned by shared values and behaviours, and a strong quality governance framework</w:t>
      </w:r>
      <w:r w:rsidR="00C06B3A">
        <w:rPr>
          <w:rFonts w:asciiTheme="minorHAnsi" w:hAnsiTheme="minorHAnsi" w:cs="Arial"/>
          <w:iCs/>
          <w:szCs w:val="22"/>
        </w:rPr>
        <w:t xml:space="preserve"> </w:t>
      </w:r>
      <w:r w:rsidR="00563611">
        <w:rPr>
          <w:rFonts w:asciiTheme="minorHAnsi" w:hAnsiTheme="minorHAnsi" w:cs="Arial"/>
          <w:iCs/>
          <w:szCs w:val="22"/>
        </w:rPr>
        <w:t>(</w:t>
      </w:r>
      <w:r w:rsidR="00C06B3A" w:rsidRPr="00C06B3A">
        <w:rPr>
          <w:rFonts w:asciiTheme="minorHAnsi" w:hAnsiTheme="minorHAnsi" w:cs="Arial"/>
          <w:b/>
          <w:iCs/>
          <w:szCs w:val="22"/>
        </w:rPr>
        <w:t>Chapter 4</w:t>
      </w:r>
      <w:r w:rsidR="00563611">
        <w:rPr>
          <w:rFonts w:asciiTheme="minorHAnsi" w:hAnsiTheme="minorHAnsi" w:cs="Arial"/>
          <w:b/>
          <w:iCs/>
          <w:szCs w:val="22"/>
        </w:rPr>
        <w:t>)</w:t>
      </w:r>
      <w:r>
        <w:rPr>
          <w:rFonts w:asciiTheme="minorHAnsi" w:hAnsiTheme="minorHAnsi" w:cs="Arial"/>
          <w:iCs/>
          <w:szCs w:val="22"/>
        </w:rPr>
        <w:t xml:space="preserve">. </w:t>
      </w:r>
      <w:r w:rsidR="00563611">
        <w:rPr>
          <w:rFonts w:asciiTheme="minorHAnsi" w:hAnsiTheme="minorHAnsi" w:cs="Arial"/>
          <w:iCs/>
          <w:szCs w:val="22"/>
        </w:rPr>
        <w:t xml:space="preserve"> </w:t>
      </w:r>
      <w:r w:rsidRPr="00653CD4">
        <w:rPr>
          <w:rFonts w:asciiTheme="minorHAnsi" w:hAnsiTheme="minorHAnsi" w:cstheme="minorHAnsi"/>
          <w:color w:val="000000"/>
          <w:szCs w:val="22"/>
        </w:rPr>
        <w:t xml:space="preserve">Changes are being made to strengthen </w:t>
      </w:r>
      <w:r w:rsidRPr="008B2CBA">
        <w:rPr>
          <w:rFonts w:asciiTheme="minorHAnsi" w:hAnsiTheme="minorHAnsi" w:cstheme="minorHAnsi"/>
          <w:color w:val="000000"/>
          <w:szCs w:val="22"/>
        </w:rPr>
        <w:t xml:space="preserve">quality and governance, engagement and involvement, leadership and culture and improvements </w:t>
      </w:r>
      <w:r w:rsidR="00A10388">
        <w:rPr>
          <w:rFonts w:asciiTheme="minorHAnsi" w:hAnsiTheme="minorHAnsi" w:cstheme="minorHAnsi"/>
          <w:color w:val="000000"/>
          <w:szCs w:val="22"/>
        </w:rPr>
        <w:lastRenderedPageBreak/>
        <w:t xml:space="preserve">across our organisation and particularly </w:t>
      </w:r>
      <w:r w:rsidRPr="008B2CBA">
        <w:rPr>
          <w:rFonts w:asciiTheme="minorHAnsi" w:hAnsiTheme="minorHAnsi" w:cstheme="minorHAnsi"/>
          <w:color w:val="000000"/>
          <w:szCs w:val="22"/>
        </w:rPr>
        <w:t xml:space="preserve">in our maternity services. </w:t>
      </w:r>
      <w:r w:rsidR="006D4B8F">
        <w:rPr>
          <w:rFonts w:asciiTheme="minorHAnsi" w:hAnsiTheme="minorHAnsi" w:cstheme="minorHAnsi"/>
          <w:color w:val="000000"/>
          <w:szCs w:val="22"/>
        </w:rPr>
        <w:t xml:space="preserve"> </w:t>
      </w:r>
      <w:r w:rsidRPr="005425DF">
        <w:rPr>
          <w:rFonts w:asciiTheme="minorHAnsi" w:hAnsiTheme="minorHAnsi" w:cstheme="minorHAnsi"/>
          <w:color w:val="000000"/>
          <w:szCs w:val="22"/>
        </w:rPr>
        <w:t xml:space="preserve">As part of this work </w:t>
      </w:r>
      <w:r>
        <w:rPr>
          <w:rFonts w:asciiTheme="minorHAnsi" w:hAnsiTheme="minorHAnsi" w:cstheme="minorHAnsi"/>
          <w:color w:val="000000"/>
          <w:szCs w:val="22"/>
        </w:rPr>
        <w:t xml:space="preserve">the </w:t>
      </w:r>
      <w:r w:rsidR="006D4B8F">
        <w:rPr>
          <w:rFonts w:asciiTheme="minorHAnsi" w:hAnsiTheme="minorHAnsi" w:cstheme="minorHAnsi"/>
          <w:color w:val="000000"/>
          <w:szCs w:val="22"/>
        </w:rPr>
        <w:t xml:space="preserve">UHB </w:t>
      </w:r>
      <w:r w:rsidRPr="003F3078">
        <w:rPr>
          <w:rFonts w:asciiTheme="minorHAnsi" w:hAnsiTheme="minorHAnsi" w:cstheme="minorHAnsi"/>
          <w:color w:val="000000"/>
          <w:szCs w:val="22"/>
        </w:rPr>
        <w:t>is strengthening how it scrutinises and gains assurance on behalf of all stakeholders, linking with the work</w:t>
      </w:r>
      <w:r w:rsidRPr="00C11691">
        <w:rPr>
          <w:rFonts w:asciiTheme="minorHAnsi" w:hAnsiTheme="minorHAnsi" w:cstheme="minorHAnsi"/>
          <w:color w:val="000000"/>
        </w:rPr>
        <w:t xml:space="preserve"> underway on implementing the new operating model and subsequent management and accountability structures supporting the de</w:t>
      </w:r>
      <w:r>
        <w:rPr>
          <w:rFonts w:asciiTheme="minorHAnsi" w:hAnsiTheme="minorHAnsi" w:cstheme="minorHAnsi"/>
          <w:color w:val="000000"/>
        </w:rPr>
        <w:t>livery of operational services.</w:t>
      </w:r>
    </w:p>
    <w:p w14:paraId="3EF9D7E3" w14:textId="77777777" w:rsidR="00C11691" w:rsidRPr="00C11691" w:rsidRDefault="00C11691" w:rsidP="00C11691">
      <w:pPr>
        <w:pStyle w:val="NormalWeb"/>
        <w:spacing w:before="0" w:beforeAutospacing="0" w:after="0" w:afterAutospacing="0"/>
        <w:rPr>
          <w:rFonts w:asciiTheme="minorHAnsi" w:hAnsiTheme="minorHAnsi" w:cstheme="minorHAnsi"/>
          <w:color w:val="000000"/>
        </w:rPr>
      </w:pPr>
    </w:p>
    <w:p w14:paraId="6B62F9F1" w14:textId="786909D2" w:rsidR="00C11691" w:rsidRDefault="00C11691" w:rsidP="00C11691">
      <w:pPr>
        <w:pStyle w:val="NormalWeb"/>
        <w:spacing w:before="0" w:beforeAutospacing="0" w:after="0" w:afterAutospacing="0"/>
        <w:rPr>
          <w:rFonts w:asciiTheme="minorHAnsi" w:hAnsiTheme="minorHAnsi"/>
          <w:szCs w:val="22"/>
        </w:rPr>
      </w:pPr>
      <w:r w:rsidRPr="00C11691">
        <w:rPr>
          <w:rFonts w:asciiTheme="minorHAnsi" w:hAnsiTheme="minorHAnsi"/>
          <w:szCs w:val="22"/>
        </w:rPr>
        <w:t>The Board is responsible for determining policy, setting strategic direction, delivering safe, quality services and ensuring that there are effective internal control mechanisms for the Health Board to support the delivery of high standards of clinical and corporate governance.  This is, of course, set against a backdrop of the Health Board ensuring that it remains responsive to the needs of its co</w:t>
      </w:r>
      <w:r>
        <w:rPr>
          <w:rFonts w:asciiTheme="minorHAnsi" w:hAnsiTheme="minorHAnsi"/>
          <w:szCs w:val="22"/>
        </w:rPr>
        <w:t>mmunities and key stakeholders.</w:t>
      </w:r>
    </w:p>
    <w:p w14:paraId="658D4A52" w14:textId="77777777" w:rsidR="00C11691" w:rsidRPr="00C11691" w:rsidRDefault="00C11691" w:rsidP="00C11691">
      <w:pPr>
        <w:pStyle w:val="NormalWeb"/>
        <w:spacing w:before="0" w:beforeAutospacing="0" w:after="0" w:afterAutospacing="0"/>
        <w:rPr>
          <w:rFonts w:asciiTheme="minorHAnsi" w:hAnsiTheme="minorHAnsi"/>
          <w:szCs w:val="22"/>
        </w:rPr>
      </w:pPr>
    </w:p>
    <w:p w14:paraId="4F1B706F" w14:textId="29E66DD7" w:rsidR="00C11691" w:rsidRPr="00C11691" w:rsidRDefault="00C11691" w:rsidP="00C11691">
      <w:pPr>
        <w:rPr>
          <w:rFonts w:asciiTheme="minorHAnsi" w:hAnsiTheme="minorHAnsi"/>
          <w:szCs w:val="22"/>
        </w:rPr>
      </w:pPr>
      <w:r w:rsidRPr="00C11691">
        <w:rPr>
          <w:rFonts w:asciiTheme="minorHAnsi" w:hAnsiTheme="minorHAnsi"/>
          <w:szCs w:val="22"/>
        </w:rPr>
        <w:t xml:space="preserve">The system of internal control is informed by the work of internal auditors, clinical audit and Directors within the organisation who have responsibility for the development and maintenance of risk assurance and internal control frameworks.  Comments on this are made by the </w:t>
      </w:r>
      <w:r w:rsidR="002A71AF">
        <w:rPr>
          <w:rFonts w:asciiTheme="minorHAnsi" w:hAnsiTheme="minorHAnsi"/>
          <w:szCs w:val="22"/>
        </w:rPr>
        <w:t>WAO</w:t>
      </w:r>
      <w:r w:rsidRPr="00C11691">
        <w:rPr>
          <w:rFonts w:asciiTheme="minorHAnsi" w:hAnsiTheme="minorHAnsi"/>
          <w:szCs w:val="22"/>
        </w:rPr>
        <w:t xml:space="preserve">, as the external auditors, in their Annual Audit Report and other reports including the Structured Assessment.  The work of </w:t>
      </w:r>
      <w:r>
        <w:rPr>
          <w:rFonts w:asciiTheme="minorHAnsi" w:hAnsiTheme="minorHAnsi"/>
          <w:szCs w:val="22"/>
        </w:rPr>
        <w:t>HIW</w:t>
      </w:r>
      <w:r w:rsidRPr="00C11691">
        <w:rPr>
          <w:rFonts w:asciiTheme="minorHAnsi" w:hAnsiTheme="minorHAnsi"/>
          <w:szCs w:val="22"/>
        </w:rPr>
        <w:t xml:space="preserve"> has an important and significant impact in the Health Board, from </w:t>
      </w:r>
      <w:r w:rsidR="0009759F" w:rsidRPr="00C11691">
        <w:rPr>
          <w:rFonts w:asciiTheme="minorHAnsi" w:hAnsiTheme="minorHAnsi"/>
          <w:szCs w:val="22"/>
        </w:rPr>
        <w:t>both their planned and unplanned inspections and</w:t>
      </w:r>
      <w:r w:rsidRPr="00C11691">
        <w:rPr>
          <w:rFonts w:asciiTheme="minorHAnsi" w:hAnsiTheme="minorHAnsi"/>
          <w:szCs w:val="22"/>
        </w:rPr>
        <w:t xml:space="preserve"> reports.  </w:t>
      </w:r>
      <w:r w:rsidR="006D4B8F">
        <w:rPr>
          <w:rFonts w:asciiTheme="minorHAnsi" w:hAnsiTheme="minorHAnsi"/>
          <w:szCs w:val="22"/>
        </w:rPr>
        <w:t>I</w:t>
      </w:r>
      <w:r w:rsidRPr="00C11691">
        <w:rPr>
          <w:rFonts w:asciiTheme="minorHAnsi" w:hAnsiTheme="minorHAnsi"/>
          <w:szCs w:val="22"/>
        </w:rPr>
        <w:t>nspections and reports provided by other regulators also contribute significantly to improving the quality of services provided.  As well as responding appropriately to the actions required within individual reports, the Health Board is striving to ensure that general lessons are learned</w:t>
      </w:r>
      <w:r w:rsidR="00874781">
        <w:rPr>
          <w:rFonts w:asciiTheme="minorHAnsi" w:hAnsiTheme="minorHAnsi"/>
          <w:szCs w:val="22"/>
        </w:rPr>
        <w:t>.</w:t>
      </w:r>
      <w:r w:rsidR="006D4B8F">
        <w:rPr>
          <w:rFonts w:asciiTheme="minorHAnsi" w:hAnsiTheme="minorHAnsi"/>
          <w:szCs w:val="22"/>
        </w:rPr>
        <w:t xml:space="preserve"> </w:t>
      </w:r>
      <w:r w:rsidRPr="00C11691">
        <w:rPr>
          <w:rFonts w:asciiTheme="minorHAnsi" w:hAnsiTheme="minorHAnsi"/>
          <w:szCs w:val="22"/>
        </w:rPr>
        <w:t xml:space="preserve"> </w:t>
      </w:r>
      <w:r w:rsidR="00874781">
        <w:rPr>
          <w:rFonts w:asciiTheme="minorHAnsi" w:hAnsiTheme="minorHAnsi"/>
          <w:szCs w:val="22"/>
        </w:rPr>
        <w:t>As a new</w:t>
      </w:r>
      <w:r w:rsidR="00973887">
        <w:rPr>
          <w:rFonts w:asciiTheme="minorHAnsi" w:hAnsiTheme="minorHAnsi"/>
          <w:szCs w:val="22"/>
        </w:rPr>
        <w:t>ly formed o</w:t>
      </w:r>
      <w:r w:rsidR="00874781">
        <w:rPr>
          <w:rFonts w:asciiTheme="minorHAnsi" w:hAnsiTheme="minorHAnsi"/>
          <w:szCs w:val="22"/>
        </w:rPr>
        <w:t xml:space="preserve">rganisation, </w:t>
      </w:r>
      <w:r w:rsidR="00DB0AF0">
        <w:rPr>
          <w:rFonts w:asciiTheme="minorHAnsi" w:hAnsiTheme="minorHAnsi"/>
          <w:szCs w:val="22"/>
        </w:rPr>
        <w:t>CTMUHB</w:t>
      </w:r>
      <w:r w:rsidR="00874781">
        <w:rPr>
          <w:rFonts w:asciiTheme="minorHAnsi" w:hAnsiTheme="minorHAnsi"/>
          <w:szCs w:val="22"/>
        </w:rPr>
        <w:t xml:space="preserve"> has the opportunity to ensure that learning from all areas of the organisation is encouraged in an open and transparent manner, as well as from and</w:t>
      </w:r>
      <w:r w:rsidR="00874781" w:rsidRPr="00C11691">
        <w:rPr>
          <w:rFonts w:asciiTheme="minorHAnsi" w:hAnsiTheme="minorHAnsi"/>
          <w:szCs w:val="22"/>
        </w:rPr>
        <w:t xml:space="preserve"> with the wider NHS in Wales.  </w:t>
      </w:r>
      <w:r w:rsidR="00874781">
        <w:rPr>
          <w:rFonts w:asciiTheme="minorHAnsi" w:hAnsiTheme="minorHAnsi"/>
          <w:szCs w:val="22"/>
        </w:rPr>
        <w:t xml:space="preserve">We recognise that </w:t>
      </w:r>
      <w:r w:rsidR="00874781" w:rsidRPr="00C11691">
        <w:rPr>
          <w:rFonts w:asciiTheme="minorHAnsi" w:hAnsiTheme="minorHAnsi"/>
          <w:szCs w:val="22"/>
        </w:rPr>
        <w:t xml:space="preserve">further work </w:t>
      </w:r>
      <w:r w:rsidR="00582F57">
        <w:rPr>
          <w:rFonts w:asciiTheme="minorHAnsi" w:hAnsiTheme="minorHAnsi"/>
          <w:szCs w:val="22"/>
        </w:rPr>
        <w:t xml:space="preserve">is required </w:t>
      </w:r>
      <w:r w:rsidR="00874781" w:rsidRPr="00C11691">
        <w:rPr>
          <w:rFonts w:asciiTheme="minorHAnsi" w:hAnsiTheme="minorHAnsi"/>
          <w:szCs w:val="22"/>
        </w:rPr>
        <w:t>to progress this and to be able to demonstrate delivery.  The Board is considering how the ‘duty of candour’ is also a more integral part of the everyday work of the Board, with changes being made to the approach of the Board and structure of the Committees to strengthen assurance and prom</w:t>
      </w:r>
      <w:r w:rsidR="00874781">
        <w:rPr>
          <w:rFonts w:asciiTheme="minorHAnsi" w:hAnsiTheme="minorHAnsi"/>
          <w:szCs w:val="22"/>
        </w:rPr>
        <w:t>ote openness and transparency.</w:t>
      </w:r>
    </w:p>
    <w:p w14:paraId="6AB54317" w14:textId="77777777" w:rsidR="00C11691" w:rsidRPr="00C11691" w:rsidRDefault="00C11691" w:rsidP="00C11691">
      <w:pPr>
        <w:rPr>
          <w:rFonts w:asciiTheme="minorHAnsi" w:hAnsiTheme="minorHAnsi"/>
          <w:szCs w:val="22"/>
        </w:rPr>
      </w:pPr>
    </w:p>
    <w:p w14:paraId="46DBB15B" w14:textId="351FFBC9" w:rsidR="00C11691" w:rsidRPr="00C11691" w:rsidRDefault="00C11691" w:rsidP="00C11691">
      <w:pPr>
        <w:rPr>
          <w:rFonts w:asciiTheme="minorHAnsi" w:hAnsiTheme="minorHAnsi"/>
          <w:szCs w:val="22"/>
        </w:rPr>
      </w:pPr>
      <w:r w:rsidRPr="00C11691">
        <w:rPr>
          <w:rFonts w:asciiTheme="minorHAnsi" w:hAnsiTheme="minorHAnsi"/>
          <w:szCs w:val="22"/>
        </w:rPr>
        <w:t xml:space="preserve">We also have a very active Community Health Council </w:t>
      </w:r>
      <w:r w:rsidR="002A71AF">
        <w:rPr>
          <w:rFonts w:asciiTheme="minorHAnsi" w:hAnsiTheme="minorHAnsi"/>
          <w:szCs w:val="22"/>
        </w:rPr>
        <w:t xml:space="preserve">(CHC) </w:t>
      </w:r>
      <w:r w:rsidRPr="00C11691">
        <w:rPr>
          <w:rFonts w:asciiTheme="minorHAnsi" w:hAnsiTheme="minorHAnsi"/>
          <w:szCs w:val="22"/>
        </w:rPr>
        <w:t xml:space="preserve">who undertake a comprehensive visiting programme and their feedback and engagement with the Health Board is a key assurance tool utilised by the organisation.  </w:t>
      </w:r>
    </w:p>
    <w:p w14:paraId="752FCE64" w14:textId="77777777" w:rsidR="00C11691" w:rsidRPr="00C11691" w:rsidRDefault="00C11691" w:rsidP="00C11691">
      <w:pPr>
        <w:rPr>
          <w:rFonts w:asciiTheme="minorHAnsi" w:hAnsiTheme="minorHAnsi"/>
          <w:szCs w:val="22"/>
        </w:rPr>
      </w:pPr>
    </w:p>
    <w:p w14:paraId="460DC678" w14:textId="755CA6CE" w:rsidR="00C11691" w:rsidRPr="00C11691" w:rsidRDefault="00C11691" w:rsidP="00C11691">
      <w:pPr>
        <w:rPr>
          <w:rFonts w:asciiTheme="minorHAnsi" w:hAnsiTheme="minorHAnsi"/>
          <w:szCs w:val="22"/>
        </w:rPr>
      </w:pPr>
      <w:r w:rsidRPr="00C11691">
        <w:rPr>
          <w:rFonts w:asciiTheme="minorHAnsi" w:hAnsiTheme="minorHAnsi"/>
          <w:szCs w:val="22"/>
        </w:rPr>
        <w:t>The Board takes its accountability for clinical go</w:t>
      </w:r>
      <w:r w:rsidR="00973887">
        <w:rPr>
          <w:rFonts w:asciiTheme="minorHAnsi" w:hAnsiTheme="minorHAnsi"/>
          <w:szCs w:val="22"/>
        </w:rPr>
        <w:t>vernance, corporate governance</w:t>
      </w:r>
      <w:r w:rsidRPr="00C11691">
        <w:rPr>
          <w:rFonts w:asciiTheme="minorHAnsi" w:hAnsiTheme="minorHAnsi"/>
          <w:szCs w:val="22"/>
        </w:rPr>
        <w:t xml:space="preserve">, risk management, serious incident reporting and matters of internal control seriously.  A review of Ward to Board risk management is underway and will be linked to a re-fresh of the Board Assurance Framework during 2020. </w:t>
      </w:r>
    </w:p>
    <w:p w14:paraId="1983B20D" w14:textId="77777777" w:rsidR="00C11691" w:rsidRPr="00C11691" w:rsidRDefault="00C11691" w:rsidP="00C11691">
      <w:pPr>
        <w:autoSpaceDE w:val="0"/>
        <w:autoSpaceDN w:val="0"/>
        <w:adjustRightInd w:val="0"/>
        <w:rPr>
          <w:rFonts w:asciiTheme="minorHAnsi" w:hAnsiTheme="minorHAnsi"/>
          <w:szCs w:val="22"/>
        </w:rPr>
      </w:pPr>
    </w:p>
    <w:p w14:paraId="3092FB65" w14:textId="7E782731" w:rsidR="00C11691" w:rsidRDefault="00C11691" w:rsidP="00C11691">
      <w:pPr>
        <w:rPr>
          <w:rFonts w:asciiTheme="minorHAnsi" w:hAnsiTheme="minorHAnsi"/>
          <w:szCs w:val="22"/>
        </w:rPr>
      </w:pPr>
      <w:r w:rsidRPr="00C11691">
        <w:rPr>
          <w:rFonts w:asciiTheme="minorHAnsi" w:hAnsiTheme="minorHAnsi"/>
          <w:szCs w:val="22"/>
        </w:rPr>
        <w:t>Together, Board Members share corporate responsibility for all decisions and play a</w:t>
      </w:r>
      <w:r w:rsidRPr="00C11691">
        <w:rPr>
          <w:rFonts w:ascii="Verdana" w:hAnsi="Verdana" w:cs="Verdana"/>
          <w:sz w:val="24"/>
        </w:rPr>
        <w:t xml:space="preserve"> </w:t>
      </w:r>
      <w:r w:rsidRPr="00C11691">
        <w:rPr>
          <w:rFonts w:asciiTheme="minorHAnsi" w:hAnsiTheme="minorHAnsi"/>
          <w:szCs w:val="22"/>
        </w:rPr>
        <w:t xml:space="preserve">key role in monitoring the performance and quality of services provided by the Health Board.  The Board provides leadership and direction to the organisation and has a key role in ensuring the organisation has sound clinical and corporate governance arrangements in place.  The Board has recently re-committed to a culture of openness, honesty and transparency in decision making and has high standards in the quality of clinical care, financial stewardship, as well as responding to the health needs of the population it serves.  Board Members are </w:t>
      </w:r>
      <w:r w:rsidR="00434833">
        <w:rPr>
          <w:rFonts w:asciiTheme="minorHAnsi" w:hAnsiTheme="minorHAnsi"/>
          <w:szCs w:val="22"/>
        </w:rPr>
        <w:t xml:space="preserve">deeply </w:t>
      </w:r>
      <w:r w:rsidRPr="00C11691">
        <w:rPr>
          <w:rFonts w:asciiTheme="minorHAnsi" w:hAnsiTheme="minorHAnsi"/>
          <w:szCs w:val="22"/>
        </w:rPr>
        <w:t xml:space="preserve">disappointed </w:t>
      </w:r>
      <w:r w:rsidR="00434833">
        <w:rPr>
          <w:rFonts w:asciiTheme="minorHAnsi" w:hAnsiTheme="minorHAnsi"/>
          <w:szCs w:val="22"/>
        </w:rPr>
        <w:t xml:space="preserve">with the shortcomings that have resulted in the organisation’s </w:t>
      </w:r>
      <w:r w:rsidRPr="00C11691">
        <w:rPr>
          <w:rFonts w:asciiTheme="minorHAnsi" w:hAnsiTheme="minorHAnsi"/>
          <w:szCs w:val="22"/>
        </w:rPr>
        <w:t xml:space="preserve">escalation </w:t>
      </w:r>
      <w:r w:rsidR="00434833">
        <w:rPr>
          <w:rFonts w:asciiTheme="minorHAnsi" w:hAnsiTheme="minorHAnsi"/>
          <w:szCs w:val="22"/>
        </w:rPr>
        <w:t xml:space="preserve">status being increased to Targeted Intervention, </w:t>
      </w:r>
      <w:r w:rsidRPr="00C11691">
        <w:rPr>
          <w:rFonts w:asciiTheme="minorHAnsi" w:hAnsiTheme="minorHAnsi"/>
          <w:szCs w:val="22"/>
        </w:rPr>
        <w:t>but fully accept the issues identified and welcome the learning that can be taken from the interventions.</w:t>
      </w:r>
    </w:p>
    <w:p w14:paraId="17B72955" w14:textId="77777777" w:rsidR="00A10388" w:rsidRDefault="00A10388" w:rsidP="00C11691">
      <w:pPr>
        <w:rPr>
          <w:rFonts w:asciiTheme="minorHAnsi" w:hAnsiTheme="minorHAnsi"/>
          <w:szCs w:val="22"/>
        </w:rPr>
      </w:pPr>
    </w:p>
    <w:p w14:paraId="68B95BCC" w14:textId="188B8182" w:rsidR="00A10388" w:rsidRDefault="00A10388" w:rsidP="00C11691">
      <w:pPr>
        <w:rPr>
          <w:rFonts w:asciiTheme="minorHAnsi" w:hAnsiTheme="minorHAnsi"/>
          <w:szCs w:val="22"/>
        </w:rPr>
      </w:pPr>
      <w:r>
        <w:rPr>
          <w:rFonts w:asciiTheme="minorHAnsi" w:hAnsiTheme="minorHAnsi"/>
          <w:szCs w:val="22"/>
        </w:rPr>
        <w:t xml:space="preserve">The Board also recognises its responsibility to provide assurance to our local population and stakeholders, which it aims to do through open and transparent reporting, </w:t>
      </w:r>
      <w:r w:rsidR="00642495">
        <w:rPr>
          <w:rFonts w:asciiTheme="minorHAnsi" w:hAnsiTheme="minorHAnsi"/>
          <w:szCs w:val="22"/>
        </w:rPr>
        <w:t xml:space="preserve">ongoing </w:t>
      </w:r>
      <w:r>
        <w:rPr>
          <w:rFonts w:asciiTheme="minorHAnsi" w:hAnsiTheme="minorHAnsi"/>
          <w:szCs w:val="22"/>
        </w:rPr>
        <w:t xml:space="preserve">engagement and co-production. </w:t>
      </w:r>
    </w:p>
    <w:p w14:paraId="368DDF07" w14:textId="4895F84B" w:rsidR="00883972" w:rsidRDefault="00883972" w:rsidP="00AE05E5">
      <w:pPr>
        <w:pStyle w:val="Heading2"/>
        <w:rPr>
          <w:szCs w:val="22"/>
        </w:rPr>
      </w:pPr>
      <w:r>
        <w:rPr>
          <w:szCs w:val="22"/>
        </w:rPr>
        <w:t>INVOLVEMENT nad ENGAGEMENT</w:t>
      </w:r>
    </w:p>
    <w:p w14:paraId="343D157A" w14:textId="6CE5C306" w:rsidR="00883972" w:rsidRDefault="00883972" w:rsidP="00883972">
      <w:pPr>
        <w:pStyle w:val="NormalWeb"/>
        <w:spacing w:before="0" w:beforeAutospacing="0" w:after="0" w:afterAutospacing="0"/>
        <w:rPr>
          <w:rFonts w:asciiTheme="minorHAnsi" w:hAnsiTheme="minorHAnsi" w:cs="Arial"/>
          <w:iCs/>
          <w:szCs w:val="22"/>
        </w:rPr>
      </w:pPr>
      <w:r w:rsidRPr="00883972">
        <w:rPr>
          <w:rFonts w:asciiTheme="minorHAnsi" w:hAnsiTheme="minorHAnsi" w:cs="Arial"/>
          <w:iCs/>
          <w:szCs w:val="22"/>
        </w:rPr>
        <w:t>During 2019/2020, the UHB has set out a new approach to engagement and involvement for Cwm Taf Morgannwg UHB which aims to implement new ways of working, establishing strong relationships with patients, staff, the public (our communities) and partners, rebuild trust and confidence in our organisation and the services we provide, improve staff morale, and establish a truly collaborative way of working to co-produce effective and high qualit</w:t>
      </w:r>
      <w:r>
        <w:rPr>
          <w:rFonts w:asciiTheme="minorHAnsi" w:hAnsiTheme="minorHAnsi" w:cs="Arial"/>
          <w:iCs/>
          <w:szCs w:val="22"/>
        </w:rPr>
        <w:t>y services for our communities.</w:t>
      </w:r>
    </w:p>
    <w:p w14:paraId="324DC75B" w14:textId="77777777" w:rsidR="00883972" w:rsidRPr="00883972" w:rsidRDefault="00883972" w:rsidP="00883972">
      <w:pPr>
        <w:pStyle w:val="NormalWeb"/>
        <w:spacing w:before="0" w:beforeAutospacing="0" w:after="0" w:afterAutospacing="0"/>
        <w:rPr>
          <w:rFonts w:asciiTheme="minorHAnsi" w:hAnsiTheme="minorHAnsi" w:cs="Arial"/>
          <w:iCs/>
          <w:szCs w:val="22"/>
        </w:rPr>
      </w:pPr>
    </w:p>
    <w:p w14:paraId="266DC748" w14:textId="77777777" w:rsidR="00883972" w:rsidRDefault="00883972" w:rsidP="00883972">
      <w:pPr>
        <w:pStyle w:val="PlainText"/>
        <w:rPr>
          <w:rFonts w:asciiTheme="minorHAnsi" w:hAnsiTheme="minorHAnsi" w:cs="Arial"/>
          <w:iCs/>
          <w:sz w:val="22"/>
          <w:szCs w:val="22"/>
        </w:rPr>
      </w:pPr>
      <w:r w:rsidRPr="00883972">
        <w:rPr>
          <w:rFonts w:asciiTheme="minorHAnsi" w:hAnsiTheme="minorHAnsi" w:cs="Arial"/>
          <w:iCs/>
          <w:sz w:val="22"/>
          <w:szCs w:val="22"/>
        </w:rPr>
        <w:t>The ‘engagement and involvement’ approach is designed to support the work around our new organisational vision, strategic objectives and values as we strive to deliver excellent care and treatment in an open, honest, transparent and meaningful way.</w:t>
      </w:r>
    </w:p>
    <w:p w14:paraId="4577BCA2" w14:textId="77777777" w:rsidR="00883972" w:rsidRPr="00883972" w:rsidRDefault="00883972" w:rsidP="00883972">
      <w:pPr>
        <w:pStyle w:val="PlainText"/>
        <w:rPr>
          <w:rFonts w:asciiTheme="minorHAnsi" w:hAnsiTheme="minorHAnsi" w:cs="Arial"/>
          <w:iCs/>
          <w:sz w:val="22"/>
          <w:szCs w:val="22"/>
        </w:rPr>
      </w:pPr>
    </w:p>
    <w:p w14:paraId="5C82E674" w14:textId="77777777" w:rsidR="00883972" w:rsidRDefault="00883972" w:rsidP="00883972">
      <w:pPr>
        <w:pStyle w:val="NormalWeb"/>
        <w:spacing w:before="0" w:beforeAutospacing="0" w:after="0" w:afterAutospacing="0"/>
        <w:rPr>
          <w:rFonts w:asciiTheme="minorHAnsi" w:hAnsiTheme="minorHAnsi" w:cs="Arial"/>
          <w:iCs/>
          <w:szCs w:val="22"/>
        </w:rPr>
      </w:pPr>
      <w:r w:rsidRPr="00883972">
        <w:rPr>
          <w:rFonts w:asciiTheme="minorHAnsi" w:hAnsiTheme="minorHAnsi" w:cs="Arial"/>
          <w:iCs/>
          <w:szCs w:val="22"/>
        </w:rPr>
        <w:lastRenderedPageBreak/>
        <w:t xml:space="preserve">The vision for engagement and involvement is to become an organisation which proactively and routinely provides opportunities for everyone to be involved in our work. We are working hard, listening to our patients, staff, communities and partners to establish a variety of methods and tools to support meaningful conversations with people so we can listen to their views, suggestions and ideas about the care and treatment we deliver and they can actively contribute and participate in our work. </w:t>
      </w:r>
    </w:p>
    <w:p w14:paraId="1D8C6BA5" w14:textId="77777777" w:rsidR="00883972" w:rsidRPr="00883972" w:rsidRDefault="00883972" w:rsidP="00883972">
      <w:pPr>
        <w:pStyle w:val="NormalWeb"/>
        <w:spacing w:before="0" w:beforeAutospacing="0" w:after="0" w:afterAutospacing="0"/>
        <w:rPr>
          <w:rFonts w:asciiTheme="minorHAnsi" w:hAnsiTheme="minorHAnsi" w:cs="Arial"/>
          <w:iCs/>
          <w:szCs w:val="22"/>
        </w:rPr>
      </w:pPr>
    </w:p>
    <w:p w14:paraId="52FA4E8D" w14:textId="3A89C661" w:rsidR="00883972" w:rsidRPr="00883972" w:rsidRDefault="00883972" w:rsidP="00883972">
      <w:pPr>
        <w:pStyle w:val="PlainText"/>
        <w:rPr>
          <w:rFonts w:asciiTheme="minorHAnsi" w:hAnsiTheme="minorHAnsi" w:cs="Arial"/>
          <w:iCs/>
          <w:sz w:val="22"/>
          <w:szCs w:val="22"/>
        </w:rPr>
      </w:pPr>
      <w:r w:rsidRPr="00883972">
        <w:rPr>
          <w:rFonts w:asciiTheme="minorHAnsi" w:hAnsiTheme="minorHAnsi" w:cs="Arial"/>
          <w:iCs/>
          <w:sz w:val="22"/>
          <w:szCs w:val="22"/>
        </w:rPr>
        <w:t>We are committed to establishing a culture which supports open and transparent conversations with patients, staff, communities and partners and put in place effective methods for two-way conversations to give a greater understanding of people’s priorities and needs and how we can best work with them to make changes and provide the highest quality of services that are co-designed.</w:t>
      </w:r>
      <w:r>
        <w:rPr>
          <w:rFonts w:asciiTheme="minorHAnsi" w:hAnsiTheme="minorHAnsi" w:cs="Arial"/>
          <w:iCs/>
          <w:sz w:val="22"/>
          <w:szCs w:val="22"/>
        </w:rPr>
        <w:t xml:space="preserve">  </w:t>
      </w:r>
      <w:r w:rsidRPr="00883972">
        <w:rPr>
          <w:rFonts w:asciiTheme="minorHAnsi" w:hAnsiTheme="minorHAnsi" w:cs="Arial"/>
          <w:iCs/>
          <w:sz w:val="22"/>
          <w:szCs w:val="22"/>
        </w:rPr>
        <w:t>All of our activities will be underpinned by the below principles:</w:t>
      </w:r>
    </w:p>
    <w:p w14:paraId="67A46777" w14:textId="77777777" w:rsidR="00883972" w:rsidRPr="00883972" w:rsidRDefault="00883972" w:rsidP="00883972">
      <w:pPr>
        <w:pStyle w:val="NormalWeb"/>
        <w:numPr>
          <w:ilvl w:val="0"/>
          <w:numId w:val="127"/>
        </w:numPr>
        <w:spacing w:before="0" w:beforeAutospacing="0" w:after="0" w:afterAutospacing="0"/>
        <w:ind w:left="357" w:hanging="357"/>
        <w:jc w:val="left"/>
        <w:rPr>
          <w:rFonts w:asciiTheme="minorHAnsi" w:hAnsiTheme="minorHAnsi" w:cs="Arial"/>
          <w:iCs/>
          <w:szCs w:val="22"/>
        </w:rPr>
      </w:pPr>
      <w:r w:rsidRPr="00883972">
        <w:rPr>
          <w:rFonts w:asciiTheme="minorHAnsi" w:hAnsiTheme="minorHAnsi" w:cs="Arial"/>
          <w:iCs/>
          <w:szCs w:val="22"/>
        </w:rPr>
        <w:t xml:space="preserve">Be open and accessible – we will talk and listen to people and take their views and opinions in to account. </w:t>
      </w:r>
    </w:p>
    <w:p w14:paraId="29221DD1" w14:textId="77777777" w:rsidR="00883972" w:rsidRPr="00883972" w:rsidRDefault="00883972" w:rsidP="00883972">
      <w:pPr>
        <w:pStyle w:val="NormalWeb"/>
        <w:numPr>
          <w:ilvl w:val="0"/>
          <w:numId w:val="127"/>
        </w:numPr>
        <w:spacing w:before="0" w:beforeAutospacing="0" w:after="0" w:afterAutospacing="0"/>
        <w:ind w:left="357" w:hanging="357"/>
        <w:jc w:val="left"/>
        <w:rPr>
          <w:rFonts w:asciiTheme="minorHAnsi" w:hAnsiTheme="minorHAnsi" w:cs="Arial"/>
          <w:iCs/>
          <w:szCs w:val="22"/>
        </w:rPr>
      </w:pPr>
      <w:r w:rsidRPr="00883972">
        <w:rPr>
          <w:rFonts w:asciiTheme="minorHAnsi" w:hAnsiTheme="minorHAnsi" w:cs="Arial"/>
          <w:iCs/>
          <w:szCs w:val="22"/>
        </w:rPr>
        <w:t>Be transparent – information will be shared in a clear, accessible and relevant way. When we cannot share information, we explain the reasons fully and clearly.</w:t>
      </w:r>
    </w:p>
    <w:p w14:paraId="1CDEAFBF" w14:textId="77777777" w:rsidR="00883972" w:rsidRPr="00883972" w:rsidRDefault="00883972" w:rsidP="00883972">
      <w:pPr>
        <w:pStyle w:val="NormalWeb"/>
        <w:numPr>
          <w:ilvl w:val="0"/>
          <w:numId w:val="127"/>
        </w:numPr>
        <w:spacing w:before="0" w:beforeAutospacing="0" w:after="0" w:afterAutospacing="0"/>
        <w:ind w:left="357" w:hanging="357"/>
        <w:jc w:val="left"/>
        <w:rPr>
          <w:rFonts w:asciiTheme="minorHAnsi" w:hAnsiTheme="minorHAnsi" w:cs="Arial"/>
          <w:iCs/>
          <w:szCs w:val="22"/>
        </w:rPr>
      </w:pPr>
      <w:r w:rsidRPr="00883972">
        <w:rPr>
          <w:rFonts w:asciiTheme="minorHAnsi" w:hAnsiTheme="minorHAnsi" w:cs="Arial"/>
          <w:iCs/>
          <w:szCs w:val="22"/>
        </w:rPr>
        <w:t xml:space="preserve">Be consistent – the messages we communicate are consistent with our aims, values, behaviours and objectives. </w:t>
      </w:r>
    </w:p>
    <w:p w14:paraId="30C95F9C" w14:textId="77777777" w:rsidR="00883972" w:rsidRDefault="00883972" w:rsidP="00883972">
      <w:pPr>
        <w:pStyle w:val="NormalWeb"/>
        <w:numPr>
          <w:ilvl w:val="0"/>
          <w:numId w:val="127"/>
        </w:numPr>
        <w:spacing w:before="0" w:beforeAutospacing="0" w:after="0" w:afterAutospacing="0"/>
        <w:ind w:left="357" w:hanging="357"/>
        <w:jc w:val="left"/>
        <w:rPr>
          <w:rFonts w:asciiTheme="minorHAnsi" w:hAnsiTheme="minorHAnsi" w:cs="Arial"/>
          <w:iCs/>
          <w:szCs w:val="22"/>
        </w:rPr>
      </w:pPr>
      <w:r w:rsidRPr="00883972">
        <w:rPr>
          <w:rFonts w:asciiTheme="minorHAnsi" w:hAnsiTheme="minorHAnsi" w:cs="Arial"/>
          <w:iCs/>
          <w:szCs w:val="22"/>
        </w:rPr>
        <w:t>Be compassionate – we will take a more compassionate and considered approach reflected by what we hear from our patients and this will be which will be echoed in our voice and tone.</w:t>
      </w:r>
    </w:p>
    <w:p w14:paraId="3C63365B" w14:textId="3865C3E1" w:rsidR="00883972" w:rsidRPr="00883972" w:rsidRDefault="00883972" w:rsidP="00883972">
      <w:pPr>
        <w:pStyle w:val="NormalWeb"/>
        <w:numPr>
          <w:ilvl w:val="0"/>
          <w:numId w:val="127"/>
        </w:numPr>
        <w:spacing w:before="0" w:beforeAutospacing="0" w:after="0" w:afterAutospacing="0"/>
        <w:ind w:left="357" w:hanging="357"/>
        <w:jc w:val="left"/>
        <w:rPr>
          <w:rFonts w:asciiTheme="minorHAnsi" w:hAnsiTheme="minorHAnsi" w:cs="Arial"/>
          <w:iCs/>
          <w:szCs w:val="22"/>
        </w:rPr>
      </w:pPr>
      <w:r w:rsidRPr="00883972">
        <w:rPr>
          <w:rFonts w:asciiTheme="minorHAnsi" w:hAnsiTheme="minorHAnsi" w:cs="Arial"/>
          <w:iCs/>
          <w:szCs w:val="22"/>
        </w:rPr>
        <w:t>Involve - we will create opportunities and encourage people to give us open and honest feedback and contribute their ideas and opinions. This will be done in a variety of ways to ensure these opportunities are as accessible as possible to everyone.</w:t>
      </w:r>
    </w:p>
    <w:p w14:paraId="140F5F20" w14:textId="1F29AF68" w:rsidR="00AE05E5" w:rsidRPr="00E07712" w:rsidRDefault="00AE05E5" w:rsidP="00AE05E5">
      <w:pPr>
        <w:pStyle w:val="Heading2"/>
        <w:rPr>
          <w:szCs w:val="22"/>
        </w:rPr>
      </w:pPr>
      <w:r>
        <w:rPr>
          <w:szCs w:val="22"/>
        </w:rPr>
        <w:t>IMPROVEMENT C</w:t>
      </w:r>
      <w:r w:rsidR="00F61562">
        <w:rPr>
          <w:szCs w:val="22"/>
        </w:rPr>
        <w:t>WM TAF MORGANNWG</w:t>
      </w:r>
    </w:p>
    <w:p w14:paraId="56181F9C" w14:textId="39E815B7" w:rsidR="00AE05E5" w:rsidRDefault="00AE05E5" w:rsidP="00AE05E5">
      <w:pPr>
        <w:contextualSpacing/>
        <w:rPr>
          <w:rFonts w:asciiTheme="minorHAnsi" w:hAnsiTheme="minorHAnsi"/>
          <w:szCs w:val="22"/>
        </w:rPr>
      </w:pPr>
      <w:r w:rsidRPr="00AE05E5">
        <w:rPr>
          <w:rFonts w:asciiTheme="minorHAnsi" w:hAnsiTheme="minorHAnsi"/>
          <w:szCs w:val="22"/>
        </w:rPr>
        <w:t xml:space="preserve">At present there are pockets of Improvement activity taking place across the </w:t>
      </w:r>
      <w:r w:rsidR="00753F3C">
        <w:rPr>
          <w:rFonts w:asciiTheme="minorHAnsi" w:hAnsiTheme="minorHAnsi"/>
          <w:szCs w:val="22"/>
        </w:rPr>
        <w:t>UHB</w:t>
      </w:r>
      <w:r w:rsidRPr="00AE05E5">
        <w:rPr>
          <w:rFonts w:asciiTheme="minorHAnsi" w:hAnsiTheme="minorHAnsi"/>
          <w:szCs w:val="22"/>
        </w:rPr>
        <w:t xml:space="preserve">. </w:t>
      </w:r>
      <w:r w:rsidR="00F61562">
        <w:rPr>
          <w:rFonts w:asciiTheme="minorHAnsi" w:hAnsiTheme="minorHAnsi"/>
          <w:szCs w:val="22"/>
        </w:rPr>
        <w:t xml:space="preserve"> </w:t>
      </w:r>
      <w:r w:rsidRPr="00AE05E5">
        <w:rPr>
          <w:rFonts w:asciiTheme="minorHAnsi" w:hAnsiTheme="minorHAnsi"/>
          <w:szCs w:val="22"/>
        </w:rPr>
        <w:t>Many of these are driven either by motivated individuals working in a degree of isolation or by a top down approach</w:t>
      </w:r>
      <w:r w:rsidR="00753F3C">
        <w:rPr>
          <w:rFonts w:asciiTheme="minorHAnsi" w:hAnsiTheme="minorHAnsi"/>
          <w:szCs w:val="22"/>
        </w:rPr>
        <w:t xml:space="preserve">.  </w:t>
      </w:r>
      <w:r w:rsidR="00A10388">
        <w:rPr>
          <w:rFonts w:asciiTheme="minorHAnsi" w:hAnsiTheme="minorHAnsi"/>
          <w:szCs w:val="22"/>
        </w:rPr>
        <w:t>Whilst well intentioned t</w:t>
      </w:r>
      <w:r w:rsidR="00753F3C">
        <w:rPr>
          <w:rFonts w:asciiTheme="minorHAnsi" w:hAnsiTheme="minorHAnsi"/>
          <w:szCs w:val="22"/>
        </w:rPr>
        <w:t xml:space="preserve">his </w:t>
      </w:r>
      <w:r w:rsidRPr="00AE05E5">
        <w:rPr>
          <w:rFonts w:asciiTheme="minorHAnsi" w:hAnsiTheme="minorHAnsi"/>
          <w:szCs w:val="22"/>
        </w:rPr>
        <w:t xml:space="preserve">can result in a lack of coherence at a strategic level, inefficiencies and duplication of effort, little stakeholder engagement, and </w:t>
      </w:r>
      <w:r w:rsidR="00A10388">
        <w:rPr>
          <w:rFonts w:asciiTheme="minorHAnsi" w:hAnsiTheme="minorHAnsi"/>
          <w:szCs w:val="22"/>
        </w:rPr>
        <w:t>limited impact or</w:t>
      </w:r>
      <w:r>
        <w:rPr>
          <w:rFonts w:asciiTheme="minorHAnsi" w:hAnsiTheme="minorHAnsi"/>
          <w:szCs w:val="22"/>
        </w:rPr>
        <w:t xml:space="preserve"> sustainability.</w:t>
      </w:r>
      <w:r w:rsidR="00753F3C">
        <w:rPr>
          <w:rFonts w:asciiTheme="minorHAnsi" w:hAnsiTheme="minorHAnsi"/>
          <w:szCs w:val="22"/>
        </w:rPr>
        <w:t xml:space="preserve">  </w:t>
      </w:r>
      <w:r w:rsidRPr="00AE05E5">
        <w:rPr>
          <w:rFonts w:asciiTheme="minorHAnsi" w:hAnsiTheme="minorHAnsi"/>
          <w:szCs w:val="22"/>
        </w:rPr>
        <w:t xml:space="preserve">There is a clear need to establish a robust </w:t>
      </w:r>
      <w:r w:rsidR="00F61562">
        <w:rPr>
          <w:rFonts w:asciiTheme="minorHAnsi" w:hAnsiTheme="minorHAnsi"/>
          <w:szCs w:val="22"/>
        </w:rPr>
        <w:t>i</w:t>
      </w:r>
      <w:r w:rsidRPr="00AE05E5">
        <w:rPr>
          <w:rFonts w:asciiTheme="minorHAnsi" w:hAnsiTheme="minorHAnsi"/>
          <w:szCs w:val="22"/>
        </w:rPr>
        <w:t xml:space="preserve">mprovement function that can support and facilitate service and quality improvement throughout our organisation. </w:t>
      </w:r>
      <w:r w:rsidR="00F61562">
        <w:rPr>
          <w:rFonts w:asciiTheme="minorHAnsi" w:hAnsiTheme="minorHAnsi"/>
          <w:szCs w:val="22"/>
        </w:rPr>
        <w:t xml:space="preserve"> </w:t>
      </w:r>
      <w:r w:rsidRPr="00AE05E5">
        <w:rPr>
          <w:rFonts w:asciiTheme="minorHAnsi" w:hAnsiTheme="minorHAnsi"/>
          <w:szCs w:val="22"/>
        </w:rPr>
        <w:t>It must build capacity for improvement across the organisation, co-ordinate all improvement activity and engage with staff, patients and partners in driving the adoption and spread of the most impactful improvement options.</w:t>
      </w:r>
    </w:p>
    <w:p w14:paraId="34D3A4AA" w14:textId="77777777" w:rsidR="00AE05E5" w:rsidRPr="00AE05E5" w:rsidRDefault="00AE05E5" w:rsidP="00AE05E5">
      <w:pPr>
        <w:contextualSpacing/>
        <w:rPr>
          <w:rFonts w:asciiTheme="minorHAnsi" w:hAnsiTheme="minorHAnsi"/>
          <w:szCs w:val="22"/>
        </w:rPr>
      </w:pPr>
    </w:p>
    <w:p w14:paraId="3660DE75" w14:textId="77777777" w:rsidR="00AE05E5" w:rsidRPr="00AE05E5" w:rsidRDefault="00AE05E5" w:rsidP="00AE05E5">
      <w:pPr>
        <w:contextualSpacing/>
        <w:rPr>
          <w:rFonts w:asciiTheme="minorHAnsi" w:hAnsiTheme="minorHAnsi"/>
          <w:szCs w:val="22"/>
        </w:rPr>
      </w:pPr>
    </w:p>
    <w:p w14:paraId="589B2E86" w14:textId="2BACF7FA" w:rsidR="00AE05E5" w:rsidRDefault="00AE05E5" w:rsidP="007111FC">
      <w:pPr>
        <w:rPr>
          <w:rFonts w:asciiTheme="minorHAnsi" w:hAnsiTheme="minorHAnsi"/>
          <w:szCs w:val="22"/>
        </w:rPr>
      </w:pPr>
      <w:r w:rsidRPr="00AE05E5">
        <w:rPr>
          <w:rFonts w:asciiTheme="minorHAnsi" w:hAnsiTheme="minorHAnsi"/>
          <w:szCs w:val="22"/>
        </w:rPr>
        <w:t>Whilst the Method for Improvement and I</w:t>
      </w:r>
      <w:r w:rsidR="008A3471">
        <w:rPr>
          <w:rFonts w:asciiTheme="minorHAnsi" w:hAnsiTheme="minorHAnsi"/>
          <w:szCs w:val="22"/>
        </w:rPr>
        <w:t>mproving Quality Together (I</w:t>
      </w:r>
      <w:r w:rsidRPr="00AE05E5">
        <w:rPr>
          <w:rFonts w:asciiTheme="minorHAnsi" w:hAnsiTheme="minorHAnsi"/>
          <w:szCs w:val="22"/>
        </w:rPr>
        <w:t>QT</w:t>
      </w:r>
      <w:r w:rsidR="008A3471">
        <w:rPr>
          <w:rFonts w:asciiTheme="minorHAnsi" w:hAnsiTheme="minorHAnsi"/>
          <w:szCs w:val="22"/>
        </w:rPr>
        <w:t>)</w:t>
      </w:r>
      <w:r w:rsidRPr="00AE05E5">
        <w:rPr>
          <w:rFonts w:asciiTheme="minorHAnsi" w:hAnsiTheme="minorHAnsi"/>
          <w:szCs w:val="22"/>
        </w:rPr>
        <w:t xml:space="preserve"> training will remain the main improvement methodology in NHS Wales, given the lead by 1000 Lives (Improvement Cymru), </w:t>
      </w:r>
      <w:r w:rsidR="008A3471">
        <w:rPr>
          <w:rFonts w:asciiTheme="minorHAnsi" w:hAnsiTheme="minorHAnsi"/>
          <w:szCs w:val="22"/>
        </w:rPr>
        <w:t>Institute for Healthcare Improvement (</w:t>
      </w:r>
      <w:r w:rsidRPr="00AE05E5">
        <w:rPr>
          <w:rFonts w:asciiTheme="minorHAnsi" w:hAnsiTheme="minorHAnsi"/>
          <w:szCs w:val="22"/>
        </w:rPr>
        <w:t>IHI</w:t>
      </w:r>
      <w:r w:rsidR="008A3471">
        <w:rPr>
          <w:rFonts w:asciiTheme="minorHAnsi" w:hAnsiTheme="minorHAnsi"/>
          <w:szCs w:val="22"/>
        </w:rPr>
        <w:t>)</w:t>
      </w:r>
      <w:r w:rsidRPr="00AE05E5">
        <w:rPr>
          <w:rFonts w:asciiTheme="minorHAnsi" w:hAnsiTheme="minorHAnsi"/>
          <w:szCs w:val="22"/>
        </w:rPr>
        <w:t xml:space="preserve"> and HEIW, other methods such as Lean Management, Six Sigma, Kaizen for example can be used if applicable.</w:t>
      </w:r>
      <w:r w:rsidR="005E650A">
        <w:rPr>
          <w:rFonts w:asciiTheme="minorHAnsi" w:hAnsiTheme="minorHAnsi"/>
          <w:szCs w:val="22"/>
        </w:rPr>
        <w:t xml:space="preserve"> </w:t>
      </w:r>
      <w:r w:rsidRPr="00AE05E5">
        <w:rPr>
          <w:rFonts w:asciiTheme="minorHAnsi" w:hAnsiTheme="minorHAnsi"/>
          <w:szCs w:val="22"/>
        </w:rPr>
        <w:t xml:space="preserve"> This will depend on the healthcare contex</w:t>
      </w:r>
      <w:r w:rsidR="005E650A">
        <w:rPr>
          <w:rFonts w:asciiTheme="minorHAnsi" w:hAnsiTheme="minorHAnsi"/>
          <w:szCs w:val="22"/>
        </w:rPr>
        <w:t>t and environment and can utilise</w:t>
      </w:r>
      <w:r w:rsidRPr="00AE05E5">
        <w:rPr>
          <w:rFonts w:asciiTheme="minorHAnsi" w:hAnsiTheme="minorHAnsi"/>
          <w:szCs w:val="22"/>
        </w:rPr>
        <w:t xml:space="preserve"> methodological expertise that also exists within Health Board staff. There needs to be a clear view of the complementary strengths and applications of each, appreciating the profound compatibility of their philosophies and approaches.</w:t>
      </w:r>
    </w:p>
    <w:p w14:paraId="3D42FA08" w14:textId="77777777" w:rsidR="00AE05E5" w:rsidRDefault="00AE05E5" w:rsidP="007111FC">
      <w:pPr>
        <w:rPr>
          <w:rFonts w:asciiTheme="minorHAnsi" w:hAnsiTheme="minorHAnsi"/>
          <w:szCs w:val="22"/>
        </w:rPr>
      </w:pPr>
    </w:p>
    <w:p w14:paraId="49AADBB2" w14:textId="37C822AF" w:rsidR="007111FC" w:rsidRDefault="007111FC" w:rsidP="007111FC">
      <w:r w:rsidRPr="00FF7250">
        <w:t xml:space="preserve">Our mission </w:t>
      </w:r>
      <w:r>
        <w:t>in</w:t>
      </w:r>
      <w:r w:rsidRPr="00FF7250">
        <w:t xml:space="preserve"> </w:t>
      </w:r>
      <w:r>
        <w:t>‘</w:t>
      </w:r>
      <w:r w:rsidRPr="00FF7250">
        <w:t>Improvement CTM</w:t>
      </w:r>
      <w:r>
        <w:t>’</w:t>
      </w:r>
      <w:r w:rsidRPr="00FF7250">
        <w:t xml:space="preserve"> will be to empower our workforce</w:t>
      </w:r>
      <w:r>
        <w:t xml:space="preserve"> to take responsibility for </w:t>
      </w:r>
      <w:r w:rsidRPr="00FF7250">
        <w:t>implement</w:t>
      </w:r>
      <w:r>
        <w:t>ing</w:t>
      </w:r>
      <w:r w:rsidRPr="00FF7250">
        <w:t xml:space="preserve"> continuous improvement </w:t>
      </w:r>
      <w:r>
        <w:t xml:space="preserve">that </w:t>
      </w:r>
      <w:r w:rsidRPr="00FF7250">
        <w:t>delive</w:t>
      </w:r>
      <w:r>
        <w:t>rs</w:t>
      </w:r>
      <w:r w:rsidRPr="00FF7250">
        <w:t xml:space="preserve"> high quality services and </w:t>
      </w:r>
      <w:r>
        <w:t>value in health and care</w:t>
      </w:r>
      <w:r w:rsidRPr="00FF7250">
        <w:t xml:space="preserve">. </w:t>
      </w:r>
      <w:r>
        <w:t xml:space="preserve"> </w:t>
      </w:r>
      <w:r w:rsidRPr="00FF7250">
        <w:t>All improvement activity will be evidence based</w:t>
      </w:r>
      <w:r>
        <w:t>,</w:t>
      </w:r>
      <w:r w:rsidRPr="00FF7250">
        <w:t xml:space="preserve"> </w:t>
      </w:r>
      <w:r>
        <w:t>drawing on</w:t>
      </w:r>
      <w:r w:rsidRPr="00FF7250">
        <w:t xml:space="preserve"> best practice</w:t>
      </w:r>
      <w:r>
        <w:t xml:space="preserve"> from within </w:t>
      </w:r>
      <w:r w:rsidR="003702FE">
        <w:t>the Health Board</w:t>
      </w:r>
      <w:r>
        <w:t xml:space="preserve"> and learning from other organisations</w:t>
      </w:r>
      <w:r w:rsidR="00521E05">
        <w:t>, as well as listening to what matters to our local population</w:t>
      </w:r>
      <w:r>
        <w:t xml:space="preserve">. </w:t>
      </w:r>
      <w:r w:rsidR="005E650A">
        <w:t xml:space="preserve"> </w:t>
      </w:r>
      <w:r>
        <w:t xml:space="preserve">Staff will be enabled and empowered to use the most appropriate tools and approaches to deliver high quality services. </w:t>
      </w:r>
      <w:r w:rsidR="005E650A">
        <w:t xml:space="preserve"> </w:t>
      </w:r>
      <w:r w:rsidRPr="00FF7250">
        <w:t>We will take a data</w:t>
      </w:r>
      <w:r>
        <w:t>-</w:t>
      </w:r>
      <w:r w:rsidRPr="00FF7250">
        <w:t>driven approach to identify areas of high potential impact for</w:t>
      </w:r>
      <w:r>
        <w:t xml:space="preserve"> an</w:t>
      </w:r>
      <w:r w:rsidRPr="00FF7250">
        <w:t xml:space="preserve"> improvement focus.</w:t>
      </w:r>
    </w:p>
    <w:p w14:paraId="54C357B1" w14:textId="77777777" w:rsidR="007111FC" w:rsidRPr="00FF7250" w:rsidRDefault="007111FC" w:rsidP="007111FC"/>
    <w:p w14:paraId="3ABB1581" w14:textId="24A94417" w:rsidR="007111FC" w:rsidRDefault="007111FC" w:rsidP="007111FC">
      <w:r w:rsidRPr="00FF7250">
        <w:t>We will draw</w:t>
      </w:r>
      <w:r>
        <w:t xml:space="preserve"> on learning, expertise, improvement methodologies and support</w:t>
      </w:r>
      <w:r w:rsidRPr="00FF7250">
        <w:t xml:space="preserve"> from </w:t>
      </w:r>
      <w:r>
        <w:t xml:space="preserve">other organisations or agencies such as other Health Boards’ improvement functions (e.g. Aneurin Bevan UHB’s ABCi), the IHI, 1000 </w:t>
      </w:r>
      <w:r>
        <w:lastRenderedPageBreak/>
        <w:t>Lives Improvement and</w:t>
      </w:r>
      <w:r w:rsidRPr="00FF7250">
        <w:t xml:space="preserve"> HEIW</w:t>
      </w:r>
      <w:r>
        <w:t xml:space="preserve">. </w:t>
      </w:r>
      <w:r w:rsidR="005E650A">
        <w:t xml:space="preserve"> </w:t>
      </w:r>
      <w:r>
        <w:t>In developing ‘Improvement CTM’, we will also consider</w:t>
      </w:r>
      <w:r w:rsidRPr="00FF7250">
        <w:t xml:space="preserve"> </w:t>
      </w:r>
      <w:r>
        <w:t xml:space="preserve">the interface with other Improvement initiatives across our geography – such as the recently-approved Regional Partnership Board (RPB) </w:t>
      </w:r>
      <w:r w:rsidRPr="00FF7250">
        <w:t>Research, Innovation and Im</w:t>
      </w:r>
      <w:r>
        <w:t>provement hub.</w:t>
      </w:r>
    </w:p>
    <w:p w14:paraId="7CE17544" w14:textId="77777777" w:rsidR="007111FC" w:rsidRPr="00FF7250" w:rsidRDefault="007111FC" w:rsidP="007111FC"/>
    <w:p w14:paraId="3634C789" w14:textId="13E76F5D" w:rsidR="007111FC" w:rsidRDefault="007111FC" w:rsidP="007111FC">
      <w:r>
        <w:t>I</w:t>
      </w:r>
      <w:r w:rsidRPr="00FF7250">
        <w:t xml:space="preserve">dentifying learning and outcomes of improvement activity and sharing findings and knowledge within </w:t>
      </w:r>
      <w:r w:rsidR="003702FE">
        <w:t>the Health Board</w:t>
      </w:r>
      <w:r w:rsidRPr="00FF7250">
        <w:t xml:space="preserve"> and with our </w:t>
      </w:r>
      <w:r w:rsidR="00521E05">
        <w:t xml:space="preserve">population and </w:t>
      </w:r>
      <w:r w:rsidRPr="00FF7250">
        <w:t xml:space="preserve">partners will allow the scale and spread of initiatives that have high impact. Showcasing the work underway will ensure that </w:t>
      </w:r>
      <w:r w:rsidR="003702FE">
        <w:t>the Health Board</w:t>
      </w:r>
      <w:r w:rsidR="003702FE" w:rsidRPr="00FF7250">
        <w:t xml:space="preserve"> </w:t>
      </w:r>
      <w:r w:rsidRPr="00FF7250">
        <w:t xml:space="preserve">is recognised as a beacon of </w:t>
      </w:r>
      <w:r>
        <w:t>I</w:t>
      </w:r>
      <w:r w:rsidRPr="00FF7250">
        <w:t>mprovement activity.</w:t>
      </w:r>
    </w:p>
    <w:p w14:paraId="69863478" w14:textId="77777777" w:rsidR="007111FC" w:rsidRDefault="007111FC" w:rsidP="007111FC"/>
    <w:p w14:paraId="69F46F1E" w14:textId="4857B374" w:rsidR="007111FC" w:rsidRPr="007111FC" w:rsidRDefault="007111FC" w:rsidP="007111FC">
      <w:pPr>
        <w:rPr>
          <w:szCs w:val="22"/>
        </w:rPr>
      </w:pPr>
      <w:r w:rsidRPr="007111FC">
        <w:rPr>
          <w:szCs w:val="22"/>
        </w:rPr>
        <w:t>The high level objectives for ‘Improvement CTM’</w:t>
      </w:r>
      <w:r>
        <w:rPr>
          <w:szCs w:val="22"/>
        </w:rPr>
        <w:t xml:space="preserve"> are:</w:t>
      </w:r>
    </w:p>
    <w:p w14:paraId="6157C403" w14:textId="7BE2F37A" w:rsidR="007111FC" w:rsidRDefault="007111FC" w:rsidP="007111FC">
      <w:pPr>
        <w:pStyle w:val="NormaBullet"/>
      </w:pPr>
      <w:r>
        <w:t xml:space="preserve">To increase capacity and capability for improvement in </w:t>
      </w:r>
      <w:r w:rsidR="002A3312">
        <w:t>CTMUHB</w:t>
      </w:r>
      <w:r>
        <w:t xml:space="preserve">. </w:t>
      </w:r>
    </w:p>
    <w:p w14:paraId="7F07996D" w14:textId="77777777" w:rsidR="007111FC" w:rsidRDefault="007111FC" w:rsidP="007111FC">
      <w:pPr>
        <w:pStyle w:val="NormaBullet"/>
      </w:pPr>
      <w:r>
        <w:t>To e</w:t>
      </w:r>
      <w:r w:rsidRPr="004A75A8">
        <w:t xml:space="preserve">mbed a culture where improvement is integral to the operation of service and corporate functions. </w:t>
      </w:r>
    </w:p>
    <w:p w14:paraId="30A809D2" w14:textId="7BE027D4" w:rsidR="00521E05" w:rsidRDefault="00521E05" w:rsidP="00521E05">
      <w:pPr>
        <w:pStyle w:val="NormaBullet"/>
        <w:numPr>
          <w:ilvl w:val="0"/>
          <w:numId w:val="0"/>
        </w:numPr>
      </w:pPr>
      <w:r>
        <w:t>Resulting in:</w:t>
      </w:r>
    </w:p>
    <w:p w14:paraId="034B53F2" w14:textId="41A1C4E8" w:rsidR="00521E05" w:rsidRDefault="00521E05" w:rsidP="005F65CD">
      <w:pPr>
        <w:pStyle w:val="NormaBullet"/>
        <w:numPr>
          <w:ilvl w:val="0"/>
          <w:numId w:val="110"/>
        </w:numPr>
      </w:pPr>
      <w:r>
        <w:t xml:space="preserve">Improved organisational efficiency, performance and sustainability </w:t>
      </w:r>
    </w:p>
    <w:p w14:paraId="6195F1D7" w14:textId="4336CEB7" w:rsidR="007111FC" w:rsidRPr="00002E9C" w:rsidRDefault="00521E05" w:rsidP="007111FC">
      <w:pPr>
        <w:pStyle w:val="NormaBullet"/>
        <w:rPr>
          <w:b/>
        </w:rPr>
      </w:pPr>
      <w:r>
        <w:t>I</w:t>
      </w:r>
      <w:r w:rsidR="007111FC">
        <w:t>mprove</w:t>
      </w:r>
      <w:r>
        <w:t>d</w:t>
      </w:r>
      <w:r w:rsidR="007111FC">
        <w:t xml:space="preserve"> population health outcomes </w:t>
      </w:r>
      <w:r>
        <w:t xml:space="preserve"> – our ultimate goal</w:t>
      </w:r>
    </w:p>
    <w:p w14:paraId="54E761DA" w14:textId="3F63F549" w:rsidR="007111FC" w:rsidRDefault="007111FC" w:rsidP="007111FC"/>
    <w:tbl>
      <w:tblPr>
        <w:tblStyle w:val="TableGrid"/>
        <w:tblW w:w="9968" w:type="dxa"/>
        <w:tblLook w:val="04A0" w:firstRow="1" w:lastRow="0" w:firstColumn="1" w:lastColumn="0" w:noHBand="0" w:noVBand="1"/>
      </w:tblPr>
      <w:tblGrid>
        <w:gridCol w:w="562"/>
        <w:gridCol w:w="4341"/>
        <w:gridCol w:w="621"/>
        <w:gridCol w:w="4444"/>
      </w:tblGrid>
      <w:tr w:rsidR="007111FC" w14:paraId="7B86950E" w14:textId="77777777" w:rsidTr="00521E05">
        <w:trPr>
          <w:trHeight w:val="2574"/>
        </w:trPr>
        <w:tc>
          <w:tcPr>
            <w:tcW w:w="562" w:type="dxa"/>
            <w:shd w:val="clear" w:color="auto" w:fill="F2F2F2" w:themeFill="background1" w:themeFillShade="F2"/>
            <w:textDirection w:val="btLr"/>
          </w:tcPr>
          <w:p w14:paraId="17220A81" w14:textId="77777777" w:rsidR="007111FC" w:rsidRPr="007111FC" w:rsidRDefault="007111FC" w:rsidP="007111FC">
            <w:pPr>
              <w:spacing w:line="340" w:lineRule="exact"/>
              <w:ind w:left="113" w:right="113"/>
              <w:jc w:val="center"/>
              <w:rPr>
                <w:rFonts w:cs="Arial"/>
                <w:b/>
                <w:noProof/>
                <w:sz w:val="22"/>
                <w:szCs w:val="22"/>
              </w:rPr>
            </w:pPr>
            <w:r w:rsidRPr="007111FC">
              <w:rPr>
                <w:rFonts w:cs="Arial"/>
                <w:b/>
                <w:noProof/>
                <w:sz w:val="22"/>
                <w:szCs w:val="22"/>
              </w:rPr>
              <w:t>Structure</w:t>
            </w:r>
          </w:p>
        </w:tc>
        <w:tc>
          <w:tcPr>
            <w:tcW w:w="4341" w:type="dxa"/>
            <w:shd w:val="clear" w:color="auto" w:fill="FFFFFF" w:themeFill="background1"/>
          </w:tcPr>
          <w:p w14:paraId="68DC1515" w14:textId="6802A883" w:rsidR="007111FC" w:rsidRPr="007111FC" w:rsidRDefault="007111FC" w:rsidP="007111FC">
            <w:pPr>
              <w:spacing w:line="340" w:lineRule="exact"/>
              <w:jc w:val="left"/>
              <w:rPr>
                <w:b/>
                <w:noProof/>
                <w:sz w:val="4"/>
                <w:szCs w:val="4"/>
              </w:rPr>
            </w:pPr>
            <w:r w:rsidRPr="007111FC">
              <w:rPr>
                <w:noProof/>
                <w:sz w:val="4"/>
                <w:szCs w:val="4"/>
              </w:rPr>
              <w:drawing>
                <wp:anchor distT="0" distB="0" distL="114300" distR="114300" simplePos="0" relativeHeight="252912640" behindDoc="1" locked="0" layoutInCell="1" allowOverlap="1" wp14:anchorId="4907A047" wp14:editId="75DD2A0C">
                  <wp:simplePos x="0" y="0"/>
                  <wp:positionH relativeFrom="margin">
                    <wp:posOffset>313690</wp:posOffset>
                  </wp:positionH>
                  <wp:positionV relativeFrom="paragraph">
                    <wp:posOffset>18415</wp:posOffset>
                  </wp:positionV>
                  <wp:extent cx="1781366" cy="1440000"/>
                  <wp:effectExtent l="0" t="0" r="0" b="8255"/>
                  <wp:wrapTight wrapText="bothSides">
                    <wp:wrapPolygon edited="0">
                      <wp:start x="5082" y="0"/>
                      <wp:lineTo x="3927" y="1715"/>
                      <wp:lineTo x="3003" y="3430"/>
                      <wp:lineTo x="3003" y="5145"/>
                      <wp:lineTo x="1848" y="9719"/>
                      <wp:lineTo x="1155" y="11434"/>
                      <wp:lineTo x="1155" y="14864"/>
                      <wp:lineTo x="6699" y="19437"/>
                      <wp:lineTo x="8086" y="21438"/>
                      <wp:lineTo x="8548" y="21438"/>
                      <wp:lineTo x="11551" y="21438"/>
                      <wp:lineTo x="11782" y="21438"/>
                      <wp:lineTo x="13399" y="19151"/>
                      <wp:lineTo x="15709" y="18865"/>
                      <wp:lineTo x="19636" y="16007"/>
                      <wp:lineTo x="19636" y="12863"/>
                      <wp:lineTo x="17788" y="10004"/>
                      <wp:lineTo x="16633" y="9719"/>
                      <wp:lineTo x="18019" y="5145"/>
                      <wp:lineTo x="18250" y="2573"/>
                      <wp:lineTo x="15016" y="858"/>
                      <wp:lineTo x="8086" y="0"/>
                      <wp:lineTo x="5082" y="0"/>
                    </wp:wrapPolygon>
                  </wp:wrapTight>
                  <wp:docPr id="1812" name="Picture 1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12694"/>
                          <a:stretch/>
                        </pic:blipFill>
                        <pic:spPr bwMode="auto">
                          <a:xfrm>
                            <a:off x="0" y="0"/>
                            <a:ext cx="1781366" cy="144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621" w:type="dxa"/>
            <w:shd w:val="clear" w:color="auto" w:fill="F2F2F2" w:themeFill="background1" w:themeFillShade="F2"/>
            <w:textDirection w:val="btLr"/>
          </w:tcPr>
          <w:p w14:paraId="61B5C2A3" w14:textId="49C65207" w:rsidR="007111FC" w:rsidRPr="007111FC" w:rsidRDefault="007111FC" w:rsidP="007111FC">
            <w:pPr>
              <w:spacing w:line="340" w:lineRule="exact"/>
              <w:ind w:left="113" w:right="113"/>
              <w:jc w:val="center"/>
              <w:rPr>
                <w:b/>
                <w:noProof/>
                <w:sz w:val="22"/>
                <w:szCs w:val="22"/>
              </w:rPr>
            </w:pPr>
            <w:r w:rsidRPr="007111FC">
              <w:rPr>
                <w:b/>
                <w:noProof/>
                <w:sz w:val="22"/>
                <w:szCs w:val="22"/>
              </w:rPr>
              <w:t>Function</w:t>
            </w:r>
          </w:p>
        </w:tc>
        <w:tc>
          <w:tcPr>
            <w:tcW w:w="4444" w:type="dxa"/>
            <w:shd w:val="clear" w:color="auto" w:fill="FFFFFF" w:themeFill="background1"/>
          </w:tcPr>
          <w:p w14:paraId="0FF9C1A5" w14:textId="309C7B52" w:rsidR="007111FC" w:rsidRPr="007111FC" w:rsidRDefault="007111FC" w:rsidP="007111FC">
            <w:pPr>
              <w:spacing w:line="340" w:lineRule="exact"/>
              <w:jc w:val="left"/>
              <w:rPr>
                <w:b/>
                <w:noProof/>
                <w:sz w:val="4"/>
                <w:szCs w:val="4"/>
              </w:rPr>
            </w:pPr>
            <w:r w:rsidRPr="007111FC">
              <w:rPr>
                <w:rFonts w:cs="Arial"/>
                <w:noProof/>
                <w:sz w:val="4"/>
                <w:szCs w:val="4"/>
              </w:rPr>
              <w:drawing>
                <wp:anchor distT="0" distB="0" distL="114300" distR="114300" simplePos="0" relativeHeight="252913664" behindDoc="1" locked="0" layoutInCell="1" allowOverlap="1" wp14:anchorId="7E33C7FA" wp14:editId="1A1A378F">
                  <wp:simplePos x="0" y="0"/>
                  <wp:positionH relativeFrom="column">
                    <wp:posOffset>515620</wp:posOffset>
                  </wp:positionH>
                  <wp:positionV relativeFrom="paragraph">
                    <wp:posOffset>60325</wp:posOffset>
                  </wp:positionV>
                  <wp:extent cx="1614371" cy="1440000"/>
                  <wp:effectExtent l="0" t="0" r="5080" b="8255"/>
                  <wp:wrapTight wrapText="bothSides">
                    <wp:wrapPolygon edited="0">
                      <wp:start x="6118" y="0"/>
                      <wp:lineTo x="3314" y="1429"/>
                      <wp:lineTo x="2804" y="2287"/>
                      <wp:lineTo x="2804" y="4573"/>
                      <wp:lineTo x="0" y="8004"/>
                      <wp:lineTo x="0" y="13720"/>
                      <wp:lineTo x="2549" y="18294"/>
                      <wp:lineTo x="2804" y="19437"/>
                      <wp:lineTo x="4843" y="21438"/>
                      <wp:lineTo x="6118" y="21438"/>
                      <wp:lineTo x="15295" y="21438"/>
                      <wp:lineTo x="16315" y="21438"/>
                      <wp:lineTo x="18609" y="19151"/>
                      <wp:lineTo x="18609" y="18294"/>
                      <wp:lineTo x="21413" y="13720"/>
                      <wp:lineTo x="21413" y="8004"/>
                      <wp:lineTo x="18354" y="4573"/>
                      <wp:lineTo x="18609" y="2858"/>
                      <wp:lineTo x="17844" y="1429"/>
                      <wp:lineTo x="15295" y="0"/>
                      <wp:lineTo x="6118" y="0"/>
                    </wp:wrapPolygon>
                  </wp:wrapTight>
                  <wp:docPr id="4115" name="Picture 4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614371" cy="1440000"/>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1C21E9F2" w14:textId="77777777" w:rsidR="00326DEF" w:rsidRPr="00E07712" w:rsidRDefault="00326DEF" w:rsidP="00326DEF">
      <w:pPr>
        <w:pStyle w:val="Heading2"/>
        <w:rPr>
          <w:szCs w:val="22"/>
        </w:rPr>
      </w:pPr>
      <w:bookmarkStart w:id="25" w:name="_Toc29573933"/>
      <w:r w:rsidRPr="00E07712">
        <w:rPr>
          <w:szCs w:val="22"/>
        </w:rPr>
        <w:t>Working In Partnership</w:t>
      </w:r>
      <w:bookmarkEnd w:id="25"/>
    </w:p>
    <w:p w14:paraId="5C18A561" w14:textId="7BE3DD9A" w:rsidR="00326DEF" w:rsidRPr="00E07712" w:rsidRDefault="00326DEF" w:rsidP="00326DEF">
      <w:pPr>
        <w:pStyle w:val="Heading3"/>
        <w:ind w:left="709" w:hanging="709"/>
        <w:rPr>
          <w:szCs w:val="22"/>
        </w:rPr>
      </w:pPr>
      <w:r w:rsidRPr="00E07712">
        <w:rPr>
          <w:szCs w:val="22"/>
        </w:rPr>
        <w:t>Public Services Boards</w:t>
      </w:r>
      <w:r w:rsidR="00F0063F">
        <w:rPr>
          <w:szCs w:val="22"/>
        </w:rPr>
        <w:t xml:space="preserve"> and </w:t>
      </w:r>
      <w:r w:rsidR="00F0063F" w:rsidRPr="00E07712">
        <w:rPr>
          <w:szCs w:val="22"/>
        </w:rPr>
        <w:t xml:space="preserve">Cwm Taf </w:t>
      </w:r>
      <w:r w:rsidR="00F0063F">
        <w:rPr>
          <w:szCs w:val="22"/>
        </w:rPr>
        <w:t xml:space="preserve">Morgannwg </w:t>
      </w:r>
      <w:r w:rsidR="00F0063F" w:rsidRPr="00E07712">
        <w:rPr>
          <w:szCs w:val="22"/>
        </w:rPr>
        <w:t>Social Services and Well-Being Regional Partnership Board</w:t>
      </w:r>
    </w:p>
    <w:p w14:paraId="388D6A7B" w14:textId="507D66FF" w:rsidR="00326DEF" w:rsidRPr="001753D3" w:rsidRDefault="00326DEF" w:rsidP="00326DEF">
      <w:pPr>
        <w:rPr>
          <w:rFonts w:asciiTheme="minorHAnsi" w:hAnsiTheme="minorHAnsi"/>
          <w:szCs w:val="22"/>
        </w:rPr>
      </w:pPr>
      <w:r w:rsidRPr="001753D3">
        <w:rPr>
          <w:rFonts w:asciiTheme="minorHAnsi" w:hAnsiTheme="minorHAnsi"/>
          <w:szCs w:val="22"/>
        </w:rPr>
        <w:t xml:space="preserve">The </w:t>
      </w:r>
      <w:hyperlink r:id="rId39" w:history="1">
        <w:r w:rsidRPr="001753D3">
          <w:rPr>
            <w:rStyle w:val="Hyperlink"/>
            <w:rFonts w:asciiTheme="minorHAnsi" w:hAnsiTheme="minorHAnsi" w:cs="Tahoma"/>
            <w:color w:val="auto"/>
            <w:szCs w:val="22"/>
          </w:rPr>
          <w:t>Cwm Taf</w:t>
        </w:r>
      </w:hyperlink>
      <w:r w:rsidRPr="001753D3">
        <w:rPr>
          <w:rFonts w:asciiTheme="minorHAnsi" w:hAnsiTheme="minorHAnsi"/>
          <w:szCs w:val="22"/>
        </w:rPr>
        <w:t xml:space="preserve"> and </w:t>
      </w:r>
      <w:hyperlink r:id="rId40" w:history="1">
        <w:r w:rsidRPr="001753D3">
          <w:rPr>
            <w:rStyle w:val="Hyperlink"/>
            <w:rFonts w:asciiTheme="minorHAnsi" w:hAnsiTheme="minorHAnsi" w:cs="Tahoma"/>
            <w:color w:val="auto"/>
            <w:szCs w:val="22"/>
          </w:rPr>
          <w:t>Bridgend</w:t>
        </w:r>
      </w:hyperlink>
      <w:r w:rsidRPr="001753D3">
        <w:rPr>
          <w:rFonts w:asciiTheme="minorHAnsi" w:hAnsiTheme="minorHAnsi"/>
          <w:szCs w:val="22"/>
        </w:rPr>
        <w:t xml:space="preserve"> Public Services Boards (PSB) Well-being Plans 2018-23 were published in May 2018.  There are many similarities in the Plans and the two PSBs have indicated a willingness to work together to achieve the Objectives of both plans.  As we work together it is helpful to note </w:t>
      </w:r>
      <w:r w:rsidR="00521E05">
        <w:rPr>
          <w:rFonts w:asciiTheme="minorHAnsi" w:hAnsiTheme="minorHAnsi"/>
          <w:szCs w:val="22"/>
        </w:rPr>
        <w:t xml:space="preserve">the </w:t>
      </w:r>
      <w:r w:rsidRPr="001753D3">
        <w:rPr>
          <w:rFonts w:asciiTheme="minorHAnsi" w:hAnsiTheme="minorHAnsi"/>
          <w:szCs w:val="22"/>
        </w:rPr>
        <w:t xml:space="preserve">many </w:t>
      </w:r>
      <w:r w:rsidR="00521E05">
        <w:rPr>
          <w:rFonts w:asciiTheme="minorHAnsi" w:hAnsiTheme="minorHAnsi"/>
          <w:szCs w:val="22"/>
        </w:rPr>
        <w:t xml:space="preserve">commonalities </w:t>
      </w:r>
      <w:r w:rsidR="00521E05" w:rsidRPr="001753D3">
        <w:rPr>
          <w:rFonts w:asciiTheme="minorHAnsi" w:hAnsiTheme="minorHAnsi"/>
          <w:szCs w:val="22"/>
        </w:rPr>
        <w:t xml:space="preserve"> </w:t>
      </w:r>
      <w:r w:rsidRPr="001753D3">
        <w:rPr>
          <w:rFonts w:asciiTheme="minorHAnsi" w:hAnsiTheme="minorHAnsi"/>
          <w:szCs w:val="22"/>
        </w:rPr>
        <w:t xml:space="preserve">in the well-being objectives as well as distinct differences.  We will further explore these over the coming period, seeking to consolidate the </w:t>
      </w:r>
      <w:r w:rsidR="00521E05">
        <w:rPr>
          <w:rFonts w:asciiTheme="minorHAnsi" w:hAnsiTheme="minorHAnsi"/>
          <w:szCs w:val="22"/>
        </w:rPr>
        <w:t>commonalities</w:t>
      </w:r>
      <w:r w:rsidR="00521E05" w:rsidRPr="001753D3">
        <w:rPr>
          <w:rFonts w:asciiTheme="minorHAnsi" w:hAnsiTheme="minorHAnsi"/>
          <w:szCs w:val="22"/>
        </w:rPr>
        <w:t xml:space="preserve"> </w:t>
      </w:r>
      <w:r w:rsidRPr="001753D3">
        <w:rPr>
          <w:rFonts w:asciiTheme="minorHAnsi" w:hAnsiTheme="minorHAnsi"/>
          <w:szCs w:val="22"/>
        </w:rPr>
        <w:t>in a coherent work plan and support delivery of all objectives as we deliver the agreed intent of one Public Service Board for the new footprint</w:t>
      </w:r>
    </w:p>
    <w:p w14:paraId="6FB94671" w14:textId="77777777" w:rsidR="00F0063F" w:rsidRDefault="00F0063F" w:rsidP="00326DEF"/>
    <w:p w14:paraId="53DA3624" w14:textId="3B843B0D" w:rsidR="00326DEF" w:rsidRDefault="00326DEF" w:rsidP="00326DEF">
      <w:r w:rsidRPr="003842D6">
        <w:t xml:space="preserve">The Social Services and Wellbeing Act Wales (2014) </w:t>
      </w:r>
      <w:r w:rsidR="00056528">
        <w:t xml:space="preserve"> set a </w:t>
      </w:r>
      <w:r w:rsidRPr="003842D6">
        <w:t xml:space="preserve">statutory </w:t>
      </w:r>
      <w:r w:rsidR="00056528">
        <w:t>requirement</w:t>
      </w:r>
      <w:r w:rsidR="00056528" w:rsidRPr="003842D6">
        <w:t xml:space="preserve"> </w:t>
      </w:r>
      <w:r w:rsidRPr="003842D6">
        <w:t xml:space="preserve">for  </w:t>
      </w:r>
      <w:r w:rsidR="00056528">
        <w:t xml:space="preserve">the </w:t>
      </w:r>
      <w:r w:rsidRPr="003842D6">
        <w:t>creat</w:t>
      </w:r>
      <w:r w:rsidR="00056528">
        <w:t>ion of</w:t>
      </w:r>
      <w:r w:rsidRPr="003842D6">
        <w:t xml:space="preserve"> Regional Partnership Boards (RPB) to oversee strategic approaches to deliver</w:t>
      </w:r>
      <w:r w:rsidR="00056528">
        <w:t xml:space="preserve">y of </w:t>
      </w:r>
      <w:r w:rsidRPr="003842D6">
        <w:t xml:space="preserve"> integrated Health and Social Care services.  “</w:t>
      </w:r>
      <w:r w:rsidR="00797368">
        <w:t xml:space="preserve">A </w:t>
      </w:r>
      <w:r w:rsidRPr="003842D6">
        <w:t>Healthier Wales” also confirmed the importance of Regional Partnership working to develop new models of integrated Health and Social Care that are innovative and addresses regional priorities.  RPBs are expected to provide a strong oversight and coordinating role as highlighted by the expectations of</w:t>
      </w:r>
      <w:r w:rsidR="00F0063F">
        <w:t xml:space="preserve"> the national Transformation P</w:t>
      </w:r>
      <w:r w:rsidRPr="003842D6">
        <w:t>rogramme and the need for RPBs to have lead responsibility on the development, implementation and a</w:t>
      </w:r>
      <w:r>
        <w:t xml:space="preserve">chievement of individual </w:t>
      </w:r>
      <w:r w:rsidR="00486C0B">
        <w:t xml:space="preserve">funding </w:t>
      </w:r>
      <w:r>
        <w:t>bids.</w:t>
      </w:r>
      <w:r w:rsidR="00F0063F">
        <w:t xml:space="preserve">  </w:t>
      </w:r>
      <w:r w:rsidRPr="003842D6">
        <w:t xml:space="preserve">Such national expectations clearly </w:t>
      </w:r>
      <w:r w:rsidR="00486C0B">
        <w:t>highlight</w:t>
      </w:r>
      <w:r w:rsidR="00486C0B" w:rsidRPr="003842D6">
        <w:t xml:space="preserve"> </w:t>
      </w:r>
      <w:r w:rsidRPr="003842D6">
        <w:t xml:space="preserve">the critical role of </w:t>
      </w:r>
      <w:r w:rsidR="00144221">
        <w:t>RPB’s</w:t>
      </w:r>
      <w:r w:rsidRPr="003842D6">
        <w:t xml:space="preserve"> in delivering the expected transformation of Health and Social Care delivery so that services become better coordinated and seamless.</w:t>
      </w:r>
    </w:p>
    <w:p w14:paraId="755BF125" w14:textId="77777777" w:rsidR="00326DEF" w:rsidRPr="003842D6" w:rsidRDefault="00326DEF" w:rsidP="00326DEF"/>
    <w:p w14:paraId="79BDBAEF" w14:textId="7ECA7066" w:rsidR="00326DEF" w:rsidRDefault="00326DEF" w:rsidP="00326DEF">
      <w:r w:rsidRPr="003842D6">
        <w:t>The boundary change</w:t>
      </w:r>
      <w:r w:rsidR="005E650A">
        <w:t>,</w:t>
      </w:r>
      <w:r w:rsidRPr="003842D6">
        <w:t xml:space="preserve"> whilst challenging</w:t>
      </w:r>
      <w:r w:rsidR="005E650A">
        <w:t>,</w:t>
      </w:r>
      <w:r w:rsidRPr="003842D6">
        <w:t xml:space="preserve"> </w:t>
      </w:r>
      <w:r w:rsidR="00557AE1">
        <w:t xml:space="preserve">has </w:t>
      </w:r>
      <w:r w:rsidRPr="003842D6">
        <w:t>provide</w:t>
      </w:r>
      <w:r w:rsidR="00486C0B">
        <w:t>d</w:t>
      </w:r>
      <w:r w:rsidRPr="003842D6">
        <w:t xml:space="preserve"> us the opportunity to review all governance arrangements</w:t>
      </w:r>
      <w:r w:rsidR="00486C0B">
        <w:t>,</w:t>
      </w:r>
      <w:r w:rsidRPr="003842D6">
        <w:t xml:space="preserve">  learn from one another and develop simpler more cohesive partnership arrangements to deliver better outcomes for people and communities across</w:t>
      </w:r>
      <w:r w:rsidR="001D53B6">
        <w:t xml:space="preserve"> CTM</w:t>
      </w:r>
      <w:r w:rsidRPr="003842D6">
        <w:t>.</w:t>
      </w:r>
    </w:p>
    <w:p w14:paraId="7EB95D2E" w14:textId="3F8D7AF5" w:rsidR="00326DEF" w:rsidRPr="003842D6" w:rsidRDefault="003E3305" w:rsidP="00602C86">
      <w:pPr>
        <w:tabs>
          <w:tab w:val="left" w:pos="2295"/>
        </w:tabs>
      </w:pPr>
      <w:r>
        <w:tab/>
      </w:r>
    </w:p>
    <w:p w14:paraId="28389F61" w14:textId="5BDE23E3" w:rsidR="00326DEF" w:rsidRDefault="00EF796F" w:rsidP="00326DEF">
      <w:r>
        <w:t>To reflect the interdependencies between health/wellbeing and housing and education</w:t>
      </w:r>
      <w:r w:rsidR="003E3305">
        <w:t xml:space="preserve">, membership of the RPB has now been extended to include </w:t>
      </w:r>
      <w:r w:rsidR="00326DEF" w:rsidRPr="003842D6">
        <w:t xml:space="preserve">housing, registered social Landlord and education representation. </w:t>
      </w:r>
    </w:p>
    <w:p w14:paraId="1F4714D9" w14:textId="77777777" w:rsidR="00326DEF" w:rsidRPr="003842D6" w:rsidRDefault="00326DEF" w:rsidP="00326DEF"/>
    <w:p w14:paraId="04F77CB0" w14:textId="7413AFC0" w:rsidR="00326DEF" w:rsidRDefault="00326DEF" w:rsidP="00326DEF">
      <w:r w:rsidRPr="003842D6">
        <w:lastRenderedPageBreak/>
        <w:t xml:space="preserve">Whilst there is one RPB covering the </w:t>
      </w:r>
      <w:r w:rsidR="00433CDA">
        <w:t>CTM</w:t>
      </w:r>
      <w:r w:rsidRPr="003842D6">
        <w:t xml:space="preserve"> Region there remains two </w:t>
      </w:r>
      <w:r w:rsidR="00085F9D">
        <w:t>PSB’s</w:t>
      </w:r>
      <w:r w:rsidRPr="003842D6">
        <w:t>.</w:t>
      </w:r>
      <w:r w:rsidR="005E650A">
        <w:t xml:space="preserve"> </w:t>
      </w:r>
      <w:r w:rsidRPr="003842D6">
        <w:t xml:space="preserve"> The RPB links with the Cwm Taf PSB and Bridgend PSB on its areas of specific responsibility in health, care and wellbeing.  The Chair of the RPB is a member of the Cwm Taf PSB for that purpose and to promote effective alignment between the SSWB Act and the Well-being of Future Generations Act.  A regional workshop </w:t>
      </w:r>
      <w:r w:rsidR="003E3305">
        <w:t>was held in</w:t>
      </w:r>
      <w:r w:rsidRPr="003842D6">
        <w:t xml:space="preserve"> January 2020 to review and align the vision and priorities of the RPB and PSBs within the region.</w:t>
      </w:r>
    </w:p>
    <w:p w14:paraId="2D7133BD" w14:textId="77777777" w:rsidR="00326DEF" w:rsidRPr="00E07712" w:rsidRDefault="00326DEF" w:rsidP="00326DEF">
      <w:pPr>
        <w:pStyle w:val="Heading3"/>
        <w:ind w:left="709" w:hanging="709"/>
        <w:rPr>
          <w:szCs w:val="22"/>
        </w:rPr>
      </w:pPr>
      <w:r w:rsidRPr="00E07712">
        <w:rPr>
          <w:szCs w:val="22"/>
        </w:rPr>
        <w:t>Regional Collaboration</w:t>
      </w:r>
    </w:p>
    <w:p w14:paraId="6ADA99CC" w14:textId="5A3E268C" w:rsidR="00326DEF" w:rsidRPr="003842D6" w:rsidRDefault="008D6B37" w:rsidP="00326DEF">
      <w:pPr>
        <w:rPr>
          <w:szCs w:val="22"/>
        </w:rPr>
      </w:pPr>
      <w:r>
        <w:rPr>
          <w:szCs w:val="22"/>
        </w:rPr>
        <w:t>CTMUHB</w:t>
      </w:r>
      <w:r w:rsidR="00326DEF" w:rsidRPr="003842D6">
        <w:rPr>
          <w:szCs w:val="22"/>
        </w:rPr>
        <w:t xml:space="preserve"> is committed to working collaboratively and at pace with neighbouring organisations to secure benefits for patients where this is appropriate.  The </w:t>
      </w:r>
      <w:r>
        <w:rPr>
          <w:szCs w:val="22"/>
        </w:rPr>
        <w:t xml:space="preserve">UHB </w:t>
      </w:r>
      <w:r w:rsidR="00326DEF" w:rsidRPr="003842D6">
        <w:rPr>
          <w:szCs w:val="22"/>
        </w:rPr>
        <w:t xml:space="preserve">has been an active partner in a number of collaborative mechanisms including the NHS Wales Collaborative, the South East Wales Regional Planning Forum (SEWRPF), </w:t>
      </w:r>
      <w:r w:rsidR="0095469D">
        <w:rPr>
          <w:szCs w:val="22"/>
        </w:rPr>
        <w:t>WHSCC</w:t>
      </w:r>
      <w:r w:rsidR="00326DEF" w:rsidRPr="003842D6">
        <w:rPr>
          <w:szCs w:val="22"/>
        </w:rPr>
        <w:t>, NHS Wales Shared Services Partnership</w:t>
      </w:r>
      <w:r w:rsidR="005E650A">
        <w:rPr>
          <w:szCs w:val="22"/>
        </w:rPr>
        <w:t xml:space="preserve"> (NWSSP)</w:t>
      </w:r>
      <w:r w:rsidR="00326DEF" w:rsidRPr="003842D6">
        <w:rPr>
          <w:szCs w:val="22"/>
        </w:rPr>
        <w:t>, Emergency Ambulance Services Committee (EASC) and the Clinical Networks.</w:t>
      </w:r>
    </w:p>
    <w:p w14:paraId="5F4B1387" w14:textId="77777777" w:rsidR="00326DEF" w:rsidRPr="003842D6" w:rsidRDefault="00326DEF" w:rsidP="00326DEF">
      <w:pPr>
        <w:rPr>
          <w:rFonts w:cs="Arial"/>
          <w:szCs w:val="22"/>
        </w:rPr>
      </w:pPr>
    </w:p>
    <w:p w14:paraId="5E391BF3" w14:textId="27B4848D" w:rsidR="00326DEF" w:rsidRDefault="00326DEF" w:rsidP="00326DEF">
      <w:pPr>
        <w:rPr>
          <w:rFonts w:cs="Arial"/>
          <w:szCs w:val="22"/>
        </w:rPr>
      </w:pPr>
      <w:r w:rsidRPr="003842D6">
        <w:rPr>
          <w:rFonts w:cs="Arial"/>
          <w:szCs w:val="22"/>
        </w:rPr>
        <w:t xml:space="preserve">A significant focus for the Health Board </w:t>
      </w:r>
      <w:r w:rsidR="005E650A">
        <w:rPr>
          <w:rFonts w:cs="Arial"/>
          <w:szCs w:val="22"/>
        </w:rPr>
        <w:t xml:space="preserve">continuing </w:t>
      </w:r>
      <w:r w:rsidRPr="003842D6">
        <w:rPr>
          <w:rFonts w:cs="Arial"/>
          <w:szCs w:val="22"/>
        </w:rPr>
        <w:t xml:space="preserve">in 2020/21 is the work programme of the Regional Planning and Delivery Forum, which includes the Chief Executive, NHS Wales, and Chair and Chief Executive representation from </w:t>
      </w:r>
      <w:r w:rsidR="00433CDA">
        <w:rPr>
          <w:rFonts w:cs="Arial"/>
          <w:szCs w:val="22"/>
        </w:rPr>
        <w:t>CTM</w:t>
      </w:r>
      <w:r w:rsidR="005E650A">
        <w:rPr>
          <w:rFonts w:cs="Arial"/>
          <w:szCs w:val="22"/>
        </w:rPr>
        <w:t xml:space="preserve">, Cardiff &amp; </w:t>
      </w:r>
      <w:r w:rsidRPr="003842D6">
        <w:rPr>
          <w:rFonts w:cs="Arial"/>
          <w:szCs w:val="22"/>
        </w:rPr>
        <w:t xml:space="preserve">Vale, Aneurin Bevan, Swansea Bay, Powys, and </w:t>
      </w:r>
      <w:r w:rsidR="00026E19">
        <w:rPr>
          <w:rFonts w:cs="Arial"/>
          <w:szCs w:val="22"/>
        </w:rPr>
        <w:t>Welsh Ambulance Service Trust (</w:t>
      </w:r>
      <w:r w:rsidRPr="003842D6">
        <w:rPr>
          <w:rFonts w:cs="Arial"/>
          <w:szCs w:val="22"/>
        </w:rPr>
        <w:t>WAST</w:t>
      </w:r>
      <w:r w:rsidR="00026E19">
        <w:rPr>
          <w:rFonts w:cs="Arial"/>
          <w:szCs w:val="22"/>
        </w:rPr>
        <w:t>)</w:t>
      </w:r>
      <w:r w:rsidRPr="003842D6">
        <w:rPr>
          <w:rFonts w:cs="Arial"/>
          <w:szCs w:val="22"/>
        </w:rPr>
        <w:t>.</w:t>
      </w:r>
    </w:p>
    <w:p w14:paraId="4D36EA63" w14:textId="050A82A7" w:rsidR="00037775" w:rsidRPr="00E07712" w:rsidRDefault="00037775" w:rsidP="00037775">
      <w:pPr>
        <w:pStyle w:val="Heading3"/>
        <w:ind w:left="709" w:hanging="709"/>
        <w:rPr>
          <w:szCs w:val="22"/>
        </w:rPr>
      </w:pPr>
      <w:r>
        <w:rPr>
          <w:szCs w:val="22"/>
        </w:rPr>
        <w:t>Cwm Taf Morgannwg and Swansea Bay University Health Board Partnership Arrangements</w:t>
      </w:r>
    </w:p>
    <w:p w14:paraId="38DB4493" w14:textId="68B96098" w:rsidR="00037775" w:rsidRPr="00037775" w:rsidRDefault="00037775" w:rsidP="00037775">
      <w:pPr>
        <w:rPr>
          <w:rFonts w:cs="Arial"/>
          <w:szCs w:val="22"/>
        </w:rPr>
      </w:pPr>
      <w:r w:rsidRPr="00037775">
        <w:rPr>
          <w:rFonts w:cs="Arial"/>
          <w:szCs w:val="22"/>
        </w:rPr>
        <w:t xml:space="preserve">The Bridgend Boundary Change on 1st April 2019 </w:t>
      </w:r>
      <w:r w:rsidR="00A83A43">
        <w:rPr>
          <w:rFonts w:cs="Arial"/>
          <w:szCs w:val="22"/>
        </w:rPr>
        <w:t>saw</w:t>
      </w:r>
      <w:r w:rsidR="00A83A43" w:rsidRPr="00037775">
        <w:rPr>
          <w:rFonts w:cs="Arial"/>
          <w:szCs w:val="22"/>
        </w:rPr>
        <w:t xml:space="preserve"> </w:t>
      </w:r>
      <w:r w:rsidRPr="00037775">
        <w:rPr>
          <w:rFonts w:cs="Arial"/>
          <w:szCs w:val="22"/>
        </w:rPr>
        <w:t xml:space="preserve">the successful transfer of commissioning responsibility for the Bridgend population to </w:t>
      </w:r>
      <w:r w:rsidR="002A3312">
        <w:rPr>
          <w:rFonts w:cs="Arial"/>
          <w:szCs w:val="22"/>
        </w:rPr>
        <w:t>CTMUHB</w:t>
      </w:r>
      <w:r w:rsidRPr="00037775">
        <w:rPr>
          <w:rFonts w:cs="Arial"/>
          <w:szCs w:val="22"/>
        </w:rPr>
        <w:t xml:space="preserve">. </w:t>
      </w:r>
    </w:p>
    <w:p w14:paraId="4EE28206" w14:textId="77777777" w:rsidR="00037775" w:rsidRPr="00037775" w:rsidRDefault="00037775" w:rsidP="00037775">
      <w:pPr>
        <w:rPr>
          <w:rFonts w:cs="Arial"/>
          <w:szCs w:val="22"/>
        </w:rPr>
      </w:pPr>
    </w:p>
    <w:p w14:paraId="62A2EE67" w14:textId="60E50E13" w:rsidR="00037775" w:rsidRPr="00037775" w:rsidRDefault="00037775" w:rsidP="00037775">
      <w:pPr>
        <w:rPr>
          <w:rFonts w:cs="Arial"/>
          <w:szCs w:val="22"/>
        </w:rPr>
      </w:pPr>
      <w:r w:rsidRPr="00037775">
        <w:rPr>
          <w:rFonts w:cs="Arial"/>
          <w:szCs w:val="22"/>
        </w:rPr>
        <w:t xml:space="preserve">Over two hundred services were safely transferred to </w:t>
      </w:r>
      <w:r w:rsidR="00AF2A00">
        <w:rPr>
          <w:rFonts w:cs="Arial"/>
          <w:szCs w:val="22"/>
        </w:rPr>
        <w:t>CTMUHB</w:t>
      </w:r>
      <w:r w:rsidRPr="00037775">
        <w:rPr>
          <w:rFonts w:cs="Arial"/>
          <w:szCs w:val="22"/>
        </w:rPr>
        <w:t xml:space="preserve"> on 1 April 2019. </w:t>
      </w:r>
      <w:r w:rsidR="00BF5396">
        <w:rPr>
          <w:rFonts w:cs="Arial"/>
          <w:szCs w:val="22"/>
        </w:rPr>
        <w:t xml:space="preserve"> </w:t>
      </w:r>
      <w:r w:rsidRPr="00037775">
        <w:rPr>
          <w:rFonts w:cs="Arial"/>
          <w:szCs w:val="22"/>
        </w:rPr>
        <w:t>Where services were unable to be transferred either completely or partially, in order to support the transfer of services process and maintain existing patient flows,</w:t>
      </w:r>
      <w:r w:rsidRPr="00037775" w:rsidDel="00686C90">
        <w:rPr>
          <w:rFonts w:cs="Arial"/>
          <w:szCs w:val="22"/>
        </w:rPr>
        <w:t xml:space="preserve"> </w:t>
      </w:r>
      <w:r w:rsidRPr="00037775">
        <w:rPr>
          <w:rFonts w:cs="Arial"/>
          <w:szCs w:val="22"/>
        </w:rPr>
        <w:t>commissioning arrangements were put in place to support the delivery of services for the population either through the Long Term Agreement (LTA) between the two Health Boards, or through two overarching Service Level Agreements (SLA) for clinical services (which include 155 separate service lines), and 22 separate corporate SLAs.  Many of these commissioning arrangements were seen as short term arrangements that required further work to disaggregate the service and decommission the corresponding SLA.</w:t>
      </w:r>
    </w:p>
    <w:p w14:paraId="1FA0D789" w14:textId="77777777" w:rsidR="00037775" w:rsidRPr="00037775" w:rsidRDefault="00037775" w:rsidP="00037775">
      <w:pPr>
        <w:rPr>
          <w:rFonts w:cs="Arial"/>
          <w:szCs w:val="22"/>
        </w:rPr>
      </w:pPr>
    </w:p>
    <w:p w14:paraId="71B809A8" w14:textId="15A901B1" w:rsidR="00037775" w:rsidRPr="00037775" w:rsidRDefault="00037775" w:rsidP="00037775">
      <w:pPr>
        <w:rPr>
          <w:rFonts w:cs="Arial"/>
          <w:szCs w:val="22"/>
        </w:rPr>
      </w:pPr>
      <w:r w:rsidRPr="00037775">
        <w:rPr>
          <w:rFonts w:cs="Arial"/>
          <w:szCs w:val="22"/>
        </w:rPr>
        <w:t>During 2019/20 work has progressed to monitor and refine these SLA and LTA arrangements, with some small contracts ceasing as planned.</w:t>
      </w:r>
      <w:r>
        <w:rPr>
          <w:rFonts w:cs="Arial"/>
          <w:szCs w:val="22"/>
        </w:rPr>
        <w:t xml:space="preserve">  </w:t>
      </w:r>
      <w:r w:rsidRPr="00037775">
        <w:rPr>
          <w:rFonts w:cs="Arial"/>
          <w:szCs w:val="22"/>
        </w:rPr>
        <w:t xml:space="preserve">As we move into 2020/21, the majority of the contractual arrangements will continue as work progresses </w:t>
      </w:r>
      <w:r w:rsidR="00AE0C07">
        <w:rPr>
          <w:rFonts w:cs="Arial"/>
          <w:szCs w:val="22"/>
        </w:rPr>
        <w:t>on developing plans for the</w:t>
      </w:r>
      <w:r w:rsidRPr="00037775">
        <w:rPr>
          <w:rFonts w:cs="Arial"/>
          <w:szCs w:val="22"/>
        </w:rPr>
        <w:t xml:space="preserve"> longer term arrangements around the Pathology, ICT and the clinical service interface between </w:t>
      </w:r>
      <w:r w:rsidR="00140573">
        <w:rPr>
          <w:rFonts w:cs="Arial"/>
          <w:szCs w:val="22"/>
        </w:rPr>
        <w:t>NPT</w:t>
      </w:r>
      <w:r w:rsidRPr="00037775">
        <w:rPr>
          <w:rFonts w:cs="Arial"/>
          <w:szCs w:val="22"/>
        </w:rPr>
        <w:t xml:space="preserve"> Hospital </w:t>
      </w:r>
      <w:r w:rsidR="00140573">
        <w:rPr>
          <w:rFonts w:cs="Arial"/>
          <w:szCs w:val="22"/>
        </w:rPr>
        <w:t xml:space="preserve">(NPTH) </w:t>
      </w:r>
      <w:r w:rsidRPr="00037775">
        <w:rPr>
          <w:rFonts w:cs="Arial"/>
          <w:szCs w:val="22"/>
        </w:rPr>
        <w:t>and Princess of Wales Hospital</w:t>
      </w:r>
      <w:r w:rsidR="00140573">
        <w:rPr>
          <w:rFonts w:cs="Arial"/>
          <w:szCs w:val="22"/>
        </w:rPr>
        <w:t xml:space="preserve"> (POWH)</w:t>
      </w:r>
      <w:r w:rsidRPr="00037775">
        <w:rPr>
          <w:rFonts w:cs="Arial"/>
          <w:szCs w:val="22"/>
        </w:rPr>
        <w:t>.</w:t>
      </w:r>
    </w:p>
    <w:p w14:paraId="3C577502" w14:textId="77777777" w:rsidR="00037775" w:rsidRPr="00037775" w:rsidRDefault="00037775" w:rsidP="00037775">
      <w:pPr>
        <w:rPr>
          <w:rFonts w:cs="Arial"/>
          <w:szCs w:val="22"/>
        </w:rPr>
      </w:pPr>
    </w:p>
    <w:p w14:paraId="1CC4D7F1" w14:textId="2C9828D8" w:rsidR="00037775" w:rsidRPr="00037775" w:rsidRDefault="00037775" w:rsidP="00037775">
      <w:pPr>
        <w:rPr>
          <w:rFonts w:cs="Arial"/>
          <w:szCs w:val="22"/>
        </w:rPr>
      </w:pPr>
      <w:r w:rsidRPr="00037775">
        <w:rPr>
          <w:rFonts w:cs="Arial"/>
          <w:szCs w:val="22"/>
        </w:rPr>
        <w:t>S</w:t>
      </w:r>
      <w:r>
        <w:rPr>
          <w:rFonts w:cs="Arial"/>
          <w:szCs w:val="22"/>
        </w:rPr>
        <w:t xml:space="preserve">wansea Bay </w:t>
      </w:r>
      <w:r w:rsidR="002A3312">
        <w:rPr>
          <w:rFonts w:cs="Arial"/>
          <w:szCs w:val="22"/>
        </w:rPr>
        <w:t xml:space="preserve">UHB </w:t>
      </w:r>
      <w:r>
        <w:rPr>
          <w:rFonts w:cs="Arial"/>
          <w:szCs w:val="22"/>
        </w:rPr>
        <w:t xml:space="preserve">and </w:t>
      </w:r>
      <w:r w:rsidR="002A3312">
        <w:rPr>
          <w:rFonts w:cs="Arial"/>
          <w:szCs w:val="22"/>
        </w:rPr>
        <w:t>CTMUHB</w:t>
      </w:r>
      <w:r w:rsidRPr="00037775">
        <w:rPr>
          <w:rFonts w:cs="Arial"/>
          <w:szCs w:val="22"/>
        </w:rPr>
        <w:t xml:space="preserve"> have developed strong partnership arrangements at both an operational and executive level to complete and close the legacy of the service and commissioning issues arising from the boundary transfer, and to establish fit-for-purpose joint strategic planning arrangements to support the development of services/ service models for the populations of S</w:t>
      </w:r>
      <w:r>
        <w:rPr>
          <w:rFonts w:cs="Arial"/>
          <w:szCs w:val="22"/>
        </w:rPr>
        <w:t xml:space="preserve">wansea Bay and </w:t>
      </w:r>
      <w:r w:rsidR="00901029">
        <w:rPr>
          <w:rFonts w:cs="Arial"/>
          <w:szCs w:val="22"/>
        </w:rPr>
        <w:t>CTM</w:t>
      </w:r>
      <w:r w:rsidRPr="00037775">
        <w:rPr>
          <w:rFonts w:cs="Arial"/>
          <w:szCs w:val="22"/>
        </w:rPr>
        <w:t xml:space="preserve">.  </w:t>
      </w:r>
    </w:p>
    <w:p w14:paraId="4143570C" w14:textId="4E5E66B8" w:rsidR="00542268" w:rsidRPr="00E07712" w:rsidRDefault="00A32A85" w:rsidP="002C0EC9">
      <w:pPr>
        <w:pStyle w:val="Heading2"/>
        <w:rPr>
          <w:szCs w:val="22"/>
        </w:rPr>
      </w:pPr>
      <w:bookmarkStart w:id="26" w:name="_Toc536195547"/>
      <w:bookmarkStart w:id="27" w:name="_Toc29573934"/>
      <w:r>
        <w:rPr>
          <w:szCs w:val="22"/>
        </w:rPr>
        <w:t>Integrated M</w:t>
      </w:r>
      <w:r w:rsidR="00ED3450">
        <w:rPr>
          <w:szCs w:val="22"/>
        </w:rPr>
        <w:t>edium</w:t>
      </w:r>
      <w:r>
        <w:rPr>
          <w:szCs w:val="22"/>
        </w:rPr>
        <w:t xml:space="preserve"> Term Plan 2020 – 2023 </w:t>
      </w:r>
      <w:r w:rsidR="00261D02" w:rsidRPr="00E07712">
        <w:rPr>
          <w:szCs w:val="22"/>
        </w:rPr>
        <w:t>Priorities</w:t>
      </w:r>
      <w:bookmarkEnd w:id="26"/>
      <w:bookmarkEnd w:id="27"/>
    </w:p>
    <w:p w14:paraId="01C0A709" w14:textId="1D916AF9" w:rsidR="001753D3" w:rsidRPr="00A43980" w:rsidRDefault="00411B9E" w:rsidP="001753D3">
      <w:pPr>
        <w:rPr>
          <w:rFonts w:asciiTheme="minorHAnsi" w:hAnsiTheme="minorHAnsi" w:cstheme="minorHAnsi"/>
        </w:rPr>
      </w:pPr>
      <w:r>
        <w:rPr>
          <w:rFonts w:asciiTheme="minorHAnsi" w:hAnsiTheme="minorHAnsi" w:cstheme="minorHAnsi"/>
        </w:rPr>
        <w:t>As the Health Board</w:t>
      </w:r>
      <w:r w:rsidR="001753D3" w:rsidRPr="00A43980">
        <w:rPr>
          <w:rFonts w:asciiTheme="minorHAnsi" w:hAnsiTheme="minorHAnsi" w:cstheme="minorHAnsi"/>
        </w:rPr>
        <w:t xml:space="preserve"> develops and aligns to the ‘A Healthier Wales: Our Plan for Health and Social Care’, some particular areas of importance and focus to articulate in the IMTP 2020-23 include:</w:t>
      </w:r>
    </w:p>
    <w:p w14:paraId="4A06184D" w14:textId="77777777" w:rsidR="00E2441A" w:rsidRDefault="00E2441A" w:rsidP="00E2441A">
      <w:pPr>
        <w:rPr>
          <w:color w:val="000000" w:themeColor="text1"/>
        </w:rPr>
      </w:pPr>
    </w:p>
    <w:p w14:paraId="66DF0C73" w14:textId="77777777" w:rsidR="00E2441A" w:rsidRDefault="00E2441A" w:rsidP="00E2441A">
      <w:pPr>
        <w:numPr>
          <w:ilvl w:val="0"/>
          <w:numId w:val="120"/>
        </w:numPr>
      </w:pPr>
      <w:r>
        <w:t xml:space="preserve">The </w:t>
      </w:r>
      <w:r w:rsidRPr="00A43980">
        <w:t>c</w:t>
      </w:r>
      <w:r>
        <w:t>ontinued development of the Health Board</w:t>
      </w:r>
      <w:r w:rsidRPr="00A43980">
        <w:t xml:space="preserve">, focusing on engaging and </w:t>
      </w:r>
      <w:r w:rsidRPr="00A43980">
        <w:rPr>
          <w:lang w:val="en-US"/>
        </w:rPr>
        <w:t xml:space="preserve">empowering our people, embedding our values and </w:t>
      </w:r>
      <w:r w:rsidRPr="00A43980">
        <w:t>behaviours</w:t>
      </w:r>
      <w:r w:rsidRPr="00A43980">
        <w:rPr>
          <w:lang w:val="en-US"/>
        </w:rPr>
        <w:t>, and a clear structure and operating model</w:t>
      </w:r>
      <w:r w:rsidRPr="00A43980">
        <w:t>.</w:t>
      </w:r>
    </w:p>
    <w:p w14:paraId="15ED86C0" w14:textId="77777777" w:rsidR="00E2441A" w:rsidRDefault="00E2441A" w:rsidP="00E2441A">
      <w:pPr>
        <w:numPr>
          <w:ilvl w:val="0"/>
          <w:numId w:val="120"/>
        </w:numPr>
      </w:pPr>
      <w:r>
        <w:t>Grow clinical and community leadership and deliver robust, simplified and safe decision making; learning through quality improvements and strengthening involvement of patients, staff and partners in service redesign.</w:t>
      </w:r>
    </w:p>
    <w:p w14:paraId="54572799" w14:textId="77777777" w:rsidR="00E2441A" w:rsidRDefault="00E2441A" w:rsidP="00E2441A">
      <w:pPr>
        <w:numPr>
          <w:ilvl w:val="0"/>
          <w:numId w:val="120"/>
        </w:numPr>
      </w:pPr>
      <w:r>
        <w:t xml:space="preserve">The implementation of the Health Board’s Quality and Patient Safety Governance Framework, including across maternity services. </w:t>
      </w:r>
    </w:p>
    <w:p w14:paraId="2E970D19" w14:textId="77777777" w:rsidR="00E2441A" w:rsidRDefault="00E2441A" w:rsidP="00E2441A">
      <w:pPr>
        <w:numPr>
          <w:ilvl w:val="0"/>
          <w:numId w:val="120"/>
        </w:numPr>
      </w:pPr>
      <w:r>
        <w:t>The development of the 10 year Health Board Integrated Health and Care Strategy.</w:t>
      </w:r>
    </w:p>
    <w:p w14:paraId="73DE3CDD" w14:textId="77777777" w:rsidR="00E2441A" w:rsidRDefault="00E2441A" w:rsidP="00E2441A">
      <w:pPr>
        <w:numPr>
          <w:ilvl w:val="0"/>
          <w:numId w:val="120"/>
        </w:numPr>
      </w:pPr>
      <w:r>
        <w:t>Ensuring the outstanding issues first identified in the South Wales Programme, regarding potentially unsafe and unsustainable services (particularly emergency medicine (A&amp;E), acute medicine and inpatient paediatric services), are fully addressed, following extensive public and clinical discussion.</w:t>
      </w:r>
    </w:p>
    <w:p w14:paraId="2FD1E0C0" w14:textId="77777777" w:rsidR="00E2441A" w:rsidRDefault="00E2441A" w:rsidP="00E2441A">
      <w:pPr>
        <w:numPr>
          <w:ilvl w:val="0"/>
          <w:numId w:val="120"/>
        </w:numPr>
      </w:pPr>
      <w:r>
        <w:lastRenderedPageBreak/>
        <w:t>Delivery of regional and national service change plans, including Major Trauma services.</w:t>
      </w:r>
    </w:p>
    <w:p w14:paraId="21A7DFF9" w14:textId="77777777" w:rsidR="00E2441A" w:rsidRDefault="00E2441A" w:rsidP="00E2441A">
      <w:pPr>
        <w:numPr>
          <w:ilvl w:val="0"/>
          <w:numId w:val="120"/>
        </w:numPr>
      </w:pPr>
      <w:r>
        <w:t>The continued implementation of the Regional Partnership Board transformation ambition and further alignment of Primary Care Clusters and Mental Health Localities.</w:t>
      </w:r>
    </w:p>
    <w:p w14:paraId="40480C1A" w14:textId="77777777" w:rsidR="00E2441A" w:rsidRDefault="00E2441A" w:rsidP="00E2441A">
      <w:pPr>
        <w:numPr>
          <w:ilvl w:val="0"/>
          <w:numId w:val="120"/>
        </w:numPr>
      </w:pPr>
      <w:r>
        <w:t xml:space="preserve">Delivery against the NHS Wales Delivery and Outcomes Framework, including ensuring patients are more consistently able to access services in a timely manner. </w:t>
      </w:r>
    </w:p>
    <w:p w14:paraId="27052793" w14:textId="77777777" w:rsidR="00E2441A" w:rsidRPr="00934CEB" w:rsidRDefault="00E2441A" w:rsidP="00E2441A">
      <w:pPr>
        <w:numPr>
          <w:ilvl w:val="0"/>
          <w:numId w:val="120"/>
        </w:numPr>
      </w:pPr>
      <w:r>
        <w:t>Planning for recurrent financial balance.</w:t>
      </w:r>
    </w:p>
    <w:p w14:paraId="0BCBFBFC" w14:textId="77777777" w:rsidR="00E2441A" w:rsidRDefault="00E2441A" w:rsidP="00E2441A">
      <w:pPr>
        <w:rPr>
          <w:color w:val="000000" w:themeColor="text1"/>
        </w:rPr>
      </w:pPr>
    </w:p>
    <w:p w14:paraId="2B8EB443" w14:textId="77777777" w:rsidR="00E2441A" w:rsidRDefault="00E2441A" w:rsidP="00E2441A">
      <w:pPr>
        <w:rPr>
          <w:color w:val="000000" w:themeColor="text1"/>
        </w:rPr>
      </w:pPr>
      <w:r w:rsidRPr="00E348E2">
        <w:rPr>
          <w:color w:val="000000" w:themeColor="text1"/>
        </w:rPr>
        <w:t xml:space="preserve">Key enablers in the delivery of the priorities will be patient engagement and </w:t>
      </w:r>
      <w:r>
        <w:rPr>
          <w:color w:val="000000" w:themeColor="text1"/>
        </w:rPr>
        <w:t>involvement</w:t>
      </w:r>
      <w:r w:rsidRPr="00E348E2">
        <w:rPr>
          <w:color w:val="000000" w:themeColor="text1"/>
        </w:rPr>
        <w:t xml:space="preserve">, </w:t>
      </w:r>
      <w:r>
        <w:rPr>
          <w:color w:val="000000" w:themeColor="text1"/>
        </w:rPr>
        <w:t>developing</w:t>
      </w:r>
      <w:r w:rsidRPr="00E348E2">
        <w:rPr>
          <w:color w:val="000000" w:themeColor="text1"/>
        </w:rPr>
        <w:t xml:space="preserve"> work in relation to the Health Board</w:t>
      </w:r>
      <w:r>
        <w:rPr>
          <w:color w:val="000000" w:themeColor="text1"/>
        </w:rPr>
        <w:t>’</w:t>
      </w:r>
      <w:r w:rsidRPr="00E348E2">
        <w:rPr>
          <w:color w:val="000000" w:themeColor="text1"/>
        </w:rPr>
        <w:t>s digital plans, and the implementation of the Welsh Language (Wales) Measure 2011. The Well-being Plans and Area Plan for the CTM region form an underlying work programme for the IMTP.</w:t>
      </w:r>
    </w:p>
    <w:p w14:paraId="5505F953" w14:textId="77777777" w:rsidR="00A611A7" w:rsidRDefault="00A611A7" w:rsidP="00DE0FC0"/>
    <w:p w14:paraId="613ABA32" w14:textId="77777777" w:rsidR="00A611A7" w:rsidRPr="007358E7" w:rsidRDefault="00A611A7" w:rsidP="00A611A7">
      <w:pPr>
        <w:rPr>
          <w:color w:val="000000" w:themeColor="text1"/>
        </w:rPr>
      </w:pPr>
      <w:r w:rsidRPr="007358E7">
        <w:rPr>
          <w:rFonts w:asciiTheme="minorHAnsi" w:hAnsiTheme="minorHAnsi" w:cstheme="minorHAnsi"/>
          <w:noProof/>
          <w:color w:val="000000" w:themeColor="text1"/>
          <w:sz w:val="16"/>
          <w:szCs w:val="16"/>
        </w:rPr>
        <w:drawing>
          <wp:anchor distT="0" distB="0" distL="114300" distR="114300" simplePos="0" relativeHeight="252939264" behindDoc="0" locked="0" layoutInCell="1" allowOverlap="1" wp14:anchorId="18E73C9C" wp14:editId="7A0CD8F4">
            <wp:simplePos x="0" y="0"/>
            <wp:positionH relativeFrom="column">
              <wp:posOffset>5845810</wp:posOffset>
            </wp:positionH>
            <wp:positionV relativeFrom="paragraph">
              <wp:posOffset>634365</wp:posOffset>
            </wp:positionV>
            <wp:extent cx="434340" cy="541020"/>
            <wp:effectExtent l="0" t="0" r="381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4340" cy="541020"/>
                    </a:xfrm>
                    <a:prstGeom prst="rect">
                      <a:avLst/>
                    </a:prstGeom>
                    <a:noFill/>
                  </pic:spPr>
                </pic:pic>
              </a:graphicData>
            </a:graphic>
            <wp14:sizeRelH relativeFrom="margin">
              <wp14:pctWidth>0</wp14:pctWidth>
            </wp14:sizeRelH>
            <wp14:sizeRelV relativeFrom="margin">
              <wp14:pctHeight>0</wp14:pctHeight>
            </wp14:sizeRelV>
          </wp:anchor>
        </w:drawing>
      </w:r>
      <w:r w:rsidRPr="007358E7">
        <w:rPr>
          <w:color w:val="000000" w:themeColor="text1"/>
        </w:rPr>
        <w:t xml:space="preserve">The Health Board objectives will be achieved by working closely in partnership with our staff, partners and local communities; </w:t>
      </w:r>
      <w:r>
        <w:rPr>
          <w:color w:val="000000" w:themeColor="text1"/>
        </w:rPr>
        <w:t xml:space="preserve">driven by </w:t>
      </w:r>
      <w:r w:rsidRPr="007358E7">
        <w:rPr>
          <w:color w:val="000000" w:themeColor="text1"/>
        </w:rPr>
        <w:t xml:space="preserve"> our quality and performance standards; and within a financial envelope which is both value for money and affordable.  Examples of the deliverables descri</w:t>
      </w:r>
      <w:r>
        <w:rPr>
          <w:color w:val="000000" w:themeColor="text1"/>
        </w:rPr>
        <w:t>bed within this Plan for 2020/23</w:t>
      </w:r>
      <w:r w:rsidRPr="007358E7">
        <w:rPr>
          <w:color w:val="000000" w:themeColor="text1"/>
        </w:rPr>
        <w:t xml:space="preserve"> are therefore:</w:t>
      </w:r>
    </w:p>
    <w:p w14:paraId="2505F039" w14:textId="77777777" w:rsidR="00A611A7" w:rsidRPr="00B20F2F" w:rsidRDefault="00A611A7" w:rsidP="00A611A7">
      <w:pPr>
        <w:rPr>
          <w:b/>
          <w:sz w:val="16"/>
          <w:szCs w:val="16"/>
        </w:rPr>
      </w:pPr>
    </w:p>
    <w:p w14:paraId="6FDD8F4C" w14:textId="77777777" w:rsidR="00A611A7" w:rsidRPr="002133C7" w:rsidRDefault="00A611A7" w:rsidP="00A611A7">
      <w:pPr>
        <w:shd w:val="clear" w:color="auto" w:fill="FFFF99"/>
        <w:rPr>
          <w:rFonts w:asciiTheme="minorHAnsi" w:hAnsiTheme="minorHAnsi" w:cstheme="minorHAnsi"/>
          <w:b/>
          <w:i/>
          <w:iCs/>
        </w:rPr>
      </w:pPr>
      <w:r w:rsidRPr="002133C7">
        <w:rPr>
          <w:rFonts w:asciiTheme="minorHAnsi" w:hAnsiTheme="minorHAnsi" w:cstheme="minorHAnsi"/>
          <w:b/>
          <w:i/>
          <w:iCs/>
        </w:rPr>
        <w:t>Well-being – Self Care and Supported Self-Care</w:t>
      </w:r>
    </w:p>
    <w:p w14:paraId="21CF5996" w14:textId="77777777" w:rsidR="00A611A7" w:rsidRPr="0001375D" w:rsidRDefault="00A611A7" w:rsidP="00A611A7">
      <w:pPr>
        <w:rPr>
          <w:sz w:val="16"/>
          <w:szCs w:val="16"/>
          <w:highlight w:val="yellow"/>
        </w:rPr>
      </w:pPr>
    </w:p>
    <w:p w14:paraId="2AAC9673" w14:textId="77777777" w:rsidR="00A611A7" w:rsidRPr="002E49D4" w:rsidRDefault="00A611A7" w:rsidP="00A611A7">
      <w:pPr>
        <w:numPr>
          <w:ilvl w:val="0"/>
          <w:numId w:val="27"/>
        </w:numPr>
        <w:ind w:left="357" w:hanging="357"/>
        <w:rPr>
          <w:szCs w:val="22"/>
        </w:rPr>
      </w:pPr>
      <w:r w:rsidRPr="002E49D4">
        <w:rPr>
          <w:szCs w:val="22"/>
        </w:rPr>
        <w:t xml:space="preserve">Progress the priorities set out in the Cwm Taf and Bridgend Well-being Plans, drawing together the developing Cwm Taf Community Zones, reducing isolation and loneliness and increasing volunteering, </w:t>
      </w:r>
      <w:r w:rsidRPr="002E49D4">
        <w:rPr>
          <w:b/>
          <w:bCs/>
          <w:szCs w:val="22"/>
        </w:rPr>
        <w:t>section 5.1.1.</w:t>
      </w:r>
    </w:p>
    <w:p w14:paraId="3A149424" w14:textId="77777777" w:rsidR="00A611A7" w:rsidRPr="002E49D4" w:rsidRDefault="00A611A7" w:rsidP="00A611A7">
      <w:pPr>
        <w:numPr>
          <w:ilvl w:val="0"/>
          <w:numId w:val="27"/>
        </w:numPr>
        <w:ind w:left="357" w:hanging="357"/>
        <w:rPr>
          <w:szCs w:val="22"/>
        </w:rPr>
      </w:pPr>
      <w:r w:rsidRPr="002E49D4">
        <w:rPr>
          <w:szCs w:val="22"/>
        </w:rPr>
        <w:t xml:space="preserve">Continue actions to address modifiable lifestyle risk factors including Inverse Care Law scheme, implementation of the Tier three obesity service and Adverse Childhood Experiences (ACE’s) </w:t>
      </w:r>
      <w:r w:rsidRPr="002E49D4">
        <w:rPr>
          <w:b/>
          <w:bCs/>
          <w:szCs w:val="22"/>
        </w:rPr>
        <w:t>section 5.1.2</w:t>
      </w:r>
      <w:r w:rsidRPr="002E49D4">
        <w:rPr>
          <w:bCs/>
          <w:szCs w:val="22"/>
        </w:rPr>
        <w:t xml:space="preserve"> and</w:t>
      </w:r>
      <w:r w:rsidRPr="002E49D4">
        <w:rPr>
          <w:b/>
          <w:bCs/>
          <w:szCs w:val="22"/>
        </w:rPr>
        <w:t xml:space="preserve"> 5.1.3.</w:t>
      </w:r>
    </w:p>
    <w:p w14:paraId="4284052A" w14:textId="77777777" w:rsidR="00A611A7" w:rsidRPr="002E49D4" w:rsidRDefault="00A611A7" w:rsidP="00A611A7">
      <w:pPr>
        <w:numPr>
          <w:ilvl w:val="0"/>
          <w:numId w:val="27"/>
        </w:numPr>
        <w:ind w:left="357" w:hanging="357"/>
        <w:rPr>
          <w:szCs w:val="22"/>
        </w:rPr>
      </w:pPr>
      <w:r w:rsidRPr="002E49D4">
        <w:rPr>
          <w:rFonts w:asciiTheme="minorHAnsi" w:hAnsiTheme="minorHAnsi" w:cstheme="minorHAnsi"/>
          <w:noProof/>
          <w:sz w:val="12"/>
          <w:szCs w:val="12"/>
        </w:rPr>
        <w:drawing>
          <wp:anchor distT="0" distB="0" distL="114300" distR="114300" simplePos="0" relativeHeight="252940288" behindDoc="0" locked="0" layoutInCell="1" allowOverlap="1" wp14:anchorId="59EBEFE4" wp14:editId="4B5EE35B">
            <wp:simplePos x="0" y="0"/>
            <wp:positionH relativeFrom="margin">
              <wp:align>right</wp:align>
            </wp:positionH>
            <wp:positionV relativeFrom="paragraph">
              <wp:posOffset>646430</wp:posOffset>
            </wp:positionV>
            <wp:extent cx="544195" cy="450215"/>
            <wp:effectExtent l="0" t="0" r="8255" b="698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4195" cy="450215"/>
                    </a:xfrm>
                    <a:prstGeom prst="rect">
                      <a:avLst/>
                    </a:prstGeom>
                    <a:noFill/>
                  </pic:spPr>
                </pic:pic>
              </a:graphicData>
            </a:graphic>
            <wp14:sizeRelH relativeFrom="page">
              <wp14:pctWidth>0</wp14:pctWidth>
            </wp14:sizeRelH>
            <wp14:sizeRelV relativeFrom="page">
              <wp14:pctHeight>0</wp14:pctHeight>
            </wp14:sizeRelV>
          </wp:anchor>
        </w:drawing>
      </w:r>
      <w:r w:rsidRPr="002E49D4">
        <w:rPr>
          <w:szCs w:val="22"/>
        </w:rPr>
        <w:t>Roll out a model of population health management based on segmentation and risk stratification, linking and analysing primary and secondary care data in order to segment the cluster population and allow targeted anticipatory care.  A key enabler to the Cwm Taf Morgannwg Regional Partnership Board transformation</w:t>
      </w:r>
      <w:r w:rsidRPr="002E49D4">
        <w:rPr>
          <w:b/>
          <w:bCs/>
          <w:szCs w:val="22"/>
        </w:rPr>
        <w:t xml:space="preserve"> section 5.1.4</w:t>
      </w:r>
      <w:r w:rsidRPr="002E49D4">
        <w:rPr>
          <w:szCs w:val="22"/>
        </w:rPr>
        <w:t>.</w:t>
      </w:r>
    </w:p>
    <w:p w14:paraId="5DC6FF29" w14:textId="77777777" w:rsidR="00A611A7" w:rsidRPr="002E49D4" w:rsidRDefault="00A611A7" w:rsidP="00A611A7">
      <w:pPr>
        <w:rPr>
          <w:rFonts w:asciiTheme="minorHAnsi" w:hAnsiTheme="minorHAnsi" w:cstheme="minorHAnsi"/>
          <w:iCs/>
          <w:sz w:val="16"/>
          <w:szCs w:val="16"/>
        </w:rPr>
      </w:pPr>
    </w:p>
    <w:p w14:paraId="3637BF1B" w14:textId="77777777" w:rsidR="00A611A7" w:rsidRPr="002E49D4" w:rsidRDefault="00A611A7" w:rsidP="00A611A7">
      <w:pPr>
        <w:shd w:val="clear" w:color="auto" w:fill="E5B8B7" w:themeFill="accent2" w:themeFillTint="66"/>
        <w:tabs>
          <w:tab w:val="left" w:pos="3757"/>
        </w:tabs>
        <w:rPr>
          <w:rFonts w:asciiTheme="minorHAnsi" w:hAnsiTheme="minorHAnsi" w:cstheme="minorHAnsi"/>
          <w:b/>
          <w:i/>
          <w:iCs/>
        </w:rPr>
      </w:pPr>
      <w:r w:rsidRPr="002E49D4">
        <w:rPr>
          <w:rFonts w:asciiTheme="minorHAnsi" w:hAnsiTheme="minorHAnsi" w:cstheme="minorHAnsi"/>
          <w:b/>
          <w:i/>
          <w:iCs/>
        </w:rPr>
        <w:t>Integrated Community Services</w:t>
      </w:r>
    </w:p>
    <w:p w14:paraId="13AB4847" w14:textId="77777777" w:rsidR="00A611A7" w:rsidRPr="002E49D4" w:rsidRDefault="00A611A7" w:rsidP="00A611A7">
      <w:pPr>
        <w:rPr>
          <w:rFonts w:asciiTheme="minorHAnsi" w:hAnsiTheme="minorHAnsi" w:cstheme="minorHAnsi"/>
          <w:iCs/>
          <w:sz w:val="16"/>
          <w:szCs w:val="16"/>
        </w:rPr>
      </w:pPr>
    </w:p>
    <w:p w14:paraId="2D007AA0" w14:textId="77777777" w:rsidR="00A611A7" w:rsidRPr="002E49D4" w:rsidRDefault="00A611A7" w:rsidP="00A611A7">
      <w:pPr>
        <w:pStyle w:val="ListParagraph"/>
        <w:numPr>
          <w:ilvl w:val="0"/>
          <w:numId w:val="26"/>
        </w:numPr>
        <w:ind w:left="357" w:hanging="357"/>
        <w:rPr>
          <w:szCs w:val="22"/>
        </w:rPr>
      </w:pPr>
      <w:r w:rsidRPr="002E49D4">
        <w:rPr>
          <w:szCs w:val="22"/>
        </w:rPr>
        <w:t>Deliver a new Area Plan for the new Cwm Taf Morgannwg Regional Partnership Board, including embedding the joint Regional Commissioning arrangements.</w:t>
      </w:r>
      <w:r w:rsidRPr="002E49D4">
        <w:rPr>
          <w:b/>
          <w:bCs/>
          <w:szCs w:val="22"/>
        </w:rPr>
        <w:t xml:space="preserve"> section 5.2.4</w:t>
      </w:r>
    </w:p>
    <w:p w14:paraId="066D13C3" w14:textId="30DB9BEA" w:rsidR="00A611A7" w:rsidRPr="002E49D4" w:rsidRDefault="00A611A7" w:rsidP="00A611A7">
      <w:pPr>
        <w:pStyle w:val="ListParagraph"/>
        <w:numPr>
          <w:ilvl w:val="0"/>
          <w:numId w:val="26"/>
        </w:numPr>
        <w:ind w:left="357" w:hanging="357"/>
        <w:rPr>
          <w:szCs w:val="22"/>
        </w:rPr>
      </w:pPr>
      <w:r w:rsidRPr="002E49D4">
        <w:rPr>
          <w:szCs w:val="22"/>
        </w:rPr>
        <w:t xml:space="preserve">Delivery of the transformation programmes for Cwm Taf: Stay Well in Your Community and Bridgend: Accelerating the Pace of Change of Integrated Services.  These whole system </w:t>
      </w:r>
      <w:r>
        <w:rPr>
          <w:szCs w:val="22"/>
        </w:rPr>
        <w:t>workstreams</w:t>
      </w:r>
      <w:r w:rsidRPr="002E49D4">
        <w:rPr>
          <w:szCs w:val="22"/>
        </w:rPr>
        <w:t xml:space="preserve"> include a focus on assistive technologies, the next phase of Stay Well@Home and improving access to community health and social care, ‘making every day Tuesday’.</w:t>
      </w:r>
      <w:r w:rsidRPr="002E49D4">
        <w:rPr>
          <w:b/>
          <w:bCs/>
          <w:szCs w:val="22"/>
        </w:rPr>
        <w:t xml:space="preserve"> section 5.2.4</w:t>
      </w:r>
    </w:p>
    <w:p w14:paraId="219BC5D5" w14:textId="32D9BFF7" w:rsidR="00A611A7" w:rsidRPr="002E49D4" w:rsidRDefault="00A611A7" w:rsidP="00A611A7">
      <w:pPr>
        <w:rPr>
          <w:rFonts w:asciiTheme="minorHAnsi" w:hAnsiTheme="minorHAnsi" w:cstheme="minorHAnsi"/>
          <w:iCs/>
          <w:sz w:val="16"/>
          <w:szCs w:val="16"/>
        </w:rPr>
      </w:pPr>
    </w:p>
    <w:p w14:paraId="70013360" w14:textId="66A6260B" w:rsidR="00A611A7" w:rsidRPr="002E49D4" w:rsidRDefault="00780863" w:rsidP="00A611A7">
      <w:pPr>
        <w:pStyle w:val="ListParagraph"/>
        <w:shd w:val="clear" w:color="auto" w:fill="C2D69B" w:themeFill="accent3" w:themeFillTint="99"/>
        <w:ind w:left="0"/>
        <w:rPr>
          <w:rFonts w:asciiTheme="minorHAnsi" w:hAnsiTheme="minorHAnsi" w:cstheme="minorHAnsi"/>
          <w:b/>
          <w:i/>
          <w:iCs/>
        </w:rPr>
      </w:pPr>
      <w:r w:rsidRPr="002E49D4">
        <w:rPr>
          <w:noProof/>
          <w:szCs w:val="22"/>
        </w:rPr>
        <w:drawing>
          <wp:anchor distT="0" distB="0" distL="114300" distR="114300" simplePos="0" relativeHeight="252941312" behindDoc="0" locked="0" layoutInCell="1" allowOverlap="1" wp14:anchorId="1244F89F" wp14:editId="03EAA336">
            <wp:simplePos x="0" y="0"/>
            <wp:positionH relativeFrom="margin">
              <wp:align>right</wp:align>
            </wp:positionH>
            <wp:positionV relativeFrom="paragraph">
              <wp:posOffset>-208280</wp:posOffset>
            </wp:positionV>
            <wp:extent cx="585470" cy="457200"/>
            <wp:effectExtent l="0" t="0" r="508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5470" cy="457200"/>
                    </a:xfrm>
                    <a:prstGeom prst="rect">
                      <a:avLst/>
                    </a:prstGeom>
                    <a:noFill/>
                  </pic:spPr>
                </pic:pic>
              </a:graphicData>
            </a:graphic>
          </wp:anchor>
        </w:drawing>
      </w:r>
      <w:r w:rsidR="00A611A7" w:rsidRPr="002E49D4">
        <w:rPr>
          <w:rFonts w:asciiTheme="minorHAnsi" w:hAnsiTheme="minorHAnsi" w:cstheme="minorHAnsi"/>
          <w:b/>
          <w:i/>
          <w:iCs/>
        </w:rPr>
        <w:t>Mental Health, Primary Care, and Locality Services</w:t>
      </w:r>
    </w:p>
    <w:p w14:paraId="791CD026" w14:textId="77777777" w:rsidR="00A611A7" w:rsidRPr="002E49D4" w:rsidRDefault="00A611A7" w:rsidP="00A611A7">
      <w:pPr>
        <w:rPr>
          <w:rFonts w:asciiTheme="minorHAnsi" w:hAnsiTheme="minorHAnsi" w:cstheme="minorHAnsi"/>
          <w:sz w:val="16"/>
          <w:szCs w:val="16"/>
        </w:rPr>
      </w:pPr>
    </w:p>
    <w:p w14:paraId="616A3FC2" w14:textId="77777777" w:rsidR="00A611A7" w:rsidRPr="002E49D4" w:rsidRDefault="00A611A7" w:rsidP="00A611A7">
      <w:pPr>
        <w:numPr>
          <w:ilvl w:val="0"/>
          <w:numId w:val="28"/>
        </w:numPr>
        <w:ind w:left="357" w:hanging="357"/>
        <w:rPr>
          <w:szCs w:val="22"/>
        </w:rPr>
      </w:pPr>
      <w:r w:rsidRPr="002E49D4">
        <w:rPr>
          <w:szCs w:val="22"/>
        </w:rPr>
        <w:t xml:space="preserve">Continue to deliver a multi-agency emotional and mental health strategy which encompasses the role of the Specialist Child and Adolescent Mental Health Services (CAMHS) and embed the Choice and Partnership Approach as part of the steps being taken to put Primary CAMHS and Specialist CAMH Services on a sustainable footing, </w:t>
      </w:r>
      <w:r w:rsidRPr="002E49D4">
        <w:rPr>
          <w:b/>
          <w:bCs/>
          <w:szCs w:val="22"/>
        </w:rPr>
        <w:t>section 5.3.1.</w:t>
      </w:r>
    </w:p>
    <w:p w14:paraId="441CDC5A" w14:textId="77777777" w:rsidR="00A611A7" w:rsidRPr="002E49D4" w:rsidRDefault="00A611A7" w:rsidP="00A611A7">
      <w:pPr>
        <w:numPr>
          <w:ilvl w:val="0"/>
          <w:numId w:val="28"/>
        </w:numPr>
        <w:ind w:left="357" w:hanging="357"/>
        <w:rPr>
          <w:szCs w:val="22"/>
        </w:rPr>
      </w:pPr>
      <w:r w:rsidRPr="002E49D4">
        <w:rPr>
          <w:szCs w:val="22"/>
        </w:rPr>
        <w:t xml:space="preserve">Ongoing redesign of adult community mental health services to ensure an emphasis on integrated support at ‘universal’ and local primary mental health service level, enabling secondary mental health services to offer more intense input to a smaller number of people with more complex needs, </w:t>
      </w:r>
      <w:r w:rsidRPr="002E49D4">
        <w:rPr>
          <w:b/>
          <w:bCs/>
          <w:szCs w:val="22"/>
        </w:rPr>
        <w:t>section 5.3.2.</w:t>
      </w:r>
    </w:p>
    <w:p w14:paraId="223E5199" w14:textId="77777777" w:rsidR="00A611A7" w:rsidRPr="002E49D4" w:rsidRDefault="00A611A7" w:rsidP="00A611A7">
      <w:pPr>
        <w:numPr>
          <w:ilvl w:val="0"/>
          <w:numId w:val="28"/>
        </w:numPr>
        <w:ind w:left="357" w:hanging="357"/>
        <w:rPr>
          <w:szCs w:val="22"/>
        </w:rPr>
      </w:pPr>
      <w:r w:rsidRPr="002E49D4">
        <w:rPr>
          <w:szCs w:val="22"/>
        </w:rPr>
        <w:t>Development of a cohesive mental health and learning disability framework for training, learning, assurance and quality improvement</w:t>
      </w:r>
      <w:r w:rsidRPr="002E49D4">
        <w:rPr>
          <w:b/>
          <w:bCs/>
          <w:szCs w:val="22"/>
        </w:rPr>
        <w:t xml:space="preserve"> section 5.3.2.</w:t>
      </w:r>
    </w:p>
    <w:p w14:paraId="4BCD1972" w14:textId="77777777" w:rsidR="00A611A7" w:rsidRPr="002E49D4" w:rsidRDefault="00A611A7" w:rsidP="00A611A7">
      <w:pPr>
        <w:numPr>
          <w:ilvl w:val="0"/>
          <w:numId w:val="28"/>
        </w:numPr>
        <w:ind w:left="357" w:hanging="357"/>
        <w:rPr>
          <w:szCs w:val="22"/>
        </w:rPr>
      </w:pPr>
      <w:r w:rsidRPr="002E49D4">
        <w:rPr>
          <w:szCs w:val="22"/>
        </w:rPr>
        <w:t xml:space="preserve">Local implementation of the Dementia Action Plan for Wales including development of the memory assessment pathway, enhancement of community based support and joint workforce training and development, </w:t>
      </w:r>
      <w:r w:rsidRPr="002E49D4">
        <w:rPr>
          <w:b/>
          <w:bCs/>
          <w:szCs w:val="22"/>
        </w:rPr>
        <w:t>section 5.3.2.</w:t>
      </w:r>
    </w:p>
    <w:p w14:paraId="16561377" w14:textId="77777777" w:rsidR="00A611A7" w:rsidRPr="002E49D4" w:rsidRDefault="00A611A7" w:rsidP="00A611A7">
      <w:pPr>
        <w:numPr>
          <w:ilvl w:val="0"/>
          <w:numId w:val="28"/>
        </w:numPr>
        <w:ind w:left="357" w:hanging="357"/>
        <w:rPr>
          <w:szCs w:val="22"/>
        </w:rPr>
      </w:pPr>
      <w:r w:rsidRPr="002E49D4">
        <w:rPr>
          <w:szCs w:val="22"/>
        </w:rPr>
        <w:t xml:space="preserve">Deliver, at Cluster level, multi-agency, multi-professional teams as a fundamental part of our transformation programmes, enabling multi-disciplinary reviews and interventions across the new Health Board footprint and in line with the Primary Care Model for Wales.  Implementation of the 111 service, transforming the GP </w:t>
      </w:r>
      <w:r w:rsidRPr="002E49D4">
        <w:rPr>
          <w:szCs w:val="22"/>
        </w:rPr>
        <w:lastRenderedPageBreak/>
        <w:t xml:space="preserve">Out of Hours into an Urgent Primary Care Out of Hours service adopting a digitally enable prudent workforce model, </w:t>
      </w:r>
      <w:r w:rsidRPr="002E49D4">
        <w:rPr>
          <w:b/>
          <w:bCs/>
          <w:szCs w:val="22"/>
        </w:rPr>
        <w:t>section 5.3.3</w:t>
      </w:r>
      <w:r w:rsidRPr="002E49D4">
        <w:rPr>
          <w:szCs w:val="22"/>
        </w:rPr>
        <w:t>.</w:t>
      </w:r>
    </w:p>
    <w:p w14:paraId="7F358907" w14:textId="77777777" w:rsidR="00A611A7" w:rsidRPr="002E49D4" w:rsidRDefault="00A611A7" w:rsidP="00A611A7">
      <w:pPr>
        <w:numPr>
          <w:ilvl w:val="0"/>
          <w:numId w:val="28"/>
        </w:numPr>
        <w:ind w:left="357" w:hanging="357"/>
        <w:rPr>
          <w:szCs w:val="22"/>
        </w:rPr>
      </w:pPr>
      <w:r w:rsidRPr="002E49D4">
        <w:rPr>
          <w:noProof/>
          <w:szCs w:val="22"/>
        </w:rPr>
        <w:drawing>
          <wp:anchor distT="0" distB="0" distL="114300" distR="114300" simplePos="0" relativeHeight="252942336" behindDoc="0" locked="0" layoutInCell="1" allowOverlap="1" wp14:anchorId="2FF6E993" wp14:editId="2E6B6BDE">
            <wp:simplePos x="0" y="0"/>
            <wp:positionH relativeFrom="margin">
              <wp:align>right</wp:align>
            </wp:positionH>
            <wp:positionV relativeFrom="paragraph">
              <wp:posOffset>379095</wp:posOffset>
            </wp:positionV>
            <wp:extent cx="454660" cy="549275"/>
            <wp:effectExtent l="0" t="0" r="2540" b="3175"/>
            <wp:wrapNone/>
            <wp:docPr id="49" name="Picture 49"/>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44">
                      <a:extLst>
                        <a:ext uri="{28A0092B-C50C-407E-A947-70E740481C1C}">
                          <a14:useLocalDpi xmlns:a14="http://schemas.microsoft.com/office/drawing/2010/main" val="0"/>
                        </a:ext>
                      </a:extLst>
                    </a:blip>
                    <a:stretch>
                      <a:fillRect/>
                    </a:stretch>
                  </pic:blipFill>
                  <pic:spPr>
                    <a:xfrm>
                      <a:off x="0" y="0"/>
                      <a:ext cx="454660" cy="549275"/>
                    </a:xfrm>
                    <a:prstGeom prst="rect">
                      <a:avLst/>
                    </a:prstGeom>
                  </pic:spPr>
                </pic:pic>
              </a:graphicData>
            </a:graphic>
            <wp14:sizeRelH relativeFrom="margin">
              <wp14:pctWidth>0</wp14:pctWidth>
            </wp14:sizeRelH>
            <wp14:sizeRelV relativeFrom="margin">
              <wp14:pctHeight>0</wp14:pctHeight>
            </wp14:sizeRelV>
          </wp:anchor>
        </w:drawing>
      </w:r>
      <w:r w:rsidRPr="002E49D4">
        <w:rPr>
          <w:szCs w:val="22"/>
        </w:rPr>
        <w:t xml:space="preserve">Continue to deliver against the Primary Care Estates Strategy, including the completing the development of Mountain Ash Primary Care Centre and the next phase of Dewi Sant Health Park, and the Bridgend Health and Wellbeing Centre (Sunnyside) </w:t>
      </w:r>
      <w:r w:rsidRPr="002E49D4">
        <w:rPr>
          <w:b/>
          <w:bCs/>
          <w:szCs w:val="22"/>
        </w:rPr>
        <w:t>section 8.3.1</w:t>
      </w:r>
      <w:r w:rsidRPr="002E49D4">
        <w:rPr>
          <w:szCs w:val="22"/>
        </w:rPr>
        <w:t>.</w:t>
      </w:r>
    </w:p>
    <w:p w14:paraId="43D6D8B7" w14:textId="77777777" w:rsidR="00A611A7" w:rsidRPr="002E49D4" w:rsidRDefault="00A611A7" w:rsidP="00A611A7">
      <w:pPr>
        <w:rPr>
          <w:rFonts w:asciiTheme="minorHAnsi" w:hAnsiTheme="minorHAnsi" w:cstheme="minorHAnsi"/>
          <w:iCs/>
          <w:sz w:val="16"/>
          <w:szCs w:val="16"/>
        </w:rPr>
      </w:pPr>
    </w:p>
    <w:p w14:paraId="2444B209" w14:textId="77777777" w:rsidR="00A611A7" w:rsidRPr="002E49D4" w:rsidRDefault="00A611A7" w:rsidP="00A611A7">
      <w:pPr>
        <w:shd w:val="clear" w:color="auto" w:fill="365F91" w:themeFill="accent1" w:themeFillShade="BF"/>
        <w:rPr>
          <w:rFonts w:asciiTheme="minorHAnsi" w:hAnsiTheme="minorHAnsi" w:cstheme="minorHAnsi"/>
          <w:b/>
          <w:i/>
          <w:iCs/>
        </w:rPr>
      </w:pPr>
      <w:r w:rsidRPr="002E49D4">
        <w:rPr>
          <w:rFonts w:asciiTheme="minorHAnsi" w:hAnsiTheme="minorHAnsi" w:cstheme="minorHAnsi"/>
          <w:b/>
          <w:i/>
          <w:iCs/>
        </w:rPr>
        <w:t>Acute Care – Local and Regional Secondary Care</w:t>
      </w:r>
    </w:p>
    <w:p w14:paraId="7A6EB6AB" w14:textId="77777777" w:rsidR="00A611A7" w:rsidRPr="002E49D4" w:rsidRDefault="00A611A7" w:rsidP="00A611A7">
      <w:pPr>
        <w:rPr>
          <w:rFonts w:asciiTheme="minorHAnsi" w:hAnsiTheme="minorHAnsi" w:cstheme="minorHAnsi"/>
          <w:iCs/>
          <w:sz w:val="16"/>
          <w:szCs w:val="16"/>
        </w:rPr>
      </w:pPr>
    </w:p>
    <w:p w14:paraId="0462AF31" w14:textId="714010AD" w:rsidR="00A611A7" w:rsidRDefault="00A611A7" w:rsidP="00A611A7">
      <w:pPr>
        <w:pStyle w:val="NormaBullet"/>
        <w:rPr>
          <w:szCs w:val="22"/>
        </w:rPr>
      </w:pPr>
      <w:r>
        <w:rPr>
          <w:szCs w:val="22"/>
        </w:rPr>
        <w:t xml:space="preserve">Continue to implement the Maternity Improvement Programme under the scrutiny of the Independent Maternity Oversight Panel (IMSOP) to address the serious issues raised </w:t>
      </w:r>
      <w:r>
        <w:rPr>
          <w:b/>
          <w:szCs w:val="22"/>
        </w:rPr>
        <w:t xml:space="preserve">section </w:t>
      </w:r>
      <w:r w:rsidR="00780863">
        <w:rPr>
          <w:b/>
          <w:szCs w:val="22"/>
        </w:rPr>
        <w:t>5.4.3.3</w:t>
      </w:r>
    </w:p>
    <w:p w14:paraId="58E7A206" w14:textId="77777777" w:rsidR="00A611A7" w:rsidRPr="002E49D4" w:rsidRDefault="00A611A7" w:rsidP="00A611A7">
      <w:pPr>
        <w:pStyle w:val="NormaBullet"/>
        <w:rPr>
          <w:szCs w:val="22"/>
        </w:rPr>
      </w:pPr>
      <w:r w:rsidRPr="002E49D4">
        <w:rPr>
          <w:szCs w:val="22"/>
        </w:rPr>
        <w:t xml:space="preserve">Further improve our unscheduled care and referral to treatment waiting time performance, </w:t>
      </w:r>
      <w:r w:rsidRPr="002E49D4">
        <w:rPr>
          <w:b/>
          <w:bCs/>
          <w:szCs w:val="22"/>
        </w:rPr>
        <w:t>section 5.4 and 5.7.</w:t>
      </w:r>
    </w:p>
    <w:p w14:paraId="493F9500" w14:textId="77777777" w:rsidR="00A611A7" w:rsidRPr="002E49D4" w:rsidRDefault="00A611A7" w:rsidP="00A611A7">
      <w:pPr>
        <w:pStyle w:val="NormaBullet"/>
        <w:rPr>
          <w:szCs w:val="22"/>
        </w:rPr>
      </w:pPr>
      <w:r w:rsidRPr="002E49D4">
        <w:rPr>
          <w:szCs w:val="22"/>
        </w:rPr>
        <w:t>Take the steps to complete the service change set out in the South Wales Programme</w:t>
      </w:r>
      <w:r>
        <w:rPr>
          <w:szCs w:val="22"/>
        </w:rPr>
        <w:t xml:space="preserve"> (SWP)</w:t>
      </w:r>
      <w:r w:rsidRPr="002E49D4">
        <w:rPr>
          <w:szCs w:val="22"/>
        </w:rPr>
        <w:t xml:space="preserve">, particularly emergency medicine (A&amp;E), acute medicine and inpatient paediatric services and collectively across the region deliver service sustainability Ophthalmology Services, Regional Diagnostic Services, and Vascular Services, </w:t>
      </w:r>
      <w:r w:rsidRPr="002E49D4">
        <w:rPr>
          <w:b/>
          <w:bCs/>
          <w:szCs w:val="22"/>
        </w:rPr>
        <w:t xml:space="preserve">section </w:t>
      </w:r>
      <w:r>
        <w:rPr>
          <w:b/>
          <w:bCs/>
          <w:szCs w:val="22"/>
        </w:rPr>
        <w:t>5</w:t>
      </w:r>
      <w:r w:rsidRPr="002E49D4">
        <w:rPr>
          <w:b/>
          <w:bCs/>
          <w:szCs w:val="22"/>
        </w:rPr>
        <w:t>.</w:t>
      </w:r>
      <w:r>
        <w:rPr>
          <w:b/>
          <w:bCs/>
          <w:szCs w:val="22"/>
        </w:rPr>
        <w:t>4</w:t>
      </w:r>
      <w:r w:rsidRPr="002E49D4">
        <w:rPr>
          <w:b/>
          <w:bCs/>
          <w:szCs w:val="22"/>
        </w:rPr>
        <w:t>.</w:t>
      </w:r>
      <w:r>
        <w:rPr>
          <w:b/>
          <w:bCs/>
          <w:szCs w:val="22"/>
        </w:rPr>
        <w:t>3</w:t>
      </w:r>
      <w:r w:rsidRPr="00780863">
        <w:rPr>
          <w:b/>
          <w:szCs w:val="22"/>
        </w:rPr>
        <w:t>.4</w:t>
      </w:r>
    </w:p>
    <w:p w14:paraId="2743EC28" w14:textId="77777777" w:rsidR="00A611A7" w:rsidRPr="002E49D4" w:rsidRDefault="00A611A7" w:rsidP="00A611A7">
      <w:pPr>
        <w:pStyle w:val="NormaBullet"/>
        <w:rPr>
          <w:szCs w:val="22"/>
        </w:rPr>
      </w:pPr>
      <w:r w:rsidRPr="002E49D4">
        <w:rPr>
          <w:szCs w:val="22"/>
        </w:rPr>
        <w:t xml:space="preserve">Implement the Major Trauma Service change, delivering locally and shaping the regional service, </w:t>
      </w:r>
      <w:r w:rsidRPr="002E49D4">
        <w:rPr>
          <w:b/>
          <w:bCs/>
          <w:szCs w:val="22"/>
        </w:rPr>
        <w:t>section 5.4.</w:t>
      </w:r>
      <w:r>
        <w:rPr>
          <w:b/>
          <w:bCs/>
          <w:szCs w:val="22"/>
        </w:rPr>
        <w:t>1</w:t>
      </w:r>
      <w:r w:rsidRPr="002E49D4">
        <w:rPr>
          <w:b/>
          <w:bCs/>
          <w:szCs w:val="22"/>
        </w:rPr>
        <w:t>.</w:t>
      </w:r>
      <w:r>
        <w:rPr>
          <w:b/>
          <w:bCs/>
          <w:szCs w:val="22"/>
        </w:rPr>
        <w:t>3</w:t>
      </w:r>
    </w:p>
    <w:p w14:paraId="73C7751F" w14:textId="77777777" w:rsidR="00A611A7" w:rsidRPr="002E49D4" w:rsidRDefault="00A611A7" w:rsidP="00A611A7">
      <w:pPr>
        <w:pStyle w:val="NormaBullet"/>
        <w:rPr>
          <w:szCs w:val="22"/>
        </w:rPr>
      </w:pPr>
      <w:r w:rsidRPr="002E49D4">
        <w:rPr>
          <w:szCs w:val="22"/>
        </w:rPr>
        <w:t xml:space="preserve">Value Base Healthcare Pathway development focused initially on Lung Cancer, Cataracts, Hips and Knees, Heart Failure and Maternity, </w:t>
      </w:r>
      <w:r w:rsidRPr="002E49D4">
        <w:rPr>
          <w:b/>
          <w:bCs/>
          <w:szCs w:val="22"/>
        </w:rPr>
        <w:t>section 5.4.3</w:t>
      </w:r>
      <w:r w:rsidRPr="002E49D4">
        <w:rPr>
          <w:szCs w:val="22"/>
        </w:rPr>
        <w:t>.</w:t>
      </w:r>
    </w:p>
    <w:p w14:paraId="45E5281D" w14:textId="77777777" w:rsidR="00A611A7" w:rsidRPr="002E49D4" w:rsidRDefault="00A611A7" w:rsidP="00A611A7">
      <w:pPr>
        <w:pStyle w:val="NormaBullet"/>
        <w:rPr>
          <w:szCs w:val="22"/>
        </w:rPr>
      </w:pPr>
      <w:r w:rsidRPr="002E49D4">
        <w:rPr>
          <w:noProof/>
          <w:szCs w:val="22"/>
          <w:highlight w:val="yellow"/>
        </w:rPr>
        <w:drawing>
          <wp:anchor distT="0" distB="0" distL="114300" distR="114300" simplePos="0" relativeHeight="252943360" behindDoc="0" locked="0" layoutInCell="1" allowOverlap="1" wp14:anchorId="6A15F7B7" wp14:editId="67CD200A">
            <wp:simplePos x="0" y="0"/>
            <wp:positionH relativeFrom="margin">
              <wp:align>right</wp:align>
            </wp:positionH>
            <wp:positionV relativeFrom="paragraph">
              <wp:posOffset>415290</wp:posOffset>
            </wp:positionV>
            <wp:extent cx="454025" cy="530860"/>
            <wp:effectExtent l="0" t="0" r="3175" b="2540"/>
            <wp:wrapNone/>
            <wp:docPr id="1802" name="Picture 1802"/>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54025" cy="530860"/>
                    </a:xfrm>
                    <a:prstGeom prst="rect">
                      <a:avLst/>
                    </a:prstGeom>
                  </pic:spPr>
                </pic:pic>
              </a:graphicData>
            </a:graphic>
            <wp14:sizeRelH relativeFrom="margin">
              <wp14:pctWidth>0</wp14:pctWidth>
            </wp14:sizeRelH>
            <wp14:sizeRelV relativeFrom="margin">
              <wp14:pctHeight>0</wp14:pctHeight>
            </wp14:sizeRelV>
          </wp:anchor>
        </w:drawing>
      </w:r>
      <w:r w:rsidRPr="002E49D4">
        <w:rPr>
          <w:szCs w:val="22"/>
        </w:rPr>
        <w:t>Continue to deliver against the local requirements of the Welsh Government</w:t>
      </w:r>
      <w:r>
        <w:rPr>
          <w:szCs w:val="22"/>
        </w:rPr>
        <w:t xml:space="preserve"> (WG)</w:t>
      </w:r>
      <w:r w:rsidRPr="002E49D4">
        <w:rPr>
          <w:szCs w:val="22"/>
        </w:rPr>
        <w:t xml:space="preserve"> National Delivery Plans, including Respiratory, Stroke, Liver, Cardiology, Diabetes, Cancer, Neurological, Critical Care and End of Life Care, </w:t>
      </w:r>
      <w:r w:rsidRPr="002E49D4">
        <w:rPr>
          <w:b/>
          <w:bCs/>
          <w:szCs w:val="22"/>
        </w:rPr>
        <w:t>section 5.4.3</w:t>
      </w:r>
      <w:r w:rsidRPr="002E49D4">
        <w:rPr>
          <w:szCs w:val="22"/>
        </w:rPr>
        <w:t>.</w:t>
      </w:r>
    </w:p>
    <w:p w14:paraId="0340B223" w14:textId="77777777" w:rsidR="00A611A7" w:rsidRPr="002E49D4" w:rsidRDefault="00A611A7" w:rsidP="00A611A7">
      <w:pPr>
        <w:pStyle w:val="NormaBullet"/>
        <w:numPr>
          <w:ilvl w:val="0"/>
          <w:numId w:val="0"/>
        </w:numPr>
        <w:rPr>
          <w:rFonts w:asciiTheme="minorHAnsi" w:hAnsiTheme="minorHAnsi" w:cstheme="minorHAnsi"/>
          <w:sz w:val="16"/>
          <w:szCs w:val="16"/>
        </w:rPr>
      </w:pPr>
    </w:p>
    <w:p w14:paraId="63FE94C5" w14:textId="77777777" w:rsidR="00A611A7" w:rsidRPr="002E49D4" w:rsidRDefault="00A611A7" w:rsidP="00A611A7">
      <w:pPr>
        <w:shd w:val="clear" w:color="auto" w:fill="92CDDC" w:themeFill="accent5" w:themeFillTint="99"/>
        <w:rPr>
          <w:rFonts w:asciiTheme="minorHAnsi" w:hAnsiTheme="minorHAnsi" w:cstheme="minorHAnsi"/>
          <w:b/>
          <w:i/>
          <w:iCs/>
        </w:rPr>
      </w:pPr>
      <w:r w:rsidRPr="002E49D4">
        <w:rPr>
          <w:rFonts w:asciiTheme="minorHAnsi" w:hAnsiTheme="minorHAnsi" w:cstheme="minorHAnsi"/>
          <w:b/>
          <w:i/>
          <w:iCs/>
        </w:rPr>
        <w:t>Tertiary Services</w:t>
      </w:r>
    </w:p>
    <w:p w14:paraId="389E4247" w14:textId="77777777" w:rsidR="00A611A7" w:rsidRPr="002E49D4" w:rsidRDefault="00A611A7" w:rsidP="00A611A7">
      <w:pPr>
        <w:rPr>
          <w:rFonts w:asciiTheme="minorHAnsi" w:hAnsiTheme="minorHAnsi" w:cstheme="minorHAnsi"/>
          <w:iCs/>
          <w:sz w:val="16"/>
          <w:szCs w:val="16"/>
        </w:rPr>
      </w:pPr>
    </w:p>
    <w:p w14:paraId="2A61802D" w14:textId="77777777" w:rsidR="00A611A7" w:rsidRPr="002E49D4" w:rsidRDefault="00A611A7" w:rsidP="00A611A7">
      <w:pPr>
        <w:pStyle w:val="NormaBullet"/>
        <w:rPr>
          <w:b/>
          <w:szCs w:val="22"/>
        </w:rPr>
      </w:pPr>
      <w:r w:rsidRPr="002E49D4">
        <w:rPr>
          <w:szCs w:val="22"/>
        </w:rPr>
        <w:t xml:space="preserve">Work with the Welsh Health Specialised Services Committee </w:t>
      </w:r>
      <w:r>
        <w:rPr>
          <w:szCs w:val="22"/>
        </w:rPr>
        <w:t xml:space="preserve">(WHSSC) </w:t>
      </w:r>
      <w:r w:rsidRPr="002E49D4">
        <w:rPr>
          <w:szCs w:val="22"/>
        </w:rPr>
        <w:t>and others on integrated services identified in their commissioning plans, section</w:t>
      </w:r>
      <w:r w:rsidRPr="002E49D4">
        <w:rPr>
          <w:b/>
          <w:szCs w:val="22"/>
        </w:rPr>
        <w:t xml:space="preserve"> 5.5</w:t>
      </w:r>
    </w:p>
    <w:p w14:paraId="797F04C7" w14:textId="77777777" w:rsidR="00A611A7" w:rsidRPr="002E49D4" w:rsidRDefault="00A611A7" w:rsidP="00A611A7">
      <w:pPr>
        <w:pStyle w:val="NormaBullet"/>
        <w:rPr>
          <w:b/>
          <w:szCs w:val="22"/>
        </w:rPr>
      </w:pPr>
      <w:r w:rsidRPr="002E49D4">
        <w:rPr>
          <w:szCs w:val="22"/>
        </w:rPr>
        <w:t>Work with the Emergency Ambulance Commissioners on the development of the Emergency Medical Retrieval and Transfer Services</w:t>
      </w:r>
      <w:r w:rsidRPr="002E49D4">
        <w:rPr>
          <w:b/>
          <w:szCs w:val="22"/>
        </w:rPr>
        <w:t>, section 5.4.</w:t>
      </w:r>
      <w:r>
        <w:rPr>
          <w:b/>
          <w:szCs w:val="22"/>
        </w:rPr>
        <w:t>1</w:t>
      </w:r>
    </w:p>
    <w:p w14:paraId="7D83AAF9" w14:textId="6EA89917" w:rsidR="00741DA4" w:rsidRDefault="00741DA4" w:rsidP="00DE0FC0">
      <w:r>
        <w:br w:type="page"/>
      </w:r>
    </w:p>
    <w:p w14:paraId="3FA3018E" w14:textId="0E5A2BAF" w:rsidR="002E47DC" w:rsidRPr="007A2088" w:rsidRDefault="002E47DC" w:rsidP="00261D02">
      <w:pPr>
        <w:pStyle w:val="Heading1"/>
        <w:rPr>
          <w:szCs w:val="26"/>
        </w:rPr>
      </w:pPr>
      <w:bookmarkStart w:id="28" w:name="_Toc441757217"/>
      <w:bookmarkStart w:id="29" w:name="_Toc447195622"/>
      <w:bookmarkStart w:id="30" w:name="_Toc471829976"/>
      <w:bookmarkStart w:id="31" w:name="_Toc473290294"/>
      <w:bookmarkStart w:id="32" w:name="_Toc478738514"/>
      <w:bookmarkStart w:id="33" w:name="_Toc532299672"/>
      <w:bookmarkStart w:id="34" w:name="_Toc532463957"/>
      <w:bookmarkStart w:id="35" w:name="_Toc536195550"/>
      <w:bookmarkStart w:id="36" w:name="_Toc29573935"/>
      <w:bookmarkEnd w:id="23"/>
      <w:bookmarkEnd w:id="24"/>
      <w:r w:rsidRPr="007A2088">
        <w:rPr>
          <w:szCs w:val="26"/>
        </w:rPr>
        <w:lastRenderedPageBreak/>
        <w:t xml:space="preserve">PROGRESS </w:t>
      </w:r>
      <w:r w:rsidR="00AC6C88" w:rsidRPr="007A2088">
        <w:rPr>
          <w:szCs w:val="26"/>
        </w:rPr>
        <w:t>IN</w:t>
      </w:r>
      <w:r w:rsidR="00A65FDE" w:rsidRPr="007A2088">
        <w:rPr>
          <w:szCs w:val="26"/>
        </w:rPr>
        <w:t xml:space="preserve"> DELIVER</w:t>
      </w:r>
      <w:r w:rsidR="00AC6C88" w:rsidRPr="007A2088">
        <w:rPr>
          <w:szCs w:val="26"/>
        </w:rPr>
        <w:t xml:space="preserve">ING OUR </w:t>
      </w:r>
      <w:r w:rsidRPr="007A2088">
        <w:rPr>
          <w:szCs w:val="26"/>
        </w:rPr>
        <w:t>PLAN</w:t>
      </w:r>
      <w:bookmarkEnd w:id="28"/>
      <w:bookmarkEnd w:id="29"/>
      <w:bookmarkEnd w:id="30"/>
      <w:bookmarkEnd w:id="31"/>
      <w:bookmarkEnd w:id="32"/>
      <w:bookmarkEnd w:id="33"/>
      <w:bookmarkEnd w:id="34"/>
      <w:bookmarkEnd w:id="35"/>
      <w:bookmarkEnd w:id="36"/>
      <w:r w:rsidRPr="007A2088">
        <w:rPr>
          <w:szCs w:val="26"/>
        </w:rPr>
        <w:t xml:space="preserve"> </w:t>
      </w:r>
    </w:p>
    <w:p w14:paraId="2CF4821A" w14:textId="01A28FF6" w:rsidR="00543467" w:rsidRPr="002E3731" w:rsidRDefault="00B907F5" w:rsidP="001D1861">
      <w:pPr>
        <w:pStyle w:val="ListParagraph"/>
        <w:ind w:left="0"/>
        <w:rPr>
          <w:i/>
          <w:szCs w:val="22"/>
        </w:rPr>
      </w:pPr>
      <w:r w:rsidRPr="002E3731">
        <w:rPr>
          <w:i/>
          <w:szCs w:val="22"/>
        </w:rPr>
        <w:t>This chapter offers</w:t>
      </w:r>
      <w:r w:rsidR="00BF2907" w:rsidRPr="002E3731">
        <w:rPr>
          <w:i/>
          <w:szCs w:val="22"/>
        </w:rPr>
        <w:t xml:space="preserve"> </w:t>
      </w:r>
      <w:r w:rsidR="002B0828" w:rsidRPr="002E3731">
        <w:rPr>
          <w:i/>
          <w:szCs w:val="22"/>
        </w:rPr>
        <w:t>an overview of</w:t>
      </w:r>
      <w:r w:rsidRPr="002E3731">
        <w:rPr>
          <w:i/>
          <w:szCs w:val="22"/>
        </w:rPr>
        <w:t xml:space="preserve"> </w:t>
      </w:r>
      <w:r w:rsidR="00C0126E" w:rsidRPr="002E3731">
        <w:rPr>
          <w:i/>
          <w:szCs w:val="22"/>
        </w:rPr>
        <w:t xml:space="preserve">the </w:t>
      </w:r>
      <w:r w:rsidRPr="002E3731">
        <w:rPr>
          <w:i/>
          <w:szCs w:val="22"/>
        </w:rPr>
        <w:t xml:space="preserve">progress </w:t>
      </w:r>
      <w:r w:rsidR="00C0126E" w:rsidRPr="002E3731">
        <w:rPr>
          <w:i/>
          <w:szCs w:val="22"/>
        </w:rPr>
        <w:t xml:space="preserve">made </w:t>
      </w:r>
      <w:r w:rsidRPr="002E3731">
        <w:rPr>
          <w:i/>
          <w:szCs w:val="22"/>
        </w:rPr>
        <w:t xml:space="preserve">in implementing the </w:t>
      </w:r>
      <w:r w:rsidR="00AE40F3" w:rsidRPr="002E3731">
        <w:rPr>
          <w:i/>
          <w:szCs w:val="22"/>
        </w:rPr>
        <w:t>Health Board</w:t>
      </w:r>
      <w:r w:rsidR="002B0828" w:rsidRPr="002E3731">
        <w:rPr>
          <w:i/>
          <w:szCs w:val="22"/>
        </w:rPr>
        <w:t xml:space="preserve">’s </w:t>
      </w:r>
      <w:r w:rsidR="00152820" w:rsidRPr="002E3731">
        <w:rPr>
          <w:i/>
          <w:szCs w:val="22"/>
        </w:rPr>
        <w:t>P</w:t>
      </w:r>
      <w:r w:rsidRPr="002E3731">
        <w:rPr>
          <w:i/>
          <w:szCs w:val="22"/>
        </w:rPr>
        <w:t>lan</w:t>
      </w:r>
      <w:r w:rsidR="002B0828" w:rsidRPr="002E3731">
        <w:rPr>
          <w:i/>
          <w:szCs w:val="22"/>
        </w:rPr>
        <w:t xml:space="preserve"> for 201</w:t>
      </w:r>
      <w:r w:rsidR="002E3731" w:rsidRPr="002E3731">
        <w:rPr>
          <w:i/>
          <w:szCs w:val="22"/>
        </w:rPr>
        <w:t>9-22</w:t>
      </w:r>
      <w:r w:rsidRPr="002E3731">
        <w:rPr>
          <w:i/>
          <w:szCs w:val="22"/>
        </w:rPr>
        <w:t>.</w:t>
      </w:r>
      <w:bookmarkStart w:id="37" w:name="_Toc441757218"/>
      <w:bookmarkStart w:id="38" w:name="_Toc447195623"/>
      <w:bookmarkStart w:id="39" w:name="_Toc471829979"/>
      <w:bookmarkStart w:id="40" w:name="_Toc473290297"/>
      <w:bookmarkStart w:id="41" w:name="_Toc478738517"/>
    </w:p>
    <w:p w14:paraId="16F15B02" w14:textId="07069E67" w:rsidR="00543467" w:rsidRPr="007A2088" w:rsidRDefault="00543467" w:rsidP="00543467">
      <w:pPr>
        <w:rPr>
          <w:rFonts w:asciiTheme="minorHAnsi" w:hAnsiTheme="minorHAnsi" w:cstheme="minorHAnsi"/>
          <w:iCs/>
          <w:szCs w:val="22"/>
        </w:rPr>
      </w:pPr>
      <w:r w:rsidRPr="007A2088">
        <w:rPr>
          <w:rFonts w:asciiTheme="minorHAnsi" w:hAnsiTheme="minorHAnsi" w:cstheme="minorHAnsi"/>
          <w:noProof/>
          <w:szCs w:val="22"/>
        </w:rPr>
        <w:drawing>
          <wp:anchor distT="0" distB="0" distL="114300" distR="114300" simplePos="0" relativeHeight="252622848" behindDoc="0" locked="0" layoutInCell="1" allowOverlap="1" wp14:anchorId="32C51299" wp14:editId="232ADF3E">
            <wp:simplePos x="0" y="0"/>
            <wp:positionH relativeFrom="margin">
              <wp:align>right</wp:align>
            </wp:positionH>
            <wp:positionV relativeFrom="paragraph">
              <wp:posOffset>12065</wp:posOffset>
            </wp:positionV>
            <wp:extent cx="434975" cy="541655"/>
            <wp:effectExtent l="0" t="0" r="3175"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4975" cy="541655"/>
                    </a:xfrm>
                    <a:prstGeom prst="rect">
                      <a:avLst/>
                    </a:prstGeom>
                    <a:noFill/>
                  </pic:spPr>
                </pic:pic>
              </a:graphicData>
            </a:graphic>
            <wp14:sizeRelH relativeFrom="margin">
              <wp14:pctWidth>0</wp14:pctWidth>
            </wp14:sizeRelH>
            <wp14:sizeRelV relativeFrom="margin">
              <wp14:pctHeight>0</wp14:pctHeight>
            </wp14:sizeRelV>
          </wp:anchor>
        </w:drawing>
      </w:r>
    </w:p>
    <w:p w14:paraId="443D15CC" w14:textId="677A554F" w:rsidR="00543467" w:rsidRPr="007A2088" w:rsidRDefault="00543467" w:rsidP="00543467">
      <w:pPr>
        <w:shd w:val="clear" w:color="auto" w:fill="FFFF99"/>
        <w:rPr>
          <w:rFonts w:asciiTheme="minorHAnsi" w:hAnsiTheme="minorHAnsi" w:cstheme="minorHAnsi"/>
          <w:b/>
          <w:i/>
          <w:iCs/>
          <w:szCs w:val="22"/>
        </w:rPr>
      </w:pPr>
      <w:r w:rsidRPr="007A2088">
        <w:rPr>
          <w:rFonts w:asciiTheme="minorHAnsi" w:hAnsiTheme="minorHAnsi" w:cstheme="minorHAnsi"/>
          <w:b/>
          <w:i/>
          <w:iCs/>
          <w:szCs w:val="22"/>
        </w:rPr>
        <w:t xml:space="preserve">Well-being – Self Care and Supported </w:t>
      </w:r>
      <w:r w:rsidR="00167261" w:rsidRPr="007A2088">
        <w:rPr>
          <w:rFonts w:asciiTheme="minorHAnsi" w:hAnsiTheme="minorHAnsi" w:cstheme="minorHAnsi"/>
          <w:b/>
          <w:i/>
          <w:iCs/>
          <w:szCs w:val="22"/>
        </w:rPr>
        <w:t>Self-Care</w:t>
      </w:r>
    </w:p>
    <w:p w14:paraId="767A042E" w14:textId="77777777" w:rsidR="00543467" w:rsidRPr="007A2088" w:rsidRDefault="00543467" w:rsidP="00543467">
      <w:pPr>
        <w:rPr>
          <w:rFonts w:asciiTheme="minorHAnsi" w:hAnsiTheme="minorHAnsi" w:cstheme="minorHAnsi"/>
          <w:iCs/>
          <w:szCs w:val="22"/>
        </w:rPr>
      </w:pPr>
    </w:p>
    <w:p w14:paraId="3A25A4C5" w14:textId="0D8D2527" w:rsidR="00CD7A05" w:rsidRPr="005E606C" w:rsidRDefault="00CD7A05" w:rsidP="00F60A35">
      <w:pPr>
        <w:pStyle w:val="ListParagraph"/>
        <w:numPr>
          <w:ilvl w:val="0"/>
          <w:numId w:val="51"/>
        </w:numPr>
        <w:rPr>
          <w:rFonts w:asciiTheme="minorHAnsi" w:hAnsiTheme="minorHAnsi" w:cs="Arial"/>
          <w:szCs w:val="22"/>
        </w:rPr>
      </w:pPr>
      <w:r w:rsidRPr="005E606C">
        <w:rPr>
          <w:rFonts w:asciiTheme="minorHAnsi" w:hAnsiTheme="minorHAnsi" w:cs="Arial"/>
          <w:szCs w:val="22"/>
        </w:rPr>
        <w:t xml:space="preserve">Continued recruitment </w:t>
      </w:r>
      <w:r w:rsidR="00841A7C">
        <w:rPr>
          <w:rFonts w:asciiTheme="minorHAnsi" w:hAnsiTheme="minorHAnsi" w:cs="Arial"/>
          <w:szCs w:val="22"/>
        </w:rPr>
        <w:t xml:space="preserve">of </w:t>
      </w:r>
      <w:r w:rsidRPr="005E606C">
        <w:rPr>
          <w:rFonts w:asciiTheme="minorHAnsi" w:hAnsiTheme="minorHAnsi" w:cs="Arial"/>
          <w:szCs w:val="22"/>
        </w:rPr>
        <w:t xml:space="preserve">and support </w:t>
      </w:r>
      <w:r w:rsidR="00841A7C">
        <w:rPr>
          <w:rFonts w:asciiTheme="minorHAnsi" w:hAnsiTheme="minorHAnsi" w:cs="Arial"/>
          <w:szCs w:val="22"/>
        </w:rPr>
        <w:t xml:space="preserve">for </w:t>
      </w:r>
      <w:r w:rsidRPr="005E606C">
        <w:rPr>
          <w:rFonts w:asciiTheme="minorHAnsi" w:hAnsiTheme="minorHAnsi" w:cs="Arial"/>
          <w:szCs w:val="22"/>
        </w:rPr>
        <w:t>Carers Champions</w:t>
      </w:r>
      <w:r>
        <w:rPr>
          <w:rFonts w:asciiTheme="minorHAnsi" w:hAnsiTheme="minorHAnsi" w:cs="Arial"/>
          <w:szCs w:val="22"/>
        </w:rPr>
        <w:t xml:space="preserve">, </w:t>
      </w:r>
      <w:r w:rsidRPr="005E606C">
        <w:rPr>
          <w:rFonts w:asciiTheme="minorHAnsi" w:hAnsiTheme="minorHAnsi" w:cs="Arial"/>
          <w:szCs w:val="22"/>
        </w:rPr>
        <w:t>working with partner organisation</w:t>
      </w:r>
      <w:r>
        <w:rPr>
          <w:rFonts w:asciiTheme="minorHAnsi" w:hAnsiTheme="minorHAnsi" w:cs="Arial"/>
          <w:szCs w:val="22"/>
        </w:rPr>
        <w:t xml:space="preserve">s to ensure Caring Awareness </w:t>
      </w:r>
      <w:r w:rsidR="00841A7C">
        <w:rPr>
          <w:rFonts w:asciiTheme="minorHAnsi" w:hAnsiTheme="minorHAnsi" w:cs="Arial"/>
          <w:szCs w:val="22"/>
        </w:rPr>
        <w:t xml:space="preserve">is </w:t>
      </w:r>
      <w:r>
        <w:rPr>
          <w:rFonts w:asciiTheme="minorHAnsi" w:hAnsiTheme="minorHAnsi" w:cs="Arial"/>
          <w:szCs w:val="22"/>
        </w:rPr>
        <w:t xml:space="preserve">widely </w:t>
      </w:r>
      <w:r w:rsidRPr="005E606C">
        <w:rPr>
          <w:rFonts w:asciiTheme="minorHAnsi" w:hAnsiTheme="minorHAnsi" w:cs="Arial"/>
          <w:szCs w:val="22"/>
        </w:rPr>
        <w:t xml:space="preserve">embedded and Carer Aware training </w:t>
      </w:r>
      <w:r>
        <w:rPr>
          <w:rFonts w:asciiTheme="minorHAnsi" w:hAnsiTheme="minorHAnsi" w:cs="Arial"/>
          <w:szCs w:val="22"/>
        </w:rPr>
        <w:t xml:space="preserve">is provided </w:t>
      </w:r>
      <w:r w:rsidRPr="005E606C">
        <w:rPr>
          <w:rFonts w:asciiTheme="minorHAnsi" w:hAnsiTheme="minorHAnsi" w:cs="Arial"/>
          <w:szCs w:val="22"/>
        </w:rPr>
        <w:t>for staff across the public and third sector</w:t>
      </w:r>
      <w:r>
        <w:rPr>
          <w:rFonts w:asciiTheme="minorHAnsi" w:hAnsiTheme="minorHAnsi" w:cs="Arial"/>
          <w:szCs w:val="22"/>
        </w:rPr>
        <w:t>.</w:t>
      </w:r>
    </w:p>
    <w:p w14:paraId="512EE432" w14:textId="77777777" w:rsidR="00CD7A05" w:rsidRPr="005E606C" w:rsidRDefault="00CD7A05" w:rsidP="00F60A35">
      <w:pPr>
        <w:pStyle w:val="ListParagraph"/>
        <w:numPr>
          <w:ilvl w:val="0"/>
          <w:numId w:val="51"/>
        </w:numPr>
        <w:rPr>
          <w:rFonts w:asciiTheme="minorHAnsi" w:hAnsiTheme="minorHAnsi" w:cs="Arial"/>
          <w:szCs w:val="22"/>
        </w:rPr>
      </w:pPr>
      <w:r w:rsidRPr="005E606C">
        <w:rPr>
          <w:rFonts w:asciiTheme="minorHAnsi" w:hAnsiTheme="minorHAnsi" w:cs="Arial"/>
          <w:szCs w:val="22"/>
        </w:rPr>
        <w:t>Since the Baby Teeth DO Matter initiative launched in April 2017, dentists in Merthyr Tydfil have seen a 39% increase in children’s attendance, equating to approximately 1,500 children.</w:t>
      </w:r>
    </w:p>
    <w:p w14:paraId="0EF528B6" w14:textId="77777777" w:rsidR="00CD7A05" w:rsidRPr="005E606C" w:rsidRDefault="00CD7A05" w:rsidP="00F60A35">
      <w:pPr>
        <w:pStyle w:val="ListParagraph"/>
        <w:numPr>
          <w:ilvl w:val="0"/>
          <w:numId w:val="51"/>
        </w:numPr>
        <w:rPr>
          <w:rFonts w:asciiTheme="minorHAnsi" w:hAnsiTheme="minorHAnsi" w:cs="Arial"/>
          <w:szCs w:val="22"/>
        </w:rPr>
      </w:pPr>
      <w:r w:rsidRPr="005E606C">
        <w:rPr>
          <w:rFonts w:asciiTheme="minorHAnsi" w:hAnsiTheme="minorHAnsi" w:cs="Arial"/>
          <w:szCs w:val="22"/>
        </w:rPr>
        <w:t>In support of the Health, Well Being and Creative Arts Strategy launched in December 2018 an Arts and Health Coordinator has been appointed to develop an arts programme which supports, nurtures and works with our patients, staff, visitors and the wider community in a variety of ways across a range of art forms.</w:t>
      </w:r>
    </w:p>
    <w:p w14:paraId="6E2779B9" w14:textId="77777777" w:rsidR="00CD7A05" w:rsidRDefault="00CD7A05" w:rsidP="00F60A35">
      <w:pPr>
        <w:pStyle w:val="ListParagraph"/>
        <w:numPr>
          <w:ilvl w:val="0"/>
          <w:numId w:val="51"/>
        </w:numPr>
        <w:rPr>
          <w:rFonts w:asciiTheme="minorHAnsi" w:hAnsiTheme="minorHAnsi" w:cs="Arial"/>
          <w:szCs w:val="22"/>
        </w:rPr>
      </w:pPr>
      <w:r w:rsidRPr="005E606C">
        <w:rPr>
          <w:rFonts w:asciiTheme="minorHAnsi" w:hAnsiTheme="minorHAnsi" w:cs="Arial"/>
          <w:szCs w:val="22"/>
        </w:rPr>
        <w:t>The Maternity Services Liaison Committee has been relaunched which allows women and their families to feed back their experiences and requests for improvement back into the system.  Women in the maternity units are also now being regularly asked about their experiences.</w:t>
      </w:r>
    </w:p>
    <w:p w14:paraId="2C36748D" w14:textId="10595243" w:rsidR="00543467" w:rsidRPr="007A2088" w:rsidRDefault="00543467" w:rsidP="00543467">
      <w:pPr>
        <w:rPr>
          <w:rFonts w:asciiTheme="minorHAnsi" w:hAnsiTheme="minorHAnsi" w:cstheme="minorHAnsi"/>
          <w:iCs/>
          <w:szCs w:val="22"/>
        </w:rPr>
      </w:pPr>
    </w:p>
    <w:p w14:paraId="4021FF4B" w14:textId="6F2BA13B" w:rsidR="00543467" w:rsidRPr="007A2088" w:rsidRDefault="00C277FF" w:rsidP="00543467">
      <w:pPr>
        <w:shd w:val="clear" w:color="auto" w:fill="E5B8B7" w:themeFill="accent2" w:themeFillTint="66"/>
        <w:rPr>
          <w:rFonts w:asciiTheme="minorHAnsi" w:hAnsiTheme="minorHAnsi" w:cstheme="minorHAnsi"/>
          <w:b/>
          <w:i/>
          <w:iCs/>
          <w:szCs w:val="22"/>
        </w:rPr>
      </w:pPr>
      <w:r w:rsidRPr="007A2088">
        <w:rPr>
          <w:rFonts w:asciiTheme="minorHAnsi" w:hAnsiTheme="minorHAnsi" w:cstheme="minorHAnsi"/>
          <w:noProof/>
          <w:szCs w:val="22"/>
        </w:rPr>
        <w:drawing>
          <wp:anchor distT="0" distB="0" distL="114300" distR="114300" simplePos="0" relativeHeight="252618752" behindDoc="0" locked="0" layoutInCell="1" allowOverlap="1" wp14:anchorId="4D673EFD" wp14:editId="408CEDBA">
            <wp:simplePos x="0" y="0"/>
            <wp:positionH relativeFrom="margin">
              <wp:align>right</wp:align>
            </wp:positionH>
            <wp:positionV relativeFrom="paragraph">
              <wp:posOffset>-136603</wp:posOffset>
            </wp:positionV>
            <wp:extent cx="544195" cy="450215"/>
            <wp:effectExtent l="0" t="0" r="8255" b="698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4195" cy="450215"/>
                    </a:xfrm>
                    <a:prstGeom prst="rect">
                      <a:avLst/>
                    </a:prstGeom>
                    <a:noFill/>
                  </pic:spPr>
                </pic:pic>
              </a:graphicData>
            </a:graphic>
            <wp14:sizeRelH relativeFrom="page">
              <wp14:pctWidth>0</wp14:pctWidth>
            </wp14:sizeRelH>
            <wp14:sizeRelV relativeFrom="page">
              <wp14:pctHeight>0</wp14:pctHeight>
            </wp14:sizeRelV>
          </wp:anchor>
        </w:drawing>
      </w:r>
      <w:r w:rsidR="00543467" w:rsidRPr="007A2088">
        <w:rPr>
          <w:rFonts w:asciiTheme="minorHAnsi" w:hAnsiTheme="minorHAnsi" w:cstheme="minorHAnsi"/>
          <w:b/>
          <w:i/>
          <w:iCs/>
          <w:szCs w:val="22"/>
        </w:rPr>
        <w:t>Integrated Community Services</w:t>
      </w:r>
    </w:p>
    <w:p w14:paraId="734BB151" w14:textId="77777777" w:rsidR="00543467" w:rsidRPr="007A2088" w:rsidRDefault="00543467" w:rsidP="00543467">
      <w:pPr>
        <w:rPr>
          <w:rFonts w:asciiTheme="minorHAnsi" w:hAnsiTheme="minorHAnsi" w:cstheme="minorHAnsi"/>
          <w:iCs/>
          <w:szCs w:val="22"/>
        </w:rPr>
      </w:pPr>
    </w:p>
    <w:p w14:paraId="67EA6533" w14:textId="77777777" w:rsidR="00CD7A05" w:rsidRPr="005E606C" w:rsidRDefault="00CD7A05" w:rsidP="00CD7A05">
      <w:pPr>
        <w:pStyle w:val="NormaBullet"/>
      </w:pPr>
      <w:r w:rsidRPr="005E606C">
        <w:t xml:space="preserve">At the NHS Awards in September 2019 the award for ‘Providing services in partnership across NHS Wales’ was won by Cwm Taf Morgannwg UHB together with Aneurin Bevan, Swansea Bay UHB, Hywel Dda UHB and Cardiff and Vale UHB for work on the </w:t>
      </w:r>
      <w:r w:rsidRPr="005E606C">
        <w:rPr>
          <w:i/>
        </w:rPr>
        <w:t>‘South Wales Motor Neurone Disease Care Network’</w:t>
      </w:r>
      <w:r w:rsidRPr="005E606C">
        <w:t>.</w:t>
      </w:r>
    </w:p>
    <w:p w14:paraId="26393836" w14:textId="50136571" w:rsidR="00CD7A05" w:rsidRDefault="00CD7A05" w:rsidP="00CD7A05">
      <w:pPr>
        <w:pStyle w:val="NormaBullet"/>
      </w:pPr>
      <w:r w:rsidRPr="005E606C">
        <w:t xml:space="preserve">Children from Treorchy Primary School have </w:t>
      </w:r>
      <w:r>
        <w:t xml:space="preserve">spent time with people living with dementia and their families at </w:t>
      </w:r>
      <w:r w:rsidRPr="005E606C">
        <w:t xml:space="preserve">Ysbyty George Thomas as part of the work to </w:t>
      </w:r>
      <w:r w:rsidR="00841A7C">
        <w:t xml:space="preserve">raise intergenerational awareness of dementia and </w:t>
      </w:r>
      <w:r w:rsidRPr="005E606C">
        <w:t>involve the community in the care and support provided</w:t>
      </w:r>
    </w:p>
    <w:p w14:paraId="7C2E2B8E" w14:textId="2B62F10A" w:rsidR="00CD7A05" w:rsidRPr="00CD7A05" w:rsidRDefault="00CD7A05" w:rsidP="00CD7A05">
      <w:pPr>
        <w:pStyle w:val="NormaBullet"/>
      </w:pPr>
      <w:r w:rsidRPr="005E606C">
        <w:t xml:space="preserve">The Health Board and Bridgend </w:t>
      </w:r>
      <w:r w:rsidR="0068088F">
        <w:t xml:space="preserve">County Borough Council (CBC) </w:t>
      </w:r>
      <w:r w:rsidRPr="005E606C">
        <w:t xml:space="preserve">have signed a partnership agreement to support more older people to remain </w:t>
      </w:r>
      <w:r w:rsidRPr="00CD7A05">
        <w:t>independent and keep well at home.  The agreement is to ensure services are more joined-up with the aim of maximising patients’ recovery with shorter stays in hospital.</w:t>
      </w:r>
    </w:p>
    <w:p w14:paraId="1249F2C8" w14:textId="77777777" w:rsidR="00CD7A05" w:rsidRPr="00CD7A05" w:rsidRDefault="00CD7A05" w:rsidP="00CD7A05">
      <w:pPr>
        <w:pStyle w:val="NormaBullet"/>
      </w:pPr>
      <w:r w:rsidRPr="00CD7A05">
        <w:t>The Waun Wen Leg Club in the Rhondda received an international award at the annual Lindsay Leg Club Foundation Awards for their work to provide community based treatment and care for people of all ages who suffer leg-related problems.</w:t>
      </w:r>
    </w:p>
    <w:p w14:paraId="33A67DFA" w14:textId="69F52C6D" w:rsidR="003401CD" w:rsidRPr="00CD7A05" w:rsidRDefault="00CD7A05" w:rsidP="00CD7A05">
      <w:pPr>
        <w:pStyle w:val="NormaBullet"/>
      </w:pPr>
      <w:r w:rsidRPr="00CD7A05">
        <w:t>The new Integrated Substance Misuse Service for Rhondda Cynon Taf and Merthyr Tydfil, commissioned by the Area Planning Board, commenced on 1</w:t>
      </w:r>
      <w:r w:rsidRPr="00CD7A05">
        <w:rPr>
          <w:vertAlign w:val="superscript"/>
        </w:rPr>
        <w:t>st</w:t>
      </w:r>
      <w:r w:rsidRPr="00CD7A05">
        <w:t xml:space="preserve"> April 2019 provided by Barod, working in close collaboration with the Health Board’s Community Drug &amp; Alcohol teams.  A review is now underway</w:t>
      </w:r>
      <w:r w:rsidR="00DF7DA1">
        <w:t xml:space="preserve"> by the APB </w:t>
      </w:r>
      <w:r w:rsidRPr="00CD7A05">
        <w:t xml:space="preserve"> of the substance misuse services provided in Bridgend.</w:t>
      </w:r>
      <w:r w:rsidR="003401CD" w:rsidRPr="00CD7A05">
        <w:t xml:space="preserve"> </w:t>
      </w:r>
    </w:p>
    <w:p w14:paraId="38D535DB" w14:textId="25AD5DB8" w:rsidR="00543467" w:rsidRPr="007A2088" w:rsidRDefault="00B55344" w:rsidP="00543467">
      <w:pPr>
        <w:rPr>
          <w:rFonts w:asciiTheme="minorHAnsi" w:hAnsiTheme="minorHAnsi" w:cstheme="minorHAnsi"/>
          <w:szCs w:val="22"/>
        </w:rPr>
      </w:pPr>
      <w:r w:rsidRPr="007A2088">
        <w:rPr>
          <w:rFonts w:asciiTheme="minorHAnsi" w:hAnsiTheme="minorHAnsi" w:cstheme="minorHAnsi"/>
          <w:noProof/>
          <w:szCs w:val="22"/>
        </w:rPr>
        <w:drawing>
          <wp:anchor distT="0" distB="0" distL="114300" distR="114300" simplePos="0" relativeHeight="252619776" behindDoc="0" locked="0" layoutInCell="1" allowOverlap="1" wp14:anchorId="0CE84DB9" wp14:editId="614F3FED">
            <wp:simplePos x="0" y="0"/>
            <wp:positionH relativeFrom="margin">
              <wp:align>right</wp:align>
            </wp:positionH>
            <wp:positionV relativeFrom="paragraph">
              <wp:posOffset>16510</wp:posOffset>
            </wp:positionV>
            <wp:extent cx="585470" cy="454025"/>
            <wp:effectExtent l="0" t="0" r="5080" b="3175"/>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5470" cy="454025"/>
                    </a:xfrm>
                    <a:prstGeom prst="rect">
                      <a:avLst/>
                    </a:prstGeom>
                    <a:noFill/>
                  </pic:spPr>
                </pic:pic>
              </a:graphicData>
            </a:graphic>
            <wp14:sizeRelH relativeFrom="margin">
              <wp14:pctWidth>0</wp14:pctWidth>
            </wp14:sizeRelH>
            <wp14:sizeRelV relativeFrom="margin">
              <wp14:pctHeight>0</wp14:pctHeight>
            </wp14:sizeRelV>
          </wp:anchor>
        </w:drawing>
      </w:r>
    </w:p>
    <w:p w14:paraId="667FE9FF" w14:textId="695308D0" w:rsidR="00543467" w:rsidRPr="007A2088" w:rsidRDefault="00B55344" w:rsidP="00A86D03">
      <w:pPr>
        <w:pStyle w:val="ListParagraph"/>
        <w:shd w:val="clear" w:color="auto" w:fill="C2D69B" w:themeFill="accent3" w:themeFillTint="99"/>
        <w:ind w:left="0"/>
        <w:rPr>
          <w:rFonts w:asciiTheme="minorHAnsi" w:hAnsiTheme="minorHAnsi" w:cstheme="minorHAnsi"/>
          <w:b/>
          <w:i/>
          <w:iCs/>
          <w:szCs w:val="22"/>
        </w:rPr>
      </w:pPr>
      <w:r w:rsidRPr="007A2088">
        <w:rPr>
          <w:rFonts w:asciiTheme="minorHAnsi" w:hAnsiTheme="minorHAnsi" w:cstheme="minorHAnsi"/>
          <w:b/>
          <w:i/>
          <w:iCs/>
          <w:szCs w:val="22"/>
        </w:rPr>
        <w:t xml:space="preserve">Mental Health, </w:t>
      </w:r>
      <w:r w:rsidR="00543467" w:rsidRPr="007A2088">
        <w:rPr>
          <w:rFonts w:asciiTheme="minorHAnsi" w:hAnsiTheme="minorHAnsi" w:cstheme="minorHAnsi"/>
          <w:b/>
          <w:i/>
          <w:iCs/>
          <w:szCs w:val="22"/>
        </w:rPr>
        <w:t>Primary Care, and Locality Services - Care Closer to Home</w:t>
      </w:r>
    </w:p>
    <w:p w14:paraId="5440DADD" w14:textId="77777777" w:rsidR="00543467" w:rsidRPr="007A2088" w:rsidRDefault="00543467" w:rsidP="00543467">
      <w:pPr>
        <w:rPr>
          <w:rFonts w:asciiTheme="minorHAnsi" w:hAnsiTheme="minorHAnsi" w:cstheme="minorHAnsi"/>
          <w:szCs w:val="22"/>
        </w:rPr>
      </w:pPr>
    </w:p>
    <w:p w14:paraId="57B37AF4" w14:textId="77777777" w:rsidR="00CD7A05" w:rsidRPr="00CD7A05" w:rsidRDefault="00CD7A05" w:rsidP="00F60A35">
      <w:pPr>
        <w:pStyle w:val="ListParagraph"/>
        <w:numPr>
          <w:ilvl w:val="0"/>
          <w:numId w:val="52"/>
        </w:numPr>
        <w:rPr>
          <w:rFonts w:asciiTheme="minorHAnsi" w:hAnsiTheme="minorHAnsi"/>
          <w:szCs w:val="22"/>
        </w:rPr>
      </w:pPr>
      <w:r w:rsidRPr="00CD7A05">
        <w:rPr>
          <w:rFonts w:asciiTheme="minorHAnsi" w:hAnsiTheme="minorHAnsi"/>
          <w:szCs w:val="22"/>
        </w:rPr>
        <w:t>The Primary Care and Community Resource Team provides vital clinical support across a range of care settings and are central to the training and education of health and social care professionals working in GP practices, Community Nursing Services, Community Hospitals, Care Homes and Local Authority staff.</w:t>
      </w:r>
    </w:p>
    <w:p w14:paraId="1B80BF8E" w14:textId="77777777" w:rsidR="00CD7A05" w:rsidRPr="00CD7A05" w:rsidRDefault="00CD7A05" w:rsidP="00F60A35">
      <w:pPr>
        <w:pStyle w:val="ListParagraph"/>
        <w:numPr>
          <w:ilvl w:val="0"/>
          <w:numId w:val="52"/>
        </w:numPr>
        <w:rPr>
          <w:rFonts w:asciiTheme="minorHAnsi" w:hAnsiTheme="minorHAnsi"/>
          <w:szCs w:val="22"/>
        </w:rPr>
      </w:pPr>
      <w:r w:rsidRPr="00CD7A05">
        <w:rPr>
          <w:rFonts w:asciiTheme="minorHAnsi" w:hAnsiTheme="minorHAnsi"/>
          <w:szCs w:val="22"/>
        </w:rPr>
        <w:t xml:space="preserve">As an extension of the Choose Pharmacy Common Ailments service, a Sore Throat Treat and Test (STTT) service has been rolled out in our community pharmacies, offering a more accessible alternative to, and reducing demand for GP services.  </w:t>
      </w:r>
    </w:p>
    <w:p w14:paraId="35417285" w14:textId="77777777" w:rsidR="00CD7A05" w:rsidRPr="00CD7A05" w:rsidRDefault="00CD7A05" w:rsidP="00F60A35">
      <w:pPr>
        <w:pStyle w:val="ListParagraph"/>
        <w:numPr>
          <w:ilvl w:val="0"/>
          <w:numId w:val="52"/>
        </w:numPr>
        <w:rPr>
          <w:rFonts w:asciiTheme="minorHAnsi" w:hAnsiTheme="minorHAnsi"/>
          <w:szCs w:val="22"/>
        </w:rPr>
      </w:pPr>
      <w:r w:rsidRPr="00CD7A05">
        <w:rPr>
          <w:rFonts w:asciiTheme="minorHAnsi" w:hAnsiTheme="minorHAnsi"/>
          <w:szCs w:val="22"/>
        </w:rPr>
        <w:t>Following extensive stakeholder engagement a new service model has been agreed for adult community mental health services, shifting the focus, resources and activity to universal and primary care level enabling more prevention, early intervention and intensive person centred interventions.</w:t>
      </w:r>
    </w:p>
    <w:p w14:paraId="2AD31A2E" w14:textId="7DB646B5" w:rsidR="00CD7A05" w:rsidRPr="00CD7A05" w:rsidRDefault="00CD7A05" w:rsidP="00F60A35">
      <w:pPr>
        <w:pStyle w:val="ListParagraph"/>
        <w:numPr>
          <w:ilvl w:val="0"/>
          <w:numId w:val="52"/>
        </w:numPr>
        <w:rPr>
          <w:rFonts w:asciiTheme="minorHAnsi" w:hAnsiTheme="minorHAnsi"/>
          <w:szCs w:val="22"/>
        </w:rPr>
      </w:pPr>
      <w:r w:rsidRPr="00CD7A05">
        <w:rPr>
          <w:rFonts w:asciiTheme="minorHAnsi" w:hAnsiTheme="minorHAnsi"/>
          <w:szCs w:val="22"/>
        </w:rPr>
        <w:t>In order to create a more home from home environment and link patients to their former activities outside hospital, the older people’s mental health ward at Royal Glamorgan have created a ‘pop-up’ traditional pub, hair and beauty salon and created a beach scene in the garden.  This will improve patients’ experience during their stay and help them to relax.</w:t>
      </w:r>
      <w:r w:rsidR="00DF7DA1">
        <w:rPr>
          <w:rFonts w:asciiTheme="minorHAnsi" w:hAnsiTheme="minorHAnsi"/>
          <w:szCs w:val="22"/>
        </w:rPr>
        <w:t xml:space="preserve"> </w:t>
      </w:r>
    </w:p>
    <w:p w14:paraId="7FA02395" w14:textId="77777777" w:rsidR="00CD7A05" w:rsidRPr="00CD7A05" w:rsidRDefault="00CD7A05" w:rsidP="00F60A35">
      <w:pPr>
        <w:pStyle w:val="ListParagraph"/>
        <w:numPr>
          <w:ilvl w:val="0"/>
          <w:numId w:val="52"/>
        </w:numPr>
        <w:rPr>
          <w:rFonts w:asciiTheme="minorHAnsi" w:hAnsiTheme="minorHAnsi"/>
          <w:szCs w:val="22"/>
        </w:rPr>
      </w:pPr>
      <w:r w:rsidRPr="00CD7A05">
        <w:rPr>
          <w:rFonts w:asciiTheme="minorHAnsi" w:hAnsiTheme="minorHAnsi"/>
          <w:szCs w:val="22"/>
        </w:rPr>
        <w:t>For those patients in receipt of secondary mental health services with a valid care and treatment plan, performance at the end of September 2019 was 91.6%.</w:t>
      </w:r>
    </w:p>
    <w:p w14:paraId="3D821945" w14:textId="77777777" w:rsidR="00CD7A05" w:rsidRPr="00CD7A05" w:rsidRDefault="00CD7A05" w:rsidP="00F60A35">
      <w:pPr>
        <w:pStyle w:val="ListParagraph"/>
        <w:numPr>
          <w:ilvl w:val="0"/>
          <w:numId w:val="52"/>
        </w:numPr>
        <w:rPr>
          <w:rFonts w:asciiTheme="minorHAnsi" w:hAnsiTheme="minorHAnsi"/>
          <w:szCs w:val="22"/>
        </w:rPr>
      </w:pPr>
      <w:r w:rsidRPr="00CD7A05">
        <w:rPr>
          <w:rFonts w:asciiTheme="minorHAnsi" w:hAnsiTheme="minorHAnsi"/>
          <w:szCs w:val="22"/>
        </w:rPr>
        <w:lastRenderedPageBreak/>
        <w:t xml:space="preserve">Access to specialist CAMHS has improved to 89% against the 28 day target of 80%.  </w:t>
      </w:r>
    </w:p>
    <w:p w14:paraId="64FA9AA2" w14:textId="75647FB4" w:rsidR="00543467" w:rsidRPr="007A2088" w:rsidRDefault="00543467" w:rsidP="00543467">
      <w:pPr>
        <w:rPr>
          <w:rFonts w:asciiTheme="minorHAnsi" w:eastAsia="Calibri" w:hAnsiTheme="minorHAnsi" w:cstheme="minorHAnsi"/>
          <w:szCs w:val="22"/>
        </w:rPr>
      </w:pPr>
    </w:p>
    <w:p w14:paraId="7D0B3561" w14:textId="7FA9728F" w:rsidR="00543467" w:rsidRPr="007A2088" w:rsidRDefault="002E3731" w:rsidP="00543467">
      <w:pPr>
        <w:shd w:val="clear" w:color="auto" w:fill="365F91" w:themeFill="accent1" w:themeFillShade="BF"/>
        <w:rPr>
          <w:rFonts w:asciiTheme="minorHAnsi" w:hAnsiTheme="minorHAnsi" w:cstheme="minorHAnsi"/>
          <w:b/>
          <w:i/>
          <w:iCs/>
          <w:color w:val="FFFFFF" w:themeColor="background1"/>
          <w:szCs w:val="22"/>
        </w:rPr>
      </w:pPr>
      <w:r w:rsidRPr="0047674D">
        <w:rPr>
          <w:b/>
          <w:noProof/>
          <w:color w:val="943634" w:themeColor="accent2" w:themeShade="BF"/>
          <w:szCs w:val="22"/>
        </w:rPr>
        <w:drawing>
          <wp:anchor distT="0" distB="0" distL="114300" distR="114300" simplePos="0" relativeHeight="252624896" behindDoc="0" locked="0" layoutInCell="1" allowOverlap="1" wp14:anchorId="52AA4685" wp14:editId="3D302170">
            <wp:simplePos x="0" y="0"/>
            <wp:positionH relativeFrom="margin">
              <wp:align>right</wp:align>
            </wp:positionH>
            <wp:positionV relativeFrom="paragraph">
              <wp:posOffset>-219916</wp:posOffset>
            </wp:positionV>
            <wp:extent cx="454660" cy="549275"/>
            <wp:effectExtent l="0" t="0" r="2540" b="3175"/>
            <wp:wrapNone/>
            <wp:docPr id="59" name="Picture 59"/>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44">
                      <a:extLst>
                        <a:ext uri="{28A0092B-C50C-407E-A947-70E740481C1C}">
                          <a14:useLocalDpi xmlns:a14="http://schemas.microsoft.com/office/drawing/2010/main" val="0"/>
                        </a:ext>
                      </a:extLst>
                    </a:blip>
                    <a:stretch>
                      <a:fillRect/>
                    </a:stretch>
                  </pic:blipFill>
                  <pic:spPr>
                    <a:xfrm>
                      <a:off x="0" y="0"/>
                      <a:ext cx="454660" cy="549275"/>
                    </a:xfrm>
                    <a:prstGeom prst="rect">
                      <a:avLst/>
                    </a:prstGeom>
                  </pic:spPr>
                </pic:pic>
              </a:graphicData>
            </a:graphic>
            <wp14:sizeRelH relativeFrom="margin">
              <wp14:pctWidth>0</wp14:pctWidth>
            </wp14:sizeRelH>
            <wp14:sizeRelV relativeFrom="margin">
              <wp14:pctHeight>0</wp14:pctHeight>
            </wp14:sizeRelV>
          </wp:anchor>
        </w:drawing>
      </w:r>
      <w:r w:rsidR="00543467" w:rsidRPr="007A2088">
        <w:rPr>
          <w:rFonts w:asciiTheme="minorHAnsi" w:hAnsiTheme="minorHAnsi" w:cstheme="minorHAnsi"/>
          <w:b/>
          <w:i/>
          <w:iCs/>
          <w:color w:val="FFFFFF" w:themeColor="background1"/>
          <w:szCs w:val="22"/>
        </w:rPr>
        <w:t xml:space="preserve">Acute Care – </w:t>
      </w:r>
      <w:r w:rsidR="00415DF7" w:rsidRPr="007A2088">
        <w:rPr>
          <w:rFonts w:asciiTheme="minorHAnsi" w:hAnsiTheme="minorHAnsi" w:cstheme="minorHAnsi"/>
          <w:b/>
          <w:i/>
          <w:iCs/>
          <w:color w:val="FFFFFF" w:themeColor="background1"/>
          <w:szCs w:val="22"/>
        </w:rPr>
        <w:t xml:space="preserve">Local and Regional </w:t>
      </w:r>
      <w:r w:rsidR="00B53E76" w:rsidRPr="007A2088">
        <w:rPr>
          <w:rFonts w:asciiTheme="minorHAnsi" w:hAnsiTheme="minorHAnsi" w:cstheme="minorHAnsi"/>
          <w:b/>
          <w:i/>
          <w:iCs/>
          <w:color w:val="FFFFFF" w:themeColor="background1"/>
          <w:szCs w:val="22"/>
        </w:rPr>
        <w:t>Secondary Care</w:t>
      </w:r>
    </w:p>
    <w:p w14:paraId="403F08EE" w14:textId="77777777" w:rsidR="00B55344" w:rsidRPr="007A2088" w:rsidRDefault="00B55344" w:rsidP="00543467">
      <w:pPr>
        <w:rPr>
          <w:rFonts w:asciiTheme="minorHAnsi" w:hAnsiTheme="minorHAnsi" w:cstheme="minorHAnsi"/>
          <w:iCs/>
          <w:szCs w:val="22"/>
        </w:rPr>
      </w:pPr>
    </w:p>
    <w:p w14:paraId="48B163A7" w14:textId="77777777" w:rsidR="00CD7A05" w:rsidRPr="005E606C" w:rsidRDefault="00CD7A05" w:rsidP="00CD7A05">
      <w:pPr>
        <w:pStyle w:val="NormaBullet"/>
      </w:pPr>
      <w:r w:rsidRPr="005E606C">
        <w:t>Continued implementation of</w:t>
      </w:r>
      <w:r>
        <w:t xml:space="preserve"> the Early Diagnosis programme, </w:t>
      </w:r>
      <w:r w:rsidRPr="005E606C">
        <w:t xml:space="preserve">improvements made to the urgent suspected cancer pathway, development of the Rapid Diagnostic pathway and single cancer pathway implementation. </w:t>
      </w:r>
    </w:p>
    <w:p w14:paraId="5848E6B7" w14:textId="77777777" w:rsidR="00CD7A05" w:rsidRDefault="00CD7A05" w:rsidP="00CD7A05">
      <w:pPr>
        <w:pStyle w:val="NormaBullet"/>
      </w:pPr>
      <w:r>
        <w:t>W</w:t>
      </w:r>
      <w:r w:rsidRPr="005E606C">
        <w:t>orking to achieve the Single Cancer Pathway target and is making steady progress.  A Cancer Programme Board has been established to provide strategic oversight for cancer services and waiting time performance.</w:t>
      </w:r>
    </w:p>
    <w:p w14:paraId="7FC7EDA4" w14:textId="0F916178" w:rsidR="00CD7A05" w:rsidRDefault="00CD7A05" w:rsidP="00CD7A05">
      <w:pPr>
        <w:pStyle w:val="NormaBullet"/>
      </w:pPr>
      <w:r w:rsidRPr="005E606C">
        <w:t xml:space="preserve">The Health Board continues to have the best performance across Wales for one hour emergency ambulance patient handovers in </w:t>
      </w:r>
      <w:r w:rsidR="00CC2E80">
        <w:t>PCH and RGH</w:t>
      </w:r>
      <w:r w:rsidRPr="005E606C">
        <w:t xml:space="preserve"> and has performed highly with regard to the 15 minute ambulance handovers.  The challenges that are currently being experienced in relation to patient handover in Princess of Wales Hospital are being addressed through a programme of collaborative interventions which involve Senior Clinicians, Medical Staff and WAST.</w:t>
      </w:r>
    </w:p>
    <w:p w14:paraId="33F4B3C0" w14:textId="77777777" w:rsidR="00CD7A05" w:rsidRPr="005E606C" w:rsidRDefault="00CD7A05" w:rsidP="00CD7A05">
      <w:pPr>
        <w:pStyle w:val="NormaBullet"/>
      </w:pPr>
      <w:r w:rsidRPr="005E606C">
        <w:t>The Health Board works closely with WAST colleagues to sustain performance on the RED calls 8 minute response times.  This year has seen the Health Board’s performance remain above target (65%).</w:t>
      </w:r>
    </w:p>
    <w:p w14:paraId="4DA09A4D" w14:textId="77777777" w:rsidR="00CD7A05" w:rsidRDefault="00CD7A05" w:rsidP="00CD7A05">
      <w:pPr>
        <w:pStyle w:val="NormaBullet"/>
      </w:pPr>
      <w:r w:rsidRPr="005E606C">
        <w:t>WAST colleagues have continued to work collaboratively with us to support the Stay Well @Home Service where they refer directly to a multi-agency single point of access to avoid conveyances to hospital.</w:t>
      </w:r>
    </w:p>
    <w:p w14:paraId="254C55BD" w14:textId="54C38A49" w:rsidR="00CD7A05" w:rsidRPr="005E606C" w:rsidRDefault="00CD7A05" w:rsidP="00CD7A05">
      <w:pPr>
        <w:pStyle w:val="NormaBullet"/>
      </w:pPr>
      <w:r w:rsidRPr="005E606C">
        <w:t xml:space="preserve">The freestanding Midwifery-led unit was established in </w:t>
      </w:r>
      <w:r w:rsidR="0068088F">
        <w:t>RGH</w:t>
      </w:r>
      <w:r w:rsidRPr="005E606C">
        <w:t xml:space="preserve"> in March 2019 with the new maternity unit established in </w:t>
      </w:r>
      <w:r w:rsidR="00897141">
        <w:t>PCH</w:t>
      </w:r>
      <w:r w:rsidRPr="005E606C">
        <w:t xml:space="preserve"> providing doctor-led maternity care in labour and local neonatal unit.</w:t>
      </w:r>
      <w:r w:rsidR="00DF7DA1">
        <w:t xml:space="preserve"> </w:t>
      </w:r>
    </w:p>
    <w:p w14:paraId="7C81FE5C" w14:textId="77777777" w:rsidR="00CD7A05" w:rsidRPr="005E606C" w:rsidRDefault="00CD7A05" w:rsidP="00CD7A05">
      <w:pPr>
        <w:pStyle w:val="NormaBullet"/>
      </w:pPr>
      <w:r w:rsidRPr="005E606C">
        <w:t>The special care baby unit at the Princess of Wales Hospital has been awarded Stage 3 Baby Friendly accreditation from UNICEF and the World Health Organisation which recognises partnership working with parents and families to develop close relationships with their babies during their stay in the neonatal unit.</w:t>
      </w:r>
    </w:p>
    <w:p w14:paraId="2208134C" w14:textId="55263C08" w:rsidR="00CD7A05" w:rsidRPr="005E606C" w:rsidRDefault="00CD7A05" w:rsidP="00CD7A05">
      <w:pPr>
        <w:pStyle w:val="NormaBullet"/>
      </w:pPr>
      <w:r w:rsidRPr="005E606C">
        <w:t xml:space="preserve">The new state-of the-art Macmillan Unit on the </w:t>
      </w:r>
      <w:r w:rsidR="0068088F">
        <w:t>RGH</w:t>
      </w:r>
      <w:r w:rsidRPr="005E606C">
        <w:t xml:space="preserve"> site took its first patients in September 2019 following a multi-million pound build by Macmillan Cancer Support and the Health Board, offering inpatient, outpatient and palliative day care to people i</w:t>
      </w:r>
      <w:r>
        <w:t>n the Rhondda and Taff Ely areas</w:t>
      </w:r>
      <w:r w:rsidRPr="005E606C">
        <w:t>.</w:t>
      </w:r>
    </w:p>
    <w:p w14:paraId="2AD91876" w14:textId="77777777" w:rsidR="00CD7A05" w:rsidRPr="005E606C" w:rsidRDefault="00CD7A05" w:rsidP="00CD7A05">
      <w:pPr>
        <w:pStyle w:val="NormaBullet"/>
      </w:pPr>
      <w:r w:rsidRPr="005E606C">
        <w:t>The newly refurbished state-of-the-art Paediatric Assessment Unit at Princess of Wales Hospital was officially opened</w:t>
      </w:r>
      <w:r>
        <w:t>.  Patients and families are able to benefit from improvements of the</w:t>
      </w:r>
      <w:r w:rsidRPr="005E606C">
        <w:t xml:space="preserve"> significant renovation</w:t>
      </w:r>
      <w:r>
        <w:t xml:space="preserve"> including </w:t>
      </w:r>
      <w:r w:rsidRPr="005E606C">
        <w:t>a full redesign of the wards using a Lego theme and the installation of new equipment.</w:t>
      </w:r>
    </w:p>
    <w:p w14:paraId="658C3624" w14:textId="77777777" w:rsidR="00CD7A05" w:rsidRPr="005E606C" w:rsidRDefault="00CD7A05" w:rsidP="00CD7A05">
      <w:pPr>
        <w:pStyle w:val="NormaBullet"/>
      </w:pPr>
      <w:r w:rsidRPr="005E606C">
        <w:t xml:space="preserve">Endoscopy staff at Princess of Wales Hospital have had their JAG accreditation from the Royal College of Physicians renewed with no recommendations for improvement, demonstrating their commitment to delivering the best care with a highly trained, supported and motivated team. </w:t>
      </w:r>
    </w:p>
    <w:p w14:paraId="6C0A337B" w14:textId="14CACFC3" w:rsidR="001125D4" w:rsidRPr="007A2088" w:rsidRDefault="00FB600F" w:rsidP="00DA08D1">
      <w:pPr>
        <w:rPr>
          <w:szCs w:val="22"/>
        </w:rPr>
      </w:pPr>
      <w:r w:rsidRPr="007A2088">
        <w:rPr>
          <w:noProof/>
          <w:szCs w:val="22"/>
        </w:rPr>
        <w:drawing>
          <wp:anchor distT="0" distB="0" distL="114300" distR="114300" simplePos="0" relativeHeight="252745728" behindDoc="0" locked="0" layoutInCell="1" allowOverlap="1" wp14:anchorId="5AC9FE04" wp14:editId="17C15CC7">
            <wp:simplePos x="0" y="0"/>
            <wp:positionH relativeFrom="margin">
              <wp:align>right</wp:align>
            </wp:positionH>
            <wp:positionV relativeFrom="paragraph">
              <wp:posOffset>45720</wp:posOffset>
            </wp:positionV>
            <wp:extent cx="454025" cy="530860"/>
            <wp:effectExtent l="0" t="0" r="3175" b="2540"/>
            <wp:wrapNone/>
            <wp:docPr id="31" name="Picture 3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54025" cy="530860"/>
                    </a:xfrm>
                    <a:prstGeom prst="rect">
                      <a:avLst/>
                    </a:prstGeom>
                  </pic:spPr>
                </pic:pic>
              </a:graphicData>
            </a:graphic>
            <wp14:sizeRelH relativeFrom="margin">
              <wp14:pctWidth>0</wp14:pctWidth>
            </wp14:sizeRelH>
            <wp14:sizeRelV relativeFrom="margin">
              <wp14:pctHeight>0</wp14:pctHeight>
            </wp14:sizeRelV>
          </wp:anchor>
        </w:drawing>
      </w:r>
    </w:p>
    <w:p w14:paraId="23E53604" w14:textId="05101897" w:rsidR="00543467" w:rsidRPr="007A2088" w:rsidRDefault="00543467" w:rsidP="00543467">
      <w:pPr>
        <w:shd w:val="clear" w:color="auto" w:fill="92CDDC" w:themeFill="accent5" w:themeFillTint="99"/>
        <w:rPr>
          <w:rFonts w:asciiTheme="minorHAnsi" w:hAnsiTheme="minorHAnsi" w:cstheme="minorHAnsi"/>
          <w:b/>
          <w:i/>
          <w:iCs/>
          <w:szCs w:val="22"/>
        </w:rPr>
      </w:pPr>
      <w:r w:rsidRPr="007A2088">
        <w:rPr>
          <w:rFonts w:asciiTheme="minorHAnsi" w:hAnsiTheme="minorHAnsi" w:cstheme="minorHAnsi"/>
          <w:b/>
          <w:i/>
          <w:iCs/>
          <w:szCs w:val="22"/>
        </w:rPr>
        <w:t>Tertiary Services</w:t>
      </w:r>
    </w:p>
    <w:p w14:paraId="2B55EB9B" w14:textId="2228CD84" w:rsidR="00543467" w:rsidRPr="002E3731" w:rsidRDefault="00543467" w:rsidP="00543467">
      <w:pPr>
        <w:rPr>
          <w:rFonts w:asciiTheme="minorHAnsi" w:hAnsiTheme="minorHAnsi" w:cstheme="minorHAnsi"/>
          <w:iCs/>
          <w:szCs w:val="22"/>
        </w:rPr>
      </w:pPr>
    </w:p>
    <w:p w14:paraId="38675671" w14:textId="40654757" w:rsidR="00CD7A05" w:rsidRPr="002E3731" w:rsidRDefault="00CD7A05" w:rsidP="00CD7A05">
      <w:pPr>
        <w:pStyle w:val="NormalBullet"/>
      </w:pPr>
      <w:r w:rsidRPr="002E3731">
        <w:t xml:space="preserve">Represented the Health Board on the network Board for Major Trauma to take forward implementation of the Major Trauma Network for South and West Wales and South Powys.  Support obtained from </w:t>
      </w:r>
      <w:r w:rsidR="00CB1644">
        <w:t xml:space="preserve">the CHC </w:t>
      </w:r>
      <w:r w:rsidRPr="002E3731">
        <w:t xml:space="preserve">regarding implementation of Major Trauma services within </w:t>
      </w:r>
      <w:r w:rsidR="00CB1644">
        <w:t>CTMUHB</w:t>
      </w:r>
      <w:r w:rsidRPr="002E3731">
        <w:t>.</w:t>
      </w:r>
    </w:p>
    <w:p w14:paraId="6A2683CD" w14:textId="2DEA2C2B" w:rsidR="00543467" w:rsidRPr="002E3731" w:rsidRDefault="00CD7A05" w:rsidP="007111FC">
      <w:pPr>
        <w:pStyle w:val="NormalBullet"/>
      </w:pPr>
      <w:r w:rsidRPr="002E3731">
        <w:t>The Health Board agreed the proposal put forward by WHSSC for the development of a single site model for the delivery of thoracic (chest and lung) surgery based at Morriston Hospital, Swansea.</w:t>
      </w:r>
    </w:p>
    <w:p w14:paraId="6B110AEB" w14:textId="77777777" w:rsidR="007D2EAD" w:rsidRPr="007A2088" w:rsidRDefault="007D2EAD" w:rsidP="007D2EAD">
      <w:pPr>
        <w:rPr>
          <w:rFonts w:asciiTheme="minorHAnsi" w:hAnsiTheme="minorHAnsi" w:cstheme="minorHAnsi"/>
          <w:szCs w:val="22"/>
        </w:rPr>
      </w:pPr>
    </w:p>
    <w:p w14:paraId="4D42CA78" w14:textId="6674CED1" w:rsidR="007D2EAD" w:rsidRPr="007A2088" w:rsidRDefault="007D2EAD" w:rsidP="007D2EAD">
      <w:pPr>
        <w:shd w:val="clear" w:color="auto" w:fill="BFBFBF" w:themeFill="background1" w:themeFillShade="BF"/>
        <w:rPr>
          <w:rFonts w:asciiTheme="minorHAnsi" w:hAnsiTheme="minorHAnsi" w:cstheme="minorHAnsi"/>
          <w:b/>
          <w:i/>
          <w:iCs/>
          <w:szCs w:val="22"/>
        </w:rPr>
      </w:pPr>
      <w:r w:rsidRPr="007A2088">
        <w:rPr>
          <w:rFonts w:asciiTheme="minorHAnsi" w:hAnsiTheme="minorHAnsi" w:cstheme="minorHAnsi"/>
          <w:b/>
          <w:i/>
          <w:iCs/>
          <w:szCs w:val="22"/>
        </w:rPr>
        <w:t>Overarching Enablers</w:t>
      </w:r>
    </w:p>
    <w:p w14:paraId="35B511A6" w14:textId="77777777" w:rsidR="007D2EAD" w:rsidRPr="007A2088" w:rsidRDefault="007D2EAD" w:rsidP="007D2EAD">
      <w:pPr>
        <w:pStyle w:val="NormaBullet"/>
        <w:numPr>
          <w:ilvl w:val="0"/>
          <w:numId w:val="0"/>
        </w:numPr>
        <w:ind w:left="360"/>
        <w:rPr>
          <w:szCs w:val="22"/>
        </w:rPr>
      </w:pPr>
    </w:p>
    <w:p w14:paraId="14C3DA38" w14:textId="77777777" w:rsidR="00CD7A05" w:rsidRPr="00417601" w:rsidRDefault="00CD7A05" w:rsidP="00CD7A05">
      <w:pPr>
        <w:pStyle w:val="NormaBullet"/>
      </w:pPr>
      <w:r w:rsidRPr="00417601">
        <w:t xml:space="preserve">Our award-winning national recruitment campaign #joincwmtaf </w:t>
      </w:r>
      <w:r>
        <w:t xml:space="preserve">has increased </w:t>
      </w:r>
      <w:r w:rsidRPr="00417601">
        <w:t xml:space="preserve">applications for </w:t>
      </w:r>
      <w:r>
        <w:t xml:space="preserve">our </w:t>
      </w:r>
      <w:r w:rsidRPr="00417601">
        <w:t>nursing, medical and allied health professional adverts.  We are making progress despite the demographic profiles of our nursing population and the voluntary movement of war</w:t>
      </w:r>
      <w:r>
        <w:t>d based nurses into other roles.</w:t>
      </w:r>
    </w:p>
    <w:p w14:paraId="38975F79" w14:textId="0EF68045" w:rsidR="00CD7A05" w:rsidRDefault="00CD7A05" w:rsidP="00CD7A05">
      <w:pPr>
        <w:pStyle w:val="NormaBullet"/>
      </w:pPr>
      <w:r>
        <w:t xml:space="preserve">Ongoing implementation of the Graduate Growth programme which is designed to grow the next generation of management leaders within </w:t>
      </w:r>
      <w:r w:rsidR="00910F6D">
        <w:t xml:space="preserve">the </w:t>
      </w:r>
      <w:r>
        <w:t>Health Board.</w:t>
      </w:r>
    </w:p>
    <w:p w14:paraId="22368996" w14:textId="77777777" w:rsidR="00CD7A05" w:rsidRPr="005E606C" w:rsidRDefault="00CD7A05" w:rsidP="00CD7A05">
      <w:pPr>
        <w:pStyle w:val="NormaBullet"/>
      </w:pPr>
      <w:r w:rsidRPr="005E606C">
        <w:t>Implementation of a staff engagement programme called ‘Let’s Talk Culture</w:t>
      </w:r>
      <w:r>
        <w:t>’</w:t>
      </w:r>
      <w:r w:rsidRPr="005E606C">
        <w:t>, ideas from which will be used to create the values and behaviours which will help shape the new organisation.</w:t>
      </w:r>
    </w:p>
    <w:p w14:paraId="21491729" w14:textId="382ED2C7" w:rsidR="00CD7A05" w:rsidRPr="002E3731" w:rsidRDefault="00CD7A05" w:rsidP="00CD7A05">
      <w:pPr>
        <w:pStyle w:val="NormaBullet"/>
      </w:pPr>
      <w:r w:rsidRPr="005E606C">
        <w:t xml:space="preserve">Following funding from </w:t>
      </w:r>
      <w:r w:rsidR="00897141">
        <w:t>WG</w:t>
      </w:r>
      <w:r w:rsidRPr="005E606C">
        <w:t xml:space="preserve">, work has commenced on </w:t>
      </w:r>
      <w:r w:rsidRPr="002E3731">
        <w:t xml:space="preserve">the </w:t>
      </w:r>
      <w:r w:rsidR="00897141">
        <w:t>PCH</w:t>
      </w:r>
      <w:r w:rsidRPr="002E3731">
        <w:t xml:space="preserve"> ground and first floor phase 1b works which will tackle areas associated with the fire enforcement notice and provide a new restaurant, Barista Café, kitchens and new Pharmacy department.</w:t>
      </w:r>
    </w:p>
    <w:p w14:paraId="3D91BD88" w14:textId="47ED7224" w:rsidR="0020655A" w:rsidRDefault="00CD7A05" w:rsidP="00EA0C2A">
      <w:pPr>
        <w:pStyle w:val="NormaBullet"/>
        <w:jc w:val="left"/>
      </w:pPr>
      <w:r w:rsidRPr="002E3731">
        <w:t xml:space="preserve">Examples of quality improvement initiatives undertaken over the last year can be found within the Health Board’s Annual Quality Statement and the </w:t>
      </w:r>
      <w:r w:rsidR="00661E57">
        <w:t>Quality and Safety</w:t>
      </w:r>
      <w:r w:rsidRPr="002E3731">
        <w:t xml:space="preserve"> Committee papers.</w:t>
      </w:r>
      <w:r w:rsidR="0020655A">
        <w:br w:type="page"/>
      </w:r>
    </w:p>
    <w:p w14:paraId="70BBC1E0" w14:textId="45A25526" w:rsidR="0031158E" w:rsidRPr="007A2088" w:rsidRDefault="001753D3" w:rsidP="009432C3">
      <w:pPr>
        <w:pStyle w:val="Heading1"/>
        <w:ind w:left="1077" w:hanging="1077"/>
        <w:rPr>
          <w:szCs w:val="26"/>
        </w:rPr>
      </w:pPr>
      <w:bookmarkStart w:id="42" w:name="_Toc532299673"/>
      <w:bookmarkStart w:id="43" w:name="_Toc532463958"/>
      <w:bookmarkStart w:id="44" w:name="_Toc536195551"/>
      <w:bookmarkStart w:id="45" w:name="_Toc29573936"/>
      <w:bookmarkStart w:id="46" w:name="_Toc441757240"/>
      <w:bookmarkStart w:id="47" w:name="_Toc447195645"/>
      <w:bookmarkStart w:id="48" w:name="_Toc471829991"/>
      <w:bookmarkStart w:id="49" w:name="_Toc473290308"/>
      <w:bookmarkStart w:id="50" w:name="_Toc478738528"/>
      <w:bookmarkEnd w:id="37"/>
      <w:bookmarkEnd w:id="38"/>
      <w:bookmarkEnd w:id="39"/>
      <w:bookmarkEnd w:id="40"/>
      <w:bookmarkEnd w:id="41"/>
      <w:r>
        <w:rPr>
          <w:szCs w:val="26"/>
        </w:rPr>
        <w:lastRenderedPageBreak/>
        <w:t>2020-23</w:t>
      </w:r>
      <w:r w:rsidR="0014493C" w:rsidRPr="007A2088">
        <w:rPr>
          <w:szCs w:val="26"/>
        </w:rPr>
        <w:t xml:space="preserve"> </w:t>
      </w:r>
      <w:r w:rsidR="00510B93" w:rsidRPr="007A2088">
        <w:rPr>
          <w:szCs w:val="26"/>
        </w:rPr>
        <w:t>DRIVERS FOR CHANGE</w:t>
      </w:r>
      <w:bookmarkEnd w:id="42"/>
      <w:bookmarkEnd w:id="43"/>
      <w:bookmarkEnd w:id="44"/>
      <w:bookmarkEnd w:id="45"/>
    </w:p>
    <w:p w14:paraId="17FA71A1" w14:textId="5F96A0C3" w:rsidR="00E86BA1" w:rsidRPr="001753D3" w:rsidRDefault="00AB7439" w:rsidP="001D6EF0">
      <w:pPr>
        <w:pStyle w:val="ListParagraph"/>
        <w:ind w:left="0"/>
        <w:rPr>
          <w:i/>
          <w:szCs w:val="22"/>
        </w:rPr>
      </w:pPr>
      <w:r w:rsidRPr="001753D3">
        <w:rPr>
          <w:i/>
          <w:szCs w:val="22"/>
        </w:rPr>
        <w:t>Having considered the progress made against the 201</w:t>
      </w:r>
      <w:r w:rsidR="001753D3" w:rsidRPr="001753D3">
        <w:rPr>
          <w:i/>
          <w:szCs w:val="22"/>
        </w:rPr>
        <w:t>9</w:t>
      </w:r>
      <w:r w:rsidRPr="001753D3">
        <w:rPr>
          <w:i/>
          <w:szCs w:val="22"/>
        </w:rPr>
        <w:t>-202</w:t>
      </w:r>
      <w:r w:rsidR="001753D3" w:rsidRPr="001753D3">
        <w:rPr>
          <w:i/>
          <w:szCs w:val="22"/>
        </w:rPr>
        <w:t>2</w:t>
      </w:r>
      <w:r w:rsidRPr="001753D3">
        <w:rPr>
          <w:i/>
          <w:szCs w:val="22"/>
        </w:rPr>
        <w:t xml:space="preserve"> Plan, t</w:t>
      </w:r>
      <w:r w:rsidR="001D6EF0" w:rsidRPr="001753D3">
        <w:rPr>
          <w:i/>
          <w:szCs w:val="22"/>
        </w:rPr>
        <w:t xml:space="preserve">his chapter offers an overview of the </w:t>
      </w:r>
      <w:r w:rsidRPr="001753D3">
        <w:rPr>
          <w:i/>
          <w:szCs w:val="22"/>
        </w:rPr>
        <w:t xml:space="preserve">new and ongoing </w:t>
      </w:r>
      <w:r w:rsidR="001D6EF0" w:rsidRPr="001753D3">
        <w:rPr>
          <w:i/>
          <w:szCs w:val="22"/>
        </w:rPr>
        <w:t xml:space="preserve">challenges which the Health Board must look to address through delivery of this </w:t>
      </w:r>
      <w:r w:rsidRPr="001753D3">
        <w:rPr>
          <w:i/>
          <w:szCs w:val="22"/>
        </w:rPr>
        <w:t xml:space="preserve">updated </w:t>
      </w:r>
      <w:r w:rsidR="001D6EF0" w:rsidRPr="001753D3">
        <w:rPr>
          <w:i/>
          <w:szCs w:val="22"/>
        </w:rPr>
        <w:t>Plan.</w:t>
      </w:r>
    </w:p>
    <w:p w14:paraId="0DF91183" w14:textId="30A23620" w:rsidR="009A6A77" w:rsidRPr="007A2088" w:rsidRDefault="00BE1CD7" w:rsidP="009A6A77">
      <w:pPr>
        <w:pStyle w:val="Heading2"/>
        <w:ind w:left="709" w:hanging="709"/>
        <w:rPr>
          <w:szCs w:val="22"/>
        </w:rPr>
      </w:pPr>
      <w:bookmarkStart w:id="51" w:name="_Toc536195552"/>
      <w:bookmarkStart w:id="52" w:name="_Toc29573937"/>
      <w:r w:rsidRPr="007A2088">
        <w:rPr>
          <w:rFonts w:asciiTheme="minorHAnsi" w:hAnsiTheme="minorHAnsi"/>
          <w:b w:val="0"/>
          <w:noProof/>
          <w:szCs w:val="22"/>
          <w:lang w:eastAsia="en-GB"/>
        </w:rPr>
        <w:drawing>
          <wp:anchor distT="0" distB="0" distL="114300" distR="114300" simplePos="0" relativeHeight="252749824" behindDoc="0" locked="0" layoutInCell="1" allowOverlap="1" wp14:anchorId="4D34A91F" wp14:editId="181225C4">
            <wp:simplePos x="0" y="0"/>
            <wp:positionH relativeFrom="margin">
              <wp:align>right</wp:align>
            </wp:positionH>
            <wp:positionV relativeFrom="paragraph">
              <wp:posOffset>58420</wp:posOffset>
            </wp:positionV>
            <wp:extent cx="2931795" cy="1870710"/>
            <wp:effectExtent l="0" t="0" r="1905" b="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31795" cy="1870710"/>
                    </a:xfrm>
                    <a:prstGeom prst="rect">
                      <a:avLst/>
                    </a:prstGeom>
                    <a:noFill/>
                  </pic:spPr>
                </pic:pic>
              </a:graphicData>
            </a:graphic>
            <wp14:sizeRelH relativeFrom="margin">
              <wp14:pctWidth>0</wp14:pctWidth>
            </wp14:sizeRelH>
            <wp14:sizeRelV relativeFrom="margin">
              <wp14:pctHeight>0</wp14:pctHeight>
            </wp14:sizeRelV>
          </wp:anchor>
        </w:drawing>
      </w:r>
      <w:r w:rsidR="00261D02" w:rsidRPr="007A2088">
        <w:rPr>
          <w:szCs w:val="22"/>
        </w:rPr>
        <w:t>Key Population Health Challenges</w:t>
      </w:r>
      <w:bookmarkEnd w:id="51"/>
      <w:bookmarkEnd w:id="52"/>
    </w:p>
    <w:p w14:paraId="5ECFA5E3" w14:textId="1E9F4951" w:rsidR="00261D02" w:rsidRPr="007F05EA" w:rsidRDefault="00261D02" w:rsidP="00261D02">
      <w:pPr>
        <w:pStyle w:val="Heading3"/>
        <w:ind w:left="709" w:hanging="709"/>
        <w:rPr>
          <w:szCs w:val="22"/>
        </w:rPr>
      </w:pPr>
      <w:r w:rsidRPr="007F05EA">
        <w:rPr>
          <w:szCs w:val="22"/>
        </w:rPr>
        <w:t>Our Population</w:t>
      </w:r>
    </w:p>
    <w:p w14:paraId="4734B459" w14:textId="73FB1D0D" w:rsidR="009A6A77" w:rsidRPr="001753D3" w:rsidRDefault="009A6A77" w:rsidP="00261D02">
      <w:pPr>
        <w:rPr>
          <w:rFonts w:asciiTheme="minorHAnsi" w:hAnsiTheme="minorHAnsi"/>
          <w:szCs w:val="22"/>
        </w:rPr>
      </w:pPr>
    </w:p>
    <w:p w14:paraId="5F1BD72B" w14:textId="79552D04" w:rsidR="00261D02" w:rsidRPr="001753D3" w:rsidRDefault="001753D3" w:rsidP="00261D02">
      <w:pPr>
        <w:rPr>
          <w:rFonts w:asciiTheme="minorHAnsi" w:hAnsiTheme="minorHAnsi"/>
          <w:b/>
          <w:szCs w:val="22"/>
        </w:rPr>
      </w:pPr>
      <w:r w:rsidRPr="001753D3">
        <w:rPr>
          <w:rFonts w:asciiTheme="minorHAnsi" w:hAnsiTheme="minorHAnsi"/>
          <w:szCs w:val="22"/>
        </w:rPr>
        <w:t xml:space="preserve">The </w:t>
      </w:r>
      <w:r w:rsidR="002A3312">
        <w:rPr>
          <w:rFonts w:asciiTheme="minorHAnsi" w:hAnsiTheme="minorHAnsi"/>
          <w:szCs w:val="22"/>
        </w:rPr>
        <w:t>CTM</w:t>
      </w:r>
      <w:r w:rsidRPr="001753D3">
        <w:rPr>
          <w:rFonts w:asciiTheme="minorHAnsi" w:hAnsiTheme="minorHAnsi"/>
          <w:szCs w:val="22"/>
        </w:rPr>
        <w:t xml:space="preserve"> </w:t>
      </w:r>
      <w:r w:rsidR="00261D02" w:rsidRPr="001753D3">
        <w:rPr>
          <w:rFonts w:asciiTheme="minorHAnsi" w:hAnsiTheme="minorHAnsi"/>
          <w:szCs w:val="22"/>
        </w:rPr>
        <w:t xml:space="preserve">population served by the Health Board </w:t>
      </w:r>
      <w:r w:rsidRPr="001753D3">
        <w:rPr>
          <w:rFonts w:asciiTheme="minorHAnsi" w:hAnsiTheme="minorHAnsi"/>
          <w:szCs w:val="22"/>
        </w:rPr>
        <w:t xml:space="preserve">is </w:t>
      </w:r>
      <w:r w:rsidR="00261D02" w:rsidRPr="001753D3">
        <w:rPr>
          <w:rFonts w:asciiTheme="minorHAnsi" w:hAnsiTheme="minorHAnsi"/>
          <w:b/>
          <w:szCs w:val="22"/>
        </w:rPr>
        <w:t>441,293</w:t>
      </w:r>
      <w:r w:rsidR="00261D02" w:rsidRPr="001753D3">
        <w:rPr>
          <w:rFonts w:asciiTheme="minorHAnsi" w:hAnsiTheme="minorHAnsi"/>
          <w:szCs w:val="22"/>
        </w:rPr>
        <w:t xml:space="preserve"> (Stats Wales 2016).  </w:t>
      </w:r>
    </w:p>
    <w:p w14:paraId="4A1A876E" w14:textId="7714E8BB" w:rsidR="00261D02" w:rsidRPr="001753D3" w:rsidRDefault="00261D02" w:rsidP="009A6A77">
      <w:pPr>
        <w:rPr>
          <w:rFonts w:asciiTheme="minorHAnsi" w:hAnsiTheme="minorHAnsi"/>
          <w:szCs w:val="22"/>
        </w:rPr>
      </w:pPr>
    </w:p>
    <w:p w14:paraId="0B321C35" w14:textId="40EFFEE8" w:rsidR="006C4862" w:rsidRDefault="006C4862" w:rsidP="009A6A77">
      <w:pPr>
        <w:rPr>
          <w:rFonts w:asciiTheme="minorHAnsi" w:hAnsiTheme="minorHAnsi"/>
          <w:b/>
          <w:szCs w:val="22"/>
        </w:rPr>
      </w:pPr>
    </w:p>
    <w:p w14:paraId="67E26491" w14:textId="4DD2B0EA" w:rsidR="006C4862" w:rsidRDefault="006C4862" w:rsidP="009A6A77">
      <w:pPr>
        <w:rPr>
          <w:rFonts w:asciiTheme="minorHAnsi" w:hAnsiTheme="minorHAnsi"/>
          <w:b/>
          <w:szCs w:val="22"/>
        </w:rPr>
      </w:pPr>
    </w:p>
    <w:p w14:paraId="684DE778" w14:textId="185EA045" w:rsidR="009A6A77" w:rsidRPr="009B5C69" w:rsidRDefault="00261D02" w:rsidP="009A6A77">
      <w:pPr>
        <w:rPr>
          <w:rFonts w:asciiTheme="minorHAnsi" w:hAnsiTheme="minorHAnsi"/>
          <w:i/>
          <w:sz w:val="16"/>
          <w:szCs w:val="16"/>
        </w:rPr>
      </w:pPr>
      <w:r w:rsidRPr="007A2088">
        <w:rPr>
          <w:rFonts w:asciiTheme="minorHAnsi" w:hAnsiTheme="minorHAnsi"/>
          <w:b/>
          <w:szCs w:val="22"/>
        </w:rPr>
        <w:t>Years of Life and Years of Health</w:t>
      </w:r>
      <w:r w:rsidR="009A6A77">
        <w:rPr>
          <w:rFonts w:asciiTheme="minorHAnsi" w:hAnsiTheme="minorHAnsi"/>
          <w:b/>
        </w:rPr>
        <w:t xml:space="preserve"> -</w:t>
      </w:r>
      <w:r w:rsidR="009A6A77" w:rsidRPr="009A6A77">
        <w:rPr>
          <w:rFonts w:asciiTheme="minorHAnsi" w:hAnsiTheme="minorHAnsi"/>
          <w:i/>
          <w:sz w:val="16"/>
          <w:szCs w:val="16"/>
        </w:rPr>
        <w:t xml:space="preserve"> </w:t>
      </w:r>
      <w:r w:rsidR="009A6A77" w:rsidRPr="009B5C69">
        <w:rPr>
          <w:rFonts w:asciiTheme="minorHAnsi" w:hAnsiTheme="minorHAnsi"/>
          <w:i/>
          <w:sz w:val="16"/>
          <w:szCs w:val="16"/>
        </w:rPr>
        <w:t>Source: Public Health Wales Observatory</w:t>
      </w:r>
    </w:p>
    <w:p w14:paraId="4B441D6A" w14:textId="26D9CCC3" w:rsidR="00261D02" w:rsidRPr="001753D3" w:rsidRDefault="008E3CA4" w:rsidP="00261D02">
      <w:pPr>
        <w:rPr>
          <w:rFonts w:asciiTheme="minorHAnsi" w:hAnsiTheme="minorHAnsi"/>
          <w:szCs w:val="22"/>
        </w:rPr>
      </w:pPr>
      <w:r>
        <w:rPr>
          <w:rFonts w:asciiTheme="minorHAnsi" w:hAnsiTheme="minorHAnsi"/>
          <w:noProof/>
        </w:rPr>
        <w:drawing>
          <wp:anchor distT="0" distB="0" distL="114300" distR="114300" simplePos="0" relativeHeight="252778496" behindDoc="0" locked="0" layoutInCell="1" allowOverlap="1" wp14:anchorId="7EB8C811" wp14:editId="3ED1AA30">
            <wp:simplePos x="0" y="0"/>
            <wp:positionH relativeFrom="margin">
              <wp:align>right</wp:align>
            </wp:positionH>
            <wp:positionV relativeFrom="page">
              <wp:posOffset>3371215</wp:posOffset>
            </wp:positionV>
            <wp:extent cx="4088765" cy="1806575"/>
            <wp:effectExtent l="0" t="0" r="6985" b="3175"/>
            <wp:wrapSquare wrapText="bothSides"/>
            <wp:docPr id="1792" name="Picture 1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088765" cy="1806575"/>
                    </a:xfrm>
                    <a:prstGeom prst="rect">
                      <a:avLst/>
                    </a:prstGeom>
                    <a:noFill/>
                  </pic:spPr>
                </pic:pic>
              </a:graphicData>
            </a:graphic>
            <wp14:sizeRelH relativeFrom="margin">
              <wp14:pctWidth>0</wp14:pctWidth>
            </wp14:sizeRelH>
            <wp14:sizeRelV relativeFrom="margin">
              <wp14:pctHeight>0</wp14:pctHeight>
            </wp14:sizeRelV>
          </wp:anchor>
        </w:drawing>
      </w:r>
      <w:r w:rsidR="00261D02" w:rsidRPr="001753D3">
        <w:rPr>
          <w:rFonts w:asciiTheme="minorHAnsi" w:hAnsiTheme="minorHAnsi"/>
          <w:szCs w:val="22"/>
        </w:rPr>
        <w:t xml:space="preserve">Life expectancy </w:t>
      </w:r>
      <w:r w:rsidR="00261D02" w:rsidRPr="00CD7A05">
        <w:rPr>
          <w:rFonts w:asciiTheme="minorHAnsi" w:hAnsiTheme="minorHAnsi"/>
          <w:szCs w:val="22"/>
        </w:rPr>
        <w:t xml:space="preserve">and healthy life expectancy in each of our Local Authority areas is lower than the Wales average, with the Bridgend </w:t>
      </w:r>
      <w:r w:rsidR="004112CC" w:rsidRPr="00CD7A05">
        <w:rPr>
          <w:rFonts w:asciiTheme="minorHAnsi" w:hAnsiTheme="minorHAnsi"/>
          <w:szCs w:val="22"/>
        </w:rPr>
        <w:t xml:space="preserve">County Borough </w:t>
      </w:r>
      <w:r w:rsidR="00261D02" w:rsidRPr="00CD7A05">
        <w:rPr>
          <w:rFonts w:asciiTheme="minorHAnsi" w:hAnsiTheme="minorHAnsi"/>
          <w:szCs w:val="22"/>
        </w:rPr>
        <w:t xml:space="preserve">population slightly higher than Rhondda Cynon Taf </w:t>
      </w:r>
      <w:r w:rsidR="004112CC" w:rsidRPr="00CD7A05">
        <w:rPr>
          <w:rFonts w:asciiTheme="minorHAnsi" w:hAnsiTheme="minorHAnsi"/>
          <w:szCs w:val="22"/>
        </w:rPr>
        <w:t xml:space="preserve">County Borough </w:t>
      </w:r>
      <w:r w:rsidR="00261D02" w:rsidRPr="00CD7A05">
        <w:rPr>
          <w:rFonts w:asciiTheme="minorHAnsi" w:hAnsiTheme="minorHAnsi"/>
          <w:szCs w:val="22"/>
        </w:rPr>
        <w:t>and Merthyr Tydf</w:t>
      </w:r>
      <w:r w:rsidR="009A6A77" w:rsidRPr="00CD7A05">
        <w:rPr>
          <w:rFonts w:asciiTheme="minorHAnsi" w:hAnsiTheme="minorHAnsi"/>
          <w:szCs w:val="22"/>
        </w:rPr>
        <w:t xml:space="preserve">il </w:t>
      </w:r>
      <w:r w:rsidR="004112CC" w:rsidRPr="00CD7A05">
        <w:rPr>
          <w:rFonts w:asciiTheme="minorHAnsi" w:hAnsiTheme="minorHAnsi"/>
          <w:szCs w:val="22"/>
        </w:rPr>
        <w:t xml:space="preserve">County Borough </w:t>
      </w:r>
      <w:r w:rsidR="009A6A77" w:rsidRPr="00CD7A05">
        <w:rPr>
          <w:rFonts w:asciiTheme="minorHAnsi" w:hAnsiTheme="minorHAnsi"/>
          <w:szCs w:val="22"/>
        </w:rPr>
        <w:t>for both males and females.</w:t>
      </w:r>
    </w:p>
    <w:p w14:paraId="74243786" w14:textId="108BFAC3" w:rsidR="006C4862" w:rsidRDefault="006C4862" w:rsidP="009A6A77">
      <w:pPr>
        <w:rPr>
          <w:rFonts w:asciiTheme="minorHAnsi" w:hAnsiTheme="minorHAnsi"/>
          <w:b/>
          <w:szCs w:val="22"/>
        </w:rPr>
      </w:pPr>
    </w:p>
    <w:p w14:paraId="52EA34E6" w14:textId="77777777" w:rsidR="008E3CA4" w:rsidRDefault="008E3CA4" w:rsidP="009A6A77">
      <w:pPr>
        <w:rPr>
          <w:rFonts w:asciiTheme="minorHAnsi" w:hAnsiTheme="minorHAnsi"/>
          <w:b/>
          <w:szCs w:val="22"/>
        </w:rPr>
      </w:pPr>
    </w:p>
    <w:p w14:paraId="7DFC4679" w14:textId="77777777" w:rsidR="008E3CA4" w:rsidRDefault="008E3CA4" w:rsidP="009A6A77">
      <w:pPr>
        <w:rPr>
          <w:rFonts w:asciiTheme="minorHAnsi" w:hAnsiTheme="minorHAnsi"/>
          <w:b/>
          <w:szCs w:val="22"/>
        </w:rPr>
      </w:pPr>
    </w:p>
    <w:p w14:paraId="36DD5CF9" w14:textId="26E80B26" w:rsidR="009A6A77" w:rsidRPr="009B5C69" w:rsidRDefault="009A6A77" w:rsidP="009A6A77">
      <w:pPr>
        <w:rPr>
          <w:rFonts w:asciiTheme="minorHAnsi" w:hAnsiTheme="minorHAnsi"/>
          <w:i/>
          <w:sz w:val="16"/>
          <w:szCs w:val="16"/>
        </w:rPr>
      </w:pPr>
      <w:r w:rsidRPr="007A2088">
        <w:rPr>
          <w:rFonts w:asciiTheme="minorHAnsi" w:hAnsiTheme="minorHAnsi"/>
          <w:b/>
          <w:szCs w:val="22"/>
        </w:rPr>
        <w:t>A Fair Chance for H</w:t>
      </w:r>
      <w:r w:rsidR="00261D02" w:rsidRPr="007A2088">
        <w:rPr>
          <w:rFonts w:asciiTheme="minorHAnsi" w:hAnsiTheme="minorHAnsi"/>
          <w:b/>
          <w:szCs w:val="22"/>
        </w:rPr>
        <w:t>ealth</w:t>
      </w:r>
      <w:r w:rsidRPr="007A2088">
        <w:rPr>
          <w:rFonts w:asciiTheme="minorHAnsi" w:hAnsiTheme="minorHAnsi"/>
          <w:b/>
          <w:szCs w:val="22"/>
        </w:rPr>
        <w:t xml:space="preserve"> -</w:t>
      </w:r>
      <w:r>
        <w:rPr>
          <w:rFonts w:asciiTheme="minorHAnsi" w:hAnsiTheme="minorHAnsi"/>
          <w:b/>
        </w:rPr>
        <w:t xml:space="preserve"> </w:t>
      </w:r>
      <w:r w:rsidRPr="009B5C69">
        <w:rPr>
          <w:rFonts w:asciiTheme="minorHAnsi" w:hAnsiTheme="minorHAnsi"/>
          <w:i/>
          <w:sz w:val="16"/>
          <w:szCs w:val="16"/>
        </w:rPr>
        <w:t>Source: Public Health Wales Observatory</w:t>
      </w:r>
    </w:p>
    <w:p w14:paraId="3ED58554" w14:textId="651FB8EB" w:rsidR="00261D02" w:rsidRPr="001753D3" w:rsidRDefault="008E3CA4" w:rsidP="00261D02">
      <w:pPr>
        <w:rPr>
          <w:rFonts w:asciiTheme="minorHAnsi" w:hAnsiTheme="minorHAnsi"/>
          <w:szCs w:val="22"/>
        </w:rPr>
      </w:pPr>
      <w:r>
        <w:rPr>
          <w:rFonts w:asciiTheme="minorHAnsi" w:hAnsiTheme="minorHAnsi"/>
          <w:b/>
          <w:noProof/>
        </w:rPr>
        <w:drawing>
          <wp:anchor distT="0" distB="0" distL="114300" distR="114300" simplePos="0" relativeHeight="252779520" behindDoc="1" locked="0" layoutInCell="1" allowOverlap="1" wp14:anchorId="7FBD7EA6" wp14:editId="0D715FC2">
            <wp:simplePos x="0" y="0"/>
            <wp:positionH relativeFrom="margin">
              <wp:align>right</wp:align>
            </wp:positionH>
            <wp:positionV relativeFrom="page">
              <wp:posOffset>5359400</wp:posOffset>
            </wp:positionV>
            <wp:extent cx="4165600" cy="1849755"/>
            <wp:effectExtent l="0" t="0" r="6350" b="0"/>
            <wp:wrapTight wrapText="bothSides">
              <wp:wrapPolygon edited="0">
                <wp:start x="0" y="0"/>
                <wp:lineTo x="0" y="21355"/>
                <wp:lineTo x="21534" y="21355"/>
                <wp:lineTo x="21534" y="0"/>
                <wp:lineTo x="0" y="0"/>
              </wp:wrapPolygon>
            </wp:wrapTight>
            <wp:docPr id="1793" name="Picture 1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165600" cy="1849755"/>
                    </a:xfrm>
                    <a:prstGeom prst="rect">
                      <a:avLst/>
                    </a:prstGeom>
                    <a:noFill/>
                  </pic:spPr>
                </pic:pic>
              </a:graphicData>
            </a:graphic>
            <wp14:sizeRelH relativeFrom="margin">
              <wp14:pctWidth>0</wp14:pctWidth>
            </wp14:sizeRelH>
            <wp14:sizeRelV relativeFrom="margin">
              <wp14:pctHeight>0</wp14:pctHeight>
            </wp14:sizeRelV>
          </wp:anchor>
        </w:drawing>
      </w:r>
      <w:r w:rsidR="00261D02" w:rsidRPr="001753D3">
        <w:rPr>
          <w:rFonts w:asciiTheme="minorHAnsi" w:hAnsiTheme="minorHAnsi"/>
          <w:szCs w:val="22"/>
        </w:rPr>
        <w:t>The gap in life expectancy and healthy life expectancy in all our Local Authority areas is lower than Wales and there are great inequalities in outcomes for the poorest compared to the most affluent.</w:t>
      </w:r>
    </w:p>
    <w:p w14:paraId="522897E0" w14:textId="77777777" w:rsidR="008E3CA4" w:rsidRDefault="008E3CA4" w:rsidP="00261D02">
      <w:pPr>
        <w:rPr>
          <w:rFonts w:asciiTheme="minorHAnsi" w:hAnsiTheme="minorHAnsi"/>
          <w:szCs w:val="22"/>
        </w:rPr>
      </w:pPr>
    </w:p>
    <w:p w14:paraId="1029ED49" w14:textId="2AD83E15" w:rsidR="007A2088" w:rsidRPr="001753D3" w:rsidRDefault="008E3CA4" w:rsidP="00261D02">
      <w:pPr>
        <w:rPr>
          <w:rFonts w:asciiTheme="minorHAnsi" w:hAnsiTheme="minorHAnsi"/>
          <w:szCs w:val="22"/>
        </w:rPr>
      </w:pPr>
      <w:r>
        <w:rPr>
          <w:rFonts w:asciiTheme="minorHAnsi" w:hAnsiTheme="minorHAnsi"/>
          <w:b/>
          <w:noProof/>
        </w:rPr>
        <w:drawing>
          <wp:anchor distT="0" distB="0" distL="114300" distR="114300" simplePos="0" relativeHeight="252780544" behindDoc="1" locked="0" layoutInCell="1" allowOverlap="1" wp14:anchorId="4C13A600" wp14:editId="042891F0">
            <wp:simplePos x="0" y="0"/>
            <wp:positionH relativeFrom="margin">
              <wp:align>right</wp:align>
            </wp:positionH>
            <wp:positionV relativeFrom="paragraph">
              <wp:posOffset>340995</wp:posOffset>
            </wp:positionV>
            <wp:extent cx="4215765" cy="1143000"/>
            <wp:effectExtent l="0" t="0" r="0" b="0"/>
            <wp:wrapSquare wrapText="bothSides"/>
            <wp:docPr id="1794" name="Picture 1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215765" cy="1143000"/>
                    </a:xfrm>
                    <a:prstGeom prst="rect">
                      <a:avLst/>
                    </a:prstGeom>
                    <a:noFill/>
                  </pic:spPr>
                </pic:pic>
              </a:graphicData>
            </a:graphic>
            <wp14:sizeRelH relativeFrom="margin">
              <wp14:pctWidth>0</wp14:pctWidth>
            </wp14:sizeRelH>
          </wp:anchor>
        </w:drawing>
      </w:r>
    </w:p>
    <w:p w14:paraId="2A4A79B3" w14:textId="53E2475B" w:rsidR="009A6A77" w:rsidRPr="009B5C69" w:rsidRDefault="00261D02" w:rsidP="00980370">
      <w:pPr>
        <w:jc w:val="left"/>
        <w:rPr>
          <w:rFonts w:asciiTheme="minorHAnsi" w:hAnsiTheme="minorHAnsi"/>
          <w:i/>
          <w:sz w:val="16"/>
          <w:szCs w:val="16"/>
        </w:rPr>
      </w:pPr>
      <w:r w:rsidRPr="009B5C69">
        <w:rPr>
          <w:rFonts w:asciiTheme="minorHAnsi" w:hAnsiTheme="minorHAnsi"/>
          <w:b/>
        </w:rPr>
        <w:t xml:space="preserve">Mental </w:t>
      </w:r>
      <w:r>
        <w:rPr>
          <w:rFonts w:asciiTheme="minorHAnsi" w:hAnsiTheme="minorHAnsi"/>
          <w:b/>
        </w:rPr>
        <w:t>W</w:t>
      </w:r>
      <w:r w:rsidRPr="009B5C69">
        <w:rPr>
          <w:rFonts w:asciiTheme="minorHAnsi" w:hAnsiTheme="minorHAnsi"/>
          <w:b/>
        </w:rPr>
        <w:t>ell-</w:t>
      </w:r>
      <w:r>
        <w:rPr>
          <w:rFonts w:asciiTheme="minorHAnsi" w:hAnsiTheme="minorHAnsi"/>
          <w:b/>
        </w:rPr>
        <w:t>B</w:t>
      </w:r>
      <w:r w:rsidRPr="009B5C69">
        <w:rPr>
          <w:rFonts w:asciiTheme="minorHAnsi" w:hAnsiTheme="minorHAnsi"/>
          <w:b/>
        </w:rPr>
        <w:t>eing</w:t>
      </w:r>
      <w:r w:rsidR="009A6A77">
        <w:rPr>
          <w:rFonts w:asciiTheme="minorHAnsi" w:hAnsiTheme="minorHAnsi"/>
          <w:b/>
        </w:rPr>
        <w:t xml:space="preserve"> - </w:t>
      </w:r>
      <w:r w:rsidR="009A6A77" w:rsidRPr="009B5C69">
        <w:rPr>
          <w:rFonts w:asciiTheme="minorHAnsi" w:hAnsiTheme="minorHAnsi"/>
          <w:i/>
          <w:sz w:val="16"/>
          <w:szCs w:val="16"/>
        </w:rPr>
        <w:t>Source: Public Health Wales Observatory</w:t>
      </w:r>
    </w:p>
    <w:p w14:paraId="4AF6645B" w14:textId="7E8E42B6" w:rsidR="00261D02" w:rsidRPr="001753D3" w:rsidRDefault="00261D02" w:rsidP="00261D02">
      <w:pPr>
        <w:rPr>
          <w:rFonts w:asciiTheme="minorHAnsi" w:hAnsiTheme="minorHAnsi"/>
          <w:szCs w:val="22"/>
        </w:rPr>
      </w:pPr>
      <w:r w:rsidRPr="001753D3">
        <w:rPr>
          <w:rFonts w:asciiTheme="minorHAnsi" w:hAnsiTheme="minorHAnsi"/>
          <w:szCs w:val="22"/>
        </w:rPr>
        <w:t xml:space="preserve">Mental </w:t>
      </w:r>
      <w:r w:rsidRPr="00CD7A05">
        <w:rPr>
          <w:rFonts w:asciiTheme="minorHAnsi" w:hAnsiTheme="minorHAnsi"/>
          <w:szCs w:val="22"/>
        </w:rPr>
        <w:t xml:space="preserve">well-being of adults in Bridgend </w:t>
      </w:r>
      <w:r w:rsidR="00B07CA1" w:rsidRPr="00CD7A05">
        <w:rPr>
          <w:rFonts w:asciiTheme="minorHAnsi" w:hAnsiTheme="minorHAnsi"/>
          <w:szCs w:val="22"/>
        </w:rPr>
        <w:t xml:space="preserve">County Borough </w:t>
      </w:r>
      <w:r w:rsidRPr="00CD7A05">
        <w:rPr>
          <w:rFonts w:asciiTheme="minorHAnsi" w:hAnsiTheme="minorHAnsi"/>
          <w:szCs w:val="22"/>
        </w:rPr>
        <w:t xml:space="preserve">is higher than Wales, Rhondda Cynon Taf </w:t>
      </w:r>
      <w:r w:rsidR="00B07CA1" w:rsidRPr="00CD7A05">
        <w:rPr>
          <w:rFonts w:asciiTheme="minorHAnsi" w:hAnsiTheme="minorHAnsi"/>
          <w:szCs w:val="22"/>
        </w:rPr>
        <w:t xml:space="preserve">County Borough </w:t>
      </w:r>
      <w:r w:rsidRPr="00CD7A05">
        <w:rPr>
          <w:rFonts w:asciiTheme="minorHAnsi" w:hAnsiTheme="minorHAnsi"/>
          <w:szCs w:val="22"/>
        </w:rPr>
        <w:t>and Merthyr Tydfil</w:t>
      </w:r>
      <w:r w:rsidR="00B07CA1" w:rsidRPr="00CD7A05">
        <w:rPr>
          <w:rFonts w:asciiTheme="minorHAnsi" w:hAnsiTheme="minorHAnsi"/>
          <w:szCs w:val="22"/>
        </w:rPr>
        <w:t xml:space="preserve"> County Borough</w:t>
      </w:r>
      <w:r w:rsidRPr="00CD7A05">
        <w:rPr>
          <w:rFonts w:asciiTheme="minorHAnsi" w:hAnsiTheme="minorHAnsi"/>
          <w:szCs w:val="22"/>
        </w:rPr>
        <w:t>.</w:t>
      </w:r>
    </w:p>
    <w:p w14:paraId="22C7C8DC" w14:textId="01998732" w:rsidR="00980370" w:rsidRPr="009B5C69" w:rsidRDefault="00980370" w:rsidP="00980370">
      <w:pPr>
        <w:jc w:val="center"/>
        <w:rPr>
          <w:rFonts w:asciiTheme="minorHAnsi" w:hAnsiTheme="minorHAnsi"/>
          <w:b/>
        </w:rPr>
      </w:pPr>
    </w:p>
    <w:p w14:paraId="2B41083E" w14:textId="77FA69E4" w:rsidR="00261D02" w:rsidRPr="007A2088" w:rsidRDefault="00261D02" w:rsidP="00261D02">
      <w:pPr>
        <w:rPr>
          <w:rFonts w:asciiTheme="minorHAnsi" w:hAnsiTheme="minorHAnsi"/>
          <w:b/>
          <w:szCs w:val="22"/>
        </w:rPr>
      </w:pPr>
      <w:r w:rsidRPr="007A2088">
        <w:rPr>
          <w:rFonts w:asciiTheme="minorHAnsi" w:hAnsiTheme="minorHAnsi"/>
          <w:b/>
          <w:szCs w:val="22"/>
        </w:rPr>
        <w:t>Ways of Living that Improve Health</w:t>
      </w:r>
    </w:p>
    <w:p w14:paraId="29560169" w14:textId="5CBD5B0B" w:rsidR="00261D02" w:rsidRPr="00F3367B" w:rsidRDefault="008E3CA4" w:rsidP="00261D02">
      <w:pPr>
        <w:rPr>
          <w:rFonts w:asciiTheme="minorHAnsi" w:hAnsiTheme="minorHAnsi"/>
          <w:color w:val="7030A0"/>
          <w:szCs w:val="22"/>
        </w:rPr>
      </w:pPr>
      <w:r w:rsidRPr="001753D3">
        <w:rPr>
          <w:rFonts w:asciiTheme="minorHAnsi" w:hAnsiTheme="minorHAnsi"/>
          <w:noProof/>
        </w:rPr>
        <w:drawing>
          <wp:anchor distT="0" distB="0" distL="114300" distR="114300" simplePos="0" relativeHeight="252781568" behindDoc="0" locked="0" layoutInCell="1" allowOverlap="1" wp14:anchorId="2277EE3D" wp14:editId="6C74CB79">
            <wp:simplePos x="0" y="0"/>
            <wp:positionH relativeFrom="column">
              <wp:posOffset>3223895</wp:posOffset>
            </wp:positionH>
            <wp:positionV relativeFrom="page">
              <wp:posOffset>8734425</wp:posOffset>
            </wp:positionV>
            <wp:extent cx="3050540" cy="914400"/>
            <wp:effectExtent l="0" t="0" r="0" b="0"/>
            <wp:wrapSquare wrapText="bothSides"/>
            <wp:docPr id="1795" name="Picture 1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050540" cy="914400"/>
                    </a:xfrm>
                    <a:prstGeom prst="rect">
                      <a:avLst/>
                    </a:prstGeom>
                    <a:noFill/>
                  </pic:spPr>
                </pic:pic>
              </a:graphicData>
            </a:graphic>
            <wp14:sizeRelH relativeFrom="margin">
              <wp14:pctWidth>0</wp14:pctWidth>
            </wp14:sizeRelH>
            <wp14:sizeRelV relativeFrom="margin">
              <wp14:pctHeight>0</wp14:pctHeight>
            </wp14:sizeRelV>
          </wp:anchor>
        </w:drawing>
      </w:r>
      <w:r w:rsidR="00261D02" w:rsidRPr="001753D3">
        <w:rPr>
          <w:rFonts w:asciiTheme="minorHAnsi" w:hAnsiTheme="minorHAnsi"/>
          <w:szCs w:val="22"/>
        </w:rPr>
        <w:t xml:space="preserve">Many of the factors that contribute to the inequalities in health and well-being are preventable.  Healthy lifestyles can increase the quality and quantity of life and poor lifestyles can decrease it.  In particular, five harmful behaviours contribute to the four major causes of disease that account for 64% of </w:t>
      </w:r>
      <w:r w:rsidR="00261D02" w:rsidRPr="00CD7A05">
        <w:rPr>
          <w:rFonts w:asciiTheme="minorHAnsi" w:hAnsiTheme="minorHAnsi"/>
          <w:szCs w:val="22"/>
        </w:rPr>
        <w:t>early deaths.</w:t>
      </w:r>
      <w:r w:rsidR="00F3367B" w:rsidRPr="00CD7A05">
        <w:rPr>
          <w:rFonts w:asciiTheme="minorHAnsi" w:hAnsiTheme="minorHAnsi"/>
          <w:szCs w:val="22"/>
        </w:rPr>
        <w:t xml:space="preserve">  Evidence is also increasing that the same healthy behaviours can help reduce the risk dementia.</w:t>
      </w:r>
    </w:p>
    <w:p w14:paraId="20930B1D" w14:textId="6AC7363A" w:rsidR="00261D02" w:rsidRPr="007A2088" w:rsidRDefault="00261D02" w:rsidP="00261D02">
      <w:pPr>
        <w:pStyle w:val="Heading3"/>
        <w:ind w:left="709" w:hanging="709"/>
        <w:rPr>
          <w:szCs w:val="22"/>
        </w:rPr>
      </w:pPr>
      <w:r w:rsidRPr="007A2088">
        <w:rPr>
          <w:szCs w:val="22"/>
        </w:rPr>
        <w:lastRenderedPageBreak/>
        <w:t>A View of K</w:t>
      </w:r>
      <w:r w:rsidR="00BE1CD7">
        <w:rPr>
          <w:szCs w:val="22"/>
        </w:rPr>
        <w:t>ey Population Health Challenges</w:t>
      </w:r>
    </w:p>
    <w:p w14:paraId="441E2263" w14:textId="2DF83555" w:rsidR="00261D02" w:rsidRPr="001753D3" w:rsidRDefault="00261D02" w:rsidP="00261D02">
      <w:pPr>
        <w:rPr>
          <w:szCs w:val="22"/>
        </w:rPr>
      </w:pPr>
      <w:r w:rsidRPr="001753D3">
        <w:rPr>
          <w:szCs w:val="22"/>
        </w:rPr>
        <w:t xml:space="preserve">In developing a view of the most significant challenges facing population health and wellbeing we have taken account of factors such as: magnitude of impact, numbers of people affected, short- to medium-term projected trends and availability of opportunities to redress.  The following are major health and wellbeing challenges in </w:t>
      </w:r>
      <w:r w:rsidR="00FA719A" w:rsidRPr="001753D3">
        <w:rPr>
          <w:szCs w:val="22"/>
        </w:rPr>
        <w:t>the Health Board,</w:t>
      </w:r>
      <w:r w:rsidRPr="001753D3">
        <w:rPr>
          <w:szCs w:val="22"/>
        </w:rPr>
        <w:t xml:space="preserve"> which the healthcare system could tackle both directly and in partnership:</w:t>
      </w:r>
    </w:p>
    <w:p w14:paraId="2B9A771E" w14:textId="77777777" w:rsidR="00261D02" w:rsidRPr="001753D3" w:rsidRDefault="00261D02" w:rsidP="00261D02">
      <w:pPr>
        <w:pStyle w:val="NormalBullet"/>
        <w:rPr>
          <w:rFonts w:asciiTheme="minorHAnsi" w:hAnsiTheme="minorHAnsi"/>
          <w:szCs w:val="22"/>
        </w:rPr>
      </w:pPr>
      <w:r w:rsidRPr="001753D3">
        <w:rPr>
          <w:rFonts w:asciiTheme="minorHAnsi" w:hAnsiTheme="minorHAnsi"/>
          <w:szCs w:val="22"/>
        </w:rPr>
        <w:t>Frailty – associated with an ageing population and low healthy life expectancy</w:t>
      </w:r>
    </w:p>
    <w:p w14:paraId="5FD889EC" w14:textId="77777777" w:rsidR="00261D02" w:rsidRPr="001753D3" w:rsidRDefault="00261D02" w:rsidP="00261D02">
      <w:pPr>
        <w:pStyle w:val="NormalBullet"/>
        <w:rPr>
          <w:rFonts w:asciiTheme="minorHAnsi" w:hAnsiTheme="minorHAnsi"/>
          <w:szCs w:val="22"/>
        </w:rPr>
      </w:pPr>
      <w:r w:rsidRPr="001753D3">
        <w:rPr>
          <w:rFonts w:asciiTheme="minorHAnsi" w:hAnsiTheme="minorHAnsi"/>
          <w:szCs w:val="22"/>
        </w:rPr>
        <w:t>Obesity/overweight</w:t>
      </w:r>
    </w:p>
    <w:p w14:paraId="112FFC47" w14:textId="77777777" w:rsidR="00261D02" w:rsidRPr="001753D3" w:rsidRDefault="00261D02" w:rsidP="00261D02">
      <w:pPr>
        <w:pStyle w:val="NormalBullet"/>
        <w:rPr>
          <w:rFonts w:asciiTheme="minorHAnsi" w:hAnsiTheme="minorHAnsi"/>
          <w:szCs w:val="22"/>
        </w:rPr>
      </w:pPr>
      <w:r w:rsidRPr="001753D3">
        <w:rPr>
          <w:rFonts w:asciiTheme="minorHAnsi" w:hAnsiTheme="minorHAnsi"/>
          <w:szCs w:val="22"/>
        </w:rPr>
        <w:t xml:space="preserve">Inequalities in health outcomes </w:t>
      </w:r>
    </w:p>
    <w:p w14:paraId="78EDE597" w14:textId="77777777" w:rsidR="00261D02" w:rsidRPr="001753D3" w:rsidRDefault="00261D02" w:rsidP="00261D02">
      <w:pPr>
        <w:pStyle w:val="NormalBullet"/>
        <w:rPr>
          <w:rFonts w:asciiTheme="minorHAnsi" w:hAnsiTheme="minorHAnsi"/>
          <w:szCs w:val="22"/>
        </w:rPr>
      </w:pPr>
      <w:r w:rsidRPr="001753D3">
        <w:rPr>
          <w:rFonts w:asciiTheme="minorHAnsi" w:hAnsiTheme="minorHAnsi"/>
          <w:szCs w:val="22"/>
        </w:rPr>
        <w:t>Loss of wellbeing (mental health)</w:t>
      </w:r>
    </w:p>
    <w:p w14:paraId="598DBBBA" w14:textId="77777777" w:rsidR="00261D02" w:rsidRDefault="00261D02" w:rsidP="00261D02">
      <w:pPr>
        <w:pStyle w:val="NormalBullet"/>
        <w:numPr>
          <w:ilvl w:val="0"/>
          <w:numId w:val="0"/>
        </w:numPr>
        <w:rPr>
          <w:rStyle w:val="Hyperlink"/>
          <w:rFonts w:asciiTheme="minorHAnsi" w:hAnsiTheme="minorHAnsi"/>
          <w:sz w:val="16"/>
          <w:szCs w:val="16"/>
        </w:rPr>
      </w:pPr>
      <w:r w:rsidRPr="008B6B3F">
        <w:rPr>
          <w:rFonts w:asciiTheme="minorHAnsi" w:hAnsiTheme="minorHAnsi"/>
          <w:sz w:val="16"/>
          <w:szCs w:val="16"/>
        </w:rPr>
        <w:t xml:space="preserve">Source: </w:t>
      </w:r>
      <w:hyperlink r:id="rId52" w:history="1">
        <w:r w:rsidRPr="008B6B3F">
          <w:rPr>
            <w:rStyle w:val="Hyperlink"/>
            <w:rFonts w:asciiTheme="minorHAnsi" w:hAnsiTheme="minorHAnsi"/>
            <w:sz w:val="16"/>
            <w:szCs w:val="16"/>
          </w:rPr>
          <w:t>The Fifth Wave</w:t>
        </w:r>
      </w:hyperlink>
    </w:p>
    <w:p w14:paraId="1F1BD5D4" w14:textId="3D99197E" w:rsidR="0031158E" w:rsidRDefault="00E86BA1" w:rsidP="00EE0997">
      <w:pPr>
        <w:pStyle w:val="Heading2"/>
        <w:ind w:left="709" w:hanging="709"/>
        <w:rPr>
          <w:szCs w:val="22"/>
        </w:rPr>
      </w:pPr>
      <w:bookmarkStart w:id="53" w:name="_Toc532299674"/>
      <w:bookmarkStart w:id="54" w:name="_Toc532463959"/>
      <w:bookmarkStart w:id="55" w:name="_Toc536195553"/>
      <w:bookmarkStart w:id="56" w:name="_Toc29573938"/>
      <w:r w:rsidRPr="007A2088">
        <w:rPr>
          <w:szCs w:val="22"/>
        </w:rPr>
        <w:t xml:space="preserve">Health Board Challenges and </w:t>
      </w:r>
      <w:r w:rsidR="00AB7439" w:rsidRPr="007A2088">
        <w:rPr>
          <w:szCs w:val="22"/>
        </w:rPr>
        <w:t>Legislative and Policy Drivers</w:t>
      </w:r>
      <w:bookmarkEnd w:id="53"/>
      <w:bookmarkEnd w:id="54"/>
      <w:bookmarkEnd w:id="55"/>
      <w:bookmarkEnd w:id="56"/>
    </w:p>
    <w:p w14:paraId="5FD4A35B" w14:textId="2758E41A" w:rsidR="00905C69" w:rsidRPr="00ED3450" w:rsidRDefault="00BA1241" w:rsidP="00905C69">
      <w:pPr>
        <w:autoSpaceDE w:val="0"/>
        <w:autoSpaceDN w:val="0"/>
        <w:adjustRightInd w:val="0"/>
        <w:rPr>
          <w:rFonts w:cs="Calibri"/>
          <w:szCs w:val="22"/>
        </w:rPr>
      </w:pPr>
      <w:r>
        <w:rPr>
          <w:rFonts w:cs="Calibri"/>
          <w:szCs w:val="22"/>
        </w:rPr>
        <w:t>Alongside the</w:t>
      </w:r>
      <w:r w:rsidR="00506A75">
        <w:rPr>
          <w:rFonts w:cs="Calibri"/>
          <w:szCs w:val="22"/>
        </w:rPr>
        <w:t xml:space="preserve"> </w:t>
      </w:r>
      <w:r w:rsidR="00905C69" w:rsidRPr="00ED3450">
        <w:rPr>
          <w:rFonts w:cs="Calibri"/>
          <w:szCs w:val="22"/>
        </w:rPr>
        <w:t>challenges</w:t>
      </w:r>
      <w:r>
        <w:rPr>
          <w:rFonts w:cs="Calibri"/>
          <w:szCs w:val="22"/>
        </w:rPr>
        <w:t xml:space="preserve"> faced by all public service organisations </w:t>
      </w:r>
      <w:r w:rsidR="00905C69" w:rsidRPr="00ED3450">
        <w:rPr>
          <w:rFonts w:cs="Calibri"/>
          <w:szCs w:val="22"/>
        </w:rPr>
        <w:t>in terms of improving health outcomes, system sustainability, service quality</w:t>
      </w:r>
      <w:r>
        <w:rPr>
          <w:rFonts w:cs="Calibri"/>
          <w:szCs w:val="22"/>
        </w:rPr>
        <w:t>,</w:t>
      </w:r>
      <w:r w:rsidR="00905C69" w:rsidRPr="00ED3450">
        <w:rPr>
          <w:rFonts w:cs="Calibri"/>
          <w:szCs w:val="22"/>
        </w:rPr>
        <w:t xml:space="preserve"> performance, and ensuring financial </w:t>
      </w:r>
      <w:r>
        <w:rPr>
          <w:rFonts w:cs="Calibri"/>
          <w:szCs w:val="22"/>
        </w:rPr>
        <w:t xml:space="preserve">balance and sustainability, CTMUHB </w:t>
      </w:r>
      <w:r w:rsidR="00E7709F">
        <w:rPr>
          <w:rFonts w:cs="Calibri"/>
          <w:szCs w:val="22"/>
        </w:rPr>
        <w:t>is also tackling the significant issues which have led to the organisation’s escalation status being increased to Targeted Intervention</w:t>
      </w:r>
      <w:r w:rsidR="00EC1DFD">
        <w:rPr>
          <w:rFonts w:cs="Calibri"/>
          <w:szCs w:val="22"/>
        </w:rPr>
        <w:t>.</w:t>
      </w:r>
      <w:r w:rsidR="00905C69" w:rsidRPr="00ED3450">
        <w:rPr>
          <w:rFonts w:cs="Calibri"/>
          <w:szCs w:val="22"/>
        </w:rPr>
        <w:t xml:space="preserve">  </w:t>
      </w:r>
      <w:r w:rsidR="00EC1DFD">
        <w:rPr>
          <w:rFonts w:cs="Calibri"/>
          <w:szCs w:val="22"/>
        </w:rPr>
        <w:t xml:space="preserve">The Health Board is fully committed to </w:t>
      </w:r>
      <w:r w:rsidR="00A6084C">
        <w:rPr>
          <w:rFonts w:cs="Calibri"/>
          <w:szCs w:val="22"/>
        </w:rPr>
        <w:t xml:space="preserve">addressing these challenges and does not underestimate the fundamental and comprehensive nature of change required to deliver the </w:t>
      </w:r>
      <w:r w:rsidR="00EC1DFD">
        <w:rPr>
          <w:rFonts w:cs="Calibri"/>
          <w:szCs w:val="22"/>
        </w:rPr>
        <w:t xml:space="preserve"> </w:t>
      </w:r>
      <w:r w:rsidR="00905C69" w:rsidRPr="00ED3450">
        <w:rPr>
          <w:rFonts w:asciiTheme="minorHAnsi" w:hAnsiTheme="minorHAnsi" w:cstheme="minorHAnsi"/>
          <w:szCs w:val="22"/>
          <w:lang w:eastAsia="en-US"/>
        </w:rPr>
        <w:t>improvement</w:t>
      </w:r>
      <w:r w:rsidR="00A6084C">
        <w:rPr>
          <w:rFonts w:asciiTheme="minorHAnsi" w:hAnsiTheme="minorHAnsi" w:cstheme="minorHAnsi"/>
          <w:szCs w:val="22"/>
          <w:lang w:eastAsia="en-US"/>
        </w:rPr>
        <w:t>s needed</w:t>
      </w:r>
      <w:r w:rsidR="00602C86">
        <w:rPr>
          <w:rFonts w:asciiTheme="minorHAnsi" w:hAnsiTheme="minorHAnsi" w:cstheme="minorHAnsi"/>
          <w:szCs w:val="22"/>
          <w:lang w:eastAsia="en-US"/>
        </w:rPr>
        <w:t xml:space="preserve"> </w:t>
      </w:r>
      <w:r w:rsidR="00905C69" w:rsidRPr="00ED3450">
        <w:rPr>
          <w:rFonts w:asciiTheme="minorHAnsi" w:hAnsiTheme="minorHAnsi" w:cstheme="minorHAnsi"/>
          <w:szCs w:val="22"/>
          <w:lang w:eastAsia="en-US"/>
        </w:rPr>
        <w:t>for patients, the workforce and partner agencies.</w:t>
      </w:r>
    </w:p>
    <w:p w14:paraId="222CAF8D" w14:textId="7B8BCFFE" w:rsidR="00261D02" w:rsidRPr="007A2088" w:rsidRDefault="00261D02" w:rsidP="00261D02">
      <w:pPr>
        <w:pStyle w:val="Heading3"/>
        <w:ind w:left="709" w:hanging="709"/>
        <w:rPr>
          <w:szCs w:val="22"/>
        </w:rPr>
      </w:pPr>
      <w:bookmarkStart w:id="57" w:name="_Toc492424968"/>
      <w:bookmarkStart w:id="58" w:name="_Toc500332736"/>
      <w:r w:rsidRPr="007A2088">
        <w:rPr>
          <w:szCs w:val="22"/>
        </w:rPr>
        <w:t>Quality</w:t>
      </w:r>
      <w:r w:rsidR="00905C69">
        <w:rPr>
          <w:szCs w:val="22"/>
        </w:rPr>
        <w:t xml:space="preserve"> Challenges</w:t>
      </w:r>
    </w:p>
    <w:p w14:paraId="59B2499B" w14:textId="46D32538" w:rsidR="002109B4" w:rsidRDefault="002109B4" w:rsidP="002109B4">
      <w:pPr>
        <w:autoSpaceDE w:val="0"/>
        <w:autoSpaceDN w:val="0"/>
        <w:adjustRightInd w:val="0"/>
        <w:rPr>
          <w:rFonts w:asciiTheme="minorHAnsi" w:hAnsiTheme="minorHAnsi" w:cstheme="minorHAnsi"/>
          <w:szCs w:val="22"/>
        </w:rPr>
      </w:pPr>
      <w:r>
        <w:rPr>
          <w:rFonts w:asciiTheme="minorHAnsi" w:hAnsiTheme="minorHAnsi" w:cstheme="minorHAnsi"/>
          <w:szCs w:val="22"/>
        </w:rPr>
        <w:t>Through triangulation of a range of data sources, including internal and external reviews, national and local audit, patient and staff experience, the Health Board continues to improve its understanding, and therefore, response to, the challenges to qualit</w:t>
      </w:r>
      <w:r w:rsidR="0017414A">
        <w:rPr>
          <w:rFonts w:asciiTheme="minorHAnsi" w:hAnsiTheme="minorHAnsi" w:cstheme="minorHAnsi"/>
          <w:szCs w:val="22"/>
        </w:rPr>
        <w:t>y that exist, which</w:t>
      </w:r>
      <w:r>
        <w:rPr>
          <w:rFonts w:asciiTheme="minorHAnsi" w:hAnsiTheme="minorHAnsi" w:cstheme="minorHAnsi"/>
          <w:szCs w:val="22"/>
        </w:rPr>
        <w:t xml:space="preserve"> resulted in </w:t>
      </w:r>
      <w:r w:rsidR="00897141">
        <w:rPr>
          <w:rFonts w:asciiTheme="minorHAnsi" w:hAnsiTheme="minorHAnsi" w:cstheme="minorHAnsi"/>
          <w:szCs w:val="22"/>
        </w:rPr>
        <w:t>WG</w:t>
      </w:r>
      <w:r>
        <w:rPr>
          <w:rFonts w:asciiTheme="minorHAnsi" w:hAnsiTheme="minorHAnsi" w:cstheme="minorHAnsi"/>
          <w:szCs w:val="22"/>
        </w:rPr>
        <w:t xml:space="preserve"> raising </w:t>
      </w:r>
      <w:r w:rsidRPr="00ED3450">
        <w:rPr>
          <w:rFonts w:asciiTheme="minorHAnsi" w:hAnsiTheme="minorHAnsi" w:cstheme="minorHAnsi"/>
          <w:szCs w:val="22"/>
        </w:rPr>
        <w:t xml:space="preserve">the escalation status for the </w:t>
      </w:r>
      <w:r w:rsidR="0017414A">
        <w:rPr>
          <w:rFonts w:asciiTheme="minorHAnsi" w:hAnsiTheme="minorHAnsi" w:cstheme="minorHAnsi"/>
          <w:szCs w:val="22"/>
        </w:rPr>
        <w:t>UHB</w:t>
      </w:r>
      <w:r w:rsidRPr="00ED3450">
        <w:rPr>
          <w:rFonts w:asciiTheme="minorHAnsi" w:hAnsiTheme="minorHAnsi" w:cstheme="minorHAnsi"/>
          <w:szCs w:val="22"/>
        </w:rPr>
        <w:t xml:space="preserve"> to ‘enhanced monitoring’ – the seco</w:t>
      </w:r>
      <w:r>
        <w:rPr>
          <w:rFonts w:asciiTheme="minorHAnsi" w:hAnsiTheme="minorHAnsi" w:cstheme="minorHAnsi"/>
          <w:szCs w:val="22"/>
        </w:rPr>
        <w:t xml:space="preserve">nd of four levels, in January 2019.  Subsequently, a number of external reports have made a number of recommendations to assist the </w:t>
      </w:r>
      <w:r w:rsidR="0017414A">
        <w:rPr>
          <w:rFonts w:asciiTheme="minorHAnsi" w:hAnsiTheme="minorHAnsi" w:cstheme="minorHAnsi"/>
          <w:szCs w:val="22"/>
        </w:rPr>
        <w:t xml:space="preserve">UHB </w:t>
      </w:r>
      <w:r>
        <w:rPr>
          <w:rFonts w:asciiTheme="minorHAnsi" w:hAnsiTheme="minorHAnsi" w:cstheme="minorHAnsi"/>
          <w:szCs w:val="22"/>
        </w:rPr>
        <w:t>in planning for quality, improving, and being abl</w:t>
      </w:r>
      <w:r w:rsidR="0017414A">
        <w:rPr>
          <w:rFonts w:asciiTheme="minorHAnsi" w:hAnsiTheme="minorHAnsi" w:cstheme="minorHAnsi"/>
          <w:szCs w:val="22"/>
        </w:rPr>
        <w:t>e to provide quality assurance:</w:t>
      </w:r>
    </w:p>
    <w:p w14:paraId="585BFD93" w14:textId="1B0E64A7" w:rsidR="002109B4" w:rsidRDefault="002109B4" w:rsidP="00F60A35">
      <w:pPr>
        <w:pStyle w:val="ListParagraph"/>
        <w:numPr>
          <w:ilvl w:val="0"/>
          <w:numId w:val="91"/>
        </w:numPr>
        <w:ind w:right="-58"/>
        <w:rPr>
          <w:rFonts w:asciiTheme="minorHAnsi" w:hAnsiTheme="minorHAnsi" w:cstheme="minorHAnsi"/>
          <w:szCs w:val="22"/>
          <w:lang w:eastAsia="en-US"/>
        </w:rPr>
      </w:pPr>
      <w:r w:rsidRPr="003C7619">
        <w:rPr>
          <w:rFonts w:asciiTheme="minorHAnsi" w:hAnsiTheme="minorHAnsi" w:cstheme="minorHAnsi"/>
          <w:szCs w:val="22"/>
          <w:lang w:eastAsia="en-US"/>
        </w:rPr>
        <w:t>A joint review of maternity services by the Royal College of Obstetrics and Gynaecologists (RCOG) and the Royal College of Midwives (RCM) was published in March 2019</w:t>
      </w:r>
      <w:r w:rsidR="0017414A">
        <w:rPr>
          <w:rFonts w:asciiTheme="minorHAnsi" w:hAnsiTheme="minorHAnsi" w:cstheme="minorHAnsi"/>
          <w:szCs w:val="22"/>
          <w:lang w:eastAsia="en-US"/>
        </w:rPr>
        <w:t>.  Recommendations from the review</w:t>
      </w:r>
      <w:r w:rsidRPr="003C7619">
        <w:rPr>
          <w:rFonts w:asciiTheme="minorHAnsi" w:hAnsiTheme="minorHAnsi" w:cstheme="minorHAnsi"/>
          <w:szCs w:val="22"/>
          <w:lang w:eastAsia="en-US"/>
        </w:rPr>
        <w:t xml:space="preserve"> continue to be addressed under the scrutiny of the Indepen</w:t>
      </w:r>
      <w:r w:rsidR="0076549B">
        <w:rPr>
          <w:rFonts w:asciiTheme="minorHAnsi" w:hAnsiTheme="minorHAnsi" w:cstheme="minorHAnsi"/>
          <w:szCs w:val="22"/>
          <w:lang w:eastAsia="en-US"/>
        </w:rPr>
        <w:t>dent Maternity Oversight Panel (IMSOP).</w:t>
      </w:r>
    </w:p>
    <w:p w14:paraId="5C1BE2F7" w14:textId="43A9F032" w:rsidR="002109B4" w:rsidRPr="00DD4A45" w:rsidRDefault="002109B4" w:rsidP="00F60A35">
      <w:pPr>
        <w:pStyle w:val="ListParagraph"/>
        <w:numPr>
          <w:ilvl w:val="0"/>
          <w:numId w:val="91"/>
        </w:numPr>
        <w:autoSpaceDE w:val="0"/>
        <w:autoSpaceDN w:val="0"/>
        <w:adjustRightInd w:val="0"/>
        <w:ind w:right="-58"/>
        <w:rPr>
          <w:szCs w:val="22"/>
        </w:rPr>
      </w:pPr>
      <w:r>
        <w:rPr>
          <w:rFonts w:asciiTheme="minorHAnsi" w:hAnsiTheme="minorHAnsi" w:cstheme="minorHAnsi"/>
          <w:szCs w:val="22"/>
          <w:lang w:eastAsia="en-US"/>
        </w:rPr>
        <w:t xml:space="preserve">A review by the </w:t>
      </w:r>
      <w:r w:rsidR="0076549B">
        <w:rPr>
          <w:rFonts w:asciiTheme="minorHAnsi" w:hAnsiTheme="minorHAnsi" w:cs="Arial"/>
          <w:szCs w:val="22"/>
          <w:lang w:eastAsia="en-US"/>
        </w:rPr>
        <w:t>Delivery Unit (DU)</w:t>
      </w:r>
      <w:r>
        <w:rPr>
          <w:rFonts w:asciiTheme="minorHAnsi" w:hAnsiTheme="minorHAnsi" w:cs="Arial"/>
          <w:szCs w:val="22"/>
          <w:lang w:eastAsia="en-US"/>
        </w:rPr>
        <w:t xml:space="preserve"> </w:t>
      </w:r>
      <w:r w:rsidRPr="003C7619">
        <w:rPr>
          <w:rFonts w:asciiTheme="minorHAnsi" w:hAnsiTheme="minorHAnsi" w:cs="Arial"/>
          <w:szCs w:val="22"/>
          <w:lang w:eastAsia="en-US"/>
        </w:rPr>
        <w:t xml:space="preserve">Management of Concerns (Learning Lessons and Managing Risk) and the Supporting Governance Arrangements, (March 2019) was published.  </w:t>
      </w:r>
      <w:r w:rsidRPr="003C7619">
        <w:rPr>
          <w:rFonts w:asciiTheme="minorHAnsi" w:hAnsiTheme="minorHAnsi" w:cstheme="minorHAnsi"/>
          <w:szCs w:val="22"/>
          <w:lang w:eastAsia="en-US"/>
        </w:rPr>
        <w:t xml:space="preserve">The Minister for Health </w:t>
      </w:r>
      <w:r w:rsidR="001E259B">
        <w:rPr>
          <w:rFonts w:asciiTheme="minorHAnsi" w:hAnsiTheme="minorHAnsi" w:cstheme="minorHAnsi"/>
          <w:szCs w:val="22"/>
          <w:lang w:eastAsia="en-US"/>
        </w:rPr>
        <w:t>and</w:t>
      </w:r>
      <w:r w:rsidRPr="003C7619">
        <w:rPr>
          <w:rFonts w:asciiTheme="minorHAnsi" w:hAnsiTheme="minorHAnsi" w:cstheme="minorHAnsi"/>
          <w:szCs w:val="22"/>
          <w:lang w:eastAsia="en-US"/>
        </w:rPr>
        <w:t xml:space="preserve"> Social Services, announced three external </w:t>
      </w:r>
      <w:r w:rsidR="00614BBE">
        <w:rPr>
          <w:rFonts w:asciiTheme="minorHAnsi" w:hAnsiTheme="minorHAnsi" w:cstheme="minorHAnsi"/>
          <w:szCs w:val="22"/>
          <w:lang w:eastAsia="en-US"/>
        </w:rPr>
        <w:t>workstreams</w:t>
      </w:r>
      <w:r w:rsidRPr="003C7619">
        <w:rPr>
          <w:rFonts w:asciiTheme="minorHAnsi" w:hAnsiTheme="minorHAnsi" w:cstheme="minorHAnsi"/>
          <w:szCs w:val="22"/>
          <w:lang w:eastAsia="en-US"/>
        </w:rPr>
        <w:t>, including work to be undertaken by the DU to ensure there are effective arrangements for reporting, management and review of patient safety incidents and concerns</w:t>
      </w:r>
      <w:r w:rsidRPr="003C7619">
        <w:rPr>
          <w:rFonts w:asciiTheme="minorHAnsi" w:hAnsiTheme="minorHAnsi" w:cs="Arial"/>
          <w:szCs w:val="22"/>
          <w:lang w:eastAsia="en-US"/>
        </w:rPr>
        <w:t xml:space="preserve">. </w:t>
      </w:r>
    </w:p>
    <w:p w14:paraId="222E9890" w14:textId="18674398" w:rsidR="001F38F7" w:rsidRPr="001F38F7" w:rsidRDefault="002109B4" w:rsidP="00F60A35">
      <w:pPr>
        <w:pStyle w:val="ListParagraph"/>
        <w:numPr>
          <w:ilvl w:val="0"/>
          <w:numId w:val="91"/>
        </w:numPr>
        <w:autoSpaceDE w:val="0"/>
        <w:autoSpaceDN w:val="0"/>
        <w:adjustRightInd w:val="0"/>
        <w:ind w:right="-58"/>
        <w:rPr>
          <w:szCs w:val="22"/>
        </w:rPr>
      </w:pPr>
      <w:r w:rsidRPr="003C7619">
        <w:rPr>
          <w:rFonts w:asciiTheme="minorHAnsi" w:hAnsiTheme="minorHAnsi" w:cs="Arial"/>
          <w:szCs w:val="22"/>
          <w:lang w:eastAsia="en-US"/>
        </w:rPr>
        <w:t xml:space="preserve">A further </w:t>
      </w:r>
      <w:r w:rsidR="001F38F7">
        <w:rPr>
          <w:rFonts w:asciiTheme="minorHAnsi" w:hAnsiTheme="minorHAnsi" w:cs="Arial"/>
          <w:szCs w:val="22"/>
          <w:lang w:eastAsia="en-US"/>
        </w:rPr>
        <w:t xml:space="preserve">DU </w:t>
      </w:r>
      <w:r w:rsidRPr="003C7619">
        <w:rPr>
          <w:rFonts w:asciiTheme="minorHAnsi" w:hAnsiTheme="minorHAnsi" w:cs="Arial"/>
          <w:szCs w:val="22"/>
          <w:lang w:eastAsia="en-US"/>
        </w:rPr>
        <w:t>review ‘</w:t>
      </w:r>
      <w:r w:rsidR="00AF2A00">
        <w:rPr>
          <w:rFonts w:asciiTheme="minorHAnsi" w:hAnsiTheme="minorHAnsi" w:cs="Arial"/>
          <w:szCs w:val="22"/>
        </w:rPr>
        <w:t>CTMUHB</w:t>
      </w:r>
      <w:r w:rsidRPr="003C7619">
        <w:rPr>
          <w:rFonts w:asciiTheme="minorHAnsi" w:hAnsiTheme="minorHAnsi" w:cs="Arial"/>
          <w:szCs w:val="22"/>
        </w:rPr>
        <w:t xml:space="preserve"> systems and processes for reporting, management and review of patient safety incidents &amp;</w:t>
      </w:r>
      <w:r w:rsidR="001F38F7">
        <w:rPr>
          <w:rFonts w:asciiTheme="minorHAnsi" w:hAnsiTheme="minorHAnsi" w:cs="Arial"/>
          <w:szCs w:val="22"/>
        </w:rPr>
        <w:t xml:space="preserve"> concerns’</w:t>
      </w:r>
      <w:r w:rsidRPr="003C7619">
        <w:rPr>
          <w:rFonts w:asciiTheme="minorHAnsi" w:hAnsiTheme="minorHAnsi" w:cs="Arial"/>
          <w:szCs w:val="22"/>
        </w:rPr>
        <w:t xml:space="preserve"> (September, 2019), whilst identifying some areas of good practice</w:t>
      </w:r>
      <w:r w:rsidR="001F38F7">
        <w:rPr>
          <w:rFonts w:asciiTheme="minorHAnsi" w:hAnsiTheme="minorHAnsi" w:cs="Arial"/>
          <w:szCs w:val="22"/>
        </w:rPr>
        <w:t xml:space="preserve">, </w:t>
      </w:r>
      <w:r w:rsidRPr="003C7619">
        <w:rPr>
          <w:rFonts w:asciiTheme="minorHAnsi" w:hAnsiTheme="minorHAnsi" w:cs="Arial"/>
          <w:szCs w:val="22"/>
        </w:rPr>
        <w:t>found key areas of deficiency which are subject to an improvement plan.</w:t>
      </w:r>
      <w:r w:rsidR="001F38F7" w:rsidRPr="001F38F7">
        <w:rPr>
          <w:rFonts w:asciiTheme="minorHAnsi" w:hAnsiTheme="minorHAnsi" w:cs="Arial"/>
          <w:szCs w:val="22"/>
        </w:rPr>
        <w:t xml:space="preserve"> </w:t>
      </w:r>
    </w:p>
    <w:p w14:paraId="6CFC9D78" w14:textId="1F3B451F" w:rsidR="002109B4" w:rsidRPr="00260F71" w:rsidRDefault="002109B4" w:rsidP="00F60A35">
      <w:pPr>
        <w:pStyle w:val="ListParagraph"/>
        <w:numPr>
          <w:ilvl w:val="0"/>
          <w:numId w:val="91"/>
        </w:numPr>
        <w:autoSpaceDE w:val="0"/>
        <w:autoSpaceDN w:val="0"/>
        <w:adjustRightInd w:val="0"/>
        <w:rPr>
          <w:rFonts w:asciiTheme="minorHAnsi" w:hAnsiTheme="minorHAnsi" w:cs="Verdana"/>
          <w:szCs w:val="22"/>
        </w:rPr>
      </w:pPr>
      <w:r w:rsidRPr="00DD4A45">
        <w:rPr>
          <w:rFonts w:asciiTheme="minorHAnsi" w:hAnsiTheme="minorHAnsi" w:cs="Verdana"/>
          <w:szCs w:val="22"/>
        </w:rPr>
        <w:t xml:space="preserve">In October 2019, the </w:t>
      </w:r>
      <w:r w:rsidR="0076549B">
        <w:rPr>
          <w:rFonts w:asciiTheme="minorHAnsi" w:hAnsiTheme="minorHAnsi" w:cs="Verdana"/>
          <w:szCs w:val="22"/>
        </w:rPr>
        <w:t xml:space="preserve">DU </w:t>
      </w:r>
      <w:r w:rsidRPr="00DD4A45">
        <w:rPr>
          <w:rFonts w:asciiTheme="minorHAnsi" w:hAnsiTheme="minorHAnsi" w:cs="Verdana"/>
          <w:szCs w:val="22"/>
        </w:rPr>
        <w:t xml:space="preserve">provided the ‘Supportive Intervention On Waiting Lists Reporting In </w:t>
      </w:r>
      <w:r w:rsidR="002A3312">
        <w:rPr>
          <w:rFonts w:asciiTheme="minorHAnsi" w:hAnsiTheme="minorHAnsi" w:cs="Verdana"/>
          <w:szCs w:val="22"/>
        </w:rPr>
        <w:t>CTM</w:t>
      </w:r>
      <w:r w:rsidRPr="00DD4A45">
        <w:rPr>
          <w:rFonts w:asciiTheme="minorHAnsi" w:hAnsiTheme="minorHAnsi" w:cs="Verdana"/>
          <w:szCs w:val="22"/>
        </w:rPr>
        <w:t xml:space="preserve"> UHB’ identified the need for improvements in waiting list reporting, currently being</w:t>
      </w:r>
      <w:r w:rsidRPr="002B03B3">
        <w:rPr>
          <w:rFonts w:asciiTheme="minorHAnsi" w:hAnsiTheme="minorHAnsi" w:cs="Verdana"/>
          <w:szCs w:val="22"/>
        </w:rPr>
        <w:t xml:space="preserve"> addressed </w:t>
      </w:r>
      <w:r w:rsidRPr="002C1C99">
        <w:rPr>
          <w:rFonts w:asciiTheme="minorHAnsi" w:hAnsiTheme="minorHAnsi" w:cs="Verdana"/>
          <w:szCs w:val="22"/>
        </w:rPr>
        <w:t xml:space="preserve">and </w:t>
      </w:r>
      <w:r w:rsidR="001F38F7">
        <w:rPr>
          <w:rFonts w:asciiTheme="minorHAnsi" w:hAnsiTheme="minorHAnsi" w:cs="Verdana"/>
          <w:szCs w:val="22"/>
        </w:rPr>
        <w:t>reported via an action plan</w:t>
      </w:r>
    </w:p>
    <w:p w14:paraId="323201BA" w14:textId="16F88DB9" w:rsidR="002109B4" w:rsidRPr="000F62E2" w:rsidRDefault="002109B4" w:rsidP="00F60A35">
      <w:pPr>
        <w:pStyle w:val="ListParagraph"/>
        <w:numPr>
          <w:ilvl w:val="0"/>
          <w:numId w:val="91"/>
        </w:numPr>
        <w:autoSpaceDE w:val="0"/>
        <w:autoSpaceDN w:val="0"/>
        <w:adjustRightInd w:val="0"/>
        <w:rPr>
          <w:rFonts w:cs="Calibri"/>
          <w:szCs w:val="22"/>
        </w:rPr>
      </w:pPr>
      <w:r w:rsidRPr="00DD4A45">
        <w:rPr>
          <w:rFonts w:cs="Calibri"/>
          <w:szCs w:val="22"/>
        </w:rPr>
        <w:t xml:space="preserve">Welsh Risk Pool undertook a Services Review of Claims, Redress and Inquest Case Management at </w:t>
      </w:r>
      <w:r w:rsidR="002A3312">
        <w:rPr>
          <w:rFonts w:cs="Calibri"/>
          <w:szCs w:val="22"/>
        </w:rPr>
        <w:t>CTM</w:t>
      </w:r>
      <w:r w:rsidRPr="000F62E2">
        <w:rPr>
          <w:rFonts w:cs="Calibri"/>
          <w:szCs w:val="22"/>
        </w:rPr>
        <w:t xml:space="preserve"> University Health Board dated November 2019. Work to address the recommendations identified aligns to that of the Delivery Unit recommendations and improvement plan. </w:t>
      </w:r>
    </w:p>
    <w:p w14:paraId="4378FD3C" w14:textId="76709E5B" w:rsidR="002109B4" w:rsidRPr="000F62E2" w:rsidRDefault="001F38F7" w:rsidP="00F60A35">
      <w:pPr>
        <w:pStyle w:val="ListParagraph"/>
        <w:numPr>
          <w:ilvl w:val="0"/>
          <w:numId w:val="91"/>
        </w:numPr>
        <w:autoSpaceDE w:val="0"/>
        <w:autoSpaceDN w:val="0"/>
        <w:adjustRightInd w:val="0"/>
        <w:rPr>
          <w:szCs w:val="22"/>
        </w:rPr>
      </w:pPr>
      <w:r>
        <w:rPr>
          <w:szCs w:val="22"/>
        </w:rPr>
        <w:t>R</w:t>
      </w:r>
      <w:r w:rsidR="002109B4" w:rsidRPr="000F62E2">
        <w:rPr>
          <w:szCs w:val="22"/>
        </w:rPr>
        <w:t xml:space="preserve">ecommendations identified within the </w:t>
      </w:r>
      <w:r>
        <w:rPr>
          <w:szCs w:val="22"/>
        </w:rPr>
        <w:t xml:space="preserve">DU </w:t>
      </w:r>
      <w:r w:rsidR="002109B4" w:rsidRPr="000F62E2">
        <w:rPr>
          <w:szCs w:val="22"/>
        </w:rPr>
        <w:t xml:space="preserve">Diagnostic Review – Unscheduled Care, </w:t>
      </w:r>
      <w:r>
        <w:rPr>
          <w:szCs w:val="22"/>
        </w:rPr>
        <w:t>POWH</w:t>
      </w:r>
      <w:r w:rsidR="002109B4" w:rsidRPr="000F62E2">
        <w:rPr>
          <w:szCs w:val="22"/>
        </w:rPr>
        <w:t xml:space="preserve"> published in November 2019, are being addressed as part of a wider revie</w:t>
      </w:r>
      <w:r w:rsidR="00A25124">
        <w:rPr>
          <w:szCs w:val="22"/>
        </w:rPr>
        <w:t>w of emergency care provision.</w:t>
      </w:r>
    </w:p>
    <w:p w14:paraId="3E5EAF0E" w14:textId="39F24460" w:rsidR="002109B4" w:rsidRPr="00C2093D" w:rsidRDefault="002109B4" w:rsidP="00F60A35">
      <w:pPr>
        <w:pStyle w:val="ListParagraph"/>
        <w:numPr>
          <w:ilvl w:val="0"/>
          <w:numId w:val="91"/>
        </w:numPr>
        <w:autoSpaceDE w:val="0"/>
        <w:autoSpaceDN w:val="0"/>
        <w:adjustRightInd w:val="0"/>
        <w:ind w:right="-58"/>
        <w:rPr>
          <w:rFonts w:asciiTheme="minorHAnsi" w:hAnsiTheme="minorHAnsi" w:cs="Verdana"/>
          <w:color w:val="000000"/>
          <w:szCs w:val="22"/>
        </w:rPr>
      </w:pPr>
      <w:r>
        <w:rPr>
          <w:rFonts w:asciiTheme="minorHAnsi" w:hAnsiTheme="minorHAnsi" w:cs="Verdana"/>
          <w:color w:val="000000"/>
          <w:szCs w:val="22"/>
        </w:rPr>
        <w:t xml:space="preserve">The </w:t>
      </w:r>
      <w:r w:rsidRPr="00DD4A45">
        <w:rPr>
          <w:rFonts w:asciiTheme="minorHAnsi" w:hAnsiTheme="minorHAnsi" w:cs="Verdana"/>
          <w:color w:val="000000"/>
          <w:szCs w:val="22"/>
        </w:rPr>
        <w:t xml:space="preserve">Healthcare Inspectorate Wales Annual Report 2018/19 </w:t>
      </w:r>
      <w:r>
        <w:rPr>
          <w:rFonts w:asciiTheme="minorHAnsi" w:hAnsiTheme="minorHAnsi" w:cs="Verdana"/>
          <w:color w:val="000000"/>
          <w:szCs w:val="22"/>
        </w:rPr>
        <w:t>references the Inspectorates findings in relation to the services provided by the Health Board.</w:t>
      </w:r>
      <w:r w:rsidR="005F6F47">
        <w:rPr>
          <w:rFonts w:asciiTheme="minorHAnsi" w:hAnsiTheme="minorHAnsi" w:cs="Verdana"/>
          <w:color w:val="000000"/>
          <w:szCs w:val="22"/>
        </w:rPr>
        <w:t xml:space="preserve"> </w:t>
      </w:r>
      <w:r>
        <w:rPr>
          <w:rFonts w:asciiTheme="minorHAnsi" w:hAnsiTheme="minorHAnsi" w:cs="Verdana"/>
          <w:color w:val="000000"/>
          <w:szCs w:val="22"/>
        </w:rPr>
        <w:t xml:space="preserve"> Where recommendations have been made, service specific improvement plans are established. </w:t>
      </w:r>
    </w:p>
    <w:p w14:paraId="516E6F85" w14:textId="29495247" w:rsidR="002109B4" w:rsidRPr="00DD4A45" w:rsidRDefault="002109B4" w:rsidP="00F60A35">
      <w:pPr>
        <w:pStyle w:val="ListParagraph"/>
        <w:numPr>
          <w:ilvl w:val="0"/>
          <w:numId w:val="91"/>
        </w:numPr>
        <w:autoSpaceDE w:val="0"/>
        <w:autoSpaceDN w:val="0"/>
        <w:adjustRightInd w:val="0"/>
        <w:ind w:right="-58"/>
        <w:rPr>
          <w:rFonts w:asciiTheme="minorHAnsi" w:hAnsiTheme="minorHAnsi"/>
          <w:szCs w:val="22"/>
        </w:rPr>
      </w:pPr>
      <w:r w:rsidRPr="00DD4A45">
        <w:rPr>
          <w:rFonts w:asciiTheme="minorHAnsi" w:hAnsiTheme="minorHAnsi" w:cstheme="minorHAnsi"/>
          <w:szCs w:val="22"/>
          <w:lang w:eastAsia="en-US"/>
        </w:rPr>
        <w:t xml:space="preserve">In November 2019, </w:t>
      </w:r>
      <w:r w:rsidRPr="00DD4A45">
        <w:rPr>
          <w:rFonts w:asciiTheme="minorHAnsi" w:eastAsiaTheme="minorEastAsia" w:hAnsiTheme="minorHAnsi" w:cstheme="minorHAnsi"/>
          <w:bCs/>
          <w:kern w:val="24"/>
          <w:szCs w:val="22"/>
        </w:rPr>
        <w:t xml:space="preserve">‘a review of quality governance arrangements at </w:t>
      </w:r>
      <w:r w:rsidR="00433CDA">
        <w:rPr>
          <w:rFonts w:asciiTheme="minorHAnsi" w:eastAsiaTheme="minorEastAsia" w:hAnsiTheme="minorHAnsi" w:cstheme="minorHAnsi"/>
          <w:bCs/>
          <w:kern w:val="24"/>
          <w:szCs w:val="22"/>
        </w:rPr>
        <w:t>CTMUHB</w:t>
      </w:r>
      <w:r w:rsidRPr="00DD4A45">
        <w:rPr>
          <w:rFonts w:asciiTheme="minorHAnsi" w:eastAsiaTheme="minorEastAsia" w:hAnsiTheme="minorHAnsi" w:cstheme="minorHAnsi"/>
          <w:bCs/>
          <w:kern w:val="24"/>
          <w:szCs w:val="22"/>
        </w:rPr>
        <w:t xml:space="preserve"> Joint Review’ undertaken by </w:t>
      </w:r>
      <w:r w:rsidR="0076549B">
        <w:rPr>
          <w:rFonts w:asciiTheme="minorHAnsi" w:eastAsiaTheme="minorEastAsia" w:hAnsiTheme="minorHAnsi" w:cstheme="minorHAnsi"/>
          <w:bCs/>
          <w:kern w:val="24"/>
          <w:szCs w:val="22"/>
        </w:rPr>
        <w:t>HIW</w:t>
      </w:r>
      <w:r w:rsidRPr="00DD4A45">
        <w:rPr>
          <w:rFonts w:asciiTheme="minorHAnsi" w:eastAsiaTheme="minorEastAsia" w:hAnsiTheme="minorHAnsi" w:cstheme="minorHAnsi"/>
          <w:bCs/>
          <w:kern w:val="24"/>
          <w:szCs w:val="22"/>
        </w:rPr>
        <w:t xml:space="preserve"> and the </w:t>
      </w:r>
      <w:r w:rsidR="0076549B">
        <w:rPr>
          <w:rFonts w:asciiTheme="minorHAnsi" w:eastAsiaTheme="minorEastAsia" w:hAnsiTheme="minorHAnsi" w:cstheme="minorHAnsi"/>
          <w:bCs/>
          <w:kern w:val="24"/>
          <w:szCs w:val="22"/>
        </w:rPr>
        <w:t>WAO</w:t>
      </w:r>
      <w:r w:rsidRPr="00DD4A45">
        <w:rPr>
          <w:rFonts w:asciiTheme="minorHAnsi" w:hAnsiTheme="minorHAnsi"/>
          <w:szCs w:val="22"/>
        </w:rPr>
        <w:t xml:space="preserve">, highlighted a number of fundamental weaknesses in the Health Board’s governance arrangements in respect of the quality of care and patient safety, stating that significant and urgent improvements are needed at both the directorate and corporate level to either strengthen or more fundamentally overhaul existing arrangements, organisational structures and roles. Whilst the review has highlighted some significant concerns, it also highlighted there is cause for some optimism that the required </w:t>
      </w:r>
      <w:r w:rsidRPr="00DD4A45">
        <w:rPr>
          <w:rFonts w:asciiTheme="minorHAnsi" w:hAnsiTheme="minorHAnsi"/>
          <w:szCs w:val="22"/>
        </w:rPr>
        <w:lastRenderedPageBreak/>
        <w:t>improvements can be made through the new leadership and additional capacity in to strengthen quality governance arrangements.</w:t>
      </w:r>
    </w:p>
    <w:p w14:paraId="14B92D71" w14:textId="77777777" w:rsidR="002109B4" w:rsidRDefault="002109B4" w:rsidP="002109B4">
      <w:pPr>
        <w:autoSpaceDE w:val="0"/>
        <w:autoSpaceDN w:val="0"/>
        <w:adjustRightInd w:val="0"/>
        <w:rPr>
          <w:rFonts w:asciiTheme="minorHAnsi" w:hAnsiTheme="minorHAnsi" w:cs="Verdana"/>
          <w:szCs w:val="22"/>
        </w:rPr>
      </w:pPr>
    </w:p>
    <w:p w14:paraId="14EFB049" w14:textId="1773CD2B" w:rsidR="00C2093D" w:rsidRDefault="002109B4" w:rsidP="00602C86">
      <w:pPr>
        <w:autoSpaceDE w:val="0"/>
        <w:autoSpaceDN w:val="0"/>
        <w:adjustRightInd w:val="0"/>
        <w:rPr>
          <w:rFonts w:asciiTheme="minorHAnsi" w:hAnsiTheme="minorHAnsi" w:cstheme="minorHAnsi"/>
          <w:szCs w:val="22"/>
        </w:rPr>
      </w:pPr>
      <w:r>
        <w:rPr>
          <w:rFonts w:asciiTheme="minorHAnsi" w:hAnsiTheme="minorHAnsi" w:cstheme="minorHAnsi"/>
          <w:szCs w:val="22"/>
        </w:rPr>
        <w:t xml:space="preserve">The improvements required are reported and </w:t>
      </w:r>
      <w:r w:rsidR="00C2093D">
        <w:rPr>
          <w:rFonts w:asciiTheme="minorHAnsi" w:hAnsiTheme="minorHAnsi" w:cstheme="minorHAnsi"/>
          <w:szCs w:val="22"/>
        </w:rPr>
        <w:t>scrutinised as</w:t>
      </w:r>
      <w:r>
        <w:rPr>
          <w:rFonts w:asciiTheme="minorHAnsi" w:hAnsiTheme="minorHAnsi" w:cstheme="minorHAnsi"/>
          <w:szCs w:val="22"/>
        </w:rPr>
        <w:t xml:space="preserve"> a component of the response to targeted intervention.</w:t>
      </w:r>
      <w:r w:rsidR="00C2093D">
        <w:rPr>
          <w:rFonts w:asciiTheme="minorHAnsi" w:hAnsiTheme="minorHAnsi" w:cstheme="minorHAnsi"/>
          <w:szCs w:val="22"/>
        </w:rPr>
        <w:t xml:space="preserve"> </w:t>
      </w:r>
      <w:r>
        <w:rPr>
          <w:rFonts w:asciiTheme="minorHAnsi" w:hAnsiTheme="minorHAnsi" w:cstheme="minorHAnsi"/>
          <w:szCs w:val="22"/>
        </w:rPr>
        <w:t xml:space="preserve"> Based on the successful utilisation </w:t>
      </w:r>
      <w:r w:rsidRPr="00C2093D">
        <w:rPr>
          <w:rFonts w:asciiTheme="minorHAnsi" w:hAnsiTheme="minorHAnsi" w:cstheme="minorHAnsi"/>
          <w:szCs w:val="22"/>
        </w:rPr>
        <w:t>of maturity matrix to</w:t>
      </w:r>
      <w:r>
        <w:rPr>
          <w:rFonts w:asciiTheme="minorHAnsi" w:hAnsiTheme="minorHAnsi" w:cstheme="minorHAnsi"/>
          <w:szCs w:val="22"/>
        </w:rPr>
        <w:t xml:space="preserve"> support the maternity improvement work, maturity matrices are </w:t>
      </w:r>
      <w:r w:rsidR="00C2093D">
        <w:rPr>
          <w:rFonts w:asciiTheme="minorHAnsi" w:hAnsiTheme="minorHAnsi" w:cstheme="minorHAnsi"/>
          <w:szCs w:val="22"/>
        </w:rPr>
        <w:t xml:space="preserve">being </w:t>
      </w:r>
      <w:r>
        <w:rPr>
          <w:rFonts w:asciiTheme="minorHAnsi" w:hAnsiTheme="minorHAnsi" w:cstheme="minorHAnsi"/>
          <w:szCs w:val="22"/>
        </w:rPr>
        <w:t xml:space="preserve">developed to support each of the </w:t>
      </w:r>
      <w:r w:rsidR="00614BBE">
        <w:rPr>
          <w:rFonts w:asciiTheme="minorHAnsi" w:hAnsiTheme="minorHAnsi" w:cstheme="minorHAnsi"/>
          <w:szCs w:val="22"/>
        </w:rPr>
        <w:t>workstreams</w:t>
      </w:r>
      <w:r>
        <w:rPr>
          <w:rFonts w:asciiTheme="minorHAnsi" w:hAnsiTheme="minorHAnsi" w:cstheme="minorHAnsi"/>
          <w:szCs w:val="22"/>
        </w:rPr>
        <w:t>, including quality.</w:t>
      </w:r>
      <w:r w:rsidR="00DA0B5D">
        <w:rPr>
          <w:rFonts w:asciiTheme="minorHAnsi" w:hAnsiTheme="minorHAnsi" w:cstheme="minorHAnsi"/>
          <w:szCs w:val="22"/>
        </w:rPr>
        <w:t xml:space="preserve"> </w:t>
      </w:r>
      <w:r>
        <w:rPr>
          <w:rFonts w:asciiTheme="minorHAnsi" w:hAnsiTheme="minorHAnsi" w:cstheme="minorHAnsi"/>
          <w:szCs w:val="22"/>
        </w:rPr>
        <w:t xml:space="preserve"> Along with the detailed improvement activity being unde</w:t>
      </w:r>
      <w:r w:rsidR="00C2093D">
        <w:rPr>
          <w:rFonts w:asciiTheme="minorHAnsi" w:hAnsiTheme="minorHAnsi" w:cstheme="minorHAnsi"/>
          <w:szCs w:val="22"/>
        </w:rPr>
        <w:t xml:space="preserve">rtaken within and reported by, </w:t>
      </w:r>
      <w:r>
        <w:rPr>
          <w:rFonts w:asciiTheme="minorHAnsi" w:hAnsiTheme="minorHAnsi" w:cstheme="minorHAnsi"/>
          <w:szCs w:val="22"/>
        </w:rPr>
        <w:t xml:space="preserve">specific services and corporate function, a robust framework is in place to ensure the improvements required are actualised.   </w:t>
      </w:r>
    </w:p>
    <w:p w14:paraId="327E9590" w14:textId="3DB73FBB" w:rsidR="00C25488" w:rsidRPr="007A2088" w:rsidRDefault="00C25488" w:rsidP="00C25488">
      <w:pPr>
        <w:pStyle w:val="Heading3"/>
        <w:rPr>
          <w:rFonts w:eastAsia="Verdana"/>
          <w:szCs w:val="22"/>
        </w:rPr>
      </w:pPr>
      <w:bookmarkStart w:id="59" w:name="_Toc532299689"/>
      <w:bookmarkStart w:id="60" w:name="_Toc532464016"/>
      <w:r w:rsidRPr="007A2088">
        <w:rPr>
          <w:rFonts w:eastAsia="Verdana"/>
          <w:szCs w:val="22"/>
        </w:rPr>
        <w:t>Workforce</w:t>
      </w:r>
      <w:bookmarkEnd w:id="59"/>
      <w:bookmarkEnd w:id="60"/>
      <w:r w:rsidR="00905C69">
        <w:rPr>
          <w:rFonts w:eastAsia="Verdana"/>
          <w:szCs w:val="22"/>
        </w:rPr>
        <w:t xml:space="preserve"> Challenges</w:t>
      </w:r>
    </w:p>
    <w:p w14:paraId="59A21860" w14:textId="43179B71" w:rsidR="00C25488" w:rsidRDefault="00966F54" w:rsidP="00C25488">
      <w:pPr>
        <w:rPr>
          <w:rFonts w:cstheme="minorHAnsi"/>
        </w:rPr>
      </w:pPr>
      <w:r w:rsidRPr="0033013E">
        <w:rPr>
          <w:rFonts w:cstheme="minorHAnsi"/>
        </w:rPr>
        <w:t xml:space="preserve">As described in more detail in </w:t>
      </w:r>
      <w:r w:rsidRPr="0033013E">
        <w:rPr>
          <w:rFonts w:cstheme="minorHAnsi"/>
          <w:b/>
        </w:rPr>
        <w:t>Chapter 6,</w:t>
      </w:r>
      <w:r w:rsidRPr="0033013E">
        <w:rPr>
          <w:rFonts w:cstheme="minorHAnsi"/>
        </w:rPr>
        <w:t xml:space="preserve"> the approach to planning continues to incorporate Directorate and Locality plans together with cross-cutting themes.  The workforce implications have been developed as an integrated part of these local plans and the key implications have been identified throughout the Plan.  The delivery of these individual plans from a workforce perspective is monitored through the Directorates</w:t>
      </w:r>
      <w:r w:rsidR="0055250A">
        <w:rPr>
          <w:rFonts w:cstheme="minorHAnsi"/>
        </w:rPr>
        <w:t>’</w:t>
      </w:r>
      <w:r w:rsidRPr="0033013E">
        <w:rPr>
          <w:rFonts w:cstheme="minorHAnsi"/>
        </w:rPr>
        <w:t xml:space="preserve"> local IMTPs.  These are reviewed at the Clinical Business Meetings (CBMs) with the Service Managers and Heads of Workforce who have been jointly engaged in their co-production.</w:t>
      </w:r>
      <w:r>
        <w:rPr>
          <w:rFonts w:cstheme="minorHAnsi"/>
        </w:rPr>
        <w:t>:</w:t>
      </w:r>
    </w:p>
    <w:p w14:paraId="3AD40F7F" w14:textId="77777777" w:rsidR="000813D9" w:rsidRDefault="000813D9" w:rsidP="00C25488">
      <w:pPr>
        <w:rPr>
          <w:rFonts w:cstheme="minorHAnsi"/>
        </w:rPr>
      </w:pPr>
    </w:p>
    <w:tbl>
      <w:tblPr>
        <w:tblStyle w:val="TableGrid"/>
        <w:tblW w:w="0" w:type="auto"/>
        <w:tblLook w:val="04A0" w:firstRow="1" w:lastRow="0" w:firstColumn="1" w:lastColumn="0" w:noHBand="0" w:noVBand="1"/>
      </w:tblPr>
      <w:tblGrid>
        <w:gridCol w:w="4984"/>
        <w:gridCol w:w="4984"/>
      </w:tblGrid>
      <w:tr w:rsidR="000813D9" w14:paraId="32905335" w14:textId="77777777" w:rsidTr="003F7F7B">
        <w:tc>
          <w:tcPr>
            <w:tcW w:w="4984" w:type="dxa"/>
            <w:tcBorders>
              <w:top w:val="nil"/>
              <w:left w:val="nil"/>
              <w:bottom w:val="nil"/>
              <w:right w:val="nil"/>
            </w:tcBorders>
          </w:tcPr>
          <w:p w14:paraId="7A15C3EB" w14:textId="77777777" w:rsidR="000813D9" w:rsidRPr="00602C86" w:rsidRDefault="000813D9" w:rsidP="005F65CD">
            <w:pPr>
              <w:pStyle w:val="ListParagraph"/>
              <w:numPr>
                <w:ilvl w:val="0"/>
                <w:numId w:val="111"/>
              </w:numPr>
              <w:rPr>
                <w:rFonts w:asciiTheme="minorHAnsi" w:hAnsiTheme="minorHAnsi"/>
                <w:sz w:val="22"/>
                <w:szCs w:val="22"/>
              </w:rPr>
            </w:pPr>
            <w:r w:rsidRPr="00602C86">
              <w:rPr>
                <w:rFonts w:asciiTheme="minorHAnsi" w:hAnsiTheme="minorHAnsi"/>
                <w:sz w:val="22"/>
                <w:szCs w:val="22"/>
              </w:rPr>
              <w:t>Recruitment and retention difficulties, particularly with:</w:t>
            </w:r>
          </w:p>
          <w:p w14:paraId="300A1A90" w14:textId="5CF9DA2A" w:rsidR="000813D9" w:rsidRPr="00602C86" w:rsidRDefault="000813D9" w:rsidP="005F65CD">
            <w:pPr>
              <w:pStyle w:val="ListParagraph"/>
              <w:numPr>
                <w:ilvl w:val="1"/>
                <w:numId w:val="111"/>
              </w:numPr>
              <w:rPr>
                <w:rFonts w:asciiTheme="minorHAnsi" w:hAnsiTheme="minorHAnsi"/>
                <w:sz w:val="22"/>
                <w:szCs w:val="22"/>
              </w:rPr>
            </w:pPr>
            <w:r w:rsidRPr="00602C86">
              <w:rPr>
                <w:rFonts w:asciiTheme="minorHAnsi" w:hAnsiTheme="minorHAnsi"/>
                <w:sz w:val="22"/>
                <w:szCs w:val="22"/>
              </w:rPr>
              <w:t xml:space="preserve">Junior </w:t>
            </w:r>
            <w:r w:rsidR="002B6C70" w:rsidRPr="00602C86">
              <w:rPr>
                <w:rFonts w:asciiTheme="minorHAnsi" w:hAnsiTheme="minorHAnsi"/>
                <w:sz w:val="22"/>
                <w:szCs w:val="22"/>
              </w:rPr>
              <w:t xml:space="preserve">and SAS </w:t>
            </w:r>
            <w:r w:rsidRPr="00602C86">
              <w:rPr>
                <w:rFonts w:asciiTheme="minorHAnsi" w:hAnsiTheme="minorHAnsi"/>
                <w:sz w:val="22"/>
                <w:szCs w:val="22"/>
              </w:rPr>
              <w:t>Doctors</w:t>
            </w:r>
          </w:p>
          <w:p w14:paraId="0EA9DA76" w14:textId="77777777" w:rsidR="000813D9" w:rsidRPr="00602C86" w:rsidRDefault="000813D9" w:rsidP="005F65CD">
            <w:pPr>
              <w:pStyle w:val="ListParagraph"/>
              <w:numPr>
                <w:ilvl w:val="1"/>
                <w:numId w:val="111"/>
              </w:numPr>
              <w:rPr>
                <w:rFonts w:asciiTheme="minorHAnsi" w:hAnsiTheme="minorHAnsi"/>
                <w:sz w:val="22"/>
                <w:szCs w:val="22"/>
              </w:rPr>
            </w:pPr>
            <w:r w:rsidRPr="00602C86">
              <w:rPr>
                <w:rFonts w:asciiTheme="minorHAnsi" w:hAnsiTheme="minorHAnsi"/>
                <w:sz w:val="22"/>
                <w:szCs w:val="22"/>
              </w:rPr>
              <w:t>Consultant medical staff in certain specialties</w:t>
            </w:r>
          </w:p>
          <w:p w14:paraId="252E93AC" w14:textId="77777777" w:rsidR="000813D9" w:rsidRPr="00602C86" w:rsidRDefault="000813D9" w:rsidP="005F65CD">
            <w:pPr>
              <w:pStyle w:val="ListParagraph"/>
              <w:numPr>
                <w:ilvl w:val="1"/>
                <w:numId w:val="111"/>
              </w:numPr>
              <w:rPr>
                <w:rFonts w:asciiTheme="minorHAnsi" w:hAnsiTheme="minorHAnsi"/>
                <w:sz w:val="22"/>
                <w:szCs w:val="22"/>
              </w:rPr>
            </w:pPr>
            <w:r w:rsidRPr="00602C86">
              <w:rPr>
                <w:rFonts w:asciiTheme="minorHAnsi" w:hAnsiTheme="minorHAnsi"/>
                <w:sz w:val="22"/>
                <w:szCs w:val="22"/>
              </w:rPr>
              <w:t>Nursing and midwifery staff</w:t>
            </w:r>
          </w:p>
          <w:p w14:paraId="06E3E6CF" w14:textId="77777777" w:rsidR="000813D9" w:rsidRPr="00602C86" w:rsidRDefault="000813D9" w:rsidP="005F65CD">
            <w:pPr>
              <w:pStyle w:val="ListParagraph"/>
              <w:numPr>
                <w:ilvl w:val="1"/>
                <w:numId w:val="111"/>
              </w:numPr>
              <w:rPr>
                <w:rFonts w:asciiTheme="minorHAnsi" w:hAnsiTheme="minorHAnsi"/>
                <w:sz w:val="22"/>
                <w:szCs w:val="22"/>
              </w:rPr>
            </w:pPr>
            <w:r w:rsidRPr="00602C86">
              <w:rPr>
                <w:rFonts w:asciiTheme="minorHAnsi" w:hAnsiTheme="minorHAnsi"/>
                <w:sz w:val="22"/>
                <w:szCs w:val="22"/>
              </w:rPr>
              <w:t>Primary Care, particularly GPs</w:t>
            </w:r>
          </w:p>
          <w:p w14:paraId="701A44F3" w14:textId="77777777" w:rsidR="000813D9" w:rsidRPr="00602C86" w:rsidRDefault="000813D9" w:rsidP="005F65CD">
            <w:pPr>
              <w:pStyle w:val="ListParagraph"/>
              <w:numPr>
                <w:ilvl w:val="1"/>
                <w:numId w:val="111"/>
              </w:numPr>
              <w:rPr>
                <w:rFonts w:asciiTheme="minorHAnsi" w:hAnsiTheme="minorHAnsi"/>
                <w:sz w:val="22"/>
                <w:szCs w:val="22"/>
              </w:rPr>
            </w:pPr>
            <w:r w:rsidRPr="00602C86">
              <w:rPr>
                <w:rFonts w:asciiTheme="minorHAnsi" w:hAnsiTheme="minorHAnsi"/>
                <w:sz w:val="22"/>
                <w:szCs w:val="22"/>
              </w:rPr>
              <w:t>Mental Health services</w:t>
            </w:r>
          </w:p>
          <w:p w14:paraId="4A57740B" w14:textId="108DC672" w:rsidR="0007621C" w:rsidRPr="00602C86" w:rsidRDefault="0007621C" w:rsidP="005F65CD">
            <w:pPr>
              <w:pStyle w:val="ListParagraph"/>
              <w:numPr>
                <w:ilvl w:val="0"/>
                <w:numId w:val="111"/>
              </w:numPr>
              <w:rPr>
                <w:rFonts w:asciiTheme="minorHAnsi" w:hAnsiTheme="minorHAnsi"/>
                <w:sz w:val="22"/>
                <w:szCs w:val="22"/>
              </w:rPr>
            </w:pPr>
            <w:r w:rsidRPr="00602C86">
              <w:rPr>
                <w:rFonts w:asciiTheme="minorHAnsi" w:hAnsiTheme="minorHAnsi"/>
                <w:sz w:val="22"/>
                <w:szCs w:val="22"/>
              </w:rPr>
              <w:t>Organisational development for maternity services</w:t>
            </w:r>
          </w:p>
          <w:p w14:paraId="00649D8D" w14:textId="77777777" w:rsidR="000813D9" w:rsidRDefault="000813D9" w:rsidP="00C25488">
            <w:pPr>
              <w:rPr>
                <w:rFonts w:cstheme="minorHAnsi"/>
              </w:rPr>
            </w:pPr>
          </w:p>
        </w:tc>
        <w:tc>
          <w:tcPr>
            <w:tcW w:w="4984" w:type="dxa"/>
            <w:tcBorders>
              <w:top w:val="nil"/>
              <w:left w:val="nil"/>
              <w:bottom w:val="nil"/>
              <w:right w:val="nil"/>
            </w:tcBorders>
          </w:tcPr>
          <w:p w14:paraId="7911549B" w14:textId="28E7C6D4" w:rsidR="0007621C" w:rsidRDefault="0007621C" w:rsidP="005F65CD">
            <w:pPr>
              <w:pStyle w:val="ListParagraph"/>
              <w:numPr>
                <w:ilvl w:val="0"/>
                <w:numId w:val="111"/>
              </w:numPr>
              <w:rPr>
                <w:rFonts w:cstheme="minorHAnsi"/>
                <w:sz w:val="22"/>
                <w:szCs w:val="22"/>
              </w:rPr>
            </w:pPr>
            <w:r>
              <w:rPr>
                <w:rFonts w:cstheme="minorHAnsi"/>
                <w:sz w:val="22"/>
                <w:szCs w:val="22"/>
              </w:rPr>
              <w:t>Workforce redesign needs to deliver the Cancer pathway</w:t>
            </w:r>
          </w:p>
          <w:p w14:paraId="5EC38B0E" w14:textId="1D7239A3" w:rsidR="0007621C" w:rsidRDefault="0007621C" w:rsidP="005F65CD">
            <w:pPr>
              <w:pStyle w:val="ListParagraph"/>
              <w:numPr>
                <w:ilvl w:val="0"/>
                <w:numId w:val="111"/>
              </w:numPr>
              <w:rPr>
                <w:rFonts w:cstheme="minorHAnsi"/>
                <w:sz w:val="22"/>
                <w:szCs w:val="22"/>
              </w:rPr>
            </w:pPr>
            <w:r>
              <w:rPr>
                <w:rFonts w:cstheme="minorHAnsi"/>
                <w:sz w:val="22"/>
                <w:szCs w:val="22"/>
              </w:rPr>
              <w:t>Workforce implications on the new Major Trauma Network</w:t>
            </w:r>
          </w:p>
          <w:p w14:paraId="70E343CA" w14:textId="77777777" w:rsidR="000813D9" w:rsidRPr="003F7F7B" w:rsidRDefault="000813D9" w:rsidP="005F65CD">
            <w:pPr>
              <w:pStyle w:val="ListParagraph"/>
              <w:numPr>
                <w:ilvl w:val="0"/>
                <w:numId w:val="111"/>
              </w:numPr>
              <w:rPr>
                <w:rFonts w:cstheme="minorHAnsi"/>
                <w:sz w:val="22"/>
                <w:szCs w:val="22"/>
              </w:rPr>
            </w:pPr>
            <w:r w:rsidRPr="003F7F7B">
              <w:rPr>
                <w:rFonts w:cstheme="minorHAnsi"/>
                <w:sz w:val="22"/>
                <w:szCs w:val="22"/>
              </w:rPr>
              <w:t>Implementation of the SWP</w:t>
            </w:r>
          </w:p>
          <w:p w14:paraId="59AC88CE" w14:textId="77777777" w:rsidR="000813D9" w:rsidRPr="000813D9" w:rsidRDefault="000813D9" w:rsidP="000813D9">
            <w:pPr>
              <w:pStyle w:val="ListParagraph"/>
              <w:numPr>
                <w:ilvl w:val="0"/>
                <w:numId w:val="15"/>
              </w:numPr>
              <w:ind w:left="357" w:hanging="357"/>
              <w:jc w:val="left"/>
              <w:rPr>
                <w:rFonts w:cstheme="minorHAnsi"/>
                <w:sz w:val="22"/>
                <w:szCs w:val="22"/>
              </w:rPr>
            </w:pPr>
            <w:r w:rsidRPr="000813D9">
              <w:rPr>
                <w:rFonts w:cstheme="minorHAnsi"/>
                <w:sz w:val="22"/>
                <w:szCs w:val="22"/>
              </w:rPr>
              <w:t>Impact of Sickness Absence;</w:t>
            </w:r>
          </w:p>
          <w:p w14:paraId="4B091A61" w14:textId="77777777" w:rsidR="000813D9" w:rsidRPr="000813D9" w:rsidRDefault="000813D9" w:rsidP="000813D9">
            <w:pPr>
              <w:pStyle w:val="ListParagraph"/>
              <w:numPr>
                <w:ilvl w:val="0"/>
                <w:numId w:val="15"/>
              </w:numPr>
              <w:ind w:left="357" w:hanging="357"/>
              <w:jc w:val="left"/>
              <w:rPr>
                <w:rFonts w:cstheme="minorHAnsi"/>
                <w:sz w:val="22"/>
                <w:szCs w:val="22"/>
              </w:rPr>
            </w:pPr>
            <w:r w:rsidRPr="000813D9">
              <w:rPr>
                <w:rFonts w:cstheme="minorHAnsi"/>
                <w:sz w:val="22"/>
                <w:szCs w:val="22"/>
              </w:rPr>
              <w:t xml:space="preserve">UK leaving the European Union (Brexit) </w:t>
            </w:r>
          </w:p>
          <w:p w14:paraId="3745E962" w14:textId="77777777" w:rsidR="000813D9" w:rsidRDefault="000813D9" w:rsidP="000813D9">
            <w:pPr>
              <w:pStyle w:val="ListParagraph"/>
              <w:numPr>
                <w:ilvl w:val="0"/>
                <w:numId w:val="15"/>
              </w:numPr>
              <w:ind w:left="357" w:hanging="357"/>
              <w:jc w:val="left"/>
              <w:rPr>
                <w:rFonts w:cstheme="minorHAnsi"/>
                <w:sz w:val="22"/>
                <w:szCs w:val="22"/>
              </w:rPr>
            </w:pPr>
            <w:r w:rsidRPr="000813D9">
              <w:rPr>
                <w:rFonts w:cstheme="minorHAnsi"/>
                <w:sz w:val="22"/>
                <w:szCs w:val="22"/>
              </w:rPr>
              <w:t>Legislative Changes to HMRC rules around employment status and pension taxation;</w:t>
            </w:r>
          </w:p>
          <w:p w14:paraId="50BFBDAE" w14:textId="6F7A1A37" w:rsidR="000813D9" w:rsidRPr="000813D9" w:rsidRDefault="000813D9" w:rsidP="000813D9">
            <w:pPr>
              <w:pStyle w:val="ListParagraph"/>
              <w:numPr>
                <w:ilvl w:val="0"/>
                <w:numId w:val="15"/>
              </w:numPr>
              <w:ind w:left="357" w:hanging="357"/>
              <w:jc w:val="left"/>
              <w:rPr>
                <w:rFonts w:cstheme="minorHAnsi"/>
                <w:sz w:val="22"/>
                <w:szCs w:val="22"/>
              </w:rPr>
            </w:pPr>
            <w:r>
              <w:rPr>
                <w:rFonts w:cstheme="minorHAnsi"/>
                <w:sz w:val="22"/>
                <w:szCs w:val="22"/>
              </w:rPr>
              <w:t>Essential skills levels</w:t>
            </w:r>
            <w:r w:rsidR="0007621C">
              <w:rPr>
                <w:rFonts w:cstheme="minorHAnsi"/>
                <w:sz w:val="22"/>
                <w:szCs w:val="22"/>
              </w:rPr>
              <w:t xml:space="preserve"> for HCSWs</w:t>
            </w:r>
          </w:p>
          <w:p w14:paraId="2EFCC7F8" w14:textId="38529870" w:rsidR="000813D9" w:rsidRPr="000813D9" w:rsidRDefault="000813D9" w:rsidP="000813D9">
            <w:pPr>
              <w:rPr>
                <w:rFonts w:cstheme="minorHAnsi"/>
              </w:rPr>
            </w:pPr>
          </w:p>
        </w:tc>
      </w:tr>
    </w:tbl>
    <w:p w14:paraId="5776FC1D" w14:textId="3A14B789" w:rsidR="00261D02" w:rsidRPr="00FE6DEC" w:rsidRDefault="00261D02" w:rsidP="00FE6DEC">
      <w:pPr>
        <w:pStyle w:val="Heading3"/>
      </w:pPr>
      <w:r w:rsidRPr="00FE6DEC">
        <w:t>Performance</w:t>
      </w:r>
      <w:r w:rsidR="00905C69">
        <w:t xml:space="preserve"> Challenges</w:t>
      </w:r>
    </w:p>
    <w:bookmarkEnd w:id="57"/>
    <w:bookmarkEnd w:id="58"/>
    <w:p w14:paraId="3419775B" w14:textId="19E22209" w:rsidR="00CD7A05" w:rsidRDefault="00CD7A05" w:rsidP="00CD7A05">
      <w:pPr>
        <w:rPr>
          <w:rFonts w:asciiTheme="minorHAnsi" w:hAnsiTheme="minorHAnsi"/>
          <w:szCs w:val="22"/>
        </w:rPr>
      </w:pPr>
      <w:r w:rsidRPr="00CF5B9E">
        <w:rPr>
          <w:rFonts w:asciiTheme="minorHAnsi" w:hAnsiTheme="minorHAnsi"/>
          <w:szCs w:val="22"/>
        </w:rPr>
        <w:t>The</w:t>
      </w:r>
      <w:r>
        <w:rPr>
          <w:rFonts w:asciiTheme="minorHAnsi" w:hAnsiTheme="minorHAnsi"/>
          <w:szCs w:val="22"/>
        </w:rPr>
        <w:t xml:space="preserve">re is no doubt that 2019/20 has been the most difficult </w:t>
      </w:r>
      <w:r w:rsidR="007B6DC3">
        <w:rPr>
          <w:rFonts w:asciiTheme="minorHAnsi" w:hAnsiTheme="minorHAnsi"/>
          <w:szCs w:val="22"/>
        </w:rPr>
        <w:t xml:space="preserve">performance </w:t>
      </w:r>
      <w:r>
        <w:rPr>
          <w:rFonts w:asciiTheme="minorHAnsi" w:hAnsiTheme="minorHAnsi"/>
          <w:szCs w:val="22"/>
        </w:rPr>
        <w:t>year</w:t>
      </w:r>
      <w:r w:rsidR="00042FD8">
        <w:rPr>
          <w:rFonts w:asciiTheme="minorHAnsi" w:hAnsiTheme="minorHAnsi"/>
          <w:szCs w:val="22"/>
        </w:rPr>
        <w:t xml:space="preserve"> for the Health Board</w:t>
      </w:r>
      <w:r>
        <w:rPr>
          <w:rFonts w:asciiTheme="minorHAnsi" w:hAnsiTheme="minorHAnsi"/>
          <w:szCs w:val="22"/>
        </w:rPr>
        <w:t xml:space="preserve"> , given the significant issues that have come to light, with an urgent need to respond positively to recover from the deteriorating performance that has occurred in a number of areas and regain the confidence of our residents.</w:t>
      </w:r>
      <w:r w:rsidR="007B6DC3">
        <w:rPr>
          <w:rFonts w:asciiTheme="minorHAnsi" w:hAnsiTheme="minorHAnsi"/>
          <w:szCs w:val="22"/>
        </w:rPr>
        <w:t xml:space="preserve">  </w:t>
      </w:r>
      <w:r>
        <w:rPr>
          <w:rFonts w:asciiTheme="minorHAnsi" w:hAnsiTheme="minorHAnsi"/>
          <w:szCs w:val="22"/>
        </w:rPr>
        <w:t xml:space="preserve">These issues </w:t>
      </w:r>
      <w:r w:rsidR="00042FD8">
        <w:rPr>
          <w:rFonts w:asciiTheme="minorHAnsi" w:hAnsiTheme="minorHAnsi"/>
          <w:szCs w:val="22"/>
        </w:rPr>
        <w:t xml:space="preserve">have </w:t>
      </w:r>
      <w:r>
        <w:rPr>
          <w:rFonts w:asciiTheme="minorHAnsi" w:hAnsiTheme="minorHAnsi"/>
          <w:szCs w:val="22"/>
        </w:rPr>
        <w:t>come at a time of si</w:t>
      </w:r>
      <w:r w:rsidR="007B6DC3">
        <w:rPr>
          <w:rFonts w:asciiTheme="minorHAnsi" w:hAnsiTheme="minorHAnsi"/>
          <w:szCs w:val="22"/>
        </w:rPr>
        <w:t>gnificant organisational change.</w:t>
      </w:r>
      <w:r>
        <w:rPr>
          <w:rFonts w:asciiTheme="minorHAnsi" w:hAnsiTheme="minorHAnsi"/>
          <w:szCs w:val="22"/>
        </w:rPr>
        <w:t xml:space="preserve">  </w:t>
      </w:r>
      <w:r w:rsidR="00C45070">
        <w:rPr>
          <w:rFonts w:asciiTheme="minorHAnsi" w:hAnsiTheme="minorHAnsi"/>
          <w:szCs w:val="22"/>
        </w:rPr>
        <w:t>In Bridgend we</w:t>
      </w:r>
      <w:r>
        <w:rPr>
          <w:rFonts w:asciiTheme="minorHAnsi" w:hAnsiTheme="minorHAnsi"/>
          <w:szCs w:val="22"/>
        </w:rPr>
        <w:t xml:space="preserve"> have faced significant challenges in unscheduled care leading to targeted intervention, </w:t>
      </w:r>
      <w:r w:rsidR="00C45070">
        <w:rPr>
          <w:rFonts w:asciiTheme="minorHAnsi" w:hAnsiTheme="minorHAnsi"/>
          <w:szCs w:val="22"/>
        </w:rPr>
        <w:t>and breaches in</w:t>
      </w:r>
      <w:r>
        <w:rPr>
          <w:rFonts w:asciiTheme="minorHAnsi" w:hAnsiTheme="minorHAnsi"/>
          <w:szCs w:val="22"/>
        </w:rPr>
        <w:t xml:space="preserve"> elective Orthopaedic capacity within </w:t>
      </w:r>
      <w:r w:rsidR="00140573">
        <w:rPr>
          <w:rFonts w:asciiTheme="minorHAnsi" w:hAnsiTheme="minorHAnsi"/>
          <w:szCs w:val="22"/>
        </w:rPr>
        <w:t>NPTH</w:t>
      </w:r>
      <w:r>
        <w:rPr>
          <w:rFonts w:asciiTheme="minorHAnsi" w:hAnsiTheme="minorHAnsi"/>
          <w:szCs w:val="22"/>
        </w:rPr>
        <w:t xml:space="preserve"> </w:t>
      </w:r>
      <w:r w:rsidR="00C45070">
        <w:rPr>
          <w:rFonts w:asciiTheme="minorHAnsi" w:hAnsiTheme="minorHAnsi"/>
          <w:szCs w:val="22"/>
        </w:rPr>
        <w:t xml:space="preserve">provided by </w:t>
      </w:r>
      <w:r>
        <w:rPr>
          <w:rFonts w:asciiTheme="minorHAnsi" w:hAnsiTheme="minorHAnsi"/>
          <w:szCs w:val="22"/>
        </w:rPr>
        <w:t>Swansea Bay UHB.</w:t>
      </w:r>
    </w:p>
    <w:p w14:paraId="5004A22B" w14:textId="77777777" w:rsidR="00CD7A05" w:rsidRDefault="00CD7A05" w:rsidP="00CD7A05">
      <w:pPr>
        <w:rPr>
          <w:rFonts w:asciiTheme="minorHAnsi" w:hAnsiTheme="minorHAnsi"/>
          <w:szCs w:val="22"/>
        </w:rPr>
      </w:pPr>
    </w:p>
    <w:p w14:paraId="494911CF" w14:textId="407807C4" w:rsidR="00CD7A05" w:rsidRDefault="00CD7A05" w:rsidP="00CD7A05">
      <w:pPr>
        <w:rPr>
          <w:rFonts w:asciiTheme="minorHAnsi" w:hAnsiTheme="minorHAnsi"/>
          <w:szCs w:val="22"/>
        </w:rPr>
      </w:pPr>
      <w:r>
        <w:rPr>
          <w:rFonts w:asciiTheme="minorHAnsi" w:hAnsiTheme="minorHAnsi"/>
          <w:szCs w:val="22"/>
        </w:rPr>
        <w:t xml:space="preserve">The consequences for performance in a number </w:t>
      </w:r>
      <w:r w:rsidR="001F5D48">
        <w:rPr>
          <w:rFonts w:asciiTheme="minorHAnsi" w:hAnsiTheme="minorHAnsi"/>
          <w:szCs w:val="22"/>
        </w:rPr>
        <w:t>of</w:t>
      </w:r>
      <w:r>
        <w:rPr>
          <w:rFonts w:asciiTheme="minorHAnsi" w:hAnsiTheme="minorHAnsi"/>
          <w:szCs w:val="22"/>
        </w:rPr>
        <w:t xml:space="preserve"> key target areas has been significant</w:t>
      </w:r>
      <w:r w:rsidR="001F5D48">
        <w:rPr>
          <w:rFonts w:asciiTheme="minorHAnsi" w:hAnsiTheme="minorHAnsi"/>
          <w:szCs w:val="22"/>
        </w:rPr>
        <w:t xml:space="preserve">.  </w:t>
      </w:r>
      <w:r>
        <w:rPr>
          <w:rFonts w:asciiTheme="minorHAnsi" w:hAnsiTheme="minorHAnsi"/>
          <w:szCs w:val="22"/>
        </w:rPr>
        <w:t>Interventions carried out by the D</w:t>
      </w:r>
      <w:r w:rsidR="009C6C70">
        <w:rPr>
          <w:rFonts w:asciiTheme="minorHAnsi" w:hAnsiTheme="minorHAnsi"/>
          <w:szCs w:val="22"/>
        </w:rPr>
        <w:t>U</w:t>
      </w:r>
      <w:r>
        <w:rPr>
          <w:rFonts w:asciiTheme="minorHAnsi" w:hAnsiTheme="minorHAnsi"/>
          <w:szCs w:val="22"/>
        </w:rPr>
        <w:t xml:space="preserve">, in some cases initiated by the </w:t>
      </w:r>
      <w:r w:rsidR="00411B9E">
        <w:rPr>
          <w:rFonts w:asciiTheme="minorHAnsi" w:hAnsiTheme="minorHAnsi"/>
          <w:szCs w:val="22"/>
        </w:rPr>
        <w:t>Health Board</w:t>
      </w:r>
      <w:r>
        <w:rPr>
          <w:rFonts w:asciiTheme="minorHAnsi" w:hAnsiTheme="minorHAnsi"/>
          <w:szCs w:val="22"/>
        </w:rPr>
        <w:t>, have highlighted governance weaknesses, particularly in terms of ensuring compliance with National rules for patient pathway management, as well as full compliance with data submissions for the purposes of National reporting o</w:t>
      </w:r>
      <w:r w:rsidR="00411B9E">
        <w:rPr>
          <w:rFonts w:asciiTheme="minorHAnsi" w:hAnsiTheme="minorHAnsi"/>
          <w:szCs w:val="22"/>
        </w:rPr>
        <w:t>f waiting times.  Whilst the Health Board</w:t>
      </w:r>
      <w:r>
        <w:rPr>
          <w:rFonts w:asciiTheme="minorHAnsi" w:hAnsiTheme="minorHAnsi"/>
          <w:szCs w:val="22"/>
        </w:rPr>
        <w:t xml:space="preserve"> has already responded to the recommendations and progress has been made, a targeted approach to training and compliance will be in place for 2020/21 onwards.</w:t>
      </w:r>
    </w:p>
    <w:p w14:paraId="133D04B3" w14:textId="77777777" w:rsidR="00CD7A05" w:rsidRDefault="00CD7A05" w:rsidP="00CD7A05">
      <w:pPr>
        <w:rPr>
          <w:rFonts w:asciiTheme="minorHAnsi" w:hAnsiTheme="minorHAnsi"/>
          <w:szCs w:val="22"/>
        </w:rPr>
      </w:pPr>
    </w:p>
    <w:p w14:paraId="26E9F9FB" w14:textId="70D6C5FB" w:rsidR="00CD7A05" w:rsidRDefault="00CD7A05" w:rsidP="00CD7A05">
      <w:pPr>
        <w:rPr>
          <w:rFonts w:asciiTheme="minorHAnsi" w:hAnsiTheme="minorHAnsi"/>
          <w:szCs w:val="22"/>
        </w:rPr>
      </w:pPr>
      <w:r>
        <w:rPr>
          <w:rFonts w:asciiTheme="minorHAnsi" w:hAnsiTheme="minorHAnsi"/>
          <w:szCs w:val="22"/>
        </w:rPr>
        <w:t>These interventions have also highlighted key diagnostic areas where competing demands are in excess of available capacity, where in the past the focus leaned too much towards reported waiting time areas.  This has now resulted in a balanced approach in areas such as Endoscopy, where the focus in areas such as bowel screening and surveillance monitoring is now greater.  It has however highlighted even more the gap between demand and capacity</w:t>
      </w:r>
      <w:r w:rsidR="006A0E07">
        <w:rPr>
          <w:rFonts w:asciiTheme="minorHAnsi" w:hAnsiTheme="minorHAnsi"/>
          <w:szCs w:val="22"/>
        </w:rPr>
        <w:t xml:space="preserve"> (D&amp;C)</w:t>
      </w:r>
      <w:r>
        <w:rPr>
          <w:rFonts w:asciiTheme="minorHAnsi" w:hAnsiTheme="minorHAnsi"/>
          <w:szCs w:val="22"/>
        </w:rPr>
        <w:t>, not uncommon a</w:t>
      </w:r>
      <w:r w:rsidR="00411B9E">
        <w:rPr>
          <w:rFonts w:asciiTheme="minorHAnsi" w:hAnsiTheme="minorHAnsi"/>
          <w:szCs w:val="22"/>
        </w:rPr>
        <w:t xml:space="preserve">cross Wales, with the </w:t>
      </w:r>
      <w:r w:rsidR="00DA0B5D">
        <w:rPr>
          <w:rFonts w:asciiTheme="minorHAnsi" w:hAnsiTheme="minorHAnsi"/>
          <w:szCs w:val="22"/>
        </w:rPr>
        <w:t>UHB</w:t>
      </w:r>
      <w:r>
        <w:rPr>
          <w:rFonts w:asciiTheme="minorHAnsi" w:hAnsiTheme="minorHAnsi"/>
          <w:szCs w:val="22"/>
        </w:rPr>
        <w:t xml:space="preserve"> fully engaged in the National </w:t>
      </w:r>
      <w:r w:rsidR="006A0E07">
        <w:rPr>
          <w:rFonts w:asciiTheme="minorHAnsi" w:hAnsiTheme="minorHAnsi"/>
          <w:szCs w:val="22"/>
        </w:rPr>
        <w:t>D&amp;C</w:t>
      </w:r>
      <w:r>
        <w:rPr>
          <w:rFonts w:asciiTheme="minorHAnsi" w:hAnsiTheme="minorHAnsi"/>
          <w:szCs w:val="22"/>
        </w:rPr>
        <w:t xml:space="preserve"> work.</w:t>
      </w:r>
    </w:p>
    <w:p w14:paraId="7927D970" w14:textId="77777777" w:rsidR="00CD7A05" w:rsidRDefault="00CD7A05" w:rsidP="00CD7A05">
      <w:pPr>
        <w:rPr>
          <w:rFonts w:asciiTheme="minorHAnsi" w:hAnsiTheme="minorHAnsi"/>
          <w:szCs w:val="22"/>
        </w:rPr>
      </w:pPr>
    </w:p>
    <w:p w14:paraId="08CD93EE" w14:textId="2C5CF736" w:rsidR="00CD7A05" w:rsidRPr="00CF5B9E" w:rsidRDefault="00CD7A05" w:rsidP="00CD7A05">
      <w:pPr>
        <w:rPr>
          <w:rFonts w:asciiTheme="minorHAnsi" w:hAnsiTheme="minorHAnsi"/>
          <w:szCs w:val="22"/>
        </w:rPr>
      </w:pPr>
      <w:r>
        <w:rPr>
          <w:rFonts w:asciiTheme="minorHAnsi" w:hAnsiTheme="minorHAnsi"/>
          <w:szCs w:val="22"/>
        </w:rPr>
        <w:t>As well as the impact of dealing with the governance issues around waiting lists, which has increased waiting times, a</w:t>
      </w:r>
      <w:r w:rsidRPr="00CF5B9E">
        <w:rPr>
          <w:rFonts w:asciiTheme="minorHAnsi" w:hAnsiTheme="minorHAnsi"/>
          <w:szCs w:val="22"/>
        </w:rPr>
        <w:t xml:space="preserve">vailable capacity for elective work has also been affected through unscheduled care pressures, with a greater number of elective cancellations at </w:t>
      </w:r>
      <w:r w:rsidR="00897141">
        <w:rPr>
          <w:rFonts w:asciiTheme="minorHAnsi" w:hAnsiTheme="minorHAnsi"/>
          <w:szCs w:val="22"/>
        </w:rPr>
        <w:t>PCH</w:t>
      </w:r>
      <w:r w:rsidRPr="00CF5B9E">
        <w:rPr>
          <w:rFonts w:asciiTheme="minorHAnsi" w:hAnsiTheme="minorHAnsi"/>
          <w:szCs w:val="22"/>
        </w:rPr>
        <w:t xml:space="preserve"> in particular.  </w:t>
      </w:r>
      <w:r>
        <w:rPr>
          <w:rFonts w:asciiTheme="minorHAnsi" w:hAnsiTheme="minorHAnsi"/>
          <w:szCs w:val="22"/>
        </w:rPr>
        <w:t xml:space="preserve">These capacity challenges have also impacted on </w:t>
      </w:r>
      <w:r>
        <w:rPr>
          <w:rFonts w:asciiTheme="minorHAnsi" w:hAnsiTheme="minorHAnsi"/>
          <w:szCs w:val="22"/>
        </w:rPr>
        <w:lastRenderedPageBreak/>
        <w:t>e</w:t>
      </w:r>
      <w:r w:rsidRPr="00CF5B9E">
        <w:rPr>
          <w:rFonts w:asciiTheme="minorHAnsi" w:hAnsiTheme="minorHAnsi"/>
          <w:szCs w:val="22"/>
        </w:rPr>
        <w:t>xpedient treatment of emergency patients</w:t>
      </w:r>
      <w:r>
        <w:rPr>
          <w:rFonts w:asciiTheme="minorHAnsi" w:hAnsiTheme="minorHAnsi"/>
          <w:szCs w:val="22"/>
        </w:rPr>
        <w:t xml:space="preserve">, where we have seen an increase in the </w:t>
      </w:r>
      <w:r w:rsidRPr="00CF5B9E">
        <w:rPr>
          <w:rFonts w:asciiTheme="minorHAnsi" w:hAnsiTheme="minorHAnsi"/>
          <w:szCs w:val="22"/>
        </w:rPr>
        <w:t xml:space="preserve">number of delayed transfers of care </w:t>
      </w:r>
      <w:r>
        <w:rPr>
          <w:rFonts w:asciiTheme="minorHAnsi" w:hAnsiTheme="minorHAnsi"/>
          <w:szCs w:val="22"/>
        </w:rPr>
        <w:t>throughout the year, which continues to rise</w:t>
      </w:r>
      <w:r w:rsidRPr="00CF5B9E">
        <w:rPr>
          <w:rFonts w:asciiTheme="minorHAnsi" w:hAnsiTheme="minorHAnsi"/>
          <w:szCs w:val="22"/>
        </w:rPr>
        <w:t>.</w:t>
      </w:r>
    </w:p>
    <w:p w14:paraId="51B0B6D9" w14:textId="77777777" w:rsidR="00CD7A05" w:rsidRPr="00CF5B9E" w:rsidRDefault="00CD7A05" w:rsidP="00CD7A05">
      <w:pPr>
        <w:rPr>
          <w:rFonts w:asciiTheme="minorHAnsi" w:hAnsiTheme="minorHAnsi"/>
          <w:szCs w:val="22"/>
        </w:rPr>
      </w:pPr>
    </w:p>
    <w:p w14:paraId="0363952D" w14:textId="72614247" w:rsidR="00CD7A05" w:rsidRDefault="00CD7A05" w:rsidP="00CD7A05">
      <w:pPr>
        <w:rPr>
          <w:rFonts w:asciiTheme="minorHAnsi" w:hAnsiTheme="minorHAnsi"/>
          <w:szCs w:val="22"/>
        </w:rPr>
      </w:pPr>
      <w:r w:rsidRPr="00CF5B9E">
        <w:rPr>
          <w:rFonts w:asciiTheme="minorHAnsi" w:hAnsiTheme="minorHAnsi"/>
          <w:szCs w:val="22"/>
        </w:rPr>
        <w:t>The impact from reduced patient flow also extends to services such as Stroke care, where compliance against the Quality Improvement Metrics remains low, particularly for timely tra</w:t>
      </w:r>
      <w:r>
        <w:rPr>
          <w:rFonts w:asciiTheme="minorHAnsi" w:hAnsiTheme="minorHAnsi"/>
          <w:szCs w:val="22"/>
        </w:rPr>
        <w:t>nsfer to the Stroke ward, but</w:t>
      </w:r>
      <w:r w:rsidRPr="00CF5B9E">
        <w:rPr>
          <w:rFonts w:asciiTheme="minorHAnsi" w:hAnsiTheme="minorHAnsi"/>
          <w:szCs w:val="22"/>
        </w:rPr>
        <w:t xml:space="preserve"> also for access to a specialist consultant within 24 hours of onset, </w:t>
      </w:r>
      <w:r>
        <w:rPr>
          <w:rFonts w:asciiTheme="minorHAnsi" w:hAnsiTheme="minorHAnsi"/>
          <w:szCs w:val="22"/>
        </w:rPr>
        <w:t>again highlighting</w:t>
      </w:r>
      <w:r w:rsidR="00411B9E">
        <w:rPr>
          <w:rFonts w:asciiTheme="minorHAnsi" w:hAnsiTheme="minorHAnsi"/>
          <w:szCs w:val="22"/>
        </w:rPr>
        <w:t xml:space="preserve"> the challenges faced by the Health Board</w:t>
      </w:r>
      <w:r>
        <w:rPr>
          <w:rFonts w:asciiTheme="minorHAnsi" w:hAnsiTheme="minorHAnsi"/>
          <w:szCs w:val="22"/>
        </w:rPr>
        <w:t xml:space="preserve"> in terms of substantive medical staff</w:t>
      </w:r>
      <w:r w:rsidRPr="00CF5B9E">
        <w:rPr>
          <w:rFonts w:asciiTheme="minorHAnsi" w:hAnsiTheme="minorHAnsi"/>
          <w:szCs w:val="22"/>
        </w:rPr>
        <w:t>.</w:t>
      </w:r>
    </w:p>
    <w:p w14:paraId="1E5E99DE" w14:textId="77777777" w:rsidR="00CD7A05" w:rsidRDefault="00CD7A05" w:rsidP="00CD7A05">
      <w:pPr>
        <w:rPr>
          <w:rFonts w:asciiTheme="minorHAnsi" w:hAnsiTheme="minorHAnsi"/>
          <w:szCs w:val="22"/>
        </w:rPr>
      </w:pPr>
    </w:p>
    <w:p w14:paraId="2E41AE2B" w14:textId="57E4C645" w:rsidR="00CD7A05" w:rsidRPr="00CF5B9E" w:rsidRDefault="00CD7A05" w:rsidP="00CD7A05">
      <w:pPr>
        <w:rPr>
          <w:rFonts w:asciiTheme="minorHAnsi" w:hAnsiTheme="minorHAnsi"/>
          <w:szCs w:val="22"/>
        </w:rPr>
      </w:pPr>
      <w:r>
        <w:rPr>
          <w:rFonts w:asciiTheme="minorHAnsi" w:hAnsiTheme="minorHAnsi"/>
          <w:szCs w:val="22"/>
        </w:rPr>
        <w:t xml:space="preserve">Future plans for improving patient flow and the configuration of unscheduled care within the </w:t>
      </w:r>
      <w:r w:rsidR="00411B9E">
        <w:rPr>
          <w:rFonts w:asciiTheme="minorHAnsi" w:hAnsiTheme="minorHAnsi"/>
          <w:szCs w:val="22"/>
        </w:rPr>
        <w:t>Health Board</w:t>
      </w:r>
      <w:r>
        <w:rPr>
          <w:rFonts w:asciiTheme="minorHAnsi" w:hAnsiTheme="minorHAnsi"/>
          <w:szCs w:val="22"/>
        </w:rPr>
        <w:t xml:space="preserve"> is a top priority for 2020/21.</w:t>
      </w:r>
    </w:p>
    <w:p w14:paraId="200E02BC" w14:textId="77777777" w:rsidR="00FE6DEC" w:rsidRPr="00081017" w:rsidRDefault="00FE6DEC" w:rsidP="00FE6DEC">
      <w:pPr>
        <w:pStyle w:val="Heading3"/>
      </w:pPr>
      <w:r w:rsidRPr="00081017">
        <w:t>Legislative and Policy Drivers</w:t>
      </w:r>
    </w:p>
    <w:p w14:paraId="1E244E50" w14:textId="0936849C" w:rsidR="00874781" w:rsidRPr="009A3B44" w:rsidRDefault="00874781" w:rsidP="00874781">
      <w:pPr>
        <w:autoSpaceDE w:val="0"/>
        <w:autoSpaceDN w:val="0"/>
        <w:adjustRightInd w:val="0"/>
        <w:rPr>
          <w:rFonts w:cs="Calibri"/>
          <w:szCs w:val="22"/>
        </w:rPr>
      </w:pPr>
      <w:r w:rsidRPr="009A3B44">
        <w:rPr>
          <w:rFonts w:cs="Calibri"/>
          <w:szCs w:val="22"/>
        </w:rPr>
        <w:t>The Health Board continues to reflect on the legislative landscape of the W</w:t>
      </w:r>
      <w:r w:rsidR="00DC4E60">
        <w:rPr>
          <w:rFonts w:cs="Calibri"/>
          <w:szCs w:val="22"/>
        </w:rPr>
        <w:t xml:space="preserve">ell-Being of Future Generations </w:t>
      </w:r>
      <w:r w:rsidR="00B22838">
        <w:rPr>
          <w:rFonts w:cs="Calibri"/>
          <w:szCs w:val="22"/>
        </w:rPr>
        <w:t xml:space="preserve">(WBFG) </w:t>
      </w:r>
      <w:r w:rsidRPr="009A3B44">
        <w:rPr>
          <w:rFonts w:cs="Calibri"/>
          <w:szCs w:val="22"/>
        </w:rPr>
        <w:t>(Wales) Act (2015)</w:t>
      </w:r>
      <w:r w:rsidR="00B22838">
        <w:rPr>
          <w:rFonts w:cs="Calibri"/>
          <w:szCs w:val="22"/>
        </w:rPr>
        <w:t>,</w:t>
      </w:r>
      <w:r w:rsidRPr="009A3B44">
        <w:rPr>
          <w:rFonts w:cs="Calibri"/>
          <w:szCs w:val="22"/>
        </w:rPr>
        <w:t xml:space="preserve"> the Social Services and Well-Being Act (2014) and the Public Health (Wales) Act 2017, informing our medium term planning as well as our longer term vision and 10 year </w:t>
      </w:r>
      <w:r w:rsidR="00F445C2">
        <w:rPr>
          <w:rFonts w:cs="Calibri"/>
          <w:szCs w:val="22"/>
        </w:rPr>
        <w:t>UHB</w:t>
      </w:r>
      <w:r w:rsidRPr="009A3B44">
        <w:rPr>
          <w:rFonts w:cs="Calibri"/>
          <w:szCs w:val="22"/>
        </w:rPr>
        <w:t xml:space="preserve"> Integrated Healthcare Strategy as we continue our evolution into</w:t>
      </w:r>
      <w:r w:rsidR="00DA0B5D">
        <w:rPr>
          <w:rFonts w:cs="Calibri"/>
          <w:szCs w:val="22"/>
        </w:rPr>
        <w:t xml:space="preserve"> CTM</w:t>
      </w:r>
      <w:r w:rsidRPr="009A3B44">
        <w:rPr>
          <w:rFonts w:cs="Calibri"/>
          <w:szCs w:val="22"/>
        </w:rPr>
        <w:t xml:space="preserve">. </w:t>
      </w:r>
    </w:p>
    <w:p w14:paraId="71DD1A9E" w14:textId="77777777" w:rsidR="00874781" w:rsidRPr="009A3B44" w:rsidRDefault="00874781" w:rsidP="00874781">
      <w:pPr>
        <w:autoSpaceDE w:val="0"/>
        <w:autoSpaceDN w:val="0"/>
        <w:adjustRightInd w:val="0"/>
        <w:rPr>
          <w:rFonts w:cs="Calibri"/>
          <w:szCs w:val="22"/>
          <w:highlight w:val="yellow"/>
        </w:rPr>
      </w:pPr>
    </w:p>
    <w:p w14:paraId="4A530B25" w14:textId="74CADC45" w:rsidR="00874781" w:rsidRPr="009A3B44" w:rsidRDefault="00874781" w:rsidP="00874781">
      <w:pPr>
        <w:autoSpaceDE w:val="0"/>
        <w:autoSpaceDN w:val="0"/>
        <w:adjustRightInd w:val="0"/>
        <w:rPr>
          <w:rFonts w:cs="Calibri"/>
          <w:szCs w:val="22"/>
        </w:rPr>
      </w:pPr>
      <w:r w:rsidRPr="009A3B44">
        <w:rPr>
          <w:rFonts w:cs="Calibri"/>
          <w:szCs w:val="22"/>
        </w:rPr>
        <w:t xml:space="preserve">A Healthier Wales: Our Plan for Health and Social Care and </w:t>
      </w:r>
      <w:r w:rsidRPr="009A3B44">
        <w:rPr>
          <w:rFonts w:asciiTheme="minorHAnsi" w:hAnsiTheme="minorHAnsi" w:cstheme="minorHAnsi"/>
          <w:szCs w:val="22"/>
        </w:rPr>
        <w:t xml:space="preserve">Prosperity </w:t>
      </w:r>
      <w:r w:rsidR="00AE0C07" w:rsidRPr="009A3B44">
        <w:rPr>
          <w:rFonts w:asciiTheme="minorHAnsi" w:hAnsiTheme="minorHAnsi" w:cstheme="minorHAnsi"/>
          <w:szCs w:val="22"/>
        </w:rPr>
        <w:t>for</w:t>
      </w:r>
      <w:r w:rsidRPr="009A3B44">
        <w:rPr>
          <w:rFonts w:asciiTheme="minorHAnsi" w:hAnsiTheme="minorHAnsi" w:cstheme="minorHAnsi"/>
          <w:szCs w:val="22"/>
        </w:rPr>
        <w:t xml:space="preserve"> All: The National Strategy, </w:t>
      </w:r>
      <w:r w:rsidR="00897141">
        <w:rPr>
          <w:rFonts w:asciiTheme="minorHAnsi" w:hAnsiTheme="minorHAnsi" w:cstheme="minorHAnsi"/>
          <w:szCs w:val="22"/>
        </w:rPr>
        <w:t>WG</w:t>
      </w:r>
      <w:r w:rsidRPr="009A3B44">
        <w:rPr>
          <w:rFonts w:asciiTheme="minorHAnsi" w:hAnsiTheme="minorHAnsi" w:cstheme="minorHAnsi"/>
          <w:szCs w:val="22"/>
        </w:rPr>
        <w:t xml:space="preserve"> 2017 continue to be the bedrock of our plans.  The growth of our clinical and community leadership will allow us to rise to the challenges of an ageing population and continued emphasis on well-being and sustainability will ensure we are continuing to improve the health and Wellbeing of our citizens. </w:t>
      </w:r>
    </w:p>
    <w:p w14:paraId="6EDF6C12" w14:textId="77777777" w:rsidR="00874781" w:rsidRPr="007B6DC3" w:rsidRDefault="00874781" w:rsidP="00874781">
      <w:pPr>
        <w:autoSpaceDE w:val="0"/>
        <w:autoSpaceDN w:val="0"/>
        <w:adjustRightInd w:val="0"/>
        <w:rPr>
          <w:rFonts w:asciiTheme="minorHAnsi" w:hAnsiTheme="minorHAnsi" w:cstheme="minorHAnsi"/>
          <w:szCs w:val="22"/>
        </w:rPr>
      </w:pPr>
    </w:p>
    <w:p w14:paraId="0C41E262" w14:textId="1D8F97CB" w:rsidR="00874781" w:rsidRPr="007B6DC3" w:rsidRDefault="00874781" w:rsidP="00874781">
      <w:pPr>
        <w:autoSpaceDE w:val="0"/>
        <w:autoSpaceDN w:val="0"/>
        <w:adjustRightInd w:val="0"/>
        <w:rPr>
          <w:rFonts w:asciiTheme="minorHAnsi" w:hAnsiTheme="minorHAnsi" w:cstheme="minorHAnsi"/>
          <w:szCs w:val="22"/>
        </w:rPr>
      </w:pPr>
      <w:r w:rsidRPr="007B6DC3">
        <w:rPr>
          <w:rFonts w:asciiTheme="minorHAnsi" w:hAnsiTheme="minorHAnsi" w:cstheme="minorHAnsi"/>
          <w:szCs w:val="22"/>
        </w:rPr>
        <w:t xml:space="preserve">The transformation of services required to meet the ambition of Healthier Wales will not be possible without the development of digital services informing evidence based planning through data. </w:t>
      </w:r>
      <w:r w:rsidR="00DC4E60">
        <w:rPr>
          <w:rFonts w:asciiTheme="minorHAnsi" w:hAnsiTheme="minorHAnsi" w:cstheme="minorHAnsi"/>
          <w:szCs w:val="22"/>
        </w:rPr>
        <w:t xml:space="preserve"> NWIS</w:t>
      </w:r>
      <w:r w:rsidRPr="007B6DC3">
        <w:rPr>
          <w:rFonts w:asciiTheme="minorHAnsi" w:hAnsiTheme="minorHAnsi" w:cstheme="minorHAnsi"/>
          <w:szCs w:val="22"/>
        </w:rPr>
        <w:t xml:space="preserve"> transitioning into a new standalone organisation and the four commissioned strategic reviews of digital health and care in Wales reflects the vital contribution of digital technology and data in modern health and care. </w:t>
      </w:r>
    </w:p>
    <w:p w14:paraId="5696762F" w14:textId="77777777" w:rsidR="00874781" w:rsidRDefault="00874781" w:rsidP="00874781">
      <w:pPr>
        <w:autoSpaceDE w:val="0"/>
        <w:autoSpaceDN w:val="0"/>
        <w:adjustRightInd w:val="0"/>
        <w:rPr>
          <w:rFonts w:asciiTheme="minorHAnsi" w:hAnsiTheme="minorHAnsi" w:cstheme="minorHAnsi"/>
          <w:szCs w:val="22"/>
        </w:rPr>
      </w:pPr>
    </w:p>
    <w:p w14:paraId="17917BC1" w14:textId="0865A549" w:rsidR="008602A4" w:rsidRPr="00602C86" w:rsidRDefault="00C16F9B" w:rsidP="008602A4">
      <w:pPr>
        <w:jc w:val="left"/>
        <w:rPr>
          <w:rFonts w:asciiTheme="minorHAnsi" w:hAnsiTheme="minorHAnsi" w:cs="Times New Roman"/>
          <w:szCs w:val="22"/>
          <w:lang w:val="en"/>
        </w:rPr>
      </w:pPr>
      <w:r>
        <w:rPr>
          <w:rFonts w:asciiTheme="minorHAnsi" w:hAnsiTheme="minorHAnsi" w:cs="Arial"/>
          <w:color w:val="1F1F1F"/>
          <w:szCs w:val="22"/>
          <w:lang w:val="en"/>
        </w:rPr>
        <w:t xml:space="preserve">The </w:t>
      </w:r>
      <w:r w:rsidRPr="00543ED6">
        <w:rPr>
          <w:rFonts w:asciiTheme="minorHAnsi" w:hAnsiTheme="minorHAnsi" w:cs="Arial"/>
          <w:color w:val="1F1F1F"/>
          <w:szCs w:val="22"/>
          <w:lang w:val="en"/>
        </w:rPr>
        <w:t>Health and Social Care (Quality and Engagement) (Wales) Bill</w:t>
      </w:r>
      <w:r>
        <w:rPr>
          <w:rFonts w:asciiTheme="minorHAnsi" w:hAnsiTheme="minorHAnsi" w:cs="Arial"/>
          <w:szCs w:val="22"/>
          <w:shd w:val="clear" w:color="auto" w:fill="FFFFFF"/>
        </w:rPr>
        <w:t xml:space="preserve"> will provide the legislative framework through which quality will be expressed, and HBs held to account.</w:t>
      </w:r>
      <w:r w:rsidRPr="00C2093D">
        <w:rPr>
          <w:rFonts w:asciiTheme="minorHAnsi" w:hAnsiTheme="minorHAnsi" w:cs="Arial"/>
          <w:szCs w:val="22"/>
          <w:shd w:val="clear" w:color="auto" w:fill="FFFFFF"/>
        </w:rPr>
        <w:t xml:space="preserve"> </w:t>
      </w:r>
      <w:r w:rsidR="008602A4">
        <w:rPr>
          <w:rFonts w:asciiTheme="minorHAnsi" w:hAnsiTheme="minorHAnsi" w:cs="Arial"/>
          <w:szCs w:val="22"/>
          <w:shd w:val="clear" w:color="auto" w:fill="FFFFFF"/>
        </w:rPr>
        <w:t xml:space="preserve"> </w:t>
      </w:r>
      <w:r w:rsidR="008602A4" w:rsidRPr="008602A4">
        <w:rPr>
          <w:rFonts w:asciiTheme="minorHAnsi" w:hAnsiTheme="minorHAnsi" w:cs="Lucida Sans Unicode"/>
          <w:szCs w:val="22"/>
          <w:lang w:val="en"/>
        </w:rPr>
        <w:t xml:space="preserve">The Bill, which </w:t>
      </w:r>
      <w:r w:rsidR="008602A4">
        <w:rPr>
          <w:rFonts w:asciiTheme="minorHAnsi" w:hAnsiTheme="minorHAnsi" w:cs="Lucida Sans Unicode"/>
          <w:szCs w:val="22"/>
          <w:lang w:val="en"/>
        </w:rPr>
        <w:t>is currently at Stage 3</w:t>
      </w:r>
      <w:r w:rsidR="00AD7A29">
        <w:rPr>
          <w:rFonts w:asciiTheme="minorHAnsi" w:hAnsiTheme="minorHAnsi" w:cs="Lucida Sans Unicode"/>
          <w:szCs w:val="22"/>
          <w:lang w:val="en"/>
        </w:rPr>
        <w:t xml:space="preserve"> and likely to be passed in 2020</w:t>
      </w:r>
      <w:r w:rsidR="00602C86">
        <w:rPr>
          <w:rFonts w:asciiTheme="minorHAnsi" w:hAnsiTheme="minorHAnsi" w:cs="Lucida Sans Unicode"/>
          <w:szCs w:val="22"/>
          <w:lang w:val="en"/>
        </w:rPr>
        <w:t xml:space="preserve"> </w:t>
      </w:r>
      <w:r w:rsidR="008602A4" w:rsidRPr="00602C86">
        <w:rPr>
          <w:rFonts w:asciiTheme="minorHAnsi" w:hAnsiTheme="minorHAnsi" w:cs="Lucida Sans Unicode"/>
          <w:szCs w:val="22"/>
          <w:lang w:val="en"/>
        </w:rPr>
        <w:t>proposes to introduce changes that:</w:t>
      </w:r>
    </w:p>
    <w:p w14:paraId="4345654B" w14:textId="77777777" w:rsidR="008602A4" w:rsidRPr="00602C86" w:rsidRDefault="008602A4" w:rsidP="008602A4">
      <w:pPr>
        <w:jc w:val="left"/>
        <w:rPr>
          <w:rFonts w:asciiTheme="minorHAnsi" w:hAnsiTheme="minorHAnsi" w:cs="Times New Roman"/>
          <w:szCs w:val="22"/>
          <w:lang w:val="en"/>
        </w:rPr>
      </w:pPr>
      <w:r w:rsidRPr="00602C86">
        <w:rPr>
          <w:rFonts w:asciiTheme="minorHAnsi" w:hAnsiTheme="minorHAnsi" w:cs="Lucida Sans Unicode"/>
          <w:szCs w:val="22"/>
          <w:lang w:val="en"/>
        </w:rPr>
        <w:t> </w:t>
      </w:r>
    </w:p>
    <w:p w14:paraId="584BC157" w14:textId="77777777" w:rsidR="008602A4" w:rsidRPr="00602C86" w:rsidRDefault="008602A4" w:rsidP="005F65CD">
      <w:pPr>
        <w:numPr>
          <w:ilvl w:val="0"/>
          <w:numId w:val="112"/>
        </w:numPr>
        <w:ind w:left="450"/>
        <w:jc w:val="left"/>
        <w:rPr>
          <w:rFonts w:asciiTheme="minorHAnsi" w:hAnsiTheme="minorHAnsi" w:cs="Times New Roman"/>
          <w:szCs w:val="22"/>
          <w:lang w:val="en"/>
        </w:rPr>
      </w:pPr>
      <w:r w:rsidRPr="00602C86">
        <w:rPr>
          <w:rFonts w:asciiTheme="minorHAnsi" w:hAnsiTheme="minorHAnsi" w:cs="Lucida Sans Unicode"/>
          <w:szCs w:val="22"/>
          <w:lang w:val="en"/>
        </w:rPr>
        <w:t xml:space="preserve">Place quality considerations at the heart of all the NHS in Wales, </w:t>
      </w:r>
    </w:p>
    <w:p w14:paraId="6D45114D" w14:textId="77777777" w:rsidR="008602A4" w:rsidRPr="00602C86" w:rsidRDefault="008602A4" w:rsidP="005F65CD">
      <w:pPr>
        <w:numPr>
          <w:ilvl w:val="0"/>
          <w:numId w:val="112"/>
        </w:numPr>
        <w:ind w:left="450"/>
        <w:jc w:val="left"/>
        <w:rPr>
          <w:rFonts w:asciiTheme="minorHAnsi" w:hAnsiTheme="minorHAnsi" w:cs="Times New Roman"/>
          <w:szCs w:val="22"/>
          <w:lang w:val="en"/>
        </w:rPr>
      </w:pPr>
      <w:r w:rsidRPr="00602C86">
        <w:rPr>
          <w:rFonts w:asciiTheme="minorHAnsi" w:hAnsiTheme="minorHAnsi" w:cs="Lucida Sans Unicode"/>
          <w:szCs w:val="22"/>
          <w:lang w:val="en"/>
        </w:rPr>
        <w:t>Strengthen the voice of citizens across health and social services, with a new Citizen Voice Body for health and social care (replacing Community Health Councils);</w:t>
      </w:r>
    </w:p>
    <w:p w14:paraId="0DB5A9FE" w14:textId="77777777" w:rsidR="008602A4" w:rsidRPr="00602C86" w:rsidRDefault="008602A4" w:rsidP="005F65CD">
      <w:pPr>
        <w:numPr>
          <w:ilvl w:val="0"/>
          <w:numId w:val="112"/>
        </w:numPr>
        <w:ind w:left="450"/>
        <w:jc w:val="left"/>
        <w:rPr>
          <w:rFonts w:asciiTheme="minorHAnsi" w:hAnsiTheme="minorHAnsi" w:cs="Times New Roman"/>
          <w:szCs w:val="22"/>
          <w:lang w:val="en"/>
        </w:rPr>
      </w:pPr>
      <w:r w:rsidRPr="00602C86">
        <w:rPr>
          <w:rFonts w:asciiTheme="minorHAnsi" w:hAnsiTheme="minorHAnsi" w:cs="Lucida Sans Unicode"/>
          <w:szCs w:val="22"/>
          <w:lang w:val="en"/>
        </w:rPr>
        <w:t>Place a duty of candour on NHS organisations, requiring them to be open and honest when things go wrong; and</w:t>
      </w:r>
    </w:p>
    <w:p w14:paraId="0D4721DC" w14:textId="77777777" w:rsidR="008602A4" w:rsidRPr="00602C86" w:rsidRDefault="008602A4" w:rsidP="005F65CD">
      <w:pPr>
        <w:numPr>
          <w:ilvl w:val="0"/>
          <w:numId w:val="112"/>
        </w:numPr>
        <w:ind w:left="450"/>
        <w:jc w:val="left"/>
        <w:rPr>
          <w:rFonts w:asciiTheme="minorHAnsi" w:hAnsiTheme="minorHAnsi" w:cs="Times New Roman"/>
          <w:szCs w:val="22"/>
          <w:lang w:val="en"/>
        </w:rPr>
      </w:pPr>
      <w:r w:rsidRPr="00602C86">
        <w:rPr>
          <w:rFonts w:asciiTheme="minorHAnsi" w:hAnsiTheme="minorHAnsi" w:cs="Lucida Sans Unicode"/>
          <w:szCs w:val="22"/>
          <w:lang w:val="en"/>
        </w:rPr>
        <w:t>Strengthen the governance arrangements for NHS Trusts, by introducing a formal Vice Chair role for each Trust.</w:t>
      </w:r>
    </w:p>
    <w:p w14:paraId="5F508932" w14:textId="0D0D33C4" w:rsidR="00C16F9B" w:rsidRPr="007B6DC3" w:rsidRDefault="00C16F9B" w:rsidP="00874781">
      <w:pPr>
        <w:autoSpaceDE w:val="0"/>
        <w:autoSpaceDN w:val="0"/>
        <w:adjustRightInd w:val="0"/>
        <w:rPr>
          <w:rFonts w:asciiTheme="minorHAnsi" w:hAnsiTheme="minorHAnsi" w:cstheme="minorHAnsi"/>
          <w:szCs w:val="22"/>
        </w:rPr>
      </w:pPr>
    </w:p>
    <w:p w14:paraId="640C35B1" w14:textId="6540C5D5" w:rsidR="00FE6DEC" w:rsidRPr="007B6DC3" w:rsidRDefault="00874781" w:rsidP="00874781">
      <w:pPr>
        <w:autoSpaceDE w:val="0"/>
        <w:autoSpaceDN w:val="0"/>
        <w:adjustRightInd w:val="0"/>
        <w:rPr>
          <w:rFonts w:asciiTheme="minorHAnsi" w:hAnsiTheme="minorHAnsi" w:cstheme="minorHAnsi"/>
          <w:szCs w:val="22"/>
        </w:rPr>
      </w:pPr>
      <w:r w:rsidRPr="007B6DC3">
        <w:rPr>
          <w:rFonts w:asciiTheme="minorHAnsi" w:hAnsiTheme="minorHAnsi" w:cstheme="minorHAnsi"/>
          <w:szCs w:val="22"/>
        </w:rPr>
        <w:t>Wales remains vulnerable in the decision to leave the European Union and the undetermined impact on health and care services. This has influenced our planning for the next three years ensuring we are able to provide safe and effective services to our patients.</w:t>
      </w:r>
    </w:p>
    <w:p w14:paraId="13180AC5" w14:textId="1C61F126" w:rsidR="0020655A" w:rsidRPr="007B6DC3" w:rsidRDefault="0020655A">
      <w:pPr>
        <w:jc w:val="left"/>
        <w:rPr>
          <w:rFonts w:asciiTheme="minorHAnsi" w:hAnsiTheme="minorHAnsi" w:cstheme="minorHAnsi"/>
          <w:szCs w:val="22"/>
        </w:rPr>
      </w:pPr>
      <w:r w:rsidRPr="007B6DC3">
        <w:rPr>
          <w:rFonts w:asciiTheme="minorHAnsi" w:hAnsiTheme="minorHAnsi" w:cstheme="minorHAnsi"/>
          <w:szCs w:val="22"/>
        </w:rPr>
        <w:br w:type="page"/>
      </w:r>
    </w:p>
    <w:p w14:paraId="6CA88E29" w14:textId="2A208CF0" w:rsidR="00FB600F" w:rsidRPr="00ED3450" w:rsidRDefault="003A2D12" w:rsidP="00FB600F">
      <w:pPr>
        <w:pStyle w:val="Heading1"/>
        <w:ind w:left="1077" w:hanging="1077"/>
        <w:rPr>
          <w:szCs w:val="26"/>
        </w:rPr>
      </w:pPr>
      <w:bookmarkStart w:id="61" w:name="_Toc536195554"/>
      <w:bookmarkStart w:id="62" w:name="_Toc29573939"/>
      <w:r w:rsidRPr="0062325D">
        <w:rPr>
          <w:szCs w:val="26"/>
        </w:rPr>
        <w:lastRenderedPageBreak/>
        <w:t xml:space="preserve">QUALITY ASSURANCE AND </w:t>
      </w:r>
      <w:r w:rsidRPr="00ED3450">
        <w:rPr>
          <w:szCs w:val="26"/>
        </w:rPr>
        <w:t>IMPROVEMENT</w:t>
      </w:r>
      <w:bookmarkEnd w:id="61"/>
      <w:bookmarkEnd w:id="62"/>
    </w:p>
    <w:p w14:paraId="740B4FB7" w14:textId="77777777" w:rsidR="00EF5C9A" w:rsidRPr="00ED3450" w:rsidRDefault="00EF5C9A" w:rsidP="00EF5C9A">
      <w:pPr>
        <w:pStyle w:val="ListParagraph"/>
        <w:ind w:left="0"/>
        <w:rPr>
          <w:rFonts w:asciiTheme="minorHAnsi" w:hAnsiTheme="minorHAnsi"/>
          <w:i/>
          <w:szCs w:val="22"/>
        </w:rPr>
      </w:pPr>
      <w:bookmarkStart w:id="63" w:name="_Toc532299676"/>
      <w:bookmarkStart w:id="64" w:name="_Toc532463963"/>
      <w:bookmarkStart w:id="65" w:name="_Toc536195558"/>
      <w:bookmarkEnd w:id="46"/>
      <w:bookmarkEnd w:id="47"/>
      <w:bookmarkEnd w:id="48"/>
      <w:bookmarkEnd w:id="49"/>
      <w:bookmarkEnd w:id="50"/>
      <w:r w:rsidRPr="0062325D">
        <w:rPr>
          <w:rFonts w:asciiTheme="minorHAnsi" w:hAnsiTheme="minorHAnsi"/>
          <w:noProof/>
          <w:szCs w:val="22"/>
        </w:rPr>
        <w:drawing>
          <wp:anchor distT="0" distB="0" distL="114300" distR="114300" simplePos="0" relativeHeight="252945408" behindDoc="0" locked="0" layoutInCell="1" allowOverlap="1" wp14:anchorId="09C1E518" wp14:editId="6E7E8822">
            <wp:simplePos x="0" y="0"/>
            <wp:positionH relativeFrom="margin">
              <wp:posOffset>4227830</wp:posOffset>
            </wp:positionH>
            <wp:positionV relativeFrom="paragraph">
              <wp:posOffset>830580</wp:posOffset>
            </wp:positionV>
            <wp:extent cx="2293620" cy="1571625"/>
            <wp:effectExtent l="0" t="0" r="0" b="9525"/>
            <wp:wrapSquare wrapText="bothSides"/>
            <wp:docPr id="1796" name="Picture 1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293620" cy="1571625"/>
                    </a:xfrm>
                    <a:prstGeom prst="rect">
                      <a:avLst/>
                    </a:prstGeom>
                    <a:noFill/>
                  </pic:spPr>
                </pic:pic>
              </a:graphicData>
            </a:graphic>
            <wp14:sizeRelH relativeFrom="margin">
              <wp14:pctWidth>0</wp14:pctWidth>
            </wp14:sizeRelH>
            <wp14:sizeRelV relativeFrom="margin">
              <wp14:pctHeight>0</wp14:pctHeight>
            </wp14:sizeRelV>
          </wp:anchor>
        </w:drawing>
      </w:r>
      <w:r>
        <w:rPr>
          <w:i/>
          <w:szCs w:val="22"/>
        </w:rPr>
        <w:t xml:space="preserve">Quality is everybody’s business.  </w:t>
      </w:r>
      <w:r w:rsidRPr="00ED3450">
        <w:rPr>
          <w:i/>
          <w:szCs w:val="22"/>
        </w:rPr>
        <w:t xml:space="preserve">This chapter reflects on the Health Board’s plan for quality, the improvements being made and the assurance of quality.  Looking to 2020 – 2023, further changes are being implemented to ensure that </w:t>
      </w:r>
      <w:r w:rsidRPr="00ED3450">
        <w:rPr>
          <w:rFonts w:asciiTheme="minorHAnsi" w:hAnsiTheme="minorHAnsi"/>
          <w:i/>
          <w:szCs w:val="22"/>
        </w:rPr>
        <w:t>there is a unified approach across the Health Board following the boundary change of April 2019 and that learning continues following the quality challenges in previous years which resulted in the Health Board escalation to targeted intervention and special measures.</w:t>
      </w:r>
    </w:p>
    <w:p w14:paraId="70FE23F3" w14:textId="77777777" w:rsidR="00EF5C9A" w:rsidRPr="0062325D" w:rsidRDefault="00EF5C9A" w:rsidP="00EF5C9A">
      <w:pPr>
        <w:pStyle w:val="Heading2"/>
        <w:rPr>
          <w:szCs w:val="22"/>
        </w:rPr>
      </w:pPr>
      <w:bookmarkStart w:id="66" w:name="_Toc536195555"/>
      <w:bookmarkStart w:id="67" w:name="_Toc29573940"/>
      <w:r w:rsidRPr="0062325D">
        <w:rPr>
          <w:szCs w:val="22"/>
        </w:rPr>
        <w:t>Quality Strategy</w:t>
      </w:r>
      <w:bookmarkEnd w:id="66"/>
      <w:bookmarkEnd w:id="67"/>
    </w:p>
    <w:p w14:paraId="60B626DF" w14:textId="77777777" w:rsidR="00EF5C9A" w:rsidRDefault="00EF5C9A" w:rsidP="00EF5C9A">
      <w:pPr>
        <w:rPr>
          <w:rFonts w:asciiTheme="minorHAnsi" w:hAnsiTheme="minorHAnsi" w:cs="Arial"/>
          <w:szCs w:val="22"/>
          <w:shd w:val="clear" w:color="auto" w:fill="FFFFFF"/>
        </w:rPr>
      </w:pPr>
      <w:bookmarkStart w:id="68" w:name="_Toc536195556"/>
      <w:r>
        <w:rPr>
          <w:rFonts w:asciiTheme="minorHAnsi" w:hAnsiTheme="minorHAnsi" w:cs="Arial"/>
          <w:szCs w:val="22"/>
          <w:shd w:val="clear" w:color="auto" w:fill="FFFFFF"/>
        </w:rPr>
        <w:t xml:space="preserve">As outlined in the previous IMTP, in August 2018 an Interim Quality Strategy was developed for the former Cwm Taf catchment of CTMUHB with 6 key areas of focus: </w:t>
      </w:r>
      <w:r w:rsidRPr="00742728">
        <w:rPr>
          <w:rFonts w:asciiTheme="minorHAnsi" w:hAnsiTheme="minorHAnsi" w:cs="Arial"/>
          <w:b/>
          <w:szCs w:val="22"/>
          <w:shd w:val="clear" w:color="auto" w:fill="FFFFFF"/>
        </w:rPr>
        <w:t>listen, equity, enable, transparent, assure and improve</w:t>
      </w:r>
      <w:r>
        <w:rPr>
          <w:rFonts w:asciiTheme="minorHAnsi" w:hAnsiTheme="minorHAnsi" w:cs="Arial"/>
          <w:szCs w:val="22"/>
          <w:shd w:val="clear" w:color="auto" w:fill="FFFFFF"/>
        </w:rPr>
        <w:t xml:space="preserve">.  Whilst the direction of travel was considered as the development of a quality strategy for the new organisation’s footprint during 2019, it is apparent that quality requires fundamental embedding throughout the organisation in terms of planning, improvement and assurance.  To enable this, work has commenced on our organisational Values and Behaviours, a critical piece of work in ensuring our workforce is signed up to putting our population and patients at the centre of all we do.  Additionally, the UHB’s new operating model, which in turn will inform the development of the UHB’s developing ‘Integrated Health and Care Strategy’, aligns the clinical and managerial leadership at service and locality levels, ensuring quality is embedded in all we do and performance, finance regulatory excellence and most importantly positive patient experience are  outcomes of high quality care.  </w:t>
      </w:r>
      <w:r>
        <w:rPr>
          <w:rFonts w:asciiTheme="minorHAnsi" w:hAnsiTheme="minorHAnsi" w:cs="Arial"/>
          <w:color w:val="1F1F1F"/>
          <w:szCs w:val="22"/>
          <w:lang w:val="en"/>
        </w:rPr>
        <w:t xml:space="preserve">The </w:t>
      </w:r>
      <w:r w:rsidRPr="00543ED6">
        <w:rPr>
          <w:rFonts w:asciiTheme="minorHAnsi" w:hAnsiTheme="minorHAnsi" w:cs="Arial"/>
          <w:color w:val="1F1F1F"/>
          <w:szCs w:val="22"/>
          <w:lang w:val="en"/>
        </w:rPr>
        <w:t>Health and Social Care (Quality and Engagement) (Wales) Bill</w:t>
      </w:r>
      <w:r>
        <w:rPr>
          <w:rFonts w:asciiTheme="minorHAnsi" w:hAnsiTheme="minorHAnsi" w:cs="Arial"/>
          <w:szCs w:val="22"/>
          <w:shd w:val="clear" w:color="auto" w:fill="FFFFFF"/>
        </w:rPr>
        <w:t xml:space="preserve"> will provide the legislative framework through which quality will be expressed, and HBs held to account.</w:t>
      </w:r>
      <w:r w:rsidRPr="00C2093D">
        <w:rPr>
          <w:rFonts w:asciiTheme="minorHAnsi" w:hAnsiTheme="minorHAnsi" w:cs="Arial"/>
          <w:szCs w:val="22"/>
          <w:shd w:val="clear" w:color="auto" w:fill="FFFFFF"/>
        </w:rPr>
        <w:t xml:space="preserve"> </w:t>
      </w:r>
      <w:r>
        <w:rPr>
          <w:rFonts w:asciiTheme="minorHAnsi" w:hAnsiTheme="minorHAnsi" w:cs="Arial"/>
          <w:szCs w:val="22"/>
          <w:shd w:val="clear" w:color="auto" w:fill="FFFFFF"/>
        </w:rPr>
        <w:t xml:space="preserve"> A Quality Strategy is scheduled for April 2020. </w:t>
      </w:r>
    </w:p>
    <w:p w14:paraId="46FE341E" w14:textId="77777777" w:rsidR="00EF5C9A" w:rsidRDefault="00EF5C9A" w:rsidP="00EF5C9A">
      <w:pPr>
        <w:rPr>
          <w:rFonts w:asciiTheme="minorHAnsi" w:hAnsiTheme="minorHAnsi" w:cs="Arial"/>
          <w:szCs w:val="22"/>
          <w:shd w:val="clear" w:color="auto" w:fill="FFFFFF"/>
        </w:rPr>
      </w:pPr>
    </w:p>
    <w:p w14:paraId="21224D73" w14:textId="77777777" w:rsidR="00EF5C9A" w:rsidRDefault="00EF5C9A" w:rsidP="00EF5C9A">
      <w:pPr>
        <w:rPr>
          <w:rFonts w:asciiTheme="minorHAnsi" w:eastAsiaTheme="minorEastAsia" w:hAnsiTheme="minorHAnsi" w:cstheme="minorHAnsi"/>
          <w:bCs/>
          <w:kern w:val="24"/>
          <w:szCs w:val="22"/>
        </w:rPr>
      </w:pPr>
      <w:r>
        <w:rPr>
          <w:rFonts w:asciiTheme="minorHAnsi" w:hAnsiTheme="minorHAnsi" w:cs="Arial"/>
          <w:szCs w:val="22"/>
          <w:shd w:val="clear" w:color="auto" w:fill="FFFFFF"/>
        </w:rPr>
        <w:t xml:space="preserve">During 2019, the Quality and Patient Safety Governance Framework was developed to enable and establish systems and processes </w:t>
      </w:r>
      <w:r w:rsidRPr="0020655A">
        <w:rPr>
          <w:rFonts w:asciiTheme="minorHAnsi" w:hAnsiTheme="minorHAnsi" w:cs="Arial"/>
          <w:szCs w:val="22"/>
          <w:shd w:val="clear" w:color="auto" w:fill="FFFFFF"/>
        </w:rPr>
        <w:t xml:space="preserve">related to quality governance and improve the approach to assurance across the organisation. </w:t>
      </w:r>
      <w:r>
        <w:rPr>
          <w:rFonts w:asciiTheme="minorHAnsi" w:hAnsiTheme="minorHAnsi" w:cs="Arial"/>
          <w:szCs w:val="22"/>
          <w:shd w:val="clear" w:color="auto" w:fill="FFFFFF"/>
        </w:rPr>
        <w:t xml:space="preserve"> </w:t>
      </w:r>
      <w:r w:rsidRPr="0020655A">
        <w:rPr>
          <w:rFonts w:asciiTheme="minorHAnsi" w:eastAsiaTheme="minorEastAsia" w:hAnsiTheme="minorHAnsi" w:cstheme="minorHAnsi"/>
          <w:bCs/>
          <w:kern w:val="24"/>
          <w:szCs w:val="22"/>
        </w:rPr>
        <w:t>Progress made and the challenges face</w:t>
      </w:r>
      <w:r>
        <w:rPr>
          <w:rFonts w:asciiTheme="minorHAnsi" w:eastAsiaTheme="minorEastAsia" w:hAnsiTheme="minorHAnsi" w:cstheme="minorHAnsi"/>
          <w:bCs/>
          <w:kern w:val="24"/>
          <w:szCs w:val="22"/>
        </w:rPr>
        <w:t xml:space="preserve">d in implementing the quality and </w:t>
      </w:r>
      <w:r w:rsidRPr="0020655A">
        <w:rPr>
          <w:rFonts w:asciiTheme="minorHAnsi" w:eastAsiaTheme="minorEastAsia" w:hAnsiTheme="minorHAnsi" w:cstheme="minorHAnsi"/>
          <w:bCs/>
          <w:kern w:val="24"/>
          <w:szCs w:val="22"/>
        </w:rPr>
        <w:t>patient safety governance framework are highlighted below</w:t>
      </w:r>
      <w:r>
        <w:rPr>
          <w:rFonts w:asciiTheme="minorHAnsi" w:eastAsiaTheme="minorEastAsia" w:hAnsiTheme="minorHAnsi" w:cstheme="minorHAnsi"/>
          <w:bCs/>
          <w:kern w:val="24"/>
          <w:szCs w:val="22"/>
        </w:rPr>
        <w:t xml:space="preserve"> and a revised version of the Framework, based on learning from implementing the original, is expected at the end of March 2020. This will provide the foundation for the quality improvement approach across the organisation.</w:t>
      </w:r>
    </w:p>
    <w:p w14:paraId="3C01F37E" w14:textId="77777777" w:rsidR="00EF5C9A" w:rsidRDefault="00EF5C9A" w:rsidP="00EF5C9A">
      <w:pPr>
        <w:rPr>
          <w:rFonts w:asciiTheme="minorHAnsi" w:eastAsiaTheme="minorEastAsia" w:hAnsiTheme="minorHAnsi" w:cstheme="minorHAnsi"/>
          <w:bCs/>
          <w:kern w:val="24"/>
          <w:szCs w:val="22"/>
        </w:rPr>
      </w:pPr>
    </w:p>
    <w:p w14:paraId="31E703E3" w14:textId="77777777" w:rsidR="00EF5C9A" w:rsidRDefault="00EF5C9A" w:rsidP="00EF5C9A">
      <w:pPr>
        <w:rPr>
          <w:rFonts w:asciiTheme="minorHAnsi" w:eastAsiaTheme="minorEastAsia" w:hAnsiTheme="minorHAnsi" w:cstheme="minorHAnsi"/>
          <w:bCs/>
          <w:kern w:val="24"/>
          <w:szCs w:val="22"/>
        </w:rPr>
      </w:pPr>
      <w:r>
        <w:rPr>
          <w:rFonts w:asciiTheme="minorHAnsi" w:eastAsiaTheme="minorEastAsia" w:hAnsiTheme="minorHAnsi" w:cstheme="minorHAnsi"/>
          <w:b/>
          <w:bCs/>
          <w:kern w:val="24"/>
          <w:szCs w:val="22"/>
        </w:rPr>
        <w:t>Milestones:</w:t>
      </w:r>
    </w:p>
    <w:p w14:paraId="068CF083" w14:textId="77777777" w:rsidR="00EF5C9A" w:rsidRDefault="00EF5C9A" w:rsidP="00EF5C9A">
      <w:pPr>
        <w:rPr>
          <w:rFonts w:asciiTheme="minorHAnsi" w:eastAsiaTheme="minorEastAsia" w:hAnsiTheme="minorHAnsi" w:cstheme="minorHAnsi"/>
          <w:bCs/>
          <w:kern w:val="24"/>
          <w:szCs w:val="22"/>
        </w:rPr>
      </w:pPr>
      <w:r>
        <w:rPr>
          <w:rFonts w:asciiTheme="minorHAnsi" w:eastAsiaTheme="minorEastAsia" w:hAnsiTheme="minorHAnsi" w:cstheme="minorHAnsi"/>
          <w:bCs/>
          <w:noProof/>
          <w:kern w:val="24"/>
          <w:szCs w:val="22"/>
        </w:rPr>
        <w:drawing>
          <wp:inline distT="0" distB="0" distL="0" distR="0" wp14:anchorId="073965F5" wp14:editId="4009272B">
            <wp:extent cx="6748780" cy="792480"/>
            <wp:effectExtent l="0" t="0" r="0" b="7620"/>
            <wp:docPr id="1818" name="Picture 1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748780" cy="792480"/>
                    </a:xfrm>
                    <a:prstGeom prst="rect">
                      <a:avLst/>
                    </a:prstGeom>
                    <a:noFill/>
                  </pic:spPr>
                </pic:pic>
              </a:graphicData>
            </a:graphic>
          </wp:inline>
        </w:drawing>
      </w:r>
    </w:p>
    <w:tbl>
      <w:tblPr>
        <w:tblStyle w:val="TableGrid"/>
        <w:tblW w:w="10060" w:type="dxa"/>
        <w:tblLook w:val="04A0" w:firstRow="1" w:lastRow="0" w:firstColumn="1" w:lastColumn="0" w:noHBand="0" w:noVBand="1"/>
      </w:tblPr>
      <w:tblGrid>
        <w:gridCol w:w="5665"/>
        <w:gridCol w:w="2694"/>
        <w:gridCol w:w="1701"/>
      </w:tblGrid>
      <w:tr w:rsidR="00EF5C9A" w:rsidRPr="00F13A85" w14:paraId="00F62E92" w14:textId="77777777" w:rsidTr="00EF5C9A">
        <w:trPr>
          <w:trHeight w:val="1512"/>
        </w:trPr>
        <w:tc>
          <w:tcPr>
            <w:tcW w:w="5665" w:type="dxa"/>
          </w:tcPr>
          <w:p w14:paraId="67F38B48" w14:textId="77777777" w:rsidR="00EF5C9A" w:rsidRPr="00C06B3A" w:rsidRDefault="00EF5C9A" w:rsidP="00EF5C9A">
            <w:pPr>
              <w:jc w:val="center"/>
              <w:rPr>
                <w:rFonts w:asciiTheme="minorHAnsi" w:hAnsiTheme="minorHAnsi"/>
                <w:bCs/>
                <w:sz w:val="22"/>
              </w:rPr>
            </w:pPr>
            <w:r w:rsidRPr="00C06B3A">
              <w:rPr>
                <w:rFonts w:asciiTheme="minorHAnsi" w:hAnsiTheme="minorHAnsi"/>
                <w:bCs/>
                <w:sz w:val="22"/>
              </w:rPr>
              <w:t>Year 1</w:t>
            </w:r>
          </w:p>
          <w:p w14:paraId="0533441E" w14:textId="77777777" w:rsidR="00EF5C9A" w:rsidRPr="00C06B3A" w:rsidRDefault="00EF5C9A" w:rsidP="00EF5C9A">
            <w:pPr>
              <w:rPr>
                <w:rFonts w:asciiTheme="minorHAnsi" w:hAnsiTheme="minorHAnsi"/>
                <w:bCs/>
                <w:sz w:val="22"/>
              </w:rPr>
            </w:pPr>
          </w:p>
          <w:p w14:paraId="1AC8E926" w14:textId="77777777" w:rsidR="00EF5C9A" w:rsidRDefault="00EF5C9A" w:rsidP="00EF5C9A">
            <w:pPr>
              <w:rPr>
                <w:rFonts w:asciiTheme="minorHAnsi" w:hAnsiTheme="minorHAnsi"/>
                <w:bCs/>
                <w:sz w:val="22"/>
              </w:rPr>
            </w:pPr>
            <w:r>
              <w:rPr>
                <w:rFonts w:asciiTheme="minorHAnsi" w:hAnsiTheme="minorHAnsi"/>
                <w:bCs/>
                <w:sz w:val="22"/>
              </w:rPr>
              <w:t>Q1 Approve revised quality framework</w:t>
            </w:r>
          </w:p>
          <w:p w14:paraId="28A51DC3" w14:textId="77777777" w:rsidR="00EF5C9A" w:rsidRDefault="00EF5C9A" w:rsidP="00EF5C9A">
            <w:pPr>
              <w:rPr>
                <w:rFonts w:asciiTheme="minorHAnsi" w:hAnsiTheme="minorHAnsi"/>
                <w:bCs/>
                <w:sz w:val="22"/>
              </w:rPr>
            </w:pPr>
            <w:r>
              <w:rPr>
                <w:rFonts w:asciiTheme="minorHAnsi" w:hAnsiTheme="minorHAnsi"/>
                <w:bCs/>
                <w:sz w:val="22"/>
              </w:rPr>
              <w:t>Q1 Ensure all individuals in key operating model roles receive quality governance training</w:t>
            </w:r>
          </w:p>
          <w:p w14:paraId="61739C34" w14:textId="77777777" w:rsidR="00EF5C9A" w:rsidRDefault="00EF5C9A" w:rsidP="00EF5C9A">
            <w:pPr>
              <w:rPr>
                <w:rFonts w:asciiTheme="minorHAnsi" w:hAnsiTheme="minorHAnsi"/>
                <w:bCs/>
                <w:sz w:val="22"/>
              </w:rPr>
            </w:pPr>
            <w:r>
              <w:rPr>
                <w:rFonts w:asciiTheme="minorHAnsi" w:hAnsiTheme="minorHAnsi"/>
                <w:bCs/>
                <w:sz w:val="22"/>
              </w:rPr>
              <w:t>Q1 Commence use of learning and good practice tools to capture both across the organisation</w:t>
            </w:r>
          </w:p>
          <w:p w14:paraId="2B3C52FB" w14:textId="77777777" w:rsidR="00EF5C9A" w:rsidRDefault="00EF5C9A" w:rsidP="00EF5C9A">
            <w:pPr>
              <w:rPr>
                <w:rFonts w:asciiTheme="minorHAnsi" w:hAnsiTheme="minorHAnsi"/>
                <w:bCs/>
                <w:sz w:val="22"/>
              </w:rPr>
            </w:pPr>
            <w:r>
              <w:rPr>
                <w:rFonts w:asciiTheme="minorHAnsi" w:hAnsiTheme="minorHAnsi"/>
                <w:bCs/>
                <w:sz w:val="22"/>
              </w:rPr>
              <w:t>Q1 use newly approved QIA tool for all new plans, service changes, programmes and projects</w:t>
            </w:r>
          </w:p>
          <w:p w14:paraId="444823BA" w14:textId="77777777" w:rsidR="00EF5C9A" w:rsidRDefault="00EF5C9A" w:rsidP="00EF5C9A">
            <w:pPr>
              <w:rPr>
                <w:rFonts w:asciiTheme="minorHAnsi" w:hAnsiTheme="minorHAnsi"/>
                <w:bCs/>
                <w:sz w:val="22"/>
              </w:rPr>
            </w:pPr>
            <w:r>
              <w:rPr>
                <w:rFonts w:asciiTheme="minorHAnsi" w:hAnsiTheme="minorHAnsi"/>
                <w:bCs/>
                <w:sz w:val="22"/>
              </w:rPr>
              <w:t>Q2 Agree quality risks, priorities and ambitions</w:t>
            </w:r>
          </w:p>
          <w:p w14:paraId="1E8F676C" w14:textId="77777777" w:rsidR="00EF5C9A" w:rsidRDefault="00EF5C9A" w:rsidP="00EF5C9A">
            <w:pPr>
              <w:rPr>
                <w:rFonts w:asciiTheme="minorHAnsi" w:hAnsiTheme="minorHAnsi"/>
                <w:bCs/>
                <w:sz w:val="22"/>
              </w:rPr>
            </w:pPr>
            <w:r>
              <w:rPr>
                <w:rFonts w:asciiTheme="minorHAnsi" w:hAnsiTheme="minorHAnsi"/>
                <w:bCs/>
                <w:sz w:val="22"/>
              </w:rPr>
              <w:t>Q2 Co produce with staff at all levels and stakeholders the quality priorities for remainder of 3 year plan</w:t>
            </w:r>
          </w:p>
          <w:p w14:paraId="7E7F4D55" w14:textId="77777777" w:rsidR="00EF5C9A" w:rsidRDefault="00EF5C9A" w:rsidP="00EF5C9A">
            <w:pPr>
              <w:rPr>
                <w:rFonts w:asciiTheme="minorHAnsi" w:hAnsiTheme="minorHAnsi"/>
                <w:bCs/>
                <w:sz w:val="22"/>
              </w:rPr>
            </w:pPr>
            <w:r>
              <w:rPr>
                <w:rFonts w:asciiTheme="minorHAnsi" w:hAnsiTheme="minorHAnsi"/>
                <w:bCs/>
                <w:sz w:val="22"/>
              </w:rPr>
              <w:t>Q3 Develop the 3 year quality priority plan with delivery  milestones</w:t>
            </w:r>
          </w:p>
          <w:p w14:paraId="74C6B16F" w14:textId="77777777" w:rsidR="00EF5C9A" w:rsidRDefault="00EF5C9A" w:rsidP="00EF5C9A">
            <w:pPr>
              <w:rPr>
                <w:rFonts w:asciiTheme="minorHAnsi" w:hAnsiTheme="minorHAnsi"/>
                <w:bCs/>
                <w:sz w:val="22"/>
              </w:rPr>
            </w:pPr>
            <w:r>
              <w:rPr>
                <w:rFonts w:asciiTheme="minorHAnsi" w:hAnsiTheme="minorHAnsi"/>
                <w:bCs/>
                <w:sz w:val="22"/>
              </w:rPr>
              <w:t>Q4 Commence implementation of the quality priority programme for next 2 years across all 3 localities</w:t>
            </w:r>
          </w:p>
          <w:p w14:paraId="0591DD66" w14:textId="77777777" w:rsidR="00EF5C9A" w:rsidRPr="00C06B3A" w:rsidRDefault="00EF5C9A" w:rsidP="00EF5C9A">
            <w:pPr>
              <w:rPr>
                <w:rFonts w:asciiTheme="minorHAnsi" w:hAnsiTheme="minorHAnsi"/>
                <w:bCs/>
                <w:sz w:val="22"/>
              </w:rPr>
            </w:pPr>
          </w:p>
        </w:tc>
        <w:tc>
          <w:tcPr>
            <w:tcW w:w="2694" w:type="dxa"/>
          </w:tcPr>
          <w:p w14:paraId="47E73F16" w14:textId="77777777" w:rsidR="00EF5C9A" w:rsidRPr="00C06B3A" w:rsidRDefault="00EF5C9A" w:rsidP="00EF5C9A">
            <w:pPr>
              <w:jc w:val="center"/>
              <w:rPr>
                <w:rFonts w:asciiTheme="minorHAnsi" w:hAnsiTheme="minorHAnsi"/>
                <w:bCs/>
                <w:sz w:val="22"/>
              </w:rPr>
            </w:pPr>
            <w:r w:rsidRPr="00C06B3A">
              <w:rPr>
                <w:rFonts w:asciiTheme="minorHAnsi" w:hAnsiTheme="minorHAnsi"/>
                <w:bCs/>
                <w:sz w:val="22"/>
              </w:rPr>
              <w:t>Year 2</w:t>
            </w:r>
          </w:p>
          <w:p w14:paraId="0D6C0F34" w14:textId="77777777" w:rsidR="00EF5C9A" w:rsidRPr="00C06B3A" w:rsidRDefault="00EF5C9A" w:rsidP="00EF5C9A">
            <w:pPr>
              <w:rPr>
                <w:rFonts w:asciiTheme="minorHAnsi" w:hAnsiTheme="minorHAnsi"/>
                <w:bCs/>
                <w:sz w:val="22"/>
              </w:rPr>
            </w:pPr>
          </w:p>
          <w:p w14:paraId="058FFA10" w14:textId="77777777" w:rsidR="00EF5C9A" w:rsidRDefault="00EF5C9A" w:rsidP="00EF5C9A">
            <w:pPr>
              <w:rPr>
                <w:rFonts w:asciiTheme="minorHAnsi" w:hAnsiTheme="minorHAnsi"/>
                <w:bCs/>
                <w:sz w:val="22"/>
              </w:rPr>
            </w:pPr>
            <w:r>
              <w:rPr>
                <w:rFonts w:asciiTheme="minorHAnsi" w:hAnsiTheme="minorHAnsi"/>
                <w:bCs/>
                <w:sz w:val="22"/>
              </w:rPr>
              <w:t>Q1 Review delivery of year 1 milestones</w:t>
            </w:r>
          </w:p>
          <w:p w14:paraId="7F78E5D1" w14:textId="77777777" w:rsidR="00EF5C9A" w:rsidRPr="00C06B3A" w:rsidRDefault="00EF5C9A" w:rsidP="00EF5C9A">
            <w:pPr>
              <w:rPr>
                <w:rFonts w:asciiTheme="minorHAnsi" w:hAnsiTheme="minorHAnsi"/>
                <w:bCs/>
                <w:sz w:val="22"/>
              </w:rPr>
            </w:pPr>
            <w:r>
              <w:rPr>
                <w:rFonts w:asciiTheme="minorHAnsi" w:hAnsiTheme="minorHAnsi"/>
                <w:bCs/>
                <w:sz w:val="22"/>
              </w:rPr>
              <w:t>Q1 – 4 Deliver quality priority milestones for Year 2</w:t>
            </w:r>
          </w:p>
        </w:tc>
        <w:tc>
          <w:tcPr>
            <w:tcW w:w="1701" w:type="dxa"/>
          </w:tcPr>
          <w:p w14:paraId="5C1570FE" w14:textId="77777777" w:rsidR="00EF5C9A" w:rsidRPr="00C06B3A" w:rsidRDefault="00EF5C9A" w:rsidP="00EF5C9A">
            <w:pPr>
              <w:jc w:val="center"/>
              <w:rPr>
                <w:rFonts w:asciiTheme="minorHAnsi" w:hAnsiTheme="minorHAnsi"/>
                <w:bCs/>
                <w:sz w:val="22"/>
              </w:rPr>
            </w:pPr>
            <w:r w:rsidRPr="00C06B3A">
              <w:rPr>
                <w:rFonts w:asciiTheme="minorHAnsi" w:hAnsiTheme="minorHAnsi"/>
                <w:bCs/>
                <w:sz w:val="22"/>
              </w:rPr>
              <w:t>Year 3</w:t>
            </w:r>
          </w:p>
          <w:p w14:paraId="3D9CBA08" w14:textId="77777777" w:rsidR="00EF5C9A" w:rsidRPr="00C06B3A" w:rsidRDefault="00EF5C9A" w:rsidP="00EF5C9A">
            <w:pPr>
              <w:rPr>
                <w:rFonts w:asciiTheme="minorHAnsi" w:hAnsiTheme="minorHAnsi"/>
                <w:bCs/>
                <w:sz w:val="22"/>
              </w:rPr>
            </w:pPr>
          </w:p>
          <w:p w14:paraId="4099A51D" w14:textId="77777777" w:rsidR="00EF5C9A" w:rsidRDefault="00EF5C9A" w:rsidP="00EF5C9A">
            <w:pPr>
              <w:rPr>
                <w:rFonts w:asciiTheme="minorHAnsi" w:hAnsiTheme="minorHAnsi"/>
                <w:bCs/>
                <w:sz w:val="22"/>
              </w:rPr>
            </w:pPr>
            <w:r>
              <w:rPr>
                <w:rFonts w:asciiTheme="minorHAnsi" w:hAnsiTheme="minorHAnsi"/>
                <w:bCs/>
                <w:sz w:val="22"/>
              </w:rPr>
              <w:t>Q1 Review delivery of year 2 milestones</w:t>
            </w:r>
          </w:p>
          <w:p w14:paraId="61602C10" w14:textId="77777777" w:rsidR="00EF5C9A" w:rsidRDefault="00EF5C9A" w:rsidP="00EF5C9A">
            <w:pPr>
              <w:rPr>
                <w:rFonts w:asciiTheme="minorHAnsi" w:hAnsiTheme="minorHAnsi"/>
                <w:bCs/>
                <w:sz w:val="22"/>
              </w:rPr>
            </w:pPr>
            <w:r>
              <w:rPr>
                <w:rFonts w:asciiTheme="minorHAnsi" w:hAnsiTheme="minorHAnsi"/>
                <w:bCs/>
                <w:sz w:val="22"/>
              </w:rPr>
              <w:t>Q1 – 4 Delivery quality priority milestones for Year 3</w:t>
            </w:r>
          </w:p>
          <w:p w14:paraId="41875C8C" w14:textId="77777777" w:rsidR="00EF5C9A" w:rsidRPr="00C06B3A" w:rsidRDefault="00EF5C9A" w:rsidP="00EF5C9A">
            <w:pPr>
              <w:rPr>
                <w:rFonts w:asciiTheme="minorHAnsi" w:hAnsiTheme="minorHAnsi"/>
                <w:bCs/>
                <w:sz w:val="22"/>
              </w:rPr>
            </w:pPr>
            <w:r>
              <w:rPr>
                <w:rFonts w:asciiTheme="minorHAnsi" w:hAnsiTheme="minorHAnsi"/>
                <w:bCs/>
                <w:sz w:val="22"/>
              </w:rPr>
              <w:t>Q2 Plan for 2024 onwards</w:t>
            </w:r>
          </w:p>
        </w:tc>
      </w:tr>
    </w:tbl>
    <w:p w14:paraId="597D0C48" w14:textId="77777777" w:rsidR="00EF5C9A" w:rsidRPr="0020655A" w:rsidRDefault="00EF5C9A" w:rsidP="00EF5C9A">
      <w:pPr>
        <w:rPr>
          <w:rFonts w:asciiTheme="minorHAnsi" w:eastAsiaTheme="minorEastAsia" w:hAnsiTheme="minorHAnsi" w:cstheme="minorHAnsi"/>
          <w:bCs/>
          <w:kern w:val="24"/>
          <w:szCs w:val="22"/>
        </w:rPr>
      </w:pPr>
    </w:p>
    <w:tbl>
      <w:tblPr>
        <w:tblStyle w:val="TableGrid"/>
        <w:tblW w:w="1006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248"/>
        <w:gridCol w:w="5812"/>
      </w:tblGrid>
      <w:tr w:rsidR="00EF5C9A" w:rsidRPr="0020655A" w14:paraId="4F759BCA" w14:textId="77777777" w:rsidTr="00EF5C9A">
        <w:tc>
          <w:tcPr>
            <w:tcW w:w="4248" w:type="dxa"/>
          </w:tcPr>
          <w:p w14:paraId="2D4D1DAB" w14:textId="77777777" w:rsidR="00EF5C9A" w:rsidRPr="0020655A" w:rsidRDefault="00EF5C9A" w:rsidP="00EF5C9A">
            <w:pPr>
              <w:rPr>
                <w:rFonts w:asciiTheme="minorHAnsi" w:eastAsiaTheme="minorEastAsia" w:hAnsiTheme="minorHAnsi" w:cstheme="minorHAnsi"/>
                <w:b/>
                <w:bCs/>
                <w:kern w:val="24"/>
                <w:sz w:val="22"/>
                <w:szCs w:val="22"/>
              </w:rPr>
            </w:pPr>
            <w:r w:rsidRPr="0020655A">
              <w:rPr>
                <w:rFonts w:asciiTheme="minorHAnsi" w:eastAsiaTheme="minorEastAsia" w:hAnsiTheme="minorHAnsi" w:cstheme="minorHAnsi"/>
                <w:b/>
                <w:bCs/>
                <w:kern w:val="24"/>
                <w:sz w:val="22"/>
                <w:szCs w:val="22"/>
              </w:rPr>
              <w:t>Progress during 2019</w:t>
            </w:r>
            <w:r>
              <w:rPr>
                <w:rFonts w:asciiTheme="minorHAnsi" w:eastAsiaTheme="minorEastAsia" w:hAnsiTheme="minorHAnsi" w:cstheme="minorHAnsi"/>
                <w:b/>
                <w:bCs/>
                <w:kern w:val="24"/>
                <w:sz w:val="22"/>
                <w:szCs w:val="22"/>
              </w:rPr>
              <w:t>-20</w:t>
            </w:r>
            <w:r w:rsidRPr="0020655A">
              <w:rPr>
                <w:rFonts w:asciiTheme="minorHAnsi" w:eastAsiaTheme="minorEastAsia" w:hAnsiTheme="minorHAnsi" w:cstheme="minorHAnsi"/>
                <w:b/>
                <w:bCs/>
                <w:kern w:val="24"/>
                <w:sz w:val="22"/>
                <w:szCs w:val="22"/>
              </w:rPr>
              <w:t xml:space="preserve">:  </w:t>
            </w:r>
          </w:p>
        </w:tc>
        <w:tc>
          <w:tcPr>
            <w:tcW w:w="5812" w:type="dxa"/>
          </w:tcPr>
          <w:p w14:paraId="0277F819" w14:textId="77777777" w:rsidR="00EF5C9A" w:rsidRPr="0020655A" w:rsidRDefault="00EF5C9A" w:rsidP="00EF5C9A">
            <w:pPr>
              <w:rPr>
                <w:rFonts w:asciiTheme="minorHAnsi" w:eastAsiaTheme="minorEastAsia" w:hAnsiTheme="minorHAnsi" w:cstheme="minorHAnsi"/>
                <w:b/>
                <w:bCs/>
                <w:kern w:val="24"/>
                <w:sz w:val="22"/>
                <w:szCs w:val="22"/>
              </w:rPr>
            </w:pPr>
            <w:r w:rsidRPr="0020655A">
              <w:rPr>
                <w:rFonts w:asciiTheme="minorHAnsi" w:eastAsiaTheme="minorEastAsia" w:hAnsiTheme="minorHAnsi" w:cstheme="minorHAnsi"/>
                <w:b/>
                <w:bCs/>
                <w:kern w:val="24"/>
                <w:sz w:val="22"/>
                <w:szCs w:val="22"/>
              </w:rPr>
              <w:t xml:space="preserve">Challenges for 2020- 2023: </w:t>
            </w:r>
          </w:p>
        </w:tc>
      </w:tr>
      <w:tr w:rsidR="00EF5C9A" w:rsidRPr="0020655A" w14:paraId="5404F751" w14:textId="77777777" w:rsidTr="00EF5C9A">
        <w:tc>
          <w:tcPr>
            <w:tcW w:w="4248" w:type="dxa"/>
          </w:tcPr>
          <w:p w14:paraId="6DE683E0" w14:textId="77777777" w:rsidR="00EF5C9A" w:rsidRPr="0020655A" w:rsidRDefault="00EF5C9A" w:rsidP="00EF5C9A">
            <w:pPr>
              <w:numPr>
                <w:ilvl w:val="0"/>
                <w:numId w:val="76"/>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Increased clinical and management engagement</w:t>
            </w:r>
          </w:p>
          <w:p w14:paraId="3F5E2402" w14:textId="77777777" w:rsidR="00EF5C9A" w:rsidRPr="0020655A" w:rsidRDefault="00EF5C9A" w:rsidP="00EF5C9A">
            <w:pPr>
              <w:numPr>
                <w:ilvl w:val="0"/>
                <w:numId w:val="76"/>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Review of directorate governance arrangements </w:t>
            </w:r>
          </w:p>
          <w:p w14:paraId="19982F7B" w14:textId="77777777" w:rsidR="00EF5C9A" w:rsidRPr="0020655A" w:rsidRDefault="00EF5C9A" w:rsidP="00EF5C9A">
            <w:pPr>
              <w:numPr>
                <w:ilvl w:val="0"/>
                <w:numId w:val="76"/>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Alignment with values &amp; behaviours work &amp; targeted intervention </w:t>
            </w:r>
            <w:r>
              <w:rPr>
                <w:rFonts w:asciiTheme="minorHAnsi" w:eastAsiaTheme="minorEastAsia" w:hAnsiTheme="minorHAnsi" w:cstheme="minorHAnsi"/>
                <w:kern w:val="24"/>
                <w:sz w:val="22"/>
                <w:szCs w:val="22"/>
              </w:rPr>
              <w:t>workstreams</w:t>
            </w:r>
          </w:p>
          <w:p w14:paraId="7E62317C" w14:textId="77777777" w:rsidR="00EF5C9A" w:rsidRPr="0020655A" w:rsidRDefault="00EF5C9A" w:rsidP="00EF5C9A">
            <w:pPr>
              <w:numPr>
                <w:ilvl w:val="0"/>
                <w:numId w:val="76"/>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Quality dashboard development </w:t>
            </w:r>
          </w:p>
          <w:p w14:paraId="18115DE8" w14:textId="77777777" w:rsidR="00EF5C9A" w:rsidRPr="0020655A" w:rsidRDefault="00EF5C9A" w:rsidP="00EF5C9A">
            <w:pPr>
              <w:numPr>
                <w:ilvl w:val="0"/>
                <w:numId w:val="76"/>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All sub groups established, terms of reference review Ma</w:t>
            </w:r>
            <w:r>
              <w:rPr>
                <w:rFonts w:asciiTheme="minorHAnsi" w:eastAsiaTheme="minorEastAsia" w:hAnsiTheme="minorHAnsi" w:cstheme="minorHAnsi"/>
                <w:kern w:val="24"/>
                <w:sz w:val="22"/>
                <w:szCs w:val="22"/>
              </w:rPr>
              <w:t>y</w:t>
            </w:r>
            <w:r w:rsidRPr="0020655A">
              <w:rPr>
                <w:rFonts w:asciiTheme="minorHAnsi" w:eastAsiaTheme="minorEastAsia" w:hAnsiTheme="minorHAnsi" w:cstheme="minorHAnsi"/>
                <w:kern w:val="24"/>
                <w:sz w:val="22"/>
                <w:szCs w:val="22"/>
              </w:rPr>
              <w:t xml:space="preserve"> 2020</w:t>
            </w:r>
          </w:p>
          <w:p w14:paraId="6D4C4A7F" w14:textId="77777777" w:rsidR="00EF5C9A" w:rsidRPr="0020655A" w:rsidRDefault="00EF5C9A" w:rsidP="00EF5C9A">
            <w:pPr>
              <w:numPr>
                <w:ilvl w:val="0"/>
                <w:numId w:val="76"/>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Clinical policies sub group established, good engagement, reporting into Quality Improvement &amp; Clinical Effectiveness subgroup</w:t>
            </w:r>
          </w:p>
          <w:p w14:paraId="22D2D357" w14:textId="77777777" w:rsidR="00EF5C9A" w:rsidRPr="0020655A" w:rsidRDefault="00EF5C9A" w:rsidP="00EF5C9A">
            <w:pPr>
              <w:numPr>
                <w:ilvl w:val="0"/>
                <w:numId w:val="76"/>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Refresh of the framework underway</w:t>
            </w:r>
          </w:p>
          <w:p w14:paraId="0D0264FC" w14:textId="77777777" w:rsidR="00EF5C9A" w:rsidRPr="0020655A" w:rsidRDefault="00EF5C9A" w:rsidP="00EF5C9A">
            <w:pPr>
              <w:numPr>
                <w:ilvl w:val="0"/>
                <w:numId w:val="76"/>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Quality governance webpage develo</w:t>
            </w:r>
            <w:r>
              <w:rPr>
                <w:rFonts w:asciiTheme="minorHAnsi" w:eastAsiaTheme="minorEastAsia" w:hAnsiTheme="minorHAnsi" w:cstheme="minorHAnsi"/>
                <w:kern w:val="24"/>
                <w:sz w:val="22"/>
                <w:szCs w:val="22"/>
              </w:rPr>
              <w:t>ped</w:t>
            </w:r>
            <w:r w:rsidRPr="0020655A">
              <w:rPr>
                <w:rFonts w:asciiTheme="minorHAnsi" w:eastAsiaTheme="minorEastAsia" w:hAnsiTheme="minorHAnsi" w:cstheme="minorHAnsi"/>
                <w:kern w:val="24"/>
                <w:sz w:val="22"/>
                <w:szCs w:val="22"/>
              </w:rPr>
              <w:t xml:space="preserve"> </w:t>
            </w:r>
          </w:p>
          <w:p w14:paraId="2FE8C9C0" w14:textId="77777777" w:rsidR="00EF5C9A" w:rsidRPr="0020655A" w:rsidRDefault="00EF5C9A" w:rsidP="00EF5C9A">
            <w:pPr>
              <w:numPr>
                <w:ilvl w:val="0"/>
                <w:numId w:val="76"/>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Standardised assurance templates finalised </w:t>
            </w:r>
            <w:r>
              <w:rPr>
                <w:rFonts w:asciiTheme="minorHAnsi" w:eastAsiaTheme="minorEastAsia" w:hAnsiTheme="minorHAnsi" w:cstheme="minorHAnsi"/>
                <w:kern w:val="24"/>
                <w:sz w:val="22"/>
                <w:szCs w:val="22"/>
              </w:rPr>
              <w:t>and in use</w:t>
            </w:r>
          </w:p>
        </w:tc>
        <w:tc>
          <w:tcPr>
            <w:tcW w:w="5812" w:type="dxa"/>
          </w:tcPr>
          <w:p w14:paraId="1090990E"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Generating and sharing learning at pace</w:t>
            </w:r>
          </w:p>
          <w:p w14:paraId="164C5A72"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Ensuring full implementation of the recommendations and applying learning following external reviews</w:t>
            </w:r>
          </w:p>
          <w:p w14:paraId="0A368F46"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Securing and developing clinical and management leadership &amp; engagement, including front line staff </w:t>
            </w:r>
          </w:p>
          <w:p w14:paraId="6A232B52"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Bridging the disconnect between service delivery, middle management and Board </w:t>
            </w:r>
          </w:p>
          <w:p w14:paraId="6241E026"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Addressing variation in directorate governance arrangements and spreading good practice</w:t>
            </w:r>
          </w:p>
          <w:p w14:paraId="1440F935"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Embedding quality governance within new organisational structure at all levels: capacity and capability </w:t>
            </w:r>
          </w:p>
          <w:p w14:paraId="1BA53335"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Sustained clinical leadership and ownership of sub groups</w:t>
            </w:r>
          </w:p>
          <w:p w14:paraId="2BAA40A3"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Ensuring refresh of the framework increases its utility </w:t>
            </w:r>
          </w:p>
          <w:p w14:paraId="3D7E7286"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Sustainable focus and pace at a time of senior leadership flux </w:t>
            </w:r>
            <w:r>
              <w:rPr>
                <w:rFonts w:asciiTheme="minorHAnsi" w:eastAsiaTheme="minorEastAsia" w:hAnsiTheme="minorHAnsi" w:cstheme="minorHAnsi"/>
                <w:kern w:val="24"/>
                <w:sz w:val="22"/>
                <w:szCs w:val="22"/>
              </w:rPr>
              <w:t>and</w:t>
            </w:r>
            <w:r w:rsidRPr="0020655A">
              <w:rPr>
                <w:rFonts w:asciiTheme="minorHAnsi" w:eastAsiaTheme="minorEastAsia" w:hAnsiTheme="minorHAnsi" w:cstheme="minorHAnsi"/>
                <w:kern w:val="24"/>
                <w:sz w:val="22"/>
                <w:szCs w:val="22"/>
              </w:rPr>
              <w:t xml:space="preserve"> competing priorities and demand</w:t>
            </w:r>
          </w:p>
          <w:p w14:paraId="36FC5932" w14:textId="77777777" w:rsidR="00EF5C9A" w:rsidRPr="0020655A" w:rsidRDefault="00EF5C9A" w:rsidP="00EF5C9A">
            <w:pPr>
              <w:numPr>
                <w:ilvl w:val="0"/>
                <w:numId w:val="7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Meeting expectations re performance and finance </w:t>
            </w:r>
          </w:p>
          <w:p w14:paraId="09F696D4" w14:textId="77777777" w:rsidR="00EF5C9A" w:rsidRPr="0020655A" w:rsidRDefault="00EF5C9A" w:rsidP="00EF5C9A">
            <w:pPr>
              <w:pStyle w:val="ListParagraph"/>
              <w:numPr>
                <w:ilvl w:val="0"/>
                <w:numId w:val="77"/>
              </w:numPr>
              <w:rPr>
                <w:rFonts w:asciiTheme="minorHAnsi" w:hAnsiTheme="minorHAnsi"/>
                <w:sz w:val="22"/>
                <w:szCs w:val="22"/>
              </w:rPr>
            </w:pPr>
            <w:r w:rsidRPr="0020655A">
              <w:rPr>
                <w:rFonts w:asciiTheme="minorHAnsi" w:hAnsiTheme="minorHAnsi"/>
                <w:sz w:val="22"/>
                <w:szCs w:val="22"/>
              </w:rPr>
              <w:t>Continuing to embed quality governance alongside the values and behaviours and the new structures</w:t>
            </w:r>
          </w:p>
        </w:tc>
      </w:tr>
    </w:tbl>
    <w:p w14:paraId="5D90B005" w14:textId="77777777" w:rsidR="00EF5C9A" w:rsidRPr="00A73D1D" w:rsidRDefault="00EF5C9A" w:rsidP="00EF5C9A">
      <w:pPr>
        <w:pStyle w:val="Heading2"/>
      </w:pPr>
      <w:bookmarkStart w:id="69" w:name="_Toc29573941"/>
      <w:r w:rsidRPr="00A73D1D">
        <w:t>Quality Assurance and Quality Improvement</w:t>
      </w:r>
      <w:bookmarkEnd w:id="68"/>
      <w:bookmarkEnd w:id="69"/>
    </w:p>
    <w:p w14:paraId="12BDA89B" w14:textId="77777777" w:rsidR="00EF5C9A" w:rsidRDefault="00EF5C9A" w:rsidP="00EF5C9A">
      <w:pPr>
        <w:rPr>
          <w:rFonts w:asciiTheme="minorHAnsi" w:hAnsiTheme="minorHAnsi"/>
          <w:szCs w:val="22"/>
        </w:rPr>
      </w:pPr>
      <w:bookmarkStart w:id="70" w:name="_Toc536195557"/>
      <w:r w:rsidRPr="0062325D">
        <w:rPr>
          <w:rFonts w:asciiTheme="minorHAnsi" w:hAnsiTheme="minorHAnsi"/>
          <w:szCs w:val="22"/>
        </w:rPr>
        <w:t>Quality assurance provides a systematic approach to maintaining consistently high</w:t>
      </w:r>
      <w:r>
        <w:rPr>
          <w:rFonts w:asciiTheme="minorHAnsi" w:hAnsiTheme="minorHAnsi"/>
          <w:szCs w:val="22"/>
        </w:rPr>
        <w:t xml:space="preserve"> levels of quality through ongoing measurement</w:t>
      </w:r>
      <w:r w:rsidRPr="0062325D">
        <w:rPr>
          <w:rFonts w:asciiTheme="minorHAnsi" w:hAnsiTheme="minorHAnsi"/>
          <w:szCs w:val="22"/>
        </w:rPr>
        <w:t xml:space="preserve"> and reporting on </w:t>
      </w:r>
      <w:r>
        <w:rPr>
          <w:rFonts w:asciiTheme="minorHAnsi" w:hAnsiTheme="minorHAnsi"/>
          <w:szCs w:val="22"/>
        </w:rPr>
        <w:t>safety, effectiveness and experience, identifying areas</w:t>
      </w:r>
      <w:r w:rsidRPr="0062325D">
        <w:rPr>
          <w:rFonts w:asciiTheme="minorHAnsi" w:hAnsiTheme="minorHAnsi"/>
          <w:szCs w:val="22"/>
        </w:rPr>
        <w:t xml:space="preserve"> for improvement and enabling the sharing of good practice.  </w:t>
      </w:r>
      <w:r>
        <w:rPr>
          <w:rFonts w:asciiTheme="minorHAnsi" w:hAnsiTheme="minorHAnsi"/>
          <w:szCs w:val="22"/>
        </w:rPr>
        <w:t xml:space="preserve">In 2020, the UHB will continue to progress this work.  The Board delegates assurance of quality through the Quality and Safety Committee.  The Quality and Safety Committee in turn, now delegates appropriately to the relevant subcommittee.  The newly established four sub-committees of Quality and Safety Committee: Quality Assurance, Patient Experience, Quality Improvement and Clinical Effectiveness and Quality Governance and Learning are now functioning and will be further embedded and reviewed as the organisation continues on its improvement journey. </w:t>
      </w:r>
    </w:p>
    <w:p w14:paraId="10F9EE4B" w14:textId="77777777" w:rsidR="00EF5C9A" w:rsidRDefault="00EF5C9A" w:rsidP="00EF5C9A">
      <w:pPr>
        <w:rPr>
          <w:rFonts w:asciiTheme="minorHAnsi" w:hAnsiTheme="minorHAnsi"/>
          <w:szCs w:val="22"/>
        </w:rPr>
      </w:pPr>
    </w:p>
    <w:p w14:paraId="5F377E9F" w14:textId="77777777" w:rsidR="00EF5C9A" w:rsidRDefault="00EF5C9A" w:rsidP="00EF5C9A">
      <w:pPr>
        <w:rPr>
          <w:rFonts w:asciiTheme="minorHAnsi" w:hAnsiTheme="minorHAnsi" w:cs="Arial"/>
          <w:szCs w:val="22"/>
          <w:shd w:val="clear" w:color="auto" w:fill="FFFFFF"/>
        </w:rPr>
      </w:pPr>
      <w:r>
        <w:rPr>
          <w:rFonts w:asciiTheme="minorHAnsi" w:hAnsiTheme="minorHAnsi" w:cs="Arial"/>
          <w:szCs w:val="22"/>
          <w:shd w:val="clear" w:color="auto" w:fill="FFFFFF"/>
        </w:rPr>
        <w:t>Recognising that the management of risk in the organisation requires further development, the interim Board Secretary is reviewing current arrangements and developing a new plan to ensure that risks are identified, reviewed and mitigated against as a core part of governance at all levels.  This will support a clear line of sight from the front line of care to the Board and enhanced interface between Quality &amp; Safety Committee and the Audit committees.</w:t>
      </w:r>
    </w:p>
    <w:p w14:paraId="6F018F9F" w14:textId="77777777" w:rsidR="00EF5C9A" w:rsidRDefault="00EF5C9A" w:rsidP="00EF5C9A">
      <w:pPr>
        <w:rPr>
          <w:rFonts w:asciiTheme="minorHAnsi" w:hAnsiTheme="minorHAnsi"/>
          <w:szCs w:val="22"/>
        </w:rPr>
      </w:pPr>
    </w:p>
    <w:p w14:paraId="29EFBC40" w14:textId="77777777" w:rsidR="00EF5C9A" w:rsidRDefault="00EF5C9A" w:rsidP="00EF5C9A">
      <w:pPr>
        <w:rPr>
          <w:rFonts w:asciiTheme="minorHAnsi" w:hAnsiTheme="minorHAnsi"/>
          <w:szCs w:val="22"/>
        </w:rPr>
      </w:pPr>
      <w:r>
        <w:rPr>
          <w:rFonts w:asciiTheme="minorHAnsi" w:hAnsiTheme="minorHAnsi"/>
          <w:szCs w:val="22"/>
        </w:rPr>
        <w:t xml:space="preserve">At Executive level, with the recent commencement of the Director of Therapies in post, there are three new Clinical Executives.  They, along with the Director of Public Health, will work in partnership and share collective responsibility for quality across the organisation.  As three of the four Quality &amp; Safety sub committees are chaired by a Clinical Executive, there are clear plans to further strengthen governance in relation to all areas including national mandatory audits, patient engagement, public involvement and the use of validated data and evidence.  This will build on the work commenced in 2018-19. </w:t>
      </w:r>
    </w:p>
    <w:p w14:paraId="6D15B5E5" w14:textId="77777777" w:rsidR="00EF5C9A" w:rsidRDefault="00EF5C9A" w:rsidP="00EF5C9A">
      <w:pPr>
        <w:rPr>
          <w:rFonts w:asciiTheme="minorHAnsi" w:hAnsiTheme="minorHAnsi"/>
          <w:szCs w:val="22"/>
        </w:rPr>
      </w:pPr>
    </w:p>
    <w:p w14:paraId="74EFF971" w14:textId="77777777" w:rsidR="00EF5C9A" w:rsidRDefault="00EF5C9A" w:rsidP="00EF5C9A">
      <w:pPr>
        <w:rPr>
          <w:rFonts w:asciiTheme="minorHAnsi" w:hAnsiTheme="minorHAnsi" w:cs="Arial"/>
          <w:szCs w:val="22"/>
          <w:shd w:val="clear" w:color="auto" w:fill="FFFFFF"/>
        </w:rPr>
      </w:pPr>
      <w:r>
        <w:rPr>
          <w:rFonts w:asciiTheme="minorHAnsi" w:hAnsiTheme="minorHAnsi"/>
          <w:szCs w:val="22"/>
        </w:rPr>
        <w:t xml:space="preserve">Medical leadership relating to quality across the organisation will be strengthened through the new operating model.  </w:t>
      </w:r>
      <w:r>
        <w:rPr>
          <w:rFonts w:asciiTheme="minorHAnsi" w:hAnsiTheme="minorHAnsi" w:cs="Arial"/>
          <w:szCs w:val="22"/>
          <w:shd w:val="clear" w:color="auto" w:fill="FFFFFF"/>
        </w:rPr>
        <w:t>At all levels, development around quality will be implemented through workforce and OD workstreams.</w:t>
      </w:r>
    </w:p>
    <w:p w14:paraId="35414994" w14:textId="77777777" w:rsidR="00EF5C9A" w:rsidRDefault="00EF5C9A" w:rsidP="00EF5C9A">
      <w:pPr>
        <w:rPr>
          <w:rFonts w:asciiTheme="minorHAnsi" w:hAnsiTheme="minorHAnsi"/>
          <w:szCs w:val="22"/>
        </w:rPr>
      </w:pPr>
    </w:p>
    <w:p w14:paraId="24B09167" w14:textId="77777777" w:rsidR="00EF5C9A" w:rsidRDefault="00EF5C9A" w:rsidP="00EF5C9A">
      <w:pPr>
        <w:rPr>
          <w:rFonts w:asciiTheme="minorHAnsi" w:hAnsiTheme="minorHAnsi"/>
          <w:szCs w:val="22"/>
        </w:rPr>
      </w:pPr>
      <w:r>
        <w:rPr>
          <w:rFonts w:asciiTheme="minorHAnsi" w:hAnsiTheme="minorHAnsi"/>
          <w:szCs w:val="22"/>
        </w:rPr>
        <w:t xml:space="preserve">In order to support the quality improvement approach to enhancing the care we provide, to reduce unwarranted variation and to support the pockets of good practice in relation to improvement methodology already in place, a UHB-wide quality improvement function is being established see </w:t>
      </w:r>
      <w:r w:rsidRPr="00AE05E5">
        <w:rPr>
          <w:rFonts w:asciiTheme="minorHAnsi" w:hAnsiTheme="minorHAnsi"/>
          <w:b/>
          <w:szCs w:val="22"/>
        </w:rPr>
        <w:t>section 1.6</w:t>
      </w:r>
      <w:r>
        <w:rPr>
          <w:rFonts w:asciiTheme="minorHAnsi" w:hAnsiTheme="minorHAnsi"/>
          <w:szCs w:val="22"/>
        </w:rPr>
        <w:t>.  Looking outwards to learn from others and enhancing our openness and transparency, this will be in partnership with Improvement Cymru.</w:t>
      </w:r>
    </w:p>
    <w:p w14:paraId="24C6DFB5" w14:textId="77777777" w:rsidR="00EF5C9A" w:rsidRDefault="00EF5C9A" w:rsidP="00EF5C9A">
      <w:pPr>
        <w:rPr>
          <w:rFonts w:asciiTheme="minorHAnsi" w:hAnsiTheme="minorHAnsi"/>
          <w:szCs w:val="22"/>
        </w:rPr>
      </w:pPr>
    </w:p>
    <w:p w14:paraId="7C80DA92" w14:textId="77777777" w:rsidR="00EF5C9A" w:rsidRDefault="00EF5C9A" w:rsidP="00EF5C9A">
      <w:pPr>
        <w:rPr>
          <w:rFonts w:asciiTheme="minorHAnsi" w:hAnsiTheme="minorHAnsi"/>
          <w:szCs w:val="22"/>
        </w:rPr>
      </w:pPr>
      <w:r>
        <w:rPr>
          <w:rFonts w:asciiTheme="minorHAnsi" w:hAnsiTheme="minorHAnsi"/>
          <w:szCs w:val="22"/>
        </w:rPr>
        <w:t>At Directorate level (pending implementation of the new operating model) the principles and good practice outlined in the framework are starting to be embedded through the quality governance meetings where quality domains and any issues / risks are discussed.  Standardised templates for reports and escalation will become the norm.  Quality concerns, issues, risks and any reparative actions are now escalated through CBMs.  Enhancing and building governance capacity at Directorate level was endorsed by Quality &amp; Safety Committee through to the Board.  These service level committees are being reviewed to ensure the quality focus is robust and there is a widespread, unified approach across the UHB.  Furthermore, in order to join up planning with quality, performance and finance, all IMTP proposals will be independently reviewed for their quality impact.  In future years, this will become more evidence based.</w:t>
      </w:r>
    </w:p>
    <w:p w14:paraId="764E1F9A" w14:textId="77777777" w:rsidR="00EF5C9A" w:rsidRDefault="00EF5C9A" w:rsidP="00EF5C9A">
      <w:pPr>
        <w:rPr>
          <w:rFonts w:asciiTheme="minorHAnsi" w:hAnsiTheme="minorHAnsi"/>
          <w:szCs w:val="22"/>
        </w:rPr>
      </w:pPr>
    </w:p>
    <w:p w14:paraId="2E1F4DDC" w14:textId="77777777" w:rsidR="00EF5C9A" w:rsidRDefault="00EF5C9A" w:rsidP="00EF5C9A">
      <w:pPr>
        <w:rPr>
          <w:rFonts w:asciiTheme="minorHAnsi" w:hAnsiTheme="minorHAnsi" w:cs="Arial"/>
          <w:szCs w:val="22"/>
        </w:rPr>
      </w:pPr>
      <w:r>
        <w:rPr>
          <w:rFonts w:asciiTheme="minorHAnsi" w:hAnsiTheme="minorHAnsi"/>
          <w:szCs w:val="22"/>
        </w:rPr>
        <w:t xml:space="preserve">A clear step change, which will continue to be built on over the next three years, is the emphasis that quality is not only a nursing responsibility, rather it is the responsibility of all who work in the Health Board – quality is everybody’s business.  This transition has commenced as part of the engagement work in embedding the new framework and </w:t>
      </w:r>
      <w:r w:rsidRPr="0062325D">
        <w:rPr>
          <w:rFonts w:asciiTheme="minorHAnsi" w:hAnsiTheme="minorHAnsi" w:cs="Arial"/>
          <w:szCs w:val="22"/>
        </w:rPr>
        <w:t xml:space="preserve">is underpinned by a strong </w:t>
      </w:r>
      <w:r>
        <w:rPr>
          <w:rFonts w:asciiTheme="minorHAnsi" w:hAnsiTheme="minorHAnsi" w:cs="Arial"/>
          <w:szCs w:val="22"/>
        </w:rPr>
        <w:t>WG</w:t>
      </w:r>
      <w:r w:rsidRPr="0062325D">
        <w:rPr>
          <w:rFonts w:asciiTheme="minorHAnsi" w:hAnsiTheme="minorHAnsi" w:cs="Arial"/>
          <w:szCs w:val="22"/>
        </w:rPr>
        <w:t xml:space="preserve"> legislative and policy context.</w:t>
      </w:r>
    </w:p>
    <w:p w14:paraId="01FAAE98" w14:textId="77777777" w:rsidR="00EF5C9A" w:rsidRPr="00A73D1D" w:rsidRDefault="00EF5C9A" w:rsidP="00EF5C9A">
      <w:pPr>
        <w:pStyle w:val="Heading2"/>
        <w:rPr>
          <w:szCs w:val="22"/>
        </w:rPr>
      </w:pPr>
      <w:bookmarkStart w:id="71" w:name="_Toc29573942"/>
      <w:r w:rsidRPr="00A73D1D">
        <w:rPr>
          <w:szCs w:val="22"/>
        </w:rPr>
        <w:t>Addressing Quality Concerns</w:t>
      </w:r>
      <w:bookmarkEnd w:id="70"/>
      <w:bookmarkEnd w:id="71"/>
    </w:p>
    <w:p w14:paraId="09089D24" w14:textId="77777777" w:rsidR="00EF5C9A" w:rsidRDefault="00EF5C9A" w:rsidP="00EF5C9A">
      <w:pPr>
        <w:rPr>
          <w:rFonts w:asciiTheme="minorHAnsi" w:hAnsiTheme="minorHAnsi"/>
          <w:szCs w:val="22"/>
        </w:rPr>
      </w:pPr>
      <w:r w:rsidRPr="003C622D">
        <w:rPr>
          <w:rFonts w:asciiTheme="minorHAnsi" w:hAnsiTheme="minorHAnsi"/>
          <w:szCs w:val="22"/>
        </w:rPr>
        <w:t xml:space="preserve">The joint review by HIW and WAO </w:t>
      </w:r>
      <w:r>
        <w:rPr>
          <w:rFonts w:asciiTheme="minorHAnsi" w:hAnsiTheme="minorHAnsi"/>
          <w:szCs w:val="22"/>
        </w:rPr>
        <w:t xml:space="preserve">(November 2019) </w:t>
      </w:r>
      <w:r w:rsidRPr="003C622D">
        <w:rPr>
          <w:rFonts w:asciiTheme="minorHAnsi" w:hAnsiTheme="minorHAnsi"/>
          <w:szCs w:val="22"/>
        </w:rPr>
        <w:t>identified that whilst developments are positive, the scale of the challenge to improve quality and patient safety governance is not to be underestimated and will require focused and sustained commitment by the</w:t>
      </w:r>
      <w:r>
        <w:rPr>
          <w:rFonts w:asciiTheme="minorHAnsi" w:hAnsiTheme="minorHAnsi"/>
          <w:szCs w:val="22"/>
        </w:rPr>
        <w:t xml:space="preserve"> UHB</w:t>
      </w:r>
      <w:r w:rsidRPr="003C622D">
        <w:rPr>
          <w:rFonts w:asciiTheme="minorHAnsi" w:hAnsiTheme="minorHAnsi"/>
          <w:szCs w:val="22"/>
        </w:rPr>
        <w:t>, the 14 recommendations</w:t>
      </w:r>
      <w:r>
        <w:rPr>
          <w:rFonts w:asciiTheme="minorHAnsi" w:hAnsiTheme="minorHAnsi"/>
          <w:szCs w:val="22"/>
        </w:rPr>
        <w:t xml:space="preserve"> from the review</w:t>
      </w:r>
      <w:r w:rsidRPr="003C622D">
        <w:rPr>
          <w:rFonts w:asciiTheme="minorHAnsi" w:hAnsiTheme="minorHAnsi"/>
          <w:szCs w:val="22"/>
        </w:rPr>
        <w:t xml:space="preserve"> </w:t>
      </w:r>
      <w:r>
        <w:rPr>
          <w:rFonts w:asciiTheme="minorHAnsi" w:hAnsiTheme="minorHAnsi"/>
          <w:szCs w:val="22"/>
        </w:rPr>
        <w:t>a</w:t>
      </w:r>
      <w:r w:rsidRPr="003C622D">
        <w:rPr>
          <w:rFonts w:asciiTheme="minorHAnsi" w:hAnsiTheme="minorHAnsi"/>
          <w:szCs w:val="22"/>
        </w:rPr>
        <w:t xml:space="preserve">re aimed at focussing the </w:t>
      </w:r>
      <w:r>
        <w:rPr>
          <w:rFonts w:asciiTheme="minorHAnsi" w:hAnsiTheme="minorHAnsi"/>
          <w:szCs w:val="22"/>
        </w:rPr>
        <w:t>UHB</w:t>
      </w:r>
      <w:r w:rsidRPr="003C622D">
        <w:rPr>
          <w:rFonts w:asciiTheme="minorHAnsi" w:hAnsiTheme="minorHAnsi"/>
          <w:szCs w:val="22"/>
        </w:rPr>
        <w:t xml:space="preserve"> in addressing the</w:t>
      </w:r>
      <w:r>
        <w:rPr>
          <w:rFonts w:asciiTheme="minorHAnsi" w:hAnsiTheme="minorHAnsi"/>
          <w:szCs w:val="22"/>
        </w:rPr>
        <w:t xml:space="preserve"> issues raised.</w:t>
      </w:r>
    </w:p>
    <w:p w14:paraId="2A813018" w14:textId="77777777" w:rsidR="00EF5C9A" w:rsidRDefault="00EF5C9A" w:rsidP="00EF5C9A">
      <w:pPr>
        <w:rPr>
          <w:rFonts w:asciiTheme="minorHAnsi" w:hAnsiTheme="minorHAnsi"/>
          <w:szCs w:val="22"/>
        </w:rPr>
      </w:pPr>
    </w:p>
    <w:p w14:paraId="391ED42A" w14:textId="77777777" w:rsidR="00EF5C9A" w:rsidRDefault="00EF5C9A" w:rsidP="00EF5C9A">
      <w:pPr>
        <w:rPr>
          <w:rFonts w:asciiTheme="minorHAnsi" w:hAnsiTheme="minorHAnsi"/>
          <w:szCs w:val="22"/>
        </w:rPr>
      </w:pPr>
      <w:r w:rsidRPr="003C622D">
        <w:rPr>
          <w:rFonts w:asciiTheme="minorHAnsi" w:hAnsiTheme="minorHAnsi"/>
          <w:szCs w:val="22"/>
        </w:rPr>
        <w:t>The actions required are mirrored in the interventions being progressed to address the issues raised resulting in t</w:t>
      </w:r>
      <w:r w:rsidRPr="003C622D">
        <w:rPr>
          <w:rFonts w:asciiTheme="minorHAnsi" w:hAnsiTheme="minorHAnsi" w:cs="Arial"/>
          <w:szCs w:val="22"/>
        </w:rPr>
        <w:t xml:space="preserve">argeted interventions, the emerging programme of work has three key strands – quality and governance, leadership and culture and trust and confidence. Building on the experience of developing a maturity matrix for maternity services, a similar matrix for quality governance </w:t>
      </w:r>
      <w:r>
        <w:rPr>
          <w:rFonts w:asciiTheme="minorHAnsi" w:hAnsiTheme="minorHAnsi" w:cs="Arial"/>
          <w:szCs w:val="22"/>
        </w:rPr>
        <w:t>has been</w:t>
      </w:r>
      <w:r w:rsidRPr="003C622D">
        <w:rPr>
          <w:rFonts w:asciiTheme="minorHAnsi" w:hAnsiTheme="minorHAnsi" w:cs="Arial"/>
          <w:szCs w:val="22"/>
        </w:rPr>
        <w:t xml:space="preserve"> developed which will enable the </w:t>
      </w:r>
      <w:r>
        <w:rPr>
          <w:rFonts w:asciiTheme="minorHAnsi" w:hAnsiTheme="minorHAnsi" w:cs="Arial"/>
          <w:szCs w:val="22"/>
        </w:rPr>
        <w:t>Health Board</w:t>
      </w:r>
      <w:r w:rsidRPr="003C622D">
        <w:rPr>
          <w:rFonts w:asciiTheme="minorHAnsi" w:hAnsiTheme="minorHAnsi" w:cs="Arial"/>
          <w:szCs w:val="22"/>
        </w:rPr>
        <w:t xml:space="preserve"> to demonstrate progress </w:t>
      </w:r>
      <w:r>
        <w:rPr>
          <w:rFonts w:asciiTheme="minorHAnsi" w:hAnsiTheme="minorHAnsi" w:cs="Arial"/>
          <w:szCs w:val="22"/>
        </w:rPr>
        <w:t>and be held to account for it by</w:t>
      </w:r>
      <w:r w:rsidRPr="003C622D">
        <w:rPr>
          <w:rFonts w:asciiTheme="minorHAnsi" w:hAnsiTheme="minorHAnsi" w:cs="Arial"/>
          <w:szCs w:val="22"/>
        </w:rPr>
        <w:t xml:space="preserve"> external partners.  </w:t>
      </w:r>
      <w:r>
        <w:rPr>
          <w:rFonts w:asciiTheme="minorHAnsi" w:hAnsiTheme="minorHAnsi"/>
          <w:szCs w:val="22"/>
        </w:rPr>
        <w:t>In conjunction with the continued implementation of t</w:t>
      </w:r>
      <w:r w:rsidRPr="003C622D">
        <w:rPr>
          <w:rFonts w:asciiTheme="minorHAnsi" w:hAnsiTheme="minorHAnsi"/>
          <w:szCs w:val="22"/>
        </w:rPr>
        <w:t>he Quality and Pati</w:t>
      </w:r>
      <w:r>
        <w:rPr>
          <w:rFonts w:asciiTheme="minorHAnsi" w:hAnsiTheme="minorHAnsi"/>
          <w:szCs w:val="22"/>
        </w:rPr>
        <w:t xml:space="preserve">ent Safety Governance Framework, the UHB will be better positioned to </w:t>
      </w:r>
      <w:r w:rsidRPr="003C622D">
        <w:rPr>
          <w:rFonts w:asciiTheme="minorHAnsi" w:hAnsiTheme="minorHAnsi"/>
          <w:szCs w:val="22"/>
        </w:rPr>
        <w:t>identify</w:t>
      </w:r>
      <w:r>
        <w:rPr>
          <w:rFonts w:asciiTheme="minorHAnsi" w:hAnsiTheme="minorHAnsi"/>
          <w:szCs w:val="22"/>
        </w:rPr>
        <w:t>, respond and learn from</w:t>
      </w:r>
      <w:r w:rsidRPr="003C622D">
        <w:rPr>
          <w:rFonts w:asciiTheme="minorHAnsi" w:hAnsiTheme="minorHAnsi"/>
          <w:szCs w:val="22"/>
        </w:rPr>
        <w:t xml:space="preserve"> quality concerns </w:t>
      </w:r>
      <w:r>
        <w:rPr>
          <w:rFonts w:asciiTheme="minorHAnsi" w:hAnsiTheme="minorHAnsi"/>
          <w:szCs w:val="22"/>
        </w:rPr>
        <w:t>in a timely way.  The development of a learning culture is of utmost priority for the Health Board, and will continue to develop over the next three years. In addition to the work being undertaken by the Maternity Improvement Board (MIB), the UHB is undertaking development work around response to concerns. This is being supported by the DU and will be spread across the whole organisation.</w:t>
      </w:r>
    </w:p>
    <w:p w14:paraId="0E74E834" w14:textId="77777777" w:rsidR="00973887" w:rsidRDefault="00973887" w:rsidP="00EF5C9A">
      <w:pPr>
        <w:rPr>
          <w:rFonts w:asciiTheme="minorHAnsi" w:hAnsiTheme="minorHAnsi"/>
          <w:szCs w:val="22"/>
        </w:rPr>
      </w:pPr>
    </w:p>
    <w:p w14:paraId="6EBE167A" w14:textId="77777777" w:rsidR="00EF5C9A" w:rsidRDefault="00EF5C9A" w:rsidP="00EF5C9A">
      <w:pPr>
        <w:rPr>
          <w:rFonts w:asciiTheme="minorHAnsi" w:hAnsiTheme="minorHAnsi"/>
          <w:szCs w:val="22"/>
        </w:rPr>
      </w:pPr>
      <w:r>
        <w:rPr>
          <w:rFonts w:asciiTheme="minorHAnsi" w:hAnsiTheme="minorHAnsi"/>
          <w:szCs w:val="22"/>
        </w:rPr>
        <w:t xml:space="preserve">The Quality and Governance Maturity Matrix (Appendix A) had an initial self-assessment in preparation for the Cwm Taf Morgannwg UHB Welsh Government escalation meeting at the end of February 2020, the outcome of the self-assessment process for Quality and Governance was an overall score of </w:t>
      </w:r>
      <w:r w:rsidRPr="00742728">
        <w:rPr>
          <w:rFonts w:asciiTheme="minorHAnsi" w:hAnsiTheme="minorHAnsi"/>
          <w:b/>
          <w:szCs w:val="22"/>
        </w:rPr>
        <w:t>Level 1 – basic</w:t>
      </w:r>
      <w:r>
        <w:rPr>
          <w:rFonts w:asciiTheme="minorHAnsi" w:hAnsiTheme="minorHAnsi"/>
          <w:szCs w:val="22"/>
        </w:rPr>
        <w:t xml:space="preserve">. </w:t>
      </w:r>
    </w:p>
    <w:p w14:paraId="0D7125EF" w14:textId="77777777" w:rsidR="00EF5C9A" w:rsidRDefault="00EF5C9A" w:rsidP="00EF5C9A">
      <w:pPr>
        <w:rPr>
          <w:rFonts w:asciiTheme="minorHAnsi" w:hAnsiTheme="minorHAnsi"/>
          <w:szCs w:val="22"/>
        </w:rPr>
      </w:pPr>
    </w:p>
    <w:p w14:paraId="48C8EC9C" w14:textId="77777777" w:rsidR="00EF5C9A" w:rsidRPr="00786209" w:rsidRDefault="00EF5C9A" w:rsidP="00EF5C9A">
      <w:pPr>
        <w:rPr>
          <w:rFonts w:asciiTheme="minorHAnsi" w:hAnsiTheme="minorHAnsi"/>
          <w:szCs w:val="22"/>
        </w:rPr>
      </w:pPr>
      <w:r>
        <w:rPr>
          <w:rFonts w:asciiTheme="minorHAnsi" w:hAnsiTheme="minorHAnsi"/>
          <w:szCs w:val="22"/>
        </w:rPr>
        <w:t xml:space="preserve">The improvement work being undertaken across the organisation is contributing to improvements in quality and progressed will be articulated using the quality maturity matrix.  </w:t>
      </w:r>
      <w:r w:rsidRPr="008A562F">
        <w:rPr>
          <w:rFonts w:asciiTheme="minorHAnsi" w:hAnsiTheme="minorHAnsi" w:cstheme="minorHAnsi"/>
          <w:szCs w:val="22"/>
        </w:rPr>
        <w:t xml:space="preserve">The following </w:t>
      </w:r>
      <w:r>
        <w:rPr>
          <w:rFonts w:asciiTheme="minorHAnsi" w:hAnsiTheme="minorHAnsi" w:cstheme="minorHAnsi"/>
          <w:szCs w:val="22"/>
        </w:rPr>
        <w:t xml:space="preserve">priorities </w:t>
      </w:r>
      <w:r w:rsidRPr="008A562F">
        <w:rPr>
          <w:rFonts w:asciiTheme="minorHAnsi" w:hAnsiTheme="minorHAnsi" w:cstheme="minorHAnsi"/>
          <w:szCs w:val="22"/>
        </w:rPr>
        <w:t>identif</w:t>
      </w:r>
      <w:r>
        <w:rPr>
          <w:rFonts w:asciiTheme="minorHAnsi" w:hAnsiTheme="minorHAnsi" w:cstheme="minorHAnsi"/>
          <w:szCs w:val="22"/>
        </w:rPr>
        <w:t>y</w:t>
      </w:r>
      <w:r w:rsidRPr="008A562F">
        <w:rPr>
          <w:rFonts w:asciiTheme="minorHAnsi" w:hAnsiTheme="minorHAnsi" w:cstheme="minorHAnsi"/>
          <w:szCs w:val="22"/>
        </w:rPr>
        <w:t xml:space="preserve"> the high level developments and interventions required</w:t>
      </w:r>
      <w:r>
        <w:rPr>
          <w:rFonts w:asciiTheme="minorHAnsi" w:hAnsiTheme="minorHAnsi" w:cstheme="minorHAnsi"/>
          <w:szCs w:val="22"/>
        </w:rPr>
        <w:t>. By April 2020, each of the priorities will have been assessed against the quality maturity matrix and a realistic, deliverable trajectory agreed to achieve sustainable improvement</w:t>
      </w:r>
      <w:r w:rsidRPr="008A562F">
        <w:rPr>
          <w:rFonts w:asciiTheme="minorHAnsi" w:hAnsiTheme="minorHAnsi" w:cstheme="minorHAnsi"/>
          <w:szCs w:val="22"/>
        </w:rPr>
        <w:t>:</w:t>
      </w:r>
    </w:p>
    <w:p w14:paraId="5F29EBA5" w14:textId="77777777" w:rsidR="00EF5C9A" w:rsidRDefault="00EF5C9A" w:rsidP="00EF5C9A">
      <w:pPr>
        <w:rPr>
          <w:rFonts w:asciiTheme="minorHAnsi" w:hAnsiTheme="minorHAnsi" w:cstheme="minorHAnsi"/>
          <w:szCs w:val="22"/>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9918"/>
      </w:tblGrid>
      <w:tr w:rsidR="00EF5C9A" w:rsidRPr="0020655A" w14:paraId="0DA0D696" w14:textId="77777777" w:rsidTr="00EF5C9A">
        <w:trPr>
          <w:trHeight w:val="438"/>
        </w:trPr>
        <w:tc>
          <w:tcPr>
            <w:tcW w:w="9918" w:type="dxa"/>
            <w:shd w:val="clear" w:color="auto" w:fill="F2F2F2" w:themeFill="background1" w:themeFillShade="F2"/>
            <w:vAlign w:val="center"/>
          </w:tcPr>
          <w:p w14:paraId="66420403" w14:textId="77777777" w:rsidR="00EF5C9A" w:rsidRPr="0020655A" w:rsidRDefault="00EF5C9A" w:rsidP="00EF5C9A">
            <w:pPr>
              <w:jc w:val="left"/>
              <w:rPr>
                <w:rFonts w:asciiTheme="minorHAnsi" w:hAnsiTheme="minorHAnsi"/>
                <w:b/>
                <w:sz w:val="22"/>
                <w:szCs w:val="22"/>
              </w:rPr>
            </w:pPr>
            <w:r w:rsidRPr="0020655A">
              <w:rPr>
                <w:rFonts w:asciiTheme="minorHAnsi" w:hAnsiTheme="minorHAnsi"/>
                <w:b/>
                <w:sz w:val="22"/>
                <w:szCs w:val="22"/>
              </w:rPr>
              <w:t xml:space="preserve">Overarching quality priorities 2020 - 2023 </w:t>
            </w:r>
          </w:p>
        </w:tc>
      </w:tr>
      <w:tr w:rsidR="00EF5C9A" w:rsidRPr="0020655A" w14:paraId="4C8B4824" w14:textId="77777777" w:rsidTr="00EF5C9A">
        <w:tc>
          <w:tcPr>
            <w:tcW w:w="9918" w:type="dxa"/>
          </w:tcPr>
          <w:p w14:paraId="6E54F6C1" w14:textId="77777777" w:rsidR="00EF5C9A" w:rsidRPr="00094E3E" w:rsidRDefault="00EF5C9A" w:rsidP="00EF5C9A">
            <w:pPr>
              <w:rPr>
                <w:rFonts w:asciiTheme="minorHAnsi" w:hAnsiTheme="minorHAnsi" w:cstheme="minorHAnsi"/>
                <w:color w:val="FF0000"/>
                <w:sz w:val="22"/>
                <w:szCs w:val="22"/>
              </w:rPr>
            </w:pPr>
            <w:r w:rsidRPr="0020655A">
              <w:rPr>
                <w:rFonts w:asciiTheme="minorHAnsi" w:eastAsiaTheme="minorEastAsia" w:hAnsiTheme="minorHAnsi" w:cstheme="minorHAnsi"/>
                <w:kern w:val="24"/>
                <w:sz w:val="22"/>
                <w:szCs w:val="22"/>
              </w:rPr>
              <w:t xml:space="preserve">1. </w:t>
            </w:r>
            <w:r w:rsidRPr="0020655A">
              <w:rPr>
                <w:rFonts w:asciiTheme="minorHAnsi" w:eastAsiaTheme="minorEastAsia" w:hAnsiTheme="minorHAnsi" w:cstheme="minorHAnsi"/>
                <w:b/>
                <w:kern w:val="24"/>
                <w:sz w:val="22"/>
                <w:szCs w:val="22"/>
              </w:rPr>
              <w:t>Strengthened focus on quality in strategic planning</w:t>
            </w:r>
            <w:r w:rsidRPr="0020655A">
              <w:rPr>
                <w:rFonts w:asciiTheme="minorHAnsi" w:eastAsiaTheme="minorEastAsia" w:hAnsiTheme="minorHAnsi" w:cstheme="minorHAnsi"/>
                <w:kern w:val="24"/>
                <w:sz w:val="22"/>
                <w:szCs w:val="22"/>
              </w:rPr>
              <w:t xml:space="preserve">: to include a whole system, population health perspective shaped by the wider integrated partnership agenda, aligned with each of the 5 ways of working outlined within the </w:t>
            </w:r>
            <w:r>
              <w:rPr>
                <w:rFonts w:asciiTheme="minorHAnsi" w:eastAsiaTheme="minorEastAsia" w:hAnsiTheme="minorHAnsi" w:cstheme="minorHAnsi"/>
                <w:kern w:val="24"/>
                <w:sz w:val="22"/>
                <w:szCs w:val="22"/>
              </w:rPr>
              <w:t xml:space="preserve">WBFG </w:t>
            </w:r>
            <w:r w:rsidRPr="0020655A">
              <w:rPr>
                <w:sz w:val="22"/>
                <w:szCs w:val="22"/>
                <w:lang w:val="en-US"/>
              </w:rPr>
              <w:t xml:space="preserve">(Wales) Act 2015. This includes the development of an Integrated Health &amp; Care Strategy with quality as the golden thread throughout it, and a </w:t>
            </w:r>
            <w:r w:rsidRPr="0020655A">
              <w:rPr>
                <w:rFonts w:asciiTheme="minorHAnsi" w:eastAsiaTheme="minorEastAsia" w:hAnsiTheme="minorHAnsi" w:cstheme="minorHAnsi"/>
                <w:kern w:val="24"/>
                <w:sz w:val="22"/>
                <w:szCs w:val="22"/>
              </w:rPr>
              <w:t xml:space="preserve">revised, joined up approach to developing the IMTP, including a ‘panel’ approach and strengthened guidance related to quality impact assessment  </w:t>
            </w:r>
          </w:p>
        </w:tc>
      </w:tr>
      <w:tr w:rsidR="00EF5C9A" w:rsidRPr="0020655A" w14:paraId="4E8A7462" w14:textId="77777777" w:rsidTr="00EF5C9A">
        <w:tc>
          <w:tcPr>
            <w:tcW w:w="9918" w:type="dxa"/>
          </w:tcPr>
          <w:p w14:paraId="165B7B00" w14:textId="77777777" w:rsidR="00EF5C9A" w:rsidRPr="00094E3E" w:rsidRDefault="00EF5C9A" w:rsidP="00EF5C9A">
            <w:pPr>
              <w:rPr>
                <w:rFonts w:asciiTheme="minorHAnsi" w:hAnsiTheme="minorHAnsi" w:cstheme="minorHAnsi"/>
                <w:color w:val="FF0000"/>
                <w:sz w:val="22"/>
                <w:szCs w:val="22"/>
              </w:rPr>
            </w:pPr>
            <w:r w:rsidRPr="0020655A">
              <w:rPr>
                <w:rFonts w:asciiTheme="minorHAnsi" w:eastAsiaTheme="minorEastAsia" w:hAnsiTheme="minorHAnsi" w:cstheme="minorHAnsi"/>
                <w:b/>
                <w:kern w:val="24"/>
                <w:sz w:val="22"/>
                <w:szCs w:val="22"/>
              </w:rPr>
              <w:t xml:space="preserve">2. Individuals’ voices are better heard: </w:t>
            </w:r>
            <w:r w:rsidRPr="0020655A">
              <w:rPr>
                <w:rFonts w:asciiTheme="minorHAnsi" w:eastAsiaTheme="minorEastAsia" w:hAnsiTheme="minorHAnsi" w:cstheme="minorHAnsi"/>
                <w:kern w:val="24"/>
                <w:sz w:val="22"/>
                <w:szCs w:val="22"/>
              </w:rPr>
              <w:t xml:space="preserve">actively enabled through coproduced values and behaviours, investment in real time and friends and family test, a strategic approach to patient stories and targeted focus on the individuals’ experience of the services provided by the Health Board, through the Patient Experience sub-group, reporting directly to Quality &amp; Safety Committee. </w:t>
            </w:r>
            <w:r>
              <w:rPr>
                <w:rFonts w:asciiTheme="minorHAnsi" w:eastAsiaTheme="minorEastAsia" w:hAnsiTheme="minorHAnsi" w:cstheme="minorHAnsi"/>
                <w:kern w:val="24"/>
                <w:sz w:val="22"/>
                <w:szCs w:val="22"/>
              </w:rPr>
              <w:t xml:space="preserve"> </w:t>
            </w:r>
            <w:r w:rsidRPr="00786209">
              <w:rPr>
                <w:rFonts w:asciiTheme="minorHAnsi" w:eastAsiaTheme="minorEastAsia" w:hAnsiTheme="minorHAnsi" w:cstheme="minorHAnsi"/>
                <w:kern w:val="24"/>
                <w:sz w:val="22"/>
                <w:szCs w:val="22"/>
              </w:rPr>
              <w:t>The Once for Wales Concerns Management System currently being procured</w:t>
            </w:r>
            <w:r>
              <w:rPr>
                <w:rFonts w:asciiTheme="minorHAnsi" w:eastAsiaTheme="minorEastAsia" w:hAnsiTheme="minorHAnsi" w:cstheme="minorHAnsi"/>
                <w:kern w:val="24"/>
                <w:sz w:val="22"/>
                <w:szCs w:val="22"/>
              </w:rPr>
              <w:t xml:space="preserve"> for Wales, </w:t>
            </w:r>
            <w:r w:rsidRPr="00786209">
              <w:rPr>
                <w:rFonts w:asciiTheme="minorHAnsi" w:eastAsiaTheme="minorEastAsia" w:hAnsiTheme="minorHAnsi" w:cstheme="minorHAnsi"/>
                <w:kern w:val="24"/>
                <w:sz w:val="22"/>
                <w:szCs w:val="22"/>
              </w:rPr>
              <w:t xml:space="preserve">will support the </w:t>
            </w:r>
            <w:r>
              <w:rPr>
                <w:rFonts w:asciiTheme="minorHAnsi" w:eastAsiaTheme="minorEastAsia" w:hAnsiTheme="minorHAnsi" w:cstheme="minorHAnsi"/>
                <w:kern w:val="24"/>
                <w:sz w:val="22"/>
                <w:szCs w:val="22"/>
              </w:rPr>
              <w:t xml:space="preserve">Health Board in the </w:t>
            </w:r>
            <w:r w:rsidRPr="00786209">
              <w:rPr>
                <w:rFonts w:asciiTheme="minorHAnsi" w:eastAsiaTheme="minorEastAsia" w:hAnsiTheme="minorHAnsi" w:cstheme="minorHAnsi"/>
                <w:kern w:val="24"/>
                <w:sz w:val="22"/>
                <w:szCs w:val="22"/>
              </w:rPr>
              <w:t xml:space="preserve">planning, capture and analysis </w:t>
            </w:r>
            <w:r w:rsidRPr="00786209">
              <w:rPr>
                <w:rFonts w:asciiTheme="minorHAnsi" w:eastAsiaTheme="minorEastAsia" w:hAnsiTheme="minorHAnsi" w:cstheme="minorHAnsi"/>
                <w:kern w:val="24"/>
                <w:sz w:val="22"/>
                <w:szCs w:val="22"/>
              </w:rPr>
              <w:lastRenderedPageBreak/>
              <w:t>of Service User feedback.</w:t>
            </w:r>
            <w:r>
              <w:rPr>
                <w:rFonts w:asciiTheme="minorHAnsi" w:eastAsiaTheme="minorEastAsia" w:hAnsiTheme="minorHAnsi" w:cstheme="minorHAnsi"/>
                <w:kern w:val="24"/>
                <w:sz w:val="22"/>
                <w:szCs w:val="22"/>
              </w:rPr>
              <w:t xml:space="preserve">  Equally the voice of staff will be better heard.  </w:t>
            </w:r>
            <w:r w:rsidRPr="0020655A">
              <w:rPr>
                <w:rFonts w:asciiTheme="minorHAnsi" w:eastAsiaTheme="minorEastAsia" w:hAnsiTheme="minorHAnsi" w:cstheme="minorHAnsi"/>
                <w:kern w:val="24"/>
                <w:sz w:val="22"/>
                <w:szCs w:val="22"/>
              </w:rPr>
              <w:t xml:space="preserve">This priority aligns with involvement and collaboration as aspects of the 5 ways of working. </w:t>
            </w:r>
          </w:p>
        </w:tc>
      </w:tr>
      <w:tr w:rsidR="00EF5C9A" w:rsidRPr="0020655A" w14:paraId="79F2CC87" w14:textId="77777777" w:rsidTr="00EF5C9A">
        <w:tc>
          <w:tcPr>
            <w:tcW w:w="9918" w:type="dxa"/>
          </w:tcPr>
          <w:p w14:paraId="309FB516" w14:textId="77777777" w:rsidR="00EF5C9A" w:rsidRPr="00094E3E" w:rsidRDefault="00EF5C9A" w:rsidP="00EF5C9A">
            <w:pPr>
              <w:rPr>
                <w:rFonts w:asciiTheme="minorHAnsi" w:eastAsiaTheme="minorEastAsia" w:hAnsiTheme="minorHAnsi" w:cstheme="minorHAnsi"/>
                <w:kern w:val="24"/>
                <w:sz w:val="22"/>
                <w:szCs w:val="22"/>
              </w:rPr>
            </w:pPr>
            <w:r w:rsidRPr="0020655A">
              <w:rPr>
                <w:rFonts w:asciiTheme="minorHAnsi" w:eastAsiaTheme="minorEastAsia" w:hAnsiTheme="minorHAnsi" w:cstheme="minorHAnsi"/>
                <w:b/>
                <w:kern w:val="24"/>
                <w:sz w:val="22"/>
                <w:szCs w:val="22"/>
              </w:rPr>
              <w:lastRenderedPageBreak/>
              <w:t xml:space="preserve">3. Shared learning and continuous quality improvement: </w:t>
            </w:r>
            <w:r w:rsidRPr="005F11D5">
              <w:rPr>
                <w:rFonts w:asciiTheme="minorHAnsi" w:eastAsiaTheme="minorEastAsia" w:hAnsiTheme="minorHAnsi" w:cstheme="minorHAnsi"/>
                <w:kern w:val="24"/>
                <w:sz w:val="22"/>
                <w:szCs w:val="22"/>
              </w:rPr>
              <w:t>Development of Cwm Taf Morgannwg Improvement</w:t>
            </w:r>
            <w:r>
              <w:rPr>
                <w:rFonts w:asciiTheme="minorHAnsi" w:eastAsiaTheme="minorEastAsia" w:hAnsiTheme="minorHAnsi" w:cstheme="minorHAnsi"/>
                <w:b/>
                <w:kern w:val="24"/>
                <w:sz w:val="22"/>
                <w:szCs w:val="22"/>
              </w:rPr>
              <w:t xml:space="preserve">, </w:t>
            </w:r>
            <w:r w:rsidRPr="0020655A">
              <w:rPr>
                <w:rFonts w:asciiTheme="minorHAnsi" w:eastAsiaTheme="minorEastAsia" w:hAnsiTheme="minorHAnsi" w:cstheme="minorHAnsi"/>
                <w:kern w:val="24"/>
                <w:sz w:val="22"/>
                <w:szCs w:val="22"/>
              </w:rPr>
              <w:t>aligned with prevention and long term as aspects of 5 ways of working,</w:t>
            </w:r>
            <w:r w:rsidRPr="0020655A">
              <w:rPr>
                <w:rFonts w:asciiTheme="minorHAnsi" w:eastAsiaTheme="minorEastAsia" w:hAnsiTheme="minorHAnsi" w:cstheme="minorHAnsi"/>
                <w:b/>
                <w:kern w:val="24"/>
                <w:sz w:val="22"/>
                <w:szCs w:val="22"/>
              </w:rPr>
              <w:t xml:space="preserve"> </w:t>
            </w:r>
            <w:r w:rsidRPr="0020655A">
              <w:rPr>
                <w:rFonts w:asciiTheme="minorHAnsi" w:eastAsiaTheme="minorEastAsia" w:hAnsiTheme="minorHAnsi" w:cstheme="minorHAnsi"/>
                <w:kern w:val="24"/>
                <w:sz w:val="22"/>
                <w:szCs w:val="22"/>
              </w:rPr>
              <w:t xml:space="preserve">through improved triangulation of intelligence and data integrity via investment in data systems and staffing, review of national audit where outlier status is applied, development of a database of external reviews, reports, and improvement plans, utilising the learning and governance sub group appropriately. </w:t>
            </w:r>
          </w:p>
        </w:tc>
      </w:tr>
      <w:tr w:rsidR="00EF5C9A" w:rsidRPr="0020655A" w14:paraId="1956DB91" w14:textId="77777777" w:rsidTr="00EF5C9A">
        <w:tc>
          <w:tcPr>
            <w:tcW w:w="9918" w:type="dxa"/>
          </w:tcPr>
          <w:p w14:paraId="729D5871" w14:textId="77777777" w:rsidR="00EF5C9A" w:rsidRPr="00094E3E" w:rsidRDefault="00EF5C9A" w:rsidP="00EF5C9A">
            <w:pPr>
              <w:rPr>
                <w:rFonts w:asciiTheme="minorHAnsi" w:hAnsiTheme="minorHAnsi" w:cstheme="minorHAnsi"/>
                <w:color w:val="FF0000"/>
                <w:sz w:val="22"/>
                <w:szCs w:val="22"/>
              </w:rPr>
            </w:pPr>
            <w:r w:rsidRPr="0020655A">
              <w:rPr>
                <w:rFonts w:asciiTheme="minorHAnsi" w:eastAsiaTheme="minorEastAsia" w:hAnsiTheme="minorHAnsi" w:cstheme="minorHAnsi"/>
                <w:b/>
                <w:kern w:val="24"/>
                <w:sz w:val="22"/>
                <w:szCs w:val="22"/>
              </w:rPr>
              <w:t xml:space="preserve">4. Risk better articulated, shared &amp; mitigated: </w:t>
            </w:r>
            <w:r w:rsidRPr="0020655A">
              <w:rPr>
                <w:rFonts w:asciiTheme="minorHAnsi" w:hAnsiTheme="minorHAnsi" w:cstheme="minorHAnsi"/>
                <w:sz w:val="22"/>
                <w:szCs w:val="22"/>
              </w:rPr>
              <w:t>following an</w:t>
            </w:r>
            <w:r w:rsidRPr="0020655A">
              <w:rPr>
                <w:rFonts w:asciiTheme="minorHAnsi" w:hAnsiTheme="minorHAnsi" w:cstheme="minorHAnsi"/>
                <w:b/>
                <w:sz w:val="22"/>
                <w:szCs w:val="22"/>
              </w:rPr>
              <w:t xml:space="preserve"> e</w:t>
            </w:r>
            <w:r w:rsidRPr="0020655A">
              <w:rPr>
                <w:rFonts w:asciiTheme="minorHAnsi" w:eastAsiaTheme="minorEastAsia" w:hAnsiTheme="minorHAnsi" w:cstheme="minorHAnsi"/>
                <w:kern w:val="24"/>
                <w:sz w:val="22"/>
                <w:szCs w:val="22"/>
              </w:rPr>
              <w:t xml:space="preserve">xtensive revision of the Health Board’s approach to and management of risk, improving sight of significant service specific concerns and risks, improved exception reporting to Quality &amp; Safety Committee and development of a harm review process. This priority aligns with each of the 5 ways of working. </w:t>
            </w:r>
          </w:p>
        </w:tc>
      </w:tr>
      <w:tr w:rsidR="00EF5C9A" w:rsidRPr="0020655A" w14:paraId="7F6474D5" w14:textId="77777777" w:rsidTr="00EF5C9A">
        <w:tc>
          <w:tcPr>
            <w:tcW w:w="9918" w:type="dxa"/>
          </w:tcPr>
          <w:p w14:paraId="34320E89" w14:textId="77777777" w:rsidR="00EF5C9A" w:rsidRPr="00094E3E" w:rsidRDefault="00EF5C9A" w:rsidP="00EF5C9A">
            <w:pPr>
              <w:rPr>
                <w:rFonts w:asciiTheme="minorHAnsi" w:hAnsiTheme="minorHAnsi" w:cstheme="minorHAnsi"/>
                <w:b/>
                <w:sz w:val="22"/>
                <w:szCs w:val="22"/>
              </w:rPr>
            </w:pPr>
            <w:r w:rsidRPr="0020655A">
              <w:rPr>
                <w:rFonts w:asciiTheme="minorHAnsi" w:eastAsiaTheme="minorEastAsia" w:hAnsiTheme="minorHAnsi" w:cstheme="minorHAnsi"/>
                <w:b/>
                <w:kern w:val="24"/>
                <w:sz w:val="22"/>
                <w:szCs w:val="22"/>
              </w:rPr>
              <w:t xml:space="preserve">5. Strengthened two-way Ward to Board sight: </w:t>
            </w:r>
            <w:r w:rsidRPr="0020655A">
              <w:rPr>
                <w:rFonts w:asciiTheme="minorHAnsi" w:hAnsiTheme="minorHAnsi" w:cstheme="minorHAnsi"/>
                <w:sz w:val="22"/>
                <w:szCs w:val="22"/>
              </w:rPr>
              <w:t>ensuring that q</w:t>
            </w:r>
            <w:r w:rsidRPr="0020655A">
              <w:rPr>
                <w:rFonts w:asciiTheme="minorHAnsi" w:eastAsiaTheme="minorEastAsia" w:hAnsiTheme="minorHAnsi" w:cstheme="minorHAnsi"/>
                <w:kern w:val="24"/>
                <w:sz w:val="22"/>
                <w:szCs w:val="22"/>
              </w:rPr>
              <w:t>uality governance and patient safety shapes and features strongly in new organisational structure</w:t>
            </w:r>
            <w:r w:rsidRPr="0020655A">
              <w:rPr>
                <w:rFonts w:asciiTheme="minorHAnsi" w:hAnsiTheme="minorHAnsi" w:cstheme="minorHAnsi"/>
                <w:sz w:val="22"/>
                <w:szCs w:val="22"/>
              </w:rPr>
              <w:t xml:space="preserve"> supported by continued implementation </w:t>
            </w:r>
            <w:r w:rsidRPr="0020655A">
              <w:rPr>
                <w:rFonts w:asciiTheme="minorHAnsi" w:eastAsiaTheme="minorEastAsia" w:hAnsiTheme="minorHAnsi" w:cstheme="minorHAnsi"/>
                <w:kern w:val="24"/>
                <w:sz w:val="22"/>
                <w:szCs w:val="22"/>
              </w:rPr>
              <w:t xml:space="preserve">and refresh of the framework. </w:t>
            </w:r>
          </w:p>
        </w:tc>
      </w:tr>
      <w:tr w:rsidR="00EF5C9A" w:rsidRPr="0020655A" w14:paraId="613B547A" w14:textId="77777777" w:rsidTr="00EF5C9A">
        <w:trPr>
          <w:trHeight w:val="617"/>
        </w:trPr>
        <w:tc>
          <w:tcPr>
            <w:tcW w:w="9918" w:type="dxa"/>
          </w:tcPr>
          <w:p w14:paraId="4BE31221" w14:textId="77777777" w:rsidR="00EF5C9A" w:rsidRPr="00094E3E" w:rsidRDefault="00EF5C9A" w:rsidP="00EF5C9A">
            <w:pPr>
              <w:rPr>
                <w:rFonts w:asciiTheme="minorHAnsi" w:hAnsiTheme="minorHAnsi" w:cstheme="minorHAnsi"/>
                <w:sz w:val="22"/>
                <w:szCs w:val="22"/>
              </w:rPr>
            </w:pPr>
            <w:r w:rsidRPr="0020655A">
              <w:rPr>
                <w:rFonts w:asciiTheme="minorHAnsi" w:eastAsiaTheme="minorEastAsia" w:hAnsiTheme="minorHAnsi" w:cstheme="minorHAnsi"/>
                <w:b/>
                <w:kern w:val="24"/>
                <w:sz w:val="22"/>
                <w:szCs w:val="22"/>
              </w:rPr>
              <w:t>6. Extensive review and improvement of the management of concerns and serious incidents</w:t>
            </w:r>
            <w:r w:rsidRPr="0020655A">
              <w:rPr>
                <w:rFonts w:asciiTheme="minorHAnsi" w:eastAsiaTheme="minorEastAsia" w:hAnsiTheme="minorHAnsi" w:cstheme="minorHAnsi"/>
                <w:kern w:val="24"/>
                <w:sz w:val="22"/>
                <w:szCs w:val="22"/>
              </w:rPr>
              <w:t xml:space="preserve">: through full engagement with supportive intervention of the Delivery Unit </w:t>
            </w:r>
            <w:r w:rsidRPr="0020655A">
              <w:rPr>
                <w:rFonts w:asciiTheme="minorHAnsi" w:hAnsiTheme="minorHAnsi" w:cstheme="minorHAnsi"/>
                <w:sz w:val="22"/>
                <w:szCs w:val="22"/>
              </w:rPr>
              <w:t>and achievement of the i</w:t>
            </w:r>
            <w:r w:rsidRPr="0020655A">
              <w:rPr>
                <w:rFonts w:asciiTheme="minorHAnsi" w:eastAsiaTheme="minorEastAsia" w:hAnsiTheme="minorHAnsi" w:cstheme="minorHAnsi"/>
                <w:kern w:val="24"/>
                <w:sz w:val="22"/>
                <w:szCs w:val="22"/>
              </w:rPr>
              <w:t xml:space="preserve">mprovement plan. </w:t>
            </w:r>
          </w:p>
        </w:tc>
      </w:tr>
    </w:tbl>
    <w:p w14:paraId="3C24BA04" w14:textId="77777777" w:rsidR="00EF5C9A" w:rsidRPr="0020655A" w:rsidRDefault="00EF5C9A" w:rsidP="00EF5C9A">
      <w:pPr>
        <w:rPr>
          <w:rFonts w:asciiTheme="minorHAnsi" w:hAnsiTheme="minorHAnsi" w:cstheme="minorHAnsi"/>
          <w:szCs w:val="22"/>
        </w:rPr>
      </w:pPr>
    </w:p>
    <w:p w14:paraId="589617C9" w14:textId="6801024B" w:rsidR="0020655A" w:rsidRDefault="00EF5C9A" w:rsidP="00EF5C9A">
      <w:pPr>
        <w:rPr>
          <w:szCs w:val="22"/>
        </w:rPr>
      </w:pPr>
      <w:r w:rsidRPr="0020655A">
        <w:rPr>
          <w:rFonts w:asciiTheme="minorHAnsi" w:hAnsiTheme="minorHAnsi"/>
          <w:szCs w:val="22"/>
        </w:rPr>
        <w:t>The Health Board recognises that there is more to do and is committed to ensuring that quality underpins all of its work.</w:t>
      </w:r>
      <w:r w:rsidRPr="0020655A">
        <w:rPr>
          <w:szCs w:val="22"/>
        </w:rPr>
        <w:t xml:space="preserve"> However, the scale of the challenge is recognised with pace and resilience essential, along with medium term planning and sustainability in mind. The Health Board is working to address many of the issues identified within this report and acknowledges the fundamental challenges that remain</w:t>
      </w:r>
      <w:r w:rsidR="0020655A" w:rsidRPr="0020655A">
        <w:rPr>
          <w:szCs w:val="22"/>
        </w:rPr>
        <w:t>.</w:t>
      </w:r>
      <w:r w:rsidR="0020655A">
        <w:rPr>
          <w:szCs w:val="22"/>
        </w:rPr>
        <w:br w:type="page"/>
      </w:r>
    </w:p>
    <w:p w14:paraId="3732376E" w14:textId="0F53C0E6" w:rsidR="005600F7" w:rsidRPr="0062325D" w:rsidRDefault="0031158E" w:rsidP="009432C3">
      <w:pPr>
        <w:pStyle w:val="Heading1"/>
        <w:ind w:left="1077" w:hanging="1077"/>
        <w:rPr>
          <w:szCs w:val="26"/>
        </w:rPr>
      </w:pPr>
      <w:bookmarkStart w:id="72" w:name="_Toc29573943"/>
      <w:r w:rsidRPr="0062325D">
        <w:rPr>
          <w:szCs w:val="26"/>
        </w:rPr>
        <w:lastRenderedPageBreak/>
        <w:t xml:space="preserve">SERVICE CHANGE IN </w:t>
      </w:r>
      <w:r w:rsidR="0047674D">
        <w:rPr>
          <w:szCs w:val="26"/>
        </w:rPr>
        <w:t>2020</w:t>
      </w:r>
      <w:r w:rsidR="00CA03CA" w:rsidRPr="0062325D">
        <w:rPr>
          <w:szCs w:val="26"/>
        </w:rPr>
        <w:t>-2</w:t>
      </w:r>
      <w:bookmarkEnd w:id="63"/>
      <w:bookmarkEnd w:id="64"/>
      <w:bookmarkEnd w:id="65"/>
      <w:r w:rsidR="0047674D">
        <w:rPr>
          <w:szCs w:val="26"/>
        </w:rPr>
        <w:t>3</w:t>
      </w:r>
      <w:bookmarkEnd w:id="72"/>
    </w:p>
    <w:p w14:paraId="6FD0BB48" w14:textId="2B7EF988" w:rsidR="004B08BD" w:rsidRPr="0062325D" w:rsidRDefault="0062325D" w:rsidP="00FB600F">
      <w:pPr>
        <w:pStyle w:val="ListParagraph"/>
        <w:ind w:left="0"/>
        <w:rPr>
          <w:i/>
          <w:szCs w:val="22"/>
        </w:rPr>
      </w:pPr>
      <w:r w:rsidRPr="0062325D">
        <w:rPr>
          <w:iCs/>
          <w:noProof/>
          <w:szCs w:val="22"/>
        </w:rPr>
        <w:drawing>
          <wp:anchor distT="0" distB="0" distL="114300" distR="114300" simplePos="0" relativeHeight="252626944" behindDoc="0" locked="0" layoutInCell="1" allowOverlap="1" wp14:anchorId="7245E6F0" wp14:editId="6E8DB8E2">
            <wp:simplePos x="0" y="0"/>
            <wp:positionH relativeFrom="margin">
              <wp:align>right</wp:align>
            </wp:positionH>
            <wp:positionV relativeFrom="paragraph">
              <wp:posOffset>474519</wp:posOffset>
            </wp:positionV>
            <wp:extent cx="434975" cy="541655"/>
            <wp:effectExtent l="0" t="0" r="3175" b="0"/>
            <wp:wrapNone/>
            <wp:docPr id="1863" name="Picture 1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4975" cy="541655"/>
                    </a:xfrm>
                    <a:prstGeom prst="rect">
                      <a:avLst/>
                    </a:prstGeom>
                    <a:noFill/>
                  </pic:spPr>
                </pic:pic>
              </a:graphicData>
            </a:graphic>
            <wp14:sizeRelH relativeFrom="margin">
              <wp14:pctWidth>0</wp14:pctWidth>
            </wp14:sizeRelH>
            <wp14:sizeRelV relativeFrom="margin">
              <wp14:pctHeight>0</wp14:pctHeight>
            </wp14:sizeRelV>
          </wp:anchor>
        </w:drawing>
      </w:r>
      <w:r w:rsidR="0074578E" w:rsidRPr="0062325D">
        <w:rPr>
          <w:i/>
          <w:szCs w:val="22"/>
        </w:rPr>
        <w:t>Reflecting on the progress made in 201</w:t>
      </w:r>
      <w:r w:rsidR="0047674D">
        <w:rPr>
          <w:i/>
          <w:szCs w:val="22"/>
        </w:rPr>
        <w:t>9/20</w:t>
      </w:r>
      <w:r w:rsidR="0074578E" w:rsidRPr="0062325D">
        <w:rPr>
          <w:i/>
          <w:szCs w:val="22"/>
        </w:rPr>
        <w:t xml:space="preserve"> and the challenges the Health Board continues to need to meet</w:t>
      </w:r>
      <w:r w:rsidR="00B65429" w:rsidRPr="0062325D">
        <w:rPr>
          <w:i/>
          <w:szCs w:val="22"/>
        </w:rPr>
        <w:t xml:space="preserve"> over the next three</w:t>
      </w:r>
      <w:r w:rsidR="0014493C" w:rsidRPr="0062325D">
        <w:rPr>
          <w:i/>
          <w:szCs w:val="22"/>
        </w:rPr>
        <w:t xml:space="preserve"> years</w:t>
      </w:r>
      <w:r w:rsidR="00B65429" w:rsidRPr="0062325D">
        <w:rPr>
          <w:i/>
          <w:szCs w:val="22"/>
        </w:rPr>
        <w:t>, this chapter offers a</w:t>
      </w:r>
      <w:r w:rsidR="0074578E" w:rsidRPr="0062325D">
        <w:rPr>
          <w:i/>
          <w:szCs w:val="22"/>
        </w:rPr>
        <w:t xml:space="preserve"> summary, within the context of the </w:t>
      </w:r>
      <w:r w:rsidR="00174521">
        <w:rPr>
          <w:i/>
          <w:szCs w:val="22"/>
        </w:rPr>
        <w:t>Integrated Health and Care</w:t>
      </w:r>
      <w:r w:rsidR="0074578E" w:rsidRPr="0062325D">
        <w:rPr>
          <w:i/>
          <w:szCs w:val="22"/>
        </w:rPr>
        <w:t xml:space="preserve"> Strategy, of the significant </w:t>
      </w:r>
      <w:r w:rsidR="00B65429" w:rsidRPr="0062325D">
        <w:rPr>
          <w:i/>
          <w:szCs w:val="22"/>
        </w:rPr>
        <w:t>service change</w:t>
      </w:r>
      <w:r w:rsidR="00333AF2">
        <w:rPr>
          <w:i/>
          <w:szCs w:val="22"/>
        </w:rPr>
        <w:t>s</w:t>
      </w:r>
      <w:r w:rsidR="00B65429" w:rsidRPr="0062325D">
        <w:rPr>
          <w:i/>
          <w:szCs w:val="22"/>
        </w:rPr>
        <w:t xml:space="preserve"> planned over</w:t>
      </w:r>
      <w:r w:rsidR="006B4B23" w:rsidRPr="0062325D">
        <w:rPr>
          <w:i/>
          <w:szCs w:val="22"/>
        </w:rPr>
        <w:t xml:space="preserve"> the cou</w:t>
      </w:r>
      <w:r w:rsidR="00174521">
        <w:rPr>
          <w:i/>
          <w:szCs w:val="22"/>
        </w:rPr>
        <w:t>rse of 2020</w:t>
      </w:r>
      <w:r w:rsidR="0074578E" w:rsidRPr="0062325D">
        <w:rPr>
          <w:i/>
          <w:szCs w:val="22"/>
        </w:rPr>
        <w:t>-2</w:t>
      </w:r>
      <w:r w:rsidR="00174521">
        <w:rPr>
          <w:i/>
          <w:szCs w:val="22"/>
        </w:rPr>
        <w:t>3</w:t>
      </w:r>
      <w:r w:rsidR="00A510B3">
        <w:rPr>
          <w:i/>
          <w:szCs w:val="22"/>
        </w:rPr>
        <w:t>.</w:t>
      </w:r>
      <w:bookmarkStart w:id="73" w:name="_Toc471829992"/>
      <w:bookmarkStart w:id="74" w:name="_Toc473290309"/>
      <w:bookmarkStart w:id="75" w:name="_Toc478738529"/>
    </w:p>
    <w:p w14:paraId="54A76035" w14:textId="6E6168A2" w:rsidR="004B08BD" w:rsidRPr="0062325D" w:rsidRDefault="004B08BD" w:rsidP="004B08BD">
      <w:pPr>
        <w:pStyle w:val="Heading2"/>
        <w:shd w:val="clear" w:color="auto" w:fill="FFFF99"/>
        <w:rPr>
          <w:rFonts w:asciiTheme="minorHAnsi" w:hAnsiTheme="minorHAnsi"/>
          <w:iCs w:val="0"/>
          <w:szCs w:val="22"/>
        </w:rPr>
      </w:pPr>
      <w:bookmarkStart w:id="76" w:name="_Toc534875167"/>
      <w:bookmarkStart w:id="77" w:name="_Toc536195559"/>
      <w:bookmarkStart w:id="78" w:name="_Toc29573944"/>
      <w:r w:rsidRPr="0062325D">
        <w:rPr>
          <w:rFonts w:asciiTheme="minorHAnsi" w:hAnsiTheme="minorHAnsi"/>
          <w:iCs w:val="0"/>
          <w:szCs w:val="22"/>
        </w:rPr>
        <w:t>Well-being – Self Care and Supported Self Care</w:t>
      </w:r>
      <w:bookmarkEnd w:id="76"/>
      <w:bookmarkEnd w:id="77"/>
      <w:bookmarkEnd w:id="78"/>
    </w:p>
    <w:p w14:paraId="43353D34" w14:textId="0379A221" w:rsidR="00192D39" w:rsidRPr="0062325D" w:rsidRDefault="00192D39" w:rsidP="004B08BD">
      <w:pPr>
        <w:pStyle w:val="Heading3"/>
        <w:rPr>
          <w:szCs w:val="22"/>
        </w:rPr>
      </w:pPr>
      <w:bookmarkStart w:id="79" w:name="_Toc532463966"/>
      <w:bookmarkEnd w:id="73"/>
      <w:bookmarkEnd w:id="74"/>
      <w:bookmarkEnd w:id="75"/>
      <w:r w:rsidRPr="0062325D">
        <w:rPr>
          <w:szCs w:val="22"/>
        </w:rPr>
        <w:t>Wellbeing in Partnership</w:t>
      </w:r>
      <w:bookmarkEnd w:id="79"/>
      <w:r w:rsidRPr="0062325D">
        <w:rPr>
          <w:szCs w:val="22"/>
        </w:rPr>
        <w:t xml:space="preserve"> </w:t>
      </w:r>
    </w:p>
    <w:p w14:paraId="46EBCA10" w14:textId="77777777" w:rsidR="001A1303" w:rsidRPr="00A510B3" w:rsidRDefault="001A1303" w:rsidP="001A1303">
      <w:pPr>
        <w:rPr>
          <w:rFonts w:asciiTheme="minorHAnsi" w:hAnsiTheme="minorHAnsi" w:cs="Arial"/>
          <w:szCs w:val="22"/>
        </w:rPr>
      </w:pPr>
      <w:r w:rsidRPr="00A510B3">
        <w:rPr>
          <w:rFonts w:asciiTheme="minorHAnsi" w:hAnsiTheme="minorHAnsi"/>
          <w:noProof/>
          <w:szCs w:val="22"/>
        </w:rPr>
        <w:t>The</w:t>
      </w:r>
      <w:r w:rsidRPr="00A510B3">
        <w:rPr>
          <w:rFonts w:asciiTheme="minorHAnsi" w:hAnsiTheme="minorHAnsi"/>
          <w:szCs w:val="22"/>
          <w:lang w:eastAsia="en-US"/>
        </w:rPr>
        <w:t xml:space="preserve"> Cwm Taf Public Services Board (PSB) </w:t>
      </w:r>
      <w:r w:rsidRPr="00A510B3">
        <w:rPr>
          <w:rFonts w:asciiTheme="minorHAnsi" w:hAnsiTheme="minorHAnsi" w:cs="Arial"/>
          <w:szCs w:val="22"/>
        </w:rPr>
        <w:t>is chaired by the Health Board’s Chair</w:t>
      </w:r>
      <w:r>
        <w:rPr>
          <w:rFonts w:asciiTheme="minorHAnsi" w:hAnsiTheme="minorHAnsi" w:cs="Arial"/>
          <w:szCs w:val="22"/>
        </w:rPr>
        <w:t xml:space="preserve"> and</w:t>
      </w:r>
      <w:r w:rsidRPr="00A510B3">
        <w:rPr>
          <w:rFonts w:asciiTheme="minorHAnsi" w:hAnsiTheme="minorHAnsi" w:cs="Arial"/>
          <w:szCs w:val="22"/>
        </w:rPr>
        <w:t xml:space="preserve"> the Bridgend PSB is chaired by the Deputy Police and Crime Commissioner.  Work will take place </w:t>
      </w:r>
      <w:r>
        <w:rPr>
          <w:rFonts w:asciiTheme="minorHAnsi" w:hAnsiTheme="minorHAnsi" w:cs="Arial"/>
          <w:szCs w:val="22"/>
        </w:rPr>
        <w:t xml:space="preserve">in </w:t>
      </w:r>
      <w:r w:rsidRPr="00A510B3">
        <w:rPr>
          <w:rFonts w:asciiTheme="minorHAnsi" w:hAnsiTheme="minorHAnsi" w:cs="Arial"/>
          <w:szCs w:val="22"/>
        </w:rPr>
        <w:t>2020/21 to consolidate the two PSBs.</w:t>
      </w:r>
    </w:p>
    <w:p w14:paraId="5EB3AFBD" w14:textId="77777777" w:rsidR="001A1303" w:rsidRDefault="001A1303" w:rsidP="001A1303">
      <w:pPr>
        <w:rPr>
          <w:rFonts w:asciiTheme="minorHAnsi" w:hAnsiTheme="minorHAnsi"/>
          <w:szCs w:val="22"/>
        </w:rPr>
      </w:pPr>
    </w:p>
    <w:p w14:paraId="2E69BD07" w14:textId="0CAE8FB1" w:rsidR="001A1303" w:rsidRPr="00A510B3" w:rsidRDefault="001A1303" w:rsidP="001A1303">
      <w:pPr>
        <w:rPr>
          <w:rFonts w:asciiTheme="minorHAnsi" w:hAnsiTheme="minorHAnsi"/>
          <w:szCs w:val="22"/>
        </w:rPr>
      </w:pPr>
      <w:r w:rsidRPr="00A510B3">
        <w:rPr>
          <w:rFonts w:asciiTheme="minorHAnsi" w:hAnsiTheme="minorHAnsi"/>
          <w:szCs w:val="22"/>
        </w:rPr>
        <w:t>We will continue to deliver Cwm Taf PSB</w:t>
      </w:r>
      <w:r w:rsidR="00935BFE">
        <w:rPr>
          <w:rFonts w:asciiTheme="minorHAnsi" w:hAnsiTheme="minorHAnsi"/>
          <w:szCs w:val="22"/>
        </w:rPr>
        <w:t xml:space="preserve"> priorities</w:t>
      </w:r>
      <w:r w:rsidRPr="00A510B3">
        <w:rPr>
          <w:rFonts w:asciiTheme="minorHAnsi" w:hAnsiTheme="minorHAnsi"/>
          <w:szCs w:val="22"/>
        </w:rPr>
        <w:t>, working together to find innovative new ways of working for:</w:t>
      </w:r>
    </w:p>
    <w:p w14:paraId="29858771" w14:textId="77777777" w:rsidR="001A1303" w:rsidRPr="00A510B3" w:rsidRDefault="001A1303" w:rsidP="001A1303">
      <w:pPr>
        <w:pStyle w:val="NormaBullet"/>
        <w:rPr>
          <w:szCs w:val="22"/>
        </w:rPr>
      </w:pPr>
      <w:r w:rsidRPr="00A510B3">
        <w:rPr>
          <w:szCs w:val="22"/>
        </w:rPr>
        <w:t>Preventing loneliness and isolation at every stage of life.</w:t>
      </w:r>
    </w:p>
    <w:p w14:paraId="02A9C1FC" w14:textId="77777777" w:rsidR="001A1303" w:rsidRPr="00A510B3" w:rsidRDefault="001A1303" w:rsidP="001A1303">
      <w:pPr>
        <w:pStyle w:val="NormaBullet"/>
        <w:rPr>
          <w:szCs w:val="22"/>
        </w:rPr>
      </w:pPr>
      <w:r w:rsidRPr="00A510B3">
        <w:rPr>
          <w:szCs w:val="22"/>
        </w:rPr>
        <w:t>Piloting Community Zones to reduce adverse childhood experiences and find new ways of delivering one public service in our most challenged communities.</w:t>
      </w:r>
    </w:p>
    <w:p w14:paraId="4583A269" w14:textId="77777777" w:rsidR="001A1303" w:rsidRPr="00A510B3" w:rsidRDefault="001A1303" w:rsidP="001A1303">
      <w:pPr>
        <w:pStyle w:val="NormaBullet"/>
        <w:rPr>
          <w:szCs w:val="22"/>
        </w:rPr>
      </w:pPr>
      <w:r w:rsidRPr="00A510B3">
        <w:rPr>
          <w:szCs w:val="22"/>
        </w:rPr>
        <w:t xml:space="preserve">Redesign the services for families and early years, with support from the </w:t>
      </w:r>
      <w:r>
        <w:rPr>
          <w:szCs w:val="22"/>
        </w:rPr>
        <w:t>WG</w:t>
      </w:r>
      <w:r w:rsidRPr="00A510B3">
        <w:rPr>
          <w:szCs w:val="22"/>
        </w:rPr>
        <w:t xml:space="preserve"> Co-Construction Programme.</w:t>
      </w:r>
    </w:p>
    <w:p w14:paraId="65FA6305" w14:textId="77777777" w:rsidR="001A1303" w:rsidRPr="00A510B3" w:rsidRDefault="001A1303" w:rsidP="001A1303">
      <w:pPr>
        <w:pStyle w:val="NormaBullet"/>
        <w:rPr>
          <w:szCs w:val="22"/>
        </w:rPr>
      </w:pPr>
      <w:r w:rsidRPr="00A510B3">
        <w:rPr>
          <w:szCs w:val="22"/>
        </w:rPr>
        <w:t>Help people live healthier for longer with one small change.</w:t>
      </w:r>
    </w:p>
    <w:p w14:paraId="51B5B598" w14:textId="2F746024" w:rsidR="001A1303" w:rsidRDefault="001A1303" w:rsidP="001A1303">
      <w:pPr>
        <w:pStyle w:val="NormaBullet"/>
        <w:rPr>
          <w:szCs w:val="22"/>
        </w:rPr>
      </w:pPr>
      <w:r w:rsidRPr="00A510B3">
        <w:rPr>
          <w:szCs w:val="22"/>
        </w:rPr>
        <w:t xml:space="preserve">Build our economy through tourism and by linking people with the skills needed </w:t>
      </w:r>
      <w:r w:rsidR="00A67106">
        <w:rPr>
          <w:szCs w:val="22"/>
        </w:rPr>
        <w:t>for careers in public services.</w:t>
      </w:r>
    </w:p>
    <w:p w14:paraId="0F5E4B1D" w14:textId="1E991F4B" w:rsidR="00A67106" w:rsidRPr="00A510B3" w:rsidRDefault="00A67106" w:rsidP="001A1303">
      <w:pPr>
        <w:pStyle w:val="NormaBullet"/>
        <w:rPr>
          <w:szCs w:val="22"/>
        </w:rPr>
      </w:pPr>
      <w:r>
        <w:rPr>
          <w:szCs w:val="22"/>
        </w:rPr>
        <w:t>Exploring patient engagement to ensure a digitally empowered population</w:t>
      </w:r>
    </w:p>
    <w:p w14:paraId="43046EF2" w14:textId="77777777" w:rsidR="001A1303" w:rsidRPr="00A510B3" w:rsidRDefault="001A1303" w:rsidP="001A1303">
      <w:pPr>
        <w:rPr>
          <w:szCs w:val="22"/>
        </w:rPr>
      </w:pPr>
    </w:p>
    <w:p w14:paraId="1C2114E1" w14:textId="77777777" w:rsidR="001A1303" w:rsidRPr="00A510B3" w:rsidRDefault="001A1303" w:rsidP="001A1303">
      <w:pPr>
        <w:rPr>
          <w:rFonts w:asciiTheme="minorHAnsi" w:hAnsiTheme="minorHAnsi"/>
          <w:szCs w:val="22"/>
        </w:rPr>
      </w:pPr>
      <w:r w:rsidRPr="00A510B3">
        <w:rPr>
          <w:rFonts w:asciiTheme="minorHAnsi" w:hAnsiTheme="minorHAnsi"/>
          <w:szCs w:val="22"/>
        </w:rPr>
        <w:t xml:space="preserve">In Bridgend the Wellbeing Objectives have many similarities and we will seek to ensure that we work closely together to deliver them: </w:t>
      </w:r>
    </w:p>
    <w:p w14:paraId="3C2AC2D9" w14:textId="77777777" w:rsidR="001A1303" w:rsidRPr="00A510B3" w:rsidRDefault="001A1303" w:rsidP="001A1303">
      <w:pPr>
        <w:pStyle w:val="NormaBullet"/>
        <w:rPr>
          <w:szCs w:val="22"/>
        </w:rPr>
      </w:pPr>
      <w:r w:rsidRPr="00A510B3">
        <w:rPr>
          <w:szCs w:val="22"/>
        </w:rPr>
        <w:t>Best start in Life.</w:t>
      </w:r>
    </w:p>
    <w:p w14:paraId="4F81C0C5" w14:textId="77777777" w:rsidR="001A1303" w:rsidRPr="00A510B3" w:rsidRDefault="001A1303" w:rsidP="001A1303">
      <w:pPr>
        <w:pStyle w:val="NormaBullet"/>
        <w:rPr>
          <w:szCs w:val="22"/>
        </w:rPr>
      </w:pPr>
      <w:r w:rsidRPr="00A510B3">
        <w:rPr>
          <w:szCs w:val="22"/>
        </w:rPr>
        <w:t>Support communities to be safe and cohesive.</w:t>
      </w:r>
    </w:p>
    <w:p w14:paraId="3FCD1969" w14:textId="77777777" w:rsidR="001A1303" w:rsidRPr="00A510B3" w:rsidRDefault="001A1303" w:rsidP="001A1303">
      <w:pPr>
        <w:pStyle w:val="NormaBullet"/>
        <w:rPr>
          <w:szCs w:val="22"/>
        </w:rPr>
      </w:pPr>
      <w:r w:rsidRPr="00A510B3">
        <w:rPr>
          <w:szCs w:val="22"/>
        </w:rPr>
        <w:t>Reduce social and economic inequalities.</w:t>
      </w:r>
    </w:p>
    <w:p w14:paraId="3A54B4CD" w14:textId="77777777" w:rsidR="001A1303" w:rsidRPr="00A510B3" w:rsidRDefault="001A1303" w:rsidP="001A1303">
      <w:pPr>
        <w:pStyle w:val="NormaBullet"/>
        <w:rPr>
          <w:szCs w:val="22"/>
        </w:rPr>
      </w:pPr>
      <w:r w:rsidRPr="00A510B3">
        <w:rPr>
          <w:szCs w:val="22"/>
        </w:rPr>
        <w:t>Healthy choices in a healthy environment.</w:t>
      </w:r>
    </w:p>
    <w:p w14:paraId="5EA8E647" w14:textId="77777777" w:rsidR="001A1303" w:rsidRPr="00A510B3" w:rsidRDefault="001A1303" w:rsidP="001A1303">
      <w:pPr>
        <w:rPr>
          <w:szCs w:val="22"/>
        </w:rPr>
      </w:pPr>
    </w:p>
    <w:p w14:paraId="1097086A" w14:textId="3B0113AB" w:rsidR="001A1303" w:rsidRPr="00A510B3" w:rsidRDefault="001A1303" w:rsidP="001A1303">
      <w:pPr>
        <w:rPr>
          <w:rFonts w:asciiTheme="minorHAnsi" w:hAnsiTheme="minorHAnsi"/>
          <w:szCs w:val="22"/>
        </w:rPr>
      </w:pPr>
      <w:r w:rsidRPr="00A510B3">
        <w:rPr>
          <w:rFonts w:asciiTheme="minorHAnsi" w:hAnsiTheme="minorHAnsi"/>
          <w:szCs w:val="22"/>
        </w:rPr>
        <w:t xml:space="preserve">Some of this work also links closely with Area Plans required under the Social Services and Well-being Act.  It will be important </w:t>
      </w:r>
      <w:r w:rsidR="00780A87">
        <w:rPr>
          <w:rFonts w:asciiTheme="minorHAnsi" w:hAnsiTheme="minorHAnsi"/>
          <w:szCs w:val="22"/>
        </w:rPr>
        <w:t>to dovetail work plans</w:t>
      </w:r>
      <w:r w:rsidRPr="00A510B3">
        <w:rPr>
          <w:rFonts w:asciiTheme="minorHAnsi" w:hAnsiTheme="minorHAnsi"/>
          <w:szCs w:val="22"/>
        </w:rPr>
        <w:t xml:space="preserve"> where needed to deliver the most effective and efficient public services. </w:t>
      </w:r>
    </w:p>
    <w:p w14:paraId="0D2A7D16" w14:textId="77777777" w:rsidR="001A1303" w:rsidRPr="0062325D" w:rsidRDefault="001A1303" w:rsidP="001A1303">
      <w:pPr>
        <w:pStyle w:val="Heading4"/>
        <w:rPr>
          <w:szCs w:val="22"/>
        </w:rPr>
      </w:pPr>
      <w:bookmarkStart w:id="80" w:name="_Toc532463967"/>
      <w:r w:rsidRPr="0062325D">
        <w:rPr>
          <w:szCs w:val="22"/>
        </w:rPr>
        <w:t>Building Resilient Communities through a Place-Based Approach</w:t>
      </w:r>
      <w:bookmarkEnd w:id="80"/>
      <w:r w:rsidRPr="0062325D">
        <w:rPr>
          <w:szCs w:val="22"/>
        </w:rPr>
        <w:t xml:space="preserve"> </w:t>
      </w:r>
    </w:p>
    <w:p w14:paraId="320D7FC6" w14:textId="77777777" w:rsidR="001A1303" w:rsidRPr="00A510B3" w:rsidRDefault="001A1303" w:rsidP="001A1303">
      <w:pPr>
        <w:rPr>
          <w:szCs w:val="22"/>
        </w:rPr>
      </w:pPr>
      <w:r w:rsidRPr="00A510B3">
        <w:rPr>
          <w:szCs w:val="22"/>
        </w:rPr>
        <w:t>The flagship project for Cwm Taf PSB continues to be the development of place based approaches as a key priority and in response to the “Children First” initiative proposing the development of Community Zones across the Cwm Taf region.</w:t>
      </w:r>
    </w:p>
    <w:p w14:paraId="4AEB8D0B" w14:textId="77777777" w:rsidR="001A1303" w:rsidRPr="00A510B3" w:rsidRDefault="001A1303" w:rsidP="001A1303">
      <w:pPr>
        <w:rPr>
          <w:szCs w:val="22"/>
        </w:rPr>
      </w:pPr>
    </w:p>
    <w:p w14:paraId="498ECF17" w14:textId="59A45274" w:rsidR="001A1303" w:rsidRPr="00A510B3" w:rsidRDefault="001A1303" w:rsidP="001A1303">
      <w:pPr>
        <w:rPr>
          <w:szCs w:val="22"/>
        </w:rPr>
      </w:pPr>
      <w:r w:rsidRPr="00A510B3">
        <w:rPr>
          <w:rFonts w:asciiTheme="minorHAnsi" w:hAnsiTheme="minorHAnsi"/>
          <w:szCs w:val="22"/>
        </w:rPr>
        <w:t>The approach will transform public services to deliver greater emphasis on preventative early intervention services through engaging with our communities</w:t>
      </w:r>
      <w:r w:rsidR="00D82B7E">
        <w:rPr>
          <w:rFonts w:asciiTheme="minorHAnsi" w:hAnsiTheme="minorHAnsi"/>
          <w:szCs w:val="22"/>
        </w:rPr>
        <w:t xml:space="preserve"> differently</w:t>
      </w:r>
      <w:r w:rsidRPr="00A510B3">
        <w:rPr>
          <w:rFonts w:asciiTheme="minorHAnsi" w:hAnsiTheme="minorHAnsi"/>
          <w:szCs w:val="22"/>
        </w:rPr>
        <w:t xml:space="preserve">.  By intervening early prior to crisis and by preventing the escalation of the many difficulties some families are facing, including adverse childhood experiences (ACEs), it will be possible to achieve better long-term outcomes for our residents and reduce their dependency on statutory services.  As a “pioneer area” for “Children First” we </w:t>
      </w:r>
      <w:r>
        <w:rPr>
          <w:rFonts w:asciiTheme="minorHAnsi" w:hAnsiTheme="minorHAnsi"/>
          <w:szCs w:val="22"/>
        </w:rPr>
        <w:t xml:space="preserve">are </w:t>
      </w:r>
      <w:r w:rsidRPr="00A510B3">
        <w:rPr>
          <w:rFonts w:asciiTheme="minorHAnsi" w:hAnsiTheme="minorHAnsi"/>
          <w:szCs w:val="22"/>
        </w:rPr>
        <w:t xml:space="preserve">implementing this place-based initiative in two areas, </w:t>
      </w:r>
      <w:r w:rsidR="00D82B7E">
        <w:rPr>
          <w:rFonts w:asciiTheme="minorHAnsi" w:hAnsiTheme="minorHAnsi"/>
          <w:szCs w:val="22"/>
        </w:rPr>
        <w:t>t</w:t>
      </w:r>
      <w:r w:rsidRPr="00A510B3">
        <w:rPr>
          <w:rFonts w:asciiTheme="minorHAnsi" w:hAnsiTheme="minorHAnsi"/>
          <w:szCs w:val="22"/>
        </w:rPr>
        <w:t xml:space="preserve">he Gurnos </w:t>
      </w:r>
      <w:r w:rsidR="00D82B7E">
        <w:rPr>
          <w:rFonts w:asciiTheme="minorHAnsi" w:hAnsiTheme="minorHAnsi"/>
          <w:szCs w:val="22"/>
        </w:rPr>
        <w:t>E</w:t>
      </w:r>
      <w:r w:rsidRPr="00A510B3">
        <w:rPr>
          <w:rFonts w:asciiTheme="minorHAnsi" w:hAnsiTheme="minorHAnsi"/>
          <w:szCs w:val="22"/>
        </w:rPr>
        <w:t>state, Merthyr Tydfil and Upper Rhondda Fach</w:t>
      </w:r>
      <w:r>
        <w:rPr>
          <w:rFonts w:asciiTheme="minorHAnsi" w:hAnsiTheme="minorHAnsi"/>
          <w:szCs w:val="22"/>
        </w:rPr>
        <w:t>,</w:t>
      </w:r>
      <w:r w:rsidRPr="00A510B3">
        <w:rPr>
          <w:rFonts w:asciiTheme="minorHAnsi" w:hAnsiTheme="minorHAnsi"/>
          <w:szCs w:val="22"/>
        </w:rPr>
        <w:t xml:space="preserve"> RCT.  A multi-agency Implementation Group including </w:t>
      </w:r>
      <w:r w:rsidR="00D82B7E">
        <w:rPr>
          <w:rFonts w:asciiTheme="minorHAnsi" w:hAnsiTheme="minorHAnsi"/>
          <w:szCs w:val="22"/>
        </w:rPr>
        <w:t xml:space="preserve">UHB </w:t>
      </w:r>
      <w:r w:rsidRPr="00A510B3">
        <w:rPr>
          <w:rFonts w:asciiTheme="minorHAnsi" w:hAnsiTheme="minorHAnsi"/>
          <w:szCs w:val="22"/>
        </w:rPr>
        <w:t>representation continues to progress this wo</w:t>
      </w:r>
      <w:r w:rsidR="00D82B7E">
        <w:rPr>
          <w:rFonts w:asciiTheme="minorHAnsi" w:hAnsiTheme="minorHAnsi"/>
          <w:szCs w:val="22"/>
        </w:rPr>
        <w:t>rk and will also take account of</w:t>
      </w:r>
      <w:r w:rsidRPr="00A510B3">
        <w:rPr>
          <w:rFonts w:asciiTheme="minorHAnsi" w:hAnsiTheme="minorHAnsi"/>
          <w:szCs w:val="22"/>
        </w:rPr>
        <w:t>:</w:t>
      </w:r>
    </w:p>
    <w:p w14:paraId="06AB7502" w14:textId="0FB894F6" w:rsidR="001A1303" w:rsidRPr="00A510B3" w:rsidRDefault="001A1303" w:rsidP="001A1303">
      <w:pPr>
        <w:pStyle w:val="NormaBullet"/>
        <w:rPr>
          <w:szCs w:val="22"/>
        </w:rPr>
      </w:pPr>
      <w:r w:rsidRPr="00A510B3">
        <w:rPr>
          <w:szCs w:val="22"/>
        </w:rPr>
        <w:t xml:space="preserve">Rhondda Cynon Taf </w:t>
      </w:r>
      <w:r>
        <w:rPr>
          <w:szCs w:val="22"/>
        </w:rPr>
        <w:t xml:space="preserve">CBC </w:t>
      </w:r>
      <w:r w:rsidRPr="00A510B3">
        <w:rPr>
          <w:szCs w:val="22"/>
        </w:rPr>
        <w:t>Community Hubs - potentially utilising a similar model to that proposed by the PSB’s “Community Zone” proposal.</w:t>
      </w:r>
    </w:p>
    <w:p w14:paraId="7AB4846C" w14:textId="77777777" w:rsidR="001A1303" w:rsidRPr="00A510B3" w:rsidRDefault="001A1303" w:rsidP="001A1303">
      <w:pPr>
        <w:pStyle w:val="NormaBullet"/>
        <w:rPr>
          <w:szCs w:val="22"/>
        </w:rPr>
      </w:pPr>
      <w:r w:rsidRPr="00A510B3">
        <w:rPr>
          <w:szCs w:val="22"/>
        </w:rPr>
        <w:t>Joint proposals with the L</w:t>
      </w:r>
      <w:r>
        <w:rPr>
          <w:szCs w:val="22"/>
        </w:rPr>
        <w:t>As</w:t>
      </w:r>
      <w:r w:rsidRPr="00A510B3">
        <w:rPr>
          <w:szCs w:val="22"/>
        </w:rPr>
        <w:t xml:space="preserve"> continue to develop greater funding flexibility across tackling poverty programmes.</w:t>
      </w:r>
    </w:p>
    <w:p w14:paraId="7A491400" w14:textId="77777777" w:rsidR="001A1303" w:rsidRPr="00A510B3" w:rsidRDefault="001A1303" w:rsidP="001A1303">
      <w:pPr>
        <w:pStyle w:val="NormaBullet"/>
        <w:rPr>
          <w:szCs w:val="22"/>
        </w:rPr>
      </w:pPr>
      <w:r w:rsidRPr="00A510B3">
        <w:rPr>
          <w:szCs w:val="22"/>
        </w:rPr>
        <w:t>The Health Board is to date the only pathfinder for Wales taking forward the Co –construction programme of work.  F</w:t>
      </w:r>
      <w:r w:rsidRPr="00A510B3">
        <w:rPr>
          <w:bCs/>
          <w:szCs w:val="22"/>
        </w:rPr>
        <w:t>or</w:t>
      </w:r>
      <w:r w:rsidRPr="00A510B3">
        <w:rPr>
          <w:szCs w:val="22"/>
        </w:rPr>
        <w:t xml:space="preserve"> the PSB and Health Board this provides an opportunity to work differently and pilot a new approach with families assessed for additional services according to need through Vulnerability Profiling and sharing of key data between services.  Rhondda Cynon Taf </w:t>
      </w:r>
      <w:r>
        <w:rPr>
          <w:szCs w:val="22"/>
        </w:rPr>
        <w:t>CBC</w:t>
      </w:r>
      <w:r w:rsidRPr="00A510B3">
        <w:rPr>
          <w:szCs w:val="22"/>
        </w:rPr>
        <w:t xml:space="preserve"> is leading this pi</w:t>
      </w:r>
      <w:r>
        <w:rPr>
          <w:szCs w:val="22"/>
        </w:rPr>
        <w:t>l</w:t>
      </w:r>
      <w:r w:rsidRPr="00A510B3">
        <w:rPr>
          <w:szCs w:val="22"/>
        </w:rPr>
        <w:t xml:space="preserve">ot with input by both </w:t>
      </w:r>
      <w:r w:rsidRPr="00A510B3">
        <w:rPr>
          <w:rFonts w:asciiTheme="minorHAnsi" w:hAnsiTheme="minorHAnsi"/>
          <w:szCs w:val="22"/>
        </w:rPr>
        <w:t xml:space="preserve">Merthyr Tydfil and </w:t>
      </w:r>
      <w:r>
        <w:rPr>
          <w:rFonts w:asciiTheme="minorHAnsi" w:hAnsiTheme="minorHAnsi"/>
          <w:szCs w:val="22"/>
        </w:rPr>
        <w:t>Bridgend CBC</w:t>
      </w:r>
      <w:r w:rsidRPr="00A510B3">
        <w:rPr>
          <w:rFonts w:asciiTheme="minorHAnsi" w:hAnsiTheme="minorHAnsi"/>
          <w:szCs w:val="22"/>
        </w:rPr>
        <w:t>s.</w:t>
      </w:r>
    </w:p>
    <w:p w14:paraId="60912C13" w14:textId="77777777" w:rsidR="001A1303" w:rsidRPr="0062325D" w:rsidRDefault="001A1303" w:rsidP="001A1303">
      <w:pPr>
        <w:pStyle w:val="Heading3"/>
        <w:ind w:left="709" w:hanging="709"/>
        <w:rPr>
          <w:szCs w:val="22"/>
        </w:rPr>
      </w:pPr>
      <w:bookmarkStart w:id="81" w:name="_Toc532463969"/>
      <w:r w:rsidRPr="0062325D">
        <w:rPr>
          <w:szCs w:val="22"/>
        </w:rPr>
        <w:lastRenderedPageBreak/>
        <w:t>Prevention</w:t>
      </w:r>
      <w:bookmarkEnd w:id="81"/>
    </w:p>
    <w:p w14:paraId="3C54BA48" w14:textId="72578AA4" w:rsidR="001A1303" w:rsidRPr="00A510B3" w:rsidRDefault="001A1303" w:rsidP="001A1303">
      <w:pPr>
        <w:rPr>
          <w:rFonts w:asciiTheme="minorHAnsi" w:hAnsiTheme="minorHAnsi"/>
          <w:szCs w:val="22"/>
        </w:rPr>
      </w:pPr>
      <w:r w:rsidRPr="00A510B3">
        <w:rPr>
          <w:rFonts w:asciiTheme="minorHAnsi" w:hAnsiTheme="minorHAnsi"/>
          <w:szCs w:val="22"/>
        </w:rPr>
        <w:t xml:space="preserve">Prevention of ill health and promotion of good health feature as a theme across all the Health Board’s delivery plans.  Action to address modifiable lifestyle risk factors such as smoking, obesity, alcohol consumption above recommended guidelines and lack of physical exercise is fundamental to reducing the prevalence of ill health.  Our profile of the uptake of ‘Healthy Behaviours’ shows that we have much work to do to improve life expectancy, healthy life expectancy and to reduce inequalities.  This will be supported by </w:t>
      </w:r>
      <w:r>
        <w:rPr>
          <w:rFonts w:asciiTheme="minorHAnsi" w:hAnsiTheme="minorHAnsi"/>
          <w:szCs w:val="22"/>
        </w:rPr>
        <w:t>WG</w:t>
      </w:r>
      <w:r w:rsidRPr="00A510B3">
        <w:rPr>
          <w:rFonts w:asciiTheme="minorHAnsi" w:hAnsiTheme="minorHAnsi"/>
          <w:szCs w:val="22"/>
        </w:rPr>
        <w:t xml:space="preserve"> investment in prevention and early years for C</w:t>
      </w:r>
      <w:r>
        <w:rPr>
          <w:rFonts w:asciiTheme="minorHAnsi" w:hAnsiTheme="minorHAnsi"/>
          <w:szCs w:val="22"/>
        </w:rPr>
        <w:t>TM</w:t>
      </w:r>
      <w:r w:rsidRPr="00A510B3">
        <w:rPr>
          <w:rFonts w:asciiTheme="minorHAnsi" w:hAnsiTheme="minorHAnsi"/>
          <w:szCs w:val="22"/>
        </w:rPr>
        <w:t>.</w:t>
      </w:r>
    </w:p>
    <w:p w14:paraId="197B2CC8" w14:textId="77777777" w:rsidR="001A1303" w:rsidRPr="00A510B3" w:rsidRDefault="001A1303" w:rsidP="001A1303">
      <w:pPr>
        <w:rPr>
          <w:rFonts w:asciiTheme="minorHAnsi" w:hAnsiTheme="minorHAnsi"/>
          <w:szCs w:val="22"/>
        </w:rPr>
      </w:pPr>
    </w:p>
    <w:p w14:paraId="2571B938" w14:textId="77777777" w:rsidR="001A1303" w:rsidRPr="00A510B3" w:rsidRDefault="001A1303" w:rsidP="001A1303">
      <w:pPr>
        <w:rPr>
          <w:rFonts w:asciiTheme="minorHAnsi" w:hAnsiTheme="minorHAnsi"/>
          <w:szCs w:val="22"/>
        </w:rPr>
      </w:pPr>
      <w:r w:rsidRPr="00A510B3">
        <w:rPr>
          <w:rFonts w:asciiTheme="minorHAnsi" w:hAnsiTheme="minorHAnsi"/>
          <w:szCs w:val="22"/>
        </w:rPr>
        <w:t xml:space="preserve">A summary of the current actions includes: </w:t>
      </w:r>
    </w:p>
    <w:p w14:paraId="16DB548A" w14:textId="77777777" w:rsidR="001A1303" w:rsidRPr="00A510B3" w:rsidRDefault="001A1303" w:rsidP="001A1303">
      <w:pPr>
        <w:pStyle w:val="NormaBullet"/>
        <w:tabs>
          <w:tab w:val="left" w:pos="720"/>
        </w:tabs>
        <w:rPr>
          <w:rFonts w:asciiTheme="minorHAnsi" w:hAnsiTheme="minorHAnsi"/>
          <w:szCs w:val="22"/>
        </w:rPr>
      </w:pPr>
      <w:r w:rsidRPr="00A510B3">
        <w:rPr>
          <w:rFonts w:asciiTheme="minorHAnsi" w:hAnsiTheme="minorHAnsi"/>
          <w:szCs w:val="22"/>
        </w:rPr>
        <w:t xml:space="preserve">“Making Every Contact Count” </w:t>
      </w:r>
      <w:r>
        <w:rPr>
          <w:rFonts w:asciiTheme="minorHAnsi" w:hAnsiTheme="minorHAnsi"/>
          <w:szCs w:val="22"/>
        </w:rPr>
        <w:t xml:space="preserve">(MECC) </w:t>
      </w:r>
      <w:r w:rsidRPr="00A510B3">
        <w:rPr>
          <w:rFonts w:asciiTheme="minorHAnsi" w:hAnsiTheme="minorHAnsi"/>
          <w:szCs w:val="22"/>
        </w:rPr>
        <w:t>by encouraging our patients, staff, and wider population to adopt one more healthy behaviour, with a view to the majority of the population enjoying four to five healthy behaviours by 2030.</w:t>
      </w:r>
    </w:p>
    <w:p w14:paraId="7746F8A3" w14:textId="77777777" w:rsidR="001A1303" w:rsidRPr="00A510B3" w:rsidRDefault="001A1303" w:rsidP="001A1303">
      <w:pPr>
        <w:pStyle w:val="NormaBullet"/>
        <w:tabs>
          <w:tab w:val="left" w:pos="720"/>
        </w:tabs>
        <w:rPr>
          <w:rFonts w:asciiTheme="minorHAnsi" w:hAnsiTheme="minorHAnsi"/>
          <w:szCs w:val="22"/>
        </w:rPr>
      </w:pPr>
      <w:r w:rsidRPr="00A510B3">
        <w:rPr>
          <w:rFonts w:asciiTheme="minorHAnsi" w:hAnsiTheme="minorHAnsi"/>
          <w:szCs w:val="22"/>
        </w:rPr>
        <w:t xml:space="preserve">A focus on Early Years and the prevention of </w:t>
      </w:r>
      <w:hyperlink r:id="rId55" w:history="1">
        <w:r w:rsidRPr="00A510B3">
          <w:rPr>
            <w:rStyle w:val="Hyperlink"/>
            <w:rFonts w:asciiTheme="minorHAnsi" w:hAnsiTheme="minorHAnsi"/>
            <w:color w:val="auto"/>
            <w:szCs w:val="22"/>
          </w:rPr>
          <w:t>Adverse Childhood Experiences</w:t>
        </w:r>
      </w:hyperlink>
      <w:r w:rsidRPr="00A510B3">
        <w:rPr>
          <w:rFonts w:asciiTheme="minorHAnsi" w:hAnsiTheme="minorHAnsi"/>
          <w:szCs w:val="22"/>
        </w:rPr>
        <w:t xml:space="preserve"> (ACEs).</w:t>
      </w:r>
    </w:p>
    <w:p w14:paraId="78BD827E" w14:textId="45C87C21" w:rsidR="001A1303" w:rsidRPr="00A510B3" w:rsidRDefault="001A1303" w:rsidP="001A1303">
      <w:pPr>
        <w:pStyle w:val="NormaBullet"/>
        <w:tabs>
          <w:tab w:val="left" w:pos="720"/>
        </w:tabs>
        <w:rPr>
          <w:rFonts w:asciiTheme="minorHAnsi" w:hAnsiTheme="minorHAnsi"/>
          <w:szCs w:val="22"/>
        </w:rPr>
      </w:pPr>
      <w:bookmarkStart w:id="82" w:name="_Toc532463970"/>
      <w:r w:rsidRPr="00A510B3">
        <w:rPr>
          <w:rFonts w:asciiTheme="minorHAnsi" w:hAnsiTheme="minorHAnsi"/>
          <w:szCs w:val="22"/>
        </w:rPr>
        <w:t xml:space="preserve">The Public Health Directors Leadership Group, including Directors of Public Health from Health Boards and  </w:t>
      </w:r>
      <w:r w:rsidR="00077E8E">
        <w:rPr>
          <w:rFonts w:asciiTheme="minorHAnsi" w:hAnsiTheme="minorHAnsi"/>
          <w:szCs w:val="22"/>
        </w:rPr>
        <w:t>PHW</w:t>
      </w:r>
      <w:r w:rsidRPr="00A510B3">
        <w:rPr>
          <w:rFonts w:asciiTheme="minorHAnsi" w:hAnsiTheme="minorHAnsi"/>
          <w:szCs w:val="22"/>
        </w:rPr>
        <w:t xml:space="preserve">  have committed to coordinate action in two key areas:</w:t>
      </w:r>
    </w:p>
    <w:p w14:paraId="19441097" w14:textId="77777777" w:rsidR="001A1303" w:rsidRPr="00A510B3" w:rsidRDefault="001A1303" w:rsidP="001A1303">
      <w:pPr>
        <w:pStyle w:val="NormalBulletIndent"/>
        <w:rPr>
          <w:i/>
          <w:szCs w:val="22"/>
        </w:rPr>
      </w:pPr>
      <w:r w:rsidRPr="00A510B3">
        <w:rPr>
          <w:szCs w:val="22"/>
        </w:rPr>
        <w:t>Tackle high blood pressure - a co-ordinated approach to prevention will be tested using the identified priority of high blood pressure, the top-ranked clinical risk factor contributing to avoidable disability-adjusted life years (DALYs).  We will advocate for and support nationally-templated quality improvement initiatives that optimise the management of blood pressure within primary care clusters, aiming to reduce the preventable burden of cardiovascular disease and related inequalities.</w:t>
      </w:r>
    </w:p>
    <w:p w14:paraId="633D2B39" w14:textId="77777777" w:rsidR="001A1303" w:rsidRPr="00A510B3" w:rsidRDefault="001A1303" w:rsidP="001A1303">
      <w:pPr>
        <w:pStyle w:val="NormalBulletIndent"/>
        <w:rPr>
          <w:rFonts w:asciiTheme="minorHAnsi" w:hAnsiTheme="minorHAnsi"/>
          <w:szCs w:val="22"/>
        </w:rPr>
      </w:pPr>
      <w:r w:rsidRPr="00A510B3">
        <w:rPr>
          <w:szCs w:val="22"/>
        </w:rPr>
        <w:t xml:space="preserve">Reduce smoking prevalence in line with the smoking cessation framework including: </w:t>
      </w:r>
      <w:r w:rsidRPr="00A510B3">
        <w:rPr>
          <w:rFonts w:asciiTheme="minorHAnsi" w:hAnsiTheme="minorHAnsi"/>
          <w:szCs w:val="22"/>
        </w:rPr>
        <w:t>assessing the extent to which each of the components has been implemented, identifying actions required and an implementation plan with key milestones, with progress tracked and reported to the DPHs.  In addition, the Group is developing a collective vision on smoking prevention and renormalisation to inform the next tobacco control strategy.</w:t>
      </w:r>
      <w:r>
        <w:rPr>
          <w:rFonts w:asciiTheme="minorHAnsi" w:hAnsiTheme="minorHAnsi"/>
          <w:szCs w:val="22"/>
        </w:rPr>
        <w:t xml:space="preserve"> </w:t>
      </w:r>
      <w:r w:rsidRPr="00A510B3">
        <w:rPr>
          <w:rFonts w:asciiTheme="minorHAnsi" w:hAnsiTheme="minorHAnsi"/>
          <w:szCs w:val="22"/>
        </w:rPr>
        <w:t xml:space="preserve"> The Help Me Quit service has been integrated into the Health Board from Public Health Wales and a system wide approach to cessation delivery is being progressed, to include community pharmacy, in</w:t>
      </w:r>
      <w:r>
        <w:rPr>
          <w:rFonts w:asciiTheme="minorHAnsi" w:hAnsiTheme="minorHAnsi"/>
          <w:szCs w:val="22"/>
        </w:rPr>
        <w:t>-</w:t>
      </w:r>
      <w:r w:rsidRPr="00A510B3">
        <w:rPr>
          <w:rFonts w:asciiTheme="minorHAnsi" w:hAnsiTheme="minorHAnsi"/>
          <w:szCs w:val="22"/>
        </w:rPr>
        <w:t xml:space="preserve">house cessation, antenatal cessation (MAMSS) and the development of a mental health service cessation model.  </w:t>
      </w:r>
    </w:p>
    <w:p w14:paraId="3CB016A7" w14:textId="77777777" w:rsidR="001A1303" w:rsidRPr="00A510B3" w:rsidRDefault="001A1303" w:rsidP="001A1303">
      <w:pPr>
        <w:pStyle w:val="NormaBullet"/>
        <w:numPr>
          <w:ilvl w:val="0"/>
          <w:numId w:val="0"/>
        </w:numPr>
        <w:tabs>
          <w:tab w:val="left" w:pos="720"/>
        </w:tabs>
        <w:ind w:left="360" w:hanging="360"/>
        <w:rPr>
          <w:rFonts w:asciiTheme="minorHAnsi" w:hAnsiTheme="minorHAnsi"/>
          <w:szCs w:val="22"/>
        </w:rPr>
      </w:pPr>
    </w:p>
    <w:p w14:paraId="4A61E28E" w14:textId="77777777" w:rsidR="001A1303" w:rsidRPr="00A510B3" w:rsidRDefault="001A1303" w:rsidP="001A1303">
      <w:pPr>
        <w:pStyle w:val="NormaBullet"/>
        <w:numPr>
          <w:ilvl w:val="0"/>
          <w:numId w:val="0"/>
        </w:numPr>
        <w:tabs>
          <w:tab w:val="left" w:pos="720"/>
        </w:tabs>
        <w:ind w:left="360" w:hanging="360"/>
        <w:rPr>
          <w:rFonts w:asciiTheme="minorHAnsi" w:hAnsiTheme="minorHAnsi"/>
          <w:szCs w:val="22"/>
        </w:rPr>
      </w:pPr>
      <w:r w:rsidRPr="00A510B3">
        <w:rPr>
          <w:rFonts w:asciiTheme="minorHAnsi" w:hAnsiTheme="minorHAnsi"/>
          <w:szCs w:val="22"/>
        </w:rPr>
        <w:t>This will be achieved though the continuation of the following preventative schemes:</w:t>
      </w:r>
    </w:p>
    <w:p w14:paraId="283D2BEB" w14:textId="77777777" w:rsidR="001A1303" w:rsidRPr="00A510B3" w:rsidRDefault="001A1303" w:rsidP="00F60A35">
      <w:pPr>
        <w:pStyle w:val="NormalBulletIndent"/>
        <w:numPr>
          <w:ilvl w:val="0"/>
          <w:numId w:val="17"/>
        </w:numPr>
        <w:ind w:left="357" w:hanging="357"/>
        <w:rPr>
          <w:szCs w:val="22"/>
        </w:rPr>
      </w:pPr>
      <w:r w:rsidRPr="00A510B3">
        <w:rPr>
          <w:szCs w:val="22"/>
        </w:rPr>
        <w:t>MAMSS, Bump Start and the Joint Care Programmes.</w:t>
      </w:r>
    </w:p>
    <w:p w14:paraId="4DCA910A" w14:textId="77777777" w:rsidR="001A1303" w:rsidRPr="00A510B3" w:rsidRDefault="001A1303" w:rsidP="00F60A35">
      <w:pPr>
        <w:pStyle w:val="NormalBulletIndent"/>
        <w:numPr>
          <w:ilvl w:val="0"/>
          <w:numId w:val="17"/>
        </w:numPr>
        <w:ind w:left="357" w:hanging="357"/>
        <w:rPr>
          <w:szCs w:val="22"/>
        </w:rPr>
      </w:pPr>
      <w:r w:rsidRPr="00A510B3">
        <w:rPr>
          <w:szCs w:val="22"/>
        </w:rPr>
        <w:t>Inverse Care Law.</w:t>
      </w:r>
    </w:p>
    <w:p w14:paraId="6F2B0F16" w14:textId="77777777" w:rsidR="001A1303" w:rsidRPr="00A510B3" w:rsidRDefault="001A1303" w:rsidP="00F60A35">
      <w:pPr>
        <w:pStyle w:val="NormalBulletIndent"/>
        <w:numPr>
          <w:ilvl w:val="0"/>
          <w:numId w:val="17"/>
        </w:numPr>
        <w:ind w:left="357" w:hanging="357"/>
        <w:rPr>
          <w:szCs w:val="22"/>
        </w:rPr>
      </w:pPr>
      <w:r w:rsidRPr="00A510B3">
        <w:rPr>
          <w:szCs w:val="22"/>
        </w:rPr>
        <w:t xml:space="preserve">Implementation of </w:t>
      </w:r>
      <w:r>
        <w:rPr>
          <w:szCs w:val="22"/>
        </w:rPr>
        <w:t>WG</w:t>
      </w:r>
      <w:r w:rsidRPr="00A510B3">
        <w:rPr>
          <w:szCs w:val="22"/>
        </w:rPr>
        <w:t xml:space="preserve"> Healthy Weight Healthy Wales Strategy and forthcoming Action Plan, including Tier 2 and 3 obesity services.</w:t>
      </w:r>
    </w:p>
    <w:p w14:paraId="61EEB2C1" w14:textId="77777777" w:rsidR="001A1303" w:rsidRPr="00A510B3" w:rsidRDefault="001A1303" w:rsidP="00F60A35">
      <w:pPr>
        <w:pStyle w:val="NormalBulletIndent"/>
        <w:numPr>
          <w:ilvl w:val="0"/>
          <w:numId w:val="17"/>
        </w:numPr>
        <w:ind w:left="357" w:hanging="357"/>
        <w:rPr>
          <w:szCs w:val="22"/>
        </w:rPr>
      </w:pPr>
      <w:r w:rsidRPr="00A510B3">
        <w:rPr>
          <w:szCs w:val="22"/>
        </w:rPr>
        <w:t>Best Start research programme.</w:t>
      </w:r>
    </w:p>
    <w:p w14:paraId="1D4C8862" w14:textId="77777777" w:rsidR="001A1303" w:rsidRPr="00A510B3" w:rsidRDefault="001A1303" w:rsidP="00F60A35">
      <w:pPr>
        <w:pStyle w:val="NormalBulletIndent"/>
        <w:numPr>
          <w:ilvl w:val="0"/>
          <w:numId w:val="17"/>
        </w:numPr>
        <w:ind w:left="357" w:hanging="357"/>
        <w:rPr>
          <w:szCs w:val="22"/>
        </w:rPr>
      </w:pPr>
      <w:r w:rsidRPr="00A510B3">
        <w:rPr>
          <w:szCs w:val="22"/>
        </w:rPr>
        <w:t>Implementation of the Healthy Child Wales Programme.</w:t>
      </w:r>
    </w:p>
    <w:p w14:paraId="1C18CB28" w14:textId="77777777" w:rsidR="001A1303" w:rsidRPr="00A510B3" w:rsidRDefault="001A1303" w:rsidP="00F60A35">
      <w:pPr>
        <w:pStyle w:val="NormalBulletIndent"/>
        <w:numPr>
          <w:ilvl w:val="0"/>
          <w:numId w:val="17"/>
        </w:numPr>
        <w:ind w:left="357" w:hanging="357"/>
        <w:rPr>
          <w:szCs w:val="22"/>
        </w:rPr>
      </w:pPr>
      <w:r w:rsidRPr="00A510B3">
        <w:rPr>
          <w:szCs w:val="22"/>
        </w:rPr>
        <w:t xml:space="preserve">Implementation of the </w:t>
      </w:r>
      <w:r>
        <w:rPr>
          <w:szCs w:val="22"/>
        </w:rPr>
        <w:t>WG</w:t>
      </w:r>
      <w:r w:rsidRPr="00A510B3">
        <w:rPr>
          <w:szCs w:val="22"/>
        </w:rPr>
        <w:t xml:space="preserve"> Healthy and Active Strategy.</w:t>
      </w:r>
    </w:p>
    <w:p w14:paraId="7E366FCE" w14:textId="77777777" w:rsidR="001A1303" w:rsidRPr="0062325D" w:rsidRDefault="001A1303" w:rsidP="001A1303">
      <w:pPr>
        <w:pStyle w:val="Heading3"/>
        <w:ind w:left="709" w:hanging="709"/>
        <w:rPr>
          <w:szCs w:val="22"/>
        </w:rPr>
      </w:pPr>
      <w:r w:rsidRPr="0062325D">
        <w:rPr>
          <w:szCs w:val="22"/>
        </w:rPr>
        <w:t>Self-Care and Supported Self-Care</w:t>
      </w:r>
      <w:bookmarkEnd w:id="82"/>
    </w:p>
    <w:p w14:paraId="096C2D79" w14:textId="77777777" w:rsidR="001A1303" w:rsidRPr="00A510B3" w:rsidRDefault="001A1303" w:rsidP="001A1303">
      <w:pPr>
        <w:rPr>
          <w:rFonts w:asciiTheme="minorHAnsi" w:hAnsiTheme="minorHAnsi"/>
          <w:b/>
          <w:bCs/>
          <w:szCs w:val="22"/>
        </w:rPr>
      </w:pPr>
      <w:r w:rsidRPr="00A510B3">
        <w:rPr>
          <w:rFonts w:asciiTheme="minorHAnsi" w:hAnsiTheme="minorHAnsi"/>
          <w:bCs/>
          <w:szCs w:val="22"/>
        </w:rPr>
        <w:t xml:space="preserve">Evidence tells us that self-care or self-management programmes for chronic disease improve health outcomes and reduce hospital use, particularly those managing well defined conditions with clear methodology (e.g. those developed in Stanford such as the Chronic Disease Self-Management Programme) and that many individuals feel more satisfied with their care and achieve a better sense of control and self-efficacy through supporting self-care interventions.  This reinforces that </w:t>
      </w:r>
      <w:r w:rsidRPr="00A510B3">
        <w:rPr>
          <w:rFonts w:asciiTheme="minorHAnsi" w:hAnsiTheme="minorHAnsi" w:cs="Arial"/>
          <w:szCs w:val="22"/>
        </w:rPr>
        <w:t>self-care is needed at all stages of a patient journey, and this includes services designed to promote healthy lifestyle choices, as well as support for helping people manage a health problem.</w:t>
      </w:r>
    </w:p>
    <w:p w14:paraId="16192359" w14:textId="77777777" w:rsidR="001A1303" w:rsidRPr="00A510B3" w:rsidRDefault="001A1303" w:rsidP="001A1303">
      <w:pPr>
        <w:rPr>
          <w:rFonts w:asciiTheme="minorHAnsi" w:hAnsiTheme="minorHAnsi"/>
          <w:szCs w:val="22"/>
        </w:rPr>
      </w:pPr>
    </w:p>
    <w:p w14:paraId="5D6DBD23" w14:textId="77777777" w:rsidR="001A1303" w:rsidRPr="00A510B3" w:rsidRDefault="001A1303" w:rsidP="001A1303">
      <w:pPr>
        <w:rPr>
          <w:rFonts w:asciiTheme="minorHAnsi" w:hAnsiTheme="minorHAnsi"/>
          <w:szCs w:val="22"/>
        </w:rPr>
      </w:pPr>
      <w:r w:rsidRPr="00A510B3">
        <w:rPr>
          <w:rFonts w:asciiTheme="minorHAnsi" w:hAnsiTheme="minorHAnsi"/>
          <w:szCs w:val="22"/>
        </w:rPr>
        <w:t>Our plans for self-care and staying healthy will ensure our population will:</w:t>
      </w:r>
    </w:p>
    <w:p w14:paraId="55FDBD35" w14:textId="77777777" w:rsidR="001A1303" w:rsidRPr="00A510B3" w:rsidRDefault="001A1303" w:rsidP="001A1303">
      <w:pPr>
        <w:pStyle w:val="NormaBullet"/>
        <w:rPr>
          <w:szCs w:val="22"/>
        </w:rPr>
      </w:pPr>
      <w:r w:rsidRPr="00A510B3">
        <w:rPr>
          <w:szCs w:val="22"/>
        </w:rPr>
        <w:t>Have the knowledge, and confidence to look after their own health and to prevent ill health through targeted public health interventions across all age ranges.</w:t>
      </w:r>
    </w:p>
    <w:p w14:paraId="02507DC3" w14:textId="77777777" w:rsidR="001A1303" w:rsidRPr="00A510B3" w:rsidRDefault="001A1303" w:rsidP="001A1303">
      <w:pPr>
        <w:pStyle w:val="NormaBullet"/>
        <w:rPr>
          <w:szCs w:val="22"/>
        </w:rPr>
      </w:pPr>
      <w:r w:rsidRPr="00A510B3">
        <w:rPr>
          <w:szCs w:val="22"/>
        </w:rPr>
        <w:t>Have an increasing healthy life expectancy so we are not just living longer but have a better quality of life;</w:t>
      </w:r>
    </w:p>
    <w:p w14:paraId="64F55DB5" w14:textId="77777777" w:rsidR="001A1303" w:rsidRPr="00A510B3" w:rsidRDefault="001A1303" w:rsidP="001A1303">
      <w:pPr>
        <w:pStyle w:val="NormaBullet"/>
        <w:rPr>
          <w:szCs w:val="22"/>
        </w:rPr>
      </w:pPr>
      <w:r w:rsidRPr="00A510B3">
        <w:rPr>
          <w:szCs w:val="22"/>
        </w:rPr>
        <w:t>Be aware and linked into wider communities through the work of the Third Sector to improve their health and well-being.</w:t>
      </w:r>
    </w:p>
    <w:p w14:paraId="3418C79E" w14:textId="77777777" w:rsidR="001A1303" w:rsidRPr="00A510B3" w:rsidRDefault="001A1303" w:rsidP="001A1303">
      <w:pPr>
        <w:pStyle w:val="NormaBullet"/>
        <w:rPr>
          <w:szCs w:val="22"/>
        </w:rPr>
      </w:pPr>
      <w:r w:rsidRPr="00A510B3">
        <w:rPr>
          <w:szCs w:val="22"/>
        </w:rPr>
        <w:t>Targeted advice and support to those who already have poor health or are at high risk of ill health;</w:t>
      </w:r>
    </w:p>
    <w:p w14:paraId="35AEC13B" w14:textId="77777777" w:rsidR="001A1303" w:rsidRPr="00A510B3" w:rsidRDefault="001A1303" w:rsidP="001A1303">
      <w:pPr>
        <w:pStyle w:val="NormaBullet"/>
        <w:rPr>
          <w:szCs w:val="22"/>
        </w:rPr>
      </w:pPr>
      <w:r w:rsidRPr="00A510B3">
        <w:rPr>
          <w:szCs w:val="22"/>
        </w:rPr>
        <w:t>Reduced levels of obesity and smoking.</w:t>
      </w:r>
    </w:p>
    <w:p w14:paraId="0C37BD31" w14:textId="77777777" w:rsidR="001A1303" w:rsidRPr="00A510B3" w:rsidRDefault="001A1303" w:rsidP="001A1303">
      <w:pPr>
        <w:pStyle w:val="NormaBullet"/>
        <w:rPr>
          <w:szCs w:val="22"/>
        </w:rPr>
      </w:pPr>
      <w:r w:rsidRPr="00A510B3">
        <w:rPr>
          <w:szCs w:val="22"/>
        </w:rPr>
        <w:lastRenderedPageBreak/>
        <w:t xml:space="preserve">Targeted support for people who are out of work.  Being out of work is strongly associated with increased overall mortality and poor physical and mental health.  In the </w:t>
      </w:r>
      <w:r>
        <w:rPr>
          <w:szCs w:val="22"/>
        </w:rPr>
        <w:t>CTM</w:t>
      </w:r>
      <w:r w:rsidRPr="00A510B3">
        <w:rPr>
          <w:szCs w:val="22"/>
        </w:rPr>
        <w:t xml:space="preserve"> area, the proportion of the population in employment is lower than for Wales as a whole.</w:t>
      </w:r>
    </w:p>
    <w:p w14:paraId="5161C296" w14:textId="77777777" w:rsidR="001A1303" w:rsidRPr="00A510B3" w:rsidRDefault="001A1303" w:rsidP="001A1303">
      <w:pPr>
        <w:pStyle w:val="NormaBullet"/>
        <w:rPr>
          <w:szCs w:val="22"/>
        </w:rPr>
      </w:pPr>
      <w:r w:rsidRPr="00A510B3">
        <w:rPr>
          <w:szCs w:val="22"/>
        </w:rPr>
        <w:t>Our older people will have the knowledge and support needed for “active ageing”, enabling them to live healthy lives for as long as possible.</w:t>
      </w:r>
    </w:p>
    <w:p w14:paraId="2E72E0C4" w14:textId="04EF7B24" w:rsidR="001A1303" w:rsidRPr="00A510B3" w:rsidRDefault="001A1303" w:rsidP="001A1303">
      <w:pPr>
        <w:pStyle w:val="NormaBullet"/>
        <w:rPr>
          <w:szCs w:val="22"/>
        </w:rPr>
      </w:pPr>
      <w:r w:rsidRPr="00A510B3">
        <w:rPr>
          <w:szCs w:val="22"/>
        </w:rPr>
        <w:t>Be encouraged to take exercise, eat a healthy balanced diet, stop smoking and reduce drinking below recommended limits</w:t>
      </w:r>
      <w:r>
        <w:rPr>
          <w:szCs w:val="22"/>
        </w:rPr>
        <w:t xml:space="preserve">, potentially adding </w:t>
      </w:r>
      <w:r w:rsidRPr="00A510B3">
        <w:rPr>
          <w:szCs w:val="22"/>
        </w:rPr>
        <w:t>fourteen healthy years to life</w:t>
      </w:r>
      <w:r w:rsidR="00984758">
        <w:rPr>
          <w:szCs w:val="22"/>
        </w:rPr>
        <w:t>.</w:t>
      </w:r>
    </w:p>
    <w:p w14:paraId="082584BE" w14:textId="77777777" w:rsidR="001A1303" w:rsidRPr="00A510B3" w:rsidRDefault="001A1303" w:rsidP="001A1303">
      <w:pPr>
        <w:rPr>
          <w:rFonts w:asciiTheme="minorHAnsi" w:hAnsiTheme="minorHAnsi"/>
          <w:szCs w:val="22"/>
        </w:rPr>
      </w:pPr>
    </w:p>
    <w:p w14:paraId="22620FB8" w14:textId="77777777" w:rsidR="001A1303" w:rsidRPr="00A510B3" w:rsidRDefault="001A1303" w:rsidP="001A1303">
      <w:pPr>
        <w:rPr>
          <w:rFonts w:asciiTheme="minorHAnsi" w:hAnsiTheme="minorHAnsi"/>
          <w:szCs w:val="22"/>
        </w:rPr>
      </w:pPr>
      <w:r w:rsidRPr="00A510B3">
        <w:rPr>
          <w:rFonts w:asciiTheme="minorHAnsi" w:hAnsiTheme="minorHAnsi"/>
          <w:szCs w:val="22"/>
        </w:rPr>
        <w:t xml:space="preserve">Our self-care priorities include: </w:t>
      </w:r>
    </w:p>
    <w:p w14:paraId="2701BD25" w14:textId="7C94AE46" w:rsidR="001A1303" w:rsidRPr="00A510B3" w:rsidRDefault="001A1303" w:rsidP="001A1303">
      <w:pPr>
        <w:pStyle w:val="NormaBullet"/>
        <w:rPr>
          <w:szCs w:val="22"/>
        </w:rPr>
      </w:pPr>
      <w:r w:rsidRPr="00A510B3">
        <w:rPr>
          <w:szCs w:val="22"/>
        </w:rPr>
        <w:t>Signposting and social prescribing: healthcare professionals need to know how to refer patie</w:t>
      </w:r>
      <w:r>
        <w:rPr>
          <w:szCs w:val="22"/>
        </w:rPr>
        <w:t>nts to existing programmes.  R</w:t>
      </w:r>
      <w:r w:rsidRPr="00A510B3">
        <w:rPr>
          <w:szCs w:val="22"/>
        </w:rPr>
        <w:t xml:space="preserve">obust mechanisms for ensuring this information is to hand and up-to-date </w:t>
      </w:r>
      <w:r w:rsidR="00F019BC">
        <w:rPr>
          <w:szCs w:val="22"/>
        </w:rPr>
        <w:t>to</w:t>
      </w:r>
      <w:r w:rsidRPr="00A510B3">
        <w:rPr>
          <w:szCs w:val="22"/>
        </w:rPr>
        <w:t xml:space="preserve"> be explored. </w:t>
      </w:r>
    </w:p>
    <w:p w14:paraId="08C1E9DE" w14:textId="77777777" w:rsidR="001A1303" w:rsidRPr="00A510B3" w:rsidRDefault="001A1303" w:rsidP="001A1303">
      <w:pPr>
        <w:pStyle w:val="NormaBullet"/>
        <w:rPr>
          <w:szCs w:val="22"/>
        </w:rPr>
      </w:pPr>
      <w:r w:rsidRPr="00A510B3">
        <w:rPr>
          <w:szCs w:val="22"/>
        </w:rPr>
        <w:t>Similarly, healthcare waiting areas are appropriate venues for advertising the value of such programmes to patients, and the ways in which this can be used to the full should be developed.  Links to telephony services should also be explored.  Our Local Public Health Team will work with primary and secondary care to develop centrally coordinated information systems that can be kept up to date.</w:t>
      </w:r>
    </w:p>
    <w:p w14:paraId="1235B0AF" w14:textId="77777777" w:rsidR="001A1303" w:rsidRPr="00C06B3A" w:rsidRDefault="001A1303" w:rsidP="001A1303">
      <w:pPr>
        <w:pStyle w:val="NormaBullet"/>
        <w:rPr>
          <w:szCs w:val="22"/>
        </w:rPr>
      </w:pPr>
      <w:r w:rsidRPr="00A510B3">
        <w:rPr>
          <w:szCs w:val="22"/>
        </w:rPr>
        <w:t xml:space="preserve">Motivational Behaviour Change: evidence indicates that more success is achieved if health care practitioners are skilled in Motivational Behaviour Change and Brief Interventions, and use these techniques in general consultations.  These techniques are being offered to healthcare providers in primary and </w:t>
      </w:r>
      <w:r w:rsidRPr="00C06B3A">
        <w:rPr>
          <w:szCs w:val="22"/>
        </w:rPr>
        <w:t>secondary care.</w:t>
      </w:r>
    </w:p>
    <w:p w14:paraId="30C7E48B" w14:textId="77777777" w:rsidR="001A1303" w:rsidRPr="00C06B3A" w:rsidRDefault="001A1303" w:rsidP="001A1303">
      <w:pPr>
        <w:pStyle w:val="NormaBullet"/>
        <w:rPr>
          <w:szCs w:val="22"/>
        </w:rPr>
      </w:pPr>
      <w:r w:rsidRPr="00C06B3A">
        <w:rPr>
          <w:szCs w:val="22"/>
        </w:rPr>
        <w:t>The National Exercise on Referral programme for people with chronic conditions is similarly available in all areas, and is receiving large numbers of referrals.</w:t>
      </w:r>
    </w:p>
    <w:p w14:paraId="7F978075" w14:textId="290D1BB0" w:rsidR="001A1303" w:rsidRPr="00C06B3A" w:rsidRDefault="001A1303" w:rsidP="001A1303">
      <w:pPr>
        <w:pStyle w:val="NormaBullet"/>
        <w:rPr>
          <w:szCs w:val="22"/>
        </w:rPr>
      </w:pPr>
      <w:r w:rsidRPr="00C06B3A">
        <w:rPr>
          <w:szCs w:val="22"/>
        </w:rPr>
        <w:t>Health and We</w:t>
      </w:r>
      <w:r w:rsidR="00E13B19">
        <w:rPr>
          <w:szCs w:val="22"/>
        </w:rPr>
        <w:t>ll-Being Checks for Over 50s – ‘</w:t>
      </w:r>
      <w:r w:rsidRPr="00C06B3A">
        <w:rPr>
          <w:szCs w:val="22"/>
        </w:rPr>
        <w:t>Add to Your Life</w:t>
      </w:r>
      <w:r w:rsidR="00E13B19">
        <w:rPr>
          <w:szCs w:val="22"/>
        </w:rPr>
        <w:t>’</w:t>
      </w:r>
      <w:r w:rsidRPr="00C06B3A">
        <w:rPr>
          <w:szCs w:val="22"/>
        </w:rPr>
        <w:t xml:space="preserve">: </w:t>
      </w:r>
      <w:r w:rsidR="00E13B19">
        <w:rPr>
          <w:szCs w:val="22"/>
        </w:rPr>
        <w:t>t</w:t>
      </w:r>
      <w:r w:rsidRPr="00C06B3A">
        <w:rPr>
          <w:szCs w:val="22"/>
        </w:rPr>
        <w:t>h</w:t>
      </w:r>
      <w:r w:rsidR="00E13B19">
        <w:rPr>
          <w:szCs w:val="22"/>
        </w:rPr>
        <w:t>is programme</w:t>
      </w:r>
      <w:r w:rsidRPr="00C06B3A">
        <w:rPr>
          <w:szCs w:val="22"/>
        </w:rPr>
        <w:t xml:space="preserve"> aims to support and empower older people to ha</w:t>
      </w:r>
      <w:r w:rsidR="00E13B19">
        <w:rPr>
          <w:szCs w:val="22"/>
        </w:rPr>
        <w:t>ve greater control over their own</w:t>
      </w:r>
      <w:r w:rsidRPr="00C06B3A">
        <w:rPr>
          <w:szCs w:val="22"/>
        </w:rPr>
        <w:t xml:space="preserve"> health and well-being.</w:t>
      </w:r>
    </w:p>
    <w:p w14:paraId="72281225" w14:textId="77777777" w:rsidR="001A1303" w:rsidRPr="00C06B3A" w:rsidRDefault="001A1303" w:rsidP="001A1303">
      <w:pPr>
        <w:pStyle w:val="NormaBullet"/>
        <w:rPr>
          <w:szCs w:val="22"/>
        </w:rPr>
      </w:pPr>
      <w:r w:rsidRPr="00C06B3A">
        <w:rPr>
          <w:szCs w:val="22"/>
        </w:rPr>
        <w:t>Mainstreaming the Drink Wise, Age Well service and principles into the Substance Misuse Area Planning Board commissioned service from Barod, promoting healthier choices about alcohol use amongst over 50’s.</w:t>
      </w:r>
    </w:p>
    <w:p w14:paraId="064D0936" w14:textId="77777777" w:rsidR="001A1303" w:rsidRPr="00A510B3" w:rsidRDefault="001A1303" w:rsidP="001A1303">
      <w:pPr>
        <w:pStyle w:val="NormaBullet"/>
        <w:rPr>
          <w:bCs/>
          <w:szCs w:val="22"/>
        </w:rPr>
      </w:pPr>
      <w:r w:rsidRPr="00C06B3A">
        <w:rPr>
          <w:szCs w:val="22"/>
        </w:rPr>
        <w:t xml:space="preserve">Referral to integrated Smoking Cessation </w:t>
      </w:r>
      <w:r w:rsidRPr="00A510B3">
        <w:rPr>
          <w:szCs w:val="22"/>
        </w:rPr>
        <w:t>Services to be embedded across pathways.</w:t>
      </w:r>
    </w:p>
    <w:p w14:paraId="54670228" w14:textId="77777777" w:rsidR="001A1303" w:rsidRPr="00A510B3" w:rsidRDefault="001A1303" w:rsidP="001A1303">
      <w:pPr>
        <w:pStyle w:val="NormaBullet"/>
        <w:rPr>
          <w:bCs/>
          <w:szCs w:val="22"/>
        </w:rPr>
      </w:pPr>
      <w:r w:rsidRPr="00A510B3">
        <w:rPr>
          <w:szCs w:val="22"/>
        </w:rPr>
        <w:t>Increasing the capacity within our services to deliver condition specific education programmes which promote self-care e.g. X-PERT, Pulmonary Rehabilitation etc.</w:t>
      </w:r>
    </w:p>
    <w:p w14:paraId="0ECA9273" w14:textId="77777777" w:rsidR="001A1303" w:rsidRPr="00A510B3" w:rsidRDefault="001A1303" w:rsidP="001A1303">
      <w:pPr>
        <w:pStyle w:val="NormaBullet"/>
        <w:rPr>
          <w:bCs/>
          <w:szCs w:val="22"/>
        </w:rPr>
      </w:pPr>
      <w:r w:rsidRPr="00A510B3">
        <w:rPr>
          <w:szCs w:val="22"/>
        </w:rPr>
        <w:t>Increasing the capacity to deliver the Education Programme for Patients (EPP) to people living with a long-term health condition.</w:t>
      </w:r>
    </w:p>
    <w:p w14:paraId="0C60F80F" w14:textId="77777777" w:rsidR="001A1303" w:rsidRPr="00A510B3" w:rsidRDefault="001A1303" w:rsidP="001A1303">
      <w:pPr>
        <w:pStyle w:val="NormaBullet"/>
        <w:rPr>
          <w:bCs/>
          <w:szCs w:val="22"/>
        </w:rPr>
      </w:pPr>
      <w:r w:rsidRPr="00A510B3">
        <w:rPr>
          <w:szCs w:val="22"/>
        </w:rPr>
        <w:t>Further development of peer support activities across the community for those with a chronic condition.</w:t>
      </w:r>
    </w:p>
    <w:p w14:paraId="7F19065A" w14:textId="77777777" w:rsidR="001A1303" w:rsidRPr="003D0778" w:rsidRDefault="001A1303" w:rsidP="001A1303">
      <w:pPr>
        <w:pStyle w:val="Heading3"/>
        <w:ind w:left="0" w:firstLine="0"/>
        <w:rPr>
          <w:szCs w:val="22"/>
        </w:rPr>
      </w:pPr>
      <w:bookmarkStart w:id="83" w:name="_Toc532463971"/>
      <w:r w:rsidRPr="003D0778">
        <w:rPr>
          <w:szCs w:val="22"/>
        </w:rPr>
        <w:t>New Approaches to Health and Care – Population Health Management</w:t>
      </w:r>
      <w:bookmarkEnd w:id="83"/>
      <w:r w:rsidRPr="003D0778">
        <w:rPr>
          <w:szCs w:val="22"/>
        </w:rPr>
        <w:t xml:space="preserve"> </w:t>
      </w:r>
    </w:p>
    <w:p w14:paraId="7E159FA8" w14:textId="2D15180F" w:rsidR="001A1303" w:rsidRPr="00A73D1D" w:rsidRDefault="001A1303" w:rsidP="001A1303">
      <w:pPr>
        <w:autoSpaceDE w:val="0"/>
        <w:autoSpaceDN w:val="0"/>
        <w:adjustRightInd w:val="0"/>
        <w:rPr>
          <w:rFonts w:asciiTheme="minorHAnsi" w:hAnsiTheme="minorHAnsi"/>
          <w:szCs w:val="22"/>
        </w:rPr>
      </w:pPr>
      <w:r w:rsidRPr="00A73D1D">
        <w:rPr>
          <w:rFonts w:asciiTheme="minorHAnsi" w:hAnsiTheme="minorHAnsi"/>
          <w:szCs w:val="22"/>
        </w:rPr>
        <w:t xml:space="preserve">We have successfully completed a pilot of population segmentation and risk stratification in the Rhondda Cluster.  This has led to the creation of a unique integrated dataset combining primary and secondary care data for a population of 80,000 people.  This learning has formed the basis of the Risk Stratification and Segmentation work stream within the </w:t>
      </w:r>
      <w:r>
        <w:rPr>
          <w:rFonts w:asciiTheme="minorHAnsi" w:hAnsiTheme="minorHAnsi"/>
          <w:szCs w:val="22"/>
        </w:rPr>
        <w:t>CTM RPB</w:t>
      </w:r>
      <w:r w:rsidRPr="00A73D1D">
        <w:rPr>
          <w:rFonts w:asciiTheme="minorHAnsi" w:hAnsiTheme="minorHAnsi"/>
          <w:szCs w:val="22"/>
        </w:rPr>
        <w:t xml:space="preserve"> Transformation Proposal </w:t>
      </w:r>
      <w:r w:rsidRPr="00A73D1D">
        <w:rPr>
          <w:rFonts w:asciiTheme="minorHAnsi" w:hAnsiTheme="minorHAnsi"/>
          <w:b/>
          <w:szCs w:val="22"/>
        </w:rPr>
        <w:t>see Section 5.2.2.</w:t>
      </w:r>
    </w:p>
    <w:p w14:paraId="1E9ADEB4" w14:textId="77777777" w:rsidR="001A1303" w:rsidRPr="00A73D1D" w:rsidRDefault="001A1303" w:rsidP="001A1303">
      <w:pPr>
        <w:autoSpaceDE w:val="0"/>
        <w:autoSpaceDN w:val="0"/>
        <w:adjustRightInd w:val="0"/>
        <w:rPr>
          <w:rFonts w:asciiTheme="minorHAnsi" w:hAnsiTheme="minorHAnsi"/>
          <w:szCs w:val="22"/>
        </w:rPr>
      </w:pPr>
    </w:p>
    <w:p w14:paraId="365E5DCF" w14:textId="77777777" w:rsidR="001A1303" w:rsidRPr="00A73D1D" w:rsidRDefault="001A1303" w:rsidP="001A1303">
      <w:pPr>
        <w:autoSpaceDE w:val="0"/>
        <w:autoSpaceDN w:val="0"/>
        <w:adjustRightInd w:val="0"/>
        <w:rPr>
          <w:rFonts w:asciiTheme="minorHAnsi" w:hAnsiTheme="minorHAnsi"/>
          <w:szCs w:val="22"/>
        </w:rPr>
      </w:pPr>
      <w:r w:rsidRPr="00A73D1D">
        <w:rPr>
          <w:rFonts w:asciiTheme="minorHAnsi" w:hAnsiTheme="minorHAnsi"/>
          <w:szCs w:val="22"/>
        </w:rPr>
        <w:t xml:space="preserve">Early analysis of the dataset has shown that: </w:t>
      </w:r>
    </w:p>
    <w:p w14:paraId="5D418D70" w14:textId="77777777" w:rsidR="001A1303" w:rsidRPr="00A73D1D" w:rsidRDefault="001A1303" w:rsidP="001A1303">
      <w:pPr>
        <w:pStyle w:val="NormaBullet"/>
        <w:rPr>
          <w:szCs w:val="22"/>
        </w:rPr>
      </w:pPr>
      <w:r w:rsidRPr="00A73D1D">
        <w:rPr>
          <w:szCs w:val="22"/>
        </w:rPr>
        <w:t>Multi-morbidity is the norm – it is more common for people to have multiple chronic conditions than to have just one.</w:t>
      </w:r>
    </w:p>
    <w:p w14:paraId="36DBE737" w14:textId="77777777" w:rsidR="001A1303" w:rsidRPr="00A73D1D" w:rsidRDefault="001A1303" w:rsidP="001A1303">
      <w:pPr>
        <w:pStyle w:val="NormaBullet"/>
        <w:rPr>
          <w:szCs w:val="22"/>
        </w:rPr>
      </w:pPr>
      <w:r w:rsidRPr="00A73D1D">
        <w:rPr>
          <w:szCs w:val="22"/>
        </w:rPr>
        <w:t>Intervention programmes should not focus on one condition but take into account groups of conditions which can co-occur.</w:t>
      </w:r>
    </w:p>
    <w:p w14:paraId="2D42078B" w14:textId="77777777" w:rsidR="001A1303" w:rsidRPr="00A73D1D" w:rsidRDefault="001A1303" w:rsidP="001A1303">
      <w:pPr>
        <w:pStyle w:val="NormaBullet"/>
        <w:rPr>
          <w:szCs w:val="22"/>
        </w:rPr>
      </w:pPr>
      <w:r w:rsidRPr="00A73D1D">
        <w:rPr>
          <w:szCs w:val="22"/>
        </w:rPr>
        <w:t>Patterns of multi-morbidity vary across the pilot population (see map of morbidity below).</w:t>
      </w:r>
    </w:p>
    <w:p w14:paraId="59281BD0" w14:textId="77777777" w:rsidR="001A1303" w:rsidRPr="00A73D1D" w:rsidRDefault="001A1303" w:rsidP="001A1303">
      <w:pPr>
        <w:pStyle w:val="NormaBullet"/>
        <w:rPr>
          <w:szCs w:val="22"/>
        </w:rPr>
      </w:pPr>
      <w:r w:rsidRPr="00A73D1D">
        <w:rPr>
          <w:szCs w:val="22"/>
        </w:rPr>
        <w:t>Multi-morbidity is a better predictor of healthcare use than age or frailty.</w:t>
      </w:r>
    </w:p>
    <w:p w14:paraId="72BFDCDE" w14:textId="77777777" w:rsidR="001A1303" w:rsidRPr="00A73D1D" w:rsidRDefault="001A1303" w:rsidP="001A1303">
      <w:pPr>
        <w:pStyle w:val="NormaBullet"/>
        <w:rPr>
          <w:szCs w:val="22"/>
        </w:rPr>
      </w:pPr>
      <w:r w:rsidRPr="00A73D1D">
        <w:rPr>
          <w:szCs w:val="22"/>
        </w:rPr>
        <w:t>There are about 10 specific segments of people in the population defined by the similarity of their needs.</w:t>
      </w:r>
    </w:p>
    <w:p w14:paraId="4589167A" w14:textId="77777777" w:rsidR="001A1303" w:rsidRPr="00A73D1D" w:rsidRDefault="001A1303" w:rsidP="001A1303">
      <w:pPr>
        <w:pStyle w:val="NormaBullet"/>
        <w:rPr>
          <w:szCs w:val="22"/>
        </w:rPr>
      </w:pPr>
      <w:r w:rsidRPr="00A73D1D">
        <w:rPr>
          <w:szCs w:val="22"/>
        </w:rPr>
        <w:t xml:space="preserve">These segments can become the primary organising logic of integrated prevention, health and care as well as efforts to deliver person-centred anticipatory care  </w:t>
      </w:r>
    </w:p>
    <w:p w14:paraId="37301A77" w14:textId="77777777" w:rsidR="001A1303" w:rsidRPr="00A73D1D" w:rsidRDefault="001A1303" w:rsidP="001A1303">
      <w:pPr>
        <w:rPr>
          <w:szCs w:val="22"/>
        </w:rPr>
      </w:pPr>
    </w:p>
    <w:p w14:paraId="4B742065" w14:textId="6FA4E9BA" w:rsidR="001A1303" w:rsidRPr="00A73D1D" w:rsidRDefault="001A1303" w:rsidP="001A1303">
      <w:pPr>
        <w:rPr>
          <w:rFonts w:asciiTheme="minorHAnsi" w:hAnsiTheme="minorHAnsi"/>
          <w:szCs w:val="22"/>
        </w:rPr>
      </w:pPr>
      <w:r w:rsidRPr="00A73D1D">
        <w:rPr>
          <w:rFonts w:asciiTheme="minorHAnsi" w:hAnsiTheme="minorHAnsi"/>
          <w:szCs w:val="22"/>
        </w:rPr>
        <w:t xml:space="preserve">Having now segmented our population by multi-morbidity i.e. long term conditions (LTCs), we will determine which segments are most likely to benefit from anticipatory care and work with healthcare professionals and patients to identify the outcomes which are most important to people in those segments.  We will then use the evidence base to identify which interventions will be the most effective in achieving these outcomes for the segments.  Examples of interventions which might be more effective in different segments include Enhanced </w:t>
      </w:r>
      <w:r w:rsidRPr="00A73D1D">
        <w:rPr>
          <w:rFonts w:asciiTheme="minorHAnsi" w:hAnsiTheme="minorHAnsi"/>
          <w:szCs w:val="22"/>
        </w:rPr>
        <w:lastRenderedPageBreak/>
        <w:t>Community Cluster Teams, Communit</w:t>
      </w:r>
      <w:r w:rsidR="00000178">
        <w:rPr>
          <w:rFonts w:asciiTheme="minorHAnsi" w:hAnsiTheme="minorHAnsi"/>
          <w:szCs w:val="22"/>
        </w:rPr>
        <w:t>y Resource Teams and Stay Well @</w:t>
      </w:r>
      <w:r w:rsidRPr="00A73D1D">
        <w:rPr>
          <w:rFonts w:asciiTheme="minorHAnsi" w:hAnsiTheme="minorHAnsi"/>
          <w:szCs w:val="22"/>
        </w:rPr>
        <w:t xml:space="preserve">Home.  This approach is now being rolled out across the Health Board. </w:t>
      </w:r>
    </w:p>
    <w:p w14:paraId="410BA260" w14:textId="77777777" w:rsidR="001A1303" w:rsidRPr="002E3731" w:rsidRDefault="001A1303" w:rsidP="001A1303">
      <w:pPr>
        <w:rPr>
          <w:rFonts w:asciiTheme="minorHAnsi" w:hAnsiTheme="minorHAnsi"/>
          <w:szCs w:val="22"/>
        </w:rPr>
      </w:pPr>
    </w:p>
    <w:p w14:paraId="766114FD" w14:textId="77777777" w:rsidR="001A1303" w:rsidRDefault="001A1303" w:rsidP="001A1303">
      <w:pPr>
        <w:jc w:val="center"/>
        <w:rPr>
          <w:rFonts w:asciiTheme="minorHAnsi" w:hAnsiTheme="minorHAnsi"/>
          <w:szCs w:val="22"/>
        </w:rPr>
      </w:pPr>
      <w:r w:rsidRPr="003D0778">
        <w:rPr>
          <w:rFonts w:asciiTheme="minorHAnsi" w:hAnsiTheme="minorHAnsi"/>
          <w:noProof/>
          <w:szCs w:val="22"/>
        </w:rPr>
        <w:drawing>
          <wp:inline distT="0" distB="0" distL="0" distR="0" wp14:anchorId="7AA17A08" wp14:editId="1FD386C2">
            <wp:extent cx="3744219" cy="2018805"/>
            <wp:effectExtent l="0" t="0" r="889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785496" cy="2041061"/>
                    </a:xfrm>
                    <a:prstGeom prst="rect">
                      <a:avLst/>
                    </a:prstGeom>
                    <a:noFill/>
                  </pic:spPr>
                </pic:pic>
              </a:graphicData>
            </a:graphic>
          </wp:inline>
        </w:drawing>
      </w:r>
    </w:p>
    <w:p w14:paraId="056F1F21" w14:textId="77777777" w:rsidR="001A1303" w:rsidRPr="003D0778" w:rsidRDefault="001A1303" w:rsidP="001A1303">
      <w:pPr>
        <w:jc w:val="center"/>
        <w:rPr>
          <w:rFonts w:asciiTheme="minorHAnsi" w:hAnsiTheme="minorHAnsi"/>
          <w:szCs w:val="22"/>
        </w:rPr>
      </w:pPr>
      <w:r w:rsidRPr="003D0778">
        <w:rPr>
          <w:noProof/>
          <w:szCs w:val="22"/>
        </w:rPr>
        <w:drawing>
          <wp:anchor distT="0" distB="0" distL="114300" distR="114300" simplePos="0" relativeHeight="252919808" behindDoc="0" locked="0" layoutInCell="1" allowOverlap="1" wp14:anchorId="10E59214" wp14:editId="5221B553">
            <wp:simplePos x="0" y="0"/>
            <wp:positionH relativeFrom="margin">
              <wp:posOffset>5878583</wp:posOffset>
            </wp:positionH>
            <wp:positionV relativeFrom="paragraph">
              <wp:posOffset>149605</wp:posOffset>
            </wp:positionV>
            <wp:extent cx="544195" cy="450215"/>
            <wp:effectExtent l="0" t="0" r="8255" b="6985"/>
            <wp:wrapNone/>
            <wp:docPr id="1864" name="Picture 1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4195" cy="450215"/>
                    </a:xfrm>
                    <a:prstGeom prst="rect">
                      <a:avLst/>
                    </a:prstGeom>
                    <a:noFill/>
                  </pic:spPr>
                </pic:pic>
              </a:graphicData>
            </a:graphic>
            <wp14:sizeRelH relativeFrom="page">
              <wp14:pctWidth>0</wp14:pctWidth>
            </wp14:sizeRelH>
            <wp14:sizeRelV relativeFrom="page">
              <wp14:pctHeight>0</wp14:pctHeight>
            </wp14:sizeRelV>
          </wp:anchor>
        </w:drawing>
      </w:r>
    </w:p>
    <w:p w14:paraId="1309FA26" w14:textId="77777777" w:rsidR="001A1303" w:rsidRPr="003D0778" w:rsidRDefault="001A1303" w:rsidP="001A1303">
      <w:pPr>
        <w:pStyle w:val="StyleHeading2PatternClearAccent2"/>
        <w:rPr>
          <w:szCs w:val="22"/>
        </w:rPr>
      </w:pPr>
      <w:bookmarkStart w:id="84" w:name="_Toc532299679"/>
      <w:bookmarkStart w:id="85" w:name="_Toc532463973"/>
      <w:bookmarkStart w:id="86" w:name="_Toc536195560"/>
      <w:bookmarkStart w:id="87" w:name="_Toc29573945"/>
      <w:r w:rsidRPr="003D0778">
        <w:rPr>
          <w:szCs w:val="22"/>
        </w:rPr>
        <w:t>Integrated Community Services</w:t>
      </w:r>
      <w:bookmarkEnd w:id="84"/>
      <w:bookmarkEnd w:id="85"/>
      <w:bookmarkEnd w:id="86"/>
      <w:bookmarkEnd w:id="87"/>
    </w:p>
    <w:p w14:paraId="00CE5063" w14:textId="77777777" w:rsidR="001A1303" w:rsidRPr="003D0778" w:rsidRDefault="001A1303" w:rsidP="001A1303">
      <w:pPr>
        <w:pStyle w:val="Heading3"/>
        <w:ind w:left="0" w:firstLine="0"/>
        <w:rPr>
          <w:szCs w:val="22"/>
        </w:rPr>
      </w:pPr>
      <w:bookmarkStart w:id="88" w:name="_Toc473290314"/>
      <w:bookmarkStart w:id="89" w:name="_Toc532463974"/>
      <w:r w:rsidRPr="003D0778">
        <w:rPr>
          <w:szCs w:val="22"/>
        </w:rPr>
        <w:t>Integrated Health and Social Care</w:t>
      </w:r>
      <w:bookmarkEnd w:id="88"/>
      <w:bookmarkEnd w:id="89"/>
    </w:p>
    <w:p w14:paraId="05EE8B82" w14:textId="748CCB4B" w:rsidR="001A1303" w:rsidRPr="003842D6" w:rsidRDefault="001A1303" w:rsidP="001A1303">
      <w:pPr>
        <w:rPr>
          <w:rFonts w:asciiTheme="minorHAnsi" w:hAnsiTheme="minorHAnsi" w:cs="Arial"/>
          <w:szCs w:val="22"/>
        </w:rPr>
      </w:pPr>
      <w:r w:rsidRPr="003842D6">
        <w:rPr>
          <w:rFonts w:asciiTheme="minorHAnsi" w:hAnsiTheme="minorHAnsi"/>
          <w:szCs w:val="22"/>
        </w:rPr>
        <w:t xml:space="preserve">The RPB is the key driver for change in health and social care at regional level, </w:t>
      </w:r>
      <w:r w:rsidRPr="003842D6">
        <w:rPr>
          <w:rFonts w:asciiTheme="minorHAnsi" w:hAnsiTheme="minorHAnsi" w:cs="Arial"/>
          <w:szCs w:val="22"/>
        </w:rPr>
        <w:t>exploring and delivering opportunities for greater integration between health and social care services within Cwm Taf</w:t>
      </w:r>
      <w:r w:rsidRPr="003842D6">
        <w:rPr>
          <w:rFonts w:asciiTheme="minorHAnsi" w:hAnsiTheme="minorHAnsi"/>
          <w:szCs w:val="22"/>
        </w:rPr>
        <w:t xml:space="preserve">.  </w:t>
      </w:r>
      <w:r w:rsidRPr="003842D6">
        <w:rPr>
          <w:rFonts w:asciiTheme="minorHAnsi" w:hAnsiTheme="minorHAnsi" w:cs="Arial"/>
          <w:szCs w:val="22"/>
        </w:rPr>
        <w:t xml:space="preserve">The </w:t>
      </w:r>
      <w:hyperlink r:id="rId57" w:history="1">
        <w:r w:rsidRPr="007E3423">
          <w:rPr>
            <w:rStyle w:val="Hyperlink"/>
            <w:rFonts w:asciiTheme="minorHAnsi" w:hAnsiTheme="minorHAnsi" w:cs="Arial"/>
            <w:szCs w:val="22"/>
          </w:rPr>
          <w:t>Cwm Taf Social Services and Well-Being Annual Report for 2018/19</w:t>
        </w:r>
      </w:hyperlink>
      <w:r w:rsidRPr="003842D6">
        <w:rPr>
          <w:rFonts w:asciiTheme="minorHAnsi" w:hAnsiTheme="minorHAnsi" w:cs="Arial"/>
          <w:szCs w:val="22"/>
        </w:rPr>
        <w:t xml:space="preserve"> </w:t>
      </w:r>
      <w:r w:rsidR="007E3423">
        <w:rPr>
          <w:rFonts w:asciiTheme="minorHAnsi" w:hAnsiTheme="minorHAnsi" w:cs="Arial"/>
          <w:szCs w:val="22"/>
        </w:rPr>
        <w:t>sets out the key achievements against objectives as well as the forward look as CTM</w:t>
      </w:r>
      <w:r w:rsidRPr="003842D6">
        <w:rPr>
          <w:rFonts w:asciiTheme="minorHAnsi" w:hAnsiTheme="minorHAnsi" w:cs="Arial"/>
          <w:szCs w:val="22"/>
        </w:rPr>
        <w:t>.</w:t>
      </w:r>
    </w:p>
    <w:p w14:paraId="2B6AADC8" w14:textId="77777777" w:rsidR="001A1303" w:rsidRPr="003842D6" w:rsidRDefault="001A1303" w:rsidP="001A1303">
      <w:pPr>
        <w:rPr>
          <w:szCs w:val="22"/>
        </w:rPr>
      </w:pPr>
    </w:p>
    <w:p w14:paraId="36998F6E" w14:textId="77777777" w:rsidR="001A1303" w:rsidRPr="003842D6" w:rsidRDefault="001A1303" w:rsidP="001A1303">
      <w:pPr>
        <w:rPr>
          <w:szCs w:val="22"/>
        </w:rPr>
      </w:pPr>
      <w:r w:rsidRPr="003842D6">
        <w:rPr>
          <w:szCs w:val="22"/>
        </w:rPr>
        <w:t xml:space="preserve">As a new </w:t>
      </w:r>
      <w:r>
        <w:rPr>
          <w:szCs w:val="22"/>
        </w:rPr>
        <w:t xml:space="preserve">CTM </w:t>
      </w:r>
      <w:r w:rsidRPr="003842D6">
        <w:rPr>
          <w:szCs w:val="22"/>
        </w:rPr>
        <w:t xml:space="preserve">Region there is a requirement to refresh priorities for the </w:t>
      </w:r>
      <w:r>
        <w:rPr>
          <w:szCs w:val="22"/>
        </w:rPr>
        <w:t>RPB</w:t>
      </w:r>
      <w:r w:rsidRPr="003842D6">
        <w:rPr>
          <w:szCs w:val="22"/>
        </w:rPr>
        <w:t xml:space="preserve">. </w:t>
      </w:r>
      <w:r>
        <w:rPr>
          <w:szCs w:val="22"/>
        </w:rPr>
        <w:t xml:space="preserve"> </w:t>
      </w:r>
      <w:r w:rsidRPr="003842D6">
        <w:rPr>
          <w:szCs w:val="22"/>
        </w:rPr>
        <w:t xml:space="preserve">Work on a vision, priorities and governance for the new are RPB is being undertaken and will inform the new plan.  </w:t>
      </w:r>
      <w:r w:rsidRPr="003842D6">
        <w:rPr>
          <w:rFonts w:cs="Arial"/>
          <w:szCs w:val="22"/>
        </w:rPr>
        <w:t xml:space="preserve">Whilst it is recognised that the RPB is about to go through </w:t>
      </w:r>
      <w:r>
        <w:rPr>
          <w:rFonts w:cs="Arial"/>
          <w:szCs w:val="22"/>
        </w:rPr>
        <w:t xml:space="preserve">a </w:t>
      </w:r>
      <w:r w:rsidRPr="003842D6">
        <w:rPr>
          <w:rFonts w:cs="Arial"/>
          <w:szCs w:val="22"/>
        </w:rPr>
        <w:t>period of transition, clear priorities remain which include:</w:t>
      </w:r>
    </w:p>
    <w:p w14:paraId="3C204B3C" w14:textId="77777777" w:rsidR="001A1303" w:rsidRPr="003842D6" w:rsidRDefault="001A1303" w:rsidP="00F60A35">
      <w:pPr>
        <w:numPr>
          <w:ilvl w:val="0"/>
          <w:numId w:val="18"/>
        </w:numPr>
        <w:ind w:left="357" w:hanging="357"/>
        <w:rPr>
          <w:rFonts w:cs="Arial"/>
          <w:szCs w:val="22"/>
        </w:rPr>
      </w:pPr>
      <w:r w:rsidRPr="003842D6">
        <w:rPr>
          <w:rFonts w:cs="Arial"/>
          <w:szCs w:val="22"/>
        </w:rPr>
        <w:t xml:space="preserve">Further embedding the new </w:t>
      </w:r>
      <w:r>
        <w:rPr>
          <w:rFonts w:cs="Arial"/>
          <w:szCs w:val="22"/>
        </w:rPr>
        <w:t>RPB</w:t>
      </w:r>
      <w:r w:rsidRPr="003842D6">
        <w:rPr>
          <w:rFonts w:cs="Arial"/>
          <w:szCs w:val="22"/>
        </w:rPr>
        <w:t xml:space="preserve"> (including housing and primary care clusters representation)</w:t>
      </w:r>
    </w:p>
    <w:p w14:paraId="3DF31DE8" w14:textId="77777777" w:rsidR="001A1303" w:rsidRPr="003842D6" w:rsidRDefault="001A1303" w:rsidP="00F60A35">
      <w:pPr>
        <w:numPr>
          <w:ilvl w:val="0"/>
          <w:numId w:val="18"/>
        </w:numPr>
        <w:ind w:left="357" w:hanging="357"/>
        <w:rPr>
          <w:rFonts w:cs="Arial"/>
          <w:szCs w:val="22"/>
        </w:rPr>
      </w:pPr>
      <w:r w:rsidRPr="003842D6">
        <w:rPr>
          <w:rFonts w:cs="Arial"/>
          <w:szCs w:val="22"/>
        </w:rPr>
        <w:t>Developing and delivering a new Area Plan</w:t>
      </w:r>
    </w:p>
    <w:p w14:paraId="32CF1058" w14:textId="77777777" w:rsidR="001A1303" w:rsidRPr="003842D6" w:rsidRDefault="001A1303" w:rsidP="00F60A35">
      <w:pPr>
        <w:numPr>
          <w:ilvl w:val="0"/>
          <w:numId w:val="18"/>
        </w:numPr>
        <w:ind w:left="357" w:hanging="357"/>
        <w:rPr>
          <w:rFonts w:cs="Arial"/>
          <w:szCs w:val="22"/>
        </w:rPr>
      </w:pPr>
      <w:r w:rsidRPr="003842D6">
        <w:rPr>
          <w:rFonts w:cs="Arial"/>
          <w:szCs w:val="22"/>
        </w:rPr>
        <w:t>Delivery of the transformation programmes for Cwm Taf: Stay Well in Your Community and Bridgend: Accelerating the Pace of Change of Integrated Services</w:t>
      </w:r>
    </w:p>
    <w:p w14:paraId="4CB2C940" w14:textId="77777777" w:rsidR="001A1303" w:rsidRPr="003842D6" w:rsidRDefault="001A1303" w:rsidP="00F60A35">
      <w:pPr>
        <w:numPr>
          <w:ilvl w:val="0"/>
          <w:numId w:val="18"/>
        </w:numPr>
        <w:ind w:left="357" w:hanging="357"/>
        <w:rPr>
          <w:rFonts w:cs="Arial"/>
          <w:szCs w:val="22"/>
        </w:rPr>
      </w:pPr>
      <w:r w:rsidRPr="003842D6">
        <w:rPr>
          <w:rFonts w:cs="Arial"/>
          <w:szCs w:val="22"/>
        </w:rPr>
        <w:t xml:space="preserve">Continued delivery of the </w:t>
      </w:r>
      <w:r>
        <w:rPr>
          <w:rFonts w:cs="Arial"/>
          <w:szCs w:val="22"/>
        </w:rPr>
        <w:t xml:space="preserve">CTM </w:t>
      </w:r>
      <w:r w:rsidRPr="003842D6">
        <w:rPr>
          <w:rFonts w:cs="Arial"/>
          <w:szCs w:val="22"/>
        </w:rPr>
        <w:t>Regional work programme.  This includes:</w:t>
      </w:r>
    </w:p>
    <w:p w14:paraId="01DF6875" w14:textId="77777777" w:rsidR="001A1303" w:rsidRPr="003842D6" w:rsidRDefault="001A1303" w:rsidP="00F60A35">
      <w:pPr>
        <w:numPr>
          <w:ilvl w:val="1"/>
          <w:numId w:val="19"/>
        </w:numPr>
        <w:tabs>
          <w:tab w:val="clear" w:pos="1440"/>
        </w:tabs>
        <w:ind w:left="709" w:hanging="357"/>
        <w:rPr>
          <w:rFonts w:cs="Arial"/>
          <w:szCs w:val="22"/>
        </w:rPr>
      </w:pPr>
      <w:r w:rsidRPr="003842D6">
        <w:rPr>
          <w:rFonts w:cs="Arial"/>
          <w:szCs w:val="22"/>
        </w:rPr>
        <w:t>Embedding the new Regional Commissioning Unit</w:t>
      </w:r>
    </w:p>
    <w:p w14:paraId="72B6F990" w14:textId="77777777" w:rsidR="001A1303" w:rsidRDefault="001A1303" w:rsidP="00F60A35">
      <w:pPr>
        <w:numPr>
          <w:ilvl w:val="1"/>
          <w:numId w:val="19"/>
        </w:numPr>
        <w:tabs>
          <w:tab w:val="clear" w:pos="1440"/>
        </w:tabs>
        <w:ind w:left="709" w:hanging="357"/>
        <w:rPr>
          <w:rFonts w:cs="Arial"/>
          <w:szCs w:val="22"/>
        </w:rPr>
      </w:pPr>
      <w:r w:rsidRPr="003842D6">
        <w:rPr>
          <w:rFonts w:cs="Arial"/>
          <w:szCs w:val="22"/>
        </w:rPr>
        <w:t xml:space="preserve">Delivery of both capital and revenue </w:t>
      </w:r>
      <w:r>
        <w:rPr>
          <w:rFonts w:cs="Arial"/>
          <w:szCs w:val="22"/>
        </w:rPr>
        <w:t>Integrated Care Fund (</w:t>
      </w:r>
      <w:r w:rsidRPr="003842D6">
        <w:rPr>
          <w:rFonts w:cs="Arial"/>
          <w:szCs w:val="22"/>
        </w:rPr>
        <w:t>ICF</w:t>
      </w:r>
      <w:r>
        <w:rPr>
          <w:rFonts w:cs="Arial"/>
          <w:szCs w:val="22"/>
        </w:rPr>
        <w:t>)</w:t>
      </w:r>
      <w:r w:rsidRPr="003842D6">
        <w:rPr>
          <w:rFonts w:cs="Arial"/>
          <w:szCs w:val="22"/>
        </w:rPr>
        <w:t xml:space="preserve"> schemes</w:t>
      </w:r>
    </w:p>
    <w:p w14:paraId="799CE8C6" w14:textId="77777777" w:rsidR="00711435" w:rsidRDefault="00711435" w:rsidP="00711435">
      <w:pPr>
        <w:rPr>
          <w:rFonts w:cs="Arial"/>
          <w:szCs w:val="22"/>
        </w:rPr>
      </w:pPr>
    </w:p>
    <w:p w14:paraId="139ADE7B" w14:textId="3C3D4852" w:rsidR="00711435" w:rsidRDefault="00711435" w:rsidP="00711435">
      <w:pPr>
        <w:rPr>
          <w:rFonts w:cs="Arial"/>
          <w:szCs w:val="22"/>
        </w:rPr>
      </w:pPr>
      <w:r>
        <w:rPr>
          <w:rFonts w:cs="Arial"/>
          <w:szCs w:val="22"/>
        </w:rPr>
        <w:t>As part of the UHBs digital strategy, work is ongoing to deploy Vision 360 as a shared care record and to increase accessibility of information across health and care (</w:t>
      </w:r>
      <w:r w:rsidRPr="00711435">
        <w:rPr>
          <w:rFonts w:cs="Arial"/>
          <w:b/>
          <w:szCs w:val="22"/>
        </w:rPr>
        <w:t>Section 8.2.1.3</w:t>
      </w:r>
      <w:r>
        <w:rPr>
          <w:rFonts w:cs="Arial"/>
          <w:szCs w:val="22"/>
        </w:rPr>
        <w:t>).</w:t>
      </w:r>
    </w:p>
    <w:p w14:paraId="145777A2" w14:textId="160C36CD" w:rsidR="001A1303" w:rsidRPr="008D5F33" w:rsidRDefault="00711435" w:rsidP="00000178">
      <w:pPr>
        <w:pStyle w:val="Heading3"/>
        <w:rPr>
          <w:szCs w:val="22"/>
        </w:rPr>
      </w:pPr>
      <w:r w:rsidRPr="00216D30">
        <w:rPr>
          <w:rFonts w:asciiTheme="minorHAnsi" w:hAnsiTheme="minorHAnsi" w:cstheme="minorHAnsi"/>
          <w:i/>
          <w:noProof/>
          <w:szCs w:val="22"/>
        </w:rPr>
        <w:drawing>
          <wp:anchor distT="0" distB="0" distL="114300" distR="114300" simplePos="0" relativeHeight="252920832" behindDoc="1" locked="0" layoutInCell="1" allowOverlap="1" wp14:anchorId="7236037F" wp14:editId="20FD2FB2">
            <wp:simplePos x="0" y="0"/>
            <wp:positionH relativeFrom="margin">
              <wp:posOffset>2531110</wp:posOffset>
            </wp:positionH>
            <wp:positionV relativeFrom="margin">
              <wp:posOffset>6420485</wp:posOffset>
            </wp:positionV>
            <wp:extent cx="4036060" cy="2169160"/>
            <wp:effectExtent l="0" t="0" r="2540"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036060" cy="2169160"/>
                    </a:xfrm>
                    <a:prstGeom prst="rect">
                      <a:avLst/>
                    </a:prstGeom>
                    <a:noFill/>
                  </pic:spPr>
                </pic:pic>
              </a:graphicData>
            </a:graphic>
            <wp14:sizeRelH relativeFrom="page">
              <wp14:pctWidth>0</wp14:pctWidth>
            </wp14:sizeRelH>
            <wp14:sizeRelV relativeFrom="page">
              <wp14:pctHeight>0</wp14:pctHeight>
            </wp14:sizeRelV>
          </wp:anchor>
        </w:drawing>
      </w:r>
      <w:r w:rsidR="001A1303" w:rsidRPr="008D5F33">
        <w:rPr>
          <w:szCs w:val="22"/>
        </w:rPr>
        <w:t>Stay Well In Your Community – Transformation Programme</w:t>
      </w:r>
    </w:p>
    <w:p w14:paraId="4A3F9CC6" w14:textId="06C04BEF" w:rsidR="001A1303" w:rsidRPr="00216D30" w:rsidRDefault="001A1303" w:rsidP="001A1303">
      <w:pPr>
        <w:rPr>
          <w:rFonts w:asciiTheme="minorHAnsi" w:hAnsiTheme="minorHAnsi" w:cstheme="minorHAnsi"/>
          <w:szCs w:val="22"/>
        </w:rPr>
      </w:pPr>
      <w:r w:rsidRPr="00216D30">
        <w:rPr>
          <w:rFonts w:asciiTheme="minorHAnsi" w:hAnsiTheme="minorHAnsi" w:cstheme="minorHAnsi"/>
          <w:szCs w:val="22"/>
        </w:rPr>
        <w:t>Developed within the former Cwm Taf Regional Partnership the Cwm Taf Population Health and Social Care model has three layers to it: Wellbeing, Integrated Community Care, Closer to Home; Acute Health and Social Care and Tertiary Health Services; with the voice of the individual at the heart of the development of a seamless service model.</w:t>
      </w:r>
    </w:p>
    <w:p w14:paraId="056E257C" w14:textId="0D897C2D" w:rsidR="001A1303" w:rsidRDefault="001A1303" w:rsidP="001A1303">
      <w:pPr>
        <w:autoSpaceDE w:val="0"/>
        <w:autoSpaceDN w:val="0"/>
        <w:adjustRightInd w:val="0"/>
        <w:rPr>
          <w:rFonts w:asciiTheme="minorHAnsi" w:hAnsiTheme="minorHAnsi" w:cstheme="minorHAnsi"/>
          <w:szCs w:val="22"/>
        </w:rPr>
      </w:pPr>
    </w:p>
    <w:p w14:paraId="49F73B7B" w14:textId="6D5D3C13" w:rsidR="001A1303" w:rsidRPr="00216D30" w:rsidRDefault="001A1303" w:rsidP="001A1303">
      <w:pPr>
        <w:autoSpaceDE w:val="0"/>
        <w:autoSpaceDN w:val="0"/>
        <w:adjustRightInd w:val="0"/>
        <w:rPr>
          <w:rFonts w:asciiTheme="minorHAnsi" w:hAnsiTheme="minorHAnsi" w:cstheme="minorHAnsi"/>
          <w:szCs w:val="22"/>
        </w:rPr>
      </w:pPr>
      <w:r w:rsidRPr="00216D30">
        <w:rPr>
          <w:rFonts w:asciiTheme="minorHAnsi" w:hAnsiTheme="minorHAnsi" w:cstheme="minorHAnsi"/>
          <w:szCs w:val="22"/>
        </w:rPr>
        <w:t>Based on the whole system Cwm Taf Population Health and Social Care Service Model below, the priorities for an initial phase of the Programme is based on the following complementary components:</w:t>
      </w:r>
    </w:p>
    <w:p w14:paraId="396A1AE3" w14:textId="77777777" w:rsidR="001A1303" w:rsidRPr="003D0778" w:rsidRDefault="001A1303" w:rsidP="001A1303">
      <w:pPr>
        <w:spacing w:before="160"/>
        <w:rPr>
          <w:rFonts w:asciiTheme="minorHAnsi" w:hAnsiTheme="minorHAnsi" w:cstheme="minorHAnsi"/>
          <w:b/>
          <w:szCs w:val="22"/>
        </w:rPr>
      </w:pPr>
      <w:r w:rsidRPr="003D0778">
        <w:rPr>
          <w:rFonts w:asciiTheme="minorHAnsi" w:hAnsiTheme="minorHAnsi" w:cstheme="minorHAnsi"/>
          <w:b/>
          <w:szCs w:val="22"/>
        </w:rPr>
        <w:lastRenderedPageBreak/>
        <w:t>Multidisciplinary Anticipatory Care and Enhanced Routine Monitoring Services</w:t>
      </w:r>
    </w:p>
    <w:p w14:paraId="3696419E" w14:textId="77777777" w:rsidR="001A1303" w:rsidRPr="008D5F33" w:rsidRDefault="001A1303" w:rsidP="001A1303">
      <w:pPr>
        <w:rPr>
          <w:rFonts w:asciiTheme="minorHAnsi" w:hAnsiTheme="minorHAnsi" w:cstheme="minorHAnsi"/>
          <w:color w:val="002060"/>
          <w:sz w:val="4"/>
          <w:szCs w:val="4"/>
        </w:rPr>
      </w:pPr>
    </w:p>
    <w:p w14:paraId="3D602B5B" w14:textId="28BD706B" w:rsidR="001A1303" w:rsidRPr="003D0778" w:rsidRDefault="001A1303" w:rsidP="00F60A35">
      <w:pPr>
        <w:numPr>
          <w:ilvl w:val="0"/>
          <w:numId w:val="14"/>
        </w:numPr>
        <w:pBdr>
          <w:top w:val="single" w:sz="24" w:space="1" w:color="548235"/>
          <w:left w:val="single" w:sz="24" w:space="4" w:color="548235"/>
          <w:bottom w:val="single" w:sz="24" w:space="1" w:color="548235"/>
          <w:right w:val="single" w:sz="24" w:space="4" w:color="548235"/>
        </w:pBdr>
        <w:ind w:left="426"/>
        <w:rPr>
          <w:rFonts w:asciiTheme="minorHAnsi" w:hAnsiTheme="minorHAnsi" w:cstheme="minorHAnsi"/>
          <w:color w:val="000000"/>
          <w:szCs w:val="22"/>
        </w:rPr>
      </w:pPr>
      <w:r w:rsidRPr="003D0778">
        <w:rPr>
          <w:rFonts w:asciiTheme="minorHAnsi" w:hAnsiTheme="minorHAnsi" w:cstheme="minorHAnsi"/>
          <w:color w:val="000000"/>
          <w:szCs w:val="22"/>
        </w:rPr>
        <w:t xml:space="preserve">Systematise practice, cluster and Health Board level, population health segmentation and risk stratification to enable </w:t>
      </w:r>
      <w:r w:rsidR="003D570F" w:rsidRPr="003D570F">
        <w:rPr>
          <w:rFonts w:asciiTheme="minorHAnsi" w:hAnsiTheme="minorHAnsi" w:cstheme="minorHAnsi"/>
          <w:color w:val="000000"/>
          <w:szCs w:val="22"/>
        </w:rPr>
        <w:t xml:space="preserve">anticipatory interventions to be targeted at those individuals who are most likely to benefit and to deliver </w:t>
      </w:r>
      <w:r w:rsidRPr="003D0778">
        <w:rPr>
          <w:rFonts w:asciiTheme="minorHAnsi" w:hAnsiTheme="minorHAnsi" w:cstheme="minorHAnsi"/>
          <w:color w:val="000000"/>
          <w:szCs w:val="22"/>
        </w:rPr>
        <w:t xml:space="preserve">improved health and social care, quality and value (technical and allocative) outcomes.  This segmentation/risk score will target the intervention of assistive technology, disease specific community teams and the multi-agency Enhanced Community </w:t>
      </w:r>
      <w:r>
        <w:rPr>
          <w:rFonts w:asciiTheme="minorHAnsi" w:hAnsiTheme="minorHAnsi" w:cstheme="minorHAnsi"/>
          <w:color w:val="000000"/>
          <w:szCs w:val="22"/>
        </w:rPr>
        <w:t>Cluster</w:t>
      </w:r>
      <w:r w:rsidRPr="003D0778">
        <w:rPr>
          <w:rFonts w:asciiTheme="minorHAnsi" w:hAnsiTheme="minorHAnsi" w:cstheme="minorHAnsi"/>
          <w:color w:val="000000"/>
          <w:szCs w:val="22"/>
        </w:rPr>
        <w:t xml:space="preserve"> Team.</w:t>
      </w:r>
    </w:p>
    <w:p w14:paraId="2D6C1D8C" w14:textId="77777777" w:rsidR="001A1303" w:rsidRPr="008D5F33" w:rsidRDefault="001A1303" w:rsidP="001A1303">
      <w:pPr>
        <w:ind w:left="426"/>
        <w:rPr>
          <w:rFonts w:asciiTheme="minorHAnsi" w:hAnsiTheme="minorHAnsi" w:cstheme="minorHAnsi"/>
          <w:color w:val="000000"/>
          <w:sz w:val="4"/>
          <w:szCs w:val="4"/>
        </w:rPr>
      </w:pPr>
    </w:p>
    <w:p w14:paraId="18F65C0F" w14:textId="6027D688" w:rsidR="001A1303" w:rsidRPr="004945BC" w:rsidRDefault="001A1303" w:rsidP="00EB55F9">
      <w:pPr>
        <w:numPr>
          <w:ilvl w:val="0"/>
          <w:numId w:val="14"/>
        </w:numPr>
        <w:pBdr>
          <w:top w:val="single" w:sz="24" w:space="1" w:color="548235"/>
          <w:left w:val="single" w:sz="24" w:space="4" w:color="548235"/>
          <w:bottom w:val="single" w:sz="24" w:space="1" w:color="548235"/>
          <w:right w:val="single" w:sz="24" w:space="4" w:color="548235"/>
        </w:pBdr>
        <w:ind w:left="426"/>
        <w:rPr>
          <w:rFonts w:asciiTheme="minorHAnsi" w:hAnsiTheme="minorHAnsi" w:cstheme="minorHAnsi"/>
          <w:color w:val="000000"/>
          <w:sz w:val="4"/>
          <w:szCs w:val="4"/>
        </w:rPr>
      </w:pPr>
      <w:r w:rsidRPr="004945BC">
        <w:rPr>
          <w:rFonts w:asciiTheme="minorHAnsi" w:hAnsiTheme="minorHAnsi" w:cstheme="minorHAnsi"/>
          <w:color w:val="000000"/>
          <w:szCs w:val="22"/>
        </w:rPr>
        <w:t xml:space="preserve">The further development of a proactive outward facing assistive technology model </w:t>
      </w:r>
      <w:r w:rsidR="004945BC" w:rsidRPr="004945BC">
        <w:rPr>
          <w:rFonts w:asciiTheme="minorHAnsi" w:hAnsiTheme="minorHAnsi" w:cstheme="minorHAnsi"/>
          <w:color w:val="000000"/>
          <w:szCs w:val="22"/>
        </w:rPr>
        <w:t>which combines telecare monitoring and co-ordinates a multi-agency response with proactive outbound calling and links to the Rapid Response Service, enabling people to maintain their independence at home.</w:t>
      </w:r>
      <w:r w:rsidR="004945BC" w:rsidRPr="00F9510C">
        <w:rPr>
          <w:rFonts w:asciiTheme="minorHAnsi" w:hAnsiTheme="minorHAnsi" w:cstheme="minorHAnsi"/>
          <w:color w:val="000000"/>
          <w:szCs w:val="22"/>
        </w:rPr>
        <w:t xml:space="preserve"> </w:t>
      </w:r>
    </w:p>
    <w:p w14:paraId="3E365B8E" w14:textId="279161C8" w:rsidR="001A1303" w:rsidRPr="003D0778" w:rsidRDefault="001A1303" w:rsidP="00F60A35">
      <w:pPr>
        <w:numPr>
          <w:ilvl w:val="0"/>
          <w:numId w:val="14"/>
        </w:numPr>
        <w:pBdr>
          <w:top w:val="single" w:sz="24" w:space="1" w:color="7030A0"/>
          <w:left w:val="single" w:sz="24" w:space="4" w:color="7030A0"/>
          <w:bottom w:val="single" w:sz="24" w:space="1" w:color="7030A0"/>
          <w:right w:val="single" w:sz="24" w:space="4" w:color="7030A0"/>
        </w:pBdr>
        <w:ind w:left="426"/>
        <w:rPr>
          <w:rFonts w:asciiTheme="minorHAnsi" w:hAnsiTheme="minorHAnsi" w:cstheme="minorHAnsi"/>
          <w:color w:val="000000"/>
          <w:szCs w:val="22"/>
        </w:rPr>
      </w:pPr>
      <w:r w:rsidRPr="003D0778">
        <w:rPr>
          <w:rFonts w:asciiTheme="minorHAnsi" w:hAnsiTheme="minorHAnsi" w:cstheme="minorHAnsi"/>
          <w:color w:val="000000"/>
          <w:szCs w:val="22"/>
        </w:rPr>
        <w:t xml:space="preserve">Create, at cluster level, multi-agency, multi-professional </w:t>
      </w:r>
      <w:r w:rsidR="004945BC" w:rsidRPr="004945BC">
        <w:rPr>
          <w:rFonts w:asciiTheme="minorHAnsi" w:hAnsiTheme="minorHAnsi" w:cstheme="minorHAnsi"/>
          <w:color w:val="000000"/>
          <w:szCs w:val="22"/>
        </w:rPr>
        <w:t>Community Health and Well-being Teams to deliver multi-agency, multi professional anticipatory care at a cluster level via targeted MDT assessment and implementation of individual care and support plans.</w:t>
      </w:r>
      <w:r w:rsidR="004945BC" w:rsidRPr="003D0778" w:rsidDel="004945BC">
        <w:rPr>
          <w:rFonts w:asciiTheme="minorHAnsi" w:hAnsiTheme="minorHAnsi" w:cstheme="minorHAnsi"/>
          <w:color w:val="000000"/>
          <w:szCs w:val="22"/>
        </w:rPr>
        <w:t xml:space="preserve"> </w:t>
      </w:r>
    </w:p>
    <w:p w14:paraId="46632197" w14:textId="77777777" w:rsidR="001A1303" w:rsidRPr="003D0778" w:rsidRDefault="001A1303" w:rsidP="001A1303">
      <w:pPr>
        <w:spacing w:before="160"/>
        <w:rPr>
          <w:rFonts w:asciiTheme="minorHAnsi" w:hAnsiTheme="minorHAnsi" w:cstheme="minorHAnsi"/>
          <w:b/>
          <w:szCs w:val="22"/>
        </w:rPr>
      </w:pPr>
      <w:r w:rsidRPr="003D0778">
        <w:rPr>
          <w:rFonts w:asciiTheme="minorHAnsi" w:hAnsiTheme="minorHAnsi" w:cstheme="minorHAnsi"/>
          <w:b/>
          <w:szCs w:val="22"/>
        </w:rPr>
        <w:t>Rapid Response Services</w:t>
      </w:r>
    </w:p>
    <w:p w14:paraId="640C70E0" w14:textId="77777777" w:rsidR="001A1303" w:rsidRPr="008D5F33" w:rsidRDefault="001A1303" w:rsidP="001A1303">
      <w:pPr>
        <w:rPr>
          <w:rFonts w:asciiTheme="minorHAnsi" w:hAnsiTheme="minorHAnsi" w:cstheme="minorHAnsi"/>
          <w:b/>
          <w:sz w:val="4"/>
          <w:szCs w:val="4"/>
        </w:rPr>
      </w:pPr>
    </w:p>
    <w:p w14:paraId="4C53251B" w14:textId="190C9347" w:rsidR="001A1303" w:rsidRPr="003D0778" w:rsidRDefault="001A1303" w:rsidP="00F60A35">
      <w:pPr>
        <w:numPr>
          <w:ilvl w:val="0"/>
          <w:numId w:val="13"/>
        </w:numPr>
        <w:pBdr>
          <w:top w:val="single" w:sz="24" w:space="1" w:color="990033"/>
          <w:left w:val="single" w:sz="24" w:space="4" w:color="990033"/>
          <w:bottom w:val="single" w:sz="24" w:space="1" w:color="990033"/>
          <w:right w:val="single" w:sz="24" w:space="4" w:color="990033"/>
        </w:pBdr>
        <w:ind w:left="426"/>
        <w:rPr>
          <w:rFonts w:asciiTheme="minorHAnsi" w:hAnsiTheme="minorHAnsi" w:cstheme="minorHAnsi"/>
          <w:szCs w:val="22"/>
        </w:rPr>
      </w:pPr>
      <w:r w:rsidRPr="003D0778">
        <w:rPr>
          <w:rFonts w:asciiTheme="minorHAnsi" w:hAnsiTheme="minorHAnsi" w:cstheme="minorHAnsi"/>
          <w:szCs w:val="22"/>
        </w:rPr>
        <w:t>To complement the 111 service,</w:t>
      </w:r>
      <w:r w:rsidR="004945BC">
        <w:rPr>
          <w:rFonts w:asciiTheme="minorHAnsi" w:hAnsiTheme="minorHAnsi" w:cstheme="minorHAnsi"/>
          <w:szCs w:val="22"/>
        </w:rPr>
        <w:t xml:space="preserve"> </w:t>
      </w:r>
      <w:r w:rsidR="004945BC" w:rsidRPr="004945BC">
        <w:rPr>
          <w:rFonts w:asciiTheme="minorHAnsi" w:hAnsiTheme="minorHAnsi" w:cstheme="minorHAnsi"/>
          <w:szCs w:val="22"/>
        </w:rPr>
        <w:t>deliver a robust and responsive Urgent Primary Care Out of Hours Service through a prudent workforce model and complementary artificial intelligence driven symptom checker application and video assisted triage</w:t>
      </w:r>
      <w:r w:rsidRPr="003D0778">
        <w:rPr>
          <w:rFonts w:asciiTheme="minorHAnsi" w:hAnsiTheme="minorHAnsi" w:cstheme="minorHAnsi"/>
          <w:szCs w:val="22"/>
        </w:rPr>
        <w:t xml:space="preserve"> to reduce in and out of hours demand on G</w:t>
      </w:r>
      <w:r w:rsidR="00000178">
        <w:rPr>
          <w:rFonts w:asciiTheme="minorHAnsi" w:hAnsiTheme="minorHAnsi" w:cstheme="minorHAnsi"/>
          <w:szCs w:val="22"/>
        </w:rPr>
        <w:t>Ps</w:t>
      </w:r>
      <w:r w:rsidRPr="003D0778">
        <w:rPr>
          <w:rFonts w:asciiTheme="minorHAnsi" w:hAnsiTheme="minorHAnsi" w:cstheme="minorHAnsi"/>
          <w:szCs w:val="22"/>
        </w:rPr>
        <w:t>.</w:t>
      </w:r>
    </w:p>
    <w:p w14:paraId="2CC34D95" w14:textId="77777777" w:rsidR="001A1303" w:rsidRPr="008D5F33" w:rsidRDefault="001A1303" w:rsidP="001A1303">
      <w:pPr>
        <w:ind w:left="426"/>
        <w:rPr>
          <w:rFonts w:asciiTheme="minorHAnsi" w:hAnsiTheme="minorHAnsi" w:cstheme="minorHAnsi"/>
          <w:sz w:val="4"/>
          <w:szCs w:val="4"/>
        </w:rPr>
      </w:pPr>
    </w:p>
    <w:p w14:paraId="5B841FA0" w14:textId="1126EF43" w:rsidR="001A1303" w:rsidRPr="003D0778" w:rsidRDefault="001A1303" w:rsidP="00F60A35">
      <w:pPr>
        <w:numPr>
          <w:ilvl w:val="0"/>
          <w:numId w:val="13"/>
        </w:numPr>
        <w:pBdr>
          <w:top w:val="single" w:sz="24" w:space="1" w:color="FF00FF"/>
          <w:left w:val="single" w:sz="24" w:space="4" w:color="FF00FF"/>
          <w:bottom w:val="single" w:sz="24" w:space="1" w:color="FF00FF"/>
          <w:right w:val="single" w:sz="24" w:space="4" w:color="FF00FF"/>
        </w:pBdr>
        <w:ind w:left="426"/>
        <w:rPr>
          <w:rFonts w:asciiTheme="minorHAnsi" w:hAnsiTheme="minorHAnsi" w:cstheme="minorHAnsi"/>
          <w:szCs w:val="22"/>
        </w:rPr>
      </w:pPr>
      <w:r w:rsidRPr="003D0778">
        <w:rPr>
          <w:rFonts w:asciiTheme="minorHAnsi" w:hAnsiTheme="minorHAnsi" w:cstheme="minorHAnsi"/>
          <w:szCs w:val="22"/>
        </w:rPr>
        <w:t>Roll out the next phase of the Integrated Stay Well</w:t>
      </w:r>
      <w:r w:rsidR="001D4E22">
        <w:rPr>
          <w:rFonts w:asciiTheme="minorHAnsi" w:hAnsiTheme="minorHAnsi" w:cstheme="minorHAnsi"/>
          <w:szCs w:val="22"/>
        </w:rPr>
        <w:t xml:space="preserve"> </w:t>
      </w:r>
      <w:r w:rsidRPr="003D0778">
        <w:rPr>
          <w:rFonts w:asciiTheme="minorHAnsi" w:hAnsiTheme="minorHAnsi" w:cstheme="minorHAnsi"/>
          <w:szCs w:val="22"/>
        </w:rPr>
        <w:t xml:space="preserve">@Home rapid response service across Cwm Taf, to enable referral, via a single point of access, from community based health, wellbeing, pre-hospital and social care professionals. </w:t>
      </w:r>
    </w:p>
    <w:p w14:paraId="76BE1670" w14:textId="77777777" w:rsidR="001A1303" w:rsidRPr="003D0778" w:rsidRDefault="001A1303" w:rsidP="001A1303">
      <w:pPr>
        <w:autoSpaceDE w:val="0"/>
        <w:autoSpaceDN w:val="0"/>
        <w:adjustRightInd w:val="0"/>
        <w:rPr>
          <w:rFonts w:asciiTheme="minorHAnsi" w:hAnsiTheme="minorHAnsi" w:cstheme="minorHAnsi"/>
          <w:szCs w:val="22"/>
        </w:rPr>
      </w:pPr>
    </w:p>
    <w:p w14:paraId="756FB44E" w14:textId="012AC968" w:rsidR="001A1303" w:rsidRPr="00174521" w:rsidRDefault="001A1303" w:rsidP="001A1303">
      <w:pPr>
        <w:rPr>
          <w:rFonts w:asciiTheme="minorHAnsi" w:hAnsiTheme="minorHAnsi" w:cstheme="minorHAnsi"/>
          <w:b/>
          <w:color w:val="943634" w:themeColor="accent2" w:themeShade="BF"/>
          <w:szCs w:val="22"/>
        </w:rPr>
      </w:pPr>
      <w:r w:rsidRPr="00216D30">
        <w:rPr>
          <w:rFonts w:asciiTheme="minorHAnsi" w:hAnsiTheme="minorHAnsi" w:cstheme="minorHAnsi"/>
          <w:szCs w:val="22"/>
        </w:rPr>
        <w:t xml:space="preserve">The transformation </w:t>
      </w:r>
      <w:r w:rsidR="00F7614D">
        <w:rPr>
          <w:rFonts w:asciiTheme="minorHAnsi" w:hAnsiTheme="minorHAnsi" w:cstheme="minorHAnsi"/>
          <w:szCs w:val="22"/>
        </w:rPr>
        <w:t>programme</w:t>
      </w:r>
      <w:r w:rsidR="00F7614D" w:rsidRPr="00216D30">
        <w:rPr>
          <w:rFonts w:asciiTheme="minorHAnsi" w:hAnsiTheme="minorHAnsi" w:cstheme="minorHAnsi"/>
          <w:szCs w:val="22"/>
        </w:rPr>
        <w:t xml:space="preserve"> </w:t>
      </w:r>
      <w:r w:rsidRPr="00216D30">
        <w:rPr>
          <w:rFonts w:asciiTheme="minorHAnsi" w:hAnsiTheme="minorHAnsi" w:cstheme="minorHAnsi"/>
          <w:szCs w:val="22"/>
        </w:rPr>
        <w:t xml:space="preserve">focuses on scaling up, and crucially linking, pilots which have already delivered proven benefit across Cwm Taf within the Integrated Community Care, Closer to Home layer.  These are: Risk Stratification and Segmentation; Cluster Focused Multi-Disciplinary Teams – a ‘Virtual Ward’; Stay Well@Home. </w:t>
      </w:r>
    </w:p>
    <w:p w14:paraId="59650AA6" w14:textId="77777777" w:rsidR="001A1303" w:rsidRPr="008D5F33" w:rsidRDefault="001A1303" w:rsidP="001A1303">
      <w:pPr>
        <w:pStyle w:val="Heading3"/>
        <w:rPr>
          <w:szCs w:val="22"/>
        </w:rPr>
      </w:pPr>
      <w:r w:rsidRPr="008D5F33">
        <w:rPr>
          <w:rFonts w:eastAsia="Times New Roman" w:cs="Arial"/>
          <w:szCs w:val="22"/>
        </w:rPr>
        <w:t>Bridgend: Accelerating the Pace of Change of Integrated Services</w:t>
      </w:r>
    </w:p>
    <w:p w14:paraId="145654F4" w14:textId="77777777" w:rsidR="001A1303" w:rsidRPr="00216D30" w:rsidRDefault="001A1303" w:rsidP="001A1303">
      <w:pPr>
        <w:rPr>
          <w:rFonts w:asciiTheme="minorHAnsi" w:hAnsiTheme="minorHAnsi" w:cs="Arial"/>
          <w:szCs w:val="22"/>
        </w:rPr>
      </w:pPr>
      <w:r w:rsidRPr="00216D30">
        <w:rPr>
          <w:rFonts w:asciiTheme="minorHAnsi" w:hAnsiTheme="minorHAnsi" w:cs="Arial"/>
          <w:szCs w:val="22"/>
        </w:rPr>
        <w:t>Building on a strong track record of partnership working and integration, Bridgend CBC and partners have the ambition to have fully operational accessible services over seven days, over an extended day, as well as providing care and support at night.  The desire is to lead in Wales, developing and delivering a coordinated integrated approach to service over seven days; where people experience a continuous, accessible and responsive approach, to collaboratively supporting people, particularly areas excluded from routine access such as, out of hours and secondary care, and WAST services colleagues.</w:t>
      </w:r>
    </w:p>
    <w:p w14:paraId="4F05D587" w14:textId="77777777" w:rsidR="001A1303" w:rsidRPr="00216D30" w:rsidRDefault="001A1303" w:rsidP="001A1303">
      <w:pPr>
        <w:rPr>
          <w:rFonts w:asciiTheme="minorHAnsi" w:hAnsiTheme="minorHAnsi" w:cs="Arial"/>
          <w:szCs w:val="22"/>
        </w:rPr>
      </w:pPr>
    </w:p>
    <w:p w14:paraId="2DDD816C" w14:textId="77777777" w:rsidR="001A1303" w:rsidRPr="00216D30" w:rsidRDefault="001A1303" w:rsidP="001A1303">
      <w:pPr>
        <w:rPr>
          <w:rFonts w:asciiTheme="minorHAnsi" w:hAnsiTheme="minorHAnsi" w:cs="Arial"/>
          <w:szCs w:val="22"/>
        </w:rPr>
      </w:pPr>
      <w:r w:rsidRPr="00216D30">
        <w:rPr>
          <w:rFonts w:asciiTheme="minorHAnsi" w:hAnsiTheme="minorHAnsi" w:cs="Arial"/>
          <w:szCs w:val="22"/>
        </w:rPr>
        <w:t xml:space="preserve">To realise the ambition of delivering </w:t>
      </w:r>
      <w:r w:rsidRPr="00216D30">
        <w:rPr>
          <w:rFonts w:asciiTheme="minorHAnsi" w:hAnsiTheme="minorHAnsi" w:cs="Arial"/>
          <w:i/>
          <w:szCs w:val="22"/>
        </w:rPr>
        <w:t xml:space="preserve">coordinated health and social care services seamlessly wrapped around the needs and preferences of individuals; </w:t>
      </w:r>
      <w:r w:rsidRPr="00216D30">
        <w:rPr>
          <w:rFonts w:asciiTheme="minorHAnsi" w:hAnsiTheme="minorHAnsi" w:cs="Arial"/>
          <w:szCs w:val="22"/>
        </w:rPr>
        <w:t>and to deliver where practical and safe to do so, home-based and community models of integrated care and support; Bridgend CBC and partners have three deliverable ambitions that will transform our community services:</w:t>
      </w:r>
    </w:p>
    <w:p w14:paraId="25BADCDC" w14:textId="77777777" w:rsidR="001A1303" w:rsidRPr="00216D30" w:rsidRDefault="001A1303" w:rsidP="00F60A35">
      <w:pPr>
        <w:pStyle w:val="ListParagraph"/>
        <w:numPr>
          <w:ilvl w:val="0"/>
          <w:numId w:val="20"/>
        </w:numPr>
        <w:ind w:left="357" w:hanging="357"/>
        <w:rPr>
          <w:rFonts w:asciiTheme="minorHAnsi" w:hAnsiTheme="minorHAnsi" w:cs="Arial"/>
          <w:szCs w:val="22"/>
        </w:rPr>
      </w:pPr>
      <w:r w:rsidRPr="00216D30">
        <w:rPr>
          <w:rFonts w:asciiTheme="minorHAnsi" w:hAnsiTheme="minorHAnsi" w:cstheme="minorHAnsi"/>
          <w:noProof/>
          <w:szCs w:val="22"/>
        </w:rPr>
        <w:drawing>
          <wp:anchor distT="0" distB="0" distL="114300" distR="114300" simplePos="0" relativeHeight="252921856" behindDoc="0" locked="0" layoutInCell="1" allowOverlap="1" wp14:anchorId="7E615762" wp14:editId="77624E06">
            <wp:simplePos x="0" y="0"/>
            <wp:positionH relativeFrom="margin">
              <wp:align>right</wp:align>
            </wp:positionH>
            <wp:positionV relativeFrom="paragraph">
              <wp:posOffset>6985</wp:posOffset>
            </wp:positionV>
            <wp:extent cx="1786255" cy="1804670"/>
            <wp:effectExtent l="0" t="0" r="4445" b="508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9">
                      <a:extLst>
                        <a:ext uri="{28A0092B-C50C-407E-A947-70E740481C1C}">
                          <a14:useLocalDpi xmlns:a14="http://schemas.microsoft.com/office/drawing/2010/main" val="0"/>
                        </a:ext>
                      </a:extLst>
                    </a:blip>
                    <a:srcRect l="20754" r="21078"/>
                    <a:stretch/>
                  </pic:blipFill>
                  <pic:spPr bwMode="auto">
                    <a:xfrm>
                      <a:off x="0" y="0"/>
                      <a:ext cx="1786255" cy="18046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16D30">
        <w:rPr>
          <w:rFonts w:asciiTheme="minorHAnsi" w:hAnsiTheme="minorHAnsi" w:cs="Arial"/>
          <w:b/>
          <w:szCs w:val="22"/>
        </w:rPr>
        <w:t>Transformation Ambition 1</w:t>
      </w:r>
      <w:r w:rsidRPr="00216D30">
        <w:rPr>
          <w:rFonts w:asciiTheme="minorHAnsi" w:hAnsiTheme="minorHAnsi" w:cs="Arial"/>
          <w:szCs w:val="22"/>
        </w:rPr>
        <w:t xml:space="preserve">: Seven Day Access to Community Health and Social Care Services – </w:t>
      </w:r>
      <w:r w:rsidRPr="00216D30">
        <w:rPr>
          <w:rFonts w:asciiTheme="minorHAnsi" w:hAnsiTheme="minorHAnsi" w:cs="Arial"/>
          <w:i/>
          <w:szCs w:val="22"/>
        </w:rPr>
        <w:t>“Every Day Is Tuesday”</w:t>
      </w:r>
      <w:r w:rsidRPr="00216D30">
        <w:rPr>
          <w:rFonts w:asciiTheme="minorHAnsi" w:hAnsiTheme="minorHAnsi" w:cs="Arial"/>
          <w:szCs w:val="22"/>
        </w:rPr>
        <w:t>, delivering extended alternative service options to hospital and long term care.</w:t>
      </w:r>
    </w:p>
    <w:p w14:paraId="0CB7A87C" w14:textId="77777777" w:rsidR="001A1303" w:rsidRPr="00216D30" w:rsidRDefault="001A1303" w:rsidP="00F60A35">
      <w:pPr>
        <w:pStyle w:val="ListParagraph"/>
        <w:numPr>
          <w:ilvl w:val="0"/>
          <w:numId w:val="20"/>
        </w:numPr>
        <w:ind w:left="357" w:hanging="357"/>
        <w:rPr>
          <w:rFonts w:asciiTheme="minorHAnsi" w:hAnsiTheme="minorHAnsi" w:cs="Arial"/>
          <w:szCs w:val="22"/>
        </w:rPr>
      </w:pPr>
      <w:r w:rsidRPr="00216D30">
        <w:rPr>
          <w:rFonts w:asciiTheme="minorHAnsi" w:hAnsiTheme="minorHAnsi" w:cs="Arial"/>
          <w:b/>
          <w:szCs w:val="22"/>
        </w:rPr>
        <w:t>Transformational Ambition 2</w:t>
      </w:r>
      <w:r w:rsidRPr="00216D30">
        <w:rPr>
          <w:rFonts w:asciiTheme="minorHAnsi" w:hAnsiTheme="minorHAnsi" w:cs="Arial"/>
          <w:szCs w:val="22"/>
        </w:rPr>
        <w:t>: A Primary and Community Care Multidisciplinary Team approach, delivering a one team approach around people, coordinating Primary Care and Community Services Cluster responses.</w:t>
      </w:r>
    </w:p>
    <w:p w14:paraId="7CC7583D" w14:textId="6A88768A" w:rsidR="001A1303" w:rsidRPr="009E49BB" w:rsidRDefault="001A1303" w:rsidP="00F60A35">
      <w:pPr>
        <w:pStyle w:val="ListParagraph"/>
        <w:numPr>
          <w:ilvl w:val="0"/>
          <w:numId w:val="20"/>
        </w:numPr>
        <w:ind w:left="357" w:hanging="357"/>
        <w:rPr>
          <w:rFonts w:asciiTheme="minorHAnsi" w:hAnsiTheme="minorHAnsi" w:cs="Arial"/>
          <w:szCs w:val="22"/>
        </w:rPr>
      </w:pPr>
      <w:r w:rsidRPr="00216D30">
        <w:rPr>
          <w:rFonts w:asciiTheme="minorHAnsi" w:hAnsiTheme="minorHAnsi" w:cs="Arial"/>
          <w:b/>
          <w:szCs w:val="22"/>
        </w:rPr>
        <w:t>Transformational Ambition 3:</w:t>
      </w:r>
      <w:r w:rsidRPr="00216D30">
        <w:rPr>
          <w:rFonts w:asciiTheme="minorHAnsi" w:hAnsiTheme="minorHAnsi" w:cs="Arial"/>
          <w:szCs w:val="22"/>
        </w:rPr>
        <w:t xml:space="preserve"> Developing and Delivering Resilient Coordinated Communities; with key organisations, their partners and the </w:t>
      </w:r>
      <w:r w:rsidRPr="009E49BB">
        <w:rPr>
          <w:rFonts w:asciiTheme="minorHAnsi" w:hAnsiTheme="minorHAnsi" w:cs="Arial"/>
          <w:szCs w:val="22"/>
        </w:rPr>
        <w:t>communities that they serve developing benefits, by working collaboratively to apply preventative</w:t>
      </w:r>
      <w:r w:rsidR="004945BC">
        <w:rPr>
          <w:rFonts w:asciiTheme="minorHAnsi" w:hAnsiTheme="minorHAnsi" w:cs="Arial"/>
          <w:szCs w:val="22"/>
        </w:rPr>
        <w:t xml:space="preserve"> </w:t>
      </w:r>
      <w:r w:rsidR="004945BC" w:rsidRPr="004945BC">
        <w:rPr>
          <w:rFonts w:asciiTheme="minorHAnsi" w:hAnsiTheme="minorHAnsi" w:cs="Arial"/>
          <w:szCs w:val="22"/>
        </w:rPr>
        <w:t>approaches that enhance the wellbeing of the population of Bridgend County Borough.</w:t>
      </w:r>
    </w:p>
    <w:p w14:paraId="06910909" w14:textId="77777777" w:rsidR="001A1303" w:rsidRDefault="001A1303" w:rsidP="001A1303">
      <w:pPr>
        <w:rPr>
          <w:rFonts w:asciiTheme="minorHAnsi" w:hAnsiTheme="minorHAnsi"/>
          <w:color w:val="000000" w:themeColor="text1"/>
          <w:szCs w:val="22"/>
        </w:rPr>
      </w:pPr>
    </w:p>
    <w:p w14:paraId="7D721FC7" w14:textId="31FC017A" w:rsidR="00CE01AD" w:rsidRDefault="00CE01AD" w:rsidP="001A1303">
      <w:pPr>
        <w:rPr>
          <w:rFonts w:asciiTheme="minorHAnsi" w:hAnsiTheme="minorHAnsi"/>
          <w:b/>
          <w:color w:val="000000" w:themeColor="text1"/>
          <w:szCs w:val="22"/>
        </w:rPr>
      </w:pPr>
      <w:r w:rsidRPr="00CE01AD">
        <w:rPr>
          <w:rFonts w:asciiTheme="minorHAnsi" w:hAnsiTheme="minorHAnsi"/>
          <w:b/>
          <w:color w:val="000000" w:themeColor="text1"/>
          <w:szCs w:val="22"/>
        </w:rPr>
        <w:t>MILESTONES</w:t>
      </w:r>
    </w:p>
    <w:p w14:paraId="48AC7DD8" w14:textId="0EA4BFC1" w:rsidR="004945BC" w:rsidRPr="004945BC" w:rsidRDefault="004945BC" w:rsidP="004945BC">
      <w:pPr>
        <w:rPr>
          <w:rFonts w:asciiTheme="minorHAnsi" w:hAnsiTheme="minorHAnsi"/>
          <w:color w:val="000000" w:themeColor="text1"/>
          <w:szCs w:val="22"/>
        </w:rPr>
      </w:pPr>
      <w:r w:rsidRPr="004945BC">
        <w:rPr>
          <w:rFonts w:asciiTheme="minorHAnsi" w:hAnsiTheme="minorHAnsi"/>
          <w:color w:val="000000" w:themeColor="text1"/>
          <w:szCs w:val="22"/>
        </w:rPr>
        <w:lastRenderedPageBreak/>
        <w:t>The programme has adopted a whole systems approach to change through expanding successful projects across Cwm Taf Morgannwg to provide greater choice and independence for individuals, whilst reducing pressure on social care, GP surgeries and hospitals. Our collective ambition is to improve people’s quality of life through improving their experience of care;  to support the ambition to provide more care closer to home via an integrated person centred co-ordinated model of care; ensuring that outcomes delivered are consistent for all regardless where people reside across the Cwm Taf Morgannwg geographical footprint.</w:t>
      </w:r>
      <w:r>
        <w:rPr>
          <w:rFonts w:asciiTheme="minorHAnsi" w:hAnsiTheme="minorHAnsi"/>
          <w:color w:val="000000" w:themeColor="text1"/>
          <w:szCs w:val="22"/>
        </w:rPr>
        <w:t xml:space="preserve">  The timeframe is as follows: </w:t>
      </w:r>
    </w:p>
    <w:p w14:paraId="77927557" w14:textId="77777777" w:rsidR="004945BC" w:rsidRDefault="004945BC" w:rsidP="001A1303">
      <w:pPr>
        <w:rPr>
          <w:rFonts w:asciiTheme="minorHAnsi" w:hAnsiTheme="minorHAnsi"/>
          <w:b/>
          <w:color w:val="000000" w:themeColor="text1"/>
          <w:szCs w:val="22"/>
        </w:rPr>
      </w:pPr>
    </w:p>
    <w:p w14:paraId="4C954A58" w14:textId="29FBC782" w:rsidR="004945BC" w:rsidRDefault="004945BC" w:rsidP="001A1303">
      <w:pPr>
        <w:rPr>
          <w:rFonts w:asciiTheme="minorHAnsi" w:hAnsiTheme="minorHAnsi"/>
          <w:b/>
          <w:color w:val="000000" w:themeColor="text1"/>
          <w:szCs w:val="22"/>
        </w:rPr>
      </w:pPr>
      <w:r>
        <w:rPr>
          <w:rFonts w:asciiTheme="minorHAnsi" w:hAnsiTheme="minorHAnsi"/>
          <w:b/>
          <w:noProof/>
          <w:color w:val="000000" w:themeColor="text1"/>
          <w:szCs w:val="22"/>
        </w:rPr>
        <w:drawing>
          <wp:inline distT="0" distB="0" distL="0" distR="0" wp14:anchorId="3B2180F9" wp14:editId="77DDCAA2">
            <wp:extent cx="6305550" cy="5114925"/>
            <wp:effectExtent l="0" t="0" r="0" b="9525"/>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305550" cy="5114925"/>
                    </a:xfrm>
                    <a:prstGeom prst="rect">
                      <a:avLst/>
                    </a:prstGeom>
                    <a:noFill/>
                  </pic:spPr>
                </pic:pic>
              </a:graphicData>
            </a:graphic>
          </wp:inline>
        </w:drawing>
      </w:r>
    </w:p>
    <w:p w14:paraId="16520044" w14:textId="77777777" w:rsidR="004945BC" w:rsidRPr="00CE01AD" w:rsidRDefault="004945BC" w:rsidP="001A1303">
      <w:pPr>
        <w:rPr>
          <w:rFonts w:asciiTheme="minorHAnsi" w:hAnsiTheme="minorHAnsi"/>
          <w:b/>
          <w:color w:val="000000" w:themeColor="text1"/>
          <w:szCs w:val="22"/>
        </w:rPr>
      </w:pPr>
    </w:p>
    <w:p w14:paraId="1E39FF18" w14:textId="77777777" w:rsidR="00CE01AD" w:rsidRDefault="00CE01AD" w:rsidP="001A1303">
      <w:pPr>
        <w:rPr>
          <w:rFonts w:asciiTheme="minorHAnsi" w:hAnsiTheme="minorHAnsi"/>
          <w:color w:val="000000" w:themeColor="text1"/>
          <w:szCs w:val="22"/>
        </w:rPr>
      </w:pPr>
    </w:p>
    <w:p w14:paraId="3BF7B8B7" w14:textId="3B10E911" w:rsidR="001A1303" w:rsidRPr="008D5F33" w:rsidRDefault="00CE01AD" w:rsidP="001A1303">
      <w:pPr>
        <w:pStyle w:val="Heading3"/>
        <w:rPr>
          <w:szCs w:val="22"/>
        </w:rPr>
      </w:pPr>
      <w:r>
        <w:rPr>
          <w:szCs w:val="22"/>
        </w:rPr>
        <w:t>D</w:t>
      </w:r>
      <w:r w:rsidR="001A1303">
        <w:rPr>
          <w:szCs w:val="22"/>
        </w:rPr>
        <w:t xml:space="preserve">elivering the Cwm Taf </w:t>
      </w:r>
      <w:r w:rsidR="009A5D51">
        <w:rPr>
          <w:szCs w:val="22"/>
        </w:rPr>
        <w:t xml:space="preserve">Morgannwg </w:t>
      </w:r>
      <w:r w:rsidR="001A1303" w:rsidRPr="008D5F33">
        <w:rPr>
          <w:rFonts w:eastAsia="Times New Roman" w:cs="Arial"/>
          <w:szCs w:val="22"/>
        </w:rPr>
        <w:t>Regional Area Plan</w:t>
      </w:r>
    </w:p>
    <w:p w14:paraId="29761B40" w14:textId="77777777" w:rsidR="001A1303" w:rsidRPr="00216D30" w:rsidRDefault="001A1303" w:rsidP="001A1303">
      <w:pPr>
        <w:rPr>
          <w:rFonts w:cs="Arial"/>
          <w:szCs w:val="22"/>
        </w:rPr>
      </w:pPr>
      <w:r w:rsidRPr="00216D30">
        <w:rPr>
          <w:rFonts w:cs="Arial"/>
          <w:szCs w:val="22"/>
        </w:rPr>
        <w:t xml:space="preserve">Building on the established Cwm Taf Area plan and identified priorities for Bridgend there is a requirement to develop a </w:t>
      </w:r>
      <w:r>
        <w:rPr>
          <w:rFonts w:cs="Arial"/>
          <w:szCs w:val="22"/>
        </w:rPr>
        <w:t xml:space="preserve">CTM </w:t>
      </w:r>
      <w:r w:rsidRPr="00216D30">
        <w:rPr>
          <w:rFonts w:cs="Arial"/>
          <w:szCs w:val="22"/>
        </w:rPr>
        <w:t xml:space="preserve">Regional Plan reflecting agreed priorities of the new region. </w:t>
      </w:r>
      <w:r>
        <w:rPr>
          <w:rFonts w:cs="Arial"/>
          <w:szCs w:val="22"/>
        </w:rPr>
        <w:t xml:space="preserve"> </w:t>
      </w:r>
      <w:r w:rsidRPr="00216D30">
        <w:rPr>
          <w:rFonts w:cs="Arial"/>
          <w:szCs w:val="22"/>
        </w:rPr>
        <w:t>During 2019/20 there has been opportunity to lea</w:t>
      </w:r>
      <w:r>
        <w:rPr>
          <w:rFonts w:cs="Arial"/>
          <w:szCs w:val="22"/>
        </w:rPr>
        <w:t>r</w:t>
      </w:r>
      <w:r w:rsidRPr="00216D30">
        <w:rPr>
          <w:rFonts w:cs="Arial"/>
          <w:szCs w:val="22"/>
        </w:rPr>
        <w:t xml:space="preserve">n from the different approaches across the new region </w:t>
      </w:r>
      <w:r>
        <w:rPr>
          <w:rFonts w:cs="Arial"/>
          <w:szCs w:val="22"/>
        </w:rPr>
        <w:t xml:space="preserve">which </w:t>
      </w:r>
      <w:r w:rsidRPr="00216D30">
        <w:rPr>
          <w:rFonts w:cs="Arial"/>
          <w:szCs w:val="22"/>
        </w:rPr>
        <w:t xml:space="preserve">will be built on during 2020/21. </w:t>
      </w:r>
    </w:p>
    <w:p w14:paraId="330026C4" w14:textId="77777777" w:rsidR="001A1303" w:rsidRPr="00216D30" w:rsidRDefault="001A1303" w:rsidP="001A1303">
      <w:pPr>
        <w:rPr>
          <w:rFonts w:cs="Arial"/>
          <w:szCs w:val="22"/>
        </w:rPr>
      </w:pPr>
    </w:p>
    <w:p w14:paraId="27DBEFBE" w14:textId="77777777" w:rsidR="001A1303" w:rsidRPr="00216D30" w:rsidRDefault="001A1303" w:rsidP="001A1303">
      <w:pPr>
        <w:rPr>
          <w:rFonts w:asciiTheme="minorHAnsi" w:hAnsiTheme="minorHAnsi"/>
          <w:szCs w:val="22"/>
        </w:rPr>
      </w:pPr>
      <w:r w:rsidRPr="00216D30">
        <w:rPr>
          <w:rFonts w:asciiTheme="minorHAnsi" w:hAnsiTheme="minorHAnsi"/>
          <w:szCs w:val="22"/>
        </w:rPr>
        <w:t xml:space="preserve">A number of Joint Commissioning Statements and Statements of Intent </w:t>
      </w:r>
      <w:r w:rsidRPr="00216D30">
        <w:rPr>
          <w:rFonts w:cs="Verdana"/>
          <w:szCs w:val="22"/>
        </w:rPr>
        <w:t>which were developed under the Cwm Taf area plan will be revisited to determine regional approach and include;</w:t>
      </w:r>
    </w:p>
    <w:p w14:paraId="3B890AE4" w14:textId="77A00619" w:rsidR="001A1303" w:rsidRPr="00216D30" w:rsidRDefault="001A1303" w:rsidP="001A1303">
      <w:pPr>
        <w:pStyle w:val="NormaBullet"/>
        <w:rPr>
          <w:szCs w:val="22"/>
        </w:rPr>
      </w:pPr>
      <w:r w:rsidRPr="00216D30">
        <w:rPr>
          <w:szCs w:val="22"/>
        </w:rPr>
        <w:t xml:space="preserve">Joint Commissioning Statement for Older People’s Services 2015-2025.  Partners want to deliver a proactive, responsive and seamless service to our older population and those who support and care for them.  Older people must be able to access a range of services that promote their health, well-being and independence, reduce reliance on long-term specialist services and emphasise choice and control.  Delivery of the Stay Well in Your Community Programme is key this.  </w:t>
      </w:r>
      <w:r w:rsidRPr="00216D30">
        <w:rPr>
          <w:b/>
          <w:szCs w:val="22"/>
        </w:rPr>
        <w:t xml:space="preserve">See Section 5.2.2 </w:t>
      </w:r>
      <w:r w:rsidRPr="00216D30">
        <w:rPr>
          <w:szCs w:val="22"/>
        </w:rPr>
        <w:t>for further detail.</w:t>
      </w:r>
    </w:p>
    <w:p w14:paraId="13738F84" w14:textId="77777777" w:rsidR="001A1303" w:rsidRPr="00216D30" w:rsidRDefault="001A1303" w:rsidP="001A1303">
      <w:pPr>
        <w:pStyle w:val="NormaBullet"/>
        <w:rPr>
          <w:szCs w:val="22"/>
        </w:rPr>
      </w:pPr>
      <w:r w:rsidRPr="00216D30">
        <w:rPr>
          <w:szCs w:val="22"/>
        </w:rPr>
        <w:lastRenderedPageBreak/>
        <w:t>Joint Statement of Intent for Learning Disability Services.  The Region’s SOI was endorsed by partners in November 2017 It describes a shared commitment to deliver a new model based on the following:</w:t>
      </w:r>
    </w:p>
    <w:p w14:paraId="535587C1" w14:textId="77777777" w:rsidR="001A1303" w:rsidRPr="00216D30" w:rsidRDefault="001A1303" w:rsidP="001A1303">
      <w:pPr>
        <w:pStyle w:val="NormalBulletIndent"/>
        <w:rPr>
          <w:szCs w:val="22"/>
        </w:rPr>
      </w:pPr>
      <w:r w:rsidRPr="00216D30">
        <w:rPr>
          <w:szCs w:val="22"/>
        </w:rPr>
        <w:t>Maximise the use of universal services.</w:t>
      </w:r>
    </w:p>
    <w:p w14:paraId="1345D7EC" w14:textId="77777777" w:rsidR="001A1303" w:rsidRPr="00216D30" w:rsidRDefault="001A1303" w:rsidP="001A1303">
      <w:pPr>
        <w:pStyle w:val="NormalBulletIndent"/>
        <w:rPr>
          <w:szCs w:val="22"/>
        </w:rPr>
      </w:pPr>
      <w:r w:rsidRPr="00216D30">
        <w:rPr>
          <w:szCs w:val="22"/>
        </w:rPr>
        <w:t>Increase early intervention, prevention, information, advice and assistance.</w:t>
      </w:r>
    </w:p>
    <w:p w14:paraId="79794648" w14:textId="77777777" w:rsidR="001A1303" w:rsidRPr="00216D30" w:rsidRDefault="001A1303" w:rsidP="001A1303">
      <w:pPr>
        <w:pStyle w:val="NormalBulletIndent"/>
        <w:rPr>
          <w:szCs w:val="22"/>
        </w:rPr>
      </w:pPr>
      <w:r w:rsidRPr="00216D30">
        <w:rPr>
          <w:szCs w:val="22"/>
        </w:rPr>
        <w:t>Build community support and develop people’s independence.</w:t>
      </w:r>
    </w:p>
    <w:p w14:paraId="3C8A3849" w14:textId="77777777" w:rsidR="001A1303" w:rsidRPr="00216D30" w:rsidRDefault="001A1303" w:rsidP="001A1303">
      <w:pPr>
        <w:pStyle w:val="NormalBulletIndent"/>
        <w:rPr>
          <w:szCs w:val="22"/>
        </w:rPr>
      </w:pPr>
      <w:r w:rsidRPr="00216D30">
        <w:rPr>
          <w:szCs w:val="22"/>
        </w:rPr>
        <w:t>Sustain people in their own homes.</w:t>
      </w:r>
    </w:p>
    <w:p w14:paraId="1D9E1360" w14:textId="77777777" w:rsidR="001A1303" w:rsidRPr="00216D30" w:rsidRDefault="001A1303" w:rsidP="001A1303">
      <w:pPr>
        <w:pStyle w:val="NormalBulletIndent"/>
        <w:rPr>
          <w:szCs w:val="22"/>
        </w:rPr>
      </w:pPr>
      <w:r w:rsidRPr="00216D30">
        <w:rPr>
          <w:szCs w:val="22"/>
        </w:rPr>
        <w:t>Enable people to live full lives and achieve their potential.</w:t>
      </w:r>
    </w:p>
    <w:p w14:paraId="545A0EF5" w14:textId="77777777" w:rsidR="001A1303" w:rsidRPr="00216D30" w:rsidRDefault="001A1303" w:rsidP="001A1303">
      <w:pPr>
        <w:pStyle w:val="NormalBulletIndent"/>
        <w:rPr>
          <w:szCs w:val="22"/>
        </w:rPr>
      </w:pPr>
      <w:r w:rsidRPr="00216D30">
        <w:rPr>
          <w:szCs w:val="22"/>
        </w:rPr>
        <w:t>Keep people safe.</w:t>
      </w:r>
    </w:p>
    <w:p w14:paraId="1DFCB8FA" w14:textId="77777777" w:rsidR="001A1303" w:rsidRPr="00216D30" w:rsidRDefault="001A1303" w:rsidP="001A1303">
      <w:pPr>
        <w:pStyle w:val="NormalBulletIndent"/>
        <w:rPr>
          <w:szCs w:val="22"/>
        </w:rPr>
      </w:pPr>
      <w:r w:rsidRPr="00216D30">
        <w:rPr>
          <w:szCs w:val="22"/>
        </w:rPr>
        <w:t>Make the best use of our resources.</w:t>
      </w:r>
    </w:p>
    <w:p w14:paraId="03511ED9" w14:textId="77777777" w:rsidR="001A1303" w:rsidRPr="00216D30" w:rsidRDefault="001A1303" w:rsidP="001A1303">
      <w:pPr>
        <w:pStyle w:val="NormaBullet"/>
        <w:rPr>
          <w:szCs w:val="22"/>
        </w:rPr>
      </w:pPr>
      <w:r w:rsidRPr="00216D30">
        <w:rPr>
          <w:szCs w:val="22"/>
        </w:rPr>
        <w:t>Joint Statement of Intent for Children, Young People and Families</w:t>
      </w:r>
      <w:r>
        <w:rPr>
          <w:szCs w:val="22"/>
        </w:rPr>
        <w:t xml:space="preserve"> (CYPF)</w:t>
      </w:r>
      <w:r w:rsidRPr="00216D30">
        <w:rPr>
          <w:szCs w:val="22"/>
        </w:rPr>
        <w:t>.  The SOI is focused on the following shared vision , that:</w:t>
      </w:r>
    </w:p>
    <w:p w14:paraId="5A191E02" w14:textId="4F830BC5" w:rsidR="001A1303" w:rsidRPr="00216D30" w:rsidRDefault="001A1303" w:rsidP="001A1303">
      <w:pPr>
        <w:pStyle w:val="NormalBulletIndent"/>
        <w:rPr>
          <w:szCs w:val="22"/>
        </w:rPr>
      </w:pPr>
      <w:r>
        <w:rPr>
          <w:szCs w:val="22"/>
        </w:rPr>
        <w:t>CYPF</w:t>
      </w:r>
      <w:r w:rsidRPr="00216D30">
        <w:rPr>
          <w:szCs w:val="22"/>
        </w:rPr>
        <w:t xml:space="preserve"> will live safe, healthy and fulfilled lives and achieve their full potential.</w:t>
      </w:r>
    </w:p>
    <w:p w14:paraId="10A10EE5" w14:textId="77777777" w:rsidR="001A1303" w:rsidRPr="00216D30" w:rsidRDefault="001A1303" w:rsidP="001A1303">
      <w:pPr>
        <w:pStyle w:val="NormalBulletIndent"/>
        <w:rPr>
          <w:szCs w:val="22"/>
        </w:rPr>
      </w:pPr>
      <w:r w:rsidRPr="00216D30">
        <w:rPr>
          <w:szCs w:val="22"/>
        </w:rPr>
        <w:t xml:space="preserve">Families and communities will be more resilient and independent. </w:t>
      </w:r>
    </w:p>
    <w:p w14:paraId="0DC51B58" w14:textId="77777777" w:rsidR="001A1303" w:rsidRPr="00216D30" w:rsidRDefault="001A1303" w:rsidP="001A1303">
      <w:pPr>
        <w:pStyle w:val="NormalBulletIndent"/>
        <w:rPr>
          <w:szCs w:val="22"/>
        </w:rPr>
      </w:pPr>
      <w:r w:rsidRPr="00216D30">
        <w:rPr>
          <w:szCs w:val="22"/>
        </w:rPr>
        <w:t>Our focus on communities will give children, young people and families the best possible environment to thrive.</w:t>
      </w:r>
    </w:p>
    <w:p w14:paraId="5DB6C2A1" w14:textId="28DB7960" w:rsidR="001A1303" w:rsidRPr="00216D30" w:rsidRDefault="001A1303" w:rsidP="001A1303">
      <w:pPr>
        <w:pStyle w:val="NormalBulletIndent"/>
        <w:rPr>
          <w:szCs w:val="22"/>
        </w:rPr>
      </w:pPr>
      <w:r w:rsidRPr="00216D30">
        <w:rPr>
          <w:szCs w:val="22"/>
        </w:rPr>
        <w:t>The balance of resource will shift from safeguarding, substitut</w:t>
      </w:r>
      <w:r w:rsidR="004B4D84">
        <w:rPr>
          <w:szCs w:val="22"/>
        </w:rPr>
        <w:t xml:space="preserve">e and complex care to early, </w:t>
      </w:r>
      <w:r w:rsidRPr="00216D30">
        <w:rPr>
          <w:szCs w:val="22"/>
        </w:rPr>
        <w:t>targeted help.</w:t>
      </w:r>
    </w:p>
    <w:p w14:paraId="47557527" w14:textId="77777777" w:rsidR="001A1303" w:rsidRPr="00216D30" w:rsidRDefault="001A1303" w:rsidP="001A1303">
      <w:pPr>
        <w:ind w:left="357"/>
        <w:rPr>
          <w:szCs w:val="22"/>
        </w:rPr>
      </w:pPr>
    </w:p>
    <w:p w14:paraId="347C2AC4" w14:textId="6D78EF7D" w:rsidR="001A1303" w:rsidRPr="00216D30" w:rsidRDefault="001A1303" w:rsidP="001A1303">
      <w:pPr>
        <w:rPr>
          <w:szCs w:val="22"/>
        </w:rPr>
      </w:pPr>
      <w:r w:rsidRPr="00216D30">
        <w:rPr>
          <w:rFonts w:cs="Arial"/>
          <w:szCs w:val="22"/>
        </w:rPr>
        <w:t>In order to support delivery of this</w:t>
      </w:r>
      <w:r>
        <w:rPr>
          <w:rFonts w:cs="Arial"/>
          <w:szCs w:val="22"/>
        </w:rPr>
        <w:t>,</w:t>
      </w:r>
      <w:r w:rsidRPr="00216D30">
        <w:rPr>
          <w:rFonts w:cs="Arial"/>
          <w:szCs w:val="22"/>
        </w:rPr>
        <w:t xml:space="preserve"> a small Regional Commissioning Unit (RCU</w:t>
      </w:r>
      <w:r>
        <w:rPr>
          <w:rFonts w:cs="Arial"/>
          <w:szCs w:val="22"/>
        </w:rPr>
        <w:t>)</w:t>
      </w:r>
      <w:r w:rsidRPr="00216D30">
        <w:rPr>
          <w:rFonts w:cs="Arial"/>
          <w:szCs w:val="22"/>
        </w:rPr>
        <w:t xml:space="preserve"> </w:t>
      </w:r>
      <w:r w:rsidR="009A5D51">
        <w:rPr>
          <w:rFonts w:cs="Arial"/>
          <w:szCs w:val="22"/>
        </w:rPr>
        <w:t>was</w:t>
      </w:r>
      <w:r w:rsidRPr="00216D30">
        <w:rPr>
          <w:rFonts w:cs="Arial"/>
          <w:szCs w:val="22"/>
        </w:rPr>
        <w:t xml:space="preserve"> established </w:t>
      </w:r>
      <w:r w:rsidR="009A5D51">
        <w:rPr>
          <w:rFonts w:cs="Arial"/>
          <w:szCs w:val="22"/>
        </w:rPr>
        <w:t>to</w:t>
      </w:r>
      <w:r w:rsidRPr="00216D30">
        <w:rPr>
          <w:rFonts w:cs="Arial"/>
          <w:szCs w:val="22"/>
        </w:rPr>
        <w:t xml:space="preserve"> </w:t>
      </w:r>
      <w:r w:rsidRPr="00216D30">
        <w:rPr>
          <w:rFonts w:asciiTheme="minorHAnsi" w:hAnsiTheme="minorHAnsi" w:cs="Arial"/>
          <w:szCs w:val="22"/>
        </w:rPr>
        <w:t>complement and support the resource already within partner organisations</w:t>
      </w:r>
      <w:r w:rsidR="009A5D51">
        <w:rPr>
          <w:rFonts w:asciiTheme="minorHAnsi" w:hAnsiTheme="minorHAnsi" w:cs="Arial"/>
          <w:szCs w:val="22"/>
        </w:rPr>
        <w:t xml:space="preserve">. This is enabling </w:t>
      </w:r>
      <w:r w:rsidRPr="00216D30">
        <w:rPr>
          <w:rFonts w:asciiTheme="minorHAnsi" w:hAnsiTheme="minorHAnsi" w:cs="Arial"/>
          <w:szCs w:val="22"/>
        </w:rPr>
        <w:t xml:space="preserve">the Region </w:t>
      </w:r>
      <w:r w:rsidR="009A5D51">
        <w:rPr>
          <w:rFonts w:asciiTheme="minorHAnsi" w:hAnsiTheme="minorHAnsi" w:cs="Arial"/>
          <w:szCs w:val="22"/>
        </w:rPr>
        <w:t>to</w:t>
      </w:r>
      <w:r w:rsidR="009A5D51" w:rsidRPr="00216D30">
        <w:rPr>
          <w:rFonts w:asciiTheme="minorHAnsi" w:hAnsiTheme="minorHAnsi" w:cs="Arial"/>
          <w:szCs w:val="22"/>
        </w:rPr>
        <w:t xml:space="preserve"> </w:t>
      </w:r>
      <w:r w:rsidRPr="00216D30">
        <w:rPr>
          <w:rFonts w:asciiTheme="minorHAnsi" w:hAnsiTheme="minorHAnsi" w:cs="Arial"/>
          <w:szCs w:val="22"/>
        </w:rPr>
        <w:t>develop and implement regional commissioning plans for integrated service provision for a variety of client groups and develop joint community arrangements for the accelerated provision of integrated health and social care.</w:t>
      </w:r>
    </w:p>
    <w:p w14:paraId="1A8173A0" w14:textId="77777777" w:rsidR="001A1303" w:rsidRPr="003B2CC2" w:rsidRDefault="001A1303" w:rsidP="001A1303">
      <w:pPr>
        <w:pStyle w:val="Heading4"/>
        <w:rPr>
          <w:szCs w:val="22"/>
        </w:rPr>
      </w:pPr>
      <w:r>
        <w:rPr>
          <w:szCs w:val="22"/>
        </w:rPr>
        <w:t>Pooled Funds</w:t>
      </w:r>
    </w:p>
    <w:p w14:paraId="733D9378" w14:textId="77777777" w:rsidR="001A1303" w:rsidRPr="00216D30" w:rsidRDefault="001A1303" w:rsidP="001A1303">
      <w:pPr>
        <w:rPr>
          <w:rFonts w:asciiTheme="minorHAnsi" w:hAnsiTheme="minorHAnsi" w:cs="Arial"/>
          <w:szCs w:val="22"/>
        </w:rPr>
      </w:pPr>
      <w:r w:rsidRPr="00216D30">
        <w:rPr>
          <w:rFonts w:asciiTheme="minorHAnsi" w:hAnsiTheme="minorHAnsi"/>
          <w:szCs w:val="22"/>
        </w:rPr>
        <w:t xml:space="preserve">There are a number of pooled budgets in place across the Region, including the Youth Offending Service, Integrated Equipment Service and learning disability packages of care.  </w:t>
      </w:r>
      <w:r w:rsidRPr="00216D30">
        <w:rPr>
          <w:rFonts w:asciiTheme="minorHAnsi" w:hAnsiTheme="minorHAnsi" w:cs="Arial"/>
          <w:szCs w:val="22"/>
        </w:rPr>
        <w:t>These funds provide an enabler for increasing value and improving outcomes through integrated and seamless services for a range of patient and client groups.</w:t>
      </w:r>
    </w:p>
    <w:p w14:paraId="1C4F5456" w14:textId="77777777" w:rsidR="001A1303" w:rsidRPr="00216D30" w:rsidRDefault="001A1303" w:rsidP="001A1303">
      <w:pPr>
        <w:rPr>
          <w:rFonts w:asciiTheme="minorHAnsi" w:hAnsiTheme="minorHAnsi" w:cs="Arial"/>
          <w:szCs w:val="22"/>
        </w:rPr>
      </w:pPr>
    </w:p>
    <w:p w14:paraId="2A6336E5" w14:textId="77777777" w:rsidR="001A1303" w:rsidRPr="00216D30" w:rsidRDefault="001A1303" w:rsidP="001A1303">
      <w:pPr>
        <w:rPr>
          <w:rFonts w:asciiTheme="minorHAnsi" w:hAnsiTheme="minorHAnsi" w:cs="Verdana"/>
          <w:szCs w:val="22"/>
        </w:rPr>
      </w:pPr>
      <w:r w:rsidRPr="00216D30">
        <w:rPr>
          <w:rFonts w:asciiTheme="minorHAnsi" w:hAnsiTheme="minorHAnsi" w:cs="Arial"/>
          <w:szCs w:val="22"/>
        </w:rPr>
        <w:t xml:space="preserve">An overarching pooled fund for residential and nursing care has been established and is operating as set out in a Legal Agreement between partners, hosted by RCT CBC.  It essentially encompasses all older persons’ independent residential and nursing placements in establishments located within the regional footprint.  </w:t>
      </w:r>
    </w:p>
    <w:p w14:paraId="3B3DA5E4" w14:textId="77777777" w:rsidR="001A1303" w:rsidRPr="00216D30" w:rsidRDefault="001A1303" w:rsidP="001A1303">
      <w:pPr>
        <w:rPr>
          <w:rFonts w:asciiTheme="minorHAnsi" w:hAnsiTheme="minorHAnsi" w:cs="Verdana"/>
          <w:szCs w:val="22"/>
        </w:rPr>
      </w:pPr>
    </w:p>
    <w:p w14:paraId="4711E63B" w14:textId="2E486DA2" w:rsidR="001A1303" w:rsidRPr="00216D30" w:rsidRDefault="001A1303" w:rsidP="001A1303">
      <w:pPr>
        <w:rPr>
          <w:rFonts w:asciiTheme="minorHAnsi" w:eastAsiaTheme="minorHAnsi" w:hAnsiTheme="minorHAnsi" w:cs="Times New Roman"/>
        </w:rPr>
      </w:pPr>
      <w:r w:rsidRPr="00216D30">
        <w:rPr>
          <w:rFonts w:asciiTheme="minorHAnsi" w:eastAsiaTheme="minorHAnsi" w:hAnsiTheme="minorHAnsi"/>
          <w:iCs/>
          <w:lang w:eastAsia="en-US"/>
        </w:rPr>
        <w:t xml:space="preserve">Bridgend’s Care Home Pooled Funds arrangements </w:t>
      </w:r>
      <w:r w:rsidR="00025D63">
        <w:rPr>
          <w:rFonts w:asciiTheme="minorHAnsi" w:eastAsiaTheme="minorHAnsi" w:hAnsiTheme="minorHAnsi"/>
          <w:iCs/>
          <w:lang w:eastAsia="en-US"/>
        </w:rPr>
        <w:t xml:space="preserve">have </w:t>
      </w:r>
      <w:r w:rsidRPr="00216D30">
        <w:rPr>
          <w:rFonts w:asciiTheme="minorHAnsi" w:eastAsiaTheme="minorHAnsi" w:hAnsiTheme="minorHAnsi"/>
          <w:iCs/>
          <w:lang w:eastAsia="en-US"/>
        </w:rPr>
        <w:t>remain</w:t>
      </w:r>
      <w:r w:rsidR="00025D63">
        <w:rPr>
          <w:rFonts w:asciiTheme="minorHAnsi" w:eastAsiaTheme="minorHAnsi" w:hAnsiTheme="minorHAnsi"/>
          <w:iCs/>
          <w:lang w:eastAsia="en-US"/>
        </w:rPr>
        <w:t>ed</w:t>
      </w:r>
      <w:r w:rsidRPr="00216D30">
        <w:rPr>
          <w:rFonts w:asciiTheme="minorHAnsi" w:eastAsiaTheme="minorHAnsi" w:hAnsiTheme="minorHAnsi"/>
          <w:iCs/>
          <w:lang w:eastAsia="en-US"/>
        </w:rPr>
        <w:t xml:space="preserve"> within the Western Bay area for 2019/20. </w:t>
      </w:r>
      <w:r>
        <w:rPr>
          <w:rFonts w:asciiTheme="minorHAnsi" w:eastAsiaTheme="minorHAnsi" w:hAnsiTheme="minorHAnsi"/>
          <w:iCs/>
          <w:lang w:eastAsia="en-US"/>
        </w:rPr>
        <w:t xml:space="preserve"> </w:t>
      </w:r>
      <w:r w:rsidRPr="00216D30">
        <w:rPr>
          <w:rFonts w:asciiTheme="minorHAnsi" w:eastAsiaTheme="minorHAnsi" w:hAnsiTheme="minorHAnsi"/>
          <w:iCs/>
          <w:lang w:eastAsia="en-US"/>
        </w:rPr>
        <w:t xml:space="preserve">During this transition year, Bridgend are represented on the existing Cwm Taf Pooled Group and four key actions have been identified with a view to establishing a new </w:t>
      </w:r>
      <w:r>
        <w:rPr>
          <w:rFonts w:asciiTheme="minorHAnsi" w:eastAsiaTheme="minorHAnsi" w:hAnsiTheme="minorHAnsi"/>
          <w:iCs/>
          <w:lang w:eastAsia="en-US"/>
        </w:rPr>
        <w:t>CTM</w:t>
      </w:r>
      <w:r w:rsidRPr="00216D30">
        <w:rPr>
          <w:rFonts w:asciiTheme="minorHAnsi" w:eastAsiaTheme="minorHAnsi" w:hAnsiTheme="minorHAnsi"/>
          <w:iCs/>
          <w:lang w:eastAsia="en-US"/>
        </w:rPr>
        <w:t xml:space="preserve"> Pooled fund arrangement by 31</w:t>
      </w:r>
      <w:r w:rsidRPr="00216D30">
        <w:rPr>
          <w:rFonts w:asciiTheme="minorHAnsi" w:eastAsiaTheme="minorHAnsi" w:hAnsiTheme="minorHAnsi"/>
          <w:iCs/>
          <w:vertAlign w:val="superscript"/>
          <w:lang w:eastAsia="en-US"/>
        </w:rPr>
        <w:t>st</w:t>
      </w:r>
      <w:r w:rsidR="003E15B5">
        <w:rPr>
          <w:rFonts w:asciiTheme="minorHAnsi" w:eastAsiaTheme="minorHAnsi" w:hAnsiTheme="minorHAnsi"/>
          <w:iCs/>
          <w:lang w:eastAsia="en-US"/>
        </w:rPr>
        <w:t xml:space="preserve"> March 2020. These are:</w:t>
      </w:r>
      <w:r w:rsidRPr="00216D30">
        <w:rPr>
          <w:rFonts w:asciiTheme="minorHAnsi" w:eastAsiaTheme="minorHAnsi" w:hAnsiTheme="minorHAnsi"/>
          <w:iCs/>
          <w:lang w:eastAsia="en-US"/>
        </w:rPr>
        <w:t xml:space="preserve"> </w:t>
      </w:r>
    </w:p>
    <w:p w14:paraId="14BA4D70" w14:textId="77777777" w:rsidR="001A1303" w:rsidRPr="00216D30" w:rsidRDefault="001A1303" w:rsidP="001A1303">
      <w:pPr>
        <w:rPr>
          <w:rFonts w:asciiTheme="minorHAnsi" w:eastAsiaTheme="minorHAnsi" w:hAnsiTheme="minorHAnsi"/>
        </w:rPr>
      </w:pPr>
      <w:r w:rsidRPr="00216D30">
        <w:rPr>
          <w:rFonts w:asciiTheme="minorHAnsi" w:eastAsiaTheme="minorHAnsi" w:hAnsiTheme="minorHAnsi"/>
          <w:iCs/>
          <w:lang w:eastAsia="en-US"/>
        </w:rPr>
        <w:t> </w:t>
      </w:r>
    </w:p>
    <w:p w14:paraId="4A3979A9" w14:textId="77777777" w:rsidR="001A1303" w:rsidRPr="00216D30" w:rsidRDefault="001A1303" w:rsidP="001A1303">
      <w:pPr>
        <w:rPr>
          <w:rFonts w:asciiTheme="minorHAnsi" w:eastAsiaTheme="minorHAnsi" w:hAnsiTheme="minorHAnsi"/>
        </w:rPr>
      </w:pPr>
      <w:r w:rsidRPr="00216D30">
        <w:rPr>
          <w:rFonts w:asciiTheme="minorHAnsi" w:eastAsiaTheme="minorHAnsi" w:hAnsiTheme="minorHAnsi"/>
          <w:iCs/>
          <w:lang w:eastAsia="en-US"/>
        </w:rPr>
        <w:t>Action 1 – Market Positions Statements to be refreshed across the new region.</w:t>
      </w:r>
    </w:p>
    <w:p w14:paraId="19FD162C" w14:textId="77777777" w:rsidR="001A1303" w:rsidRPr="00216D30" w:rsidRDefault="001A1303" w:rsidP="001A1303">
      <w:pPr>
        <w:rPr>
          <w:rFonts w:asciiTheme="minorHAnsi" w:eastAsiaTheme="minorHAnsi" w:hAnsiTheme="minorHAnsi"/>
        </w:rPr>
      </w:pPr>
      <w:r>
        <w:rPr>
          <w:rFonts w:asciiTheme="minorHAnsi" w:eastAsiaTheme="minorHAnsi" w:hAnsiTheme="minorHAnsi"/>
          <w:iCs/>
          <w:lang w:eastAsia="en-US"/>
        </w:rPr>
        <w:t>Action 2 - Review</w:t>
      </w:r>
      <w:r w:rsidRPr="00216D30">
        <w:rPr>
          <w:rFonts w:asciiTheme="minorHAnsi" w:eastAsiaTheme="minorHAnsi" w:hAnsiTheme="minorHAnsi"/>
          <w:iCs/>
          <w:lang w:eastAsia="en-US"/>
        </w:rPr>
        <w:t xml:space="preserve"> pooled fund contracts with a view to aligning contracts across the region. </w:t>
      </w:r>
    </w:p>
    <w:p w14:paraId="1D485E4B" w14:textId="77777777" w:rsidR="001A1303" w:rsidRPr="00216D30" w:rsidRDefault="001A1303" w:rsidP="001A1303">
      <w:pPr>
        <w:rPr>
          <w:rFonts w:asciiTheme="minorHAnsi" w:eastAsiaTheme="minorHAnsi" w:hAnsiTheme="minorHAnsi"/>
        </w:rPr>
      </w:pPr>
      <w:r w:rsidRPr="00216D30">
        <w:rPr>
          <w:rFonts w:asciiTheme="minorHAnsi" w:eastAsiaTheme="minorHAnsi" w:hAnsiTheme="minorHAnsi"/>
          <w:iCs/>
          <w:lang w:eastAsia="en-US"/>
        </w:rPr>
        <w:t xml:space="preserve">Action 3 - Reviewing existing pooled fund arrangements to determine any changes required to extend the fund. </w:t>
      </w:r>
    </w:p>
    <w:p w14:paraId="7C562195" w14:textId="77777777" w:rsidR="001A1303" w:rsidRPr="00174521" w:rsidRDefault="001A1303" w:rsidP="001A1303">
      <w:pPr>
        <w:rPr>
          <w:rFonts w:asciiTheme="minorHAnsi" w:hAnsiTheme="minorHAnsi" w:cs="Arial"/>
          <w:color w:val="943634" w:themeColor="accent2" w:themeShade="BF"/>
          <w:szCs w:val="22"/>
        </w:rPr>
      </w:pPr>
      <w:r>
        <w:rPr>
          <w:rFonts w:asciiTheme="minorHAnsi" w:eastAsiaTheme="minorHAnsi" w:hAnsiTheme="minorHAnsi"/>
          <w:iCs/>
          <w:lang w:eastAsia="en-US"/>
        </w:rPr>
        <w:t>Action 4 - Consideration</w:t>
      </w:r>
      <w:r w:rsidRPr="00216D30">
        <w:rPr>
          <w:rFonts w:asciiTheme="minorHAnsi" w:eastAsiaTheme="minorHAnsi" w:hAnsiTheme="minorHAnsi"/>
          <w:iCs/>
          <w:lang w:eastAsia="en-US"/>
        </w:rPr>
        <w:t xml:space="preserve"> be given to future commissioning arrangements across all regions, in light of the Bridgend boundary changes, and to progress a Commissioning Strategy for the region.</w:t>
      </w:r>
    </w:p>
    <w:p w14:paraId="0F535621" w14:textId="77777777" w:rsidR="001A1303" w:rsidRPr="003D0778" w:rsidRDefault="001A1303" w:rsidP="001A1303">
      <w:pPr>
        <w:pStyle w:val="Heading4"/>
        <w:rPr>
          <w:szCs w:val="22"/>
        </w:rPr>
      </w:pPr>
      <w:bookmarkStart w:id="90" w:name="_Toc532463978"/>
      <w:r w:rsidRPr="003D0778">
        <w:rPr>
          <w:szCs w:val="22"/>
        </w:rPr>
        <w:t xml:space="preserve">Integrated Care Fund </w:t>
      </w:r>
      <w:r>
        <w:rPr>
          <w:szCs w:val="22"/>
        </w:rPr>
        <w:t>(ICF)</w:t>
      </w:r>
      <w:bookmarkEnd w:id="90"/>
    </w:p>
    <w:p w14:paraId="0B1BF35A" w14:textId="225E157C" w:rsidR="001A1303" w:rsidRDefault="001A1303" w:rsidP="001A1303">
      <w:pPr>
        <w:rPr>
          <w:u w:color="000000"/>
        </w:rPr>
      </w:pPr>
      <w:r>
        <w:rPr>
          <w:u w:color="000000"/>
        </w:rPr>
        <w:t>T</w:t>
      </w:r>
      <w:r w:rsidRPr="0098336B">
        <w:rPr>
          <w:u w:color="000000"/>
        </w:rPr>
        <w:t xml:space="preserve">he </w:t>
      </w:r>
      <w:r>
        <w:rPr>
          <w:u w:color="000000"/>
        </w:rPr>
        <w:t>WG</w:t>
      </w:r>
      <w:r w:rsidRPr="0098336B">
        <w:rPr>
          <w:u w:color="000000"/>
        </w:rPr>
        <w:t xml:space="preserve"> published Guidance on the ICF, previously referred to as the Intermediate Care Fund, in April 2018 and updated Guidance made effective from the 1st of April 2019.</w:t>
      </w:r>
      <w:r>
        <w:rPr>
          <w:u w:color="000000"/>
        </w:rPr>
        <w:t xml:space="preserve"> </w:t>
      </w:r>
      <w:r w:rsidRPr="0098336B">
        <w:rPr>
          <w:u w:color="000000"/>
        </w:rPr>
        <w:t xml:space="preserve"> The Guidance sets out the objectives and priorities; conditions; governance requirements; and reporting arrangements to </w:t>
      </w:r>
      <w:r>
        <w:rPr>
          <w:u w:color="000000"/>
        </w:rPr>
        <w:t>WG</w:t>
      </w:r>
      <w:r w:rsidRPr="0098336B">
        <w:rPr>
          <w:u w:color="000000"/>
        </w:rPr>
        <w:t xml:space="preserve"> for ICF in 2019/20.</w:t>
      </w:r>
      <w:r w:rsidR="00950AB3">
        <w:rPr>
          <w:u w:color="000000"/>
        </w:rPr>
        <w:t xml:space="preserve"> The </w:t>
      </w:r>
      <w:hyperlink r:id="rId61" w:history="1">
        <w:r w:rsidR="00950AB3" w:rsidRPr="00AF175E">
          <w:rPr>
            <w:rStyle w:val="Hyperlink"/>
            <w:rFonts w:cs="Tahoma"/>
            <w:u w:color="000000"/>
          </w:rPr>
          <w:t>Guidance</w:t>
        </w:r>
      </w:hyperlink>
      <w:r w:rsidR="00950AB3">
        <w:rPr>
          <w:u w:color="000000"/>
        </w:rPr>
        <w:t xml:space="preserve"> has now been updated for 2020/21</w:t>
      </w:r>
    </w:p>
    <w:p w14:paraId="4A53827C" w14:textId="77777777" w:rsidR="001A1303" w:rsidRPr="0098336B" w:rsidRDefault="001A1303" w:rsidP="001A1303">
      <w:pPr>
        <w:rPr>
          <w:u w:color="000000"/>
        </w:rPr>
      </w:pPr>
    </w:p>
    <w:p w14:paraId="00C1B122" w14:textId="538881B9" w:rsidR="001A1303" w:rsidRDefault="001A1303" w:rsidP="001A1303">
      <w:pPr>
        <w:rPr>
          <w:u w:color="000000"/>
        </w:rPr>
      </w:pPr>
      <w:r w:rsidRPr="0098336B">
        <w:rPr>
          <w:u w:color="000000"/>
        </w:rPr>
        <w:t xml:space="preserve">A Written Agreement has been developed in line with the ICF Guidance to provide assurance to </w:t>
      </w:r>
      <w:r>
        <w:rPr>
          <w:u w:color="000000"/>
        </w:rPr>
        <w:t>WG</w:t>
      </w:r>
      <w:r w:rsidRPr="0098336B">
        <w:rPr>
          <w:u w:color="000000"/>
        </w:rPr>
        <w:t xml:space="preserve"> and the Regional Partnership Board that robust processes are in place to manage the effective delivery and management o</w:t>
      </w:r>
      <w:r>
        <w:rPr>
          <w:u w:color="000000"/>
        </w:rPr>
        <w:t>f ICF capital and revenue funds.</w:t>
      </w:r>
    </w:p>
    <w:p w14:paraId="21B50FEA" w14:textId="77777777" w:rsidR="001A1303" w:rsidRDefault="001A1303" w:rsidP="001A1303">
      <w:pPr>
        <w:rPr>
          <w:u w:color="000000"/>
        </w:rPr>
      </w:pPr>
    </w:p>
    <w:p w14:paraId="3A303E14" w14:textId="5832E4AA" w:rsidR="001A1303" w:rsidRPr="0098336B" w:rsidRDefault="001A1303" w:rsidP="001A1303">
      <w:pPr>
        <w:rPr>
          <w:bCs/>
          <w:u w:color="000000"/>
        </w:rPr>
      </w:pPr>
      <w:r w:rsidRPr="0098336B">
        <w:rPr>
          <w:bCs/>
          <w:u w:color="000000"/>
        </w:rPr>
        <w:lastRenderedPageBreak/>
        <w:t>The level of ICF funding coming into the region in 2019/21 increased from £5.608m to £12.7m</w:t>
      </w:r>
      <w:r>
        <w:rPr>
          <w:bCs/>
          <w:u w:color="000000"/>
        </w:rPr>
        <w:t>,</w:t>
      </w:r>
      <w:r w:rsidRPr="0098336B">
        <w:rPr>
          <w:bCs/>
          <w:u w:color="000000"/>
        </w:rPr>
        <w:t xml:space="preserve"> due to inclusion of the Bridgend ICF allocation and increased funding available</w:t>
      </w:r>
      <w:r w:rsidR="00AF175E">
        <w:rPr>
          <w:bCs/>
          <w:u w:color="000000"/>
        </w:rPr>
        <w:t xml:space="preserve">, and it remains at this level for 2020/21. </w:t>
      </w:r>
      <w:r w:rsidR="003E15B5">
        <w:rPr>
          <w:bCs/>
          <w:u w:color="000000"/>
        </w:rPr>
        <w:t xml:space="preserve"> </w:t>
      </w:r>
      <w:r w:rsidRPr="0098336B">
        <w:rPr>
          <w:bCs/>
          <w:u w:color="000000"/>
        </w:rPr>
        <w:t xml:space="preserve"> </w:t>
      </w:r>
      <w:r w:rsidR="00B70AEB">
        <w:rPr>
          <w:bCs/>
          <w:u w:color="000000"/>
        </w:rPr>
        <w:t xml:space="preserve"> </w:t>
      </w:r>
      <w:r w:rsidRPr="0098336B">
        <w:rPr>
          <w:bCs/>
          <w:u w:color="000000"/>
        </w:rPr>
        <w:t xml:space="preserve">The local infrastructure to support and manage the volume of funding </w:t>
      </w:r>
      <w:r w:rsidR="00AF175E">
        <w:rPr>
          <w:bCs/>
          <w:u w:color="000000"/>
        </w:rPr>
        <w:t>has been</w:t>
      </w:r>
      <w:r w:rsidRPr="0098336B">
        <w:rPr>
          <w:bCs/>
          <w:u w:color="000000"/>
        </w:rPr>
        <w:t xml:space="preserve"> reviewed to ensure robust governance arrangements are in place to enable the Partnership to deliver the </w:t>
      </w:r>
      <w:r w:rsidR="00B70AEB">
        <w:rPr>
          <w:bCs/>
          <w:u w:color="000000"/>
        </w:rPr>
        <w:t xml:space="preserve">Board’s </w:t>
      </w:r>
      <w:r w:rsidRPr="0098336B">
        <w:rPr>
          <w:bCs/>
          <w:u w:color="000000"/>
        </w:rPr>
        <w:t>priorities.</w:t>
      </w:r>
    </w:p>
    <w:p w14:paraId="67CA61D6" w14:textId="77777777" w:rsidR="001A1303" w:rsidRPr="0098336B" w:rsidRDefault="001A1303" w:rsidP="001A1303">
      <w:pPr>
        <w:autoSpaceDE w:val="0"/>
        <w:autoSpaceDN w:val="0"/>
        <w:adjustRightInd w:val="0"/>
        <w:ind w:right="-24"/>
        <w:rPr>
          <w:rFonts w:cs="Verdana"/>
          <w:bCs/>
          <w:sz w:val="24"/>
          <w:u w:color="000000"/>
        </w:rPr>
      </w:pPr>
    </w:p>
    <w:p w14:paraId="5A184BB9" w14:textId="77777777" w:rsidR="001A1303" w:rsidRPr="00086634" w:rsidRDefault="001A1303" w:rsidP="001A1303">
      <w:pPr>
        <w:pStyle w:val="Body"/>
        <w:jc w:val="both"/>
        <w:rPr>
          <w:rFonts w:ascii="Calibri" w:hAnsi="Calibri"/>
          <w:bCs/>
          <w:color w:val="auto"/>
          <w:sz w:val="22"/>
          <w:szCs w:val="22"/>
        </w:rPr>
      </w:pPr>
      <w:r w:rsidRPr="00086634">
        <w:rPr>
          <w:rFonts w:ascii="Calibri" w:hAnsi="Calibri"/>
          <w:bCs/>
          <w:color w:val="auto"/>
          <w:sz w:val="22"/>
          <w:szCs w:val="22"/>
        </w:rPr>
        <w:t>In line with the requirements of the Social Services &amp; Well-Being (Wales) Act 2014, within</w:t>
      </w:r>
      <w:r>
        <w:rPr>
          <w:rFonts w:ascii="Calibri" w:hAnsi="Calibri"/>
          <w:bCs/>
          <w:color w:val="auto"/>
          <w:sz w:val="22"/>
          <w:szCs w:val="22"/>
        </w:rPr>
        <w:t xml:space="preserve"> CTM</w:t>
      </w:r>
      <w:r w:rsidRPr="00086634">
        <w:rPr>
          <w:rFonts w:ascii="Calibri" w:hAnsi="Calibri"/>
          <w:bCs/>
          <w:color w:val="auto"/>
          <w:sz w:val="22"/>
          <w:szCs w:val="22"/>
        </w:rPr>
        <w:t xml:space="preserve"> Partners have worked together in developing ICF proposals to establish a wider range of sustainable, integrated services for older people and preventative services for people with learning disabilities, children with complex needs and carers dementia and the integrated autism service.</w:t>
      </w:r>
    </w:p>
    <w:p w14:paraId="711DD125" w14:textId="77777777" w:rsidR="001A1303" w:rsidRPr="00086634" w:rsidRDefault="001A1303" w:rsidP="001A1303">
      <w:pPr>
        <w:pStyle w:val="Body"/>
        <w:jc w:val="both"/>
        <w:rPr>
          <w:rFonts w:ascii="Calibri" w:hAnsi="Calibri"/>
          <w:bCs/>
          <w:color w:val="auto"/>
          <w:sz w:val="22"/>
          <w:szCs w:val="22"/>
        </w:rPr>
      </w:pPr>
    </w:p>
    <w:p w14:paraId="1FED6996" w14:textId="648F99D7" w:rsidR="001A1303" w:rsidRPr="00086634" w:rsidRDefault="001A1303" w:rsidP="001A1303">
      <w:pPr>
        <w:pStyle w:val="Body"/>
        <w:jc w:val="both"/>
        <w:rPr>
          <w:rFonts w:ascii="Calibri" w:hAnsi="Calibri"/>
          <w:bCs/>
          <w:color w:val="auto"/>
          <w:sz w:val="22"/>
          <w:szCs w:val="22"/>
        </w:rPr>
      </w:pPr>
      <w:r w:rsidRPr="00086634">
        <w:rPr>
          <w:rFonts w:ascii="Calibri" w:hAnsi="Calibri"/>
          <w:bCs/>
          <w:color w:val="auto"/>
          <w:sz w:val="22"/>
          <w:szCs w:val="22"/>
        </w:rPr>
        <w:t xml:space="preserve">For 2019/20 the established successful ICF projects were sustained and continue to deliver a range of outcomes. </w:t>
      </w:r>
      <w:r w:rsidRPr="00086634">
        <w:rPr>
          <w:rFonts w:ascii="Calibri" w:hAnsi="Calibri"/>
          <w:color w:val="auto"/>
          <w:sz w:val="22"/>
          <w:szCs w:val="22"/>
        </w:rPr>
        <w:t xml:space="preserve">As required by the ICF guidance, the </w:t>
      </w:r>
      <w:r>
        <w:rPr>
          <w:rFonts w:ascii="Calibri" w:hAnsi="Calibri"/>
          <w:color w:val="auto"/>
          <w:sz w:val="22"/>
          <w:szCs w:val="22"/>
        </w:rPr>
        <w:t xml:space="preserve">CTM </w:t>
      </w:r>
      <w:r w:rsidRPr="00086634">
        <w:rPr>
          <w:rFonts w:ascii="Calibri" w:hAnsi="Calibri"/>
          <w:color w:val="auto"/>
          <w:sz w:val="22"/>
          <w:szCs w:val="22"/>
        </w:rPr>
        <w:t>Region’s revenue priorities are set out in the Investment Plan 2019/2020 which accompanies this Written Agreement.</w:t>
      </w:r>
      <w:r>
        <w:rPr>
          <w:rFonts w:ascii="Calibri" w:hAnsi="Calibri"/>
          <w:color w:val="auto"/>
          <w:sz w:val="22"/>
          <w:szCs w:val="22"/>
        </w:rPr>
        <w:t xml:space="preserve"> </w:t>
      </w:r>
      <w:r w:rsidRPr="00086634">
        <w:rPr>
          <w:rFonts w:ascii="Calibri" w:hAnsi="Calibri"/>
          <w:color w:val="auto"/>
          <w:sz w:val="22"/>
          <w:szCs w:val="22"/>
        </w:rPr>
        <w:t xml:space="preserve"> The Investment Plan outlines the objectives and ICF principles that were used to select those priorities and the anticipated outcomes for each.</w:t>
      </w:r>
      <w:r w:rsidR="00AF175E">
        <w:rPr>
          <w:rFonts w:ascii="Calibri" w:hAnsi="Calibri"/>
          <w:color w:val="auto"/>
          <w:sz w:val="22"/>
          <w:szCs w:val="22"/>
        </w:rPr>
        <w:t xml:space="preserve"> </w:t>
      </w:r>
    </w:p>
    <w:p w14:paraId="71F85DC1" w14:textId="77777777" w:rsidR="001A1303" w:rsidRPr="00086634" w:rsidRDefault="001A1303" w:rsidP="001A1303">
      <w:pPr>
        <w:pStyle w:val="Body"/>
        <w:jc w:val="both"/>
        <w:rPr>
          <w:rFonts w:ascii="Calibri" w:hAnsi="Calibri" w:cs="Arial Unicode MS"/>
          <w:bCs/>
          <w:color w:val="auto"/>
          <w:sz w:val="22"/>
          <w:szCs w:val="22"/>
        </w:rPr>
      </w:pPr>
    </w:p>
    <w:p w14:paraId="6DB259FF" w14:textId="7255062A" w:rsidR="001A1303" w:rsidRPr="00216D30" w:rsidRDefault="001A1303" w:rsidP="001A1303">
      <w:pPr>
        <w:rPr>
          <w:rFonts w:asciiTheme="minorHAnsi" w:hAnsiTheme="minorHAnsi"/>
          <w:szCs w:val="22"/>
        </w:rPr>
      </w:pPr>
      <w:r w:rsidRPr="00216D30">
        <w:rPr>
          <w:rFonts w:asciiTheme="minorHAnsi" w:hAnsiTheme="minorHAnsi" w:cs="Arial"/>
          <w:bCs/>
        </w:rPr>
        <w:t>In addition to ICF revenue, ICF Capital totalling £5,049,000 was allocated to the Region for 2019/20.</w:t>
      </w:r>
      <w:r w:rsidR="00D145F3">
        <w:rPr>
          <w:rFonts w:asciiTheme="minorHAnsi" w:hAnsiTheme="minorHAnsi" w:cs="Arial"/>
          <w:bCs/>
        </w:rPr>
        <w:t xml:space="preserve"> </w:t>
      </w:r>
      <w:r w:rsidRPr="00216D30">
        <w:rPr>
          <w:rFonts w:asciiTheme="minorHAnsi" w:hAnsiTheme="minorHAnsi" w:cs="Arial"/>
          <w:bCs/>
        </w:rPr>
        <w:t xml:space="preserve"> This funding supports a total of 11 Major capital programmes and 19 smaller discretionary programmes.</w:t>
      </w:r>
      <w:r w:rsidR="00D145F3">
        <w:rPr>
          <w:rFonts w:asciiTheme="minorHAnsi" w:hAnsiTheme="minorHAnsi" w:cs="Arial"/>
          <w:bCs/>
        </w:rPr>
        <w:t xml:space="preserve">  </w:t>
      </w:r>
      <w:r w:rsidRPr="00216D30">
        <w:rPr>
          <w:rFonts w:asciiTheme="minorHAnsi" w:hAnsiTheme="minorHAnsi" w:cs="Arial"/>
          <w:szCs w:val="22"/>
        </w:rPr>
        <w:t xml:space="preserve">In line with revised RPB membership to include Registered Social Landlords and Housing, </w:t>
      </w:r>
      <w:r w:rsidRPr="00216D30">
        <w:rPr>
          <w:rFonts w:asciiTheme="minorHAnsi" w:hAnsiTheme="minorHAnsi"/>
          <w:szCs w:val="22"/>
        </w:rPr>
        <w:t xml:space="preserve">building closer working between the health, housing and social care sectors is a </w:t>
      </w:r>
      <w:r w:rsidR="00EC69E0">
        <w:rPr>
          <w:rFonts w:asciiTheme="minorHAnsi" w:hAnsiTheme="minorHAnsi"/>
          <w:szCs w:val="22"/>
        </w:rPr>
        <w:t>welcome development.</w:t>
      </w:r>
    </w:p>
    <w:p w14:paraId="6E337762" w14:textId="77777777" w:rsidR="001A1303" w:rsidRPr="00216D30" w:rsidRDefault="001A1303" w:rsidP="001A1303">
      <w:pPr>
        <w:rPr>
          <w:rFonts w:asciiTheme="minorHAnsi" w:hAnsiTheme="minorHAnsi"/>
          <w:szCs w:val="22"/>
        </w:rPr>
      </w:pPr>
    </w:p>
    <w:p w14:paraId="4777CC3C" w14:textId="77777777" w:rsidR="001A1303" w:rsidRPr="00216D30" w:rsidRDefault="001A1303" w:rsidP="001A1303">
      <w:pPr>
        <w:rPr>
          <w:rFonts w:asciiTheme="minorHAnsi" w:hAnsiTheme="minorHAnsi"/>
          <w:szCs w:val="22"/>
        </w:rPr>
      </w:pPr>
      <w:r w:rsidRPr="00216D30">
        <w:rPr>
          <w:rFonts w:asciiTheme="minorHAnsi" w:hAnsiTheme="minorHAnsi"/>
          <w:szCs w:val="22"/>
        </w:rPr>
        <w:t xml:space="preserve">All ICF schemes are subject to quarterly evaluation with detailed RBA cards produced in addition to monitoring required by WG.  The </w:t>
      </w:r>
      <w:r>
        <w:rPr>
          <w:rFonts w:asciiTheme="minorHAnsi" w:hAnsiTheme="minorHAnsi"/>
          <w:szCs w:val="22"/>
        </w:rPr>
        <w:t>WAO</w:t>
      </w:r>
      <w:r w:rsidRPr="00216D30">
        <w:rPr>
          <w:rFonts w:asciiTheme="minorHAnsi" w:hAnsiTheme="minorHAnsi"/>
          <w:szCs w:val="22"/>
        </w:rPr>
        <w:t xml:space="preserve"> review of ICF report is published and provides opportunity to build on existing practices and programmes within the region.</w:t>
      </w:r>
    </w:p>
    <w:p w14:paraId="59E2E759" w14:textId="77777777" w:rsidR="001A1303" w:rsidRPr="003D0778" w:rsidRDefault="001A1303" w:rsidP="001A1303">
      <w:pPr>
        <w:pStyle w:val="Heading4"/>
        <w:rPr>
          <w:szCs w:val="22"/>
        </w:rPr>
      </w:pPr>
      <w:r>
        <w:rPr>
          <w:szCs w:val="22"/>
        </w:rPr>
        <w:t>Social Value Network</w:t>
      </w:r>
    </w:p>
    <w:p w14:paraId="70D21B18" w14:textId="77777777" w:rsidR="001A1303" w:rsidRPr="00216D30" w:rsidRDefault="001A1303" w:rsidP="001A1303">
      <w:pPr>
        <w:autoSpaceDE w:val="0"/>
        <w:autoSpaceDN w:val="0"/>
        <w:adjustRightInd w:val="0"/>
        <w:rPr>
          <w:rFonts w:asciiTheme="minorHAnsi" w:hAnsiTheme="minorHAnsi" w:cs="Times New Roman"/>
        </w:rPr>
      </w:pPr>
      <w:r w:rsidRPr="00216D30">
        <w:rPr>
          <w:rFonts w:asciiTheme="minorHAnsi" w:hAnsiTheme="minorHAnsi" w:cs="Arial"/>
        </w:rPr>
        <w:t>The Social Value Network an</w:t>
      </w:r>
      <w:r>
        <w:rPr>
          <w:rFonts w:asciiTheme="minorHAnsi" w:hAnsiTheme="minorHAnsi" w:cs="Arial"/>
        </w:rPr>
        <w:t>d associated Social Value Forum</w:t>
      </w:r>
      <w:r w:rsidRPr="00216D30">
        <w:rPr>
          <w:rFonts w:asciiTheme="minorHAnsi" w:hAnsiTheme="minorHAnsi" w:cs="Arial"/>
        </w:rPr>
        <w:t xml:space="preserve"> was created as part of the Regional Leadership arrangements to support social value based providers develop a shared understanding of the common agenda and to work together to enhance community capacity.</w:t>
      </w:r>
    </w:p>
    <w:p w14:paraId="476658C9" w14:textId="77777777" w:rsidR="001A1303" w:rsidRPr="00216D30" w:rsidRDefault="001A1303" w:rsidP="001A1303">
      <w:pPr>
        <w:rPr>
          <w:rFonts w:asciiTheme="minorHAnsi" w:eastAsiaTheme="minorEastAsia" w:hAnsiTheme="minorHAnsi" w:cs="Arial"/>
          <w:lang w:val="en-US" w:eastAsia="en-US"/>
        </w:rPr>
      </w:pPr>
    </w:p>
    <w:p w14:paraId="3C68F49B" w14:textId="77777777" w:rsidR="001A1303" w:rsidRPr="00216D30" w:rsidRDefault="001A1303" w:rsidP="001A1303">
      <w:pPr>
        <w:rPr>
          <w:rFonts w:asciiTheme="minorHAnsi" w:hAnsiTheme="minorHAnsi" w:cs="Arial"/>
        </w:rPr>
      </w:pPr>
      <w:r w:rsidRPr="00216D30">
        <w:rPr>
          <w:rFonts w:asciiTheme="minorHAnsi" w:hAnsiTheme="minorHAnsi" w:cs="Arial"/>
        </w:rPr>
        <w:t xml:space="preserve">Three successful Social Value Network events took place with excellent involvement and attendance of large and small third sector organisations across </w:t>
      </w:r>
      <w:r>
        <w:rPr>
          <w:rFonts w:asciiTheme="minorHAnsi" w:hAnsiTheme="minorHAnsi" w:cs="Arial"/>
        </w:rPr>
        <w:t xml:space="preserve">CTM </w:t>
      </w:r>
      <w:r w:rsidRPr="00216D30">
        <w:rPr>
          <w:rFonts w:asciiTheme="minorHAnsi" w:hAnsiTheme="minorHAnsi" w:cs="Arial"/>
        </w:rPr>
        <w:t xml:space="preserve">and representation from service users and carers. </w:t>
      </w:r>
    </w:p>
    <w:p w14:paraId="217CB321" w14:textId="77777777" w:rsidR="001A1303" w:rsidRPr="00216D30" w:rsidRDefault="001A1303" w:rsidP="001A1303">
      <w:pPr>
        <w:rPr>
          <w:rFonts w:asciiTheme="minorHAnsi" w:hAnsiTheme="minorHAnsi" w:cs="Arial"/>
        </w:rPr>
      </w:pPr>
    </w:p>
    <w:p w14:paraId="47F0C424" w14:textId="77777777" w:rsidR="001A1303" w:rsidRDefault="001A1303" w:rsidP="001A1303">
      <w:pPr>
        <w:rPr>
          <w:rFonts w:asciiTheme="minorHAnsi" w:hAnsiTheme="minorHAnsi" w:cs="Arial"/>
        </w:rPr>
      </w:pPr>
      <w:r w:rsidRPr="00216D30">
        <w:rPr>
          <w:rFonts w:asciiTheme="minorHAnsi" w:hAnsiTheme="minorHAnsi" w:cs="Arial"/>
        </w:rPr>
        <w:t>The three big themes were; Children and Young People (December 18); Investing in Community Support to tackle Loneliness and Isolation (July 18) and ‘Citizens, Coproduction and Commissioning.’</w:t>
      </w:r>
    </w:p>
    <w:p w14:paraId="122A3F53" w14:textId="337B34DC" w:rsidR="001C6A14" w:rsidRDefault="001C6A14" w:rsidP="00CE01AD">
      <w:pPr>
        <w:pStyle w:val="Heading4"/>
      </w:pPr>
      <w:r>
        <w:t>Carers Strategy Implementation</w:t>
      </w:r>
    </w:p>
    <w:p w14:paraId="03F82F42" w14:textId="58ACF3FC" w:rsidR="001C6A14" w:rsidRDefault="001C6A14" w:rsidP="001C6A14">
      <w:pPr>
        <w:rPr>
          <w:rFonts w:cs="Times New Roman"/>
          <w:szCs w:val="22"/>
        </w:rPr>
      </w:pPr>
      <w:r>
        <w:t>The Health Board is committed to playing its part in delivering the CTM</w:t>
      </w:r>
      <w:r w:rsidR="00EC69E0">
        <w:t xml:space="preserve"> SOI</w:t>
      </w:r>
      <w:r>
        <w:t xml:space="preserve"> for Carers following the Cwm Taf Carers Strategy 2016-19.  This was developed by working with partners across Bridgend, Rhondda Cynon Taf and Merthyr Tydfil, including Carers and has now been incorporated into the actions for Carers in the CTM RPB’s Area Plan.  The CTM Carers Partnership reports directly to the RPB and is working to ensure that carers of all ages in CTM are recognised and valued and being fundamental to supportive and resilient families and communities; will not have to care alone; and will be able to access information, advice and support to help meet their needs, empowering them to lead healthy and fulfilled lives whilst balancing their caring role and life outside caring. </w:t>
      </w:r>
    </w:p>
    <w:p w14:paraId="6339B11E" w14:textId="77777777" w:rsidR="001C6A14" w:rsidRDefault="001C6A14" w:rsidP="001C6A14">
      <w:pPr>
        <w:rPr>
          <w:b/>
          <w:bCs/>
        </w:rPr>
      </w:pPr>
    </w:p>
    <w:p w14:paraId="374CCA4E" w14:textId="7436C3ED" w:rsidR="001C6A14" w:rsidRDefault="001C6A14" w:rsidP="001C6A14">
      <w:r>
        <w:t xml:space="preserve">Significant progress has continued to be made in 2019/20 including the development of a Carers Policy for CTM staff; establishing a Carers Network with the Third Sector; the provision of relevant, timely information for carers and staff distributed through GP surgeries and community pharmacies; and the development of a pilot project, working closely with partners in the third sector, to support Carers of all ages within a hospital (acute and community) setting particularly around discharge planning.  The Health Board will continue to work with partners to address national priorities to further improve the support available to Carers by focusing on issues that matter to them including supporting carers to have a life beyond caring; identifying, recognising and supporting carers so that they can continue to care; and providing information and advice when they need it. </w:t>
      </w:r>
    </w:p>
    <w:p w14:paraId="17F9D639" w14:textId="77777777" w:rsidR="001C6A14" w:rsidRDefault="001C6A14" w:rsidP="001C6A14"/>
    <w:p w14:paraId="669C11E9" w14:textId="2562FD7B" w:rsidR="001C6A14" w:rsidRDefault="001C6A14" w:rsidP="001C6A14">
      <w:r>
        <w:lastRenderedPageBreak/>
        <w:t xml:space="preserve">The WG provided transitional funding of £1million per annum for Wales in 2018/19 </w:t>
      </w:r>
      <w:r w:rsidR="00B9160B">
        <w:t>and</w:t>
      </w:r>
      <w:r>
        <w:t xml:space="preserve">  2019/20 saw a £161K allocation for CTM to protect and build on progress and support the expansion of carers rights on the implementation of the Social Services and Well-Being Act.  This funding has enabled the continuation of the Carers Co-ordinator post in the Health Board and a number of joint projects with the LA’s, including respite activities for adult carers and young carers. </w:t>
      </w:r>
    </w:p>
    <w:p w14:paraId="6901021E" w14:textId="057D2F77" w:rsidR="003B2CC2" w:rsidRPr="003B2CC2" w:rsidRDefault="003B2CC2" w:rsidP="003B2CC2">
      <w:pPr>
        <w:pStyle w:val="Heading3"/>
        <w:rPr>
          <w:szCs w:val="22"/>
        </w:rPr>
      </w:pPr>
      <w:r>
        <w:rPr>
          <w:szCs w:val="22"/>
        </w:rPr>
        <w:t xml:space="preserve">Wider Integrated Services </w:t>
      </w:r>
    </w:p>
    <w:p w14:paraId="3BE18055" w14:textId="7E2A165C" w:rsidR="004E6F33" w:rsidRPr="003D0778" w:rsidRDefault="00CB637C" w:rsidP="00CA34AE">
      <w:pPr>
        <w:pStyle w:val="Heading4"/>
        <w:rPr>
          <w:szCs w:val="22"/>
        </w:rPr>
      </w:pPr>
      <w:bookmarkStart w:id="91" w:name="_Toc532463979"/>
      <w:r w:rsidRPr="003D0778">
        <w:rPr>
          <w:szCs w:val="22"/>
        </w:rPr>
        <w:t>Integrated Substance</w:t>
      </w:r>
      <w:r w:rsidR="004E6F33" w:rsidRPr="003D0778">
        <w:rPr>
          <w:szCs w:val="22"/>
        </w:rPr>
        <w:t xml:space="preserve"> Misuse Service</w:t>
      </w:r>
      <w:bookmarkEnd w:id="91"/>
    </w:p>
    <w:p w14:paraId="6F641320" w14:textId="64513125" w:rsidR="00D45FFF" w:rsidRPr="00D479C2" w:rsidRDefault="00D45FFF" w:rsidP="00D45FFF">
      <w:pPr>
        <w:autoSpaceDE w:val="0"/>
        <w:autoSpaceDN w:val="0"/>
        <w:adjustRightInd w:val="0"/>
        <w:rPr>
          <w:rFonts w:asciiTheme="minorHAnsi" w:hAnsiTheme="minorHAnsi" w:cs="Verdana"/>
          <w:szCs w:val="22"/>
        </w:rPr>
      </w:pPr>
      <w:bookmarkStart w:id="92" w:name="_Toc532299680"/>
      <w:bookmarkStart w:id="93" w:name="_Toc532463980"/>
      <w:r w:rsidRPr="00D479C2">
        <w:rPr>
          <w:rFonts w:asciiTheme="minorHAnsi" w:hAnsiTheme="minorHAnsi" w:cs="Verdana"/>
          <w:szCs w:val="22"/>
        </w:rPr>
        <w:t>Following an external review and recommissioning process,  the Cwm Taf Substance Misuse Area Planning Board awarded the contract for provision of tier 1 and 2  Substance Misuse Services</w:t>
      </w:r>
      <w:r>
        <w:rPr>
          <w:rFonts w:asciiTheme="minorHAnsi" w:hAnsiTheme="minorHAnsi" w:cs="Verdana"/>
          <w:szCs w:val="22"/>
        </w:rPr>
        <w:t xml:space="preserve"> for Rhondda Cynon Taff and Merthyr Tydfil</w:t>
      </w:r>
      <w:r w:rsidRPr="00D479C2">
        <w:rPr>
          <w:rFonts w:asciiTheme="minorHAnsi" w:hAnsiTheme="minorHAnsi" w:cs="Verdana"/>
          <w:szCs w:val="22"/>
        </w:rPr>
        <w:t xml:space="preserve">  to Barod from  1</w:t>
      </w:r>
      <w:r w:rsidRPr="00D479C2">
        <w:rPr>
          <w:rFonts w:asciiTheme="minorHAnsi" w:hAnsiTheme="minorHAnsi" w:cs="Verdana"/>
          <w:szCs w:val="22"/>
          <w:vertAlign w:val="superscript"/>
        </w:rPr>
        <w:t>st</w:t>
      </w:r>
      <w:r w:rsidRPr="00D479C2">
        <w:rPr>
          <w:rFonts w:asciiTheme="minorHAnsi" w:hAnsiTheme="minorHAnsi" w:cs="Verdana"/>
          <w:szCs w:val="22"/>
        </w:rPr>
        <w:t xml:space="preserve"> April 2019.  Barod are working in close liaison with the </w:t>
      </w:r>
      <w:r w:rsidR="00411B9E">
        <w:rPr>
          <w:rFonts w:asciiTheme="minorHAnsi" w:hAnsiTheme="minorHAnsi" w:cs="Verdana"/>
          <w:szCs w:val="22"/>
        </w:rPr>
        <w:t>Health Board</w:t>
      </w:r>
      <w:r w:rsidRPr="00D479C2">
        <w:rPr>
          <w:rFonts w:asciiTheme="minorHAnsi" w:hAnsiTheme="minorHAnsi" w:cs="Verdana"/>
          <w:szCs w:val="22"/>
        </w:rPr>
        <w:t xml:space="preserve">’s specialist tier 3 Community Drug and Alcohol Teams (CDAT) and CAMHS substance misuse service, within a joint clinical governance framework.  </w:t>
      </w:r>
      <w:r>
        <w:rPr>
          <w:rFonts w:asciiTheme="minorHAnsi" w:hAnsiTheme="minorHAnsi" w:cs="Verdana"/>
          <w:szCs w:val="22"/>
        </w:rPr>
        <w:t xml:space="preserve">Responsibility for the Primary Care Drug and Alcohol services (PCDAS) has transferred to CTMUHB and a review of the caseload, protocols and governance arrangements is currently underway. </w:t>
      </w:r>
    </w:p>
    <w:p w14:paraId="6D3EB560" w14:textId="77777777" w:rsidR="00D45FFF" w:rsidRPr="00D479C2" w:rsidRDefault="00D45FFF" w:rsidP="00D45FFF">
      <w:pPr>
        <w:autoSpaceDE w:val="0"/>
        <w:autoSpaceDN w:val="0"/>
        <w:adjustRightInd w:val="0"/>
        <w:rPr>
          <w:rFonts w:asciiTheme="minorHAnsi" w:hAnsiTheme="minorHAnsi" w:cs="Verdana"/>
          <w:szCs w:val="22"/>
        </w:rPr>
      </w:pPr>
    </w:p>
    <w:p w14:paraId="19C10AC1" w14:textId="77777777" w:rsidR="00D45FFF" w:rsidRPr="00D479C2" w:rsidRDefault="00D45FFF" w:rsidP="00D45FFF">
      <w:pPr>
        <w:autoSpaceDE w:val="0"/>
        <w:autoSpaceDN w:val="0"/>
        <w:adjustRightInd w:val="0"/>
        <w:rPr>
          <w:rFonts w:asciiTheme="minorHAnsi" w:hAnsiTheme="minorHAnsi" w:cs="Verdana"/>
          <w:szCs w:val="22"/>
        </w:rPr>
      </w:pPr>
      <w:r w:rsidRPr="00D479C2">
        <w:rPr>
          <w:rFonts w:asciiTheme="minorHAnsi" w:hAnsiTheme="minorHAnsi" w:cs="Verdana"/>
          <w:szCs w:val="22"/>
        </w:rPr>
        <w:t xml:space="preserve">All parties report an improvement in partnership working, particularly evident through the Joint Allocation Meetings, and in transition arrangements for young people who are not yet ready for transfer to adult services. An important element of the new integrated services is a greater focus on prevention and awareness raising which has been undertaken through service presentations, workshops and community events, including Pontypridd’s Big Bite </w:t>
      </w:r>
      <w:r>
        <w:rPr>
          <w:rFonts w:asciiTheme="minorHAnsi" w:hAnsiTheme="minorHAnsi" w:cs="Verdana"/>
          <w:szCs w:val="22"/>
        </w:rPr>
        <w:t xml:space="preserve">in August 2019 </w:t>
      </w:r>
      <w:r w:rsidRPr="00D479C2">
        <w:rPr>
          <w:rFonts w:asciiTheme="minorHAnsi" w:hAnsiTheme="minorHAnsi" w:cs="Verdana"/>
          <w:szCs w:val="22"/>
        </w:rPr>
        <w:t xml:space="preserve">where 368 brief interventions were delivered.  </w:t>
      </w:r>
      <w:r>
        <w:rPr>
          <w:rFonts w:asciiTheme="minorHAnsi" w:hAnsiTheme="minorHAnsi" w:cs="Verdana"/>
          <w:szCs w:val="22"/>
        </w:rPr>
        <w:t xml:space="preserve">Work is ongoing to further streamline pathways between tier 2 and 3 services. </w:t>
      </w:r>
    </w:p>
    <w:p w14:paraId="1DC650BA" w14:textId="77777777" w:rsidR="00D45FFF" w:rsidRPr="00D479C2" w:rsidRDefault="00D45FFF" w:rsidP="00D45FFF">
      <w:pPr>
        <w:autoSpaceDE w:val="0"/>
        <w:autoSpaceDN w:val="0"/>
        <w:adjustRightInd w:val="0"/>
        <w:rPr>
          <w:rFonts w:asciiTheme="minorHAnsi" w:hAnsiTheme="minorHAnsi" w:cs="Verdana"/>
          <w:szCs w:val="22"/>
        </w:rPr>
      </w:pPr>
    </w:p>
    <w:p w14:paraId="5C13B567" w14:textId="0CDE1D3D" w:rsidR="00D45FFF" w:rsidRPr="00174521" w:rsidRDefault="00D45FFF" w:rsidP="00D45FFF">
      <w:pPr>
        <w:autoSpaceDE w:val="0"/>
        <w:autoSpaceDN w:val="0"/>
        <w:adjustRightInd w:val="0"/>
        <w:rPr>
          <w:rFonts w:asciiTheme="minorHAnsi" w:hAnsiTheme="minorHAnsi" w:cs="Verdana"/>
          <w:color w:val="943634" w:themeColor="accent2" w:themeShade="BF"/>
          <w:szCs w:val="22"/>
        </w:rPr>
      </w:pPr>
      <w:r>
        <w:rPr>
          <w:rFonts w:asciiTheme="minorHAnsi" w:hAnsiTheme="minorHAnsi" w:cs="Verdana"/>
          <w:szCs w:val="22"/>
        </w:rPr>
        <w:t>From 1</w:t>
      </w:r>
      <w:r w:rsidRPr="00BD73D6">
        <w:rPr>
          <w:rFonts w:asciiTheme="minorHAnsi" w:hAnsiTheme="minorHAnsi" w:cs="Verdana"/>
          <w:szCs w:val="22"/>
          <w:vertAlign w:val="superscript"/>
        </w:rPr>
        <w:t>st</w:t>
      </w:r>
      <w:r>
        <w:rPr>
          <w:rFonts w:asciiTheme="minorHAnsi" w:hAnsiTheme="minorHAnsi" w:cs="Verdana"/>
          <w:szCs w:val="22"/>
        </w:rPr>
        <w:t xml:space="preserve"> April 2019 the Area Planning Board’s remit has been extended to cover the whole of </w:t>
      </w:r>
      <w:r w:rsidR="00017421">
        <w:rPr>
          <w:rFonts w:asciiTheme="minorHAnsi" w:hAnsiTheme="minorHAnsi" w:cs="Verdana"/>
          <w:szCs w:val="22"/>
        </w:rPr>
        <w:t>CTM</w:t>
      </w:r>
      <w:r>
        <w:rPr>
          <w:rFonts w:asciiTheme="minorHAnsi" w:hAnsiTheme="minorHAnsi" w:cs="Verdana"/>
          <w:szCs w:val="22"/>
        </w:rPr>
        <w:t xml:space="preserve">.  </w:t>
      </w:r>
      <w:r w:rsidRPr="00D479C2">
        <w:rPr>
          <w:rFonts w:asciiTheme="minorHAnsi" w:hAnsiTheme="minorHAnsi" w:cs="Verdana"/>
          <w:szCs w:val="22"/>
        </w:rPr>
        <w:t xml:space="preserve">Substance Misuse services in the Bridgend area are provided by WCADA and the </w:t>
      </w:r>
      <w:r w:rsidR="00411B9E">
        <w:rPr>
          <w:rFonts w:asciiTheme="minorHAnsi" w:hAnsiTheme="minorHAnsi" w:cs="Verdana"/>
          <w:szCs w:val="22"/>
        </w:rPr>
        <w:t>Health Board</w:t>
      </w:r>
      <w:r w:rsidRPr="00D479C2">
        <w:rPr>
          <w:rFonts w:asciiTheme="minorHAnsi" w:hAnsiTheme="minorHAnsi" w:cs="Verdana"/>
          <w:szCs w:val="22"/>
        </w:rPr>
        <w:t xml:space="preserve">’s CDAT which currently also serves the </w:t>
      </w:r>
      <w:r w:rsidR="00140573">
        <w:rPr>
          <w:rFonts w:asciiTheme="minorHAnsi" w:hAnsiTheme="minorHAnsi" w:cs="Verdana"/>
          <w:szCs w:val="22"/>
        </w:rPr>
        <w:t>NPT</w:t>
      </w:r>
      <w:r w:rsidRPr="00D479C2">
        <w:rPr>
          <w:rFonts w:asciiTheme="minorHAnsi" w:hAnsiTheme="minorHAnsi" w:cs="Verdana"/>
          <w:szCs w:val="22"/>
        </w:rPr>
        <w:t xml:space="preserve"> area via a</w:t>
      </w:r>
      <w:r w:rsidR="000E2B0F">
        <w:rPr>
          <w:rFonts w:asciiTheme="minorHAnsi" w:hAnsiTheme="minorHAnsi" w:cs="Verdana"/>
          <w:szCs w:val="22"/>
        </w:rPr>
        <w:t>n</w:t>
      </w:r>
      <w:r w:rsidRPr="00D479C2">
        <w:rPr>
          <w:rFonts w:asciiTheme="minorHAnsi" w:hAnsiTheme="minorHAnsi" w:cs="Verdana"/>
          <w:szCs w:val="22"/>
        </w:rPr>
        <w:t xml:space="preserve"> </w:t>
      </w:r>
      <w:r w:rsidR="00CD180F">
        <w:rPr>
          <w:rFonts w:asciiTheme="minorHAnsi" w:hAnsiTheme="minorHAnsi" w:cs="Verdana"/>
          <w:szCs w:val="22"/>
        </w:rPr>
        <w:t>SLA</w:t>
      </w:r>
      <w:r w:rsidRPr="00D479C2">
        <w:rPr>
          <w:rFonts w:asciiTheme="minorHAnsi" w:hAnsiTheme="minorHAnsi" w:cs="Verdana"/>
          <w:szCs w:val="22"/>
        </w:rPr>
        <w:t xml:space="preserve"> with </w:t>
      </w:r>
      <w:r w:rsidR="00017421">
        <w:rPr>
          <w:rFonts w:asciiTheme="minorHAnsi" w:hAnsiTheme="minorHAnsi" w:cs="Verdana"/>
          <w:szCs w:val="22"/>
        </w:rPr>
        <w:t>SB</w:t>
      </w:r>
      <w:r w:rsidRPr="00D479C2">
        <w:rPr>
          <w:rFonts w:asciiTheme="minorHAnsi" w:hAnsiTheme="minorHAnsi" w:cs="Verdana"/>
          <w:szCs w:val="22"/>
        </w:rPr>
        <w:t xml:space="preserve">UHB. </w:t>
      </w:r>
      <w:r>
        <w:rPr>
          <w:rFonts w:asciiTheme="minorHAnsi" w:hAnsiTheme="minorHAnsi" w:cs="Verdana"/>
          <w:szCs w:val="22"/>
        </w:rPr>
        <w:t xml:space="preserve"> A Bridgend Development Sub Group of the APB has been established to oversee the smooth tr</w:t>
      </w:r>
      <w:r w:rsidR="00D16737">
        <w:rPr>
          <w:rFonts w:asciiTheme="minorHAnsi" w:hAnsiTheme="minorHAnsi" w:cs="Verdana"/>
          <w:szCs w:val="22"/>
        </w:rPr>
        <w:t>ansition from Western Bay / Abertawe Bro Morgannwg</w:t>
      </w:r>
      <w:r>
        <w:rPr>
          <w:rFonts w:asciiTheme="minorHAnsi" w:hAnsiTheme="minorHAnsi" w:cs="Verdana"/>
          <w:szCs w:val="22"/>
        </w:rPr>
        <w:t xml:space="preserve">, to develop an understanding of the services in Bridgend, to consider the findings from the external service review commissioned by Western Bay APB, and to work towards alignment of services across </w:t>
      </w:r>
      <w:r w:rsidR="00017421">
        <w:rPr>
          <w:rFonts w:asciiTheme="minorHAnsi" w:hAnsiTheme="minorHAnsi" w:cs="Verdana"/>
          <w:szCs w:val="22"/>
        </w:rPr>
        <w:t>CTM</w:t>
      </w:r>
      <w:r>
        <w:rPr>
          <w:rFonts w:asciiTheme="minorHAnsi" w:hAnsiTheme="minorHAnsi" w:cs="Verdana"/>
          <w:szCs w:val="22"/>
        </w:rPr>
        <w:t xml:space="preserve">.   </w:t>
      </w:r>
      <w:r w:rsidRPr="00D479C2">
        <w:rPr>
          <w:rFonts w:asciiTheme="minorHAnsi" w:hAnsiTheme="minorHAnsi" w:cs="Verdana"/>
          <w:szCs w:val="22"/>
        </w:rPr>
        <w:t>Due to the complexity of the</w:t>
      </w:r>
      <w:r>
        <w:rPr>
          <w:rFonts w:asciiTheme="minorHAnsi" w:hAnsiTheme="minorHAnsi" w:cs="Verdana"/>
          <w:szCs w:val="22"/>
        </w:rPr>
        <w:t xml:space="preserve"> service and t</w:t>
      </w:r>
      <w:r w:rsidR="00411B9E">
        <w:rPr>
          <w:rFonts w:asciiTheme="minorHAnsi" w:hAnsiTheme="minorHAnsi" w:cs="Verdana"/>
          <w:szCs w:val="22"/>
        </w:rPr>
        <w:t xml:space="preserve">he process of recommissioning, </w:t>
      </w:r>
      <w:r>
        <w:rPr>
          <w:rFonts w:asciiTheme="minorHAnsi" w:hAnsiTheme="minorHAnsi" w:cs="Verdana"/>
          <w:szCs w:val="22"/>
        </w:rPr>
        <w:t>the APB has agreed to defer any changes to the commissioned services in Br</w:t>
      </w:r>
      <w:r w:rsidR="00017421">
        <w:rPr>
          <w:rFonts w:asciiTheme="minorHAnsi" w:hAnsiTheme="minorHAnsi" w:cs="Verdana"/>
          <w:szCs w:val="22"/>
        </w:rPr>
        <w:t>idgend until at least 2021/22.</w:t>
      </w:r>
    </w:p>
    <w:p w14:paraId="7B231558" w14:textId="77777777" w:rsidR="00D45FFF" w:rsidRPr="00174521" w:rsidRDefault="00D45FFF" w:rsidP="00D45FFF">
      <w:pPr>
        <w:autoSpaceDE w:val="0"/>
        <w:autoSpaceDN w:val="0"/>
        <w:adjustRightInd w:val="0"/>
        <w:rPr>
          <w:rFonts w:asciiTheme="minorHAnsi" w:hAnsiTheme="minorHAnsi" w:cs="Verdana"/>
          <w:color w:val="943634" w:themeColor="accent2" w:themeShade="BF"/>
          <w:szCs w:val="22"/>
        </w:rPr>
      </w:pPr>
    </w:p>
    <w:p w14:paraId="0BF6C483" w14:textId="77777777" w:rsidR="00D45FFF" w:rsidRPr="001329B9" w:rsidRDefault="00D45FFF" w:rsidP="00D45FFF">
      <w:pPr>
        <w:autoSpaceDE w:val="0"/>
        <w:autoSpaceDN w:val="0"/>
        <w:adjustRightInd w:val="0"/>
        <w:rPr>
          <w:rFonts w:asciiTheme="minorHAnsi" w:hAnsiTheme="minorHAnsi" w:cs="Verdana"/>
          <w:szCs w:val="22"/>
        </w:rPr>
      </w:pPr>
      <w:r w:rsidRPr="001329B9">
        <w:rPr>
          <w:rFonts w:asciiTheme="minorHAnsi" w:hAnsiTheme="minorHAnsi" w:cs="Verdana"/>
          <w:szCs w:val="22"/>
        </w:rPr>
        <w:t>A summary of the priorities for 2020/21 are:</w:t>
      </w:r>
    </w:p>
    <w:p w14:paraId="14DD8CAA" w14:textId="419C1922" w:rsidR="00D45FFF" w:rsidRDefault="00D45FFF" w:rsidP="00D45FFF">
      <w:pPr>
        <w:pStyle w:val="NormaBullet"/>
        <w:rPr>
          <w:szCs w:val="22"/>
        </w:rPr>
      </w:pPr>
      <w:r w:rsidRPr="00082F0C">
        <w:rPr>
          <w:szCs w:val="22"/>
        </w:rPr>
        <w:t>Continuing to embed and refine the operational and governance arrangeme</w:t>
      </w:r>
      <w:r w:rsidR="00AD3C00">
        <w:rPr>
          <w:szCs w:val="22"/>
        </w:rPr>
        <w:t xml:space="preserve">nts between the Health Board’s </w:t>
      </w:r>
      <w:r w:rsidRPr="00082F0C">
        <w:rPr>
          <w:szCs w:val="22"/>
        </w:rPr>
        <w:t>CDAT, CAMHS and the rest of the new ISMS service in RCT and Merthyr Tydfil.</w:t>
      </w:r>
    </w:p>
    <w:p w14:paraId="126A1CA5" w14:textId="2E263C86" w:rsidR="00D45FFF" w:rsidRDefault="00D45FFF" w:rsidP="00D45FFF">
      <w:pPr>
        <w:pStyle w:val="NormaBullet"/>
        <w:rPr>
          <w:szCs w:val="22"/>
        </w:rPr>
      </w:pPr>
      <w:r>
        <w:rPr>
          <w:szCs w:val="22"/>
        </w:rPr>
        <w:t xml:space="preserve">Work towards aligning substance misuse services across the </w:t>
      </w:r>
      <w:r w:rsidR="003702FE">
        <w:rPr>
          <w:szCs w:val="22"/>
        </w:rPr>
        <w:t>Health Boards</w:t>
      </w:r>
      <w:r>
        <w:rPr>
          <w:szCs w:val="22"/>
        </w:rPr>
        <w:t xml:space="preserve"> footprint, starting with repatriation of the current SLA with </w:t>
      </w:r>
      <w:r w:rsidR="00426432">
        <w:rPr>
          <w:szCs w:val="22"/>
        </w:rPr>
        <w:t>Swansea Bay University Health Board (</w:t>
      </w:r>
      <w:r>
        <w:rPr>
          <w:szCs w:val="22"/>
        </w:rPr>
        <w:t>SBUHB</w:t>
      </w:r>
      <w:r w:rsidR="00426432">
        <w:rPr>
          <w:szCs w:val="22"/>
        </w:rPr>
        <w:t>)</w:t>
      </w:r>
      <w:r>
        <w:rPr>
          <w:szCs w:val="22"/>
        </w:rPr>
        <w:t xml:space="preserve"> for the CDAT service. </w:t>
      </w:r>
    </w:p>
    <w:p w14:paraId="0BD992FA" w14:textId="77777777" w:rsidR="00D45FFF" w:rsidRPr="00082F0C" w:rsidRDefault="00D45FFF" w:rsidP="00D45FFF">
      <w:pPr>
        <w:pStyle w:val="NormaBullet"/>
        <w:rPr>
          <w:szCs w:val="22"/>
        </w:rPr>
      </w:pPr>
      <w:r>
        <w:rPr>
          <w:szCs w:val="22"/>
        </w:rPr>
        <w:t xml:space="preserve">Reviewing the primary care Enhanced Services for Substance Misuse. </w:t>
      </w:r>
    </w:p>
    <w:p w14:paraId="34E83AAA" w14:textId="77777777" w:rsidR="00D45FFF" w:rsidRPr="00082F0C" w:rsidRDefault="00D45FFF" w:rsidP="00D45FFF">
      <w:pPr>
        <w:pStyle w:val="NormaBullet"/>
        <w:rPr>
          <w:szCs w:val="22"/>
        </w:rPr>
      </w:pPr>
      <w:r w:rsidRPr="00082F0C">
        <w:rPr>
          <w:szCs w:val="22"/>
        </w:rPr>
        <w:t>Scoping the need for the development of an Alcohol Related Brain Disease (ARBD) service.</w:t>
      </w:r>
    </w:p>
    <w:p w14:paraId="4C1F6E4A" w14:textId="77777777" w:rsidR="00D45FFF" w:rsidRPr="00082F0C" w:rsidRDefault="00D45FFF" w:rsidP="00D45FFF">
      <w:pPr>
        <w:pStyle w:val="NormaBullet"/>
        <w:rPr>
          <w:szCs w:val="22"/>
        </w:rPr>
      </w:pPr>
      <w:r w:rsidRPr="00082F0C">
        <w:rPr>
          <w:szCs w:val="22"/>
        </w:rPr>
        <w:t xml:space="preserve">Reviewing the current provision of inpatient detoxification services. </w:t>
      </w:r>
    </w:p>
    <w:p w14:paraId="6CD6E140" w14:textId="77777777" w:rsidR="00D45FFF" w:rsidRPr="00082F0C" w:rsidRDefault="00D45FFF" w:rsidP="00D45FFF">
      <w:pPr>
        <w:pStyle w:val="NormaBullet"/>
        <w:rPr>
          <w:szCs w:val="22"/>
        </w:rPr>
      </w:pPr>
      <w:r w:rsidRPr="00082F0C">
        <w:rPr>
          <w:szCs w:val="22"/>
        </w:rPr>
        <w:t>Planning for the  transfer of the Taff Ely CDAT from Llwyn-yr-Eos in Church village to the Dewi Sant Health Park development in 2020/21</w:t>
      </w:r>
    </w:p>
    <w:p w14:paraId="0A8C4253" w14:textId="77777777" w:rsidR="00D45FFF" w:rsidRPr="00082F0C" w:rsidRDefault="00D45FFF" w:rsidP="00D45FFF">
      <w:pPr>
        <w:pStyle w:val="NormaBullet"/>
        <w:rPr>
          <w:szCs w:val="22"/>
        </w:rPr>
      </w:pPr>
      <w:r w:rsidRPr="00082F0C">
        <w:rPr>
          <w:szCs w:val="22"/>
        </w:rPr>
        <w:t>Regular and coordinated reviews of drug related fatal and non-fatal drug poisonings in order to develop appropriate and affective interventions to reduce harm.</w:t>
      </w:r>
    </w:p>
    <w:p w14:paraId="41D9172F" w14:textId="77777777" w:rsidR="00D45FFF" w:rsidRPr="00082F0C" w:rsidRDefault="00D45FFF" w:rsidP="00D45FFF">
      <w:pPr>
        <w:pStyle w:val="NormaBullet"/>
        <w:rPr>
          <w:szCs w:val="22"/>
        </w:rPr>
      </w:pPr>
      <w:r w:rsidRPr="00082F0C">
        <w:rPr>
          <w:szCs w:val="22"/>
        </w:rPr>
        <w:t>Increasing the rate of testing and treatment for Blood Borne Viruses (BBV).</w:t>
      </w:r>
    </w:p>
    <w:p w14:paraId="405B4648" w14:textId="3D85C673" w:rsidR="00D45FFF" w:rsidRPr="00082F0C" w:rsidRDefault="00D45FFF" w:rsidP="00D45FFF">
      <w:pPr>
        <w:pStyle w:val="NormaBullet"/>
        <w:rPr>
          <w:szCs w:val="22"/>
        </w:rPr>
      </w:pPr>
      <w:r w:rsidRPr="00082F0C">
        <w:rPr>
          <w:szCs w:val="22"/>
        </w:rPr>
        <w:t>Improving the management of people with co-occurring substance misuse and mental health needs</w:t>
      </w:r>
      <w:r w:rsidR="002D6E26">
        <w:rPr>
          <w:szCs w:val="22"/>
        </w:rPr>
        <w:t>, including a more integrated multi-agency service response for more vulnerable people such as the homeless.</w:t>
      </w:r>
    </w:p>
    <w:p w14:paraId="795A2063" w14:textId="5DAB7182" w:rsidR="00303BD1" w:rsidRPr="003D0778" w:rsidRDefault="00303BD1" w:rsidP="00303BD1">
      <w:pPr>
        <w:pStyle w:val="Heading4"/>
        <w:rPr>
          <w:szCs w:val="22"/>
        </w:rPr>
      </w:pPr>
      <w:r>
        <w:rPr>
          <w:szCs w:val="22"/>
        </w:rPr>
        <w:t>Sexual Assault Referral Centre (SARC)</w:t>
      </w:r>
    </w:p>
    <w:p w14:paraId="6A70F7E2" w14:textId="4E1F75D8" w:rsidR="00303BD1" w:rsidRPr="00174521" w:rsidRDefault="00216D30" w:rsidP="005E7A79">
      <w:pPr>
        <w:rPr>
          <w:rFonts w:asciiTheme="minorHAnsi" w:eastAsia="MS PGothic" w:hAnsiTheme="minorHAnsi" w:cstheme="minorBidi"/>
          <w:color w:val="943634" w:themeColor="accent2" w:themeShade="BF"/>
          <w:kern w:val="24"/>
          <w:szCs w:val="22"/>
          <w:lang w:val="en-AU"/>
        </w:rPr>
      </w:pPr>
      <w:r>
        <w:rPr>
          <w:color w:val="000000"/>
        </w:rPr>
        <w:t>Health Boards and all key stakeholders across the South Wales region have been increasingly engaged in modelling work to support a sustainable model for SARC services.</w:t>
      </w:r>
      <w:r w:rsidR="000113A7">
        <w:rPr>
          <w:color w:val="000000"/>
        </w:rPr>
        <w:t xml:space="preserve"> </w:t>
      </w:r>
      <w:r>
        <w:rPr>
          <w:color w:val="000000"/>
        </w:rPr>
        <w:t xml:space="preserve"> Ongoing modelling and planning work has been carried out during 2018-19 with the relevant statutory agencies and clinical representation across all stakeholders.</w:t>
      </w:r>
      <w:r w:rsidR="000113A7">
        <w:rPr>
          <w:color w:val="000000"/>
        </w:rPr>
        <w:t xml:space="preserve"> </w:t>
      </w:r>
      <w:r>
        <w:rPr>
          <w:color w:val="000000"/>
        </w:rPr>
        <w:t xml:space="preserve"> In September 2019, the statutory bodies approved a series of recommendations and financial framework to support a commitment to implementation of three acute SARC hubs for adults and two SARCs </w:t>
      </w:r>
      <w:r>
        <w:rPr>
          <w:color w:val="000000"/>
        </w:rPr>
        <w:lastRenderedPageBreak/>
        <w:t>hubs for children up to the age of 16 years.  </w:t>
      </w:r>
      <w:r w:rsidR="000113A7">
        <w:rPr>
          <w:color w:val="000000"/>
        </w:rPr>
        <w:t>C</w:t>
      </w:r>
      <w:r>
        <w:rPr>
          <w:color w:val="000000"/>
        </w:rPr>
        <w:t xml:space="preserve">osts associated with establishing hubs and spokes are anticipated to be phased over a </w:t>
      </w:r>
      <w:r w:rsidR="000113A7">
        <w:rPr>
          <w:color w:val="000000"/>
        </w:rPr>
        <w:t xml:space="preserve">three year </w:t>
      </w:r>
      <w:r>
        <w:rPr>
          <w:color w:val="000000"/>
        </w:rPr>
        <w:t>period as the service model is developed and implemented</w:t>
      </w:r>
      <w:r w:rsidR="000113A7">
        <w:rPr>
          <w:color w:val="000000"/>
        </w:rPr>
        <w:t xml:space="preserve"> with anticipated commencement in </w:t>
      </w:r>
      <w:r>
        <w:rPr>
          <w:color w:val="000000"/>
        </w:rPr>
        <w:t xml:space="preserve">2020/21. </w:t>
      </w:r>
      <w:r w:rsidR="000113A7">
        <w:rPr>
          <w:color w:val="000000"/>
        </w:rPr>
        <w:t xml:space="preserve"> Health Boards</w:t>
      </w:r>
      <w:r w:rsidR="000E2B0F">
        <w:rPr>
          <w:color w:val="000000"/>
        </w:rPr>
        <w:t>’</w:t>
      </w:r>
      <w:r w:rsidR="000113A7">
        <w:rPr>
          <w:color w:val="000000"/>
        </w:rPr>
        <w:t xml:space="preserve"> </w:t>
      </w:r>
      <w:r>
        <w:rPr>
          <w:color w:val="000000"/>
        </w:rPr>
        <w:t xml:space="preserve">financial contribution has been split on a population basis. </w:t>
      </w:r>
      <w:r w:rsidR="000113A7">
        <w:rPr>
          <w:color w:val="000000"/>
        </w:rPr>
        <w:t xml:space="preserve"> </w:t>
      </w:r>
      <w:r>
        <w:rPr>
          <w:color w:val="000000"/>
        </w:rPr>
        <w:t>Further work will take place early 2020/21 to develop the commissioning framework,  as well as the service model and costs associated with phase 2 and 3 (spokes a</w:t>
      </w:r>
      <w:r w:rsidR="000113A7">
        <w:rPr>
          <w:color w:val="000000"/>
        </w:rPr>
        <w:t>nd Forensic Medical Services)</w:t>
      </w:r>
      <w:r>
        <w:rPr>
          <w:color w:val="000000"/>
        </w:rPr>
        <w:t>, which will require formal approval through the Boards of the statutory organisations prior to any further funding commitment being made.</w:t>
      </w:r>
    </w:p>
    <w:p w14:paraId="61DF6885" w14:textId="69ABB78A" w:rsidR="00F32062" w:rsidRPr="003D0778" w:rsidRDefault="00216D30" w:rsidP="005A5493">
      <w:pPr>
        <w:pStyle w:val="Heading2"/>
        <w:shd w:val="clear" w:color="auto" w:fill="C2D69B" w:themeFill="accent3" w:themeFillTint="99"/>
        <w:rPr>
          <w:szCs w:val="22"/>
        </w:rPr>
      </w:pPr>
      <w:bookmarkStart w:id="94" w:name="_Toc536195561"/>
      <w:bookmarkStart w:id="95" w:name="_Toc29573946"/>
      <w:r w:rsidRPr="003D0778">
        <w:rPr>
          <w:rFonts w:asciiTheme="minorHAnsi" w:hAnsiTheme="minorHAnsi" w:cstheme="minorHAnsi"/>
          <w:noProof/>
          <w:szCs w:val="22"/>
          <w:lang w:eastAsia="en-GB"/>
        </w:rPr>
        <w:drawing>
          <wp:anchor distT="0" distB="0" distL="114300" distR="114300" simplePos="0" relativeHeight="252635136" behindDoc="0" locked="0" layoutInCell="1" allowOverlap="1" wp14:anchorId="02551F94" wp14:editId="75742288">
            <wp:simplePos x="0" y="0"/>
            <wp:positionH relativeFrom="margin">
              <wp:align>right</wp:align>
            </wp:positionH>
            <wp:positionV relativeFrom="paragraph">
              <wp:posOffset>0</wp:posOffset>
            </wp:positionV>
            <wp:extent cx="585470" cy="454025"/>
            <wp:effectExtent l="0" t="0" r="508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5470" cy="454025"/>
                    </a:xfrm>
                    <a:prstGeom prst="rect">
                      <a:avLst/>
                    </a:prstGeom>
                    <a:noFill/>
                  </pic:spPr>
                </pic:pic>
              </a:graphicData>
            </a:graphic>
            <wp14:sizeRelH relativeFrom="margin">
              <wp14:pctWidth>0</wp14:pctWidth>
            </wp14:sizeRelH>
            <wp14:sizeRelV relativeFrom="margin">
              <wp14:pctHeight>0</wp14:pctHeight>
            </wp14:sizeRelV>
          </wp:anchor>
        </w:drawing>
      </w:r>
      <w:r w:rsidR="007C1C2D" w:rsidRPr="003D0778">
        <w:rPr>
          <w:szCs w:val="22"/>
        </w:rPr>
        <w:t xml:space="preserve">Mental Health, </w:t>
      </w:r>
      <w:r w:rsidR="0051558A" w:rsidRPr="003D0778">
        <w:rPr>
          <w:szCs w:val="22"/>
        </w:rPr>
        <w:t>Primary</w:t>
      </w:r>
      <w:r w:rsidR="007C1C2D" w:rsidRPr="003D0778">
        <w:rPr>
          <w:szCs w:val="22"/>
        </w:rPr>
        <w:t xml:space="preserve"> Care and Locality Services</w:t>
      </w:r>
      <w:bookmarkEnd w:id="92"/>
      <w:bookmarkEnd w:id="93"/>
      <w:bookmarkEnd w:id="94"/>
      <w:bookmarkEnd w:id="95"/>
    </w:p>
    <w:p w14:paraId="019A011E" w14:textId="0303408E" w:rsidR="00152491" w:rsidRPr="003D0778" w:rsidRDefault="00152491" w:rsidP="00A97FE5">
      <w:pPr>
        <w:pStyle w:val="Heading3"/>
        <w:ind w:left="0" w:firstLine="0"/>
        <w:rPr>
          <w:color w:val="000000" w:themeColor="text1"/>
          <w:szCs w:val="22"/>
        </w:rPr>
      </w:pPr>
      <w:bookmarkStart w:id="96" w:name="_Toc532463982"/>
      <w:r w:rsidRPr="003D0778">
        <w:rPr>
          <w:color w:val="000000" w:themeColor="text1"/>
          <w:szCs w:val="22"/>
        </w:rPr>
        <w:t>Children, Young People and Families Emotional, Mental Health and Well Being</w:t>
      </w:r>
      <w:bookmarkEnd w:id="96"/>
    </w:p>
    <w:p w14:paraId="7F81AF39" w14:textId="2843372D" w:rsidR="00D96821" w:rsidRDefault="00D96821" w:rsidP="004130DD">
      <w:pPr>
        <w:rPr>
          <w:rFonts w:asciiTheme="minorHAnsi" w:hAnsiTheme="minorHAnsi"/>
          <w:color w:val="000000" w:themeColor="text1"/>
          <w:szCs w:val="22"/>
        </w:rPr>
      </w:pPr>
      <w:r w:rsidRPr="00F13A85">
        <w:rPr>
          <w:rFonts w:asciiTheme="minorHAnsi" w:hAnsiTheme="minorHAnsi"/>
          <w:color w:val="000000" w:themeColor="text1"/>
          <w:szCs w:val="22"/>
        </w:rPr>
        <w:t>Our vision is to support the underlying principle of early intervention and prevention across all levels of need.  We are planning to develop fully integrated health and well-being services where children, young people and their families will receive a range of services by the right person, at the time when we can make a real difference to their needs and at the place that is most beneficial to them.</w:t>
      </w:r>
    </w:p>
    <w:p w14:paraId="35A889E6" w14:textId="77777777" w:rsidR="00D96821" w:rsidRDefault="00D96821" w:rsidP="004130DD">
      <w:pPr>
        <w:rPr>
          <w:rFonts w:asciiTheme="minorHAnsi" w:hAnsiTheme="minorHAnsi"/>
          <w:color w:val="000000" w:themeColor="text1"/>
          <w:szCs w:val="22"/>
        </w:rPr>
      </w:pPr>
    </w:p>
    <w:p w14:paraId="4BC25F3B" w14:textId="68CC6CCC" w:rsidR="004130DD" w:rsidRPr="00F13A85"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We will continue to challenge existing practice and further develop ways of working differently with strong service pathways to enhance care and support for children and their families.  Within the community we look to recruit further community paediatrics to further strengthen the community model of integration b</w:t>
      </w:r>
      <w:r w:rsidR="006D737E">
        <w:rPr>
          <w:rFonts w:asciiTheme="minorHAnsi" w:hAnsiTheme="minorHAnsi"/>
          <w:color w:val="000000" w:themeColor="text1"/>
          <w:szCs w:val="22"/>
        </w:rPr>
        <w:t>eing developed in partnership.</w:t>
      </w:r>
    </w:p>
    <w:p w14:paraId="1DBEFA26" w14:textId="77777777" w:rsidR="00D96821" w:rsidRDefault="00D96821" w:rsidP="004130DD">
      <w:pPr>
        <w:rPr>
          <w:rFonts w:asciiTheme="minorHAnsi" w:hAnsiTheme="minorHAnsi"/>
          <w:color w:val="000000" w:themeColor="text1"/>
          <w:szCs w:val="22"/>
        </w:rPr>
      </w:pPr>
    </w:p>
    <w:p w14:paraId="6E4B826E" w14:textId="77777777" w:rsidR="004130DD" w:rsidRPr="00F13A85"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 xml:space="preserve">Work has also been undertaken across the Health Board and with partners to fully implement the Continuing Care Framework for Children and Young People. There are now guidelines in place for the management of 16-18 year olds within the health board and a transition protocol from CAMHS into Adult Mental Health has been completed. </w:t>
      </w:r>
    </w:p>
    <w:p w14:paraId="7ACC4727" w14:textId="77777777" w:rsidR="004130DD" w:rsidRDefault="004130DD" w:rsidP="004130DD">
      <w:pPr>
        <w:rPr>
          <w:rFonts w:asciiTheme="minorHAnsi" w:hAnsiTheme="minorHAnsi"/>
          <w:color w:val="000000" w:themeColor="text1"/>
          <w:szCs w:val="22"/>
        </w:rPr>
      </w:pPr>
    </w:p>
    <w:p w14:paraId="61D7A3CE" w14:textId="1BA7FE62" w:rsidR="004130DD"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The multi-disciplinary Neurodevelopment service continues to offer a dedicated service to children referred for assessment of ASD and ADHD. Non-recurrent funding has been provided in 2019/20 to provide additional capacity in order to meet the growing demand for this service and recurrent funding will be sought for this going forward.  There is also to be ongoing review of the  Halcyon ‘Specialist Parenting support Project’  funded by the Health Board and Local Authority to demonstrate the significant changes in medical and service behaviours that have been supported by this service since its inception in order to seek to secure permanent funding for the future.</w:t>
      </w:r>
    </w:p>
    <w:p w14:paraId="7AC354C7" w14:textId="77777777" w:rsidR="00D96821" w:rsidRDefault="00D96821" w:rsidP="004130DD">
      <w:pPr>
        <w:rPr>
          <w:rFonts w:asciiTheme="minorHAnsi" w:hAnsiTheme="minorHAnsi"/>
          <w:color w:val="000000" w:themeColor="text1"/>
          <w:szCs w:val="22"/>
        </w:rPr>
      </w:pPr>
    </w:p>
    <w:p w14:paraId="3548524E" w14:textId="77777777" w:rsidR="004130DD" w:rsidRPr="00F13A85"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 xml:space="preserve">Significant work has also been undertaken regarding the development and implementation of plans to prepare us for the Additional Learning Needs (Wales) Act being introduced in 2020. </w:t>
      </w:r>
    </w:p>
    <w:p w14:paraId="328A4A83" w14:textId="41AD814F" w:rsidR="004130DD" w:rsidRPr="00F13A85" w:rsidRDefault="004130DD" w:rsidP="004130DD">
      <w:pPr>
        <w:tabs>
          <w:tab w:val="left" w:pos="3540"/>
        </w:tabs>
        <w:rPr>
          <w:rFonts w:asciiTheme="minorHAnsi" w:hAnsiTheme="minorHAnsi"/>
          <w:color w:val="000000" w:themeColor="text1"/>
          <w:szCs w:val="22"/>
        </w:rPr>
      </w:pPr>
    </w:p>
    <w:p w14:paraId="61021700" w14:textId="46D575DB" w:rsidR="004130DD"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 xml:space="preserve">Following the Bridgend transition, work has been undertaken within the directorate to strengthen the relationship with </w:t>
      </w:r>
      <w:r w:rsidR="00026E19">
        <w:rPr>
          <w:rFonts w:asciiTheme="minorHAnsi" w:hAnsiTheme="minorHAnsi"/>
          <w:color w:val="000000" w:themeColor="text1"/>
          <w:szCs w:val="22"/>
        </w:rPr>
        <w:t>Children and Young People (</w:t>
      </w:r>
      <w:r w:rsidRPr="00F13A85">
        <w:rPr>
          <w:rFonts w:asciiTheme="minorHAnsi" w:hAnsiTheme="minorHAnsi"/>
          <w:color w:val="000000" w:themeColor="text1"/>
          <w:szCs w:val="22"/>
        </w:rPr>
        <w:t>CYP</w:t>
      </w:r>
      <w:r w:rsidR="00026E19">
        <w:rPr>
          <w:rFonts w:asciiTheme="minorHAnsi" w:hAnsiTheme="minorHAnsi"/>
          <w:color w:val="000000" w:themeColor="text1"/>
          <w:szCs w:val="22"/>
        </w:rPr>
        <w:t>)</w:t>
      </w:r>
      <w:r w:rsidRPr="00F13A85">
        <w:rPr>
          <w:rFonts w:asciiTheme="minorHAnsi" w:hAnsiTheme="minorHAnsi"/>
          <w:color w:val="000000" w:themeColor="text1"/>
          <w:szCs w:val="22"/>
        </w:rPr>
        <w:t xml:space="preserve"> services based in Bridgend. Over the last year, integration has been achieved in many areas of the service and good working relationships have been developed. This has been strengthened by ensuring service development has been undertaken in Bridgend, such as the reintroduction of tertiary Neurology services for Paediatrics in </w:t>
      </w:r>
      <w:r w:rsidR="00E32360">
        <w:rPr>
          <w:rFonts w:asciiTheme="minorHAnsi" w:hAnsiTheme="minorHAnsi"/>
          <w:color w:val="000000" w:themeColor="text1"/>
          <w:szCs w:val="22"/>
        </w:rPr>
        <w:t>POWH</w:t>
      </w:r>
      <w:r w:rsidRPr="00F13A85">
        <w:rPr>
          <w:rFonts w:asciiTheme="minorHAnsi" w:hAnsiTheme="minorHAnsi"/>
          <w:color w:val="000000" w:themeColor="text1"/>
          <w:szCs w:val="22"/>
        </w:rPr>
        <w:t>.</w:t>
      </w:r>
    </w:p>
    <w:p w14:paraId="5D7537B5" w14:textId="77777777" w:rsidR="00E334A5" w:rsidRDefault="00E334A5" w:rsidP="004130DD">
      <w:pPr>
        <w:rPr>
          <w:rFonts w:asciiTheme="minorHAnsi" w:hAnsiTheme="minorHAnsi"/>
          <w:b/>
          <w:color w:val="000000" w:themeColor="text1"/>
          <w:szCs w:val="22"/>
        </w:rPr>
      </w:pPr>
    </w:p>
    <w:p w14:paraId="4332E7E1" w14:textId="5CE769D0" w:rsidR="004130DD" w:rsidRPr="00F13A85" w:rsidRDefault="0098336B" w:rsidP="004130DD">
      <w:pPr>
        <w:rPr>
          <w:rFonts w:asciiTheme="minorHAnsi" w:hAnsiTheme="minorHAnsi"/>
          <w:b/>
          <w:color w:val="000000" w:themeColor="text1"/>
          <w:szCs w:val="22"/>
        </w:rPr>
      </w:pPr>
      <w:r w:rsidRPr="00F13A85">
        <w:rPr>
          <w:rFonts w:asciiTheme="minorHAnsi" w:hAnsiTheme="minorHAnsi"/>
          <w:b/>
          <w:bCs/>
          <w:noProof/>
          <w:color w:val="000000" w:themeColor="text1"/>
        </w:rPr>
        <mc:AlternateContent>
          <mc:Choice Requires="wps">
            <w:drawing>
              <wp:anchor distT="0" distB="0" distL="114300" distR="114300" simplePos="0" relativeHeight="252830720" behindDoc="1" locked="0" layoutInCell="1" allowOverlap="1" wp14:anchorId="5F1BB6D0" wp14:editId="5DB02AE6">
                <wp:simplePos x="0" y="0"/>
                <wp:positionH relativeFrom="margin">
                  <wp:posOffset>-67854</wp:posOffset>
                </wp:positionH>
                <wp:positionV relativeFrom="paragraph">
                  <wp:posOffset>99332</wp:posOffset>
                </wp:positionV>
                <wp:extent cx="6716485" cy="696595"/>
                <wp:effectExtent l="0" t="38100" r="46355" b="65405"/>
                <wp:wrapNone/>
                <wp:docPr id="449" name="Right Arrow 449"/>
                <wp:cNvGraphicFramePr/>
                <a:graphic xmlns:a="http://schemas.openxmlformats.org/drawingml/2006/main">
                  <a:graphicData uri="http://schemas.microsoft.com/office/word/2010/wordprocessingShape">
                    <wps:wsp>
                      <wps:cNvSpPr/>
                      <wps:spPr>
                        <a:xfrm>
                          <a:off x="0" y="0"/>
                          <a:ext cx="6716485"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672F0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49" o:spid="_x0000_s1026" type="#_x0000_t13" style="position:absolute;margin-left:-5.35pt;margin-top:7.8pt;width:528.85pt;height:54.85pt;z-index:-25048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" adj="20931" fillcolor="#eaf1dd [662]" strokecolor="#76923c [2406]" strokeweight="2pt">
                <w10:wrap anchorx="margin"/>
              </v:shape>
            </w:pict>
          </mc:Fallback>
        </mc:AlternateContent>
      </w:r>
      <w:r w:rsidR="004130DD" w:rsidRPr="00F13A85">
        <w:rPr>
          <w:rFonts w:asciiTheme="minorHAnsi" w:hAnsiTheme="minorHAnsi"/>
          <w:b/>
          <w:color w:val="000000" w:themeColor="text1"/>
          <w:szCs w:val="22"/>
        </w:rPr>
        <w:t>MILESTONES</w:t>
      </w:r>
    </w:p>
    <w:p w14:paraId="12F67799" w14:textId="0CFC5EBC" w:rsidR="004130DD" w:rsidRPr="00F13A85" w:rsidRDefault="004130DD" w:rsidP="004130DD">
      <w:pPr>
        <w:rPr>
          <w:rFonts w:asciiTheme="minorHAnsi" w:hAnsiTheme="minorHAnsi"/>
          <w:color w:val="000000" w:themeColor="text1"/>
          <w:szCs w:val="22"/>
        </w:rPr>
      </w:pPr>
    </w:p>
    <w:tbl>
      <w:tblPr>
        <w:tblStyle w:val="TableGrid"/>
        <w:tblW w:w="10060" w:type="dxa"/>
        <w:tblLook w:val="04A0" w:firstRow="1" w:lastRow="0" w:firstColumn="1" w:lastColumn="0" w:noHBand="0" w:noVBand="1"/>
      </w:tblPr>
      <w:tblGrid>
        <w:gridCol w:w="5665"/>
        <w:gridCol w:w="2694"/>
        <w:gridCol w:w="1701"/>
      </w:tblGrid>
      <w:tr w:rsidR="004130DD" w:rsidRPr="00F13A85" w14:paraId="183E91AE" w14:textId="77777777" w:rsidTr="0098336B">
        <w:trPr>
          <w:trHeight w:val="4374"/>
        </w:trPr>
        <w:tc>
          <w:tcPr>
            <w:tcW w:w="5665" w:type="dxa"/>
          </w:tcPr>
          <w:p w14:paraId="64788F48" w14:textId="77777777" w:rsidR="004130DD" w:rsidRPr="00C06B3A" w:rsidRDefault="004130DD" w:rsidP="0098336B">
            <w:pPr>
              <w:jc w:val="center"/>
              <w:rPr>
                <w:rFonts w:asciiTheme="minorHAnsi" w:hAnsiTheme="minorHAnsi"/>
                <w:bCs/>
                <w:sz w:val="22"/>
              </w:rPr>
            </w:pPr>
            <w:r w:rsidRPr="00C06B3A">
              <w:rPr>
                <w:rFonts w:asciiTheme="minorHAnsi" w:hAnsiTheme="minorHAnsi"/>
                <w:bCs/>
                <w:sz w:val="22"/>
              </w:rPr>
              <w:lastRenderedPageBreak/>
              <w:t>Year 1</w:t>
            </w:r>
          </w:p>
          <w:p w14:paraId="54E9308F" w14:textId="77777777" w:rsidR="004130DD" w:rsidRPr="00C06B3A" w:rsidRDefault="004130DD" w:rsidP="004130DD">
            <w:pPr>
              <w:rPr>
                <w:rFonts w:asciiTheme="minorHAnsi" w:hAnsiTheme="minorHAnsi"/>
                <w:bCs/>
                <w:sz w:val="22"/>
              </w:rPr>
            </w:pPr>
          </w:p>
          <w:p w14:paraId="001DA9F5"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Q1</w:t>
            </w:r>
            <w:r w:rsidRPr="00C06B3A">
              <w:rPr>
                <w:rFonts w:asciiTheme="minorHAnsi" w:hAnsiTheme="minorHAnsi"/>
                <w:bCs/>
                <w:sz w:val="22"/>
              </w:rPr>
              <w:t>: Bid produced for therapist input in the NNU</w:t>
            </w:r>
          </w:p>
          <w:p w14:paraId="0D0DC598"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Q1</w:t>
            </w:r>
            <w:r w:rsidRPr="00C06B3A">
              <w:rPr>
                <w:rFonts w:asciiTheme="minorHAnsi" w:hAnsiTheme="minorHAnsi"/>
                <w:bCs/>
                <w:sz w:val="22"/>
              </w:rPr>
              <w:t xml:space="preserve">: Confirm investment and continue to refer to Halcyon service </w:t>
            </w:r>
          </w:p>
          <w:p w14:paraId="6462046D" w14:textId="426B1297" w:rsidR="004130DD" w:rsidRPr="00C06B3A" w:rsidRDefault="004130DD" w:rsidP="004130DD">
            <w:pPr>
              <w:rPr>
                <w:rFonts w:asciiTheme="minorHAnsi" w:hAnsiTheme="minorHAnsi"/>
                <w:bCs/>
                <w:sz w:val="22"/>
              </w:rPr>
            </w:pPr>
            <w:r w:rsidRPr="00C06B3A">
              <w:rPr>
                <w:rFonts w:asciiTheme="minorHAnsi" w:hAnsiTheme="minorHAnsi"/>
                <w:b/>
                <w:bCs/>
                <w:sz w:val="22"/>
              </w:rPr>
              <w:t>Q1</w:t>
            </w:r>
            <w:r w:rsidRPr="00C06B3A">
              <w:rPr>
                <w:rFonts w:asciiTheme="minorHAnsi" w:hAnsiTheme="minorHAnsi"/>
                <w:bCs/>
                <w:sz w:val="22"/>
              </w:rPr>
              <w:t xml:space="preserve"> Paed</w:t>
            </w:r>
            <w:r w:rsidR="004301DB" w:rsidRPr="00C06B3A">
              <w:rPr>
                <w:rFonts w:asciiTheme="minorHAnsi" w:hAnsiTheme="minorHAnsi"/>
                <w:bCs/>
                <w:sz w:val="22"/>
              </w:rPr>
              <w:t>iatric</w:t>
            </w:r>
            <w:r w:rsidRPr="00C06B3A">
              <w:rPr>
                <w:rFonts w:asciiTheme="minorHAnsi" w:hAnsiTheme="minorHAnsi"/>
                <w:bCs/>
                <w:sz w:val="22"/>
              </w:rPr>
              <w:t xml:space="preserve"> Neurology clinics run </w:t>
            </w:r>
            <w:r w:rsidR="004301DB" w:rsidRPr="00C06B3A">
              <w:rPr>
                <w:rFonts w:asciiTheme="minorHAnsi" w:hAnsiTheme="minorHAnsi"/>
                <w:bCs/>
                <w:sz w:val="22"/>
              </w:rPr>
              <w:t xml:space="preserve">in </w:t>
            </w:r>
            <w:r w:rsidR="00E32360">
              <w:rPr>
                <w:rFonts w:asciiTheme="minorHAnsi" w:hAnsiTheme="minorHAnsi"/>
                <w:bCs/>
                <w:sz w:val="22"/>
              </w:rPr>
              <w:t>POWH</w:t>
            </w:r>
          </w:p>
          <w:p w14:paraId="1F50B842" w14:textId="4BAD3F94" w:rsidR="004130DD" w:rsidRPr="00C06B3A" w:rsidRDefault="004130DD" w:rsidP="004130DD">
            <w:pPr>
              <w:rPr>
                <w:rFonts w:asciiTheme="minorHAnsi" w:hAnsiTheme="minorHAnsi"/>
                <w:bCs/>
                <w:sz w:val="22"/>
              </w:rPr>
            </w:pPr>
            <w:r w:rsidRPr="00C06B3A">
              <w:rPr>
                <w:rFonts w:asciiTheme="minorHAnsi" w:hAnsiTheme="minorHAnsi"/>
                <w:b/>
                <w:bCs/>
                <w:sz w:val="22"/>
              </w:rPr>
              <w:t>Q1</w:t>
            </w:r>
            <w:r w:rsidRPr="00C06B3A">
              <w:rPr>
                <w:rFonts w:asciiTheme="minorHAnsi" w:hAnsiTheme="minorHAnsi"/>
                <w:bCs/>
                <w:sz w:val="22"/>
              </w:rPr>
              <w:t>: Work on PAU interdependencies with A&amp;E, Obs</w:t>
            </w:r>
            <w:r w:rsidR="004301DB" w:rsidRPr="00C06B3A">
              <w:rPr>
                <w:rFonts w:asciiTheme="minorHAnsi" w:hAnsiTheme="minorHAnsi"/>
                <w:bCs/>
                <w:sz w:val="22"/>
              </w:rPr>
              <w:t>tetrics</w:t>
            </w:r>
            <w:r w:rsidRPr="00C06B3A">
              <w:rPr>
                <w:rFonts w:asciiTheme="minorHAnsi" w:hAnsiTheme="minorHAnsi"/>
                <w:bCs/>
                <w:sz w:val="22"/>
              </w:rPr>
              <w:t xml:space="preserve"> and Gynae</w:t>
            </w:r>
            <w:r w:rsidR="004301DB" w:rsidRPr="00C06B3A">
              <w:rPr>
                <w:rFonts w:asciiTheme="minorHAnsi" w:hAnsiTheme="minorHAnsi"/>
                <w:bCs/>
                <w:sz w:val="22"/>
              </w:rPr>
              <w:t>cology</w:t>
            </w:r>
            <w:r w:rsidRPr="00C06B3A">
              <w:rPr>
                <w:rFonts w:asciiTheme="minorHAnsi" w:hAnsiTheme="minorHAnsi"/>
                <w:bCs/>
                <w:sz w:val="22"/>
              </w:rPr>
              <w:t>.</w:t>
            </w:r>
          </w:p>
          <w:p w14:paraId="76B99164"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Q2</w:t>
            </w:r>
            <w:r w:rsidRPr="00C06B3A">
              <w:rPr>
                <w:rFonts w:asciiTheme="minorHAnsi" w:hAnsiTheme="minorHAnsi"/>
                <w:bCs/>
                <w:sz w:val="22"/>
              </w:rPr>
              <w:t>: Bid complete for therapist input into NNU and taken for sign off</w:t>
            </w:r>
          </w:p>
          <w:p w14:paraId="480BAC3A"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Q2</w:t>
            </w:r>
            <w:r w:rsidRPr="00C06B3A">
              <w:rPr>
                <w:rFonts w:asciiTheme="minorHAnsi" w:hAnsiTheme="minorHAnsi"/>
                <w:bCs/>
                <w:sz w:val="22"/>
              </w:rPr>
              <w:t>: Implementation of ALN Act</w:t>
            </w:r>
          </w:p>
          <w:p w14:paraId="02DB1380"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Q2</w:t>
            </w:r>
            <w:r w:rsidRPr="00C06B3A">
              <w:rPr>
                <w:rFonts w:asciiTheme="minorHAnsi" w:hAnsiTheme="minorHAnsi"/>
                <w:bCs/>
                <w:sz w:val="22"/>
              </w:rPr>
              <w:t>: Review future requirements of Halcyon service</w:t>
            </w:r>
          </w:p>
          <w:p w14:paraId="2987D497"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Q2</w:t>
            </w:r>
            <w:r w:rsidRPr="00C06B3A">
              <w:rPr>
                <w:rFonts w:asciiTheme="minorHAnsi" w:hAnsiTheme="minorHAnsi"/>
                <w:bCs/>
                <w:sz w:val="22"/>
              </w:rPr>
              <w:t>: Implementation of PAU in RGH and completion of SWP programme</w:t>
            </w:r>
          </w:p>
          <w:p w14:paraId="5AF37C73"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Q3</w:t>
            </w:r>
            <w:r w:rsidRPr="00C06B3A">
              <w:rPr>
                <w:rFonts w:asciiTheme="minorHAnsi" w:hAnsiTheme="minorHAnsi"/>
                <w:bCs/>
                <w:sz w:val="22"/>
              </w:rPr>
              <w:t>: Recruitment of Therapists  for NNU</w:t>
            </w:r>
          </w:p>
          <w:p w14:paraId="49FA1F38" w14:textId="7D00F305" w:rsidR="004130DD" w:rsidRPr="00C06B3A" w:rsidRDefault="004130DD" w:rsidP="004130DD">
            <w:pPr>
              <w:rPr>
                <w:rFonts w:asciiTheme="minorHAnsi" w:hAnsiTheme="minorHAnsi"/>
                <w:bCs/>
                <w:sz w:val="22"/>
              </w:rPr>
            </w:pPr>
            <w:r w:rsidRPr="00C06B3A">
              <w:rPr>
                <w:rFonts w:asciiTheme="minorHAnsi" w:hAnsiTheme="minorHAnsi"/>
                <w:b/>
                <w:bCs/>
                <w:sz w:val="22"/>
              </w:rPr>
              <w:t>Q4:</w:t>
            </w:r>
            <w:r w:rsidRPr="00C06B3A">
              <w:rPr>
                <w:rFonts w:asciiTheme="minorHAnsi" w:hAnsiTheme="minorHAnsi"/>
                <w:bCs/>
                <w:sz w:val="22"/>
              </w:rPr>
              <w:t xml:space="preserve"> Recurrent Funding for ND service sought</w:t>
            </w:r>
            <w:r w:rsidR="004301DB" w:rsidRPr="00C06B3A">
              <w:rPr>
                <w:rFonts w:asciiTheme="minorHAnsi" w:hAnsiTheme="minorHAnsi"/>
                <w:bCs/>
                <w:sz w:val="22"/>
              </w:rPr>
              <w:t xml:space="preserve"> to meet 26 week target</w:t>
            </w:r>
          </w:p>
          <w:p w14:paraId="781F5B6D" w14:textId="08D7FDE9" w:rsidR="004130DD" w:rsidRPr="00C06B3A" w:rsidRDefault="004130DD" w:rsidP="004130DD">
            <w:pPr>
              <w:rPr>
                <w:rFonts w:asciiTheme="minorHAnsi" w:hAnsiTheme="minorHAnsi"/>
                <w:bCs/>
                <w:sz w:val="22"/>
              </w:rPr>
            </w:pPr>
            <w:r w:rsidRPr="00C06B3A">
              <w:rPr>
                <w:rFonts w:asciiTheme="minorHAnsi" w:hAnsiTheme="minorHAnsi"/>
                <w:b/>
                <w:bCs/>
                <w:sz w:val="22"/>
              </w:rPr>
              <w:t>Q4</w:t>
            </w:r>
            <w:r w:rsidRPr="00C06B3A">
              <w:rPr>
                <w:rFonts w:asciiTheme="minorHAnsi" w:hAnsiTheme="minorHAnsi"/>
                <w:bCs/>
                <w:sz w:val="22"/>
              </w:rPr>
              <w:t>: Implemented Halcyon service model as appropriate to resource</w:t>
            </w:r>
          </w:p>
        </w:tc>
        <w:tc>
          <w:tcPr>
            <w:tcW w:w="2694" w:type="dxa"/>
          </w:tcPr>
          <w:p w14:paraId="27B566E2" w14:textId="77777777" w:rsidR="004130DD" w:rsidRPr="00C06B3A" w:rsidRDefault="004130DD" w:rsidP="0098336B">
            <w:pPr>
              <w:jc w:val="center"/>
              <w:rPr>
                <w:rFonts w:asciiTheme="minorHAnsi" w:hAnsiTheme="minorHAnsi"/>
                <w:bCs/>
                <w:sz w:val="22"/>
              </w:rPr>
            </w:pPr>
            <w:r w:rsidRPr="00C06B3A">
              <w:rPr>
                <w:rFonts w:asciiTheme="minorHAnsi" w:hAnsiTheme="minorHAnsi"/>
                <w:bCs/>
                <w:sz w:val="22"/>
              </w:rPr>
              <w:t>Year 2</w:t>
            </w:r>
          </w:p>
          <w:p w14:paraId="04683CEC" w14:textId="77777777" w:rsidR="004130DD" w:rsidRPr="00C06B3A" w:rsidRDefault="004130DD" w:rsidP="004130DD">
            <w:pPr>
              <w:rPr>
                <w:rFonts w:asciiTheme="minorHAnsi" w:hAnsiTheme="minorHAnsi"/>
                <w:bCs/>
                <w:sz w:val="22"/>
              </w:rPr>
            </w:pPr>
          </w:p>
          <w:p w14:paraId="7538BF45"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Q1:</w:t>
            </w:r>
            <w:r w:rsidRPr="00C06B3A">
              <w:rPr>
                <w:rFonts w:asciiTheme="minorHAnsi" w:hAnsiTheme="minorHAnsi"/>
                <w:bCs/>
                <w:sz w:val="22"/>
              </w:rPr>
              <w:t xml:space="preserve"> Funding for recurrent funding for Halcyon project sought</w:t>
            </w:r>
          </w:p>
          <w:p w14:paraId="1D0EABBC"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Q1</w:t>
            </w:r>
            <w:r w:rsidRPr="00C06B3A">
              <w:rPr>
                <w:rFonts w:asciiTheme="minorHAnsi" w:hAnsiTheme="minorHAnsi"/>
                <w:bCs/>
                <w:sz w:val="22"/>
              </w:rPr>
              <w:t>: Evaluation of PAU in RGH.</w:t>
            </w:r>
          </w:p>
          <w:p w14:paraId="56DF13E7"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Q1</w:t>
            </w:r>
            <w:r w:rsidRPr="00C06B3A">
              <w:rPr>
                <w:rFonts w:asciiTheme="minorHAnsi" w:hAnsiTheme="minorHAnsi"/>
                <w:bCs/>
                <w:sz w:val="22"/>
              </w:rPr>
              <w:t>: Realisation of benefits of recurrent funding of ND service</w:t>
            </w:r>
          </w:p>
          <w:p w14:paraId="470B5F22" w14:textId="58ECD014" w:rsidR="004130DD" w:rsidRPr="00C06B3A" w:rsidRDefault="004130DD" w:rsidP="004130DD">
            <w:pPr>
              <w:rPr>
                <w:rFonts w:asciiTheme="minorHAnsi" w:hAnsiTheme="minorHAnsi"/>
                <w:bCs/>
                <w:sz w:val="22"/>
              </w:rPr>
            </w:pPr>
            <w:r w:rsidRPr="00C06B3A">
              <w:rPr>
                <w:rFonts w:asciiTheme="minorHAnsi" w:hAnsiTheme="minorHAnsi"/>
                <w:b/>
                <w:bCs/>
                <w:sz w:val="22"/>
              </w:rPr>
              <w:t>Q1-4</w:t>
            </w:r>
            <w:r w:rsidR="004301DB" w:rsidRPr="00C06B3A">
              <w:rPr>
                <w:rFonts w:asciiTheme="minorHAnsi" w:hAnsiTheme="minorHAnsi"/>
                <w:bCs/>
                <w:sz w:val="22"/>
              </w:rPr>
              <w:t xml:space="preserve"> Continue to run Paediatric</w:t>
            </w:r>
            <w:r w:rsidRPr="00C06B3A">
              <w:rPr>
                <w:rFonts w:asciiTheme="minorHAnsi" w:hAnsiTheme="minorHAnsi"/>
                <w:bCs/>
                <w:sz w:val="22"/>
              </w:rPr>
              <w:t xml:space="preserve"> Neuro</w:t>
            </w:r>
            <w:r w:rsidR="004301DB" w:rsidRPr="00C06B3A">
              <w:rPr>
                <w:rFonts w:asciiTheme="minorHAnsi" w:hAnsiTheme="minorHAnsi"/>
                <w:bCs/>
                <w:sz w:val="22"/>
              </w:rPr>
              <w:t>logy</w:t>
            </w:r>
            <w:r w:rsidRPr="00C06B3A">
              <w:rPr>
                <w:rFonts w:asciiTheme="minorHAnsi" w:hAnsiTheme="minorHAnsi"/>
                <w:bCs/>
                <w:sz w:val="22"/>
              </w:rPr>
              <w:t xml:space="preserve"> clinics in </w:t>
            </w:r>
            <w:r w:rsidR="00E32360">
              <w:rPr>
                <w:rFonts w:asciiTheme="minorHAnsi" w:hAnsiTheme="minorHAnsi"/>
                <w:bCs/>
                <w:sz w:val="22"/>
              </w:rPr>
              <w:t>POWH</w:t>
            </w:r>
          </w:p>
          <w:p w14:paraId="10547524" w14:textId="6B1B13EB" w:rsidR="004130DD" w:rsidRPr="00C06B3A" w:rsidRDefault="004130DD" w:rsidP="004130DD">
            <w:pPr>
              <w:rPr>
                <w:rFonts w:asciiTheme="minorHAnsi" w:hAnsiTheme="minorHAnsi"/>
                <w:bCs/>
                <w:sz w:val="22"/>
              </w:rPr>
            </w:pPr>
            <w:r w:rsidRPr="00C06B3A">
              <w:rPr>
                <w:rFonts w:asciiTheme="minorHAnsi" w:hAnsiTheme="minorHAnsi"/>
                <w:b/>
                <w:bCs/>
                <w:sz w:val="22"/>
              </w:rPr>
              <w:t>Q1-4</w:t>
            </w:r>
            <w:r w:rsidRPr="00C06B3A">
              <w:rPr>
                <w:rFonts w:asciiTheme="minorHAnsi" w:hAnsiTheme="minorHAnsi"/>
                <w:bCs/>
                <w:sz w:val="22"/>
              </w:rPr>
              <w:t>: Implemented Halcyon service model as appropriate to resource</w:t>
            </w:r>
          </w:p>
        </w:tc>
        <w:tc>
          <w:tcPr>
            <w:tcW w:w="1701" w:type="dxa"/>
          </w:tcPr>
          <w:p w14:paraId="1A6B31F0" w14:textId="77777777" w:rsidR="004130DD" w:rsidRPr="00C06B3A" w:rsidRDefault="004130DD" w:rsidP="0098336B">
            <w:pPr>
              <w:jc w:val="center"/>
              <w:rPr>
                <w:rFonts w:asciiTheme="minorHAnsi" w:hAnsiTheme="minorHAnsi"/>
                <w:bCs/>
                <w:sz w:val="22"/>
              </w:rPr>
            </w:pPr>
            <w:r w:rsidRPr="00C06B3A">
              <w:rPr>
                <w:rFonts w:asciiTheme="minorHAnsi" w:hAnsiTheme="minorHAnsi"/>
                <w:bCs/>
                <w:sz w:val="22"/>
              </w:rPr>
              <w:t>Year 3</w:t>
            </w:r>
          </w:p>
          <w:p w14:paraId="2DF5D63E" w14:textId="77777777" w:rsidR="004130DD" w:rsidRPr="00C06B3A" w:rsidRDefault="004130DD" w:rsidP="004130DD">
            <w:pPr>
              <w:rPr>
                <w:rFonts w:asciiTheme="minorHAnsi" w:hAnsiTheme="minorHAnsi"/>
                <w:bCs/>
                <w:sz w:val="22"/>
              </w:rPr>
            </w:pPr>
          </w:p>
          <w:p w14:paraId="1D67896C" w14:textId="77777777" w:rsidR="004130DD" w:rsidRPr="00C06B3A" w:rsidRDefault="004130DD" w:rsidP="004130DD">
            <w:pPr>
              <w:rPr>
                <w:rFonts w:asciiTheme="minorHAnsi" w:hAnsiTheme="minorHAnsi"/>
                <w:bCs/>
                <w:sz w:val="22"/>
              </w:rPr>
            </w:pPr>
            <w:r w:rsidRPr="00C06B3A">
              <w:rPr>
                <w:rFonts w:asciiTheme="minorHAnsi" w:hAnsiTheme="minorHAnsi"/>
                <w:b/>
                <w:bCs/>
                <w:sz w:val="22"/>
              </w:rPr>
              <w:t>Q1:</w:t>
            </w:r>
            <w:r w:rsidRPr="00C06B3A">
              <w:rPr>
                <w:rFonts w:asciiTheme="minorHAnsi" w:hAnsiTheme="minorHAnsi"/>
                <w:bCs/>
                <w:sz w:val="22"/>
              </w:rPr>
              <w:t xml:space="preserve"> Realisation of benefits of PAU in RGH </w:t>
            </w:r>
          </w:p>
          <w:p w14:paraId="280FC7C8" w14:textId="25875471" w:rsidR="004130DD" w:rsidRPr="00C06B3A" w:rsidRDefault="004130DD" w:rsidP="004130DD">
            <w:pPr>
              <w:rPr>
                <w:rFonts w:asciiTheme="minorHAnsi" w:hAnsiTheme="minorHAnsi"/>
                <w:bCs/>
                <w:sz w:val="22"/>
              </w:rPr>
            </w:pPr>
            <w:r w:rsidRPr="00C06B3A">
              <w:rPr>
                <w:rFonts w:asciiTheme="minorHAnsi" w:hAnsiTheme="minorHAnsi"/>
                <w:b/>
                <w:bCs/>
                <w:sz w:val="22"/>
              </w:rPr>
              <w:t>Q1-4:</w:t>
            </w:r>
            <w:r w:rsidR="004301DB" w:rsidRPr="00C06B3A">
              <w:rPr>
                <w:rFonts w:asciiTheme="minorHAnsi" w:hAnsiTheme="minorHAnsi"/>
                <w:bCs/>
                <w:sz w:val="22"/>
              </w:rPr>
              <w:t xml:space="preserve"> Continue to run Paediatric</w:t>
            </w:r>
            <w:r w:rsidRPr="00C06B3A">
              <w:rPr>
                <w:rFonts w:asciiTheme="minorHAnsi" w:hAnsiTheme="minorHAnsi"/>
                <w:bCs/>
                <w:sz w:val="22"/>
              </w:rPr>
              <w:t xml:space="preserve"> Neuro</w:t>
            </w:r>
            <w:r w:rsidR="004301DB" w:rsidRPr="00C06B3A">
              <w:rPr>
                <w:rFonts w:asciiTheme="minorHAnsi" w:hAnsiTheme="minorHAnsi"/>
                <w:bCs/>
                <w:sz w:val="22"/>
              </w:rPr>
              <w:t>logy</w:t>
            </w:r>
            <w:r w:rsidRPr="00C06B3A">
              <w:rPr>
                <w:rFonts w:asciiTheme="minorHAnsi" w:hAnsiTheme="minorHAnsi"/>
                <w:bCs/>
                <w:sz w:val="22"/>
              </w:rPr>
              <w:t xml:space="preserve"> clinics in </w:t>
            </w:r>
            <w:r w:rsidR="00E32360">
              <w:rPr>
                <w:rFonts w:asciiTheme="minorHAnsi" w:hAnsiTheme="minorHAnsi"/>
                <w:bCs/>
                <w:sz w:val="22"/>
              </w:rPr>
              <w:t>POWH</w:t>
            </w:r>
          </w:p>
          <w:p w14:paraId="2019C8F1" w14:textId="4E06B5EA" w:rsidR="004130DD" w:rsidRPr="00C06B3A" w:rsidRDefault="004130DD" w:rsidP="004130DD">
            <w:pPr>
              <w:rPr>
                <w:rFonts w:asciiTheme="minorHAnsi" w:hAnsiTheme="minorHAnsi"/>
                <w:bCs/>
                <w:sz w:val="22"/>
              </w:rPr>
            </w:pPr>
            <w:r w:rsidRPr="00C06B3A">
              <w:rPr>
                <w:rFonts w:asciiTheme="minorHAnsi" w:hAnsiTheme="minorHAnsi"/>
                <w:b/>
                <w:bCs/>
                <w:sz w:val="22"/>
              </w:rPr>
              <w:t>Q1-4:</w:t>
            </w:r>
            <w:r w:rsidRPr="00C06B3A">
              <w:rPr>
                <w:rFonts w:asciiTheme="minorHAnsi" w:hAnsiTheme="minorHAnsi"/>
                <w:bCs/>
                <w:sz w:val="22"/>
              </w:rPr>
              <w:t xml:space="preserve"> Implemented Halcyon service model as appropriate to resource</w:t>
            </w:r>
          </w:p>
        </w:tc>
      </w:tr>
    </w:tbl>
    <w:p w14:paraId="428F431F" w14:textId="7F9B100A" w:rsidR="00D96821" w:rsidRPr="00D96821" w:rsidRDefault="00D96821" w:rsidP="00D60D68">
      <w:pPr>
        <w:pStyle w:val="Heading4"/>
      </w:pPr>
      <w:r w:rsidRPr="00D96821">
        <w:t>Child and Adolescent Mental Health Service</w:t>
      </w:r>
    </w:p>
    <w:p w14:paraId="4E4C9F58" w14:textId="77777777" w:rsidR="00F85ADB" w:rsidRDefault="00F85ADB" w:rsidP="004130DD">
      <w:pPr>
        <w:rPr>
          <w:rFonts w:asciiTheme="minorHAnsi" w:hAnsiTheme="minorHAnsi"/>
          <w:szCs w:val="22"/>
        </w:rPr>
      </w:pPr>
      <w:r w:rsidRPr="003D0778">
        <w:rPr>
          <w:rFonts w:asciiTheme="minorHAnsi" w:hAnsiTheme="minorHAnsi"/>
          <w:szCs w:val="22"/>
        </w:rPr>
        <w:t xml:space="preserve">The Child </w:t>
      </w:r>
      <w:r>
        <w:rPr>
          <w:rFonts w:asciiTheme="minorHAnsi" w:hAnsiTheme="minorHAnsi"/>
          <w:szCs w:val="22"/>
        </w:rPr>
        <w:t xml:space="preserve">and </w:t>
      </w:r>
      <w:r w:rsidRPr="003D0778">
        <w:rPr>
          <w:rFonts w:asciiTheme="minorHAnsi" w:hAnsiTheme="minorHAnsi"/>
          <w:szCs w:val="22"/>
        </w:rPr>
        <w:t xml:space="preserve">Adolescent Mental Health Service (CAMHS) is an integral part of the Health Board’s Children and Young Peoples Service.  We currently provide </w:t>
      </w:r>
      <w:r>
        <w:rPr>
          <w:rFonts w:asciiTheme="minorHAnsi" w:hAnsiTheme="minorHAnsi"/>
          <w:szCs w:val="22"/>
        </w:rPr>
        <w:t xml:space="preserve">Primary and Specialist </w:t>
      </w:r>
      <w:r w:rsidRPr="003D0778">
        <w:rPr>
          <w:rFonts w:asciiTheme="minorHAnsi" w:hAnsiTheme="minorHAnsi"/>
          <w:szCs w:val="22"/>
        </w:rPr>
        <w:t xml:space="preserve">CAMHS to </w:t>
      </w:r>
      <w:r>
        <w:rPr>
          <w:rFonts w:asciiTheme="minorHAnsi" w:hAnsiTheme="minorHAnsi"/>
          <w:szCs w:val="22"/>
        </w:rPr>
        <w:t xml:space="preserve">our </w:t>
      </w:r>
      <w:r w:rsidRPr="003D0778">
        <w:rPr>
          <w:rFonts w:asciiTheme="minorHAnsi" w:hAnsiTheme="minorHAnsi"/>
          <w:szCs w:val="22"/>
        </w:rPr>
        <w:t xml:space="preserve">resident population together with the population of </w:t>
      </w:r>
      <w:r>
        <w:rPr>
          <w:rFonts w:asciiTheme="minorHAnsi" w:hAnsiTheme="minorHAnsi"/>
          <w:szCs w:val="22"/>
        </w:rPr>
        <w:t xml:space="preserve">Swansea Bay </w:t>
      </w:r>
      <w:r w:rsidRPr="003D0778">
        <w:rPr>
          <w:rFonts w:asciiTheme="minorHAnsi" w:hAnsiTheme="minorHAnsi"/>
          <w:szCs w:val="22"/>
        </w:rPr>
        <w:t>UHB</w:t>
      </w:r>
      <w:r>
        <w:rPr>
          <w:rFonts w:asciiTheme="minorHAnsi" w:hAnsiTheme="minorHAnsi"/>
          <w:szCs w:val="22"/>
        </w:rPr>
        <w:t>. CTM also manages a range of networked services (Young People Drug and Alcohol and Learning Disability) as well as a range of South Wales and all Wales tertiary services.</w:t>
      </w:r>
    </w:p>
    <w:p w14:paraId="6C89E083" w14:textId="77777777" w:rsidR="00F85ADB" w:rsidRPr="003D0778" w:rsidRDefault="00F85ADB" w:rsidP="004130DD">
      <w:pPr>
        <w:rPr>
          <w:rFonts w:asciiTheme="minorHAnsi" w:hAnsiTheme="minorHAnsi"/>
          <w:szCs w:val="22"/>
        </w:rPr>
      </w:pPr>
    </w:p>
    <w:p w14:paraId="0076F0DD" w14:textId="77777777" w:rsidR="00F85ADB" w:rsidRPr="003D0778" w:rsidRDefault="00F85ADB" w:rsidP="004130DD">
      <w:pPr>
        <w:rPr>
          <w:rFonts w:asciiTheme="minorHAnsi" w:hAnsiTheme="minorHAnsi"/>
          <w:szCs w:val="22"/>
        </w:rPr>
      </w:pPr>
      <w:r>
        <w:rPr>
          <w:rFonts w:asciiTheme="minorHAnsi" w:hAnsiTheme="minorHAnsi"/>
          <w:szCs w:val="22"/>
        </w:rPr>
        <w:t>As such, t</w:t>
      </w:r>
      <w:r w:rsidRPr="003D0778">
        <w:rPr>
          <w:rFonts w:asciiTheme="minorHAnsi" w:hAnsiTheme="minorHAnsi"/>
          <w:szCs w:val="22"/>
        </w:rPr>
        <w:t>he Health Board will continue to manage Ty Llidiard, an inpatient unit based on the Princess of Wales Hospital site, that covers the South Wales area, an all Wales Tertiary Forensic service and the Mid and South Wales Eating Disorders Service.  In addition the on call rota that service</w:t>
      </w:r>
      <w:r>
        <w:rPr>
          <w:rFonts w:asciiTheme="minorHAnsi" w:hAnsiTheme="minorHAnsi"/>
          <w:szCs w:val="22"/>
        </w:rPr>
        <w:t>s</w:t>
      </w:r>
      <w:r w:rsidRPr="003D0778">
        <w:rPr>
          <w:rFonts w:asciiTheme="minorHAnsi" w:hAnsiTheme="minorHAnsi"/>
          <w:szCs w:val="22"/>
        </w:rPr>
        <w:t xml:space="preserve"> the </w:t>
      </w:r>
      <w:r>
        <w:rPr>
          <w:rFonts w:asciiTheme="minorHAnsi" w:hAnsiTheme="minorHAnsi"/>
          <w:szCs w:val="22"/>
        </w:rPr>
        <w:t xml:space="preserve">previous </w:t>
      </w:r>
      <w:r w:rsidRPr="003D0778">
        <w:rPr>
          <w:rFonts w:asciiTheme="minorHAnsi" w:hAnsiTheme="minorHAnsi"/>
          <w:szCs w:val="22"/>
        </w:rPr>
        <w:t xml:space="preserve">Network </w:t>
      </w:r>
      <w:r>
        <w:rPr>
          <w:rFonts w:asciiTheme="minorHAnsi" w:hAnsiTheme="minorHAnsi"/>
          <w:szCs w:val="22"/>
        </w:rPr>
        <w:t>area (including C&amp;V)</w:t>
      </w:r>
      <w:r w:rsidRPr="003D0778">
        <w:rPr>
          <w:rFonts w:asciiTheme="minorHAnsi" w:hAnsiTheme="minorHAnsi"/>
          <w:szCs w:val="22"/>
        </w:rPr>
        <w:t xml:space="preserve"> will be maintained.</w:t>
      </w:r>
      <w:r>
        <w:rPr>
          <w:rFonts w:asciiTheme="minorHAnsi" w:hAnsiTheme="minorHAnsi"/>
          <w:szCs w:val="22"/>
        </w:rPr>
        <w:t xml:space="preserve"> </w:t>
      </w:r>
    </w:p>
    <w:p w14:paraId="6E02F7B8" w14:textId="77777777" w:rsidR="00F85ADB" w:rsidRPr="003D0778" w:rsidRDefault="00F85ADB" w:rsidP="004130DD">
      <w:pPr>
        <w:rPr>
          <w:rFonts w:asciiTheme="minorHAnsi" w:hAnsiTheme="minorHAnsi"/>
          <w:szCs w:val="22"/>
        </w:rPr>
      </w:pPr>
    </w:p>
    <w:p w14:paraId="02E638D9" w14:textId="6D97D573" w:rsidR="00F85ADB" w:rsidRPr="00D93850" w:rsidRDefault="00F85ADB" w:rsidP="004130DD">
      <w:pPr>
        <w:rPr>
          <w:rFonts w:asciiTheme="minorHAnsi" w:hAnsiTheme="minorHAnsi"/>
          <w:szCs w:val="22"/>
        </w:rPr>
      </w:pPr>
      <w:r w:rsidRPr="00D93850">
        <w:rPr>
          <w:rFonts w:asciiTheme="minorHAnsi" w:hAnsiTheme="minorHAnsi"/>
          <w:szCs w:val="22"/>
        </w:rPr>
        <w:t xml:space="preserve">Work continues to review our </w:t>
      </w:r>
      <w:r w:rsidRPr="00D93850">
        <w:rPr>
          <w:rFonts w:asciiTheme="minorHAnsi" w:hAnsiTheme="minorHAnsi"/>
          <w:iCs/>
          <w:szCs w:val="22"/>
        </w:rPr>
        <w:t>core business</w:t>
      </w:r>
      <w:r w:rsidRPr="00D93850">
        <w:rPr>
          <w:rFonts w:asciiTheme="minorHAnsi" w:hAnsiTheme="minorHAnsi"/>
          <w:szCs w:val="22"/>
        </w:rPr>
        <w:t xml:space="preserve"> and to develop a multi-agency emotional and mental health strategy that will look to foster even greater linkages with other service</w:t>
      </w:r>
      <w:r>
        <w:rPr>
          <w:rFonts w:asciiTheme="minorHAnsi" w:hAnsiTheme="minorHAnsi"/>
          <w:szCs w:val="22"/>
        </w:rPr>
        <w:t>s and</w:t>
      </w:r>
      <w:r w:rsidRPr="00D93850">
        <w:rPr>
          <w:rFonts w:asciiTheme="minorHAnsi" w:hAnsiTheme="minorHAnsi"/>
          <w:szCs w:val="22"/>
        </w:rPr>
        <w:t xml:space="preserve"> partner agencies.  To this end we are working with local authorities to develop a model for </w:t>
      </w:r>
      <w:r>
        <w:rPr>
          <w:rFonts w:asciiTheme="minorHAnsi" w:hAnsiTheme="minorHAnsi"/>
          <w:szCs w:val="22"/>
        </w:rPr>
        <w:t xml:space="preserve">an emotional well-being service </w:t>
      </w:r>
      <w:r w:rsidRPr="00D93850">
        <w:rPr>
          <w:rFonts w:asciiTheme="minorHAnsi" w:hAnsiTheme="minorHAnsi"/>
          <w:szCs w:val="22"/>
        </w:rPr>
        <w:t xml:space="preserve">at Tier 0 that will </w:t>
      </w:r>
      <w:r>
        <w:rPr>
          <w:rFonts w:asciiTheme="minorHAnsi" w:hAnsiTheme="minorHAnsi"/>
          <w:szCs w:val="22"/>
        </w:rPr>
        <w:t xml:space="preserve">increase liaison with partner agencies and </w:t>
      </w:r>
      <w:r w:rsidRPr="00D93850">
        <w:rPr>
          <w:rFonts w:asciiTheme="minorHAnsi" w:hAnsiTheme="minorHAnsi"/>
          <w:szCs w:val="22"/>
        </w:rPr>
        <w:t xml:space="preserve">provide </w:t>
      </w:r>
      <w:r>
        <w:rPr>
          <w:rFonts w:asciiTheme="minorHAnsi" w:hAnsiTheme="minorHAnsi"/>
          <w:szCs w:val="22"/>
        </w:rPr>
        <w:t>a focus on prevention and early intervention</w:t>
      </w:r>
      <w:r w:rsidRPr="00D93850">
        <w:rPr>
          <w:rFonts w:asciiTheme="minorHAnsi" w:hAnsiTheme="minorHAnsi"/>
          <w:szCs w:val="22"/>
        </w:rPr>
        <w:t xml:space="preserve">. </w:t>
      </w:r>
      <w:r w:rsidR="004B6084">
        <w:rPr>
          <w:rFonts w:asciiTheme="minorHAnsi" w:hAnsiTheme="minorHAnsi"/>
          <w:szCs w:val="22"/>
        </w:rPr>
        <w:t xml:space="preserve"> </w:t>
      </w:r>
      <w:r w:rsidRPr="00D93850">
        <w:rPr>
          <w:rFonts w:asciiTheme="minorHAnsi" w:hAnsiTheme="minorHAnsi"/>
          <w:szCs w:val="22"/>
        </w:rPr>
        <w:t>ICF funding has been received for this and will align to early intervention models targeting families with specific risk factors including a range of Adverse Childhood Episodes (ACE) and, or evidence of low resilience.</w:t>
      </w:r>
    </w:p>
    <w:p w14:paraId="551F842B" w14:textId="77777777" w:rsidR="00F85ADB" w:rsidRPr="00D93850" w:rsidRDefault="00F85ADB" w:rsidP="004130DD">
      <w:pPr>
        <w:rPr>
          <w:rFonts w:asciiTheme="minorHAnsi" w:hAnsiTheme="minorHAnsi"/>
          <w:szCs w:val="22"/>
        </w:rPr>
      </w:pPr>
    </w:p>
    <w:p w14:paraId="351E4D53" w14:textId="69DAD5B9" w:rsidR="00F85ADB" w:rsidRPr="003D0778" w:rsidRDefault="00F85ADB" w:rsidP="004130DD">
      <w:pPr>
        <w:rPr>
          <w:rFonts w:asciiTheme="minorHAnsi" w:hAnsiTheme="minorHAnsi"/>
          <w:szCs w:val="22"/>
        </w:rPr>
      </w:pPr>
      <w:r w:rsidRPr="00D93850">
        <w:rPr>
          <w:rFonts w:asciiTheme="minorHAnsi" w:hAnsiTheme="minorHAnsi"/>
          <w:szCs w:val="22"/>
        </w:rPr>
        <w:t>Following the review by the D</w:t>
      </w:r>
      <w:r w:rsidR="00837DCB">
        <w:rPr>
          <w:rFonts w:asciiTheme="minorHAnsi" w:hAnsiTheme="minorHAnsi"/>
          <w:szCs w:val="22"/>
        </w:rPr>
        <w:t>U</w:t>
      </w:r>
      <w:r w:rsidRPr="00D93850">
        <w:rPr>
          <w:rFonts w:asciiTheme="minorHAnsi" w:hAnsiTheme="minorHAnsi"/>
          <w:szCs w:val="22"/>
        </w:rPr>
        <w:t xml:space="preserve"> of the </w:t>
      </w:r>
      <w:r w:rsidR="004B6084">
        <w:rPr>
          <w:rFonts w:asciiTheme="minorHAnsi" w:hAnsiTheme="minorHAnsi"/>
          <w:szCs w:val="22"/>
        </w:rPr>
        <w:t>P</w:t>
      </w:r>
      <w:r w:rsidRPr="00D93850">
        <w:rPr>
          <w:rFonts w:asciiTheme="minorHAnsi" w:hAnsiTheme="minorHAnsi"/>
          <w:szCs w:val="22"/>
        </w:rPr>
        <w:t xml:space="preserve">rimary </w:t>
      </w:r>
      <w:r w:rsidR="004B6084">
        <w:rPr>
          <w:rFonts w:asciiTheme="minorHAnsi" w:hAnsiTheme="minorHAnsi"/>
          <w:szCs w:val="22"/>
        </w:rPr>
        <w:t>Child and Adolescent Mental Health Service (P</w:t>
      </w:r>
      <w:r w:rsidRPr="00D93850">
        <w:rPr>
          <w:rFonts w:asciiTheme="minorHAnsi" w:hAnsiTheme="minorHAnsi"/>
          <w:szCs w:val="22"/>
        </w:rPr>
        <w:t>CAMH</w:t>
      </w:r>
      <w:r w:rsidR="004B6084">
        <w:rPr>
          <w:rFonts w:asciiTheme="minorHAnsi" w:hAnsiTheme="minorHAnsi"/>
          <w:szCs w:val="22"/>
        </w:rPr>
        <w:t>S)</w:t>
      </w:r>
      <w:r w:rsidRPr="00D93850">
        <w:rPr>
          <w:rFonts w:asciiTheme="minorHAnsi" w:hAnsiTheme="minorHAnsi"/>
          <w:szCs w:val="22"/>
        </w:rPr>
        <w:t xml:space="preserve">, significant progress has been made on the areas for improvement the action plan identified.  </w:t>
      </w:r>
      <w:r>
        <w:rPr>
          <w:rFonts w:asciiTheme="minorHAnsi" w:hAnsiTheme="minorHAnsi"/>
          <w:szCs w:val="22"/>
        </w:rPr>
        <w:t xml:space="preserve">It had previously been identified </w:t>
      </w:r>
      <w:r w:rsidRPr="00D93850">
        <w:rPr>
          <w:rFonts w:asciiTheme="minorHAnsi" w:hAnsiTheme="minorHAnsi"/>
          <w:szCs w:val="22"/>
        </w:rPr>
        <w:t xml:space="preserve">that there </w:t>
      </w:r>
      <w:r>
        <w:rPr>
          <w:rFonts w:asciiTheme="minorHAnsi" w:hAnsiTheme="minorHAnsi"/>
          <w:szCs w:val="22"/>
        </w:rPr>
        <w:t xml:space="preserve">was </w:t>
      </w:r>
      <w:r w:rsidRPr="00D93850">
        <w:rPr>
          <w:rFonts w:asciiTheme="minorHAnsi" w:hAnsiTheme="minorHAnsi"/>
          <w:szCs w:val="22"/>
        </w:rPr>
        <w:t>a significant mismatch between the demand on the service and its capacity</w:t>
      </w:r>
      <w:r>
        <w:rPr>
          <w:rFonts w:asciiTheme="minorHAnsi" w:hAnsiTheme="minorHAnsi"/>
          <w:szCs w:val="22"/>
        </w:rPr>
        <w:t xml:space="preserve"> and</w:t>
      </w:r>
      <w:r w:rsidRPr="00D93850">
        <w:rPr>
          <w:rFonts w:asciiTheme="minorHAnsi" w:hAnsiTheme="minorHAnsi"/>
          <w:szCs w:val="22"/>
        </w:rPr>
        <w:t xml:space="preserve"> action </w:t>
      </w:r>
      <w:r w:rsidR="0091375F">
        <w:rPr>
          <w:rFonts w:asciiTheme="minorHAnsi" w:hAnsiTheme="minorHAnsi"/>
          <w:szCs w:val="22"/>
        </w:rPr>
        <w:t xml:space="preserve"> was </w:t>
      </w:r>
      <w:r w:rsidRPr="00D93850">
        <w:rPr>
          <w:rFonts w:asciiTheme="minorHAnsi" w:hAnsiTheme="minorHAnsi"/>
          <w:szCs w:val="22"/>
        </w:rPr>
        <w:t xml:space="preserve">taken to increase the staffing </w:t>
      </w:r>
      <w:r>
        <w:rPr>
          <w:rFonts w:asciiTheme="minorHAnsi" w:hAnsiTheme="minorHAnsi"/>
          <w:szCs w:val="22"/>
        </w:rPr>
        <w:t xml:space="preserve">establishment </w:t>
      </w:r>
      <w:r w:rsidRPr="00D93850">
        <w:rPr>
          <w:rFonts w:asciiTheme="minorHAnsi" w:hAnsiTheme="minorHAnsi"/>
          <w:szCs w:val="22"/>
        </w:rPr>
        <w:t>by 50% as a consequence</w:t>
      </w:r>
      <w:r>
        <w:rPr>
          <w:rFonts w:asciiTheme="minorHAnsi" w:hAnsiTheme="minorHAnsi"/>
          <w:szCs w:val="22"/>
        </w:rPr>
        <w:t>.</w:t>
      </w:r>
      <w:r w:rsidR="004B6084">
        <w:rPr>
          <w:rFonts w:asciiTheme="minorHAnsi" w:hAnsiTheme="minorHAnsi"/>
          <w:szCs w:val="22"/>
        </w:rPr>
        <w:t xml:space="preserve"> </w:t>
      </w:r>
      <w:r>
        <w:rPr>
          <w:rFonts w:asciiTheme="minorHAnsi" w:hAnsiTheme="minorHAnsi"/>
          <w:szCs w:val="22"/>
        </w:rPr>
        <w:t xml:space="preserve"> The DU review helped to identify where efficiency could be improved within the service to further support increased activity and reduced waiting times. There has also been investment in </w:t>
      </w:r>
      <w:r w:rsidRPr="00D93850">
        <w:rPr>
          <w:rFonts w:asciiTheme="minorHAnsi" w:hAnsiTheme="minorHAnsi"/>
          <w:szCs w:val="22"/>
        </w:rPr>
        <w:t xml:space="preserve">3 </w:t>
      </w:r>
      <w:r>
        <w:rPr>
          <w:rFonts w:asciiTheme="minorHAnsi" w:hAnsiTheme="minorHAnsi"/>
          <w:szCs w:val="22"/>
        </w:rPr>
        <w:t xml:space="preserve">additional posts that will be focused on </w:t>
      </w:r>
      <w:r w:rsidRPr="00D93850">
        <w:rPr>
          <w:rFonts w:asciiTheme="minorHAnsi" w:hAnsiTheme="minorHAnsi"/>
          <w:szCs w:val="22"/>
        </w:rPr>
        <w:t>liais</w:t>
      </w:r>
      <w:r>
        <w:rPr>
          <w:rFonts w:asciiTheme="minorHAnsi" w:hAnsiTheme="minorHAnsi"/>
          <w:szCs w:val="22"/>
        </w:rPr>
        <w:t xml:space="preserve">on work e.g. working </w:t>
      </w:r>
      <w:r w:rsidRPr="00D93850">
        <w:rPr>
          <w:rFonts w:asciiTheme="minorHAnsi" w:hAnsiTheme="minorHAnsi"/>
          <w:szCs w:val="22"/>
        </w:rPr>
        <w:t xml:space="preserve">with schools </w:t>
      </w:r>
      <w:r>
        <w:rPr>
          <w:rFonts w:asciiTheme="minorHAnsi" w:hAnsiTheme="minorHAnsi"/>
          <w:szCs w:val="22"/>
        </w:rPr>
        <w:t>to focus on prevention and early intervention</w:t>
      </w:r>
      <w:r w:rsidRPr="00D93850">
        <w:rPr>
          <w:rFonts w:asciiTheme="minorHAnsi" w:hAnsiTheme="minorHAnsi"/>
          <w:szCs w:val="22"/>
        </w:rPr>
        <w:t xml:space="preserve">.  </w:t>
      </w:r>
      <w:r>
        <w:rPr>
          <w:rFonts w:asciiTheme="minorHAnsi" w:hAnsiTheme="minorHAnsi"/>
          <w:szCs w:val="22"/>
        </w:rPr>
        <w:t>A trajectory has been developed for PCAMHS to meet the referral to assessment waiting time target by the end of 2019/20</w:t>
      </w:r>
      <w:r w:rsidRPr="00D93850">
        <w:rPr>
          <w:rFonts w:asciiTheme="minorHAnsi" w:hAnsiTheme="minorHAnsi"/>
          <w:szCs w:val="22"/>
        </w:rPr>
        <w:t>.</w:t>
      </w:r>
      <w:r>
        <w:rPr>
          <w:rFonts w:asciiTheme="minorHAnsi" w:hAnsiTheme="minorHAnsi"/>
          <w:szCs w:val="22"/>
        </w:rPr>
        <w:t xml:space="preserve"> </w:t>
      </w:r>
    </w:p>
    <w:p w14:paraId="6689429D" w14:textId="77777777" w:rsidR="00F85ADB" w:rsidRPr="003D0778" w:rsidRDefault="00F85ADB" w:rsidP="004130DD">
      <w:pPr>
        <w:rPr>
          <w:rFonts w:asciiTheme="minorHAnsi" w:hAnsiTheme="minorHAnsi"/>
          <w:szCs w:val="22"/>
        </w:rPr>
      </w:pPr>
    </w:p>
    <w:p w14:paraId="3ACD7C98" w14:textId="423943AC" w:rsidR="00F85ADB" w:rsidRPr="003D0778" w:rsidRDefault="00F85ADB" w:rsidP="004130DD">
      <w:pPr>
        <w:rPr>
          <w:rFonts w:asciiTheme="minorHAnsi" w:hAnsiTheme="minorHAnsi"/>
          <w:szCs w:val="22"/>
        </w:rPr>
      </w:pPr>
      <w:r>
        <w:rPr>
          <w:rFonts w:asciiTheme="minorHAnsi" w:hAnsiTheme="minorHAnsi"/>
          <w:szCs w:val="22"/>
        </w:rPr>
        <w:t>T</w:t>
      </w:r>
      <w:r w:rsidRPr="003D0778">
        <w:rPr>
          <w:rFonts w:asciiTheme="minorHAnsi" w:hAnsiTheme="minorHAnsi"/>
          <w:szCs w:val="22"/>
        </w:rPr>
        <w:t xml:space="preserve">he </w:t>
      </w:r>
      <w:r w:rsidR="00F15294">
        <w:rPr>
          <w:rFonts w:asciiTheme="minorHAnsi" w:hAnsiTheme="minorHAnsi"/>
          <w:szCs w:val="22"/>
        </w:rPr>
        <w:t>S</w:t>
      </w:r>
      <w:r w:rsidRPr="003D0778">
        <w:rPr>
          <w:rFonts w:asciiTheme="minorHAnsi" w:hAnsiTheme="minorHAnsi"/>
          <w:szCs w:val="22"/>
        </w:rPr>
        <w:t xml:space="preserve">pecialist CAMHS </w:t>
      </w:r>
      <w:r w:rsidR="00F15294">
        <w:rPr>
          <w:rFonts w:asciiTheme="minorHAnsi" w:hAnsiTheme="minorHAnsi"/>
          <w:szCs w:val="22"/>
        </w:rPr>
        <w:t xml:space="preserve">(SCAMHS) </w:t>
      </w:r>
      <w:r w:rsidRPr="003D0778">
        <w:rPr>
          <w:rFonts w:asciiTheme="minorHAnsi" w:hAnsiTheme="minorHAnsi"/>
          <w:szCs w:val="22"/>
        </w:rPr>
        <w:t xml:space="preserve">has continued the process of aligning its services more consistently to provide a psychological therapies service to young people/families via the adoption of the Choice and Partnership Approach (CAPA).  The CAPA model emphasises quality, the provision of focused therapeutic input and evidence informed interventions.  It also provides a clear picture of </w:t>
      </w:r>
      <w:r w:rsidR="006A0E07">
        <w:rPr>
          <w:rFonts w:asciiTheme="minorHAnsi" w:hAnsiTheme="minorHAnsi"/>
          <w:szCs w:val="22"/>
        </w:rPr>
        <w:t>D&amp;C</w:t>
      </w:r>
      <w:r w:rsidRPr="003D0778">
        <w:rPr>
          <w:rFonts w:asciiTheme="minorHAnsi" w:hAnsiTheme="minorHAnsi"/>
          <w:szCs w:val="22"/>
        </w:rPr>
        <w:t xml:space="preserve"> so that the Directorate can work towards ensuring that the service is delivering to its’ maximum and that </w:t>
      </w:r>
      <w:r w:rsidR="006A0E07">
        <w:rPr>
          <w:rFonts w:asciiTheme="minorHAnsi" w:hAnsiTheme="minorHAnsi"/>
          <w:szCs w:val="22"/>
        </w:rPr>
        <w:t>D&amp;C</w:t>
      </w:r>
      <w:r>
        <w:rPr>
          <w:rFonts w:asciiTheme="minorHAnsi" w:hAnsiTheme="minorHAnsi"/>
          <w:szCs w:val="22"/>
        </w:rPr>
        <w:t xml:space="preserve"> are balanced</w:t>
      </w:r>
      <w:r w:rsidRPr="003D0778">
        <w:rPr>
          <w:rFonts w:asciiTheme="minorHAnsi" w:hAnsiTheme="minorHAnsi"/>
          <w:szCs w:val="22"/>
        </w:rPr>
        <w:t>.</w:t>
      </w:r>
    </w:p>
    <w:p w14:paraId="78319AD9" w14:textId="77777777" w:rsidR="00F85ADB" w:rsidRPr="003D0778" w:rsidRDefault="00F85ADB" w:rsidP="004130DD">
      <w:pPr>
        <w:rPr>
          <w:rFonts w:asciiTheme="minorHAnsi" w:hAnsiTheme="minorHAnsi"/>
          <w:szCs w:val="22"/>
        </w:rPr>
      </w:pPr>
    </w:p>
    <w:p w14:paraId="220E698D" w14:textId="77777777" w:rsidR="00F85ADB" w:rsidRDefault="00F85ADB" w:rsidP="004130DD">
      <w:pPr>
        <w:rPr>
          <w:rFonts w:asciiTheme="minorHAnsi" w:hAnsiTheme="minorHAnsi"/>
          <w:szCs w:val="22"/>
        </w:rPr>
      </w:pPr>
      <w:r w:rsidRPr="003D0778">
        <w:rPr>
          <w:rFonts w:asciiTheme="minorHAnsi" w:hAnsiTheme="minorHAnsi"/>
          <w:szCs w:val="22"/>
        </w:rPr>
        <w:t xml:space="preserve">Supported by this approach, the service has secured additional funding from WG to </w:t>
      </w:r>
      <w:r>
        <w:rPr>
          <w:rFonts w:asciiTheme="minorHAnsi" w:hAnsiTheme="minorHAnsi"/>
          <w:szCs w:val="22"/>
        </w:rPr>
        <w:t xml:space="preserve">recruit the staff required to recurrently </w:t>
      </w:r>
      <w:r w:rsidRPr="003D0778">
        <w:rPr>
          <w:rFonts w:asciiTheme="minorHAnsi" w:hAnsiTheme="minorHAnsi"/>
          <w:szCs w:val="22"/>
        </w:rPr>
        <w:t xml:space="preserve">meet the 80% target </w:t>
      </w:r>
      <w:r>
        <w:rPr>
          <w:rFonts w:asciiTheme="minorHAnsi" w:hAnsiTheme="minorHAnsi"/>
          <w:szCs w:val="22"/>
        </w:rPr>
        <w:t xml:space="preserve">for referral to assessment, with the funding currently being used to deliver </w:t>
      </w:r>
      <w:r>
        <w:rPr>
          <w:rFonts w:asciiTheme="minorHAnsi" w:hAnsiTheme="minorHAnsi"/>
          <w:szCs w:val="22"/>
        </w:rPr>
        <w:lastRenderedPageBreak/>
        <w:t>additional clinics to sustain compliance in the meantime</w:t>
      </w:r>
      <w:r w:rsidRPr="003D0778">
        <w:rPr>
          <w:rFonts w:asciiTheme="minorHAnsi" w:hAnsiTheme="minorHAnsi"/>
          <w:szCs w:val="22"/>
        </w:rPr>
        <w:t xml:space="preserve">.  </w:t>
      </w:r>
      <w:r>
        <w:rPr>
          <w:rFonts w:asciiTheme="minorHAnsi" w:hAnsiTheme="minorHAnsi"/>
          <w:szCs w:val="22"/>
        </w:rPr>
        <w:t>This target was and continues to be achieved.  Further work has commenced to ensure that this continues to be sustainable with the recruitment of 3.3 WTE staff and waiting list initiative clinics being undertaken.</w:t>
      </w:r>
    </w:p>
    <w:p w14:paraId="1DF3FD4C" w14:textId="77777777" w:rsidR="00F85ADB" w:rsidRDefault="00F85ADB" w:rsidP="004130DD">
      <w:pPr>
        <w:rPr>
          <w:rFonts w:asciiTheme="minorHAnsi" w:hAnsiTheme="minorHAnsi"/>
          <w:szCs w:val="22"/>
        </w:rPr>
      </w:pPr>
    </w:p>
    <w:p w14:paraId="3449137E" w14:textId="6FEE104D" w:rsidR="00F85ADB" w:rsidRDefault="00F85ADB" w:rsidP="004130DD">
      <w:pPr>
        <w:rPr>
          <w:rFonts w:asciiTheme="minorHAnsi" w:hAnsiTheme="minorHAnsi"/>
          <w:szCs w:val="22"/>
        </w:rPr>
      </w:pPr>
      <w:r w:rsidRPr="003D0778">
        <w:rPr>
          <w:rFonts w:asciiTheme="minorHAnsi" w:hAnsiTheme="minorHAnsi"/>
          <w:szCs w:val="22"/>
        </w:rPr>
        <w:t xml:space="preserve">Alongside the introduction of CAPA, we have introduced the new All Wales referral criteria and </w:t>
      </w:r>
      <w:r w:rsidR="00F15294">
        <w:rPr>
          <w:rFonts w:asciiTheme="minorHAnsi" w:hAnsiTheme="minorHAnsi"/>
          <w:szCs w:val="22"/>
        </w:rPr>
        <w:t xml:space="preserve">a </w:t>
      </w:r>
      <w:r w:rsidRPr="003D0778">
        <w:rPr>
          <w:rFonts w:asciiTheme="minorHAnsi" w:hAnsiTheme="minorHAnsi"/>
          <w:szCs w:val="22"/>
        </w:rPr>
        <w:t xml:space="preserve">single point of access </w:t>
      </w:r>
      <w:r>
        <w:rPr>
          <w:rFonts w:asciiTheme="minorHAnsi" w:hAnsiTheme="minorHAnsi"/>
          <w:szCs w:val="22"/>
        </w:rPr>
        <w:t xml:space="preserve">through which all PCAMHS and SCAMHS referrals are assessed, to ensure that </w:t>
      </w:r>
      <w:r w:rsidRPr="003D0778">
        <w:rPr>
          <w:rFonts w:asciiTheme="minorHAnsi" w:hAnsiTheme="minorHAnsi"/>
          <w:szCs w:val="22"/>
        </w:rPr>
        <w:t xml:space="preserve">children </w:t>
      </w:r>
      <w:r>
        <w:rPr>
          <w:rFonts w:asciiTheme="minorHAnsi" w:hAnsiTheme="minorHAnsi"/>
          <w:szCs w:val="22"/>
        </w:rPr>
        <w:t xml:space="preserve">are actively managed </w:t>
      </w:r>
      <w:r w:rsidRPr="003D0778">
        <w:rPr>
          <w:rFonts w:asciiTheme="minorHAnsi" w:hAnsiTheme="minorHAnsi"/>
          <w:szCs w:val="22"/>
        </w:rPr>
        <w:t xml:space="preserve">into the right services in a timely manner.  The service has also embarked on a programme of up-skilling staff so appropriate interventions can be offered using qualified therapists in post to provide quality consultation.  </w:t>
      </w:r>
    </w:p>
    <w:p w14:paraId="727D9C2A" w14:textId="77777777" w:rsidR="00F85ADB" w:rsidRPr="003D0778" w:rsidRDefault="00F85ADB" w:rsidP="004130DD">
      <w:pPr>
        <w:rPr>
          <w:rFonts w:asciiTheme="minorHAnsi" w:hAnsiTheme="minorHAnsi"/>
          <w:szCs w:val="22"/>
        </w:rPr>
      </w:pPr>
    </w:p>
    <w:p w14:paraId="57DCFDD4" w14:textId="5D9417E3" w:rsidR="00F85ADB" w:rsidRDefault="00F85ADB" w:rsidP="004130DD">
      <w:pPr>
        <w:rPr>
          <w:rFonts w:asciiTheme="minorHAnsi" w:hAnsiTheme="minorHAnsi"/>
          <w:szCs w:val="22"/>
        </w:rPr>
      </w:pPr>
      <w:r w:rsidRPr="003D0778">
        <w:rPr>
          <w:rFonts w:asciiTheme="minorHAnsi" w:hAnsiTheme="minorHAnsi"/>
          <w:szCs w:val="22"/>
        </w:rPr>
        <w:t>The Health Board in conjunction with WHSCC is reviewing the commissioning service specification for the Tier 4 service provided at Ty Llidiard</w:t>
      </w:r>
      <w:r>
        <w:rPr>
          <w:rFonts w:asciiTheme="minorHAnsi" w:hAnsiTheme="minorHAnsi"/>
          <w:szCs w:val="22"/>
        </w:rPr>
        <w:t xml:space="preserve"> and a revised draft has recently been circulated by WHSSC for consultation</w:t>
      </w:r>
      <w:r w:rsidRPr="003D0778">
        <w:rPr>
          <w:rFonts w:asciiTheme="minorHAnsi" w:hAnsiTheme="minorHAnsi"/>
          <w:szCs w:val="22"/>
        </w:rPr>
        <w:t xml:space="preserve">.  Following </w:t>
      </w:r>
      <w:r>
        <w:rPr>
          <w:rFonts w:asciiTheme="minorHAnsi" w:hAnsiTheme="minorHAnsi"/>
          <w:szCs w:val="22"/>
        </w:rPr>
        <w:t xml:space="preserve">previous </w:t>
      </w:r>
      <w:r w:rsidRPr="003D0778">
        <w:rPr>
          <w:rFonts w:asciiTheme="minorHAnsi" w:hAnsiTheme="minorHAnsi"/>
          <w:szCs w:val="22"/>
        </w:rPr>
        <w:t>serious incidents and review</w:t>
      </w:r>
      <w:r>
        <w:rPr>
          <w:rFonts w:asciiTheme="minorHAnsi" w:hAnsiTheme="minorHAnsi"/>
          <w:szCs w:val="22"/>
        </w:rPr>
        <w:t>s</w:t>
      </w:r>
      <w:r w:rsidRPr="003D0778">
        <w:rPr>
          <w:rFonts w:asciiTheme="minorHAnsi" w:hAnsiTheme="minorHAnsi"/>
          <w:szCs w:val="22"/>
        </w:rPr>
        <w:t xml:space="preserve"> </w:t>
      </w:r>
      <w:r w:rsidRPr="00D9756F">
        <w:rPr>
          <w:rFonts w:asciiTheme="minorHAnsi" w:hAnsiTheme="minorHAnsi"/>
          <w:szCs w:val="22"/>
        </w:rPr>
        <w:t>from QUAIT and HIW, a detailed</w:t>
      </w:r>
      <w:r>
        <w:rPr>
          <w:rFonts w:asciiTheme="minorHAnsi" w:hAnsiTheme="minorHAnsi"/>
          <w:szCs w:val="22"/>
        </w:rPr>
        <w:t xml:space="preserve"> action plan was</w:t>
      </w:r>
      <w:r w:rsidRPr="003D0778">
        <w:rPr>
          <w:rFonts w:asciiTheme="minorHAnsi" w:hAnsiTheme="minorHAnsi"/>
          <w:szCs w:val="22"/>
        </w:rPr>
        <w:t xml:space="preserve"> developed</w:t>
      </w:r>
      <w:r>
        <w:rPr>
          <w:rFonts w:asciiTheme="minorHAnsi" w:hAnsiTheme="minorHAnsi"/>
          <w:szCs w:val="22"/>
        </w:rPr>
        <w:t xml:space="preserve"> and significant progress has been made in implementing this, as reflected in the 2019 HIW inspection report. </w:t>
      </w:r>
      <w:r w:rsidR="00B47020">
        <w:rPr>
          <w:rFonts w:asciiTheme="minorHAnsi" w:hAnsiTheme="minorHAnsi"/>
          <w:szCs w:val="22"/>
        </w:rPr>
        <w:t xml:space="preserve"> </w:t>
      </w:r>
      <w:r>
        <w:rPr>
          <w:rFonts w:asciiTheme="minorHAnsi" w:hAnsiTheme="minorHAnsi"/>
          <w:szCs w:val="22"/>
        </w:rPr>
        <w:t>Further</w:t>
      </w:r>
      <w:r w:rsidR="003164C0">
        <w:rPr>
          <w:rFonts w:asciiTheme="minorHAnsi" w:hAnsiTheme="minorHAnsi"/>
          <w:szCs w:val="22"/>
        </w:rPr>
        <w:t xml:space="preserve"> to</w:t>
      </w:r>
      <w:r>
        <w:rPr>
          <w:rFonts w:asciiTheme="minorHAnsi" w:hAnsiTheme="minorHAnsi"/>
          <w:szCs w:val="22"/>
        </w:rPr>
        <w:t xml:space="preserve"> a number of environmental upgrades such as security and anti-ligature work has been completed and this </w:t>
      </w:r>
      <w:r w:rsidRPr="003D0778">
        <w:rPr>
          <w:rFonts w:asciiTheme="minorHAnsi" w:hAnsiTheme="minorHAnsi"/>
          <w:szCs w:val="22"/>
        </w:rPr>
        <w:t xml:space="preserve">will </w:t>
      </w:r>
      <w:r>
        <w:rPr>
          <w:rFonts w:asciiTheme="minorHAnsi" w:hAnsiTheme="minorHAnsi"/>
          <w:szCs w:val="22"/>
        </w:rPr>
        <w:t xml:space="preserve">ensure </w:t>
      </w:r>
      <w:r w:rsidRPr="003D0778">
        <w:rPr>
          <w:rFonts w:asciiTheme="minorHAnsi" w:hAnsiTheme="minorHAnsi"/>
          <w:szCs w:val="22"/>
        </w:rPr>
        <w:t xml:space="preserve">an </w:t>
      </w:r>
      <w:r>
        <w:rPr>
          <w:rFonts w:asciiTheme="minorHAnsi" w:hAnsiTheme="minorHAnsi"/>
          <w:szCs w:val="22"/>
        </w:rPr>
        <w:t xml:space="preserve">appropriate </w:t>
      </w:r>
      <w:r w:rsidRPr="003D0778">
        <w:rPr>
          <w:rFonts w:asciiTheme="minorHAnsi" w:hAnsiTheme="minorHAnsi"/>
          <w:szCs w:val="22"/>
        </w:rPr>
        <w:t xml:space="preserve">environment that can safely manage children with more challenging needs at Ty </w:t>
      </w:r>
      <w:r>
        <w:rPr>
          <w:rFonts w:asciiTheme="minorHAnsi" w:hAnsiTheme="minorHAnsi"/>
          <w:szCs w:val="22"/>
        </w:rPr>
        <w:t xml:space="preserve">Llidiard.  Linked to this and as described above, WHSCC have recently consulted on a revised service specification for tier 4 inpatient CAMHS services incorporating a specification for the development of an Enhanced Care Area within Ty Llidiard. </w:t>
      </w:r>
    </w:p>
    <w:p w14:paraId="5402908C" w14:textId="77777777" w:rsidR="00F85ADB" w:rsidRPr="003D0778" w:rsidRDefault="00F85ADB" w:rsidP="004130DD">
      <w:pPr>
        <w:rPr>
          <w:rFonts w:asciiTheme="minorHAnsi" w:hAnsiTheme="minorHAnsi"/>
          <w:szCs w:val="22"/>
        </w:rPr>
      </w:pPr>
    </w:p>
    <w:p w14:paraId="01701F3C" w14:textId="7468B51B" w:rsidR="00F85ADB" w:rsidRDefault="00F85ADB" w:rsidP="004130DD">
      <w:pPr>
        <w:rPr>
          <w:rFonts w:asciiTheme="minorHAnsi" w:hAnsiTheme="minorHAnsi"/>
          <w:szCs w:val="22"/>
        </w:rPr>
      </w:pPr>
      <w:r w:rsidRPr="003D0778">
        <w:rPr>
          <w:rFonts w:asciiTheme="minorHAnsi" w:hAnsiTheme="minorHAnsi"/>
          <w:szCs w:val="22"/>
        </w:rPr>
        <w:t xml:space="preserve">As part of the integration of CAMHS with CYP new ways of working and greater collaboration, at all levels of services, all possible opportunities are being explored, including collaborative approaches with our local partners.  This includes our commissioning intentions with our </w:t>
      </w:r>
      <w:r w:rsidR="00B47020">
        <w:rPr>
          <w:rFonts w:asciiTheme="minorHAnsi" w:hAnsiTheme="minorHAnsi"/>
          <w:szCs w:val="22"/>
        </w:rPr>
        <w:t>LA</w:t>
      </w:r>
      <w:r>
        <w:rPr>
          <w:rFonts w:asciiTheme="minorHAnsi" w:hAnsiTheme="minorHAnsi"/>
          <w:szCs w:val="22"/>
        </w:rPr>
        <w:t xml:space="preserve"> colleagues </w:t>
      </w:r>
      <w:r w:rsidRPr="003D0778">
        <w:rPr>
          <w:rFonts w:asciiTheme="minorHAnsi" w:hAnsiTheme="minorHAnsi"/>
          <w:szCs w:val="22"/>
        </w:rPr>
        <w:t>such</w:t>
      </w:r>
      <w:r>
        <w:rPr>
          <w:rFonts w:asciiTheme="minorHAnsi" w:hAnsiTheme="minorHAnsi"/>
          <w:szCs w:val="22"/>
        </w:rPr>
        <w:t xml:space="preserve"> as the </w:t>
      </w:r>
      <w:r w:rsidRPr="00521F14">
        <w:rPr>
          <w:rFonts w:asciiTheme="minorHAnsi" w:hAnsiTheme="minorHAnsi"/>
          <w:szCs w:val="22"/>
        </w:rPr>
        <w:t xml:space="preserve">MAPSS project funded through </w:t>
      </w:r>
      <w:r w:rsidR="00897141">
        <w:rPr>
          <w:rFonts w:asciiTheme="minorHAnsi" w:hAnsiTheme="minorHAnsi"/>
          <w:szCs w:val="22"/>
        </w:rPr>
        <w:t>WG</w:t>
      </w:r>
      <w:r w:rsidRPr="00521F14">
        <w:rPr>
          <w:rFonts w:asciiTheme="minorHAnsi" w:hAnsiTheme="minorHAnsi"/>
          <w:szCs w:val="22"/>
        </w:rPr>
        <w:t xml:space="preserve"> ICF.</w:t>
      </w:r>
      <w:r w:rsidR="00B47020">
        <w:rPr>
          <w:rFonts w:asciiTheme="minorHAnsi" w:hAnsiTheme="minorHAnsi"/>
          <w:szCs w:val="22"/>
        </w:rPr>
        <w:t xml:space="preserve"> </w:t>
      </w:r>
      <w:r>
        <w:rPr>
          <w:rFonts w:asciiTheme="minorHAnsi" w:hAnsiTheme="minorHAnsi"/>
          <w:szCs w:val="22"/>
        </w:rPr>
        <w:t xml:space="preserve"> </w:t>
      </w:r>
      <w:r w:rsidRPr="00521F14">
        <w:rPr>
          <w:rFonts w:asciiTheme="minorHAnsi" w:hAnsiTheme="minorHAnsi"/>
          <w:szCs w:val="22"/>
        </w:rPr>
        <w:t>The service aims to help Looked after</w:t>
      </w:r>
      <w:r>
        <w:rPr>
          <w:rFonts w:asciiTheme="minorHAnsi" w:hAnsiTheme="minorHAnsi"/>
          <w:szCs w:val="22"/>
        </w:rPr>
        <w:t xml:space="preserve"> Children at risk of </w:t>
      </w:r>
      <w:r w:rsidRPr="00521F14">
        <w:rPr>
          <w:rFonts w:asciiTheme="minorHAnsi" w:hAnsiTheme="minorHAnsi"/>
          <w:szCs w:val="22"/>
        </w:rPr>
        <w:t xml:space="preserve">mental illness </w:t>
      </w:r>
      <w:r>
        <w:rPr>
          <w:rFonts w:asciiTheme="minorHAnsi" w:hAnsiTheme="minorHAnsi"/>
          <w:szCs w:val="22"/>
        </w:rPr>
        <w:t>or</w:t>
      </w:r>
      <w:r w:rsidRPr="00521F14">
        <w:rPr>
          <w:rFonts w:asciiTheme="minorHAnsi" w:hAnsiTheme="minorHAnsi"/>
          <w:szCs w:val="22"/>
        </w:rPr>
        <w:t xml:space="preserve"> emotional and behavioural difficulties by providing specialist placement support.</w:t>
      </w:r>
    </w:p>
    <w:p w14:paraId="2A151DED" w14:textId="77777777" w:rsidR="00F21CDB" w:rsidRDefault="00F21CDB" w:rsidP="004130DD">
      <w:pPr>
        <w:rPr>
          <w:rFonts w:asciiTheme="minorHAnsi" w:hAnsiTheme="minorHAnsi"/>
          <w:szCs w:val="22"/>
        </w:rPr>
      </w:pPr>
    </w:p>
    <w:p w14:paraId="634EAFEB" w14:textId="6FF8D39A" w:rsidR="00A1335B" w:rsidRDefault="00F85ADB" w:rsidP="004130DD">
      <w:pPr>
        <w:rPr>
          <w:rFonts w:asciiTheme="minorHAnsi" w:hAnsiTheme="minorHAnsi"/>
          <w:color w:val="000000" w:themeColor="text1"/>
          <w:szCs w:val="22"/>
        </w:rPr>
      </w:pPr>
      <w:r>
        <w:rPr>
          <w:rFonts w:asciiTheme="minorHAnsi" w:hAnsiTheme="minorHAnsi"/>
          <w:szCs w:val="22"/>
        </w:rPr>
        <w:t xml:space="preserve">We are also seeking to </w:t>
      </w:r>
      <w:r w:rsidRPr="00F85ADB">
        <w:rPr>
          <w:rFonts w:asciiTheme="minorHAnsi" w:hAnsiTheme="minorHAnsi"/>
          <w:color w:val="000000" w:themeColor="text1"/>
          <w:szCs w:val="22"/>
        </w:rPr>
        <w:t xml:space="preserve">employ 1 WTE CAMHS consultant nurse as a way of managing medical workforce pressures via a robust governance framework. </w:t>
      </w:r>
      <w:r w:rsidR="00B47020">
        <w:rPr>
          <w:rFonts w:asciiTheme="minorHAnsi" w:hAnsiTheme="minorHAnsi"/>
          <w:color w:val="000000" w:themeColor="text1"/>
          <w:szCs w:val="22"/>
        </w:rPr>
        <w:t xml:space="preserve"> </w:t>
      </w:r>
      <w:r w:rsidRPr="00F85ADB">
        <w:rPr>
          <w:rFonts w:asciiTheme="minorHAnsi" w:hAnsiTheme="minorHAnsi"/>
          <w:color w:val="000000" w:themeColor="text1"/>
          <w:szCs w:val="22"/>
        </w:rPr>
        <w:t>This will allow medics to allocate clinical activity and free capacity, whilst also empowering Nursing.</w:t>
      </w:r>
    </w:p>
    <w:p w14:paraId="44EA6131" w14:textId="77777777" w:rsidR="00CE01AD" w:rsidRDefault="00CE01AD" w:rsidP="004130DD">
      <w:pPr>
        <w:rPr>
          <w:rFonts w:asciiTheme="minorHAnsi" w:hAnsiTheme="minorHAnsi"/>
          <w:color w:val="000000" w:themeColor="text1"/>
          <w:szCs w:val="22"/>
        </w:rPr>
      </w:pPr>
    </w:p>
    <w:p w14:paraId="4CB5438D" w14:textId="11AB60F4" w:rsidR="00F85ADB" w:rsidRDefault="00F85ADB" w:rsidP="00F85ADB">
      <w:pPr>
        <w:jc w:val="left"/>
        <w:rPr>
          <w:rFonts w:asciiTheme="minorHAnsi" w:hAnsiTheme="minorHAnsi"/>
          <w:b/>
          <w:szCs w:val="22"/>
        </w:rPr>
      </w:pPr>
      <w:r w:rsidRPr="008769A1">
        <w:rPr>
          <w:rFonts w:asciiTheme="minorHAnsi" w:hAnsiTheme="minorHAnsi"/>
          <w:b/>
          <w:szCs w:val="22"/>
        </w:rPr>
        <w:t xml:space="preserve">Milestones </w:t>
      </w:r>
    </w:p>
    <w:p w14:paraId="60ED4433" w14:textId="61F1CFCD" w:rsidR="00F85ADB" w:rsidRPr="008769A1" w:rsidRDefault="00F85ADB" w:rsidP="00F85ADB">
      <w:pPr>
        <w:jc w:val="left"/>
        <w:rPr>
          <w:rFonts w:asciiTheme="minorHAnsi" w:hAnsiTheme="minorHAnsi"/>
          <w:b/>
          <w:szCs w:val="22"/>
        </w:rPr>
      </w:pPr>
    </w:p>
    <w:tbl>
      <w:tblPr>
        <w:tblStyle w:val="TableGrid"/>
        <w:tblW w:w="10065" w:type="dxa"/>
        <w:tblInd w:w="-5" w:type="dxa"/>
        <w:tblLook w:val="04A0" w:firstRow="1" w:lastRow="0" w:firstColumn="1" w:lastColumn="0" w:noHBand="0" w:noVBand="1"/>
      </w:tblPr>
      <w:tblGrid>
        <w:gridCol w:w="4395"/>
        <w:gridCol w:w="3685"/>
        <w:gridCol w:w="1985"/>
      </w:tblGrid>
      <w:tr w:rsidR="00F85ADB" w14:paraId="46DCA031" w14:textId="77777777" w:rsidTr="0098336B">
        <w:trPr>
          <w:trHeight w:val="3339"/>
        </w:trPr>
        <w:tc>
          <w:tcPr>
            <w:tcW w:w="4395" w:type="dxa"/>
          </w:tcPr>
          <w:p w14:paraId="095E396A" w14:textId="77777777" w:rsidR="00F85ADB" w:rsidRPr="00F85ADB" w:rsidRDefault="00F85ADB" w:rsidP="00E02C36">
            <w:pPr>
              <w:jc w:val="center"/>
              <w:rPr>
                <w:rFonts w:asciiTheme="minorHAnsi" w:hAnsiTheme="minorHAnsi"/>
                <w:b/>
                <w:bCs/>
              </w:rPr>
            </w:pPr>
            <w:r w:rsidRPr="00F85ADB">
              <w:rPr>
                <w:rFonts w:asciiTheme="minorHAnsi" w:hAnsiTheme="minorHAnsi"/>
                <w:b/>
                <w:bCs/>
              </w:rPr>
              <w:t>Year 1</w:t>
            </w:r>
          </w:p>
          <w:p w14:paraId="798FF0C9" w14:textId="77777777" w:rsidR="00F85ADB" w:rsidRDefault="00F85ADB" w:rsidP="00E02C36">
            <w:pPr>
              <w:jc w:val="left"/>
              <w:rPr>
                <w:rFonts w:asciiTheme="minorHAnsi" w:hAnsiTheme="minorHAnsi"/>
                <w:b/>
                <w:bCs/>
              </w:rPr>
            </w:pPr>
          </w:p>
          <w:p w14:paraId="7ECD45A9"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Implement ICF funded early intervention model </w:t>
            </w:r>
          </w:p>
          <w:p w14:paraId="23F66067"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Advertise and recruit CAMHS Consultant Nurse</w:t>
            </w:r>
          </w:p>
          <w:p w14:paraId="3DDD1A92"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Recruitment of 3 addition posts for PCAMHS </w:t>
            </w:r>
          </w:p>
          <w:p w14:paraId="665133FF" w14:textId="77777777" w:rsidR="00F85ADB" w:rsidRPr="00317EF3" w:rsidRDefault="00F85ADB" w:rsidP="00E02C36">
            <w:pPr>
              <w:jc w:val="left"/>
              <w:rPr>
                <w:rFonts w:asciiTheme="minorHAnsi" w:hAnsiTheme="minorHAnsi"/>
                <w:bCs/>
              </w:rPr>
            </w:pPr>
            <w:r w:rsidRPr="00317EF3">
              <w:rPr>
                <w:rFonts w:asciiTheme="minorHAnsi" w:hAnsiTheme="minorHAnsi"/>
                <w:b/>
                <w:bCs/>
              </w:rPr>
              <w:t>Q1-4:</w:t>
            </w:r>
            <w:r w:rsidRPr="00317EF3">
              <w:rPr>
                <w:rFonts w:asciiTheme="minorHAnsi" w:hAnsiTheme="minorHAnsi"/>
                <w:bCs/>
              </w:rPr>
              <w:t xml:space="preserve"> Further alignment of SCAMHS with CAPA</w:t>
            </w:r>
          </w:p>
          <w:p w14:paraId="54449920" w14:textId="77777777" w:rsidR="00F85ADB" w:rsidRPr="00317EF3" w:rsidRDefault="00F85ADB" w:rsidP="00E02C36">
            <w:pPr>
              <w:jc w:val="left"/>
              <w:rPr>
                <w:rFonts w:asciiTheme="minorHAnsi" w:hAnsiTheme="minorHAnsi"/>
                <w:bCs/>
              </w:rPr>
            </w:pPr>
            <w:r w:rsidRPr="00317EF3">
              <w:rPr>
                <w:rFonts w:asciiTheme="minorHAnsi" w:hAnsiTheme="minorHAnsi"/>
                <w:b/>
                <w:bCs/>
              </w:rPr>
              <w:t>Q2</w:t>
            </w:r>
            <w:r w:rsidRPr="00317EF3">
              <w:rPr>
                <w:rFonts w:asciiTheme="minorHAnsi" w:hAnsiTheme="minorHAnsi"/>
                <w:bCs/>
              </w:rPr>
              <w:t xml:space="preserve">:Model for MAPPS project confirmed </w:t>
            </w:r>
          </w:p>
          <w:p w14:paraId="66B33225" w14:textId="77777777" w:rsidR="00F85ADB" w:rsidRPr="00317EF3" w:rsidRDefault="00F85ADB" w:rsidP="00E02C36">
            <w:pPr>
              <w:jc w:val="left"/>
              <w:rPr>
                <w:rFonts w:asciiTheme="minorHAnsi" w:hAnsiTheme="minorHAnsi"/>
                <w:bCs/>
              </w:rPr>
            </w:pPr>
            <w:r w:rsidRPr="00317EF3">
              <w:rPr>
                <w:rFonts w:asciiTheme="minorHAnsi" w:hAnsiTheme="minorHAnsi"/>
                <w:b/>
                <w:bCs/>
              </w:rPr>
              <w:t>Q2:</w:t>
            </w:r>
            <w:r w:rsidRPr="00317EF3">
              <w:rPr>
                <w:rFonts w:asciiTheme="minorHAnsi" w:hAnsiTheme="minorHAnsi"/>
                <w:bCs/>
              </w:rPr>
              <w:t xml:space="preserve"> Upskilling of qualified therapists working in </w:t>
            </w:r>
          </w:p>
          <w:p w14:paraId="0397A743" w14:textId="77777777" w:rsidR="00F85ADB" w:rsidRPr="00317EF3" w:rsidRDefault="00F85ADB" w:rsidP="00E02C36">
            <w:pPr>
              <w:jc w:val="left"/>
              <w:rPr>
                <w:rFonts w:asciiTheme="minorHAnsi" w:hAnsiTheme="minorHAnsi"/>
                <w:bCs/>
              </w:rPr>
            </w:pPr>
            <w:r w:rsidRPr="00317EF3">
              <w:rPr>
                <w:rFonts w:asciiTheme="minorHAnsi" w:hAnsiTheme="minorHAnsi"/>
                <w:bCs/>
              </w:rPr>
              <w:t xml:space="preserve">PCAMHS/SCAMHS to provide consultations </w:t>
            </w:r>
          </w:p>
          <w:p w14:paraId="6BF86571" w14:textId="77777777" w:rsidR="00F85ADB" w:rsidRPr="00317EF3" w:rsidRDefault="00F85ADB" w:rsidP="00E02C36">
            <w:pPr>
              <w:jc w:val="left"/>
              <w:rPr>
                <w:rFonts w:asciiTheme="minorHAnsi" w:hAnsiTheme="minorHAnsi"/>
                <w:bCs/>
              </w:rPr>
            </w:pPr>
            <w:r w:rsidRPr="00317EF3">
              <w:rPr>
                <w:rFonts w:asciiTheme="minorHAnsi" w:hAnsiTheme="minorHAnsi"/>
                <w:b/>
                <w:bCs/>
              </w:rPr>
              <w:t>Q3:</w:t>
            </w:r>
            <w:r w:rsidRPr="00317EF3">
              <w:rPr>
                <w:rFonts w:asciiTheme="minorHAnsi" w:hAnsiTheme="minorHAnsi"/>
                <w:bCs/>
              </w:rPr>
              <w:t xml:space="preserve"> Outcome of  WHSCC consultation on revised Tier 4 inpatient service – Enhanced Care Area in Ty Llidiard </w:t>
            </w:r>
          </w:p>
          <w:p w14:paraId="3358916B"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 xml:space="preserve"> Complete delivery unit action plan for PCAMHS</w:t>
            </w:r>
          </w:p>
          <w:p w14:paraId="67CF88F7"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 xml:space="preserve"> SCAMHS 80% target continues to be achieved</w:t>
            </w:r>
          </w:p>
          <w:p w14:paraId="1FC6566E"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 xml:space="preserve"> Completion of Ty Llidiard action plan </w:t>
            </w:r>
          </w:p>
        </w:tc>
        <w:tc>
          <w:tcPr>
            <w:tcW w:w="3685" w:type="dxa"/>
          </w:tcPr>
          <w:p w14:paraId="16EE869E" w14:textId="7D15F713" w:rsidR="00F85ADB" w:rsidRPr="00F85ADB" w:rsidRDefault="00F85ADB" w:rsidP="00E02C36">
            <w:pPr>
              <w:jc w:val="center"/>
              <w:rPr>
                <w:rFonts w:asciiTheme="minorHAnsi" w:hAnsiTheme="minorHAnsi"/>
                <w:b/>
                <w:bCs/>
              </w:rPr>
            </w:pPr>
            <w:r w:rsidRPr="00F85ADB">
              <w:rPr>
                <w:rFonts w:asciiTheme="minorHAnsi" w:hAnsiTheme="minorHAnsi"/>
                <w:b/>
                <w:bCs/>
              </w:rPr>
              <w:t>Year 2</w:t>
            </w:r>
          </w:p>
          <w:p w14:paraId="221546AF" w14:textId="77777777" w:rsidR="00F85ADB" w:rsidRDefault="00F85ADB" w:rsidP="00E02C36">
            <w:pPr>
              <w:jc w:val="left"/>
              <w:rPr>
                <w:rFonts w:asciiTheme="minorHAnsi" w:hAnsiTheme="minorHAnsi"/>
                <w:b/>
                <w:bCs/>
              </w:rPr>
            </w:pPr>
          </w:p>
          <w:p w14:paraId="57AF07E8" w14:textId="77777777" w:rsidR="00F85ADB"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Benefits realisation of 3 additional posts for PCAMHS including reduced waiting times</w:t>
            </w:r>
          </w:p>
          <w:p w14:paraId="70CF2512" w14:textId="77777777" w:rsidR="00F85ADB" w:rsidRPr="00317EF3" w:rsidRDefault="00F85ADB" w:rsidP="00E02C36">
            <w:pPr>
              <w:jc w:val="left"/>
              <w:rPr>
                <w:rFonts w:asciiTheme="minorHAnsi" w:hAnsiTheme="minorHAnsi"/>
                <w:bCs/>
              </w:rPr>
            </w:pPr>
            <w:r w:rsidRPr="00E77536">
              <w:rPr>
                <w:rFonts w:asciiTheme="minorHAnsi" w:hAnsiTheme="minorHAnsi"/>
                <w:b/>
                <w:bCs/>
              </w:rPr>
              <w:t>Q1</w:t>
            </w:r>
            <w:r>
              <w:rPr>
                <w:rFonts w:asciiTheme="minorHAnsi" w:hAnsiTheme="minorHAnsi"/>
                <w:bCs/>
              </w:rPr>
              <w:t>: Benefits realisation of Consultant Nurse with more capacity for medial colleagues</w:t>
            </w:r>
          </w:p>
          <w:p w14:paraId="55CE22EB" w14:textId="77777777" w:rsidR="00F85ADB" w:rsidRPr="00317EF3" w:rsidRDefault="00F85ADB" w:rsidP="00E02C36">
            <w:pPr>
              <w:jc w:val="left"/>
              <w:rPr>
                <w:rFonts w:asciiTheme="minorHAnsi" w:hAnsiTheme="minorHAnsi"/>
                <w:bCs/>
              </w:rPr>
            </w:pPr>
            <w:r w:rsidRPr="00317EF3">
              <w:rPr>
                <w:rFonts w:asciiTheme="minorHAnsi" w:hAnsiTheme="minorHAnsi"/>
                <w:b/>
                <w:bCs/>
              </w:rPr>
              <w:t>Q1-Q4</w:t>
            </w:r>
            <w:r w:rsidRPr="00317EF3">
              <w:rPr>
                <w:rFonts w:asciiTheme="minorHAnsi" w:hAnsiTheme="minorHAnsi"/>
                <w:bCs/>
              </w:rPr>
              <w:t xml:space="preserve">:Further  alignment of SCAMHS to CAPA model </w:t>
            </w:r>
          </w:p>
          <w:p w14:paraId="601E631E" w14:textId="77777777" w:rsidR="00F85ADB" w:rsidRPr="00317EF3" w:rsidRDefault="00F85ADB" w:rsidP="00E02C36">
            <w:pPr>
              <w:jc w:val="left"/>
              <w:rPr>
                <w:rFonts w:asciiTheme="minorHAnsi" w:hAnsiTheme="minorHAnsi"/>
                <w:bCs/>
              </w:rPr>
            </w:pPr>
            <w:r w:rsidRPr="00317EF3">
              <w:rPr>
                <w:rFonts w:asciiTheme="minorHAnsi" w:hAnsiTheme="minorHAnsi"/>
                <w:b/>
                <w:bCs/>
              </w:rPr>
              <w:t>Q2:</w:t>
            </w:r>
            <w:r w:rsidRPr="00317EF3">
              <w:rPr>
                <w:rFonts w:asciiTheme="minorHAnsi" w:hAnsiTheme="minorHAnsi"/>
                <w:bCs/>
              </w:rPr>
              <w:t xml:space="preserve"> Business case for Enhanced Care Area in Ty Llidiard approved. </w:t>
            </w:r>
          </w:p>
          <w:p w14:paraId="08CD5643"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Further embedding of therapists within PCAMHS/SCAMHS to provide consultations</w:t>
            </w:r>
          </w:p>
          <w:p w14:paraId="4872EC15"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:Embedding of MAPPS project</w:t>
            </w:r>
          </w:p>
          <w:p w14:paraId="1C31B3EF" w14:textId="3AE49843"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Sustained 80% target being met in SCAMHS</w:t>
            </w:r>
          </w:p>
        </w:tc>
        <w:tc>
          <w:tcPr>
            <w:tcW w:w="1985" w:type="dxa"/>
          </w:tcPr>
          <w:p w14:paraId="39D0A42D" w14:textId="77777777" w:rsidR="00F85ADB" w:rsidRPr="00F85ADB" w:rsidRDefault="00F85ADB" w:rsidP="00E02C36">
            <w:pPr>
              <w:jc w:val="center"/>
              <w:rPr>
                <w:rFonts w:asciiTheme="minorHAnsi" w:hAnsiTheme="minorHAnsi"/>
                <w:b/>
                <w:bCs/>
              </w:rPr>
            </w:pPr>
            <w:r w:rsidRPr="00F85ADB">
              <w:rPr>
                <w:rFonts w:asciiTheme="minorHAnsi" w:hAnsiTheme="minorHAnsi"/>
                <w:b/>
                <w:bCs/>
              </w:rPr>
              <w:t>Year 3</w:t>
            </w:r>
          </w:p>
          <w:p w14:paraId="25455E33" w14:textId="77777777" w:rsidR="00F85ADB" w:rsidRDefault="00F85ADB" w:rsidP="00E02C36">
            <w:pPr>
              <w:jc w:val="left"/>
              <w:rPr>
                <w:rFonts w:asciiTheme="minorHAnsi" w:hAnsiTheme="minorHAnsi"/>
                <w:b/>
                <w:bCs/>
              </w:rPr>
            </w:pPr>
          </w:p>
          <w:p w14:paraId="14372FB6"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Continue to deliver MAPPS project</w:t>
            </w:r>
          </w:p>
          <w:p w14:paraId="242E1908"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Embedded CAPA model across Health Board </w:t>
            </w:r>
          </w:p>
          <w:p w14:paraId="17831F6D"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:Delivery of Enhanced Care Area model in Ty Llidiard</w:t>
            </w:r>
          </w:p>
          <w:p w14:paraId="1C595212"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:Sustained 80% target being met in SCAMHS</w:t>
            </w:r>
          </w:p>
          <w:p w14:paraId="1C49660C" w14:textId="54F39516"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 xml:space="preserve"> Reduction of waiting times in PCAMHS sustained </w:t>
            </w:r>
          </w:p>
        </w:tc>
      </w:tr>
    </w:tbl>
    <w:bookmarkStart w:id="97" w:name="_Toc532463983"/>
    <w:p w14:paraId="0B1F9165" w14:textId="4EB49993" w:rsidR="00382C58" w:rsidRPr="003D0778" w:rsidRDefault="005267D1" w:rsidP="00573556">
      <w:pPr>
        <w:pStyle w:val="Heading3"/>
        <w:rPr>
          <w:iCs/>
          <w:szCs w:val="22"/>
        </w:rPr>
      </w:pPr>
      <w:r>
        <w:rPr>
          <w:rFonts w:asciiTheme="minorHAnsi" w:hAnsiTheme="minorHAnsi"/>
          <w:bCs w:val="0"/>
          <w:noProof/>
        </w:rPr>
        <mc:AlternateContent>
          <mc:Choice Requires="wps">
            <w:drawing>
              <wp:anchor distT="0" distB="0" distL="114300" distR="114300" simplePos="0" relativeHeight="252808192" behindDoc="1" locked="0" layoutInCell="1" allowOverlap="1" wp14:anchorId="683F51DA" wp14:editId="2AD87F76">
                <wp:simplePos x="0" y="0"/>
                <wp:positionH relativeFrom="page">
                  <wp:posOffset>525145</wp:posOffset>
                </wp:positionH>
                <wp:positionV relativeFrom="paragraph">
                  <wp:posOffset>-3104515</wp:posOffset>
                </wp:positionV>
                <wp:extent cx="6737985" cy="696595"/>
                <wp:effectExtent l="0" t="38100" r="43815" b="65405"/>
                <wp:wrapNone/>
                <wp:docPr id="42" name="Right Arrow 42"/>
                <wp:cNvGraphicFramePr/>
                <a:graphic xmlns:a="http://schemas.openxmlformats.org/drawingml/2006/main">
                  <a:graphicData uri="http://schemas.microsoft.com/office/word/2010/wordprocessingShape">
                    <wps:wsp>
                      <wps:cNvSpPr/>
                      <wps:spPr>
                        <a:xfrm>
                          <a:off x="0" y="0"/>
                          <a:ext cx="6737985"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572E4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2" o:spid="_x0000_s1026" type="#_x0000_t13" style="position:absolute;margin-left:41.35pt;margin-top:-244.45pt;width:530.55pt;height:54.85pt;z-index:-250508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" adj="20933" fillcolor="#eaf1dd [662]" strokecolor="#76923c [2406]" strokeweight="2pt">
                <w10:wrap anchorx="page"/>
              </v:shape>
            </w:pict>
          </mc:Fallback>
        </mc:AlternateContent>
      </w:r>
      <w:r w:rsidR="00382C58" w:rsidRPr="003D0778">
        <w:rPr>
          <w:szCs w:val="22"/>
        </w:rPr>
        <w:t>Adult Mental Health</w:t>
      </w:r>
      <w:bookmarkEnd w:id="97"/>
    </w:p>
    <w:p w14:paraId="15063AD0" w14:textId="5DFB5FF2" w:rsidR="00D550E0" w:rsidRPr="00D550E0" w:rsidRDefault="00D550E0" w:rsidP="00D550E0">
      <w:pPr>
        <w:rPr>
          <w:rFonts w:asciiTheme="minorHAnsi" w:hAnsiTheme="minorHAnsi"/>
          <w:szCs w:val="22"/>
        </w:rPr>
      </w:pPr>
      <w:bookmarkStart w:id="98" w:name="_Toc532463984"/>
      <w:r w:rsidRPr="00D550E0">
        <w:rPr>
          <w:rFonts w:asciiTheme="minorHAnsi" w:hAnsiTheme="minorHAnsi"/>
          <w:szCs w:val="22"/>
        </w:rPr>
        <w:t xml:space="preserve">Quality and Governance have taken centre stage for the Adult Mental Health Directorate this year, with the establishment of a robust framework and mechanism for learning and reporting on quality, safety and risk issues across the portfolio.  Extensive work has been undertaken to review and start to align practices, policies and structures across the new </w:t>
      </w:r>
      <w:r w:rsidR="00B47020">
        <w:rPr>
          <w:rFonts w:asciiTheme="minorHAnsi" w:hAnsiTheme="minorHAnsi"/>
          <w:szCs w:val="22"/>
        </w:rPr>
        <w:t>CTM</w:t>
      </w:r>
      <w:r w:rsidRPr="00D550E0">
        <w:rPr>
          <w:rFonts w:asciiTheme="minorHAnsi" w:hAnsiTheme="minorHAnsi"/>
          <w:szCs w:val="22"/>
        </w:rPr>
        <w:t xml:space="preserve"> footprint. </w:t>
      </w:r>
      <w:r w:rsidR="00B47020">
        <w:rPr>
          <w:rFonts w:asciiTheme="minorHAnsi" w:hAnsiTheme="minorHAnsi"/>
          <w:szCs w:val="22"/>
        </w:rPr>
        <w:t xml:space="preserve"> </w:t>
      </w:r>
      <w:r w:rsidRPr="00D550E0">
        <w:rPr>
          <w:rFonts w:asciiTheme="minorHAnsi" w:hAnsiTheme="minorHAnsi"/>
          <w:szCs w:val="22"/>
        </w:rPr>
        <w:t xml:space="preserve">External scrutiny via HIW /CIW has further stimulated a focus on quality </w:t>
      </w:r>
      <w:r w:rsidRPr="00D550E0">
        <w:rPr>
          <w:rFonts w:asciiTheme="minorHAnsi" w:hAnsiTheme="minorHAnsi"/>
          <w:szCs w:val="22"/>
        </w:rPr>
        <w:lastRenderedPageBreak/>
        <w:t>improvement, and has prompted a strategic review of our estate and subsequent capi</w:t>
      </w:r>
      <w:r w:rsidR="00B47020">
        <w:rPr>
          <w:rFonts w:asciiTheme="minorHAnsi" w:hAnsiTheme="minorHAnsi"/>
          <w:szCs w:val="22"/>
        </w:rPr>
        <w:t>tal business case development.</w:t>
      </w:r>
    </w:p>
    <w:p w14:paraId="2B0B0319" w14:textId="77777777" w:rsidR="00D550E0" w:rsidRPr="00D550E0" w:rsidRDefault="00D550E0" w:rsidP="00D550E0">
      <w:pPr>
        <w:rPr>
          <w:rFonts w:asciiTheme="minorHAnsi" w:hAnsiTheme="minorHAnsi"/>
          <w:szCs w:val="22"/>
        </w:rPr>
      </w:pPr>
    </w:p>
    <w:p w14:paraId="60829F23" w14:textId="77777777" w:rsidR="00D550E0" w:rsidRPr="003D0778" w:rsidRDefault="00D550E0" w:rsidP="00D550E0">
      <w:pPr>
        <w:rPr>
          <w:rFonts w:asciiTheme="minorHAnsi" w:hAnsiTheme="minorHAnsi"/>
          <w:szCs w:val="22"/>
        </w:rPr>
      </w:pPr>
      <w:r w:rsidRPr="00D550E0">
        <w:rPr>
          <w:rFonts w:asciiTheme="minorHAnsi" w:hAnsiTheme="minorHAnsi"/>
          <w:szCs w:val="22"/>
        </w:rPr>
        <w:t>Meanwhile our vision for mental health services remains to build upon the successful implementation of our ‘Recovery Model’ and take it to a logical point where all but the most acute episode of illness is treated and cared for within the community</w:t>
      </w:r>
      <w:r w:rsidRPr="003D0778">
        <w:rPr>
          <w:rFonts w:asciiTheme="minorHAnsi" w:hAnsiTheme="minorHAnsi"/>
          <w:szCs w:val="22"/>
        </w:rPr>
        <w:t xml:space="preserve"> whenever possible.  The aim is to shift the balance so around 90% of our resources are in the community setting operating on a 24/7 and 365 day basis. </w:t>
      </w:r>
    </w:p>
    <w:p w14:paraId="0E1FDF61" w14:textId="77777777" w:rsidR="00D550E0" w:rsidRDefault="00D550E0" w:rsidP="00D550E0">
      <w:pPr>
        <w:pStyle w:val="Footer"/>
        <w:tabs>
          <w:tab w:val="right" w:pos="9000"/>
        </w:tabs>
        <w:rPr>
          <w:rFonts w:asciiTheme="minorHAnsi" w:hAnsiTheme="minorHAnsi"/>
          <w:b/>
        </w:rPr>
      </w:pPr>
    </w:p>
    <w:p w14:paraId="77C941A9" w14:textId="0F9CA69A" w:rsidR="00D550E0" w:rsidRDefault="00D550E0" w:rsidP="00D550E0">
      <w:pPr>
        <w:pStyle w:val="Footer"/>
        <w:tabs>
          <w:tab w:val="right" w:pos="9000"/>
        </w:tabs>
        <w:rPr>
          <w:rFonts w:asciiTheme="minorHAnsi" w:hAnsiTheme="minorHAnsi"/>
        </w:rPr>
      </w:pPr>
      <w:r w:rsidRPr="00330544">
        <w:rPr>
          <w:rFonts w:asciiTheme="minorHAnsi" w:hAnsiTheme="minorHAnsi"/>
        </w:rPr>
        <w:t xml:space="preserve">Our main </w:t>
      </w:r>
      <w:r>
        <w:rPr>
          <w:rFonts w:asciiTheme="minorHAnsi" w:hAnsiTheme="minorHAnsi"/>
        </w:rPr>
        <w:t xml:space="preserve">areas of </w:t>
      </w:r>
      <w:r w:rsidRPr="00330544">
        <w:rPr>
          <w:rFonts w:asciiTheme="minorHAnsi" w:hAnsiTheme="minorHAnsi"/>
        </w:rPr>
        <w:t xml:space="preserve">focus </w:t>
      </w:r>
      <w:r>
        <w:rPr>
          <w:rFonts w:asciiTheme="minorHAnsi" w:hAnsiTheme="minorHAnsi"/>
        </w:rPr>
        <w:t>in recent years to enable this shift have been our Valley Life programme in older people’s mental health services, and our redesign of adult community mental health services.</w:t>
      </w:r>
      <w:r w:rsidR="00B47020">
        <w:rPr>
          <w:rFonts w:asciiTheme="minorHAnsi" w:hAnsiTheme="minorHAnsi"/>
        </w:rPr>
        <w:t xml:space="preserve"> </w:t>
      </w:r>
      <w:r w:rsidRPr="00DE5252">
        <w:rPr>
          <w:rFonts w:asciiTheme="minorHAnsi" w:hAnsiTheme="minorHAnsi"/>
        </w:rPr>
        <w:t xml:space="preserve"> </w:t>
      </w:r>
      <w:r>
        <w:rPr>
          <w:rFonts w:asciiTheme="minorHAnsi" w:hAnsiTheme="minorHAnsi"/>
        </w:rPr>
        <w:t xml:space="preserve">This work is being refreshed to be an integrated approach with Bridgend </w:t>
      </w:r>
      <w:r w:rsidR="002A3500">
        <w:rPr>
          <w:rFonts w:asciiTheme="minorHAnsi" w:hAnsiTheme="minorHAnsi"/>
        </w:rPr>
        <w:t>CBC</w:t>
      </w:r>
      <w:r>
        <w:rPr>
          <w:rFonts w:asciiTheme="minorHAnsi" w:hAnsiTheme="minorHAnsi"/>
        </w:rPr>
        <w:t>.</w:t>
      </w:r>
    </w:p>
    <w:p w14:paraId="5126F960" w14:textId="77777777" w:rsidR="00174521" w:rsidRPr="009C50A4" w:rsidRDefault="00174521" w:rsidP="00D60D68">
      <w:pPr>
        <w:pStyle w:val="Heading4"/>
      </w:pPr>
      <w:r>
        <w:t>Transforming Older Adult Services</w:t>
      </w:r>
    </w:p>
    <w:p w14:paraId="18D447CA" w14:textId="43881500" w:rsidR="00D550E0" w:rsidRDefault="00D550E0" w:rsidP="00D550E0">
      <w:pPr>
        <w:pStyle w:val="Footer"/>
        <w:tabs>
          <w:tab w:val="right" w:pos="9000"/>
        </w:tabs>
        <w:rPr>
          <w:rFonts w:asciiTheme="minorHAnsi" w:hAnsiTheme="minorHAnsi"/>
        </w:rPr>
      </w:pPr>
      <w:r w:rsidRPr="009C50A4">
        <w:rPr>
          <w:rFonts w:asciiTheme="minorHAnsi" w:hAnsiTheme="minorHAnsi"/>
        </w:rPr>
        <w:t>2019</w:t>
      </w:r>
      <w:r>
        <w:rPr>
          <w:rFonts w:asciiTheme="minorHAnsi" w:hAnsiTheme="minorHAnsi"/>
        </w:rPr>
        <w:t xml:space="preserve">/20 has seen the final phase of our ‘Valley Life’ programme with the transfer of the older adult mental health Ward 35 at </w:t>
      </w:r>
      <w:r w:rsidR="00897141">
        <w:rPr>
          <w:rFonts w:asciiTheme="minorHAnsi" w:hAnsiTheme="minorHAnsi"/>
        </w:rPr>
        <w:t>PCH</w:t>
      </w:r>
      <w:r>
        <w:rPr>
          <w:rFonts w:asciiTheme="minorHAnsi" w:hAnsiTheme="minorHAnsi"/>
        </w:rPr>
        <w:t xml:space="preserve"> into the community. This move is being supported by the development of an integrated day service model and planned redesign of the day unit</w:t>
      </w:r>
      <w:r w:rsidR="008A6486">
        <w:rPr>
          <w:rFonts w:asciiTheme="minorHAnsi" w:hAnsiTheme="minorHAnsi"/>
        </w:rPr>
        <w:t xml:space="preserve"> in 2020</w:t>
      </w:r>
      <w:r>
        <w:rPr>
          <w:rFonts w:asciiTheme="minorHAnsi" w:hAnsiTheme="minorHAnsi"/>
        </w:rPr>
        <w:t xml:space="preserve"> at Keir Hardie Health Park</w:t>
      </w:r>
      <w:r w:rsidR="00EF3559">
        <w:rPr>
          <w:rFonts w:asciiTheme="minorHAnsi" w:hAnsiTheme="minorHAnsi"/>
        </w:rPr>
        <w:t xml:space="preserve"> (KHHP)</w:t>
      </w:r>
      <w:r>
        <w:rPr>
          <w:rFonts w:asciiTheme="minorHAnsi" w:hAnsiTheme="minorHAnsi"/>
        </w:rPr>
        <w:t xml:space="preserve"> using ICF capital funding.</w:t>
      </w:r>
    </w:p>
    <w:p w14:paraId="22D2D82B" w14:textId="77777777" w:rsidR="00D550E0" w:rsidRDefault="00D550E0" w:rsidP="00D550E0">
      <w:pPr>
        <w:pStyle w:val="Footer"/>
        <w:tabs>
          <w:tab w:val="right" w:pos="9000"/>
        </w:tabs>
        <w:rPr>
          <w:rFonts w:asciiTheme="minorHAnsi" w:hAnsiTheme="minorHAnsi"/>
        </w:rPr>
      </w:pPr>
    </w:p>
    <w:p w14:paraId="0DBB9D8D" w14:textId="72BC6A7B" w:rsidR="00D550E0" w:rsidRDefault="00D550E0" w:rsidP="00D550E0">
      <w:pPr>
        <w:pStyle w:val="Footer"/>
        <w:tabs>
          <w:tab w:val="right" w:pos="9000"/>
        </w:tabs>
        <w:rPr>
          <w:rFonts w:asciiTheme="minorHAnsi" w:hAnsiTheme="minorHAnsi"/>
        </w:rPr>
      </w:pPr>
      <w:r>
        <w:rPr>
          <w:rFonts w:asciiTheme="minorHAnsi" w:hAnsiTheme="minorHAnsi"/>
        </w:rPr>
        <w:t xml:space="preserve">A number of </w:t>
      </w:r>
      <w:r w:rsidR="00614BBE">
        <w:rPr>
          <w:rFonts w:asciiTheme="minorHAnsi" w:hAnsiTheme="minorHAnsi"/>
        </w:rPr>
        <w:t>workstreams</w:t>
      </w:r>
      <w:r>
        <w:rPr>
          <w:rFonts w:asciiTheme="minorHAnsi" w:hAnsiTheme="minorHAnsi"/>
        </w:rPr>
        <w:t xml:space="preserve"> are addressing other aspects of older people’s mental health services including Memory Assessment Services, Dementia Care in General Hospitals, What a good OPMH Ward Looks Like,  End of Life Dementia Care and Assistive/Digital Technologies.  All are contributing to the implementation of the </w:t>
      </w:r>
      <w:r w:rsidR="00897141">
        <w:rPr>
          <w:rFonts w:asciiTheme="minorHAnsi" w:hAnsiTheme="minorHAnsi"/>
        </w:rPr>
        <w:t>WG</w:t>
      </w:r>
      <w:r>
        <w:rPr>
          <w:rFonts w:asciiTheme="minorHAnsi" w:hAnsiTheme="minorHAnsi"/>
        </w:rPr>
        <w:t xml:space="preserve"> Dementia Action Plan overseen by the Dementia Steering Group, alongside other multi-agency </w:t>
      </w:r>
      <w:r w:rsidR="00614BBE">
        <w:rPr>
          <w:rFonts w:asciiTheme="minorHAnsi" w:hAnsiTheme="minorHAnsi"/>
        </w:rPr>
        <w:t>workstreams</w:t>
      </w:r>
      <w:r>
        <w:rPr>
          <w:rFonts w:asciiTheme="minorHAnsi" w:hAnsiTheme="minorHAnsi"/>
        </w:rPr>
        <w:t xml:space="preserve"> addressing Raising Awareness and Understanding of Dementia in our Communities, and Dementia Workforce Development. With Dementia ICF funding we have been able to enhance our Specialist Dementia Intervention Team (SDIT), providing intensive support to care homes and family carers to help them prevent and manage dementia related ‘behaviours that challenge’; we have established an Occupational Therapy Memory Assessment Team to help people newly diagnosed with dementia develop strategies to help them maintain employment and other usual daily functioning for as long as possible; and in Bridgend we have developed an integrated dementia day service and link service.</w:t>
      </w:r>
      <w:r w:rsidR="00B008F0">
        <w:rPr>
          <w:rFonts w:asciiTheme="minorHAnsi" w:hAnsiTheme="minorHAnsi"/>
        </w:rPr>
        <w:t xml:space="preserve"> </w:t>
      </w:r>
      <w:r>
        <w:rPr>
          <w:rFonts w:asciiTheme="minorHAnsi" w:hAnsiTheme="minorHAnsi"/>
        </w:rPr>
        <w:t xml:space="preserve"> In both areas, ICF funding has also been used to support third sector organisations to provide community based support and develop Dementia Friendly Communities. </w:t>
      </w:r>
    </w:p>
    <w:p w14:paraId="7197D8FA" w14:textId="77777777" w:rsidR="00D550E0" w:rsidRDefault="00D550E0" w:rsidP="00D550E0">
      <w:pPr>
        <w:pStyle w:val="Footer"/>
        <w:tabs>
          <w:tab w:val="right" w:pos="9000"/>
        </w:tabs>
        <w:rPr>
          <w:rFonts w:asciiTheme="minorHAnsi" w:hAnsiTheme="minorHAnsi"/>
        </w:rPr>
      </w:pPr>
    </w:p>
    <w:p w14:paraId="696BD5D8" w14:textId="16E1EEDE" w:rsidR="00D550E0" w:rsidRDefault="00D550E0" w:rsidP="00D550E0">
      <w:pPr>
        <w:pStyle w:val="Footer"/>
        <w:tabs>
          <w:tab w:val="right" w:pos="9000"/>
        </w:tabs>
        <w:rPr>
          <w:rFonts w:asciiTheme="minorHAnsi" w:hAnsiTheme="minorHAnsi"/>
        </w:rPr>
      </w:pPr>
      <w:r>
        <w:rPr>
          <w:rFonts w:asciiTheme="minorHAnsi" w:hAnsiTheme="minorHAnsi"/>
        </w:rPr>
        <w:t xml:space="preserve">Discussions with Rhondda Cynon Taff </w:t>
      </w:r>
      <w:r w:rsidR="002A3500">
        <w:rPr>
          <w:rFonts w:asciiTheme="minorHAnsi" w:hAnsiTheme="minorHAnsi"/>
        </w:rPr>
        <w:t>CBC</w:t>
      </w:r>
      <w:r>
        <w:rPr>
          <w:rFonts w:asciiTheme="minorHAnsi" w:hAnsiTheme="minorHAnsi"/>
        </w:rPr>
        <w:t xml:space="preserve"> around the potential development of an Extra Care Housing facility on the Ysbyty George</w:t>
      </w:r>
      <w:r w:rsidR="00426432">
        <w:rPr>
          <w:rFonts w:asciiTheme="minorHAnsi" w:hAnsiTheme="minorHAnsi"/>
        </w:rPr>
        <w:t xml:space="preserve"> Thomas</w:t>
      </w:r>
      <w:r>
        <w:rPr>
          <w:rFonts w:asciiTheme="minorHAnsi" w:hAnsiTheme="minorHAnsi"/>
        </w:rPr>
        <w:t xml:space="preserve"> Hospital (YGT) site has prompted development of a wider vision for integrated health and social care provision in the Rhondda, including primary care. </w:t>
      </w:r>
      <w:r w:rsidR="00B008F0">
        <w:rPr>
          <w:rFonts w:asciiTheme="minorHAnsi" w:hAnsiTheme="minorHAnsi"/>
        </w:rPr>
        <w:t xml:space="preserve"> </w:t>
      </w:r>
      <w:r>
        <w:rPr>
          <w:rFonts w:asciiTheme="minorHAnsi" w:hAnsiTheme="minorHAnsi"/>
        </w:rPr>
        <w:t>This will require consideration of options for the re</w:t>
      </w:r>
      <w:r w:rsidR="009A393C">
        <w:rPr>
          <w:rFonts w:asciiTheme="minorHAnsi" w:hAnsiTheme="minorHAnsi"/>
        </w:rPr>
        <w:t>-</w:t>
      </w:r>
      <w:r>
        <w:rPr>
          <w:rFonts w:asciiTheme="minorHAnsi" w:hAnsiTheme="minorHAnsi"/>
        </w:rPr>
        <w:t>provision of the Dementia Wellbeing Centre, Day Unit and 14 bedded Supported Recovery Unit currently located in YGT.</w:t>
      </w:r>
      <w:r w:rsidR="00BC11CD">
        <w:rPr>
          <w:rFonts w:asciiTheme="minorHAnsi" w:hAnsiTheme="minorHAnsi"/>
        </w:rPr>
        <w:t xml:space="preserve"> </w:t>
      </w:r>
      <w:r>
        <w:rPr>
          <w:rFonts w:asciiTheme="minorHAnsi" w:hAnsiTheme="minorHAnsi"/>
        </w:rPr>
        <w:t xml:space="preserve"> A proposal paper is being developed to scope potential options, benefits and impacts. </w:t>
      </w:r>
    </w:p>
    <w:p w14:paraId="687057E7" w14:textId="77777777" w:rsidR="00174521" w:rsidRDefault="00174521" w:rsidP="00D60D68">
      <w:pPr>
        <w:pStyle w:val="Heading4"/>
      </w:pPr>
      <w:r>
        <w:t>Community Mental Health Services Redesign</w:t>
      </w:r>
    </w:p>
    <w:p w14:paraId="14E51963" w14:textId="60EB042F" w:rsidR="00D8540C" w:rsidRDefault="00D8540C" w:rsidP="00D8540C">
      <w:pPr>
        <w:pStyle w:val="Footer"/>
        <w:tabs>
          <w:tab w:val="right" w:pos="9000"/>
        </w:tabs>
        <w:rPr>
          <w:rFonts w:asciiTheme="minorHAnsi" w:hAnsiTheme="minorHAnsi"/>
        </w:rPr>
      </w:pPr>
      <w:r w:rsidRPr="00A71F6D">
        <w:rPr>
          <w:rFonts w:asciiTheme="minorHAnsi" w:hAnsiTheme="minorHAnsi"/>
        </w:rPr>
        <w:t>Th</w:t>
      </w:r>
      <w:r>
        <w:rPr>
          <w:rFonts w:asciiTheme="minorHAnsi" w:hAnsiTheme="minorHAnsi"/>
        </w:rPr>
        <w:t xml:space="preserve">rough our ongoing redesign of </w:t>
      </w:r>
      <w:r w:rsidRPr="00A71F6D">
        <w:rPr>
          <w:rFonts w:asciiTheme="minorHAnsi" w:hAnsiTheme="minorHAnsi"/>
        </w:rPr>
        <w:t xml:space="preserve">adult </w:t>
      </w:r>
      <w:r>
        <w:rPr>
          <w:rFonts w:asciiTheme="minorHAnsi" w:hAnsiTheme="minorHAnsi"/>
        </w:rPr>
        <w:t xml:space="preserve">community </w:t>
      </w:r>
      <w:r w:rsidRPr="00A71F6D">
        <w:rPr>
          <w:rFonts w:asciiTheme="minorHAnsi" w:hAnsiTheme="minorHAnsi"/>
        </w:rPr>
        <w:t>mental health services</w:t>
      </w:r>
      <w:r>
        <w:rPr>
          <w:rFonts w:asciiTheme="minorHAnsi" w:hAnsiTheme="minorHAnsi"/>
        </w:rPr>
        <w:t xml:space="preserve">, involving extensive engagement </w:t>
      </w:r>
      <w:r w:rsidRPr="00C75836">
        <w:rPr>
          <w:rFonts w:asciiTheme="minorHAnsi" w:hAnsiTheme="minorHAnsi"/>
        </w:rPr>
        <w:t xml:space="preserve">with </w:t>
      </w:r>
      <w:r w:rsidRPr="001B7623">
        <w:rPr>
          <w:rFonts w:asciiTheme="minorHAnsi" w:hAnsiTheme="minorHAnsi"/>
        </w:rPr>
        <w:t>staff, partner agencies, service users and carers</w:t>
      </w:r>
      <w:r>
        <w:rPr>
          <w:rFonts w:asciiTheme="minorHAnsi" w:hAnsiTheme="minorHAnsi"/>
        </w:rPr>
        <w:t>, we have</w:t>
      </w:r>
      <w:r w:rsidRPr="00693560">
        <w:rPr>
          <w:rFonts w:asciiTheme="minorHAnsi" w:hAnsiTheme="minorHAnsi"/>
        </w:rPr>
        <w:t xml:space="preserve"> developed a service model </w:t>
      </w:r>
      <w:r>
        <w:rPr>
          <w:rFonts w:asciiTheme="minorHAnsi" w:hAnsiTheme="minorHAnsi"/>
        </w:rPr>
        <w:t>based o</w:t>
      </w:r>
      <w:r w:rsidRPr="00C75836">
        <w:rPr>
          <w:rFonts w:asciiTheme="minorHAnsi" w:hAnsiTheme="minorHAnsi"/>
        </w:rPr>
        <w:t xml:space="preserve">n the principles of improved integration, a greater focus on prevention and earlier intervention, and a bio psychosocial approach.  </w:t>
      </w:r>
      <w:r w:rsidRPr="001B7623">
        <w:rPr>
          <w:rFonts w:asciiTheme="minorHAnsi" w:hAnsiTheme="minorHAnsi"/>
        </w:rPr>
        <w:t>The new model</w:t>
      </w:r>
      <w:r w:rsidRPr="00AB7B97">
        <w:rPr>
          <w:rFonts w:asciiTheme="minorHAnsi" w:hAnsiTheme="minorHAnsi"/>
        </w:rPr>
        <w:t xml:space="preserve"> reflects an increased emphasis on integrated support at ‘universal’ and local primary mental health service level, enabling secondary mental health services to offer more intense input to a smaller number of </w:t>
      </w:r>
      <w:r>
        <w:rPr>
          <w:rFonts w:asciiTheme="minorHAnsi" w:hAnsiTheme="minorHAnsi"/>
        </w:rPr>
        <w:t xml:space="preserve">people with </w:t>
      </w:r>
      <w:r w:rsidRPr="00AB7B97">
        <w:rPr>
          <w:rFonts w:asciiTheme="minorHAnsi" w:hAnsiTheme="minorHAnsi"/>
        </w:rPr>
        <w:t xml:space="preserve">more complex </w:t>
      </w:r>
      <w:r>
        <w:rPr>
          <w:rFonts w:asciiTheme="minorHAnsi" w:hAnsiTheme="minorHAnsi"/>
        </w:rPr>
        <w:t>needs</w:t>
      </w:r>
      <w:r w:rsidRPr="00AB7B97">
        <w:rPr>
          <w:rFonts w:asciiTheme="minorHAnsi" w:hAnsiTheme="minorHAnsi"/>
        </w:rPr>
        <w:t>.</w:t>
      </w:r>
      <w:r>
        <w:rPr>
          <w:rFonts w:asciiTheme="minorHAnsi" w:hAnsiTheme="minorHAnsi"/>
        </w:rPr>
        <w:t xml:space="preserve"> </w:t>
      </w:r>
    </w:p>
    <w:p w14:paraId="340BAD21" w14:textId="77777777" w:rsidR="00D8540C" w:rsidRDefault="00D8540C" w:rsidP="00D8540C">
      <w:pPr>
        <w:pStyle w:val="Footer"/>
        <w:tabs>
          <w:tab w:val="right" w:pos="9000"/>
        </w:tabs>
        <w:rPr>
          <w:rFonts w:asciiTheme="minorHAnsi" w:hAnsiTheme="minorHAnsi"/>
        </w:rPr>
      </w:pPr>
    </w:p>
    <w:p w14:paraId="3EFD8D60" w14:textId="392006E1" w:rsidR="00D8540C" w:rsidRPr="00AB7B97" w:rsidRDefault="00D8540C" w:rsidP="00D8540C">
      <w:pPr>
        <w:rPr>
          <w:rFonts w:asciiTheme="minorHAnsi" w:hAnsiTheme="minorHAnsi"/>
          <w:szCs w:val="22"/>
        </w:rPr>
      </w:pPr>
      <w:r>
        <w:rPr>
          <w:rFonts w:asciiTheme="minorHAnsi" w:hAnsiTheme="minorHAnsi"/>
          <w:szCs w:val="22"/>
        </w:rPr>
        <w:t xml:space="preserve">We are </w:t>
      </w:r>
      <w:r w:rsidRPr="00AB7B97">
        <w:rPr>
          <w:rFonts w:asciiTheme="minorHAnsi" w:hAnsiTheme="minorHAnsi"/>
          <w:szCs w:val="22"/>
        </w:rPr>
        <w:t>work</w:t>
      </w:r>
      <w:r>
        <w:rPr>
          <w:rFonts w:asciiTheme="minorHAnsi" w:hAnsiTheme="minorHAnsi"/>
          <w:szCs w:val="22"/>
        </w:rPr>
        <w:t>ing</w:t>
      </w:r>
      <w:r w:rsidRPr="00AB7B97">
        <w:rPr>
          <w:rFonts w:asciiTheme="minorHAnsi" w:hAnsiTheme="minorHAnsi"/>
          <w:szCs w:val="22"/>
        </w:rPr>
        <w:t xml:space="preserve"> in partnership</w:t>
      </w:r>
      <w:r>
        <w:rPr>
          <w:rFonts w:ascii="Verdana" w:hAnsi="Verdana"/>
          <w:sz w:val="24"/>
        </w:rPr>
        <w:t xml:space="preserve"> </w:t>
      </w:r>
      <w:r w:rsidRPr="00AB7B97">
        <w:rPr>
          <w:rFonts w:asciiTheme="minorHAnsi" w:hAnsiTheme="minorHAnsi"/>
          <w:szCs w:val="22"/>
        </w:rPr>
        <w:t>to ensure improved availability of</w:t>
      </w:r>
      <w:r>
        <w:rPr>
          <w:rFonts w:asciiTheme="minorHAnsi" w:hAnsiTheme="minorHAnsi"/>
          <w:szCs w:val="22"/>
        </w:rPr>
        <w:t xml:space="preserve">, information about </w:t>
      </w:r>
      <w:r w:rsidRPr="00AB7B97">
        <w:rPr>
          <w:rFonts w:asciiTheme="minorHAnsi" w:hAnsiTheme="minorHAnsi"/>
          <w:szCs w:val="22"/>
        </w:rPr>
        <w:t xml:space="preserve">and access to services </w:t>
      </w:r>
      <w:r>
        <w:rPr>
          <w:rFonts w:asciiTheme="minorHAnsi" w:hAnsiTheme="minorHAnsi"/>
          <w:szCs w:val="22"/>
        </w:rPr>
        <w:t xml:space="preserve">that promote and enhance emotional and mental wellbeing </w:t>
      </w:r>
      <w:r w:rsidRPr="00AB7B97">
        <w:rPr>
          <w:rFonts w:asciiTheme="minorHAnsi" w:hAnsiTheme="minorHAnsi"/>
          <w:szCs w:val="22"/>
        </w:rPr>
        <w:t xml:space="preserve">across our communities. </w:t>
      </w:r>
      <w:r w:rsidR="00F863C8">
        <w:rPr>
          <w:rFonts w:asciiTheme="minorHAnsi" w:hAnsiTheme="minorHAnsi"/>
          <w:szCs w:val="22"/>
        </w:rPr>
        <w:t xml:space="preserve"> </w:t>
      </w:r>
      <w:r w:rsidRPr="00AB7B97">
        <w:rPr>
          <w:rFonts w:asciiTheme="minorHAnsi" w:hAnsiTheme="minorHAnsi"/>
          <w:szCs w:val="22"/>
        </w:rPr>
        <w:t xml:space="preserve">This </w:t>
      </w:r>
      <w:r>
        <w:rPr>
          <w:rFonts w:asciiTheme="minorHAnsi" w:hAnsiTheme="minorHAnsi"/>
          <w:szCs w:val="22"/>
        </w:rPr>
        <w:t>is being</w:t>
      </w:r>
      <w:r w:rsidRPr="00AB7B97">
        <w:rPr>
          <w:rFonts w:asciiTheme="minorHAnsi" w:hAnsiTheme="minorHAnsi"/>
          <w:szCs w:val="22"/>
        </w:rPr>
        <w:t xml:space="preserve"> accompanied by a review of the current third sector commissioned services to ensure there is appropriate and equitable access to services at this level across </w:t>
      </w:r>
      <w:r w:rsidR="002A3500">
        <w:rPr>
          <w:rFonts w:asciiTheme="minorHAnsi" w:hAnsiTheme="minorHAnsi"/>
          <w:szCs w:val="22"/>
        </w:rPr>
        <w:t>CTM</w:t>
      </w:r>
      <w:r w:rsidRPr="00AB7B97">
        <w:rPr>
          <w:rFonts w:asciiTheme="minorHAnsi" w:hAnsiTheme="minorHAnsi"/>
          <w:szCs w:val="22"/>
        </w:rPr>
        <w:t xml:space="preserve">, and that the services provided are of good quality and can evidence good outcomes. </w:t>
      </w:r>
    </w:p>
    <w:p w14:paraId="2025732B" w14:textId="77777777" w:rsidR="00D8540C" w:rsidRPr="00D8540C" w:rsidRDefault="00D8540C" w:rsidP="00D8540C">
      <w:pPr>
        <w:rPr>
          <w:rFonts w:ascii="Verdana" w:hAnsi="Verdana"/>
          <w:sz w:val="24"/>
        </w:rPr>
      </w:pPr>
    </w:p>
    <w:p w14:paraId="57C0038C" w14:textId="77777777" w:rsidR="00D8540C" w:rsidRPr="00D96821" w:rsidRDefault="00D8540C" w:rsidP="00D8540C">
      <w:pPr>
        <w:rPr>
          <w:rFonts w:asciiTheme="minorHAnsi" w:hAnsiTheme="minorHAnsi"/>
          <w:color w:val="000000" w:themeColor="text1"/>
          <w:szCs w:val="22"/>
        </w:rPr>
      </w:pPr>
      <w:r w:rsidRPr="00D8540C">
        <w:rPr>
          <w:rFonts w:asciiTheme="minorHAnsi" w:hAnsiTheme="minorHAnsi"/>
          <w:szCs w:val="22"/>
        </w:rPr>
        <w:t xml:space="preserve">A key enabler to effect the shift to universal services is our investment in cluster based Mental Health Practitioners who offer mental health assessment, medication monitoring, advice and information within primary care, as well as connections to other appropriate services.  Offering a rapid response to GP referrals, </w:t>
      </w:r>
      <w:r w:rsidRPr="00D8540C">
        <w:rPr>
          <w:rFonts w:asciiTheme="minorHAnsi" w:hAnsiTheme="minorHAnsi"/>
          <w:szCs w:val="22"/>
        </w:rPr>
        <w:lastRenderedPageBreak/>
        <w:t xml:space="preserve">appointments can also be made directly with </w:t>
      </w:r>
      <w:r w:rsidRPr="00D96821">
        <w:rPr>
          <w:rFonts w:asciiTheme="minorHAnsi" w:hAnsiTheme="minorHAnsi"/>
          <w:color w:val="000000" w:themeColor="text1"/>
          <w:szCs w:val="22"/>
        </w:rPr>
        <w:t xml:space="preserve">the Practitioners without the need to see the GP first.  The Practitioners will also be able to refer directly to primary and secondary mental health services should they feel the patient is in need of more intensive and specialist mental health care and support.  Funded initially via the Stay Well in Your Community Transformation Programme, ongoing funding will be secured through the Mental Health Transformation Fund and by shifting resources through anticipated released capacity in the LPMHSS/CMHT service. </w:t>
      </w:r>
    </w:p>
    <w:p w14:paraId="7C550446" w14:textId="77777777" w:rsidR="00D8540C" w:rsidRPr="00D96821" w:rsidRDefault="00D8540C" w:rsidP="00D8540C">
      <w:pPr>
        <w:pStyle w:val="Footer"/>
        <w:tabs>
          <w:tab w:val="right" w:pos="9000"/>
        </w:tabs>
        <w:rPr>
          <w:rFonts w:asciiTheme="minorHAnsi" w:hAnsiTheme="minorHAnsi"/>
          <w:color w:val="000000" w:themeColor="text1"/>
        </w:rPr>
      </w:pPr>
    </w:p>
    <w:p w14:paraId="6491D947" w14:textId="65969B02" w:rsidR="00D8540C" w:rsidRPr="00F73C79" w:rsidRDefault="00D8540C" w:rsidP="00D8540C">
      <w:pPr>
        <w:tabs>
          <w:tab w:val="left" w:pos="1305"/>
        </w:tabs>
      </w:pPr>
      <w:r w:rsidRPr="00D96821">
        <w:rPr>
          <w:color w:val="000000" w:themeColor="text1"/>
        </w:rPr>
        <w:t>Another key enabler</w:t>
      </w:r>
      <w:r w:rsidRPr="00D8540C">
        <w:t xml:space="preserve">, to ensure the most effective use of specialist resources and outcomes for patients in our proposed new model, is a redesign of our adult mental health </w:t>
      </w:r>
      <w:r w:rsidR="00804287" w:rsidRPr="00D8540C">
        <w:t>outpatient’s</w:t>
      </w:r>
      <w:r w:rsidRPr="00D8540C">
        <w:t xml:space="preserve"> service.  This has involved</w:t>
      </w:r>
      <w:r>
        <w:t xml:space="preserve"> a review of the role of consultant psychiatrists in care co-ordination, with a view to introducing a different skill mix thereby releasing consultant and senior psychiatrist capacity from outpatient clinics to enable them to instead provide expert support to Mental Health teams and other professions such as GPs. Improved partnerships with benefits agencies are also being explored to enable a clearer understanding and process for supporting patients to access benefits for which they are eligible, reducing reliance on outpatient services for such purposes. </w:t>
      </w:r>
      <w:r w:rsidRPr="00F73C79">
        <w:t>The proposed new model for outpatients is expected to result in:</w:t>
      </w:r>
    </w:p>
    <w:p w14:paraId="4A496FB4" w14:textId="77777777" w:rsidR="00D8540C" w:rsidRPr="00F73C79" w:rsidRDefault="00D8540C" w:rsidP="00F60A35">
      <w:pPr>
        <w:numPr>
          <w:ilvl w:val="0"/>
          <w:numId w:val="30"/>
        </w:numPr>
        <w:tabs>
          <w:tab w:val="left" w:pos="1305"/>
        </w:tabs>
      </w:pPr>
      <w:r w:rsidRPr="00F73C79">
        <w:t>More timely and responsive access and improved patient experience</w:t>
      </w:r>
    </w:p>
    <w:p w14:paraId="7E4F3057" w14:textId="77777777" w:rsidR="00D8540C" w:rsidRPr="00F73C79" w:rsidRDefault="00D8540C" w:rsidP="00F60A35">
      <w:pPr>
        <w:numPr>
          <w:ilvl w:val="0"/>
          <w:numId w:val="30"/>
        </w:numPr>
        <w:tabs>
          <w:tab w:val="left" w:pos="1305"/>
        </w:tabs>
      </w:pPr>
      <w:r w:rsidRPr="00F73C79">
        <w:t>Improved patient outcomes</w:t>
      </w:r>
    </w:p>
    <w:p w14:paraId="3EFE85A6" w14:textId="1CB4B072" w:rsidR="00D8540C" w:rsidRPr="00F73C79" w:rsidRDefault="00D8540C" w:rsidP="00F60A35">
      <w:pPr>
        <w:numPr>
          <w:ilvl w:val="0"/>
          <w:numId w:val="30"/>
        </w:numPr>
        <w:tabs>
          <w:tab w:val="left" w:pos="1305"/>
        </w:tabs>
      </w:pPr>
      <w:r w:rsidRPr="00F73C79">
        <w:t>Reduced numbers of patients being cared for under CTP, enabling more intensive and meaningful support provided to people to help them achieve their CTP goals</w:t>
      </w:r>
      <w:r>
        <w:t xml:space="preserve">, and </w:t>
      </w:r>
      <w:r w:rsidRPr="00F73C79">
        <w:t>compliance with MHM Part 2 targets)</w:t>
      </w:r>
    </w:p>
    <w:p w14:paraId="4559F783" w14:textId="77777777" w:rsidR="00D8540C" w:rsidRPr="00F73C79" w:rsidRDefault="00D8540C" w:rsidP="00F60A35">
      <w:pPr>
        <w:numPr>
          <w:ilvl w:val="0"/>
          <w:numId w:val="30"/>
        </w:numPr>
        <w:tabs>
          <w:tab w:val="left" w:pos="1305"/>
        </w:tabs>
      </w:pPr>
      <w:r w:rsidRPr="00F73C79">
        <w:t xml:space="preserve">More effective use of consultant psychiatrist resource </w:t>
      </w:r>
    </w:p>
    <w:p w14:paraId="27793E00" w14:textId="77777777" w:rsidR="00D8540C" w:rsidRDefault="00D8540C" w:rsidP="00D8540C">
      <w:pPr>
        <w:tabs>
          <w:tab w:val="left" w:pos="1305"/>
        </w:tabs>
      </w:pPr>
    </w:p>
    <w:p w14:paraId="714C3E91" w14:textId="5DC5812E" w:rsidR="00D8540C" w:rsidRPr="00164805" w:rsidRDefault="00D8540C" w:rsidP="00D96821">
      <w:pPr>
        <w:rPr>
          <w:rFonts w:cs="Arial"/>
          <w:sz w:val="20"/>
        </w:rPr>
      </w:pPr>
      <w:r>
        <w:t xml:space="preserve">Engagement on </w:t>
      </w:r>
      <w:r w:rsidRPr="00D8540C">
        <w:t>the service model has also highlighted the need for a more timely and integrated response to mental health crises in our communities</w:t>
      </w:r>
      <w:r>
        <w:t xml:space="preserve">, and this will be a key priority for the Directorate with our partners, particularly the Police and Third Sector, over the coming period. </w:t>
      </w:r>
      <w:r w:rsidRPr="002F75AD">
        <w:rPr>
          <w:rFonts w:cs="Arial"/>
        </w:rPr>
        <w:t xml:space="preserve">All partners across </w:t>
      </w:r>
      <w:r w:rsidR="000774E1">
        <w:rPr>
          <w:rFonts w:cs="Arial"/>
        </w:rPr>
        <w:t>the Health Board</w:t>
      </w:r>
      <w:r w:rsidR="000774E1" w:rsidRPr="002F75AD">
        <w:rPr>
          <w:rFonts w:cs="Arial"/>
        </w:rPr>
        <w:t xml:space="preserve"> </w:t>
      </w:r>
      <w:r>
        <w:rPr>
          <w:rFonts w:cs="Arial"/>
        </w:rPr>
        <w:t xml:space="preserve">have </w:t>
      </w:r>
      <w:r w:rsidRPr="002F75AD">
        <w:rPr>
          <w:rFonts w:cs="Arial"/>
        </w:rPr>
        <w:t xml:space="preserve">signed up to the </w:t>
      </w:r>
      <w:hyperlink r:id="rId62" w:history="1">
        <w:r w:rsidRPr="00AD0148">
          <w:rPr>
            <w:rStyle w:val="Hyperlink"/>
            <w:rFonts w:cs="Arial"/>
          </w:rPr>
          <w:t>Wales Crisis Care Concordat National Action Plan 2019-22</w:t>
        </w:r>
      </w:hyperlink>
      <w:r>
        <w:rPr>
          <w:rFonts w:cs="Arial"/>
        </w:rPr>
        <w:t xml:space="preserve"> which sets out our shared commitment to responding </w:t>
      </w:r>
      <w:r w:rsidRPr="00164805">
        <w:rPr>
          <w:szCs w:val="23"/>
        </w:rPr>
        <w:t xml:space="preserve">to and supporting people of any age who experience a mental health crisis or a significant deterioration in their mental health that could lead to crisis and potential contact with the police and / or detention under the Mental Health Act. </w:t>
      </w:r>
      <w:r w:rsidRPr="00164805">
        <w:rPr>
          <w:rFonts w:cs="Arial"/>
          <w:sz w:val="20"/>
        </w:rPr>
        <w:t xml:space="preserve"> </w:t>
      </w:r>
    </w:p>
    <w:p w14:paraId="15094633" w14:textId="77777777" w:rsidR="00D8540C" w:rsidRPr="00D96821" w:rsidRDefault="00D8540C" w:rsidP="00D96821"/>
    <w:p w14:paraId="1FD6E061" w14:textId="2A8F51FE" w:rsidR="00D8540C" w:rsidRDefault="00D8540C" w:rsidP="00D96821">
      <w:pPr>
        <w:spacing w:line="259" w:lineRule="auto"/>
      </w:pPr>
      <w:r w:rsidRPr="00D96821">
        <w:t xml:space="preserve">In response to </w:t>
      </w:r>
      <w:r w:rsidR="00897141">
        <w:t>WG</w:t>
      </w:r>
      <w:r w:rsidRPr="00D96821">
        <w:t xml:space="preserve">’s report “Everybody’s business – a report on suicide prevention in Wales” December 2018, a </w:t>
      </w:r>
      <w:r w:rsidRPr="002F75AD">
        <w:t xml:space="preserve">South Wales PSC Mental Health Triage Pilot </w:t>
      </w:r>
      <w:r>
        <w:t xml:space="preserve">was set up in January </w:t>
      </w:r>
      <w:r w:rsidRPr="002F75AD">
        <w:t>2019.</w:t>
      </w:r>
      <w:r w:rsidR="00F863C8">
        <w:t xml:space="preserve"> </w:t>
      </w:r>
      <w:r w:rsidRPr="002F75AD">
        <w:t xml:space="preserve"> </w:t>
      </w:r>
      <w:r w:rsidR="000B1629">
        <w:t>Community Psychiatric Nurses (</w:t>
      </w:r>
      <w:r>
        <w:t>CPNs</w:t>
      </w:r>
      <w:r w:rsidR="000B1629">
        <w:t>)</w:t>
      </w:r>
      <w:r>
        <w:t xml:space="preserve"> from the 3 health boards have been seconded to assist the police in supporting any person in Mental Health crisis or distress, and help provide alternatives to section 136 detention wherever appropriate.  </w:t>
      </w:r>
      <w:r w:rsidRPr="002F75AD">
        <w:t xml:space="preserve">An evaluation report </w:t>
      </w:r>
      <w:r>
        <w:t xml:space="preserve">has </w:t>
      </w:r>
      <w:r w:rsidRPr="00D96821">
        <w:t>shown that overall triage is considered to be a valuable service that provides police with additional support in the management of MH related incidents.</w:t>
      </w:r>
      <w:r w:rsidR="00F863C8">
        <w:t xml:space="preserve"> </w:t>
      </w:r>
      <w:r w:rsidRPr="00D96821">
        <w:t xml:space="preserve"> The expertise of triage staff was praised and considered to be of benefit to both the police and those in need of support. </w:t>
      </w:r>
      <w:r w:rsidR="00F863C8">
        <w:t xml:space="preserve"> </w:t>
      </w:r>
      <w:r w:rsidRPr="00D96821">
        <w:t>On the whole, police staff considered triage to have a positive impact on their practice, particularly in terms of confidence building when dealing with incidents they consider outside their area of expertise.</w:t>
      </w:r>
      <w:r w:rsidR="00F863C8">
        <w:t xml:space="preserve"> </w:t>
      </w:r>
      <w:r w:rsidRPr="00D96821">
        <w:t xml:space="preserve"> This opinion was shared across police and health, and interviewees across the services which has resulted in a continuation of the triage beyond the pilot.</w:t>
      </w:r>
    </w:p>
    <w:p w14:paraId="5C205F0B" w14:textId="77777777" w:rsidR="00D96821" w:rsidRPr="00D96821" w:rsidRDefault="00D96821" w:rsidP="00D96821">
      <w:pPr>
        <w:spacing w:line="259" w:lineRule="auto"/>
      </w:pPr>
    </w:p>
    <w:p w14:paraId="77DC68A7" w14:textId="574935EB" w:rsidR="00D8540C" w:rsidRDefault="00D8540C" w:rsidP="00D8540C">
      <w:pPr>
        <w:pStyle w:val="Footer"/>
        <w:tabs>
          <w:tab w:val="right" w:pos="9000"/>
        </w:tabs>
        <w:rPr>
          <w:rFonts w:asciiTheme="minorHAnsi" w:hAnsiTheme="minorHAnsi"/>
        </w:rPr>
      </w:pPr>
      <w:r w:rsidRPr="00D8540C">
        <w:rPr>
          <w:rFonts w:asciiTheme="minorHAnsi" w:hAnsiTheme="minorHAnsi"/>
        </w:rPr>
        <w:t>To ensure a timely response to people experiencing first episode of psychosis, a multi-agency working group has been established to develop Early Intervention in Psychosis (EIP) services</w:t>
      </w:r>
      <w:r w:rsidRPr="006A6AEA">
        <w:rPr>
          <w:rFonts w:asciiTheme="minorHAnsi" w:hAnsiTheme="minorHAnsi"/>
        </w:rPr>
        <w:t xml:space="preserve"> further within </w:t>
      </w:r>
      <w:r w:rsidR="00FF2E58">
        <w:rPr>
          <w:rFonts w:asciiTheme="minorHAnsi" w:hAnsiTheme="minorHAnsi"/>
        </w:rPr>
        <w:t>CTM</w:t>
      </w:r>
      <w:r w:rsidRPr="006A6AEA">
        <w:rPr>
          <w:rFonts w:asciiTheme="minorHAnsi" w:hAnsiTheme="minorHAnsi"/>
        </w:rPr>
        <w:t>.  The aim is to develop a framework that takes existing patterns of service deliver</w:t>
      </w:r>
      <w:r>
        <w:rPr>
          <w:rFonts w:asciiTheme="minorHAnsi" w:hAnsiTheme="minorHAnsi"/>
        </w:rPr>
        <w:t>y and ensuring that clinical leadership and governance arrangements are in place</w:t>
      </w:r>
      <w:r w:rsidRPr="006A6AEA">
        <w:rPr>
          <w:rFonts w:asciiTheme="minorHAnsi" w:hAnsiTheme="minorHAnsi"/>
        </w:rPr>
        <w:t>.</w:t>
      </w:r>
      <w:r w:rsidR="00F863C8">
        <w:rPr>
          <w:rFonts w:asciiTheme="minorHAnsi" w:hAnsiTheme="minorHAnsi"/>
        </w:rPr>
        <w:t xml:space="preserve"> </w:t>
      </w:r>
      <w:r w:rsidRPr="006A6AEA">
        <w:rPr>
          <w:rFonts w:asciiTheme="minorHAnsi" w:hAnsiTheme="minorHAnsi"/>
        </w:rPr>
        <w:t xml:space="preserve"> Whilst also taking into consideration national guidelines, assessment needs of our population and workforce requirements.</w:t>
      </w:r>
    </w:p>
    <w:p w14:paraId="50ACB8F7" w14:textId="2B74EC07" w:rsidR="00273FBF" w:rsidRPr="006C4A61" w:rsidRDefault="00D8540C" w:rsidP="00D60D68">
      <w:pPr>
        <w:pStyle w:val="Heading4"/>
        <w:rPr>
          <w:lang w:val="en"/>
        </w:rPr>
      </w:pPr>
      <w:r w:rsidRPr="00D8540C">
        <w:rPr>
          <w:lang w:val="en"/>
        </w:rPr>
        <w:t>Integrated Autism Service</w:t>
      </w:r>
    </w:p>
    <w:p w14:paraId="3DBF9C34" w14:textId="170C67E9" w:rsidR="00D8540C" w:rsidRDefault="00D8540C" w:rsidP="00CD200B">
      <w:pPr>
        <w:rPr>
          <w:rFonts w:cs="Arial"/>
          <w:lang w:val="en"/>
        </w:rPr>
      </w:pPr>
      <w:r w:rsidRPr="005C0CAC">
        <w:rPr>
          <w:rFonts w:asciiTheme="minorHAnsi" w:hAnsiTheme="minorHAnsi" w:cs="Arial"/>
          <w:szCs w:val="22"/>
          <w:lang w:val="en"/>
        </w:rPr>
        <w:t xml:space="preserve">The </w:t>
      </w:r>
      <w:r w:rsidRPr="005C0CAC">
        <w:rPr>
          <w:rFonts w:asciiTheme="minorHAnsi" w:hAnsiTheme="minorHAnsi" w:cs="Arial"/>
          <w:b/>
          <w:szCs w:val="22"/>
          <w:lang w:val="en"/>
        </w:rPr>
        <w:t>Integrated Autism Service (IAS</w:t>
      </w:r>
      <w:r w:rsidR="00AE0C07" w:rsidRPr="005C0CAC">
        <w:rPr>
          <w:rFonts w:asciiTheme="minorHAnsi" w:hAnsiTheme="minorHAnsi" w:cs="Arial"/>
          <w:b/>
          <w:szCs w:val="22"/>
          <w:lang w:val="en"/>
        </w:rPr>
        <w:t xml:space="preserve">) </w:t>
      </w:r>
      <w:r w:rsidR="00AE0C07" w:rsidRPr="005C0CAC">
        <w:rPr>
          <w:rFonts w:asciiTheme="minorHAnsi" w:hAnsiTheme="minorHAnsi" w:cs="Arial"/>
          <w:szCs w:val="22"/>
          <w:lang w:val="en"/>
        </w:rPr>
        <w:t>forms</w:t>
      </w:r>
      <w:r w:rsidRPr="005C0CAC">
        <w:rPr>
          <w:rFonts w:asciiTheme="minorHAnsi" w:hAnsiTheme="minorHAnsi" w:cs="Arial"/>
          <w:szCs w:val="22"/>
          <w:lang w:val="en"/>
        </w:rPr>
        <w:t xml:space="preserve"> part of a Wales wide Autism Strategy initiative to develop support for </w:t>
      </w:r>
      <w:r>
        <w:rPr>
          <w:rFonts w:asciiTheme="minorHAnsi" w:hAnsiTheme="minorHAnsi" w:cs="Arial"/>
          <w:szCs w:val="22"/>
          <w:lang w:val="en"/>
        </w:rPr>
        <w:t xml:space="preserve">adults </w:t>
      </w:r>
      <w:r w:rsidRPr="005C0CAC">
        <w:rPr>
          <w:rFonts w:asciiTheme="minorHAnsi" w:hAnsiTheme="minorHAnsi" w:cs="Arial"/>
          <w:szCs w:val="22"/>
          <w:lang w:val="en"/>
        </w:rPr>
        <w:t>with Autistic Spectrum Disorders and their families.</w:t>
      </w:r>
      <w:r w:rsidR="00F863C8">
        <w:rPr>
          <w:rFonts w:asciiTheme="minorHAnsi" w:hAnsiTheme="minorHAnsi" w:cs="Arial"/>
          <w:szCs w:val="22"/>
          <w:lang w:val="en"/>
        </w:rPr>
        <w:t xml:space="preserve"> </w:t>
      </w:r>
      <w:r>
        <w:rPr>
          <w:rFonts w:asciiTheme="minorHAnsi" w:hAnsiTheme="minorHAnsi" w:cs="Arial"/>
          <w:szCs w:val="22"/>
          <w:lang w:val="en"/>
        </w:rPr>
        <w:t xml:space="preserve"> </w:t>
      </w:r>
      <w:r w:rsidRPr="005C0CAC">
        <w:rPr>
          <w:rFonts w:asciiTheme="minorHAnsi" w:hAnsiTheme="minorHAnsi" w:cs="Arial"/>
          <w:szCs w:val="22"/>
          <w:lang w:val="en"/>
        </w:rPr>
        <w:t xml:space="preserve">The vision for the </w:t>
      </w:r>
      <w:r>
        <w:rPr>
          <w:rFonts w:asciiTheme="minorHAnsi" w:hAnsiTheme="minorHAnsi" w:cs="Arial"/>
          <w:szCs w:val="22"/>
          <w:lang w:val="en"/>
        </w:rPr>
        <w:t>IAS</w:t>
      </w:r>
      <w:r w:rsidRPr="005C0CAC">
        <w:rPr>
          <w:rFonts w:asciiTheme="minorHAnsi" w:hAnsiTheme="minorHAnsi" w:cs="Arial"/>
          <w:szCs w:val="22"/>
          <w:lang w:val="en"/>
        </w:rPr>
        <w:t xml:space="preserve"> is </w:t>
      </w:r>
      <w:r>
        <w:rPr>
          <w:rFonts w:asciiTheme="minorHAnsi" w:hAnsiTheme="minorHAnsi" w:cs="Arial"/>
          <w:szCs w:val="22"/>
          <w:lang w:val="en"/>
        </w:rPr>
        <w:t>for</w:t>
      </w:r>
      <w:r w:rsidRPr="005C0CAC">
        <w:rPr>
          <w:rFonts w:asciiTheme="minorHAnsi" w:hAnsiTheme="minorHAnsi" w:cs="Arial"/>
          <w:szCs w:val="22"/>
          <w:lang w:val="en"/>
        </w:rPr>
        <w:t xml:space="preserve"> collaboration between health and social care in partnership with education, Third Sector organisations and other services.</w:t>
      </w:r>
      <w:r w:rsidR="00F863C8">
        <w:rPr>
          <w:rFonts w:asciiTheme="minorHAnsi" w:hAnsiTheme="minorHAnsi" w:cs="Arial"/>
          <w:szCs w:val="22"/>
          <w:lang w:val="en"/>
        </w:rPr>
        <w:t xml:space="preserve"> </w:t>
      </w:r>
      <w:r w:rsidRPr="005C0CAC">
        <w:rPr>
          <w:rFonts w:asciiTheme="minorHAnsi" w:hAnsiTheme="minorHAnsi" w:cs="Arial"/>
          <w:szCs w:val="22"/>
          <w:lang w:val="en"/>
        </w:rPr>
        <w:t xml:space="preserve"> </w:t>
      </w:r>
      <w:r w:rsidRPr="005C0CAC">
        <w:rPr>
          <w:rFonts w:asciiTheme="minorHAnsi" w:hAnsiTheme="minorHAnsi" w:cs="Arial"/>
          <w:szCs w:val="22"/>
        </w:rPr>
        <w:t>The IAS consists of a range of professionals who have the required ski</w:t>
      </w:r>
      <w:r>
        <w:rPr>
          <w:rFonts w:asciiTheme="minorHAnsi" w:hAnsiTheme="minorHAnsi" w:cs="Arial"/>
          <w:szCs w:val="22"/>
        </w:rPr>
        <w:t>lls to ensure low level support and</w:t>
      </w:r>
      <w:r w:rsidRPr="005C0CAC">
        <w:rPr>
          <w:rFonts w:asciiTheme="minorHAnsi" w:hAnsiTheme="minorHAnsi" w:cs="Arial"/>
          <w:szCs w:val="22"/>
        </w:rPr>
        <w:t xml:space="preserve"> brief interventions as well as having access to skilled practitioners who can support and intervene where required in relation to those with or affected by Autism.</w:t>
      </w:r>
      <w:r w:rsidR="00F863C8">
        <w:rPr>
          <w:rFonts w:asciiTheme="minorHAnsi" w:hAnsiTheme="minorHAnsi" w:cs="Arial"/>
          <w:szCs w:val="22"/>
        </w:rPr>
        <w:t xml:space="preserve"> </w:t>
      </w:r>
      <w:r>
        <w:rPr>
          <w:rFonts w:asciiTheme="minorHAnsi" w:hAnsiTheme="minorHAnsi" w:cs="Arial"/>
          <w:szCs w:val="22"/>
        </w:rPr>
        <w:t xml:space="preserve"> Offering </w:t>
      </w:r>
      <w:r w:rsidRPr="00EF7720">
        <w:rPr>
          <w:rFonts w:cs="Arial"/>
          <w:lang w:val="en"/>
        </w:rPr>
        <w:t xml:space="preserve">adults </w:t>
      </w:r>
      <w:r w:rsidRPr="000F7872">
        <w:rPr>
          <w:rFonts w:cs="Arial"/>
          <w:lang w:val="en"/>
        </w:rPr>
        <w:t xml:space="preserve">a diagnostic assessment if </w:t>
      </w:r>
      <w:r w:rsidRPr="00EF7720">
        <w:rPr>
          <w:rFonts w:cs="Arial"/>
          <w:lang w:val="en"/>
        </w:rPr>
        <w:t xml:space="preserve">needed, </w:t>
      </w:r>
      <w:r>
        <w:rPr>
          <w:rFonts w:cs="Arial"/>
          <w:lang w:val="en"/>
        </w:rPr>
        <w:t>IAS also offer</w:t>
      </w:r>
      <w:r w:rsidRPr="00EF7720">
        <w:rPr>
          <w:rFonts w:cs="Arial"/>
          <w:lang w:val="en"/>
        </w:rPr>
        <w:t xml:space="preserve"> </w:t>
      </w:r>
      <w:r>
        <w:rPr>
          <w:rFonts w:cs="Arial"/>
          <w:lang w:val="en"/>
        </w:rPr>
        <w:lastRenderedPageBreak/>
        <w:t xml:space="preserve">advice and support on managing anxiety, developing social skills, accessing leisure and recreational activities, developing daily living skills and accessing other services as appropriate to the individual’s needs. </w:t>
      </w:r>
    </w:p>
    <w:p w14:paraId="7AD85E83" w14:textId="77777777" w:rsidR="00D8540C" w:rsidRDefault="00D8540C" w:rsidP="00CD200B">
      <w:pPr>
        <w:rPr>
          <w:rFonts w:cs="Arial"/>
          <w:lang w:val="en"/>
        </w:rPr>
      </w:pPr>
    </w:p>
    <w:p w14:paraId="785E6986" w14:textId="743608D9" w:rsidR="00174521" w:rsidRDefault="00D8540C" w:rsidP="00CD200B">
      <w:pPr>
        <w:rPr>
          <w:rFonts w:cs="Arial"/>
          <w:lang w:val="en"/>
        </w:rPr>
      </w:pPr>
      <w:r>
        <w:rPr>
          <w:rFonts w:cs="Arial"/>
          <w:lang w:val="en"/>
        </w:rPr>
        <w:t xml:space="preserve">The service has seen a significant increase in referrals over the past 6 months, which along with the level of vacancies within the team has led to difficulty meeting demand. </w:t>
      </w:r>
      <w:r w:rsidR="00F863C8">
        <w:rPr>
          <w:rFonts w:cs="Arial"/>
          <w:lang w:val="en"/>
        </w:rPr>
        <w:t xml:space="preserve"> </w:t>
      </w:r>
      <w:r>
        <w:rPr>
          <w:rFonts w:cs="Arial"/>
          <w:lang w:val="en"/>
        </w:rPr>
        <w:t xml:space="preserve">A service review has led to a new team skill mix and structure </w:t>
      </w:r>
      <w:r w:rsidR="00F863C8">
        <w:rPr>
          <w:rFonts w:cs="Arial"/>
          <w:lang w:val="en"/>
        </w:rPr>
        <w:t xml:space="preserve">which, </w:t>
      </w:r>
      <w:r>
        <w:rPr>
          <w:rFonts w:cs="Arial"/>
          <w:lang w:val="en"/>
        </w:rPr>
        <w:t>when fully appointed to</w:t>
      </w:r>
      <w:r w:rsidR="00F863C8">
        <w:rPr>
          <w:rFonts w:cs="Arial"/>
          <w:lang w:val="en"/>
        </w:rPr>
        <w:t>,</w:t>
      </w:r>
      <w:r>
        <w:rPr>
          <w:rFonts w:cs="Arial"/>
          <w:lang w:val="en"/>
        </w:rPr>
        <w:t xml:space="preserve"> will provide more capacity enabling timelier assessments.  Meanwhile a waiting list initiative is being undertaken to provide diagnostic assessments. </w:t>
      </w:r>
      <w:r w:rsidR="00174521">
        <w:rPr>
          <w:rFonts w:cs="Arial"/>
          <w:lang w:val="en"/>
        </w:rPr>
        <w:t xml:space="preserve"> </w:t>
      </w:r>
    </w:p>
    <w:p w14:paraId="5D1ABD51" w14:textId="6324FD23" w:rsidR="00D8540C" w:rsidRPr="00D8540C" w:rsidRDefault="00D8540C" w:rsidP="00D60D68">
      <w:pPr>
        <w:pStyle w:val="Heading4"/>
      </w:pPr>
      <w:r w:rsidRPr="00D8540C">
        <w:t>Local Mental Health Partnership Board</w:t>
      </w:r>
    </w:p>
    <w:p w14:paraId="41611395" w14:textId="60D7C764" w:rsidR="00D8540C" w:rsidRPr="00B463FA" w:rsidRDefault="00D8540C" w:rsidP="00D8540C">
      <w:pPr>
        <w:rPr>
          <w:rFonts w:asciiTheme="minorHAnsi" w:hAnsiTheme="minorHAnsi"/>
          <w:szCs w:val="22"/>
        </w:rPr>
      </w:pPr>
      <w:r>
        <w:rPr>
          <w:rFonts w:asciiTheme="minorHAnsi" w:hAnsiTheme="minorHAnsi"/>
          <w:szCs w:val="22"/>
        </w:rPr>
        <w:t>P</w:t>
      </w:r>
      <w:r w:rsidRPr="00B463FA">
        <w:rPr>
          <w:rFonts w:asciiTheme="minorHAnsi" w:hAnsiTheme="minorHAnsi"/>
          <w:szCs w:val="22"/>
        </w:rPr>
        <w:t xml:space="preserve">riority </w:t>
      </w:r>
      <w:r>
        <w:rPr>
          <w:rFonts w:asciiTheme="minorHAnsi" w:hAnsiTheme="minorHAnsi"/>
          <w:szCs w:val="22"/>
        </w:rPr>
        <w:t xml:space="preserve">service </w:t>
      </w:r>
      <w:r w:rsidRPr="00B463FA">
        <w:rPr>
          <w:rFonts w:asciiTheme="minorHAnsi" w:hAnsiTheme="minorHAnsi"/>
          <w:szCs w:val="22"/>
        </w:rPr>
        <w:t xml:space="preserve">developments are being enabled with the significant </w:t>
      </w:r>
      <w:r>
        <w:rPr>
          <w:rFonts w:asciiTheme="minorHAnsi" w:hAnsiTheme="minorHAnsi"/>
          <w:szCs w:val="22"/>
        </w:rPr>
        <w:t xml:space="preserve">and welcomed </w:t>
      </w:r>
      <w:r w:rsidRPr="00B463FA">
        <w:rPr>
          <w:rFonts w:asciiTheme="minorHAnsi" w:hAnsiTheme="minorHAnsi"/>
          <w:szCs w:val="22"/>
        </w:rPr>
        <w:t>WG investment in mental health services via the Mental Health Service Improvement Fund.  In 2018/19 this funding enabled us  to invest in improving the range of psychological therapies available; develop the commissioning structure for mental health related Continuing Health Care; develop local low secure and forensic services; help advance practice within adult inpatient care; enhancing community based support for people with dementia; and enhanci</w:t>
      </w:r>
      <w:r w:rsidR="007D48E4">
        <w:rPr>
          <w:rFonts w:asciiTheme="minorHAnsi" w:hAnsiTheme="minorHAnsi"/>
          <w:szCs w:val="22"/>
        </w:rPr>
        <w:t>ng the local primary care CAMHS</w:t>
      </w:r>
      <w:r w:rsidRPr="00B463FA">
        <w:rPr>
          <w:rFonts w:asciiTheme="minorHAnsi" w:hAnsiTheme="minorHAnsi"/>
          <w:szCs w:val="22"/>
        </w:rPr>
        <w:t xml:space="preserve">. </w:t>
      </w:r>
      <w:r w:rsidR="007D48E4">
        <w:rPr>
          <w:rFonts w:asciiTheme="minorHAnsi" w:hAnsiTheme="minorHAnsi"/>
          <w:szCs w:val="22"/>
        </w:rPr>
        <w:t xml:space="preserve"> </w:t>
      </w:r>
      <w:r w:rsidRPr="00B463FA">
        <w:rPr>
          <w:rFonts w:asciiTheme="minorHAnsi" w:hAnsiTheme="minorHAnsi"/>
          <w:szCs w:val="22"/>
        </w:rPr>
        <w:t xml:space="preserve">Building on these developments we are using £1.28m of this year’s funding to continue development of psychological therapies and to invest in services to provide </w:t>
      </w:r>
      <w:r w:rsidR="00FF2E58">
        <w:rPr>
          <w:rFonts w:asciiTheme="minorHAnsi" w:hAnsiTheme="minorHAnsi"/>
          <w:szCs w:val="22"/>
        </w:rPr>
        <w:t>EIP</w:t>
      </w:r>
      <w:r w:rsidRPr="00B463FA">
        <w:rPr>
          <w:rFonts w:asciiTheme="minorHAnsi" w:hAnsiTheme="minorHAnsi"/>
          <w:szCs w:val="22"/>
        </w:rPr>
        <w:t xml:space="preserve">, Perinatal Mental Health, Eating Disorders, Crisis Care and advancing practice in adult mental health care. The </w:t>
      </w:r>
      <w:r>
        <w:rPr>
          <w:rFonts w:asciiTheme="minorHAnsi" w:hAnsiTheme="minorHAnsi"/>
          <w:szCs w:val="22"/>
        </w:rPr>
        <w:t xml:space="preserve">remaining £1m funding is being used to enhance primary, secondary and crisis CAMH </w:t>
      </w:r>
      <w:r w:rsidR="00B16533">
        <w:rPr>
          <w:rFonts w:asciiTheme="minorHAnsi" w:hAnsiTheme="minorHAnsi"/>
          <w:szCs w:val="22"/>
        </w:rPr>
        <w:t>S</w:t>
      </w:r>
      <w:r>
        <w:rPr>
          <w:rFonts w:asciiTheme="minorHAnsi" w:hAnsiTheme="minorHAnsi"/>
          <w:szCs w:val="22"/>
        </w:rPr>
        <w:t xml:space="preserve">ervices. </w:t>
      </w:r>
    </w:p>
    <w:p w14:paraId="44390CBA" w14:textId="77777777" w:rsidR="00D8540C" w:rsidRPr="00081017" w:rsidRDefault="00D8540C" w:rsidP="00D8540C">
      <w:pPr>
        <w:rPr>
          <w:rFonts w:asciiTheme="minorHAnsi" w:hAnsiTheme="minorHAnsi"/>
          <w:szCs w:val="22"/>
        </w:rPr>
      </w:pPr>
    </w:p>
    <w:p w14:paraId="4149EE24" w14:textId="64251CF9" w:rsidR="00D8540C" w:rsidRPr="00D8540C" w:rsidRDefault="00D8540C" w:rsidP="00D8540C">
      <w:pPr>
        <w:rPr>
          <w:rFonts w:asciiTheme="minorHAnsi" w:hAnsiTheme="minorHAnsi"/>
          <w:szCs w:val="22"/>
        </w:rPr>
      </w:pPr>
      <w:r w:rsidRPr="00081017">
        <w:rPr>
          <w:rFonts w:asciiTheme="minorHAnsi" w:hAnsiTheme="minorHAnsi"/>
          <w:szCs w:val="22"/>
        </w:rPr>
        <w:t xml:space="preserve">Together with our partners we are making sound progress </w:t>
      </w:r>
      <w:r>
        <w:rPr>
          <w:rFonts w:asciiTheme="minorHAnsi" w:hAnsiTheme="minorHAnsi"/>
          <w:szCs w:val="22"/>
        </w:rPr>
        <w:t>in the Local Mental H</w:t>
      </w:r>
      <w:r w:rsidRPr="009E26B7">
        <w:rPr>
          <w:rFonts w:asciiTheme="minorHAnsi" w:hAnsiTheme="minorHAnsi"/>
          <w:szCs w:val="22"/>
        </w:rPr>
        <w:t xml:space="preserve">ealth Partnership Board </w:t>
      </w:r>
      <w:r w:rsidRPr="00D8540C">
        <w:rPr>
          <w:rFonts w:asciiTheme="minorHAnsi" w:hAnsiTheme="minorHAnsi"/>
          <w:szCs w:val="22"/>
        </w:rPr>
        <w:t xml:space="preserve">addressing the locally agreed priorities through multi-agency </w:t>
      </w:r>
      <w:r w:rsidR="00614BBE">
        <w:rPr>
          <w:rFonts w:asciiTheme="minorHAnsi" w:hAnsiTheme="minorHAnsi"/>
          <w:szCs w:val="22"/>
        </w:rPr>
        <w:t>workstreams</w:t>
      </w:r>
      <w:r w:rsidRPr="00D8540C">
        <w:rPr>
          <w:rFonts w:asciiTheme="minorHAnsi" w:hAnsiTheme="minorHAnsi"/>
          <w:szCs w:val="22"/>
        </w:rPr>
        <w:t>.</w:t>
      </w:r>
      <w:r w:rsidR="00935BFE">
        <w:rPr>
          <w:rFonts w:asciiTheme="minorHAnsi" w:hAnsiTheme="minorHAnsi"/>
          <w:szCs w:val="22"/>
        </w:rPr>
        <w:t xml:space="preserve"> </w:t>
      </w:r>
      <w:r w:rsidRPr="00D8540C">
        <w:rPr>
          <w:rFonts w:asciiTheme="minorHAnsi" w:hAnsiTheme="minorHAnsi"/>
          <w:szCs w:val="22"/>
        </w:rPr>
        <w:t xml:space="preserve"> These cover:</w:t>
      </w:r>
    </w:p>
    <w:p w14:paraId="4C41AA94" w14:textId="19D0018D" w:rsidR="00D8540C" w:rsidRPr="00D8540C" w:rsidRDefault="00D8540C" w:rsidP="00D8540C">
      <w:pPr>
        <w:pStyle w:val="NormaBullet"/>
        <w:rPr>
          <w:szCs w:val="22"/>
        </w:rPr>
      </w:pPr>
      <w:r w:rsidRPr="00D8540C">
        <w:rPr>
          <w:szCs w:val="22"/>
        </w:rPr>
        <w:t>Prevention of Suicide and Self Harm (SSH): Overseeing implementa</w:t>
      </w:r>
      <w:r w:rsidR="003323DC">
        <w:rPr>
          <w:szCs w:val="22"/>
        </w:rPr>
        <w:t>tion of the Cwm Taf #Project 34</w:t>
      </w:r>
      <w:r w:rsidRPr="00D8540C">
        <w:rPr>
          <w:szCs w:val="22"/>
        </w:rPr>
        <w:t>+</w:t>
      </w:r>
      <w:r w:rsidR="00C005B6">
        <w:rPr>
          <w:szCs w:val="22"/>
        </w:rPr>
        <w:t xml:space="preserve"> </w:t>
      </w:r>
      <w:r w:rsidRPr="00D8540C">
        <w:rPr>
          <w:szCs w:val="22"/>
        </w:rPr>
        <w:t xml:space="preserve">and </w:t>
      </w:r>
      <w:r w:rsidRPr="00D8540C">
        <w:rPr>
          <w:szCs w:val="22"/>
          <w:lang w:val="en-NZ"/>
        </w:rPr>
        <w:t xml:space="preserve">Bridgend SSH action plans, with a view to developing a </w:t>
      </w:r>
      <w:r w:rsidR="00D34048">
        <w:rPr>
          <w:szCs w:val="22"/>
          <w:lang w:val="en-NZ"/>
        </w:rPr>
        <w:t>CTM</w:t>
      </w:r>
      <w:r w:rsidRPr="00D8540C">
        <w:rPr>
          <w:szCs w:val="22"/>
          <w:lang w:val="en-NZ"/>
        </w:rPr>
        <w:t xml:space="preserve"> SSH action from 2020.  </w:t>
      </w:r>
      <w:r w:rsidR="00D34048">
        <w:rPr>
          <w:szCs w:val="22"/>
          <w:lang w:val="en-NZ"/>
        </w:rPr>
        <w:t>WG</w:t>
      </w:r>
      <w:r w:rsidRPr="00D8540C">
        <w:rPr>
          <w:szCs w:val="22"/>
          <w:lang w:val="en-NZ"/>
        </w:rPr>
        <w:t xml:space="preserve"> funding in 2019/20 is being used to raise awareness of suicide and </w:t>
      </w:r>
      <w:r w:rsidR="000A4808" w:rsidRPr="00D8540C">
        <w:rPr>
          <w:szCs w:val="22"/>
          <w:lang w:val="en-NZ"/>
        </w:rPr>
        <w:t>self-harm</w:t>
      </w:r>
      <w:r w:rsidRPr="00D8540C">
        <w:rPr>
          <w:szCs w:val="22"/>
          <w:lang w:val="en-NZ"/>
        </w:rPr>
        <w:t xml:space="preserve"> within communities and with key staff, and to offer support to those affected.</w:t>
      </w:r>
    </w:p>
    <w:p w14:paraId="0E39BEE5" w14:textId="110CAD83" w:rsidR="00D8540C" w:rsidRPr="00D8540C" w:rsidRDefault="00D8540C" w:rsidP="00D8540C">
      <w:pPr>
        <w:pStyle w:val="NormaBullet"/>
        <w:rPr>
          <w:szCs w:val="22"/>
        </w:rPr>
      </w:pPr>
      <w:r w:rsidRPr="00D8540C">
        <w:rPr>
          <w:szCs w:val="22"/>
        </w:rPr>
        <w:t>Children and You</w:t>
      </w:r>
      <w:r w:rsidR="005D0D63">
        <w:rPr>
          <w:szCs w:val="22"/>
        </w:rPr>
        <w:t xml:space="preserve">ng People: </w:t>
      </w:r>
      <w:r w:rsidRPr="00D8540C">
        <w:rPr>
          <w:szCs w:val="22"/>
        </w:rPr>
        <w:t xml:space="preserve">Opportunities continue to take place in relation to how children and young people are involved in the development of service delivery. Development continues to take place that reflects priorities that have been agreed by all agencies.  </w:t>
      </w:r>
    </w:p>
    <w:p w14:paraId="585D0379" w14:textId="59CC8E3C" w:rsidR="00D8540C" w:rsidRPr="00D8540C" w:rsidRDefault="00D8540C" w:rsidP="00D8540C">
      <w:pPr>
        <w:pStyle w:val="NormaBullet"/>
        <w:rPr>
          <w:szCs w:val="22"/>
        </w:rPr>
      </w:pPr>
      <w:r w:rsidRPr="00D8540C">
        <w:rPr>
          <w:szCs w:val="22"/>
        </w:rPr>
        <w:t>Dement</w:t>
      </w:r>
      <w:r w:rsidR="005D0D63">
        <w:rPr>
          <w:szCs w:val="22"/>
        </w:rPr>
        <w:t xml:space="preserve">ia: </w:t>
      </w:r>
      <w:r w:rsidRPr="00D8540C">
        <w:rPr>
          <w:szCs w:val="22"/>
        </w:rPr>
        <w:t xml:space="preserve">Local implementation of the Dementia Action </w:t>
      </w:r>
      <w:r w:rsidR="005D0D63">
        <w:rPr>
          <w:szCs w:val="22"/>
        </w:rPr>
        <w:t xml:space="preserve">Plan for Wales overseen by the </w:t>
      </w:r>
      <w:r w:rsidR="006264B6">
        <w:rPr>
          <w:szCs w:val="22"/>
        </w:rPr>
        <w:t xml:space="preserve">multi-agency </w:t>
      </w:r>
      <w:r w:rsidRPr="00D8540C">
        <w:rPr>
          <w:szCs w:val="22"/>
        </w:rPr>
        <w:t xml:space="preserve">Dementia Steering Group and various </w:t>
      </w:r>
      <w:r w:rsidR="00614BBE">
        <w:rPr>
          <w:szCs w:val="22"/>
        </w:rPr>
        <w:t>workstreams</w:t>
      </w:r>
      <w:r w:rsidR="006264B6">
        <w:rPr>
          <w:szCs w:val="22"/>
        </w:rPr>
        <w:t xml:space="preserve"> which address Raising Awareness and Understanding of dementia in our Communities, improving memory assessment and diagnosis, enhancing community based support provided both by third sector and specialist health and social care services, and joint workforce development, ensuring all st</w:t>
      </w:r>
      <w:r w:rsidR="00414773">
        <w:rPr>
          <w:szCs w:val="22"/>
        </w:rPr>
        <w:t>aff who come into contact and/</w:t>
      </w:r>
      <w:r w:rsidR="006264B6">
        <w:rPr>
          <w:szCs w:val="22"/>
        </w:rPr>
        <w:t>or care for people with dementia have the understanding and skills to meet their needs</w:t>
      </w:r>
      <w:r w:rsidRPr="00D8540C">
        <w:rPr>
          <w:szCs w:val="22"/>
        </w:rPr>
        <w:t>.</w:t>
      </w:r>
    </w:p>
    <w:p w14:paraId="035B2036" w14:textId="2BFC6E65" w:rsidR="00D8540C" w:rsidRPr="00D8540C" w:rsidRDefault="00D8540C" w:rsidP="00D8540C">
      <w:pPr>
        <w:pStyle w:val="NormaBullet"/>
        <w:rPr>
          <w:szCs w:val="22"/>
        </w:rPr>
      </w:pPr>
      <w:r w:rsidRPr="00D8540C">
        <w:rPr>
          <w:szCs w:val="22"/>
        </w:rPr>
        <w:t>Co-occurring Mental</w:t>
      </w:r>
      <w:r w:rsidR="005D0D63">
        <w:rPr>
          <w:szCs w:val="22"/>
        </w:rPr>
        <w:t xml:space="preserve"> Health and Substance Misuse: </w:t>
      </w:r>
      <w:r w:rsidRPr="00D8540C">
        <w:rPr>
          <w:szCs w:val="22"/>
        </w:rPr>
        <w:t>Local implementation of the national framework, with a focus on improving pathways between mental health and substance misu</w:t>
      </w:r>
      <w:r w:rsidR="005D0D63">
        <w:rPr>
          <w:szCs w:val="22"/>
        </w:rPr>
        <w:t>se services, and staff training</w:t>
      </w:r>
      <w:r w:rsidRPr="00D8540C">
        <w:rPr>
          <w:szCs w:val="22"/>
        </w:rPr>
        <w:t xml:space="preserve"> in</w:t>
      </w:r>
      <w:r w:rsidR="0075503F">
        <w:rPr>
          <w:szCs w:val="22"/>
        </w:rPr>
        <w:t xml:space="preserve"> </w:t>
      </w:r>
      <w:r w:rsidRPr="00D8540C">
        <w:rPr>
          <w:szCs w:val="22"/>
        </w:rPr>
        <w:t>conjunction with</w:t>
      </w:r>
      <w:r w:rsidR="00BD04D0">
        <w:rPr>
          <w:szCs w:val="22"/>
        </w:rPr>
        <w:t xml:space="preserve"> the University of South Wales; increasing links with housing agencies to improve the service response to more vulnerable people such as the homeless.</w:t>
      </w:r>
    </w:p>
    <w:p w14:paraId="59EF76A1" w14:textId="77777777" w:rsidR="00D8540C" w:rsidRPr="00D8540C" w:rsidRDefault="00D8540C" w:rsidP="00D8540C">
      <w:pPr>
        <w:pStyle w:val="NormaBullet"/>
        <w:rPr>
          <w:szCs w:val="22"/>
        </w:rPr>
      </w:pPr>
      <w:r w:rsidRPr="00D8540C">
        <w:rPr>
          <w:szCs w:val="22"/>
        </w:rPr>
        <w:t xml:space="preserve">Adult services: Access and Recovery – taking forward the redesign of adult community mental health services, and crisis support. </w:t>
      </w:r>
    </w:p>
    <w:p w14:paraId="6C046FD8" w14:textId="2D0A62DD" w:rsidR="00174521" w:rsidRPr="007027DF" w:rsidRDefault="00D8540C" w:rsidP="00D8540C">
      <w:pPr>
        <w:pStyle w:val="NormaBullet"/>
        <w:rPr>
          <w:rFonts w:asciiTheme="minorHAnsi" w:hAnsiTheme="minorHAnsi"/>
          <w:szCs w:val="22"/>
        </w:rPr>
      </w:pPr>
      <w:r w:rsidRPr="00D8540C">
        <w:rPr>
          <w:szCs w:val="22"/>
        </w:rPr>
        <w:t>Servic</w:t>
      </w:r>
      <w:r w:rsidR="005D0D63">
        <w:rPr>
          <w:szCs w:val="22"/>
        </w:rPr>
        <w:t xml:space="preserve">e User and Carer Engagement: </w:t>
      </w:r>
      <w:r w:rsidRPr="00D8540C">
        <w:rPr>
          <w:szCs w:val="22"/>
        </w:rPr>
        <w:t xml:space="preserve">All of the above </w:t>
      </w:r>
      <w:r w:rsidR="00614BBE">
        <w:rPr>
          <w:szCs w:val="22"/>
        </w:rPr>
        <w:t>workstreams</w:t>
      </w:r>
      <w:r w:rsidRPr="00D8540C">
        <w:rPr>
          <w:szCs w:val="22"/>
        </w:rPr>
        <w:t xml:space="preserve"> have involved service user and carer engagement.  Following the transition of Bridgend County</w:t>
      </w:r>
      <w:r>
        <w:rPr>
          <w:szCs w:val="22"/>
        </w:rPr>
        <w:t xml:space="preserve"> Borough a Task and Finish group has been set up to develop a Service User and Carer Framework.</w:t>
      </w:r>
      <w:r w:rsidR="00174521">
        <w:rPr>
          <w:szCs w:val="22"/>
        </w:rPr>
        <w:t xml:space="preserve">   </w:t>
      </w:r>
    </w:p>
    <w:p w14:paraId="01439846" w14:textId="77777777" w:rsidR="00174521" w:rsidRDefault="00174521" w:rsidP="00174521">
      <w:pPr>
        <w:rPr>
          <w:rFonts w:asciiTheme="minorHAnsi" w:hAnsiTheme="minorHAnsi"/>
          <w:szCs w:val="22"/>
        </w:rPr>
      </w:pPr>
    </w:p>
    <w:p w14:paraId="0F0BDFEA" w14:textId="77AE2776" w:rsidR="00D8540C" w:rsidRPr="00AC1B47" w:rsidRDefault="00D8540C" w:rsidP="00D8540C">
      <w:pPr>
        <w:rPr>
          <w:rFonts w:asciiTheme="minorHAnsi" w:hAnsiTheme="minorHAnsi"/>
          <w:szCs w:val="22"/>
        </w:rPr>
      </w:pPr>
      <w:r w:rsidRPr="00AC1B47">
        <w:rPr>
          <w:rFonts w:asciiTheme="minorHAnsi" w:hAnsiTheme="minorHAnsi"/>
          <w:szCs w:val="22"/>
        </w:rPr>
        <w:t xml:space="preserve">The </w:t>
      </w:r>
      <w:r>
        <w:rPr>
          <w:rFonts w:asciiTheme="minorHAnsi" w:hAnsiTheme="minorHAnsi"/>
          <w:szCs w:val="22"/>
        </w:rPr>
        <w:t xml:space="preserve">revised </w:t>
      </w:r>
      <w:r w:rsidRPr="00AC1B47">
        <w:rPr>
          <w:rFonts w:asciiTheme="minorHAnsi" w:hAnsiTheme="minorHAnsi"/>
          <w:szCs w:val="22"/>
        </w:rPr>
        <w:t xml:space="preserve">All-Wales </w:t>
      </w:r>
      <w:hyperlink r:id="rId63" w:history="1">
        <w:r w:rsidRPr="0019750E">
          <w:rPr>
            <w:rStyle w:val="Hyperlink"/>
            <w:rFonts w:asciiTheme="minorHAnsi" w:hAnsiTheme="minorHAnsi" w:cs="Tahoma"/>
            <w:szCs w:val="22"/>
          </w:rPr>
          <w:t>Together for Mental Health Delivery Plan for 2019-2022</w:t>
        </w:r>
      </w:hyperlink>
      <w:r w:rsidRPr="00AC1B47">
        <w:rPr>
          <w:rFonts w:asciiTheme="minorHAnsi" w:hAnsiTheme="minorHAnsi"/>
          <w:szCs w:val="22"/>
        </w:rPr>
        <w:t xml:space="preserve"> </w:t>
      </w:r>
      <w:r w:rsidR="008A6486">
        <w:rPr>
          <w:rFonts w:asciiTheme="minorHAnsi" w:hAnsiTheme="minorHAnsi"/>
          <w:szCs w:val="22"/>
        </w:rPr>
        <w:t>was published in January 2020.</w:t>
      </w:r>
      <w:r w:rsidRPr="00AC1B47">
        <w:rPr>
          <w:rFonts w:asciiTheme="minorHAnsi" w:hAnsiTheme="minorHAnsi"/>
          <w:szCs w:val="22"/>
        </w:rPr>
        <w:t xml:space="preserve"> </w:t>
      </w:r>
      <w:r w:rsidR="00EB3A7D">
        <w:rPr>
          <w:rFonts w:asciiTheme="minorHAnsi" w:hAnsiTheme="minorHAnsi"/>
          <w:szCs w:val="22"/>
        </w:rPr>
        <w:t xml:space="preserve"> </w:t>
      </w:r>
      <w:r w:rsidR="0019750E">
        <w:rPr>
          <w:rFonts w:asciiTheme="minorHAnsi" w:hAnsiTheme="minorHAnsi"/>
          <w:szCs w:val="22"/>
        </w:rPr>
        <w:t xml:space="preserve"> The CTM Mental Health Partnership</w:t>
      </w:r>
      <w:r w:rsidRPr="00AC1B47">
        <w:rPr>
          <w:rFonts w:asciiTheme="minorHAnsi" w:hAnsiTheme="minorHAnsi"/>
          <w:szCs w:val="22"/>
        </w:rPr>
        <w:t xml:space="preserve"> Board </w:t>
      </w:r>
      <w:r w:rsidR="0019750E">
        <w:rPr>
          <w:rFonts w:asciiTheme="minorHAnsi" w:hAnsiTheme="minorHAnsi"/>
          <w:szCs w:val="22"/>
        </w:rPr>
        <w:t xml:space="preserve">has </w:t>
      </w:r>
      <w:r w:rsidRPr="00AC1B47">
        <w:rPr>
          <w:rFonts w:asciiTheme="minorHAnsi" w:hAnsiTheme="minorHAnsi"/>
          <w:szCs w:val="22"/>
        </w:rPr>
        <w:t>arrange</w:t>
      </w:r>
      <w:r w:rsidR="0019750E">
        <w:rPr>
          <w:rFonts w:asciiTheme="minorHAnsi" w:hAnsiTheme="minorHAnsi"/>
          <w:szCs w:val="22"/>
        </w:rPr>
        <w:t>d a</w:t>
      </w:r>
      <w:r w:rsidRPr="00AC1B47">
        <w:rPr>
          <w:rFonts w:asciiTheme="minorHAnsi" w:hAnsiTheme="minorHAnsi"/>
          <w:szCs w:val="22"/>
        </w:rPr>
        <w:t xml:space="preserve"> stakeholder workshop session to review and align priorities </w:t>
      </w:r>
      <w:r w:rsidR="0019750E">
        <w:rPr>
          <w:rFonts w:asciiTheme="minorHAnsi" w:hAnsiTheme="minorHAnsi"/>
          <w:szCs w:val="22"/>
        </w:rPr>
        <w:t xml:space="preserve">to the new Delivery Plan </w:t>
      </w:r>
      <w:r w:rsidRPr="00AC1B47">
        <w:rPr>
          <w:rFonts w:asciiTheme="minorHAnsi" w:hAnsiTheme="minorHAnsi"/>
          <w:szCs w:val="22"/>
        </w:rPr>
        <w:t xml:space="preserve">for the coming period, to inform future direction. </w:t>
      </w:r>
      <w:r w:rsidR="00EB3A7D">
        <w:rPr>
          <w:rFonts w:asciiTheme="minorHAnsi" w:hAnsiTheme="minorHAnsi"/>
          <w:szCs w:val="22"/>
        </w:rPr>
        <w:t xml:space="preserve"> </w:t>
      </w:r>
      <w:r w:rsidRPr="00AC1B47">
        <w:rPr>
          <w:rFonts w:asciiTheme="minorHAnsi" w:hAnsiTheme="minorHAnsi"/>
          <w:szCs w:val="22"/>
        </w:rPr>
        <w:t xml:space="preserve">In the meantime partners within </w:t>
      </w:r>
      <w:r w:rsidR="00EB3A7D">
        <w:rPr>
          <w:rFonts w:asciiTheme="minorHAnsi" w:hAnsiTheme="minorHAnsi"/>
          <w:szCs w:val="22"/>
        </w:rPr>
        <w:t>CTM</w:t>
      </w:r>
      <w:r w:rsidRPr="00AC1B47">
        <w:rPr>
          <w:rFonts w:asciiTheme="minorHAnsi" w:hAnsiTheme="minorHAnsi"/>
          <w:szCs w:val="22"/>
        </w:rPr>
        <w:t xml:space="preserve"> Together for Mental Health Partnership Board continue making progress addressing the local agreed priorities through multi-agency streams. </w:t>
      </w:r>
    </w:p>
    <w:p w14:paraId="5599D199" w14:textId="77777777" w:rsidR="00D8540C" w:rsidRDefault="00D8540C" w:rsidP="00D8540C">
      <w:pPr>
        <w:pStyle w:val="NormaBullet"/>
        <w:numPr>
          <w:ilvl w:val="0"/>
          <w:numId w:val="0"/>
        </w:numPr>
        <w:rPr>
          <w:szCs w:val="22"/>
        </w:rPr>
      </w:pPr>
    </w:p>
    <w:p w14:paraId="090AC043" w14:textId="77777777" w:rsidR="00D8540C" w:rsidRPr="003D0778" w:rsidRDefault="00D8540C" w:rsidP="00D8540C">
      <w:pPr>
        <w:rPr>
          <w:rFonts w:asciiTheme="minorHAnsi" w:hAnsiTheme="minorHAnsi"/>
          <w:szCs w:val="22"/>
        </w:rPr>
      </w:pPr>
      <w:r>
        <w:rPr>
          <w:rFonts w:asciiTheme="minorHAnsi" w:hAnsiTheme="minorHAnsi"/>
          <w:szCs w:val="22"/>
        </w:rPr>
        <w:t>O</w:t>
      </w:r>
      <w:r w:rsidRPr="003D0778">
        <w:rPr>
          <w:rFonts w:asciiTheme="minorHAnsi" w:hAnsiTheme="minorHAnsi"/>
          <w:szCs w:val="22"/>
        </w:rPr>
        <w:t xml:space="preserve">ur Adult Mental Health priorities for </w:t>
      </w:r>
      <w:r>
        <w:rPr>
          <w:rFonts w:asciiTheme="minorHAnsi" w:hAnsiTheme="minorHAnsi"/>
          <w:szCs w:val="22"/>
        </w:rPr>
        <w:t>2020/21</w:t>
      </w:r>
      <w:r w:rsidRPr="003D0778">
        <w:rPr>
          <w:rFonts w:asciiTheme="minorHAnsi" w:hAnsiTheme="minorHAnsi"/>
          <w:szCs w:val="22"/>
        </w:rPr>
        <w:t xml:space="preserve"> and beyond include:</w:t>
      </w:r>
    </w:p>
    <w:p w14:paraId="7C7E9078" w14:textId="77777777" w:rsidR="00D8540C" w:rsidRDefault="00D8540C" w:rsidP="00F60A35">
      <w:pPr>
        <w:pStyle w:val="NormaBullet"/>
        <w:numPr>
          <w:ilvl w:val="0"/>
          <w:numId w:val="29"/>
        </w:numPr>
        <w:rPr>
          <w:rFonts w:asciiTheme="minorHAnsi" w:hAnsiTheme="minorHAnsi"/>
          <w:szCs w:val="22"/>
        </w:rPr>
      </w:pPr>
      <w:r>
        <w:rPr>
          <w:rFonts w:asciiTheme="minorHAnsi" w:hAnsiTheme="minorHAnsi"/>
          <w:szCs w:val="22"/>
        </w:rPr>
        <w:t xml:space="preserve">Developing a cohesive mental health and learning disability framework and team for training, learning, assurance and quality improvement.  </w:t>
      </w:r>
    </w:p>
    <w:p w14:paraId="1E794C66" w14:textId="77777777" w:rsidR="00D8540C" w:rsidRDefault="00D8540C" w:rsidP="00F60A35">
      <w:pPr>
        <w:pStyle w:val="NormaBullet"/>
        <w:numPr>
          <w:ilvl w:val="0"/>
          <w:numId w:val="29"/>
        </w:numPr>
        <w:rPr>
          <w:rFonts w:asciiTheme="minorHAnsi" w:hAnsiTheme="minorHAnsi"/>
          <w:szCs w:val="22"/>
        </w:rPr>
      </w:pPr>
      <w:r>
        <w:rPr>
          <w:rFonts w:asciiTheme="minorHAnsi" w:hAnsiTheme="minorHAnsi"/>
          <w:szCs w:val="22"/>
        </w:rPr>
        <w:lastRenderedPageBreak/>
        <w:t xml:space="preserve">Development of an integrated crisis presentation and accessible early response model in and for our communities.  </w:t>
      </w:r>
    </w:p>
    <w:p w14:paraId="2E74A1D3" w14:textId="755EAEEC" w:rsidR="00D8540C" w:rsidRDefault="00D8540C" w:rsidP="00F60A35">
      <w:pPr>
        <w:pStyle w:val="NormaBullet"/>
        <w:numPr>
          <w:ilvl w:val="0"/>
          <w:numId w:val="29"/>
        </w:numPr>
        <w:rPr>
          <w:rFonts w:asciiTheme="minorHAnsi" w:hAnsiTheme="minorHAnsi"/>
          <w:szCs w:val="22"/>
        </w:rPr>
      </w:pPr>
      <w:r>
        <w:rPr>
          <w:rFonts w:asciiTheme="minorHAnsi" w:hAnsiTheme="minorHAnsi"/>
          <w:szCs w:val="22"/>
        </w:rPr>
        <w:t xml:space="preserve">Continued implementation of our community mental health services redesign, including </w:t>
      </w:r>
      <w:r w:rsidRPr="00C02D4C">
        <w:rPr>
          <w:rFonts w:asciiTheme="minorHAnsi" w:hAnsiTheme="minorHAnsi"/>
          <w:szCs w:val="22"/>
        </w:rPr>
        <w:t>new models of service at universal and primary care level to meet increasing demand for mental health services in a timely, helpful and effective way</w:t>
      </w:r>
      <w:r w:rsidR="000D3661">
        <w:rPr>
          <w:rFonts w:asciiTheme="minorHAnsi" w:hAnsiTheme="minorHAnsi"/>
          <w:szCs w:val="22"/>
        </w:rPr>
        <w:t>.</w:t>
      </w:r>
    </w:p>
    <w:p w14:paraId="4B70DB0B" w14:textId="4C69919D" w:rsidR="00D8540C" w:rsidRDefault="00D8540C" w:rsidP="00F60A35">
      <w:pPr>
        <w:pStyle w:val="NormaBullet"/>
        <w:numPr>
          <w:ilvl w:val="0"/>
          <w:numId w:val="29"/>
        </w:numPr>
        <w:rPr>
          <w:rFonts w:asciiTheme="minorHAnsi" w:hAnsiTheme="minorHAnsi"/>
          <w:szCs w:val="22"/>
        </w:rPr>
      </w:pPr>
      <w:r>
        <w:rPr>
          <w:rFonts w:asciiTheme="minorHAnsi" w:hAnsiTheme="minorHAnsi"/>
          <w:szCs w:val="22"/>
        </w:rPr>
        <w:t>Introduction of c</w:t>
      </w:r>
      <w:r w:rsidRPr="00C02D4C">
        <w:rPr>
          <w:rFonts w:asciiTheme="minorHAnsi" w:hAnsiTheme="minorHAnsi"/>
          <w:szCs w:val="22"/>
        </w:rPr>
        <w:t>lear pathways / service response for a population with early psychos</w:t>
      </w:r>
      <w:r>
        <w:rPr>
          <w:rFonts w:asciiTheme="minorHAnsi" w:hAnsiTheme="minorHAnsi"/>
          <w:szCs w:val="22"/>
        </w:rPr>
        <w:t>i</w:t>
      </w:r>
      <w:r w:rsidRPr="00C02D4C">
        <w:rPr>
          <w:rFonts w:asciiTheme="minorHAnsi" w:hAnsiTheme="minorHAnsi"/>
          <w:szCs w:val="22"/>
        </w:rPr>
        <w:t>s presentation or at risk of developing this</w:t>
      </w:r>
      <w:r w:rsidR="000D3661">
        <w:rPr>
          <w:rFonts w:asciiTheme="minorHAnsi" w:hAnsiTheme="minorHAnsi"/>
          <w:szCs w:val="22"/>
        </w:rPr>
        <w:t>.</w:t>
      </w:r>
    </w:p>
    <w:p w14:paraId="43900219" w14:textId="692FA3C3" w:rsidR="00D8540C" w:rsidRPr="00E63BCF" w:rsidRDefault="00D8540C" w:rsidP="00F60A35">
      <w:pPr>
        <w:pStyle w:val="NormaBullet"/>
        <w:numPr>
          <w:ilvl w:val="0"/>
          <w:numId w:val="29"/>
        </w:numPr>
        <w:rPr>
          <w:rFonts w:asciiTheme="minorHAnsi" w:hAnsiTheme="minorHAnsi"/>
          <w:szCs w:val="22"/>
        </w:rPr>
      </w:pPr>
      <w:r w:rsidRPr="00E63BCF">
        <w:rPr>
          <w:rFonts w:asciiTheme="minorHAnsi" w:hAnsiTheme="minorHAnsi"/>
          <w:szCs w:val="22"/>
        </w:rPr>
        <w:t xml:space="preserve">Progress planning for a </w:t>
      </w:r>
      <w:r w:rsidR="00D34048">
        <w:rPr>
          <w:rFonts w:asciiTheme="minorHAnsi" w:hAnsiTheme="minorHAnsi"/>
          <w:szCs w:val="22"/>
        </w:rPr>
        <w:t>CTM</w:t>
      </w:r>
      <w:r w:rsidRPr="00E63BCF">
        <w:rPr>
          <w:rFonts w:asciiTheme="minorHAnsi" w:hAnsiTheme="minorHAnsi"/>
          <w:szCs w:val="22"/>
        </w:rPr>
        <w:t xml:space="preserve"> mental health bed model that will see fit for purpose estate to meet the needs of the population.</w:t>
      </w:r>
      <w:r w:rsidR="00935BFE">
        <w:rPr>
          <w:rFonts w:asciiTheme="minorHAnsi" w:hAnsiTheme="minorHAnsi"/>
          <w:szCs w:val="22"/>
        </w:rPr>
        <w:t xml:space="preserve"> </w:t>
      </w:r>
      <w:r>
        <w:rPr>
          <w:rFonts w:asciiTheme="minorHAnsi" w:hAnsiTheme="minorHAnsi"/>
          <w:szCs w:val="22"/>
        </w:rPr>
        <w:t xml:space="preserve"> This includes </w:t>
      </w:r>
      <w:r w:rsidRPr="00E63BCF">
        <w:rPr>
          <w:rFonts w:asciiTheme="minorHAnsi" w:hAnsiTheme="minorHAnsi"/>
          <w:szCs w:val="22"/>
        </w:rPr>
        <w:t>options for the re</w:t>
      </w:r>
      <w:r w:rsidR="006E2A9A">
        <w:rPr>
          <w:rFonts w:asciiTheme="minorHAnsi" w:hAnsiTheme="minorHAnsi"/>
          <w:szCs w:val="22"/>
        </w:rPr>
        <w:t>-</w:t>
      </w:r>
      <w:r w:rsidRPr="00E63BCF">
        <w:rPr>
          <w:rFonts w:asciiTheme="minorHAnsi" w:hAnsiTheme="minorHAnsi"/>
          <w:szCs w:val="22"/>
        </w:rPr>
        <w:t>provision of services currently based at YGT</w:t>
      </w:r>
      <w:r>
        <w:rPr>
          <w:rFonts w:asciiTheme="minorHAnsi" w:hAnsiTheme="minorHAnsi"/>
          <w:szCs w:val="22"/>
        </w:rPr>
        <w:t xml:space="preserve"> as part of the integrated health and social care model for Rhondda</w:t>
      </w:r>
      <w:r w:rsidRPr="00E63BCF">
        <w:rPr>
          <w:rFonts w:asciiTheme="minorHAnsi" w:hAnsiTheme="minorHAnsi"/>
          <w:szCs w:val="22"/>
        </w:rPr>
        <w:t xml:space="preserve">. </w:t>
      </w:r>
    </w:p>
    <w:p w14:paraId="06AD4F67" w14:textId="77777777" w:rsidR="00D8540C" w:rsidRDefault="00D8540C" w:rsidP="00F60A35">
      <w:pPr>
        <w:pStyle w:val="NormaBullet"/>
        <w:numPr>
          <w:ilvl w:val="0"/>
          <w:numId w:val="29"/>
        </w:numPr>
        <w:rPr>
          <w:rFonts w:asciiTheme="minorHAnsi" w:hAnsiTheme="minorHAnsi"/>
          <w:szCs w:val="22"/>
        </w:rPr>
      </w:pPr>
      <w:r>
        <w:rPr>
          <w:rFonts w:asciiTheme="minorHAnsi" w:hAnsiTheme="minorHAnsi"/>
          <w:szCs w:val="22"/>
        </w:rPr>
        <w:t>Production of a clear, co-produced plan for the future of rehabilitation and recovery services, with a view to enabling individuals’ greater integration in the local community.</w:t>
      </w:r>
    </w:p>
    <w:p w14:paraId="41CBDF7C" w14:textId="77777777" w:rsidR="00D8540C" w:rsidRPr="00BB1A29" w:rsidRDefault="00D8540C" w:rsidP="00F60A35">
      <w:pPr>
        <w:pStyle w:val="NormaBullet"/>
        <w:numPr>
          <w:ilvl w:val="0"/>
          <w:numId w:val="29"/>
        </w:numPr>
        <w:rPr>
          <w:rFonts w:asciiTheme="minorHAnsi" w:hAnsiTheme="minorHAnsi"/>
          <w:szCs w:val="22"/>
        </w:rPr>
      </w:pPr>
      <w:r>
        <w:rPr>
          <w:rFonts w:asciiTheme="minorHAnsi" w:hAnsiTheme="minorHAnsi"/>
          <w:szCs w:val="22"/>
        </w:rPr>
        <w:t xml:space="preserve">Seeking to re-provide placements closer to home for people supported in out of area independent hospitals and residential facilities. </w:t>
      </w:r>
    </w:p>
    <w:p w14:paraId="4549734F" w14:textId="77777777" w:rsidR="00D8540C" w:rsidRDefault="00D8540C" w:rsidP="00F60A35">
      <w:pPr>
        <w:pStyle w:val="NormaBullet"/>
        <w:numPr>
          <w:ilvl w:val="0"/>
          <w:numId w:val="29"/>
        </w:numPr>
        <w:rPr>
          <w:rFonts w:asciiTheme="minorHAnsi" w:hAnsiTheme="minorHAnsi"/>
          <w:szCs w:val="22"/>
        </w:rPr>
      </w:pPr>
      <w:r>
        <w:rPr>
          <w:rFonts w:asciiTheme="minorHAnsi" w:hAnsiTheme="minorHAnsi"/>
          <w:szCs w:val="22"/>
        </w:rPr>
        <w:t>Development of a more MDT approach to forensic services in conjunction with partners in the criminal justice system to meet population needs.</w:t>
      </w:r>
    </w:p>
    <w:p w14:paraId="2DD980AE" w14:textId="77777777" w:rsidR="00D8540C" w:rsidRDefault="00D8540C" w:rsidP="00F60A35">
      <w:pPr>
        <w:pStyle w:val="NormaBullet"/>
        <w:numPr>
          <w:ilvl w:val="0"/>
          <w:numId w:val="29"/>
        </w:numPr>
        <w:rPr>
          <w:rFonts w:asciiTheme="minorHAnsi" w:hAnsiTheme="minorHAnsi"/>
          <w:szCs w:val="22"/>
        </w:rPr>
      </w:pPr>
      <w:r>
        <w:rPr>
          <w:rFonts w:asciiTheme="minorHAnsi" w:hAnsiTheme="minorHAnsi"/>
          <w:szCs w:val="22"/>
        </w:rPr>
        <w:t xml:space="preserve">Further rollout of shared care models of care for people with dementia. </w:t>
      </w:r>
    </w:p>
    <w:p w14:paraId="47AFA82E" w14:textId="0C2A6B08" w:rsidR="00174521" w:rsidRDefault="00D8540C" w:rsidP="00F60A35">
      <w:pPr>
        <w:pStyle w:val="NormaBullet"/>
        <w:numPr>
          <w:ilvl w:val="0"/>
          <w:numId w:val="29"/>
        </w:numPr>
        <w:rPr>
          <w:rFonts w:asciiTheme="minorHAnsi" w:hAnsiTheme="minorHAnsi"/>
          <w:szCs w:val="22"/>
        </w:rPr>
      </w:pPr>
      <w:r>
        <w:rPr>
          <w:rFonts w:asciiTheme="minorHAnsi" w:hAnsiTheme="minorHAnsi"/>
          <w:szCs w:val="22"/>
        </w:rPr>
        <w:t>Development of the memory assessment pathway and service to meet the needs of our ageing population.</w:t>
      </w:r>
    </w:p>
    <w:p w14:paraId="215B9E3B" w14:textId="77777777" w:rsidR="0019750E" w:rsidRDefault="0019750E" w:rsidP="009A1D3B">
      <w:pPr>
        <w:pStyle w:val="NormaBullet"/>
        <w:numPr>
          <w:ilvl w:val="0"/>
          <w:numId w:val="0"/>
        </w:numPr>
        <w:rPr>
          <w:rFonts w:asciiTheme="minorHAnsi" w:hAnsiTheme="minorHAnsi"/>
          <w:b/>
          <w:szCs w:val="22"/>
        </w:rPr>
      </w:pPr>
    </w:p>
    <w:p w14:paraId="0CA5076A" w14:textId="6C7E4CF4" w:rsidR="00D60D68" w:rsidRDefault="00137EB5" w:rsidP="009A1D3B">
      <w:pPr>
        <w:pStyle w:val="NormaBullet"/>
        <w:numPr>
          <w:ilvl w:val="0"/>
          <w:numId w:val="0"/>
        </w:numPr>
        <w:rPr>
          <w:rFonts w:asciiTheme="minorHAnsi" w:hAnsiTheme="minorHAnsi"/>
          <w:b/>
          <w:szCs w:val="22"/>
        </w:rPr>
      </w:pPr>
      <w:r>
        <w:rPr>
          <w:rFonts w:asciiTheme="minorHAnsi" w:hAnsiTheme="minorHAnsi"/>
          <w:bCs/>
          <w:noProof/>
        </w:rPr>
        <mc:AlternateContent>
          <mc:Choice Requires="wps">
            <w:drawing>
              <wp:anchor distT="0" distB="0" distL="114300" distR="114300" simplePos="0" relativeHeight="252930048" behindDoc="1" locked="0" layoutInCell="1" allowOverlap="1" wp14:anchorId="4F657F32" wp14:editId="5BFFC267">
                <wp:simplePos x="0" y="0"/>
                <wp:positionH relativeFrom="page">
                  <wp:posOffset>526415</wp:posOffset>
                </wp:positionH>
                <wp:positionV relativeFrom="paragraph">
                  <wp:posOffset>208280</wp:posOffset>
                </wp:positionV>
                <wp:extent cx="6737985" cy="696595"/>
                <wp:effectExtent l="0" t="38100" r="43815" b="65405"/>
                <wp:wrapNone/>
                <wp:docPr id="1801" name="Right Arrow 1801"/>
                <wp:cNvGraphicFramePr/>
                <a:graphic xmlns:a="http://schemas.openxmlformats.org/drawingml/2006/main">
                  <a:graphicData uri="http://schemas.microsoft.com/office/word/2010/wordprocessingShape">
                    <wps:wsp>
                      <wps:cNvSpPr/>
                      <wps:spPr>
                        <a:xfrm>
                          <a:off x="0" y="0"/>
                          <a:ext cx="6737985"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4A48F7" id="Right Arrow 1801" o:spid="_x0000_s1026" type="#_x0000_t13" style="position:absolute;margin-left:41.45pt;margin-top:16.4pt;width:530.55pt;height:54.85pt;z-index:-25038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" adj="20933" fillcolor="#eaf1dd [662]" strokecolor="#76923c [2406]" strokeweight="2pt">
                <w10:wrap anchorx="page"/>
              </v:shape>
            </w:pict>
          </mc:Fallback>
        </mc:AlternateContent>
      </w:r>
    </w:p>
    <w:p w14:paraId="0F6FCA44" w14:textId="4980C7D0" w:rsidR="00D8540C" w:rsidRPr="00AD2BF0" w:rsidRDefault="00D8540C" w:rsidP="009A1D3B">
      <w:pPr>
        <w:pStyle w:val="NormaBullet"/>
        <w:numPr>
          <w:ilvl w:val="0"/>
          <w:numId w:val="0"/>
        </w:numPr>
        <w:rPr>
          <w:rFonts w:asciiTheme="minorHAnsi" w:hAnsiTheme="minorHAnsi"/>
          <w:b/>
          <w:szCs w:val="22"/>
        </w:rPr>
      </w:pPr>
      <w:r>
        <w:rPr>
          <w:rFonts w:asciiTheme="minorHAnsi" w:hAnsiTheme="minorHAnsi"/>
          <w:b/>
          <w:szCs w:val="22"/>
        </w:rPr>
        <w:t>Milestones</w:t>
      </w:r>
    </w:p>
    <w:p w14:paraId="4EAF4BF3" w14:textId="5F6CDCF2" w:rsidR="00D8540C" w:rsidRDefault="00D8540C" w:rsidP="00D8540C">
      <w:pPr>
        <w:pStyle w:val="NormaBullet"/>
        <w:numPr>
          <w:ilvl w:val="0"/>
          <w:numId w:val="0"/>
        </w:numPr>
        <w:ind w:left="720"/>
        <w:rPr>
          <w:rFonts w:asciiTheme="minorHAnsi" w:hAnsiTheme="minorHAnsi"/>
          <w:szCs w:val="22"/>
        </w:rPr>
      </w:pPr>
    </w:p>
    <w:tbl>
      <w:tblPr>
        <w:tblStyle w:val="TableGrid"/>
        <w:tblW w:w="10065" w:type="dxa"/>
        <w:tblInd w:w="-5" w:type="dxa"/>
        <w:tblLook w:val="04A0" w:firstRow="1" w:lastRow="0" w:firstColumn="1" w:lastColumn="0" w:noHBand="0" w:noVBand="1"/>
      </w:tblPr>
      <w:tblGrid>
        <w:gridCol w:w="426"/>
        <w:gridCol w:w="4677"/>
        <w:gridCol w:w="3261"/>
        <w:gridCol w:w="1701"/>
      </w:tblGrid>
      <w:tr w:rsidR="00D8540C" w14:paraId="215BACBA" w14:textId="77777777" w:rsidTr="0098336B">
        <w:tc>
          <w:tcPr>
            <w:tcW w:w="426" w:type="dxa"/>
          </w:tcPr>
          <w:p w14:paraId="36017A6D" w14:textId="00477566" w:rsidR="00D8540C" w:rsidRDefault="00D8540C" w:rsidP="00E02C36">
            <w:pPr>
              <w:jc w:val="center"/>
              <w:rPr>
                <w:rFonts w:asciiTheme="minorHAnsi" w:hAnsiTheme="minorHAnsi"/>
                <w:bCs/>
              </w:rPr>
            </w:pPr>
          </w:p>
        </w:tc>
        <w:tc>
          <w:tcPr>
            <w:tcW w:w="4677" w:type="dxa"/>
          </w:tcPr>
          <w:p w14:paraId="0DC9E3BE" w14:textId="1727FA31" w:rsidR="00D8540C" w:rsidRDefault="00D8540C" w:rsidP="009A1D3B">
            <w:pPr>
              <w:jc w:val="center"/>
              <w:rPr>
                <w:rFonts w:asciiTheme="minorHAnsi" w:hAnsiTheme="minorHAnsi"/>
                <w:bCs/>
              </w:rPr>
            </w:pPr>
            <w:r>
              <w:rPr>
                <w:rFonts w:asciiTheme="minorHAnsi" w:hAnsiTheme="minorHAnsi"/>
                <w:bCs/>
              </w:rPr>
              <w:t>Year 1</w:t>
            </w:r>
          </w:p>
        </w:tc>
        <w:tc>
          <w:tcPr>
            <w:tcW w:w="3261" w:type="dxa"/>
          </w:tcPr>
          <w:p w14:paraId="55607885" w14:textId="5BBFEA2A" w:rsidR="00D8540C" w:rsidRDefault="00D8540C" w:rsidP="009A1D3B">
            <w:pPr>
              <w:jc w:val="center"/>
              <w:rPr>
                <w:rFonts w:asciiTheme="minorHAnsi" w:hAnsiTheme="minorHAnsi"/>
                <w:bCs/>
              </w:rPr>
            </w:pPr>
            <w:r>
              <w:rPr>
                <w:rFonts w:asciiTheme="minorHAnsi" w:hAnsiTheme="minorHAnsi"/>
                <w:bCs/>
              </w:rPr>
              <w:t>Year 2</w:t>
            </w:r>
          </w:p>
        </w:tc>
        <w:tc>
          <w:tcPr>
            <w:tcW w:w="1701" w:type="dxa"/>
          </w:tcPr>
          <w:p w14:paraId="7A4A953E" w14:textId="77777777" w:rsidR="00D8540C" w:rsidRDefault="00D8540C" w:rsidP="00E02C36">
            <w:pPr>
              <w:jc w:val="center"/>
              <w:rPr>
                <w:rFonts w:asciiTheme="minorHAnsi" w:hAnsiTheme="minorHAnsi"/>
                <w:bCs/>
              </w:rPr>
            </w:pPr>
            <w:r>
              <w:rPr>
                <w:rFonts w:asciiTheme="minorHAnsi" w:hAnsiTheme="minorHAnsi"/>
                <w:bCs/>
              </w:rPr>
              <w:t>Year 3</w:t>
            </w:r>
          </w:p>
          <w:p w14:paraId="200CAD28" w14:textId="77777777" w:rsidR="009A1D3B" w:rsidRDefault="009A1D3B" w:rsidP="00E02C36">
            <w:pPr>
              <w:jc w:val="center"/>
              <w:rPr>
                <w:rFonts w:asciiTheme="minorHAnsi" w:hAnsiTheme="minorHAnsi"/>
                <w:bCs/>
              </w:rPr>
            </w:pPr>
          </w:p>
        </w:tc>
      </w:tr>
      <w:tr w:rsidR="00D8540C" w14:paraId="06415639" w14:textId="77777777" w:rsidTr="0098336B">
        <w:tc>
          <w:tcPr>
            <w:tcW w:w="426" w:type="dxa"/>
          </w:tcPr>
          <w:p w14:paraId="54FE2333"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785B7DE2" w14:textId="4C3227F2" w:rsidR="00D8540C" w:rsidRPr="00D8540C" w:rsidRDefault="00D8540C" w:rsidP="00D8540C">
            <w:pPr>
              <w:pStyle w:val="NormaBullet"/>
              <w:numPr>
                <w:ilvl w:val="0"/>
                <w:numId w:val="0"/>
              </w:numPr>
              <w:ind w:left="-47"/>
              <w:rPr>
                <w:rFonts w:asciiTheme="minorHAnsi" w:hAnsiTheme="minorHAnsi"/>
                <w:szCs w:val="22"/>
              </w:rPr>
            </w:pPr>
            <w:r>
              <w:rPr>
                <w:rFonts w:asciiTheme="minorHAnsi" w:hAnsiTheme="minorHAnsi"/>
                <w:bCs/>
              </w:rPr>
              <w:t xml:space="preserve">By Q4 - </w:t>
            </w:r>
            <w:r>
              <w:rPr>
                <w:rFonts w:asciiTheme="minorHAnsi" w:hAnsiTheme="minorHAnsi"/>
                <w:szCs w:val="22"/>
              </w:rPr>
              <w:t xml:space="preserve">mental health and learning disability framework developed for training, learning, assurance and quality improvement; team in place and work plan agreed </w:t>
            </w:r>
          </w:p>
        </w:tc>
        <w:tc>
          <w:tcPr>
            <w:tcW w:w="3261" w:type="dxa"/>
          </w:tcPr>
          <w:p w14:paraId="68F92D60" w14:textId="77777777" w:rsidR="00D8540C" w:rsidRPr="00AD2BF0" w:rsidRDefault="00D8540C" w:rsidP="00E02C36">
            <w:pPr>
              <w:rPr>
                <w:rFonts w:asciiTheme="minorHAnsi" w:hAnsiTheme="minorHAnsi"/>
                <w:bCs/>
              </w:rPr>
            </w:pPr>
            <w:r w:rsidRPr="00AD2BF0">
              <w:rPr>
                <w:rFonts w:asciiTheme="minorHAnsi" w:hAnsiTheme="minorHAnsi"/>
                <w:bCs/>
              </w:rPr>
              <w:t>Year 1 impact and outcomes report  &amp; recruit further clinician</w:t>
            </w:r>
          </w:p>
          <w:p w14:paraId="092C93DC" w14:textId="77777777" w:rsidR="00D8540C" w:rsidRPr="00A16AB9" w:rsidRDefault="00D8540C" w:rsidP="00D8540C">
            <w:pPr>
              <w:rPr>
                <w:rFonts w:asciiTheme="minorHAnsi" w:hAnsiTheme="minorHAnsi"/>
                <w:bCs/>
              </w:rPr>
            </w:pPr>
          </w:p>
        </w:tc>
        <w:tc>
          <w:tcPr>
            <w:tcW w:w="1701" w:type="dxa"/>
          </w:tcPr>
          <w:p w14:paraId="0DF189D5" w14:textId="6E83554A" w:rsidR="00D8540C" w:rsidRPr="00A16AB9" w:rsidRDefault="00D8540C" w:rsidP="00E02C36">
            <w:pPr>
              <w:rPr>
                <w:rFonts w:asciiTheme="minorHAnsi" w:hAnsiTheme="minorHAnsi"/>
                <w:bCs/>
              </w:rPr>
            </w:pPr>
            <w:r w:rsidRPr="00AD2BF0">
              <w:rPr>
                <w:rFonts w:asciiTheme="minorHAnsi" w:hAnsiTheme="minorHAnsi"/>
                <w:bCs/>
              </w:rPr>
              <w:t xml:space="preserve">Year </w:t>
            </w:r>
            <w:r>
              <w:rPr>
                <w:rFonts w:asciiTheme="minorHAnsi" w:hAnsiTheme="minorHAnsi"/>
                <w:bCs/>
              </w:rPr>
              <w:t>2</w:t>
            </w:r>
            <w:r w:rsidRPr="00AD2BF0">
              <w:rPr>
                <w:rFonts w:asciiTheme="minorHAnsi" w:hAnsiTheme="minorHAnsi"/>
                <w:bCs/>
              </w:rPr>
              <w:t xml:space="preserve"> impact and outcomes report  &amp; recruit further clinician</w:t>
            </w:r>
          </w:p>
        </w:tc>
      </w:tr>
      <w:tr w:rsidR="00D8540C" w14:paraId="4D5E1C85" w14:textId="77777777" w:rsidTr="0098336B">
        <w:tc>
          <w:tcPr>
            <w:tcW w:w="426" w:type="dxa"/>
          </w:tcPr>
          <w:p w14:paraId="139571C5"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673A5AB8" w14:textId="77777777" w:rsidR="00D8540C" w:rsidRPr="00A16AB9" w:rsidRDefault="00D8540C" w:rsidP="00E02C36">
            <w:pPr>
              <w:rPr>
                <w:rFonts w:asciiTheme="minorHAnsi" w:hAnsiTheme="minorHAnsi"/>
                <w:bCs/>
              </w:rPr>
            </w:pPr>
            <w:r w:rsidRPr="00A16AB9">
              <w:rPr>
                <w:rFonts w:asciiTheme="minorHAnsi" w:hAnsiTheme="minorHAnsi"/>
                <w:szCs w:val="22"/>
              </w:rPr>
              <w:t>Q4 - Delivery of an integrated crisis presentation and accessible early response model in and for our communities.</w:t>
            </w:r>
          </w:p>
          <w:p w14:paraId="44B741F9" w14:textId="77777777" w:rsidR="00D8540C" w:rsidRDefault="00D8540C" w:rsidP="00E02C36">
            <w:pPr>
              <w:pStyle w:val="NormaBullet"/>
              <w:numPr>
                <w:ilvl w:val="0"/>
                <w:numId w:val="0"/>
              </w:numPr>
              <w:ind w:left="-47"/>
              <w:rPr>
                <w:rFonts w:asciiTheme="minorHAnsi" w:hAnsiTheme="minorHAnsi"/>
                <w:bCs/>
              </w:rPr>
            </w:pPr>
          </w:p>
        </w:tc>
        <w:tc>
          <w:tcPr>
            <w:tcW w:w="3261" w:type="dxa"/>
          </w:tcPr>
          <w:p w14:paraId="456AD455" w14:textId="1E7BAF85" w:rsidR="00D8540C" w:rsidRDefault="00D8540C" w:rsidP="00E02C36">
            <w:pPr>
              <w:rPr>
                <w:rFonts w:asciiTheme="minorHAnsi" w:hAnsiTheme="minorHAnsi"/>
                <w:bCs/>
              </w:rPr>
            </w:pPr>
            <w:r w:rsidRPr="00A16AB9">
              <w:rPr>
                <w:rFonts w:asciiTheme="minorHAnsi" w:hAnsiTheme="minorHAnsi"/>
                <w:bCs/>
              </w:rPr>
              <w:t xml:space="preserve">First annual report with full evaluation and quarterly KPI's; further £300k investment secured from new WG </w:t>
            </w:r>
            <w:r w:rsidR="00BD059A" w:rsidRPr="00A16AB9">
              <w:rPr>
                <w:rFonts w:asciiTheme="minorHAnsi" w:hAnsiTheme="minorHAnsi"/>
                <w:bCs/>
              </w:rPr>
              <w:t>ring-fenced</w:t>
            </w:r>
            <w:r w:rsidRPr="00A16AB9">
              <w:rPr>
                <w:rFonts w:asciiTheme="minorHAnsi" w:hAnsiTheme="minorHAnsi"/>
                <w:bCs/>
              </w:rPr>
              <w:t xml:space="preserve"> funding if available</w:t>
            </w:r>
          </w:p>
        </w:tc>
        <w:tc>
          <w:tcPr>
            <w:tcW w:w="1701" w:type="dxa"/>
          </w:tcPr>
          <w:p w14:paraId="2E60A9C8" w14:textId="77777777" w:rsidR="00D8540C" w:rsidRPr="00A16AB9" w:rsidRDefault="00D8540C" w:rsidP="00E02C36">
            <w:pPr>
              <w:rPr>
                <w:rFonts w:asciiTheme="minorHAnsi" w:hAnsiTheme="minorHAnsi"/>
                <w:bCs/>
              </w:rPr>
            </w:pPr>
            <w:r>
              <w:rPr>
                <w:rFonts w:asciiTheme="minorHAnsi" w:hAnsiTheme="minorHAnsi"/>
                <w:bCs/>
              </w:rPr>
              <w:t>2</w:t>
            </w:r>
            <w:r w:rsidRPr="003C584A">
              <w:rPr>
                <w:rFonts w:asciiTheme="minorHAnsi" w:hAnsiTheme="minorHAnsi"/>
                <w:bCs/>
                <w:vertAlign w:val="superscript"/>
              </w:rPr>
              <w:t>nd</w:t>
            </w:r>
            <w:r>
              <w:rPr>
                <w:rFonts w:asciiTheme="minorHAnsi" w:hAnsiTheme="minorHAnsi"/>
                <w:bCs/>
              </w:rPr>
              <w:t xml:space="preserve"> annual report</w:t>
            </w:r>
          </w:p>
        </w:tc>
      </w:tr>
      <w:tr w:rsidR="00D8540C" w14:paraId="51B517AC" w14:textId="77777777" w:rsidTr="0098336B">
        <w:tc>
          <w:tcPr>
            <w:tcW w:w="426" w:type="dxa"/>
          </w:tcPr>
          <w:p w14:paraId="2E79035E"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7382F9F2" w14:textId="77777777" w:rsidR="00D8540C" w:rsidRDefault="00D8540C" w:rsidP="00E02C36">
            <w:pPr>
              <w:pStyle w:val="NormaBullet"/>
              <w:numPr>
                <w:ilvl w:val="0"/>
                <w:numId w:val="0"/>
              </w:numPr>
              <w:rPr>
                <w:rFonts w:asciiTheme="minorHAnsi" w:hAnsiTheme="minorHAnsi"/>
                <w:szCs w:val="22"/>
              </w:rPr>
            </w:pPr>
            <w:r>
              <w:rPr>
                <w:rFonts w:asciiTheme="minorHAnsi" w:hAnsiTheme="minorHAnsi"/>
                <w:szCs w:val="22"/>
              </w:rPr>
              <w:t>Q1 – Cluster based Mental Health Practitioners fully operational</w:t>
            </w:r>
          </w:p>
          <w:p w14:paraId="77C4D98A" w14:textId="4196D3E1" w:rsidR="00D8540C" w:rsidRPr="009A1D3B" w:rsidRDefault="00D8540C" w:rsidP="009A1D3B">
            <w:pPr>
              <w:pStyle w:val="NormaBullet"/>
              <w:numPr>
                <w:ilvl w:val="0"/>
                <w:numId w:val="0"/>
              </w:numPr>
              <w:rPr>
                <w:rFonts w:asciiTheme="minorHAnsi" w:hAnsiTheme="minorHAnsi"/>
                <w:szCs w:val="22"/>
              </w:rPr>
            </w:pPr>
            <w:r>
              <w:rPr>
                <w:rFonts w:asciiTheme="minorHAnsi" w:hAnsiTheme="minorHAnsi"/>
                <w:szCs w:val="22"/>
              </w:rPr>
              <w:t>Q4 – Evaluate the impact of the service and develop sustainability plan</w:t>
            </w:r>
          </w:p>
        </w:tc>
        <w:tc>
          <w:tcPr>
            <w:tcW w:w="3261" w:type="dxa"/>
          </w:tcPr>
          <w:p w14:paraId="55DA8343" w14:textId="77777777" w:rsidR="00D8540C" w:rsidRDefault="00D8540C" w:rsidP="00E02C36">
            <w:pPr>
              <w:rPr>
                <w:rFonts w:asciiTheme="minorHAnsi" w:hAnsiTheme="minorHAnsi"/>
                <w:bCs/>
              </w:rPr>
            </w:pPr>
            <w:r>
              <w:rPr>
                <w:rFonts w:asciiTheme="minorHAnsi" w:hAnsiTheme="minorHAnsi"/>
                <w:bCs/>
              </w:rPr>
              <w:t>Sustain delivery of the service and ongoing evaluation of impact on primary and secondary mental health service model</w:t>
            </w:r>
          </w:p>
        </w:tc>
        <w:tc>
          <w:tcPr>
            <w:tcW w:w="1701" w:type="dxa"/>
          </w:tcPr>
          <w:p w14:paraId="3AEA831F" w14:textId="77777777" w:rsidR="00D8540C" w:rsidRPr="00A16AB9" w:rsidRDefault="00D8540C" w:rsidP="00E02C36">
            <w:pPr>
              <w:rPr>
                <w:rFonts w:asciiTheme="minorHAnsi" w:hAnsiTheme="minorHAnsi"/>
                <w:bCs/>
              </w:rPr>
            </w:pPr>
          </w:p>
        </w:tc>
      </w:tr>
      <w:tr w:rsidR="00D8540C" w14:paraId="0E4C001D" w14:textId="77777777" w:rsidTr="0098336B">
        <w:tc>
          <w:tcPr>
            <w:tcW w:w="426" w:type="dxa"/>
          </w:tcPr>
          <w:p w14:paraId="2B5A1267"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3980C8FE" w14:textId="011BFA83" w:rsidR="00D8540C" w:rsidRPr="00A16AB9" w:rsidRDefault="00D8540C" w:rsidP="00A172C3">
            <w:pPr>
              <w:pStyle w:val="NormaBullet"/>
              <w:numPr>
                <w:ilvl w:val="0"/>
                <w:numId w:val="0"/>
              </w:numPr>
              <w:ind w:left="-47"/>
              <w:rPr>
                <w:rFonts w:asciiTheme="minorHAnsi" w:hAnsiTheme="minorHAnsi"/>
                <w:bCs/>
              </w:rPr>
            </w:pPr>
            <w:r>
              <w:rPr>
                <w:rFonts w:asciiTheme="minorHAnsi" w:hAnsiTheme="minorHAnsi"/>
                <w:bCs/>
              </w:rPr>
              <w:t>Q4 - New service model agreed for</w:t>
            </w:r>
            <w:r w:rsidR="00A172C3">
              <w:rPr>
                <w:rFonts w:asciiTheme="minorHAnsi" w:hAnsiTheme="minorHAnsi"/>
                <w:bCs/>
              </w:rPr>
              <w:t xml:space="preserve"> EIP</w:t>
            </w:r>
            <w:r>
              <w:rPr>
                <w:rFonts w:asciiTheme="minorHAnsi" w:hAnsiTheme="minorHAnsi"/>
                <w:bCs/>
              </w:rPr>
              <w:t xml:space="preserve"> service and new service to commence</w:t>
            </w:r>
          </w:p>
        </w:tc>
        <w:tc>
          <w:tcPr>
            <w:tcW w:w="3261" w:type="dxa"/>
          </w:tcPr>
          <w:p w14:paraId="1CAB8E5E" w14:textId="77777777" w:rsidR="00D8540C" w:rsidRPr="00A16AB9" w:rsidRDefault="00D8540C" w:rsidP="00E02C36">
            <w:pPr>
              <w:rPr>
                <w:rFonts w:asciiTheme="minorHAnsi" w:hAnsiTheme="minorHAnsi"/>
                <w:bCs/>
              </w:rPr>
            </w:pPr>
            <w:r>
              <w:rPr>
                <w:rFonts w:asciiTheme="minorHAnsi" w:hAnsiTheme="minorHAnsi"/>
                <w:bCs/>
              </w:rPr>
              <w:t>Evaluation of impact of new EIP service and pathways</w:t>
            </w:r>
          </w:p>
        </w:tc>
        <w:tc>
          <w:tcPr>
            <w:tcW w:w="1701" w:type="dxa"/>
          </w:tcPr>
          <w:p w14:paraId="7C817AAB" w14:textId="77777777" w:rsidR="00D8540C" w:rsidRPr="00A16AB9" w:rsidRDefault="00D8540C" w:rsidP="00E02C36">
            <w:pPr>
              <w:rPr>
                <w:rFonts w:asciiTheme="minorHAnsi" w:hAnsiTheme="minorHAnsi"/>
                <w:bCs/>
              </w:rPr>
            </w:pPr>
          </w:p>
        </w:tc>
      </w:tr>
      <w:tr w:rsidR="00D8540C" w14:paraId="0E9081AE" w14:textId="77777777" w:rsidTr="0098336B">
        <w:tc>
          <w:tcPr>
            <w:tcW w:w="426" w:type="dxa"/>
          </w:tcPr>
          <w:p w14:paraId="14AD141B"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4EE912CB" w14:textId="77777777" w:rsidR="00D8540C" w:rsidRDefault="00D8540C" w:rsidP="00E02C36">
            <w:pPr>
              <w:pStyle w:val="NormaBullet"/>
              <w:numPr>
                <w:ilvl w:val="0"/>
                <w:numId w:val="0"/>
              </w:numPr>
              <w:ind w:left="-47"/>
              <w:rPr>
                <w:rFonts w:asciiTheme="minorHAnsi" w:hAnsiTheme="minorHAnsi"/>
                <w:bCs/>
              </w:rPr>
            </w:pPr>
            <w:r w:rsidRPr="00A16AB9">
              <w:rPr>
                <w:rFonts w:asciiTheme="minorHAnsi" w:hAnsiTheme="minorHAnsi"/>
                <w:bCs/>
              </w:rPr>
              <w:t>Q4 -  proposal for a CTM mental health bed model that will see fit for purpose estate to meet the needs of the population</w:t>
            </w:r>
          </w:p>
        </w:tc>
        <w:tc>
          <w:tcPr>
            <w:tcW w:w="3261" w:type="dxa"/>
          </w:tcPr>
          <w:p w14:paraId="5E82DE6B" w14:textId="77777777" w:rsidR="00D8540C" w:rsidRPr="00A16AB9" w:rsidRDefault="00D8540C" w:rsidP="00E02C36">
            <w:pPr>
              <w:rPr>
                <w:rFonts w:asciiTheme="minorHAnsi" w:hAnsiTheme="minorHAnsi"/>
                <w:bCs/>
              </w:rPr>
            </w:pPr>
            <w:r w:rsidRPr="00A16AB9">
              <w:rPr>
                <w:rFonts w:asciiTheme="minorHAnsi" w:hAnsiTheme="minorHAnsi"/>
                <w:bCs/>
              </w:rPr>
              <w:t>Business Case submitted to WG for approval</w:t>
            </w:r>
          </w:p>
          <w:p w14:paraId="5D9BA58E" w14:textId="77777777" w:rsidR="00D8540C" w:rsidRPr="00AD2BF0" w:rsidRDefault="00D8540C" w:rsidP="00E02C36">
            <w:pPr>
              <w:rPr>
                <w:rFonts w:asciiTheme="minorHAnsi" w:hAnsiTheme="minorHAnsi"/>
                <w:bCs/>
              </w:rPr>
            </w:pPr>
          </w:p>
        </w:tc>
        <w:tc>
          <w:tcPr>
            <w:tcW w:w="1701" w:type="dxa"/>
          </w:tcPr>
          <w:p w14:paraId="372B2E00" w14:textId="77777777" w:rsidR="00D8540C" w:rsidRPr="00AD2BF0" w:rsidRDefault="00D8540C" w:rsidP="00E02C36">
            <w:pPr>
              <w:rPr>
                <w:rFonts w:asciiTheme="minorHAnsi" w:hAnsiTheme="minorHAnsi"/>
                <w:bCs/>
              </w:rPr>
            </w:pPr>
            <w:r w:rsidRPr="00A16AB9">
              <w:rPr>
                <w:rFonts w:asciiTheme="minorHAnsi" w:hAnsiTheme="minorHAnsi"/>
                <w:bCs/>
              </w:rPr>
              <w:t>Commencement of capital build</w:t>
            </w:r>
          </w:p>
        </w:tc>
      </w:tr>
      <w:tr w:rsidR="00D8540C" w14:paraId="6A759DBA" w14:textId="77777777" w:rsidTr="0098336B">
        <w:tc>
          <w:tcPr>
            <w:tcW w:w="426" w:type="dxa"/>
          </w:tcPr>
          <w:p w14:paraId="58CBB538"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19F40A5A"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 xml:space="preserve">Q4 - </w:t>
            </w:r>
            <w:r w:rsidRPr="00E63BCF">
              <w:rPr>
                <w:rFonts w:asciiTheme="minorHAnsi" w:hAnsiTheme="minorHAnsi"/>
                <w:bCs/>
              </w:rPr>
              <w:t xml:space="preserve">Final coproduced proposal for the future direction of rehabilitation </w:t>
            </w:r>
            <w:r>
              <w:rPr>
                <w:rFonts w:asciiTheme="minorHAnsi" w:hAnsiTheme="minorHAnsi"/>
                <w:bCs/>
              </w:rPr>
              <w:t xml:space="preserve">and recovery </w:t>
            </w:r>
            <w:r w:rsidRPr="00E63BCF">
              <w:rPr>
                <w:rFonts w:asciiTheme="minorHAnsi" w:hAnsiTheme="minorHAnsi"/>
                <w:bCs/>
              </w:rPr>
              <w:t>services</w:t>
            </w:r>
          </w:p>
        </w:tc>
        <w:tc>
          <w:tcPr>
            <w:tcW w:w="3261" w:type="dxa"/>
          </w:tcPr>
          <w:p w14:paraId="423DCC7A" w14:textId="77777777" w:rsidR="00D8540C" w:rsidRPr="00AD2BF0" w:rsidRDefault="00D8540C" w:rsidP="00E02C36">
            <w:pPr>
              <w:rPr>
                <w:rFonts w:asciiTheme="minorHAnsi" w:hAnsiTheme="minorHAnsi"/>
                <w:bCs/>
              </w:rPr>
            </w:pPr>
            <w:r>
              <w:rPr>
                <w:rFonts w:asciiTheme="minorHAnsi" w:hAnsiTheme="minorHAnsi"/>
                <w:bCs/>
              </w:rPr>
              <w:t>Implementation of the proposal</w:t>
            </w:r>
          </w:p>
        </w:tc>
        <w:tc>
          <w:tcPr>
            <w:tcW w:w="1701" w:type="dxa"/>
          </w:tcPr>
          <w:p w14:paraId="57DA3D7C" w14:textId="77777777" w:rsidR="00D8540C" w:rsidRPr="00AD2BF0" w:rsidRDefault="00D8540C" w:rsidP="00E02C36">
            <w:pPr>
              <w:rPr>
                <w:rFonts w:asciiTheme="minorHAnsi" w:hAnsiTheme="minorHAnsi"/>
                <w:bCs/>
              </w:rPr>
            </w:pPr>
            <w:r>
              <w:rPr>
                <w:rFonts w:asciiTheme="minorHAnsi" w:hAnsiTheme="minorHAnsi"/>
                <w:bCs/>
              </w:rPr>
              <w:t xml:space="preserve">Ongoing implementation and evaluation </w:t>
            </w:r>
          </w:p>
        </w:tc>
      </w:tr>
      <w:tr w:rsidR="00D8540C" w14:paraId="3636A8DC" w14:textId="77777777" w:rsidTr="0098336B">
        <w:tc>
          <w:tcPr>
            <w:tcW w:w="426" w:type="dxa"/>
          </w:tcPr>
          <w:p w14:paraId="3D30E70D"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181CA894"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Q4 – develop business case for local re-provision of mental health placements</w:t>
            </w:r>
          </w:p>
        </w:tc>
        <w:tc>
          <w:tcPr>
            <w:tcW w:w="3261" w:type="dxa"/>
          </w:tcPr>
          <w:p w14:paraId="1E7BFADA" w14:textId="77777777" w:rsidR="00D8540C" w:rsidRPr="00AD2BF0" w:rsidRDefault="00D8540C" w:rsidP="00E02C36">
            <w:pPr>
              <w:rPr>
                <w:rFonts w:asciiTheme="minorHAnsi" w:hAnsiTheme="minorHAnsi"/>
                <w:bCs/>
              </w:rPr>
            </w:pPr>
            <w:r>
              <w:rPr>
                <w:rFonts w:asciiTheme="minorHAnsi" w:hAnsiTheme="minorHAnsi"/>
                <w:bCs/>
              </w:rPr>
              <w:t>Implement the business case</w:t>
            </w:r>
          </w:p>
        </w:tc>
        <w:tc>
          <w:tcPr>
            <w:tcW w:w="1701" w:type="dxa"/>
          </w:tcPr>
          <w:p w14:paraId="155342CE" w14:textId="77777777" w:rsidR="00D8540C" w:rsidRPr="00AD2BF0" w:rsidRDefault="00D8540C" w:rsidP="00E02C36">
            <w:pPr>
              <w:rPr>
                <w:rFonts w:asciiTheme="minorHAnsi" w:hAnsiTheme="minorHAnsi"/>
                <w:bCs/>
              </w:rPr>
            </w:pPr>
            <w:r>
              <w:rPr>
                <w:rFonts w:asciiTheme="minorHAnsi" w:hAnsiTheme="minorHAnsi"/>
                <w:bCs/>
              </w:rPr>
              <w:t>Evaluation</w:t>
            </w:r>
          </w:p>
        </w:tc>
      </w:tr>
      <w:tr w:rsidR="00D8540C" w14:paraId="0B782E6D" w14:textId="77777777" w:rsidTr="0098336B">
        <w:tc>
          <w:tcPr>
            <w:tcW w:w="426" w:type="dxa"/>
          </w:tcPr>
          <w:p w14:paraId="69F8D975"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0ABB6008"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Q4 – implementation of MDT Forensic service</w:t>
            </w:r>
          </w:p>
        </w:tc>
        <w:tc>
          <w:tcPr>
            <w:tcW w:w="3261" w:type="dxa"/>
          </w:tcPr>
          <w:p w14:paraId="515FD66A" w14:textId="77777777" w:rsidR="00D8540C" w:rsidRPr="00AD2BF0" w:rsidRDefault="00D8540C" w:rsidP="00E02C36">
            <w:pPr>
              <w:rPr>
                <w:rFonts w:asciiTheme="minorHAnsi" w:hAnsiTheme="minorHAnsi"/>
                <w:bCs/>
              </w:rPr>
            </w:pPr>
            <w:r>
              <w:rPr>
                <w:rFonts w:asciiTheme="minorHAnsi" w:hAnsiTheme="minorHAnsi"/>
                <w:bCs/>
              </w:rPr>
              <w:t>First annual  report and quarterly KPIs</w:t>
            </w:r>
          </w:p>
        </w:tc>
        <w:tc>
          <w:tcPr>
            <w:tcW w:w="1701" w:type="dxa"/>
          </w:tcPr>
          <w:p w14:paraId="64B19399" w14:textId="5D0E51E8" w:rsidR="00D8540C" w:rsidRPr="00AD2BF0" w:rsidRDefault="00EB3A7D" w:rsidP="00EB3A7D">
            <w:pPr>
              <w:rPr>
                <w:rFonts w:asciiTheme="minorHAnsi" w:hAnsiTheme="minorHAnsi"/>
                <w:bCs/>
              </w:rPr>
            </w:pPr>
            <w:r>
              <w:rPr>
                <w:rFonts w:asciiTheme="minorHAnsi" w:hAnsiTheme="minorHAnsi"/>
                <w:bCs/>
              </w:rPr>
              <w:t>2</w:t>
            </w:r>
            <w:r w:rsidRPr="00EB3A7D">
              <w:rPr>
                <w:rFonts w:asciiTheme="minorHAnsi" w:hAnsiTheme="minorHAnsi"/>
                <w:bCs/>
                <w:vertAlign w:val="superscript"/>
              </w:rPr>
              <w:t>nd</w:t>
            </w:r>
            <w:r>
              <w:rPr>
                <w:rFonts w:asciiTheme="minorHAnsi" w:hAnsiTheme="minorHAnsi"/>
                <w:bCs/>
              </w:rPr>
              <w:t xml:space="preserve"> </w:t>
            </w:r>
            <w:r w:rsidR="00D8540C">
              <w:rPr>
                <w:rFonts w:asciiTheme="minorHAnsi" w:hAnsiTheme="minorHAnsi"/>
                <w:bCs/>
              </w:rPr>
              <w:t>annual  report and quarterly KPIs</w:t>
            </w:r>
          </w:p>
        </w:tc>
      </w:tr>
      <w:tr w:rsidR="00D8540C" w14:paraId="371E3EFD" w14:textId="77777777" w:rsidTr="0098336B">
        <w:tc>
          <w:tcPr>
            <w:tcW w:w="426" w:type="dxa"/>
          </w:tcPr>
          <w:p w14:paraId="1C99B6E9"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500ABBAC"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 xml:space="preserve">Q4 - </w:t>
            </w:r>
            <w:r w:rsidRPr="00652734">
              <w:rPr>
                <w:rFonts w:asciiTheme="minorHAnsi" w:hAnsiTheme="minorHAnsi"/>
                <w:bCs/>
              </w:rPr>
              <w:t>Clear model</w:t>
            </w:r>
            <w:r>
              <w:rPr>
                <w:rFonts w:asciiTheme="minorHAnsi" w:hAnsiTheme="minorHAnsi"/>
                <w:bCs/>
              </w:rPr>
              <w:t xml:space="preserve"> agreed for dementia shared care</w:t>
            </w:r>
            <w:r w:rsidRPr="00652734">
              <w:rPr>
                <w:rFonts w:asciiTheme="minorHAnsi" w:hAnsiTheme="minorHAnsi"/>
                <w:bCs/>
              </w:rPr>
              <w:t>, outcomes and finance plan with milestones presented through key</w:t>
            </w:r>
            <w:r>
              <w:rPr>
                <w:rFonts w:asciiTheme="minorHAnsi" w:hAnsiTheme="minorHAnsi"/>
                <w:bCs/>
              </w:rPr>
              <w:t xml:space="preserve"> directorate </w:t>
            </w:r>
            <w:r w:rsidRPr="00652734">
              <w:rPr>
                <w:rFonts w:asciiTheme="minorHAnsi" w:hAnsiTheme="minorHAnsi"/>
                <w:bCs/>
              </w:rPr>
              <w:t xml:space="preserve"> IMTP's</w:t>
            </w:r>
          </w:p>
        </w:tc>
        <w:tc>
          <w:tcPr>
            <w:tcW w:w="3261" w:type="dxa"/>
          </w:tcPr>
          <w:p w14:paraId="46CE83B6" w14:textId="77777777" w:rsidR="00D8540C" w:rsidRPr="00AD2BF0" w:rsidRDefault="00D8540C" w:rsidP="00E02C36">
            <w:pPr>
              <w:rPr>
                <w:rFonts w:asciiTheme="minorHAnsi" w:hAnsiTheme="minorHAnsi"/>
                <w:bCs/>
              </w:rPr>
            </w:pPr>
            <w:r>
              <w:rPr>
                <w:rFonts w:asciiTheme="minorHAnsi" w:hAnsiTheme="minorHAnsi"/>
                <w:bCs/>
              </w:rPr>
              <w:t>Implementation of new model including any capital work required</w:t>
            </w:r>
          </w:p>
        </w:tc>
        <w:tc>
          <w:tcPr>
            <w:tcW w:w="1701" w:type="dxa"/>
          </w:tcPr>
          <w:p w14:paraId="7B9FA8DE" w14:textId="77777777" w:rsidR="00D8540C" w:rsidRPr="00AD2BF0" w:rsidRDefault="00D8540C" w:rsidP="00E02C36">
            <w:pPr>
              <w:rPr>
                <w:rFonts w:asciiTheme="minorHAnsi" w:hAnsiTheme="minorHAnsi"/>
                <w:bCs/>
              </w:rPr>
            </w:pPr>
            <w:r>
              <w:rPr>
                <w:rFonts w:asciiTheme="minorHAnsi" w:hAnsiTheme="minorHAnsi"/>
                <w:bCs/>
              </w:rPr>
              <w:t>Evaluation of the model</w:t>
            </w:r>
          </w:p>
        </w:tc>
      </w:tr>
      <w:tr w:rsidR="00D8540C" w14:paraId="766087DE" w14:textId="77777777" w:rsidTr="0098336B">
        <w:tc>
          <w:tcPr>
            <w:tcW w:w="426" w:type="dxa"/>
          </w:tcPr>
          <w:p w14:paraId="1E6350F2" w14:textId="77777777" w:rsidR="00D8540C" w:rsidRDefault="00D8540C" w:rsidP="00F60A35">
            <w:pPr>
              <w:pStyle w:val="NormaBullet"/>
              <w:numPr>
                <w:ilvl w:val="0"/>
                <w:numId w:val="53"/>
              </w:numPr>
              <w:ind w:left="313"/>
              <w:rPr>
                <w:rFonts w:asciiTheme="minorHAnsi" w:hAnsiTheme="minorHAnsi"/>
                <w:bCs/>
              </w:rPr>
            </w:pPr>
          </w:p>
        </w:tc>
        <w:tc>
          <w:tcPr>
            <w:tcW w:w="4677" w:type="dxa"/>
          </w:tcPr>
          <w:p w14:paraId="63251001"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Q4 – integrated memory assessment pathway agreed and enhanced team in place</w:t>
            </w:r>
          </w:p>
        </w:tc>
        <w:tc>
          <w:tcPr>
            <w:tcW w:w="3261" w:type="dxa"/>
          </w:tcPr>
          <w:p w14:paraId="1FE3EA21" w14:textId="77777777" w:rsidR="00D8540C" w:rsidRDefault="00D8540C" w:rsidP="00E02C36">
            <w:pPr>
              <w:rPr>
                <w:rFonts w:asciiTheme="minorHAnsi" w:hAnsiTheme="minorHAnsi"/>
                <w:bCs/>
              </w:rPr>
            </w:pPr>
            <w:r>
              <w:rPr>
                <w:rFonts w:asciiTheme="minorHAnsi" w:hAnsiTheme="minorHAnsi"/>
                <w:bCs/>
              </w:rPr>
              <w:t>First annual  report and quarterly KPIs</w:t>
            </w:r>
          </w:p>
        </w:tc>
        <w:tc>
          <w:tcPr>
            <w:tcW w:w="1701" w:type="dxa"/>
          </w:tcPr>
          <w:p w14:paraId="0599BFD2" w14:textId="43EB84EE" w:rsidR="00D8540C" w:rsidRDefault="00EB3A7D" w:rsidP="00EB3A7D">
            <w:pPr>
              <w:rPr>
                <w:rFonts w:asciiTheme="minorHAnsi" w:hAnsiTheme="minorHAnsi"/>
                <w:bCs/>
              </w:rPr>
            </w:pPr>
            <w:r>
              <w:rPr>
                <w:rFonts w:asciiTheme="minorHAnsi" w:hAnsiTheme="minorHAnsi"/>
                <w:bCs/>
              </w:rPr>
              <w:t>2</w:t>
            </w:r>
            <w:r w:rsidRPr="00EB3A7D">
              <w:rPr>
                <w:rFonts w:asciiTheme="minorHAnsi" w:hAnsiTheme="minorHAnsi"/>
                <w:bCs/>
                <w:vertAlign w:val="superscript"/>
              </w:rPr>
              <w:t>nd</w:t>
            </w:r>
            <w:r>
              <w:rPr>
                <w:rFonts w:asciiTheme="minorHAnsi" w:hAnsiTheme="minorHAnsi"/>
                <w:bCs/>
              </w:rPr>
              <w:t xml:space="preserve"> </w:t>
            </w:r>
            <w:r w:rsidR="00D8540C">
              <w:rPr>
                <w:rFonts w:asciiTheme="minorHAnsi" w:hAnsiTheme="minorHAnsi"/>
                <w:bCs/>
              </w:rPr>
              <w:t>annual  report and quarterly KPIs</w:t>
            </w:r>
          </w:p>
        </w:tc>
      </w:tr>
    </w:tbl>
    <w:p w14:paraId="374FC7F2" w14:textId="6C8735A1" w:rsidR="00F34D2E" w:rsidRPr="003D0778" w:rsidRDefault="00EB3A7D" w:rsidP="00C11306">
      <w:pPr>
        <w:pStyle w:val="Heading3"/>
        <w:ind w:left="0" w:firstLine="0"/>
        <w:rPr>
          <w:iCs/>
          <w:color w:val="000000" w:themeColor="text1"/>
          <w:szCs w:val="22"/>
        </w:rPr>
      </w:pPr>
      <w:r>
        <w:rPr>
          <w:rFonts w:asciiTheme="minorHAnsi" w:hAnsiTheme="minorHAnsi"/>
          <w:bCs w:val="0"/>
          <w:noProof/>
        </w:rPr>
        <w:lastRenderedPageBreak/>
        <mc:AlternateContent>
          <mc:Choice Requires="wps">
            <w:drawing>
              <wp:anchor distT="0" distB="0" distL="114300" distR="114300" simplePos="0" relativeHeight="252810240" behindDoc="1" locked="0" layoutInCell="1" allowOverlap="1" wp14:anchorId="47F94AF9" wp14:editId="3462D7B3">
                <wp:simplePos x="0" y="0"/>
                <wp:positionH relativeFrom="margin">
                  <wp:posOffset>-111125</wp:posOffset>
                </wp:positionH>
                <wp:positionV relativeFrom="paragraph">
                  <wp:posOffset>-5253355</wp:posOffset>
                </wp:positionV>
                <wp:extent cx="6770551" cy="696595"/>
                <wp:effectExtent l="0" t="38100" r="30480" b="65405"/>
                <wp:wrapNone/>
                <wp:docPr id="44" name="Right Arrow 44"/>
                <wp:cNvGraphicFramePr/>
                <a:graphic xmlns:a="http://schemas.openxmlformats.org/drawingml/2006/main">
                  <a:graphicData uri="http://schemas.microsoft.com/office/word/2010/wordprocessingShape">
                    <wps:wsp>
                      <wps:cNvSpPr/>
                      <wps:spPr>
                        <a:xfrm>
                          <a:off x="0" y="0"/>
                          <a:ext cx="6770551"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19AE25" id="Right Arrow 44" o:spid="_x0000_s1026" type="#_x0000_t13" style="position:absolute;margin-left:-8.75pt;margin-top:-413.65pt;width:533.1pt;height:54.85pt;z-index:-250506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" adj="20936" fillcolor="#eaf1dd [662]" strokecolor="#76923c [2406]" strokeweight="2pt">
                <w10:wrap anchorx="margin"/>
              </v:shape>
            </w:pict>
          </mc:Fallback>
        </mc:AlternateContent>
      </w:r>
      <w:r w:rsidR="00382C58" w:rsidRPr="003D0778">
        <w:rPr>
          <w:iCs/>
          <w:color w:val="000000" w:themeColor="text1"/>
          <w:szCs w:val="22"/>
        </w:rPr>
        <w:t xml:space="preserve">Primary </w:t>
      </w:r>
      <w:r w:rsidR="00F34D2E" w:rsidRPr="003D0778">
        <w:rPr>
          <w:iCs/>
          <w:color w:val="000000" w:themeColor="text1"/>
          <w:szCs w:val="22"/>
        </w:rPr>
        <w:t>and</w:t>
      </w:r>
      <w:r w:rsidR="00B25DBB" w:rsidRPr="003D0778">
        <w:rPr>
          <w:iCs/>
          <w:color w:val="000000" w:themeColor="text1"/>
          <w:szCs w:val="22"/>
        </w:rPr>
        <w:t xml:space="preserve"> </w:t>
      </w:r>
      <w:r w:rsidR="00F34D2E" w:rsidRPr="003D0778">
        <w:rPr>
          <w:iCs/>
          <w:color w:val="000000" w:themeColor="text1"/>
          <w:szCs w:val="22"/>
        </w:rPr>
        <w:t xml:space="preserve">Community </w:t>
      </w:r>
      <w:r w:rsidR="00382C58" w:rsidRPr="003D0778">
        <w:rPr>
          <w:iCs/>
          <w:color w:val="000000" w:themeColor="text1"/>
          <w:szCs w:val="22"/>
        </w:rPr>
        <w:t>Care</w:t>
      </w:r>
      <w:bookmarkEnd w:id="98"/>
      <w:r w:rsidR="00382C58" w:rsidRPr="003D0778">
        <w:rPr>
          <w:iCs/>
          <w:color w:val="000000" w:themeColor="text1"/>
          <w:szCs w:val="22"/>
        </w:rPr>
        <w:t xml:space="preserve"> </w:t>
      </w:r>
    </w:p>
    <w:p w14:paraId="58914285" w14:textId="2B66C7AF" w:rsidR="009A1D3B" w:rsidRPr="002B5397" w:rsidRDefault="009A1D3B" w:rsidP="009A1D3B">
      <w:r w:rsidRPr="002B5397">
        <w:t xml:space="preserve">Primary care, as the first point of contact for the majority of people accessing health services day or night, plays a key role in realising the ambition of ‘A Healthier Wales’ offering a whole system approach to health and social care though integrated working with community care services. </w:t>
      </w:r>
      <w:r w:rsidR="005C6875">
        <w:t xml:space="preserve"> </w:t>
      </w:r>
      <w:r w:rsidRPr="002B5397">
        <w:t xml:space="preserve">Shifting from an illness to a ‘wellness’ system, the sector aims to support and anticipate health needs, to prevent illness, and to reduce the impact of poor health and inequality.  At the heart of the </w:t>
      </w:r>
      <w:hyperlink r:id="rId64" w:history="1">
        <w:r w:rsidRPr="002B5397">
          <w:rPr>
            <w:u w:val="single"/>
          </w:rPr>
          <w:t>Strategic Programme for Primary Care</w:t>
        </w:r>
      </w:hyperlink>
      <w:r w:rsidRPr="002B5397">
        <w:t xml:space="preserve"> (November 2018),  is working closely with partners, shifting the focus to a social model of care, ensuring timely access to primary care services when required and working seamlessly across the whole health and social care system.</w:t>
      </w:r>
    </w:p>
    <w:p w14:paraId="57B1D1E4" w14:textId="77777777" w:rsidR="009A1D3B" w:rsidRDefault="009A1D3B" w:rsidP="009A1D3B">
      <w:pPr>
        <w:autoSpaceDE w:val="0"/>
        <w:autoSpaceDN w:val="0"/>
        <w:adjustRightInd w:val="0"/>
        <w:rPr>
          <w:rFonts w:cstheme="minorHAnsi"/>
        </w:rPr>
      </w:pPr>
    </w:p>
    <w:p w14:paraId="4CAE6117" w14:textId="30A62E7F" w:rsidR="000E5557" w:rsidRPr="000E5557" w:rsidRDefault="000E5557" w:rsidP="000E5557">
      <w:pPr>
        <w:autoSpaceDE w:val="0"/>
        <w:autoSpaceDN w:val="0"/>
        <w:adjustRightInd w:val="0"/>
        <w:rPr>
          <w:rFonts w:cstheme="minorHAnsi"/>
        </w:rPr>
      </w:pPr>
      <w:r w:rsidRPr="000E5557">
        <w:rPr>
          <w:rFonts w:cstheme="minorHAnsi"/>
        </w:rPr>
        <w:t xml:space="preserve">The Primary Care Model for Wales is a key priority within the NHS planning Framework to support the objectives of A Healthier Wales. Work continues within the Health Board to identify services currently provided in secondary care that could be part of a wider range of services provided within the primary and community care setting. Further detail is provided in </w:t>
      </w:r>
      <w:r>
        <w:rPr>
          <w:rFonts w:cstheme="minorHAnsi"/>
        </w:rPr>
        <w:t xml:space="preserve">Annex C2. </w:t>
      </w:r>
      <w:r w:rsidRPr="000E5557">
        <w:rPr>
          <w:rFonts w:cstheme="minorHAnsi"/>
        </w:rPr>
        <w:t xml:space="preserve"> The service areas have been identified with reference to the Primary Care Model delivery milestones for 2021-2024</w:t>
      </w:r>
      <w:r>
        <w:rPr>
          <w:rFonts w:cstheme="minorHAnsi"/>
        </w:rPr>
        <w:t xml:space="preserve">, the various long term condition delivery Plans and National Planned Care  Programme </w:t>
      </w:r>
      <w:r w:rsidRPr="000E5557">
        <w:rPr>
          <w:rFonts w:cstheme="minorHAnsi"/>
        </w:rPr>
        <w:t xml:space="preserve"> to reduce demand on secondary care services and provide care closer to home. </w:t>
      </w:r>
    </w:p>
    <w:p w14:paraId="39174492" w14:textId="77777777" w:rsidR="000E5557" w:rsidRPr="002B5397" w:rsidRDefault="000E5557" w:rsidP="009A1D3B">
      <w:pPr>
        <w:autoSpaceDE w:val="0"/>
        <w:autoSpaceDN w:val="0"/>
        <w:adjustRightInd w:val="0"/>
        <w:rPr>
          <w:rFonts w:cstheme="minorHAnsi"/>
        </w:rPr>
      </w:pPr>
    </w:p>
    <w:p w14:paraId="5BCDEF0B" w14:textId="72C52AEA" w:rsidR="009A1D3B" w:rsidRPr="002B5397" w:rsidRDefault="009A1D3B" w:rsidP="009A1D3B">
      <w:pPr>
        <w:rPr>
          <w:rFonts w:eastAsia="Cambria" w:cstheme="minorHAnsi"/>
        </w:rPr>
      </w:pPr>
      <w:r w:rsidRPr="002B5397">
        <w:rPr>
          <w:rFonts w:eastAsia="Cambria" w:cstheme="minorHAnsi"/>
        </w:rPr>
        <w:t xml:space="preserve">The Director of Primary Care, Community and Mental Health Services and other members of the Primary Care team are taking an active role in participating in the national </w:t>
      </w:r>
      <w:r w:rsidR="00614BBE">
        <w:rPr>
          <w:rFonts w:eastAsia="Cambria" w:cstheme="minorHAnsi"/>
        </w:rPr>
        <w:t>workstreams</w:t>
      </w:r>
      <w:r w:rsidRPr="002B5397">
        <w:rPr>
          <w:rFonts w:eastAsia="Cambria" w:cstheme="minorHAnsi"/>
        </w:rPr>
        <w:t xml:space="preserve"> to shape these components of the model.  </w:t>
      </w:r>
      <w:r w:rsidR="005C6875">
        <w:rPr>
          <w:rFonts w:eastAsia="Cambria" w:cstheme="minorHAnsi"/>
        </w:rPr>
        <w:t>O</w:t>
      </w:r>
      <w:r w:rsidRPr="002B5397">
        <w:rPr>
          <w:rFonts w:eastAsia="Cambria" w:cstheme="minorHAnsi"/>
        </w:rPr>
        <w:t xml:space="preserve">utputs from these workstreams are subsequently informing the </w:t>
      </w:r>
      <w:r w:rsidR="005C6875">
        <w:rPr>
          <w:rFonts w:eastAsia="Cambria" w:cstheme="minorHAnsi"/>
        </w:rPr>
        <w:t xml:space="preserve">UHBs </w:t>
      </w:r>
      <w:r w:rsidRPr="002B5397">
        <w:rPr>
          <w:rFonts w:eastAsia="Cambria" w:cstheme="minorHAnsi"/>
        </w:rPr>
        <w:t>local implementation plan.</w:t>
      </w:r>
    </w:p>
    <w:p w14:paraId="06586353" w14:textId="77777777" w:rsidR="009A1D3B" w:rsidRPr="002B5397" w:rsidRDefault="009A1D3B" w:rsidP="009A1D3B">
      <w:pPr>
        <w:autoSpaceDE w:val="0"/>
        <w:autoSpaceDN w:val="0"/>
        <w:adjustRightInd w:val="0"/>
        <w:rPr>
          <w:rFonts w:cstheme="minorHAnsi"/>
        </w:rPr>
      </w:pPr>
    </w:p>
    <w:p w14:paraId="07E710F7" w14:textId="7E3E036F" w:rsidR="009A1D3B" w:rsidRPr="002B5397" w:rsidRDefault="009A1D3B" w:rsidP="009A1D3B">
      <w:pPr>
        <w:autoSpaceDE w:val="0"/>
        <w:autoSpaceDN w:val="0"/>
        <w:adjustRightInd w:val="0"/>
        <w:rPr>
          <w:rFonts w:cstheme="minorHAnsi"/>
        </w:rPr>
      </w:pPr>
      <w:r w:rsidRPr="002B5397">
        <w:rPr>
          <w:rFonts w:cstheme="minorHAnsi"/>
        </w:rPr>
        <w:t xml:space="preserve">In </w:t>
      </w:r>
      <w:r w:rsidR="00487F77">
        <w:rPr>
          <w:rFonts w:cstheme="minorHAnsi"/>
        </w:rPr>
        <w:t>CTM</w:t>
      </w:r>
      <w:r w:rsidRPr="002B5397">
        <w:rPr>
          <w:rFonts w:cstheme="minorHAnsi"/>
        </w:rPr>
        <w:t xml:space="preserve"> we share the ambition of </w:t>
      </w:r>
      <w:r w:rsidR="00487F77">
        <w:rPr>
          <w:rFonts w:cstheme="minorHAnsi"/>
        </w:rPr>
        <w:t xml:space="preserve">WG </w:t>
      </w:r>
      <w:r w:rsidRPr="002B5397">
        <w:rPr>
          <w:rFonts w:cstheme="minorHAnsi"/>
        </w:rPr>
        <w:t xml:space="preserve">to deliver a high quality, sustainable and integrated primary and community care service for current and future generations.  </w:t>
      </w:r>
      <w:r w:rsidR="000A4CD5">
        <w:rPr>
          <w:rFonts w:cstheme="minorHAnsi"/>
        </w:rPr>
        <w:t>A</w:t>
      </w:r>
      <w:r w:rsidRPr="002B5397">
        <w:rPr>
          <w:rFonts w:cstheme="minorHAnsi"/>
        </w:rPr>
        <w:t xml:space="preserve">dditional </w:t>
      </w:r>
      <w:r w:rsidR="00487F77">
        <w:rPr>
          <w:rFonts w:cstheme="minorHAnsi"/>
        </w:rPr>
        <w:t>WG</w:t>
      </w:r>
      <w:r w:rsidRPr="002B5397">
        <w:rPr>
          <w:rFonts w:cstheme="minorHAnsi"/>
        </w:rPr>
        <w:t xml:space="preserve"> investment already received in primary care developments, cluster projects and pacesetters, which we will have already mainstreamed, has proved a welcome catalyst for this transformation.  </w:t>
      </w:r>
    </w:p>
    <w:p w14:paraId="468294D8" w14:textId="77777777" w:rsidR="009A1D3B" w:rsidRPr="002B5397" w:rsidRDefault="009A1D3B" w:rsidP="009A1D3B">
      <w:pPr>
        <w:autoSpaceDE w:val="0"/>
        <w:autoSpaceDN w:val="0"/>
        <w:adjustRightInd w:val="0"/>
        <w:rPr>
          <w:rFonts w:cstheme="minorHAnsi"/>
        </w:rPr>
      </w:pPr>
    </w:p>
    <w:p w14:paraId="1A94F664" w14:textId="5FFACE21" w:rsidR="009A1D3B" w:rsidRPr="002B5397" w:rsidRDefault="009A1D3B" w:rsidP="009A1D3B">
      <w:pPr>
        <w:autoSpaceDE w:val="0"/>
        <w:autoSpaceDN w:val="0"/>
        <w:adjustRightInd w:val="0"/>
        <w:rPr>
          <w:rFonts w:cstheme="minorHAnsi"/>
        </w:rPr>
      </w:pPr>
      <w:r w:rsidRPr="002B5397">
        <w:rPr>
          <w:rFonts w:cs="Verdana"/>
          <w:color w:val="1F1F1F"/>
        </w:rPr>
        <w:t>In June 2019, it was announced that C</w:t>
      </w:r>
      <w:r w:rsidR="002700DD">
        <w:rPr>
          <w:rFonts w:cs="Verdana"/>
          <w:color w:val="1F1F1F"/>
        </w:rPr>
        <w:t>TM</w:t>
      </w:r>
      <w:r w:rsidRPr="002B5397">
        <w:rPr>
          <w:rFonts w:cs="Verdana"/>
          <w:color w:val="1F1F1F"/>
        </w:rPr>
        <w:t xml:space="preserve"> RPB, would receive £22.7 million from the </w:t>
      </w:r>
      <w:r w:rsidR="002700DD">
        <w:rPr>
          <w:rFonts w:cs="Verdana"/>
          <w:color w:val="1F1F1F"/>
        </w:rPr>
        <w:t>WG</w:t>
      </w:r>
      <w:r w:rsidRPr="002B5397">
        <w:rPr>
          <w:rFonts w:cs="Verdana"/>
          <w:color w:val="1F1F1F"/>
        </w:rPr>
        <w:t xml:space="preserve"> Transformation Fund to </w:t>
      </w:r>
      <w:r w:rsidRPr="002B5397">
        <w:rPr>
          <w:rFonts w:cs="Verdana"/>
          <w:color w:val="000000"/>
        </w:rPr>
        <w:t>transform the way health and social care is delivered.</w:t>
      </w:r>
      <w:r w:rsidRPr="002B5397">
        <w:rPr>
          <w:rFonts w:cstheme="minorHAnsi"/>
        </w:rPr>
        <w:t xml:space="preserve"> </w:t>
      </w:r>
      <w:r w:rsidR="00EB3A7D">
        <w:rPr>
          <w:rFonts w:cstheme="minorHAnsi"/>
        </w:rPr>
        <w:t xml:space="preserve"> </w:t>
      </w:r>
      <w:r w:rsidRPr="002B5397">
        <w:rPr>
          <w:rFonts w:cstheme="minorHAnsi"/>
        </w:rPr>
        <w:t>The RPB’s Transformation Programme, incorporating Stay Well in Your Community (RCT and Merthyr Tydfil) and Accelerating the Pace of Change (Bridgend),</w:t>
      </w:r>
      <w:r w:rsidRPr="002B5397">
        <w:rPr>
          <w:iCs/>
          <w:color w:val="00B050"/>
          <w:sz w:val="40"/>
          <w:szCs w:val="40"/>
        </w:rPr>
        <w:t xml:space="preserve"> </w:t>
      </w:r>
      <w:r w:rsidRPr="00164805">
        <w:rPr>
          <w:rFonts w:cstheme="minorHAnsi"/>
        </w:rPr>
        <w:t xml:space="preserve">see </w:t>
      </w:r>
      <w:r w:rsidR="00F1137D">
        <w:rPr>
          <w:rFonts w:cstheme="minorHAnsi"/>
          <w:b/>
        </w:rPr>
        <w:t>section 5.2.2</w:t>
      </w:r>
      <w:r w:rsidRPr="002B5397">
        <w:rPr>
          <w:rFonts w:cstheme="minorHAnsi"/>
        </w:rPr>
        <w:t>, represent key elements of the transformational model for primary and community care, offering a local r</w:t>
      </w:r>
      <w:r w:rsidR="00D66CF2">
        <w:rPr>
          <w:rFonts w:cstheme="minorHAnsi"/>
        </w:rPr>
        <w:t xml:space="preserve">esponse to ‘A Healthier Wales’ </w:t>
      </w:r>
      <w:r w:rsidRPr="002B5397">
        <w:rPr>
          <w:rFonts w:cstheme="minorHAnsi"/>
        </w:rPr>
        <w:t>through a whole system approach to sustainable and accessible local health and wellbeing.</w:t>
      </w:r>
      <w:r w:rsidRPr="002B5397">
        <w:rPr>
          <w:rFonts w:eastAsia="Cambria" w:cstheme="minorHAnsi"/>
        </w:rPr>
        <w:t xml:space="preserve">  Reflecting th</w:t>
      </w:r>
      <w:r w:rsidRPr="002B5397">
        <w:rPr>
          <w:rFonts w:cstheme="minorHAnsi"/>
        </w:rPr>
        <w:t>e all Wales strategic programme for primary care, t</w:t>
      </w:r>
      <w:r w:rsidRPr="002B5397">
        <w:rPr>
          <w:rFonts w:eastAsia="Cambria" w:cstheme="minorHAnsi"/>
        </w:rPr>
        <w:t>he key components of this model are:</w:t>
      </w:r>
    </w:p>
    <w:p w14:paraId="5FBD1E96" w14:textId="77777777" w:rsidR="009A1D3B" w:rsidRPr="002B5397" w:rsidRDefault="009A1D3B" w:rsidP="007111FC">
      <w:pPr>
        <w:numPr>
          <w:ilvl w:val="0"/>
          <w:numId w:val="9"/>
        </w:numPr>
        <w:ind w:left="357" w:hanging="357"/>
        <w:contextualSpacing/>
        <w:rPr>
          <w:rFonts w:eastAsia="Cambria" w:cstheme="minorHAnsi"/>
        </w:rPr>
      </w:pPr>
      <w:r w:rsidRPr="002B5397">
        <w:rPr>
          <w:rFonts w:eastAsia="Cambria" w:cstheme="minorHAnsi"/>
        </w:rPr>
        <w:t>Informed public.</w:t>
      </w:r>
    </w:p>
    <w:p w14:paraId="754B4C89" w14:textId="77777777" w:rsidR="009A1D3B" w:rsidRPr="002B5397" w:rsidRDefault="009A1D3B" w:rsidP="007111FC">
      <w:pPr>
        <w:numPr>
          <w:ilvl w:val="0"/>
          <w:numId w:val="10"/>
        </w:numPr>
        <w:ind w:left="357" w:hanging="357"/>
        <w:contextualSpacing/>
        <w:rPr>
          <w:rFonts w:eastAsia="Cambria" w:cstheme="minorHAnsi"/>
        </w:rPr>
      </w:pPr>
      <w:r w:rsidRPr="002B5397">
        <w:rPr>
          <w:rFonts w:eastAsia="Cambria" w:cstheme="minorHAnsi"/>
        </w:rPr>
        <w:t>Empowered citizens.</w:t>
      </w:r>
    </w:p>
    <w:p w14:paraId="64C4211F" w14:textId="77777777" w:rsidR="009A1D3B" w:rsidRPr="002B5397" w:rsidRDefault="009A1D3B" w:rsidP="007111FC">
      <w:pPr>
        <w:numPr>
          <w:ilvl w:val="0"/>
          <w:numId w:val="10"/>
        </w:numPr>
        <w:ind w:left="357" w:hanging="357"/>
        <w:contextualSpacing/>
        <w:rPr>
          <w:rFonts w:eastAsia="Cambria" w:cstheme="minorHAnsi"/>
        </w:rPr>
      </w:pPr>
      <w:r w:rsidRPr="002B5397">
        <w:rPr>
          <w:rFonts w:eastAsia="Cambria" w:cstheme="minorHAnsi"/>
        </w:rPr>
        <w:t>Support for well-being, disease prevention and self-care.</w:t>
      </w:r>
    </w:p>
    <w:p w14:paraId="53379E1E" w14:textId="77777777" w:rsidR="009A1D3B" w:rsidRPr="002B5397" w:rsidRDefault="009A1D3B" w:rsidP="007111FC">
      <w:pPr>
        <w:numPr>
          <w:ilvl w:val="0"/>
          <w:numId w:val="10"/>
        </w:numPr>
        <w:ind w:left="357" w:hanging="357"/>
        <w:contextualSpacing/>
        <w:rPr>
          <w:rFonts w:eastAsia="Cambria" w:cstheme="minorHAnsi"/>
        </w:rPr>
      </w:pPr>
      <w:r w:rsidRPr="002B5397">
        <w:rPr>
          <w:rFonts w:eastAsia="Cambria" w:cstheme="minorHAnsi"/>
        </w:rPr>
        <w:t>Cluster Working.</w:t>
      </w:r>
    </w:p>
    <w:p w14:paraId="17B9C868" w14:textId="77777777" w:rsidR="009A1D3B" w:rsidRPr="002B5397" w:rsidRDefault="009A1D3B" w:rsidP="007111FC">
      <w:pPr>
        <w:numPr>
          <w:ilvl w:val="0"/>
          <w:numId w:val="10"/>
        </w:numPr>
        <w:ind w:left="357" w:hanging="357"/>
        <w:contextualSpacing/>
        <w:rPr>
          <w:rFonts w:eastAsia="Cambria" w:cstheme="minorHAnsi"/>
        </w:rPr>
      </w:pPr>
      <w:r w:rsidRPr="002B5397">
        <w:rPr>
          <w:rFonts w:eastAsia="Cambria" w:cstheme="minorHAnsi"/>
        </w:rPr>
        <w:t>First point of contact (including clinical triage and phone first systems).</w:t>
      </w:r>
    </w:p>
    <w:p w14:paraId="4D49F9A6" w14:textId="77777777" w:rsidR="009A1D3B" w:rsidRPr="002B5397" w:rsidRDefault="009A1D3B" w:rsidP="007111FC">
      <w:pPr>
        <w:numPr>
          <w:ilvl w:val="0"/>
          <w:numId w:val="10"/>
        </w:numPr>
        <w:ind w:left="357" w:hanging="357"/>
        <w:contextualSpacing/>
        <w:rPr>
          <w:rFonts w:eastAsia="Cambria" w:cstheme="minorHAnsi"/>
        </w:rPr>
      </w:pPr>
      <w:r w:rsidRPr="002B5397">
        <w:rPr>
          <w:rFonts w:eastAsia="Cambria" w:cstheme="minorHAnsi"/>
        </w:rPr>
        <w:t>Urgent care (111, Out of Hours and In Hours).</w:t>
      </w:r>
    </w:p>
    <w:p w14:paraId="29FB342A" w14:textId="77777777" w:rsidR="009A1D3B" w:rsidRPr="002B5397" w:rsidRDefault="009A1D3B" w:rsidP="007111FC">
      <w:pPr>
        <w:numPr>
          <w:ilvl w:val="0"/>
          <w:numId w:val="10"/>
        </w:numPr>
        <w:ind w:left="357" w:hanging="357"/>
        <w:contextualSpacing/>
        <w:rPr>
          <w:rFonts w:eastAsia="Cambria" w:cstheme="minorHAnsi"/>
        </w:rPr>
      </w:pPr>
      <w:r w:rsidRPr="002B5397">
        <w:rPr>
          <w:rFonts w:eastAsia="Cambria" w:cstheme="minorHAnsi"/>
        </w:rPr>
        <w:t>Focussing on people with complex care needs.</w:t>
      </w:r>
    </w:p>
    <w:p w14:paraId="250D0773" w14:textId="77777777" w:rsidR="009A1D3B" w:rsidRPr="002B5397" w:rsidRDefault="009A1D3B" w:rsidP="007111FC">
      <w:pPr>
        <w:numPr>
          <w:ilvl w:val="0"/>
          <w:numId w:val="10"/>
        </w:numPr>
        <w:ind w:left="357" w:hanging="357"/>
        <w:contextualSpacing/>
        <w:rPr>
          <w:rFonts w:eastAsia="Cambria" w:cstheme="minorHAnsi"/>
        </w:rPr>
      </w:pPr>
      <w:r w:rsidRPr="002B5397">
        <w:rPr>
          <w:rFonts w:eastAsia="Cambria" w:cstheme="minorHAnsi"/>
        </w:rPr>
        <w:t>Infrastructure to support transformation (MDT working).</w:t>
      </w:r>
    </w:p>
    <w:p w14:paraId="7FE39898" w14:textId="77777777" w:rsidR="009A1D3B" w:rsidRPr="002B5397" w:rsidRDefault="009A1D3B" w:rsidP="007111FC">
      <w:pPr>
        <w:numPr>
          <w:ilvl w:val="0"/>
          <w:numId w:val="10"/>
        </w:numPr>
        <w:ind w:left="357" w:hanging="357"/>
        <w:contextualSpacing/>
        <w:rPr>
          <w:rFonts w:eastAsia="Cambria" w:cstheme="minorHAnsi"/>
        </w:rPr>
      </w:pPr>
      <w:r w:rsidRPr="002B5397">
        <w:rPr>
          <w:rFonts w:eastAsia="Cambria" w:cstheme="minorHAnsi"/>
        </w:rPr>
        <w:t>Integrated and responsive Community services.</w:t>
      </w:r>
    </w:p>
    <w:p w14:paraId="59620CE8" w14:textId="77777777" w:rsidR="009A1D3B" w:rsidRPr="002B5397" w:rsidRDefault="009A1D3B" w:rsidP="007111FC">
      <w:pPr>
        <w:numPr>
          <w:ilvl w:val="0"/>
          <w:numId w:val="10"/>
        </w:numPr>
        <w:ind w:left="357" w:hanging="357"/>
        <w:contextualSpacing/>
        <w:rPr>
          <w:rFonts w:eastAsia="Cambria" w:cstheme="minorHAnsi"/>
        </w:rPr>
      </w:pPr>
      <w:r w:rsidRPr="002B5397">
        <w:rPr>
          <w:rFonts w:eastAsia="Cambria" w:cstheme="minorHAnsi"/>
        </w:rPr>
        <w:t>Shifting resources.</w:t>
      </w:r>
    </w:p>
    <w:p w14:paraId="1537A654" w14:textId="77777777" w:rsidR="00A1335B" w:rsidRDefault="00A1335B" w:rsidP="00A1335B">
      <w:pPr>
        <w:rPr>
          <w:rFonts w:asciiTheme="minorHAnsi" w:eastAsia="Cambria" w:hAnsiTheme="minorHAnsi" w:cstheme="minorHAnsi"/>
          <w:color w:val="943634" w:themeColor="accent2" w:themeShade="BF"/>
          <w:szCs w:val="22"/>
        </w:rPr>
      </w:pPr>
    </w:p>
    <w:p w14:paraId="0F6331C6" w14:textId="5DB22297" w:rsidR="009A1D3B" w:rsidRPr="002B5397" w:rsidRDefault="009A1D3B" w:rsidP="009A1D3B">
      <w:pPr>
        <w:rPr>
          <w:rFonts w:cstheme="minorHAnsi"/>
        </w:rPr>
      </w:pPr>
      <w:r w:rsidRPr="002B5397">
        <w:rPr>
          <w:rFonts w:cstheme="minorHAnsi"/>
        </w:rPr>
        <w:t>Our Primary Care Clusters remain at the heart of the transformation of primary care services and the Health Board has worke</w:t>
      </w:r>
      <w:r w:rsidR="00C10133">
        <w:rPr>
          <w:rFonts w:cstheme="minorHAnsi"/>
        </w:rPr>
        <w:t xml:space="preserve">d in earnest with clusters and </w:t>
      </w:r>
      <w:r w:rsidRPr="002B5397">
        <w:rPr>
          <w:rFonts w:cstheme="minorHAnsi"/>
        </w:rPr>
        <w:t xml:space="preserve">key clinical leaders to embed and develop the new model.  In September 2019 each cluster was required to submit to </w:t>
      </w:r>
      <w:r w:rsidR="002700DD">
        <w:rPr>
          <w:rFonts w:cstheme="minorHAnsi"/>
        </w:rPr>
        <w:t xml:space="preserve">WG </w:t>
      </w:r>
      <w:r w:rsidRPr="002B5397">
        <w:rPr>
          <w:rFonts w:cstheme="minorHAnsi"/>
        </w:rPr>
        <w:t>an IMTP setting out their priorities and objectives over the next 3 years to address the health needs of the local cluster population</w:t>
      </w:r>
      <w:r w:rsidR="00C10133">
        <w:rPr>
          <w:rFonts w:cstheme="minorHAnsi"/>
        </w:rPr>
        <w:t>, informing and aligning</w:t>
      </w:r>
      <w:r w:rsidRPr="002B5397">
        <w:rPr>
          <w:rFonts w:cstheme="minorHAnsi"/>
        </w:rPr>
        <w:t xml:space="preserve"> to the Health Board’s IMTP. </w:t>
      </w:r>
      <w:r w:rsidR="00C10133">
        <w:rPr>
          <w:rFonts w:cstheme="minorHAnsi"/>
        </w:rPr>
        <w:t xml:space="preserve"> </w:t>
      </w:r>
      <w:r w:rsidRPr="002B5397">
        <w:rPr>
          <w:rFonts w:cstheme="minorHAnsi"/>
        </w:rPr>
        <w:t>These are the first Cluster IMTPs which will be refined and developed through the year in light of internal audit findings and external feedback, ensuring a more inclusive development process, smarter objectives, and robust implementation monitoring processes.</w:t>
      </w:r>
    </w:p>
    <w:p w14:paraId="6B7927FB" w14:textId="77777777" w:rsidR="009A1D3B" w:rsidRDefault="009A1D3B" w:rsidP="009A1D3B">
      <w:pPr>
        <w:rPr>
          <w:rFonts w:cstheme="minorHAnsi"/>
        </w:rPr>
      </w:pPr>
    </w:p>
    <w:p w14:paraId="5134F085" w14:textId="01AEB275" w:rsidR="004703DD" w:rsidRPr="004703DD" w:rsidRDefault="009A1D3B" w:rsidP="009A1D3B">
      <w:pPr>
        <w:rPr>
          <w:rFonts w:cstheme="minorHAnsi"/>
        </w:rPr>
      </w:pPr>
      <w:r w:rsidRPr="002B5397">
        <w:rPr>
          <w:rFonts w:cstheme="minorHAnsi"/>
        </w:rPr>
        <w:t xml:space="preserve">The key themes emerging from the </w:t>
      </w:r>
      <w:r w:rsidRPr="004703DD">
        <w:rPr>
          <w:rFonts w:cstheme="minorHAnsi"/>
        </w:rPr>
        <w:t>first Cluster IMTPs are as follows, demonstrating a clear alignment to the Health Board’s IMTP and strategic priorities overleaf.</w:t>
      </w:r>
    </w:p>
    <w:p w14:paraId="2600D13A" w14:textId="77777777" w:rsidR="004703DD" w:rsidRPr="004703DD" w:rsidRDefault="004703DD">
      <w:pPr>
        <w:jc w:val="left"/>
        <w:rPr>
          <w:rFonts w:cstheme="minorHAnsi"/>
        </w:rPr>
      </w:pPr>
    </w:p>
    <w:p w14:paraId="427EAF39" w14:textId="2812ABE3" w:rsidR="00BA7E95" w:rsidRPr="00BA7E95" w:rsidRDefault="00BA7E95" w:rsidP="004703DD">
      <w:pPr>
        <w:ind w:left="360"/>
        <w:contextualSpacing/>
        <w:rPr>
          <w:rFonts w:cstheme="minorHAnsi"/>
        </w:rPr>
        <w:sectPr w:rsidR="00BA7E95" w:rsidRPr="00BA7E95" w:rsidSect="00DD623D">
          <w:pgSz w:w="11906" w:h="16838"/>
          <w:pgMar w:top="964" w:right="964" w:bottom="964" w:left="964" w:header="709" w:footer="709" w:gutter="0"/>
          <w:pgNumType w:start="1"/>
          <w:cols w:space="708"/>
          <w:docGrid w:linePitch="360"/>
        </w:sectPr>
      </w:pPr>
      <w:r w:rsidRPr="00BA7E95">
        <w:rPr>
          <w:rFonts w:cstheme="minorHAnsi"/>
        </w:rPr>
        <w:t xml:space="preserve">.  </w:t>
      </w:r>
    </w:p>
    <w:p w14:paraId="4D0B38FB" w14:textId="77777777" w:rsidR="009A1D3B" w:rsidRDefault="009A1D3B" w:rsidP="009A1D3B">
      <w:pPr>
        <w:rPr>
          <w:rFonts w:ascii="Arial" w:hAnsi="Arial" w:cs="Arial"/>
          <w:i/>
        </w:rPr>
      </w:pPr>
      <w:r w:rsidRPr="00F10333">
        <w:rPr>
          <w:rFonts w:ascii="Arial" w:hAnsi="Arial" w:cs="Arial"/>
          <w:i/>
          <w:noProof/>
        </w:rPr>
        <w:lastRenderedPageBreak/>
        <mc:AlternateContent>
          <mc:Choice Requires="wps">
            <w:drawing>
              <wp:anchor distT="0" distB="0" distL="114300" distR="114300" simplePos="0" relativeHeight="252815360" behindDoc="0" locked="0" layoutInCell="1" allowOverlap="1" wp14:anchorId="54437CEF" wp14:editId="3C1CAF19">
                <wp:simplePos x="0" y="0"/>
                <wp:positionH relativeFrom="margin">
                  <wp:posOffset>2190750</wp:posOffset>
                </wp:positionH>
                <wp:positionV relativeFrom="paragraph">
                  <wp:posOffset>1270</wp:posOffset>
                </wp:positionV>
                <wp:extent cx="6257925" cy="409575"/>
                <wp:effectExtent l="0" t="0" r="28575" b="28575"/>
                <wp:wrapSquare wrapText="bothSides"/>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409575"/>
                        </a:xfrm>
                        <a:prstGeom prst="rect">
                          <a:avLst/>
                        </a:prstGeom>
                        <a:solidFill>
                          <a:srgbClr val="FFFFFF"/>
                        </a:solidFill>
                        <a:ln w="9525">
                          <a:solidFill>
                            <a:srgbClr val="000000"/>
                          </a:solidFill>
                          <a:miter lim="800000"/>
                          <a:headEnd/>
                          <a:tailEnd/>
                        </a:ln>
                      </wps:spPr>
                      <wps:txbx>
                        <w:txbxContent>
                          <w:p w14:paraId="33A3E2D2" w14:textId="77777777" w:rsidR="00883972" w:rsidRPr="00D87798" w:rsidRDefault="00883972" w:rsidP="009A1D3B">
                            <w:pPr>
                              <w:jc w:val="center"/>
                              <w:rPr>
                                <w:b/>
                                <w:sz w:val="32"/>
                                <w:szCs w:val="32"/>
                              </w:rPr>
                            </w:pPr>
                            <w:r>
                              <w:rPr>
                                <w:b/>
                                <w:sz w:val="32"/>
                                <w:szCs w:val="32"/>
                              </w:rPr>
                              <w:t xml:space="preserve">Cwm Taf Morgannwg </w:t>
                            </w:r>
                            <w:r w:rsidRPr="00D87798">
                              <w:rPr>
                                <w:b/>
                                <w:sz w:val="32"/>
                                <w:szCs w:val="32"/>
                              </w:rPr>
                              <w:t>Cluster IMTP</w:t>
                            </w:r>
                            <w:r>
                              <w:rPr>
                                <w:b/>
                                <w:sz w:val="32"/>
                                <w:szCs w:val="32"/>
                              </w:rPr>
                              <w:t>s</w:t>
                            </w:r>
                            <w:r w:rsidRPr="00D87798">
                              <w:rPr>
                                <w:b/>
                                <w:sz w:val="32"/>
                                <w:szCs w:val="32"/>
                              </w:rPr>
                              <w:t xml:space="preserve"> 2020 </w:t>
                            </w:r>
                            <w:r>
                              <w:rPr>
                                <w:b/>
                                <w:sz w:val="32"/>
                                <w:szCs w:val="32"/>
                              </w:rPr>
                              <w:t>–</w:t>
                            </w:r>
                            <w:r w:rsidRPr="00D87798">
                              <w:rPr>
                                <w:b/>
                                <w:sz w:val="32"/>
                                <w:szCs w:val="32"/>
                              </w:rPr>
                              <w:t xml:space="preserve"> 2023</w:t>
                            </w:r>
                            <w:r>
                              <w:rPr>
                                <w:b/>
                                <w:sz w:val="32"/>
                                <w:szCs w:val="32"/>
                              </w:rPr>
                              <w:t xml:space="preserve"> – Common Themes</w:t>
                            </w:r>
                          </w:p>
                          <w:p w14:paraId="31416B88" w14:textId="77777777" w:rsidR="00883972" w:rsidRPr="00D87798" w:rsidRDefault="00883972" w:rsidP="009A1D3B">
                            <w:pPr>
                              <w:rPr>
                                <w:rFonts w:cstheme="minorHAnsi"/>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437CEF" id="_x0000_t202" coordsize="21600,21600" o:spt="202" path="m,l,21600r21600,l21600,xe">
                <v:stroke joinstyle="miter"/>
                <v:path gradientshapeok="t" o:connecttype="rect"/>
              </v:shapetype>
              <v:shape id="Text Box 2" o:spid="_x0000_s1026" type="#_x0000_t202" style="position:absolute;left:0;text-align:left;margin-left:172.5pt;margin-top:.1pt;width:492.75pt;height:32.25pt;z-index:252815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">
                <v:textbox>
                  <w:txbxContent>
                    <w:p w14:paraId="33A3E2D2" w14:textId="77777777" w:rsidR="00883972" w:rsidRPr="00D87798" w:rsidRDefault="00883972" w:rsidP="009A1D3B">
                      <w:pPr>
                        <w:jc w:val="center"/>
                        <w:rPr>
                          <w:b/>
                          <w:sz w:val="32"/>
                          <w:szCs w:val="32"/>
                        </w:rPr>
                      </w:pPr>
                      <w:r>
                        <w:rPr>
                          <w:b/>
                          <w:sz w:val="32"/>
                          <w:szCs w:val="32"/>
                        </w:rPr>
                        <w:t xml:space="preserve">Cwm Taf Morgannwg </w:t>
                      </w:r>
                      <w:r w:rsidRPr="00D87798">
                        <w:rPr>
                          <w:b/>
                          <w:sz w:val="32"/>
                          <w:szCs w:val="32"/>
                        </w:rPr>
                        <w:t>Cluster IMTP</w:t>
                      </w:r>
                      <w:r>
                        <w:rPr>
                          <w:b/>
                          <w:sz w:val="32"/>
                          <w:szCs w:val="32"/>
                        </w:rPr>
                        <w:t>s</w:t>
                      </w:r>
                      <w:r w:rsidRPr="00D87798">
                        <w:rPr>
                          <w:b/>
                          <w:sz w:val="32"/>
                          <w:szCs w:val="32"/>
                        </w:rPr>
                        <w:t xml:space="preserve"> 2020 </w:t>
                      </w:r>
                      <w:r>
                        <w:rPr>
                          <w:b/>
                          <w:sz w:val="32"/>
                          <w:szCs w:val="32"/>
                        </w:rPr>
                        <w:t>–</w:t>
                      </w:r>
                      <w:r w:rsidRPr="00D87798">
                        <w:rPr>
                          <w:b/>
                          <w:sz w:val="32"/>
                          <w:szCs w:val="32"/>
                        </w:rPr>
                        <w:t xml:space="preserve"> 2023</w:t>
                      </w:r>
                      <w:r>
                        <w:rPr>
                          <w:b/>
                          <w:sz w:val="32"/>
                          <w:szCs w:val="32"/>
                        </w:rPr>
                        <w:t xml:space="preserve"> – Common Themes</w:t>
                      </w:r>
                    </w:p>
                    <w:p w14:paraId="31416B88" w14:textId="77777777" w:rsidR="00883972" w:rsidRPr="00D87798" w:rsidRDefault="00883972" w:rsidP="009A1D3B">
                      <w:pPr>
                        <w:rPr>
                          <w:rFonts w:cstheme="minorHAnsi"/>
                          <w:b/>
                        </w:rPr>
                      </w:pPr>
                    </w:p>
                  </w:txbxContent>
                </v:textbox>
                <w10:wrap type="square" anchorx="margin"/>
              </v:shape>
            </w:pict>
          </mc:Fallback>
        </mc:AlternateContent>
      </w:r>
    </w:p>
    <w:p w14:paraId="4295C282" w14:textId="77777777" w:rsidR="009A1D3B" w:rsidRDefault="009A1D3B" w:rsidP="009A1D3B">
      <w:pPr>
        <w:rPr>
          <w:b/>
          <w:sz w:val="32"/>
          <w:szCs w:val="32"/>
        </w:rPr>
      </w:pPr>
      <w:r w:rsidRPr="00AC47A0">
        <w:rPr>
          <w:b/>
          <w:noProof/>
          <w:sz w:val="32"/>
          <w:szCs w:val="32"/>
        </w:rPr>
        <mc:AlternateContent>
          <mc:Choice Requires="wps">
            <w:drawing>
              <wp:anchor distT="45720" distB="45720" distL="114300" distR="114300" simplePos="0" relativeHeight="252816384" behindDoc="0" locked="0" layoutInCell="1" allowOverlap="1" wp14:anchorId="3376167E" wp14:editId="5449B364">
                <wp:simplePos x="0" y="0"/>
                <wp:positionH relativeFrom="column">
                  <wp:posOffset>-200025</wp:posOffset>
                </wp:positionH>
                <wp:positionV relativeFrom="paragraph">
                  <wp:posOffset>259715</wp:posOffset>
                </wp:positionV>
                <wp:extent cx="4000500" cy="205740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2057400"/>
                        </a:xfrm>
                        <a:prstGeom prst="snip2SameRect">
                          <a:avLst/>
                        </a:prstGeom>
                        <a:solidFill>
                          <a:srgbClr val="C8EBA9"/>
                        </a:solidFill>
                        <a:ln w="9525">
                          <a:solidFill>
                            <a:srgbClr val="000000"/>
                          </a:solidFill>
                          <a:miter lim="800000"/>
                          <a:headEnd/>
                          <a:tailEnd/>
                        </a:ln>
                      </wps:spPr>
                      <wps:txbx>
                        <w:txbxContent>
                          <w:p w14:paraId="2E7280A9" w14:textId="77777777" w:rsidR="00883972" w:rsidRPr="00905831" w:rsidRDefault="00883972" w:rsidP="009A1D3B">
                            <w:pPr>
                              <w:shd w:val="clear" w:color="auto" w:fill="C8EBA9"/>
                              <w:jc w:val="center"/>
                              <w:rPr>
                                <w:b/>
                                <w:color w:val="984806" w:themeColor="accent6" w:themeShade="80"/>
                                <w:sz w:val="24"/>
                              </w:rPr>
                            </w:pPr>
                            <w:r w:rsidRPr="00905831">
                              <w:rPr>
                                <w:b/>
                                <w:color w:val="984806" w:themeColor="accent6" w:themeShade="80"/>
                                <w:sz w:val="24"/>
                              </w:rPr>
                              <w:t>Key Drivers</w:t>
                            </w:r>
                          </w:p>
                          <w:p w14:paraId="79BE9E9F" w14:textId="77777777" w:rsidR="00883972" w:rsidRPr="00905831" w:rsidRDefault="00883972" w:rsidP="00F60A35">
                            <w:pPr>
                              <w:pStyle w:val="ListParagraph"/>
                              <w:numPr>
                                <w:ilvl w:val="0"/>
                                <w:numId w:val="54"/>
                              </w:numPr>
                              <w:spacing w:line="259" w:lineRule="auto"/>
                              <w:jc w:val="left"/>
                              <w:rPr>
                                <w:b/>
                                <w:color w:val="984806" w:themeColor="accent6" w:themeShade="80"/>
                              </w:rPr>
                            </w:pPr>
                            <w:r w:rsidRPr="00905831">
                              <w:rPr>
                                <w:b/>
                                <w:color w:val="984806" w:themeColor="accent6" w:themeShade="80"/>
                              </w:rPr>
                              <w:t>Improving population health and reducing health inequalities on a cluster level</w:t>
                            </w:r>
                          </w:p>
                          <w:p w14:paraId="20D821B1" w14:textId="77777777" w:rsidR="00883972" w:rsidRPr="00905831" w:rsidRDefault="00883972" w:rsidP="00F60A35">
                            <w:pPr>
                              <w:pStyle w:val="ListParagraph"/>
                              <w:numPr>
                                <w:ilvl w:val="0"/>
                                <w:numId w:val="54"/>
                              </w:numPr>
                              <w:spacing w:after="160" w:line="259" w:lineRule="auto"/>
                              <w:jc w:val="left"/>
                              <w:rPr>
                                <w:b/>
                                <w:color w:val="984806" w:themeColor="accent6" w:themeShade="80"/>
                              </w:rPr>
                            </w:pPr>
                            <w:r w:rsidRPr="00905831">
                              <w:rPr>
                                <w:b/>
                                <w:color w:val="984806" w:themeColor="accent6" w:themeShade="80"/>
                              </w:rPr>
                              <w:t>Integrating pathways to provide a holistic, person-centred approach to meet people’s needs</w:t>
                            </w:r>
                          </w:p>
                          <w:p w14:paraId="1E913462" w14:textId="77777777" w:rsidR="00883972" w:rsidRPr="00905831" w:rsidRDefault="00883972" w:rsidP="00F60A35">
                            <w:pPr>
                              <w:pStyle w:val="ListParagraph"/>
                              <w:numPr>
                                <w:ilvl w:val="0"/>
                                <w:numId w:val="54"/>
                              </w:numPr>
                              <w:spacing w:after="160" w:line="259" w:lineRule="auto"/>
                              <w:jc w:val="left"/>
                              <w:rPr>
                                <w:b/>
                                <w:color w:val="984806" w:themeColor="accent6" w:themeShade="80"/>
                              </w:rPr>
                            </w:pPr>
                            <w:r w:rsidRPr="00905831">
                              <w:rPr>
                                <w:b/>
                                <w:color w:val="984806" w:themeColor="accent6" w:themeShade="80"/>
                              </w:rPr>
                              <w:t>Enabling timely access to the most appropriate service</w:t>
                            </w:r>
                          </w:p>
                          <w:p w14:paraId="4393461A" w14:textId="77777777" w:rsidR="00883972" w:rsidRPr="00905831" w:rsidRDefault="00883972" w:rsidP="00F60A35">
                            <w:pPr>
                              <w:pStyle w:val="ListParagraph"/>
                              <w:numPr>
                                <w:ilvl w:val="0"/>
                                <w:numId w:val="54"/>
                              </w:numPr>
                              <w:spacing w:after="160" w:line="259" w:lineRule="auto"/>
                              <w:jc w:val="left"/>
                              <w:rPr>
                                <w:b/>
                                <w:color w:val="984806" w:themeColor="accent6" w:themeShade="80"/>
                              </w:rPr>
                            </w:pPr>
                            <w:r w:rsidRPr="00905831">
                              <w:rPr>
                                <w:b/>
                                <w:color w:val="984806" w:themeColor="accent6" w:themeShade="80"/>
                              </w:rPr>
                              <w:t>Patient safety, quality and clinical effectiveness</w:t>
                            </w:r>
                          </w:p>
                          <w:p w14:paraId="03F53D9F" w14:textId="77777777" w:rsidR="00883972" w:rsidRPr="00905831" w:rsidRDefault="00883972" w:rsidP="00F60A35">
                            <w:pPr>
                              <w:pStyle w:val="ListParagraph"/>
                              <w:numPr>
                                <w:ilvl w:val="0"/>
                                <w:numId w:val="54"/>
                              </w:numPr>
                              <w:spacing w:after="160" w:line="259" w:lineRule="auto"/>
                              <w:jc w:val="left"/>
                              <w:rPr>
                                <w:b/>
                                <w:color w:val="984806" w:themeColor="accent6" w:themeShade="80"/>
                              </w:rPr>
                            </w:pPr>
                            <w:r w:rsidRPr="00905831">
                              <w:rPr>
                                <w:b/>
                                <w:color w:val="984806" w:themeColor="accent6" w:themeShade="80"/>
                              </w:rPr>
                              <w:t>Ensuring service sustainability in the face of increasing demand and GP recruitment/retention challenges</w:t>
                            </w:r>
                          </w:p>
                          <w:p w14:paraId="7249BEFF" w14:textId="77777777" w:rsidR="00883972" w:rsidRPr="00AC47A0" w:rsidRDefault="00883972" w:rsidP="009A1D3B">
                            <w:pPr>
                              <w:pStyle w:val="ListParagraph"/>
                              <w:ind w:left="360"/>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76167E" id="_x0000_s1027" style="position:absolute;left:0;text-align:left;margin-left:-15.75pt;margin-top:20.45pt;width:315pt;height:162pt;z-index:252816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coordsize="4000500,2057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" adj="-11796480,,5400" path="m342907,l3657593,r342907,342907l4000500,2057400r,l,2057400r,l,342907,342907,xe" fillcolor="#c8eba9">
                <v:stroke joinstyle="miter"/>
                <v:formulas/>
                <v:path o:connecttype="custom" o:connectlocs="342907,0;3657593,0;4000500,342907;4000500,2057400;4000500,2057400;0,2057400;0,2057400;0,342907;342907,0" o:connectangles="0,0,0,0,0,0,0,0,0" textboxrect="0,0,4000500,2057400"/>
                <v:textbox>
                  <w:txbxContent>
                    <w:p w14:paraId="2E7280A9" w14:textId="77777777" w:rsidR="00883972" w:rsidRPr="00905831" w:rsidRDefault="00883972" w:rsidP="009A1D3B">
                      <w:pPr>
                        <w:shd w:val="clear" w:color="auto" w:fill="C8EBA9"/>
                        <w:jc w:val="center"/>
                        <w:rPr>
                          <w:b/>
                          <w:color w:val="984806" w:themeColor="accent6" w:themeShade="80"/>
                          <w:sz w:val="24"/>
                        </w:rPr>
                      </w:pPr>
                      <w:r w:rsidRPr="00905831">
                        <w:rPr>
                          <w:b/>
                          <w:color w:val="984806" w:themeColor="accent6" w:themeShade="80"/>
                          <w:sz w:val="24"/>
                        </w:rPr>
                        <w:t>Key Drivers</w:t>
                      </w:r>
                    </w:p>
                    <w:p w14:paraId="79BE9E9F" w14:textId="77777777" w:rsidR="00883972" w:rsidRPr="00905831" w:rsidRDefault="00883972" w:rsidP="00F60A35">
                      <w:pPr>
                        <w:pStyle w:val="ListParagraph"/>
                        <w:numPr>
                          <w:ilvl w:val="0"/>
                          <w:numId w:val="54"/>
                        </w:numPr>
                        <w:spacing w:line="259" w:lineRule="auto"/>
                        <w:jc w:val="left"/>
                        <w:rPr>
                          <w:b/>
                          <w:color w:val="984806" w:themeColor="accent6" w:themeShade="80"/>
                        </w:rPr>
                      </w:pPr>
                      <w:r w:rsidRPr="00905831">
                        <w:rPr>
                          <w:b/>
                          <w:color w:val="984806" w:themeColor="accent6" w:themeShade="80"/>
                        </w:rPr>
                        <w:t>Improving population health and reducing health inequalities on a cluster level</w:t>
                      </w:r>
                    </w:p>
                    <w:p w14:paraId="20D821B1" w14:textId="77777777" w:rsidR="00883972" w:rsidRPr="00905831" w:rsidRDefault="00883972" w:rsidP="00F60A35">
                      <w:pPr>
                        <w:pStyle w:val="ListParagraph"/>
                        <w:numPr>
                          <w:ilvl w:val="0"/>
                          <w:numId w:val="54"/>
                        </w:numPr>
                        <w:spacing w:after="160" w:line="259" w:lineRule="auto"/>
                        <w:jc w:val="left"/>
                        <w:rPr>
                          <w:b/>
                          <w:color w:val="984806" w:themeColor="accent6" w:themeShade="80"/>
                        </w:rPr>
                      </w:pPr>
                      <w:r w:rsidRPr="00905831">
                        <w:rPr>
                          <w:b/>
                          <w:color w:val="984806" w:themeColor="accent6" w:themeShade="80"/>
                        </w:rPr>
                        <w:t>Integrating pathways to provide a holistic, person-centred approach to meet people’s needs</w:t>
                      </w:r>
                    </w:p>
                    <w:p w14:paraId="1E913462" w14:textId="77777777" w:rsidR="00883972" w:rsidRPr="00905831" w:rsidRDefault="00883972" w:rsidP="00F60A35">
                      <w:pPr>
                        <w:pStyle w:val="ListParagraph"/>
                        <w:numPr>
                          <w:ilvl w:val="0"/>
                          <w:numId w:val="54"/>
                        </w:numPr>
                        <w:spacing w:after="160" w:line="259" w:lineRule="auto"/>
                        <w:jc w:val="left"/>
                        <w:rPr>
                          <w:b/>
                          <w:color w:val="984806" w:themeColor="accent6" w:themeShade="80"/>
                        </w:rPr>
                      </w:pPr>
                      <w:r w:rsidRPr="00905831">
                        <w:rPr>
                          <w:b/>
                          <w:color w:val="984806" w:themeColor="accent6" w:themeShade="80"/>
                        </w:rPr>
                        <w:t>Enabling timely access to the most appropriate service</w:t>
                      </w:r>
                    </w:p>
                    <w:p w14:paraId="4393461A" w14:textId="77777777" w:rsidR="00883972" w:rsidRPr="00905831" w:rsidRDefault="00883972" w:rsidP="00F60A35">
                      <w:pPr>
                        <w:pStyle w:val="ListParagraph"/>
                        <w:numPr>
                          <w:ilvl w:val="0"/>
                          <w:numId w:val="54"/>
                        </w:numPr>
                        <w:spacing w:after="160" w:line="259" w:lineRule="auto"/>
                        <w:jc w:val="left"/>
                        <w:rPr>
                          <w:b/>
                          <w:color w:val="984806" w:themeColor="accent6" w:themeShade="80"/>
                        </w:rPr>
                      </w:pPr>
                      <w:r w:rsidRPr="00905831">
                        <w:rPr>
                          <w:b/>
                          <w:color w:val="984806" w:themeColor="accent6" w:themeShade="80"/>
                        </w:rPr>
                        <w:t>Patient safety, quality and clinical effectiveness</w:t>
                      </w:r>
                    </w:p>
                    <w:p w14:paraId="03F53D9F" w14:textId="77777777" w:rsidR="00883972" w:rsidRPr="00905831" w:rsidRDefault="00883972" w:rsidP="00F60A35">
                      <w:pPr>
                        <w:pStyle w:val="ListParagraph"/>
                        <w:numPr>
                          <w:ilvl w:val="0"/>
                          <w:numId w:val="54"/>
                        </w:numPr>
                        <w:spacing w:after="160" w:line="259" w:lineRule="auto"/>
                        <w:jc w:val="left"/>
                        <w:rPr>
                          <w:b/>
                          <w:color w:val="984806" w:themeColor="accent6" w:themeShade="80"/>
                        </w:rPr>
                      </w:pPr>
                      <w:r w:rsidRPr="00905831">
                        <w:rPr>
                          <w:b/>
                          <w:color w:val="984806" w:themeColor="accent6" w:themeShade="80"/>
                        </w:rPr>
                        <w:t>Ensuring service sustainability in the face of increasing demand and GP recruitment/retention challenges</w:t>
                      </w:r>
                    </w:p>
                    <w:p w14:paraId="7249BEFF" w14:textId="77777777" w:rsidR="00883972" w:rsidRPr="00AC47A0" w:rsidRDefault="00883972" w:rsidP="009A1D3B">
                      <w:pPr>
                        <w:pStyle w:val="ListParagraph"/>
                        <w:ind w:left="360"/>
                        <w:rPr>
                          <w:b/>
                        </w:rPr>
                      </w:pPr>
                    </w:p>
                  </w:txbxContent>
                </v:textbox>
                <w10:wrap type="square"/>
              </v:shape>
            </w:pict>
          </mc:Fallback>
        </mc:AlternateContent>
      </w:r>
      <w:r w:rsidRPr="00F10333">
        <w:rPr>
          <w:rFonts w:ascii="Arial" w:hAnsi="Arial" w:cs="Arial"/>
          <w:i/>
          <w:noProof/>
        </w:rPr>
        <mc:AlternateContent>
          <mc:Choice Requires="wps">
            <w:drawing>
              <wp:anchor distT="0" distB="0" distL="114300" distR="114300" simplePos="0" relativeHeight="252813312" behindDoc="0" locked="0" layoutInCell="1" allowOverlap="1" wp14:anchorId="2A73F871" wp14:editId="3E0EDD38">
                <wp:simplePos x="0" y="0"/>
                <wp:positionH relativeFrom="margin">
                  <wp:posOffset>5972175</wp:posOffset>
                </wp:positionH>
                <wp:positionV relativeFrom="paragraph">
                  <wp:posOffset>269240</wp:posOffset>
                </wp:positionV>
                <wp:extent cx="3886200" cy="4448175"/>
                <wp:effectExtent l="0" t="0" r="19050" b="28575"/>
                <wp:wrapSquare wrapText="bothSides"/>
                <wp:docPr id="4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4448175"/>
                        </a:xfrm>
                        <a:prstGeom prst="rect">
                          <a:avLst/>
                        </a:prstGeom>
                        <a:solidFill>
                          <a:srgbClr val="FFFF66"/>
                        </a:solidFill>
                        <a:ln w="9525">
                          <a:solidFill>
                            <a:srgbClr val="000000"/>
                          </a:solidFill>
                          <a:miter lim="800000"/>
                          <a:headEnd/>
                          <a:tailEnd/>
                        </a:ln>
                      </wps:spPr>
                      <wps:txbx>
                        <w:txbxContent>
                          <w:p w14:paraId="037F724F" w14:textId="77777777" w:rsidR="00883972" w:rsidRPr="00905831" w:rsidRDefault="00883972" w:rsidP="009A1D3B">
                            <w:pPr>
                              <w:jc w:val="center"/>
                              <w:rPr>
                                <w:rFonts w:cs="Arial"/>
                                <w:b/>
                                <w:color w:val="632423" w:themeColor="accent2" w:themeShade="80"/>
                                <w:sz w:val="24"/>
                              </w:rPr>
                            </w:pPr>
                            <w:r w:rsidRPr="00905831">
                              <w:rPr>
                                <w:rFonts w:cs="Arial"/>
                                <w:b/>
                                <w:color w:val="632423" w:themeColor="accent2" w:themeShade="80"/>
                                <w:sz w:val="24"/>
                              </w:rPr>
                              <w:t>Primary Care Cluster Priorities</w:t>
                            </w:r>
                          </w:p>
                          <w:p w14:paraId="4B50EC9B" w14:textId="77777777" w:rsidR="00883972" w:rsidRPr="00905831" w:rsidRDefault="00883972" w:rsidP="00F60A35">
                            <w:pPr>
                              <w:pStyle w:val="ListParagraph"/>
                              <w:numPr>
                                <w:ilvl w:val="0"/>
                                <w:numId w:val="55"/>
                              </w:numPr>
                              <w:rPr>
                                <w:rFonts w:cs="Arial"/>
                                <w:color w:val="632423" w:themeColor="accent2" w:themeShade="80"/>
                              </w:rPr>
                            </w:pPr>
                            <w:r w:rsidRPr="00905831">
                              <w:rPr>
                                <w:rFonts w:cs="Arial"/>
                                <w:b/>
                                <w:color w:val="632423" w:themeColor="accent2" w:themeShade="80"/>
                              </w:rPr>
                              <w:t>Health promotion and prevention –</w:t>
                            </w:r>
                            <w:r w:rsidRPr="00905831">
                              <w:rPr>
                                <w:rFonts w:cs="Arial"/>
                                <w:color w:val="632423" w:themeColor="accent2" w:themeShade="80"/>
                              </w:rPr>
                              <w:t>healthy lifestyle advice and support; encouraging uptake of screening services particularly bowel and cervical cancer screening; encouraging uptake of flu and childhood vaccinations</w:t>
                            </w:r>
                          </w:p>
                          <w:p w14:paraId="7A91E114"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Placed based planning –</w:t>
                            </w:r>
                            <w:r w:rsidRPr="00905831">
                              <w:rPr>
                                <w:rFonts w:cs="Arial"/>
                                <w:color w:val="632423" w:themeColor="accent2" w:themeShade="80"/>
                              </w:rPr>
                              <w:t xml:space="preserve"> using information from needs assessment, population segmentation, local intelligence, to enable </w:t>
                            </w:r>
                            <w:r w:rsidRPr="00905831">
                              <w:rPr>
                                <w:rFonts w:cs="Arial"/>
                                <w:b/>
                                <w:color w:val="632423" w:themeColor="accent2" w:themeShade="80"/>
                              </w:rPr>
                              <w:t xml:space="preserve"> </w:t>
                            </w:r>
                            <w:r w:rsidRPr="00905831">
                              <w:rPr>
                                <w:rFonts w:cs="Arial"/>
                                <w:color w:val="632423" w:themeColor="accent2" w:themeShade="80"/>
                              </w:rPr>
                              <w:t>targeting of service response to local need</w:t>
                            </w:r>
                          </w:p>
                          <w:p w14:paraId="4974B640"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Transformation Programme</w:t>
                            </w:r>
                            <w:r>
                              <w:rPr>
                                <w:rFonts w:cs="Arial"/>
                                <w:b/>
                                <w:color w:val="632423" w:themeColor="accent2" w:themeShade="80"/>
                              </w:rPr>
                              <w:t>s</w:t>
                            </w:r>
                            <w:r w:rsidRPr="00905831">
                              <w:rPr>
                                <w:rFonts w:cs="Arial"/>
                                <w:b/>
                                <w:color w:val="632423" w:themeColor="accent2" w:themeShade="80"/>
                              </w:rPr>
                              <w:t xml:space="preserve"> : </w:t>
                            </w:r>
                            <w:r w:rsidRPr="00905831">
                              <w:rPr>
                                <w:rFonts w:cs="Arial"/>
                                <w:color w:val="632423" w:themeColor="accent2" w:themeShade="80"/>
                              </w:rPr>
                              <w:t>offering an integrated,  anticipatory response to help prevent escalation of a health or social care issue and support people to remain in their own home</w:t>
                            </w:r>
                          </w:p>
                          <w:p w14:paraId="1D808401"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 xml:space="preserve">Improving access – </w:t>
                            </w:r>
                            <w:r w:rsidRPr="00905831">
                              <w:rPr>
                                <w:rFonts w:cs="Arial"/>
                                <w:color w:val="632423" w:themeColor="accent2" w:themeShade="80"/>
                              </w:rPr>
                              <w:t xml:space="preserve">online information advice and booking systems eg  </w:t>
                            </w:r>
                            <w:hyperlink r:id="rId65" w:history="1">
                              <w:r w:rsidRPr="00905831">
                                <w:rPr>
                                  <w:rStyle w:val="Hyperlink"/>
                                  <w:rFonts w:eastAsiaTheme="majorEastAsia" w:cs="Arial"/>
                                  <w:color w:val="632423" w:themeColor="accent2" w:themeShade="80"/>
                                </w:rPr>
                                <w:t>PYB Health</w:t>
                              </w:r>
                            </w:hyperlink>
                            <w:r w:rsidRPr="00905831">
                              <w:rPr>
                                <w:rFonts w:cs="Arial"/>
                                <w:color w:val="632423" w:themeColor="accent2" w:themeShade="80"/>
                              </w:rPr>
                              <w:t>; care navigators; promotion of Choose Well and pharmacy Common Ailments service;  Out of Hours/111; commissioning of practice based practitioners eg pharmacists, physios, counsellors</w:t>
                            </w:r>
                          </w:p>
                          <w:p w14:paraId="6654CA2A"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 xml:space="preserve">Chronic Condition Management – </w:t>
                            </w:r>
                            <w:r w:rsidRPr="00905831">
                              <w:rPr>
                                <w:rFonts w:cs="Arial"/>
                                <w:color w:val="632423" w:themeColor="accent2" w:themeShade="80"/>
                              </w:rPr>
                              <w:t>supporting prevention, early diagnosis, self-management, early intervention and community care, for conditions such as diabetes, MSK, CVD, stroke/AF, COPD, chronic pain, fibromyalgia, frailty</w:t>
                            </w:r>
                          </w:p>
                          <w:p w14:paraId="5DDCA91D"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 xml:space="preserve">Determinants of health – </w:t>
                            </w:r>
                            <w:r w:rsidRPr="00905831">
                              <w:rPr>
                                <w:rFonts w:cs="Arial"/>
                                <w:color w:val="632423" w:themeColor="accent2" w:themeShade="80"/>
                              </w:rPr>
                              <w:t xml:space="preserve">linking to information and support to help people address issues relating to their ill health – eg debt, housing, loneliness – via GPSOs, social prescribing, wellbeing co-ordinators etc </w:t>
                            </w:r>
                          </w:p>
                          <w:p w14:paraId="7550A109" w14:textId="77777777" w:rsidR="00883972" w:rsidRPr="008F17ED" w:rsidRDefault="00883972" w:rsidP="009A1D3B">
                            <w:pPr>
                              <w:rPr>
                                <w:rFonts w:cstheme="minorHAnsi"/>
                                <w:b/>
                              </w:rPr>
                            </w:pPr>
                          </w:p>
                          <w:p w14:paraId="313EDEDD" w14:textId="77777777" w:rsidR="00883972" w:rsidRPr="00F10333" w:rsidRDefault="00883972" w:rsidP="009A1D3B">
                            <w:pPr>
                              <w:rPr>
                                <w:rFonts w:cstheme="minorHAnsi"/>
                                <w:b/>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73F871" id="Text Box 46" o:spid="_x0000_s1028" type="#_x0000_t202" style="position:absolute;left:0;text-align:left;margin-left:470.25pt;margin-top:21.2pt;width:306pt;height:350.25pt;z-index:252813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" fillcolor="#ff6">
                <v:textbox>
                  <w:txbxContent>
                    <w:p w14:paraId="037F724F" w14:textId="77777777" w:rsidR="00883972" w:rsidRPr="00905831" w:rsidRDefault="00883972" w:rsidP="009A1D3B">
                      <w:pPr>
                        <w:jc w:val="center"/>
                        <w:rPr>
                          <w:rFonts w:cs="Arial"/>
                          <w:b/>
                          <w:color w:val="632423" w:themeColor="accent2" w:themeShade="80"/>
                          <w:sz w:val="24"/>
                        </w:rPr>
                      </w:pPr>
                      <w:r w:rsidRPr="00905831">
                        <w:rPr>
                          <w:rFonts w:cs="Arial"/>
                          <w:b/>
                          <w:color w:val="632423" w:themeColor="accent2" w:themeShade="80"/>
                          <w:sz w:val="24"/>
                        </w:rPr>
                        <w:t>Primary Care Cluster Priorities</w:t>
                      </w:r>
                    </w:p>
                    <w:p w14:paraId="4B50EC9B" w14:textId="77777777" w:rsidR="00883972" w:rsidRPr="00905831" w:rsidRDefault="00883972" w:rsidP="00F60A35">
                      <w:pPr>
                        <w:pStyle w:val="ListParagraph"/>
                        <w:numPr>
                          <w:ilvl w:val="0"/>
                          <w:numId w:val="55"/>
                        </w:numPr>
                        <w:rPr>
                          <w:rFonts w:cs="Arial"/>
                          <w:color w:val="632423" w:themeColor="accent2" w:themeShade="80"/>
                        </w:rPr>
                      </w:pPr>
                      <w:r w:rsidRPr="00905831">
                        <w:rPr>
                          <w:rFonts w:cs="Arial"/>
                          <w:b/>
                          <w:color w:val="632423" w:themeColor="accent2" w:themeShade="80"/>
                        </w:rPr>
                        <w:t>Health promotion and prevention –</w:t>
                      </w:r>
                      <w:r w:rsidRPr="00905831">
                        <w:rPr>
                          <w:rFonts w:cs="Arial"/>
                          <w:color w:val="632423" w:themeColor="accent2" w:themeShade="80"/>
                        </w:rPr>
                        <w:t>healthy lifestyle advice and support; encouraging uptake of screening services particularly bowel and cervical cancer screening; encouraging uptake of flu and childhood vaccinations</w:t>
                      </w:r>
                    </w:p>
                    <w:p w14:paraId="7A91E114"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Placed based planning –</w:t>
                      </w:r>
                      <w:r w:rsidRPr="00905831">
                        <w:rPr>
                          <w:rFonts w:cs="Arial"/>
                          <w:color w:val="632423" w:themeColor="accent2" w:themeShade="80"/>
                        </w:rPr>
                        <w:t xml:space="preserve"> using information from needs assessment, population segmentation, local intelligence, to enable </w:t>
                      </w:r>
                      <w:r w:rsidRPr="00905831">
                        <w:rPr>
                          <w:rFonts w:cs="Arial"/>
                          <w:b/>
                          <w:color w:val="632423" w:themeColor="accent2" w:themeShade="80"/>
                        </w:rPr>
                        <w:t xml:space="preserve"> </w:t>
                      </w:r>
                      <w:r w:rsidRPr="00905831">
                        <w:rPr>
                          <w:rFonts w:cs="Arial"/>
                          <w:color w:val="632423" w:themeColor="accent2" w:themeShade="80"/>
                        </w:rPr>
                        <w:t>targeting of service response to local need</w:t>
                      </w:r>
                    </w:p>
                    <w:p w14:paraId="4974B640"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Transformation Programme</w:t>
                      </w:r>
                      <w:r>
                        <w:rPr>
                          <w:rFonts w:cs="Arial"/>
                          <w:b/>
                          <w:color w:val="632423" w:themeColor="accent2" w:themeShade="80"/>
                        </w:rPr>
                        <w:t>s</w:t>
                      </w:r>
                      <w:r w:rsidRPr="00905831">
                        <w:rPr>
                          <w:rFonts w:cs="Arial"/>
                          <w:b/>
                          <w:color w:val="632423" w:themeColor="accent2" w:themeShade="80"/>
                        </w:rPr>
                        <w:t xml:space="preserve"> : </w:t>
                      </w:r>
                      <w:r w:rsidRPr="00905831">
                        <w:rPr>
                          <w:rFonts w:cs="Arial"/>
                          <w:color w:val="632423" w:themeColor="accent2" w:themeShade="80"/>
                        </w:rPr>
                        <w:t>offering an integrated,  anticipatory response to help prevent escalation of a health or social care issue and support people to remain in their own home</w:t>
                      </w:r>
                    </w:p>
                    <w:p w14:paraId="1D808401"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 xml:space="preserve">Improving access – </w:t>
                      </w:r>
                      <w:r w:rsidRPr="00905831">
                        <w:rPr>
                          <w:rFonts w:cs="Arial"/>
                          <w:color w:val="632423" w:themeColor="accent2" w:themeShade="80"/>
                        </w:rPr>
                        <w:t xml:space="preserve">online information advice and booking systems eg  </w:t>
                      </w:r>
                      <w:hyperlink r:id="rId66" w:history="1">
                        <w:r w:rsidRPr="00905831">
                          <w:rPr>
                            <w:rStyle w:val="Hyperlink"/>
                            <w:rFonts w:eastAsiaTheme="majorEastAsia" w:cs="Arial"/>
                            <w:color w:val="632423" w:themeColor="accent2" w:themeShade="80"/>
                          </w:rPr>
                          <w:t>PYB Health</w:t>
                        </w:r>
                      </w:hyperlink>
                      <w:r w:rsidRPr="00905831">
                        <w:rPr>
                          <w:rFonts w:cs="Arial"/>
                          <w:color w:val="632423" w:themeColor="accent2" w:themeShade="80"/>
                        </w:rPr>
                        <w:t>; care navigators; promotion of Choose Well and pharmacy Common Ailments service;  Out of Hours/111; commissioning of practice based practitioners eg pharmacists, physios, counsellors</w:t>
                      </w:r>
                    </w:p>
                    <w:p w14:paraId="6654CA2A"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 xml:space="preserve">Chronic Condition Management – </w:t>
                      </w:r>
                      <w:r w:rsidRPr="00905831">
                        <w:rPr>
                          <w:rFonts w:cs="Arial"/>
                          <w:color w:val="632423" w:themeColor="accent2" w:themeShade="80"/>
                        </w:rPr>
                        <w:t>supporting prevention, early diagnosis, self-management, early intervention and community care, for conditions such as diabetes, MSK, CVD, stroke/AF, COPD, chronic pain, fibromyalgia, frailty</w:t>
                      </w:r>
                    </w:p>
                    <w:p w14:paraId="5DDCA91D" w14:textId="77777777" w:rsidR="00883972" w:rsidRPr="00905831" w:rsidRDefault="00883972" w:rsidP="00F60A35">
                      <w:pPr>
                        <w:pStyle w:val="ListParagraph"/>
                        <w:numPr>
                          <w:ilvl w:val="0"/>
                          <w:numId w:val="55"/>
                        </w:numPr>
                        <w:rPr>
                          <w:rFonts w:cs="Arial"/>
                          <w:b/>
                          <w:color w:val="632423" w:themeColor="accent2" w:themeShade="80"/>
                        </w:rPr>
                      </w:pPr>
                      <w:r w:rsidRPr="00905831">
                        <w:rPr>
                          <w:rFonts w:cs="Arial"/>
                          <w:b/>
                          <w:color w:val="632423" w:themeColor="accent2" w:themeShade="80"/>
                        </w:rPr>
                        <w:t xml:space="preserve">Determinants of health – </w:t>
                      </w:r>
                      <w:r w:rsidRPr="00905831">
                        <w:rPr>
                          <w:rFonts w:cs="Arial"/>
                          <w:color w:val="632423" w:themeColor="accent2" w:themeShade="80"/>
                        </w:rPr>
                        <w:t xml:space="preserve">linking to information and support to help people address issues relating to their ill health – eg debt, housing, loneliness – via GPSOs, social prescribing, wellbeing co-ordinators etc </w:t>
                      </w:r>
                    </w:p>
                    <w:p w14:paraId="7550A109" w14:textId="77777777" w:rsidR="00883972" w:rsidRPr="008F17ED" w:rsidRDefault="00883972" w:rsidP="009A1D3B">
                      <w:pPr>
                        <w:rPr>
                          <w:rFonts w:cstheme="minorHAnsi"/>
                          <w:b/>
                        </w:rPr>
                      </w:pPr>
                    </w:p>
                    <w:p w14:paraId="313EDEDD" w14:textId="77777777" w:rsidR="00883972" w:rsidRPr="00F10333" w:rsidRDefault="00883972" w:rsidP="009A1D3B">
                      <w:pPr>
                        <w:rPr>
                          <w:rFonts w:cstheme="minorHAnsi"/>
                          <w:b/>
                          <w:i/>
                        </w:rPr>
                      </w:pPr>
                    </w:p>
                  </w:txbxContent>
                </v:textbox>
                <w10:wrap type="square" anchorx="margin"/>
              </v:shape>
            </w:pict>
          </mc:Fallback>
        </mc:AlternateContent>
      </w:r>
      <w:r w:rsidRPr="00F10333">
        <w:rPr>
          <w:rFonts w:ascii="Arial" w:hAnsi="Arial" w:cs="Arial"/>
          <w:i/>
          <w:noProof/>
        </w:rPr>
        <mc:AlternateContent>
          <mc:Choice Requires="wps">
            <w:drawing>
              <wp:anchor distT="0" distB="0" distL="114300" distR="114300" simplePos="0" relativeHeight="252812288" behindDoc="0" locked="0" layoutInCell="1" allowOverlap="1" wp14:anchorId="5B4982D6" wp14:editId="2E2D2F40">
                <wp:simplePos x="0" y="0"/>
                <wp:positionH relativeFrom="margin">
                  <wp:posOffset>-286385</wp:posOffset>
                </wp:positionH>
                <wp:positionV relativeFrom="paragraph">
                  <wp:posOffset>2459990</wp:posOffset>
                </wp:positionV>
                <wp:extent cx="4981575" cy="3962400"/>
                <wp:effectExtent l="0" t="0" r="28575" b="19050"/>
                <wp:wrapSquare wrapText="bothSides"/>
                <wp:docPr id="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1575" cy="3962400"/>
                        </a:xfrm>
                        <a:prstGeom prst="ellipse">
                          <a:avLst/>
                        </a:prstGeom>
                        <a:solidFill>
                          <a:schemeClr val="accent1">
                            <a:lumMod val="60000"/>
                            <a:lumOff val="40000"/>
                          </a:schemeClr>
                        </a:solidFill>
                        <a:ln w="9525">
                          <a:solidFill>
                            <a:srgbClr val="000000"/>
                          </a:solidFill>
                          <a:miter lim="800000"/>
                          <a:headEnd/>
                          <a:tailEnd/>
                        </a:ln>
                      </wps:spPr>
                      <wps:txbx>
                        <w:txbxContent>
                          <w:p w14:paraId="049A7A82" w14:textId="77777777" w:rsidR="00883972" w:rsidRPr="00905831" w:rsidRDefault="00883972" w:rsidP="009A1D3B">
                            <w:pPr>
                              <w:jc w:val="center"/>
                              <w:rPr>
                                <w:rFonts w:cs="Arial"/>
                                <w:b/>
                                <w:color w:val="215868" w:themeColor="accent5" w:themeShade="80"/>
                                <w:sz w:val="24"/>
                              </w:rPr>
                            </w:pPr>
                            <w:r w:rsidRPr="00905831">
                              <w:rPr>
                                <w:rFonts w:cs="Arial"/>
                                <w:b/>
                                <w:color w:val="215868" w:themeColor="accent5" w:themeShade="80"/>
                                <w:sz w:val="24"/>
                              </w:rPr>
                              <w:t>Key population health needs and challenges</w:t>
                            </w:r>
                          </w:p>
                          <w:p w14:paraId="355A7491" w14:textId="77777777" w:rsidR="00883972" w:rsidRPr="00905831" w:rsidRDefault="00883972" w:rsidP="009A1D3B">
                            <w:pPr>
                              <w:rPr>
                                <w:rFonts w:cs="Arial"/>
                                <w:color w:val="215868" w:themeColor="accent5" w:themeShade="80"/>
                              </w:rPr>
                            </w:pPr>
                            <w:r w:rsidRPr="00905831">
                              <w:rPr>
                                <w:rFonts w:cs="Arial"/>
                                <w:b/>
                                <w:color w:val="215868" w:themeColor="accent5" w:themeShade="80"/>
                              </w:rPr>
                              <w:t xml:space="preserve">Lifestyle – </w:t>
                            </w:r>
                            <w:r w:rsidRPr="00905831">
                              <w:rPr>
                                <w:rFonts w:cs="Arial"/>
                                <w:color w:val="215868" w:themeColor="accent5" w:themeShade="80"/>
                              </w:rPr>
                              <w:t>high rates of smoking, alcohol use, obesity, inactivity, unhealthy diet, in areas of high deprivation</w:t>
                            </w:r>
                          </w:p>
                          <w:p w14:paraId="6A36A003" w14:textId="77777777" w:rsidR="00883972" w:rsidRPr="00905831" w:rsidRDefault="00883972" w:rsidP="009A1D3B">
                            <w:pPr>
                              <w:rPr>
                                <w:rFonts w:cs="Arial"/>
                                <w:color w:val="215868" w:themeColor="accent5" w:themeShade="80"/>
                              </w:rPr>
                            </w:pPr>
                            <w:r w:rsidRPr="00905831">
                              <w:rPr>
                                <w:rFonts w:cs="Arial"/>
                                <w:b/>
                                <w:color w:val="215868" w:themeColor="accent5" w:themeShade="80"/>
                              </w:rPr>
                              <w:t>Cancer screening</w:t>
                            </w:r>
                            <w:r w:rsidRPr="00905831">
                              <w:rPr>
                                <w:rFonts w:cs="Arial"/>
                                <w:color w:val="215868" w:themeColor="accent5" w:themeShade="80"/>
                              </w:rPr>
                              <w:t xml:space="preserve"> – low uptake of screening programmes particularly bowel screening, and cervical screening amongst younger women</w:t>
                            </w:r>
                          </w:p>
                          <w:p w14:paraId="4CA57BEA" w14:textId="77777777" w:rsidR="00883972" w:rsidRPr="00905831" w:rsidRDefault="00883972" w:rsidP="009A1D3B">
                            <w:pPr>
                              <w:rPr>
                                <w:rFonts w:cs="Arial"/>
                                <w:color w:val="215868" w:themeColor="accent5" w:themeShade="80"/>
                              </w:rPr>
                            </w:pPr>
                            <w:r w:rsidRPr="00905831">
                              <w:rPr>
                                <w:rFonts w:cs="Arial"/>
                                <w:b/>
                                <w:color w:val="215868" w:themeColor="accent5" w:themeShade="80"/>
                              </w:rPr>
                              <w:t xml:space="preserve">Immunisation – </w:t>
                            </w:r>
                            <w:r w:rsidRPr="00905831">
                              <w:rPr>
                                <w:rFonts w:cs="Arial"/>
                                <w:color w:val="215868" w:themeColor="accent5" w:themeShade="80"/>
                              </w:rPr>
                              <w:t>variable uptake of flu and childhood vaccinations</w:t>
                            </w:r>
                          </w:p>
                          <w:p w14:paraId="038F9E46" w14:textId="77777777" w:rsidR="00883972" w:rsidRPr="00905831" w:rsidRDefault="00883972" w:rsidP="009A1D3B">
                            <w:pPr>
                              <w:rPr>
                                <w:rFonts w:cs="Arial"/>
                                <w:color w:val="215868" w:themeColor="accent5" w:themeShade="80"/>
                              </w:rPr>
                            </w:pPr>
                            <w:r w:rsidRPr="00905831">
                              <w:rPr>
                                <w:rFonts w:cs="Arial"/>
                                <w:b/>
                                <w:color w:val="215868" w:themeColor="accent5" w:themeShade="80"/>
                              </w:rPr>
                              <w:t xml:space="preserve">Clinical Risk factors – </w:t>
                            </w:r>
                            <w:r w:rsidRPr="00905831">
                              <w:rPr>
                                <w:rFonts w:cs="Arial"/>
                                <w:color w:val="215868" w:themeColor="accent5" w:themeShade="80"/>
                              </w:rPr>
                              <w:t>high prevalence eg hypertension, AF</w:t>
                            </w:r>
                          </w:p>
                          <w:p w14:paraId="37B783E0" w14:textId="77777777" w:rsidR="00883972" w:rsidRPr="00905831" w:rsidRDefault="00883972" w:rsidP="009A1D3B">
                            <w:pPr>
                              <w:rPr>
                                <w:rFonts w:cs="Arial"/>
                                <w:color w:val="215868" w:themeColor="accent5" w:themeShade="80"/>
                              </w:rPr>
                            </w:pPr>
                            <w:r w:rsidRPr="00905831">
                              <w:rPr>
                                <w:rFonts w:cs="Arial"/>
                                <w:b/>
                                <w:color w:val="215868" w:themeColor="accent5" w:themeShade="80"/>
                              </w:rPr>
                              <w:t>Multi-morbidity</w:t>
                            </w:r>
                            <w:r w:rsidRPr="00905831">
                              <w:rPr>
                                <w:rFonts w:cs="Arial"/>
                                <w:color w:val="215868" w:themeColor="accent5" w:themeShade="80"/>
                              </w:rPr>
                              <w:t xml:space="preserve"> – high prevalence of COPD, asthma, diabetes, coronary heart disease, stroke/TIA and multi-morbidity</w:t>
                            </w:r>
                          </w:p>
                          <w:p w14:paraId="164AF4CE" w14:textId="77777777" w:rsidR="00883972" w:rsidRPr="00905831" w:rsidRDefault="00883972" w:rsidP="009A1D3B">
                            <w:pPr>
                              <w:rPr>
                                <w:rFonts w:cs="Arial"/>
                                <w:color w:val="215868" w:themeColor="accent5" w:themeShade="80"/>
                              </w:rPr>
                            </w:pPr>
                            <w:r w:rsidRPr="00905831">
                              <w:rPr>
                                <w:rFonts w:cs="Arial"/>
                                <w:b/>
                                <w:color w:val="215868" w:themeColor="accent5" w:themeShade="80"/>
                              </w:rPr>
                              <w:t xml:space="preserve">Mental health – </w:t>
                            </w:r>
                            <w:r w:rsidRPr="00905831">
                              <w:rPr>
                                <w:rFonts w:cs="Arial"/>
                                <w:color w:val="215868" w:themeColor="accent5" w:themeShade="80"/>
                              </w:rPr>
                              <w:t>above average rates of people reporting and seeking help for emotional and mental health related issues</w:t>
                            </w:r>
                          </w:p>
                          <w:p w14:paraId="549E40CD" w14:textId="77777777" w:rsidR="00883972" w:rsidRPr="00905831" w:rsidRDefault="00883972" w:rsidP="009A1D3B">
                            <w:pPr>
                              <w:rPr>
                                <w:rFonts w:cs="Arial"/>
                                <w:b/>
                                <w:color w:val="215868" w:themeColor="accent5" w:themeShade="80"/>
                              </w:rPr>
                            </w:pPr>
                            <w:r w:rsidRPr="00905831">
                              <w:rPr>
                                <w:rFonts w:cs="Arial"/>
                                <w:b/>
                                <w:color w:val="215868" w:themeColor="accent5" w:themeShade="80"/>
                              </w:rPr>
                              <w:t xml:space="preserve">Anti-microbial Resistance - </w:t>
                            </w:r>
                          </w:p>
                          <w:p w14:paraId="5628DAA1" w14:textId="77777777" w:rsidR="00883972" w:rsidRDefault="00883972" w:rsidP="009A1D3B">
                            <w:pPr>
                              <w:rPr>
                                <w:rFonts w:cs="Arial"/>
                              </w:rPr>
                            </w:pPr>
                          </w:p>
                          <w:p w14:paraId="78582A60" w14:textId="77777777" w:rsidR="00883972" w:rsidRDefault="00883972" w:rsidP="009A1D3B">
                            <w:pPr>
                              <w:rPr>
                                <w:rFonts w:cs="Arial"/>
                              </w:rPr>
                            </w:pPr>
                          </w:p>
                          <w:p w14:paraId="695EA78C" w14:textId="77777777" w:rsidR="00883972" w:rsidRDefault="00883972" w:rsidP="009A1D3B">
                            <w:r>
                              <w:rPr>
                                <w:rFonts w:cs="Arial"/>
                              </w:rPr>
                              <w:t>Ant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oval w14:anchorId="5B4982D6" id="_x0000_s1029" style="position:absolute;left:0;text-align:left;margin-left:-22.55pt;margin-top:193.7pt;width:392.25pt;height:312pt;z-index:252812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" fillcolor="#95b3d7 [1940]">
                <v:stroke joinstyle="miter"/>
                <v:textbox>
                  <w:txbxContent>
                    <w:p w14:paraId="049A7A82" w14:textId="77777777" w:rsidR="00883972" w:rsidRPr="00905831" w:rsidRDefault="00883972" w:rsidP="009A1D3B">
                      <w:pPr>
                        <w:jc w:val="center"/>
                        <w:rPr>
                          <w:rFonts w:cs="Arial"/>
                          <w:b/>
                          <w:color w:val="215868" w:themeColor="accent5" w:themeShade="80"/>
                          <w:sz w:val="24"/>
                        </w:rPr>
                      </w:pPr>
                      <w:r w:rsidRPr="00905831">
                        <w:rPr>
                          <w:rFonts w:cs="Arial"/>
                          <w:b/>
                          <w:color w:val="215868" w:themeColor="accent5" w:themeShade="80"/>
                          <w:sz w:val="24"/>
                        </w:rPr>
                        <w:t>Key population health needs and challenges</w:t>
                      </w:r>
                    </w:p>
                    <w:p w14:paraId="355A7491" w14:textId="77777777" w:rsidR="00883972" w:rsidRPr="00905831" w:rsidRDefault="00883972" w:rsidP="009A1D3B">
                      <w:pPr>
                        <w:rPr>
                          <w:rFonts w:cs="Arial"/>
                          <w:color w:val="215868" w:themeColor="accent5" w:themeShade="80"/>
                        </w:rPr>
                      </w:pPr>
                      <w:r w:rsidRPr="00905831">
                        <w:rPr>
                          <w:rFonts w:cs="Arial"/>
                          <w:b/>
                          <w:color w:val="215868" w:themeColor="accent5" w:themeShade="80"/>
                        </w:rPr>
                        <w:t xml:space="preserve">Lifestyle – </w:t>
                      </w:r>
                      <w:r w:rsidRPr="00905831">
                        <w:rPr>
                          <w:rFonts w:cs="Arial"/>
                          <w:color w:val="215868" w:themeColor="accent5" w:themeShade="80"/>
                        </w:rPr>
                        <w:t>high rates of smoking, alcohol use, obesity, inactivity, unhealthy diet, in areas of high deprivation</w:t>
                      </w:r>
                    </w:p>
                    <w:p w14:paraId="6A36A003" w14:textId="77777777" w:rsidR="00883972" w:rsidRPr="00905831" w:rsidRDefault="00883972" w:rsidP="009A1D3B">
                      <w:pPr>
                        <w:rPr>
                          <w:rFonts w:cs="Arial"/>
                          <w:color w:val="215868" w:themeColor="accent5" w:themeShade="80"/>
                        </w:rPr>
                      </w:pPr>
                      <w:r w:rsidRPr="00905831">
                        <w:rPr>
                          <w:rFonts w:cs="Arial"/>
                          <w:b/>
                          <w:color w:val="215868" w:themeColor="accent5" w:themeShade="80"/>
                        </w:rPr>
                        <w:t>Cancer screening</w:t>
                      </w:r>
                      <w:r w:rsidRPr="00905831">
                        <w:rPr>
                          <w:rFonts w:cs="Arial"/>
                          <w:color w:val="215868" w:themeColor="accent5" w:themeShade="80"/>
                        </w:rPr>
                        <w:t xml:space="preserve"> – low uptake of screening programmes particularly bowel screening, and cervical screening amongst younger women</w:t>
                      </w:r>
                    </w:p>
                    <w:p w14:paraId="4CA57BEA" w14:textId="77777777" w:rsidR="00883972" w:rsidRPr="00905831" w:rsidRDefault="00883972" w:rsidP="009A1D3B">
                      <w:pPr>
                        <w:rPr>
                          <w:rFonts w:cs="Arial"/>
                          <w:color w:val="215868" w:themeColor="accent5" w:themeShade="80"/>
                        </w:rPr>
                      </w:pPr>
                      <w:r w:rsidRPr="00905831">
                        <w:rPr>
                          <w:rFonts w:cs="Arial"/>
                          <w:b/>
                          <w:color w:val="215868" w:themeColor="accent5" w:themeShade="80"/>
                        </w:rPr>
                        <w:t xml:space="preserve">Immunisation – </w:t>
                      </w:r>
                      <w:r w:rsidRPr="00905831">
                        <w:rPr>
                          <w:rFonts w:cs="Arial"/>
                          <w:color w:val="215868" w:themeColor="accent5" w:themeShade="80"/>
                        </w:rPr>
                        <w:t>variable uptake of flu and childhood vaccinations</w:t>
                      </w:r>
                    </w:p>
                    <w:p w14:paraId="038F9E46" w14:textId="77777777" w:rsidR="00883972" w:rsidRPr="00905831" w:rsidRDefault="00883972" w:rsidP="009A1D3B">
                      <w:pPr>
                        <w:rPr>
                          <w:rFonts w:cs="Arial"/>
                          <w:color w:val="215868" w:themeColor="accent5" w:themeShade="80"/>
                        </w:rPr>
                      </w:pPr>
                      <w:r w:rsidRPr="00905831">
                        <w:rPr>
                          <w:rFonts w:cs="Arial"/>
                          <w:b/>
                          <w:color w:val="215868" w:themeColor="accent5" w:themeShade="80"/>
                        </w:rPr>
                        <w:t xml:space="preserve">Clinical Risk factors – </w:t>
                      </w:r>
                      <w:r w:rsidRPr="00905831">
                        <w:rPr>
                          <w:rFonts w:cs="Arial"/>
                          <w:color w:val="215868" w:themeColor="accent5" w:themeShade="80"/>
                        </w:rPr>
                        <w:t>high prevalence eg hypertension, AF</w:t>
                      </w:r>
                    </w:p>
                    <w:p w14:paraId="37B783E0" w14:textId="77777777" w:rsidR="00883972" w:rsidRPr="00905831" w:rsidRDefault="00883972" w:rsidP="009A1D3B">
                      <w:pPr>
                        <w:rPr>
                          <w:rFonts w:cs="Arial"/>
                          <w:color w:val="215868" w:themeColor="accent5" w:themeShade="80"/>
                        </w:rPr>
                      </w:pPr>
                      <w:r w:rsidRPr="00905831">
                        <w:rPr>
                          <w:rFonts w:cs="Arial"/>
                          <w:b/>
                          <w:color w:val="215868" w:themeColor="accent5" w:themeShade="80"/>
                        </w:rPr>
                        <w:t>Multi-morbidity</w:t>
                      </w:r>
                      <w:r w:rsidRPr="00905831">
                        <w:rPr>
                          <w:rFonts w:cs="Arial"/>
                          <w:color w:val="215868" w:themeColor="accent5" w:themeShade="80"/>
                        </w:rPr>
                        <w:t xml:space="preserve"> – high prevalence of COPD, asthma, diabetes, coronary heart disease, stroke/TIA and multi-morbidity</w:t>
                      </w:r>
                    </w:p>
                    <w:p w14:paraId="164AF4CE" w14:textId="77777777" w:rsidR="00883972" w:rsidRPr="00905831" w:rsidRDefault="00883972" w:rsidP="009A1D3B">
                      <w:pPr>
                        <w:rPr>
                          <w:rFonts w:cs="Arial"/>
                          <w:color w:val="215868" w:themeColor="accent5" w:themeShade="80"/>
                        </w:rPr>
                      </w:pPr>
                      <w:r w:rsidRPr="00905831">
                        <w:rPr>
                          <w:rFonts w:cs="Arial"/>
                          <w:b/>
                          <w:color w:val="215868" w:themeColor="accent5" w:themeShade="80"/>
                        </w:rPr>
                        <w:t xml:space="preserve">Mental health – </w:t>
                      </w:r>
                      <w:r w:rsidRPr="00905831">
                        <w:rPr>
                          <w:rFonts w:cs="Arial"/>
                          <w:color w:val="215868" w:themeColor="accent5" w:themeShade="80"/>
                        </w:rPr>
                        <w:t>above average rates of people reporting and seeking help for emotional and mental health related issues</w:t>
                      </w:r>
                    </w:p>
                    <w:p w14:paraId="549E40CD" w14:textId="77777777" w:rsidR="00883972" w:rsidRPr="00905831" w:rsidRDefault="00883972" w:rsidP="009A1D3B">
                      <w:pPr>
                        <w:rPr>
                          <w:rFonts w:cs="Arial"/>
                          <w:b/>
                          <w:color w:val="215868" w:themeColor="accent5" w:themeShade="80"/>
                        </w:rPr>
                      </w:pPr>
                      <w:r w:rsidRPr="00905831">
                        <w:rPr>
                          <w:rFonts w:cs="Arial"/>
                          <w:b/>
                          <w:color w:val="215868" w:themeColor="accent5" w:themeShade="80"/>
                        </w:rPr>
                        <w:t xml:space="preserve">Anti-microbial Resistance - </w:t>
                      </w:r>
                    </w:p>
                    <w:p w14:paraId="5628DAA1" w14:textId="77777777" w:rsidR="00883972" w:rsidRDefault="00883972" w:rsidP="009A1D3B">
                      <w:pPr>
                        <w:rPr>
                          <w:rFonts w:cs="Arial"/>
                        </w:rPr>
                      </w:pPr>
                    </w:p>
                    <w:p w14:paraId="78582A60" w14:textId="77777777" w:rsidR="00883972" w:rsidRDefault="00883972" w:rsidP="009A1D3B">
                      <w:pPr>
                        <w:rPr>
                          <w:rFonts w:cs="Arial"/>
                        </w:rPr>
                      </w:pPr>
                    </w:p>
                    <w:p w14:paraId="695EA78C" w14:textId="77777777" w:rsidR="00883972" w:rsidRDefault="00883972" w:rsidP="009A1D3B">
                      <w:r>
                        <w:rPr>
                          <w:rFonts w:cs="Arial"/>
                        </w:rPr>
                        <w:t>Ant</w:t>
                      </w:r>
                    </w:p>
                  </w:txbxContent>
                </v:textbox>
                <w10:wrap type="square" anchorx="margin"/>
              </v:oval>
            </w:pict>
          </mc:Fallback>
        </mc:AlternateContent>
      </w:r>
      <w:r w:rsidRPr="008F5916">
        <w:rPr>
          <w:noProof/>
          <w:sz w:val="24"/>
        </w:rPr>
        <w:drawing>
          <wp:anchor distT="0" distB="0" distL="114300" distR="114300" simplePos="0" relativeHeight="252814336" behindDoc="0" locked="0" layoutInCell="1" allowOverlap="1" wp14:anchorId="167A661F" wp14:editId="70AC6BC1">
            <wp:simplePos x="0" y="0"/>
            <wp:positionH relativeFrom="margin">
              <wp:posOffset>3943350</wp:posOffset>
            </wp:positionH>
            <wp:positionV relativeFrom="paragraph">
              <wp:posOffset>295910</wp:posOffset>
            </wp:positionV>
            <wp:extent cx="1781175" cy="2705735"/>
            <wp:effectExtent l="19050" t="19050" r="104775" b="94615"/>
            <wp:wrapSquare wrapText="bothSides"/>
            <wp:docPr id="57" name="Picture 57" descr="X:\Shared\RCT LHB\New System\LHB07 Primary Care\011 GMS Contract (GPs)\004 Contract Manager\2019-2020\Clusters\Primary Care Conference 2019\CwmTaffwithBridgend 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Shared\RCT LHB\New System\LHB07 Primary Care\011 GMS Contract (GPs)\004 Contract Manager\2019-2020\Clusters\Primary Care Conference 2019\CwmTaffwithBridgend map.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781175" cy="2705735"/>
                    </a:xfrm>
                    <a:prstGeom prst="rect">
                      <a:avLst/>
                    </a:prstGeom>
                    <a:noFill/>
                    <a:ln>
                      <a:noFill/>
                    </a:ln>
                    <a:effectLst>
                      <a:outerShdw blurRad="50800" dist="50800" dir="2400000" algn="ctr" rotWithShape="0">
                        <a:schemeClr val="tx1"/>
                      </a:outerShdw>
                    </a:effectLst>
                  </pic:spPr>
                </pic:pic>
              </a:graphicData>
            </a:graphic>
            <wp14:sizeRelH relativeFrom="page">
              <wp14:pctWidth>0</wp14:pctWidth>
            </wp14:sizeRelH>
            <wp14:sizeRelV relativeFrom="page">
              <wp14:pctHeight>0</wp14:pctHeight>
            </wp14:sizeRelV>
          </wp:anchor>
        </w:drawing>
      </w:r>
    </w:p>
    <w:p w14:paraId="0653E074" w14:textId="77777777" w:rsidR="009A1D3B" w:rsidRDefault="009A1D3B" w:rsidP="009A1D3B">
      <w:pPr>
        <w:rPr>
          <w:b/>
          <w:sz w:val="32"/>
          <w:szCs w:val="32"/>
        </w:rPr>
      </w:pPr>
    </w:p>
    <w:p w14:paraId="5AD672D8" w14:textId="77777777" w:rsidR="009A1D3B" w:rsidRDefault="009A1D3B" w:rsidP="009A1D3B">
      <w:pPr>
        <w:rPr>
          <w:b/>
          <w:sz w:val="32"/>
          <w:szCs w:val="32"/>
        </w:rPr>
      </w:pPr>
    </w:p>
    <w:p w14:paraId="7000A4DA" w14:textId="77777777" w:rsidR="009A1D3B" w:rsidRDefault="009A1D3B" w:rsidP="009A1D3B">
      <w:pPr>
        <w:rPr>
          <w:b/>
          <w:sz w:val="32"/>
          <w:szCs w:val="32"/>
        </w:rPr>
      </w:pPr>
    </w:p>
    <w:p w14:paraId="63C13DF9" w14:textId="77777777" w:rsidR="009A1D3B" w:rsidRDefault="009A1D3B" w:rsidP="009A1D3B">
      <w:pPr>
        <w:rPr>
          <w:b/>
          <w:sz w:val="32"/>
          <w:szCs w:val="32"/>
        </w:rPr>
      </w:pPr>
    </w:p>
    <w:p w14:paraId="07736030" w14:textId="69CAB0F8" w:rsidR="009A1D3B" w:rsidRDefault="009A1D3B" w:rsidP="009A1D3B">
      <w:pPr>
        <w:rPr>
          <w:b/>
          <w:sz w:val="32"/>
          <w:szCs w:val="32"/>
        </w:rPr>
      </w:pPr>
    </w:p>
    <w:p w14:paraId="703DC609" w14:textId="5EB23204" w:rsidR="009A1D3B" w:rsidRDefault="009A1D3B" w:rsidP="009A1D3B">
      <w:pPr>
        <w:rPr>
          <w:b/>
          <w:sz w:val="32"/>
          <w:szCs w:val="32"/>
        </w:rPr>
      </w:pPr>
    </w:p>
    <w:p w14:paraId="0CE334BE" w14:textId="7535B185" w:rsidR="009A1D3B" w:rsidRDefault="00FE037B" w:rsidP="009A1D3B">
      <w:pPr>
        <w:rPr>
          <w:b/>
          <w:sz w:val="32"/>
          <w:szCs w:val="32"/>
        </w:rPr>
      </w:pPr>
      <w:r>
        <w:rPr>
          <w:b/>
          <w:noProof/>
          <w:sz w:val="32"/>
          <w:szCs w:val="32"/>
        </w:rPr>
        <mc:AlternateContent>
          <mc:Choice Requires="wps">
            <w:drawing>
              <wp:anchor distT="0" distB="0" distL="114300" distR="114300" simplePos="0" relativeHeight="252817408" behindDoc="0" locked="0" layoutInCell="1" allowOverlap="1" wp14:anchorId="21AEC9AB" wp14:editId="49805455">
                <wp:simplePos x="0" y="0"/>
                <wp:positionH relativeFrom="column">
                  <wp:posOffset>4781550</wp:posOffset>
                </wp:positionH>
                <wp:positionV relativeFrom="paragraph">
                  <wp:posOffset>124460</wp:posOffset>
                </wp:positionV>
                <wp:extent cx="4419600" cy="1619250"/>
                <wp:effectExtent l="0" t="0" r="19050" b="19050"/>
                <wp:wrapNone/>
                <wp:docPr id="56" name="Flowchart: Process 56"/>
                <wp:cNvGraphicFramePr/>
                <a:graphic xmlns:a="http://schemas.openxmlformats.org/drawingml/2006/main">
                  <a:graphicData uri="http://schemas.microsoft.com/office/word/2010/wordprocessingShape">
                    <wps:wsp>
                      <wps:cNvSpPr/>
                      <wps:spPr>
                        <a:xfrm>
                          <a:off x="0" y="0"/>
                          <a:ext cx="4419600" cy="1619250"/>
                        </a:xfrm>
                        <a:prstGeom prst="flowChartProcess">
                          <a:avLst/>
                        </a:prstGeom>
                        <a:solidFill>
                          <a:srgbClr val="FFCCFF"/>
                        </a:solidFill>
                      </wps:spPr>
                      <wps:style>
                        <a:lnRef idx="2">
                          <a:schemeClr val="accent1">
                            <a:shade val="50000"/>
                          </a:schemeClr>
                        </a:lnRef>
                        <a:fillRef idx="1">
                          <a:schemeClr val="accent1"/>
                        </a:fillRef>
                        <a:effectRef idx="0">
                          <a:schemeClr val="accent1"/>
                        </a:effectRef>
                        <a:fontRef idx="minor">
                          <a:schemeClr val="lt1"/>
                        </a:fontRef>
                      </wps:style>
                      <wps:txbx>
                        <w:txbxContent>
                          <w:p w14:paraId="360393F8" w14:textId="77777777" w:rsidR="00883972" w:rsidRPr="00905831" w:rsidRDefault="00883972" w:rsidP="009A1D3B">
                            <w:pPr>
                              <w:jc w:val="center"/>
                              <w:rPr>
                                <w:b/>
                                <w:color w:val="CC0066"/>
                                <w:sz w:val="24"/>
                              </w:rPr>
                            </w:pPr>
                            <w:r w:rsidRPr="00905831">
                              <w:rPr>
                                <w:b/>
                                <w:color w:val="CC0066"/>
                                <w:sz w:val="24"/>
                              </w:rPr>
                              <w:t>Enablers</w:t>
                            </w:r>
                          </w:p>
                          <w:p w14:paraId="42506BD5" w14:textId="77777777" w:rsidR="00883972" w:rsidRPr="00905831" w:rsidRDefault="00883972" w:rsidP="00F60A35">
                            <w:pPr>
                              <w:pStyle w:val="ListParagraph"/>
                              <w:numPr>
                                <w:ilvl w:val="0"/>
                                <w:numId w:val="55"/>
                              </w:numPr>
                              <w:rPr>
                                <w:rFonts w:cs="Arial"/>
                                <w:b/>
                                <w:color w:val="CC0066"/>
                              </w:rPr>
                            </w:pPr>
                            <w:r w:rsidRPr="00905831">
                              <w:rPr>
                                <w:rFonts w:cs="Arial"/>
                                <w:b/>
                                <w:color w:val="CC0066"/>
                              </w:rPr>
                              <w:t xml:space="preserve">Workforce diversification and training </w:t>
                            </w:r>
                            <w:r w:rsidRPr="00905831">
                              <w:rPr>
                                <w:rFonts w:cs="Arial"/>
                                <w:color w:val="CC0066"/>
                              </w:rPr>
                              <w:t>– development of MDT ensuring patients can see the most appropriate professional in a timely manner and GPs can focus on the most vulnerable</w:t>
                            </w:r>
                          </w:p>
                          <w:p w14:paraId="2245A2F2" w14:textId="77777777" w:rsidR="00883972" w:rsidRPr="00905831" w:rsidRDefault="00883972" w:rsidP="00F60A35">
                            <w:pPr>
                              <w:pStyle w:val="ListParagraph"/>
                              <w:numPr>
                                <w:ilvl w:val="0"/>
                                <w:numId w:val="55"/>
                              </w:numPr>
                              <w:rPr>
                                <w:rFonts w:cs="Arial"/>
                                <w:b/>
                                <w:color w:val="CC0066"/>
                              </w:rPr>
                            </w:pPr>
                            <w:r w:rsidRPr="00905831">
                              <w:rPr>
                                <w:rFonts w:cs="Arial"/>
                                <w:b/>
                                <w:color w:val="CC0066"/>
                              </w:rPr>
                              <w:t>Digita</w:t>
                            </w:r>
                            <w:r>
                              <w:rPr>
                                <w:rFonts w:cs="Arial"/>
                                <w:b/>
                                <w:color w:val="CC0066"/>
                              </w:rPr>
                              <w:t xml:space="preserve">l / IT systems and Information </w:t>
                            </w:r>
                            <w:r w:rsidRPr="00905831">
                              <w:rPr>
                                <w:rFonts w:cs="Arial"/>
                                <w:b/>
                                <w:color w:val="CC0066"/>
                              </w:rPr>
                              <w:t xml:space="preserve">  </w:t>
                            </w:r>
                          </w:p>
                          <w:p w14:paraId="6488EC36" w14:textId="77777777" w:rsidR="00883972" w:rsidRPr="00905831" w:rsidRDefault="00883972" w:rsidP="00F60A35">
                            <w:pPr>
                              <w:pStyle w:val="ListParagraph"/>
                              <w:numPr>
                                <w:ilvl w:val="0"/>
                                <w:numId w:val="55"/>
                              </w:numPr>
                              <w:rPr>
                                <w:rFonts w:cs="Arial"/>
                                <w:b/>
                                <w:color w:val="CC0066"/>
                              </w:rPr>
                            </w:pPr>
                            <w:r w:rsidRPr="00905831">
                              <w:rPr>
                                <w:rFonts w:cs="Arial"/>
                                <w:b/>
                                <w:color w:val="CC0066"/>
                              </w:rPr>
                              <w:t xml:space="preserve">Governance </w:t>
                            </w:r>
                            <w:r>
                              <w:rPr>
                                <w:rFonts w:cs="Arial"/>
                                <w:b/>
                                <w:color w:val="CC0066"/>
                              </w:rPr>
                              <w:t xml:space="preserve">arrangements </w:t>
                            </w:r>
                            <w:r w:rsidRPr="00905831">
                              <w:rPr>
                                <w:rFonts w:cs="Arial"/>
                                <w:b/>
                                <w:color w:val="CC0066"/>
                              </w:rPr>
                              <w:t xml:space="preserve"> </w:t>
                            </w:r>
                          </w:p>
                          <w:p w14:paraId="73DACCB3" w14:textId="77777777" w:rsidR="00883972" w:rsidRPr="00905831" w:rsidRDefault="00883972" w:rsidP="009A1D3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AEC9AB" id="_x0000_t109" coordsize="21600,21600" o:spt="109" path="m,l,21600r21600,l21600,xe">
                <v:stroke joinstyle="miter"/>
                <v:path gradientshapeok="t" o:connecttype="rect"/>
              </v:shapetype>
              <v:shape id="Flowchart: Process 56" o:spid="_x0000_s1030" type="#_x0000_t109" style="position:absolute;left:0;text-align:left;margin-left:376.5pt;margin-top:9.8pt;width:348pt;height:127.5pt;z-index:25281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" fillcolor="#fcf" strokecolor="#243f60 [1604]" strokeweight="2pt">
                <v:textbox>
                  <w:txbxContent>
                    <w:p w14:paraId="360393F8" w14:textId="77777777" w:rsidR="00883972" w:rsidRPr="00905831" w:rsidRDefault="00883972" w:rsidP="009A1D3B">
                      <w:pPr>
                        <w:jc w:val="center"/>
                        <w:rPr>
                          <w:b/>
                          <w:color w:val="CC0066"/>
                          <w:sz w:val="24"/>
                        </w:rPr>
                      </w:pPr>
                      <w:r w:rsidRPr="00905831">
                        <w:rPr>
                          <w:b/>
                          <w:color w:val="CC0066"/>
                          <w:sz w:val="24"/>
                        </w:rPr>
                        <w:t>Enablers</w:t>
                      </w:r>
                    </w:p>
                    <w:p w14:paraId="42506BD5" w14:textId="77777777" w:rsidR="00883972" w:rsidRPr="00905831" w:rsidRDefault="00883972" w:rsidP="00F60A35">
                      <w:pPr>
                        <w:pStyle w:val="ListParagraph"/>
                        <w:numPr>
                          <w:ilvl w:val="0"/>
                          <w:numId w:val="55"/>
                        </w:numPr>
                        <w:rPr>
                          <w:rFonts w:cs="Arial"/>
                          <w:b/>
                          <w:color w:val="CC0066"/>
                        </w:rPr>
                      </w:pPr>
                      <w:r w:rsidRPr="00905831">
                        <w:rPr>
                          <w:rFonts w:cs="Arial"/>
                          <w:b/>
                          <w:color w:val="CC0066"/>
                        </w:rPr>
                        <w:t xml:space="preserve">Workforce diversification and training </w:t>
                      </w:r>
                      <w:r w:rsidRPr="00905831">
                        <w:rPr>
                          <w:rFonts w:cs="Arial"/>
                          <w:color w:val="CC0066"/>
                        </w:rPr>
                        <w:t>– development of MDT ensuring patients can see the most appropriate professional in a timely manner and GPs can focus on the most vulnerable</w:t>
                      </w:r>
                    </w:p>
                    <w:p w14:paraId="2245A2F2" w14:textId="77777777" w:rsidR="00883972" w:rsidRPr="00905831" w:rsidRDefault="00883972" w:rsidP="00F60A35">
                      <w:pPr>
                        <w:pStyle w:val="ListParagraph"/>
                        <w:numPr>
                          <w:ilvl w:val="0"/>
                          <w:numId w:val="55"/>
                        </w:numPr>
                        <w:rPr>
                          <w:rFonts w:cs="Arial"/>
                          <w:b/>
                          <w:color w:val="CC0066"/>
                        </w:rPr>
                      </w:pPr>
                      <w:r w:rsidRPr="00905831">
                        <w:rPr>
                          <w:rFonts w:cs="Arial"/>
                          <w:b/>
                          <w:color w:val="CC0066"/>
                        </w:rPr>
                        <w:t>Digita</w:t>
                      </w:r>
                      <w:r>
                        <w:rPr>
                          <w:rFonts w:cs="Arial"/>
                          <w:b/>
                          <w:color w:val="CC0066"/>
                        </w:rPr>
                        <w:t xml:space="preserve">l / IT systems and Information </w:t>
                      </w:r>
                      <w:r w:rsidRPr="00905831">
                        <w:rPr>
                          <w:rFonts w:cs="Arial"/>
                          <w:b/>
                          <w:color w:val="CC0066"/>
                        </w:rPr>
                        <w:t xml:space="preserve">  </w:t>
                      </w:r>
                    </w:p>
                    <w:p w14:paraId="6488EC36" w14:textId="77777777" w:rsidR="00883972" w:rsidRPr="00905831" w:rsidRDefault="00883972" w:rsidP="00F60A35">
                      <w:pPr>
                        <w:pStyle w:val="ListParagraph"/>
                        <w:numPr>
                          <w:ilvl w:val="0"/>
                          <w:numId w:val="55"/>
                        </w:numPr>
                        <w:rPr>
                          <w:rFonts w:cs="Arial"/>
                          <w:b/>
                          <w:color w:val="CC0066"/>
                        </w:rPr>
                      </w:pPr>
                      <w:r w:rsidRPr="00905831">
                        <w:rPr>
                          <w:rFonts w:cs="Arial"/>
                          <w:b/>
                          <w:color w:val="CC0066"/>
                        </w:rPr>
                        <w:t xml:space="preserve">Governance </w:t>
                      </w:r>
                      <w:r>
                        <w:rPr>
                          <w:rFonts w:cs="Arial"/>
                          <w:b/>
                          <w:color w:val="CC0066"/>
                        </w:rPr>
                        <w:t xml:space="preserve">arrangements </w:t>
                      </w:r>
                      <w:r w:rsidRPr="00905831">
                        <w:rPr>
                          <w:rFonts w:cs="Arial"/>
                          <w:b/>
                          <w:color w:val="CC0066"/>
                        </w:rPr>
                        <w:t xml:space="preserve"> </w:t>
                      </w:r>
                    </w:p>
                    <w:p w14:paraId="73DACCB3" w14:textId="77777777" w:rsidR="00883972" w:rsidRPr="00905831" w:rsidRDefault="00883972" w:rsidP="009A1D3B">
                      <w:pPr>
                        <w:jc w:val="center"/>
                      </w:pPr>
                    </w:p>
                  </w:txbxContent>
                </v:textbox>
              </v:shape>
            </w:pict>
          </mc:Fallback>
        </mc:AlternateContent>
      </w:r>
    </w:p>
    <w:p w14:paraId="036B1F0A" w14:textId="77777777" w:rsidR="009A1D3B" w:rsidRDefault="009A1D3B" w:rsidP="009A1D3B">
      <w:pPr>
        <w:rPr>
          <w:b/>
          <w:sz w:val="32"/>
          <w:szCs w:val="32"/>
        </w:rPr>
      </w:pPr>
    </w:p>
    <w:p w14:paraId="3F927715" w14:textId="77777777" w:rsidR="009A1D3B" w:rsidRDefault="009A1D3B" w:rsidP="009A1D3B">
      <w:pPr>
        <w:rPr>
          <w:b/>
          <w:sz w:val="32"/>
          <w:szCs w:val="32"/>
        </w:rPr>
      </w:pPr>
    </w:p>
    <w:p w14:paraId="70EF4029" w14:textId="77777777" w:rsidR="009A1D3B" w:rsidRDefault="009A1D3B" w:rsidP="009A1D3B">
      <w:pPr>
        <w:rPr>
          <w:b/>
          <w:sz w:val="32"/>
          <w:szCs w:val="32"/>
        </w:rPr>
        <w:sectPr w:rsidR="009A1D3B" w:rsidSect="00E02C36">
          <w:pgSz w:w="16838" w:h="11906" w:orient="landscape"/>
          <w:pgMar w:top="567" w:right="720" w:bottom="720" w:left="720" w:header="709" w:footer="709" w:gutter="0"/>
          <w:cols w:space="708"/>
          <w:docGrid w:linePitch="360"/>
        </w:sectPr>
      </w:pPr>
    </w:p>
    <w:p w14:paraId="6F21E15D" w14:textId="77777777" w:rsidR="004703DD" w:rsidRDefault="004703DD" w:rsidP="004703DD">
      <w:pPr>
        <w:rPr>
          <w:rFonts w:cstheme="minorHAnsi"/>
        </w:rPr>
      </w:pPr>
    </w:p>
    <w:p w14:paraId="01CF93BE" w14:textId="77777777" w:rsidR="004703DD" w:rsidRDefault="004703DD" w:rsidP="004703DD">
      <w:pPr>
        <w:rPr>
          <w:rFonts w:cstheme="minorHAnsi"/>
        </w:rPr>
      </w:pPr>
      <w:r w:rsidRPr="002B5397">
        <w:rPr>
          <w:rFonts w:cstheme="minorHAnsi"/>
        </w:rPr>
        <w:t xml:space="preserve">The transition of </w:t>
      </w:r>
      <w:r>
        <w:rPr>
          <w:rFonts w:cstheme="minorHAnsi"/>
        </w:rPr>
        <w:t xml:space="preserve">Bridgend </w:t>
      </w:r>
      <w:r w:rsidRPr="002B5397">
        <w:rPr>
          <w:rFonts w:cstheme="minorHAnsi"/>
        </w:rPr>
        <w:t xml:space="preserve">services into the new </w:t>
      </w:r>
      <w:r>
        <w:rPr>
          <w:rFonts w:cstheme="minorHAnsi"/>
        </w:rPr>
        <w:t>CTM</w:t>
      </w:r>
      <w:r w:rsidRPr="002B5397">
        <w:rPr>
          <w:rFonts w:cstheme="minorHAnsi"/>
        </w:rPr>
        <w:t xml:space="preserve"> footprint has been the major contextual issue for primary and community services over the past year, bringing with it both challenges and opportunities.  We are aiming to maximise the learning from good practice across the </w:t>
      </w:r>
      <w:r>
        <w:rPr>
          <w:rFonts w:cstheme="minorHAnsi"/>
        </w:rPr>
        <w:t>patch, including: capturing the</w:t>
      </w:r>
      <w:r w:rsidRPr="002B5397">
        <w:rPr>
          <w:rFonts w:cstheme="minorHAnsi"/>
        </w:rPr>
        <w:t xml:space="preserve"> impact on partnership working, decision making and patient outcomes of the integrated community resource team approach in Bridgend; and replicating in Bridgend the successful Health Park model develop</w:t>
      </w:r>
      <w:r>
        <w:rPr>
          <w:rFonts w:cstheme="minorHAnsi"/>
        </w:rPr>
        <w:t>ed in the former Cwm Taf area.</w:t>
      </w:r>
    </w:p>
    <w:p w14:paraId="13638351" w14:textId="77777777" w:rsidR="004703DD" w:rsidRDefault="004703DD" w:rsidP="004703DD">
      <w:pPr>
        <w:rPr>
          <w:rFonts w:cstheme="minorHAnsi"/>
        </w:rPr>
      </w:pPr>
    </w:p>
    <w:p w14:paraId="6BB1831B" w14:textId="77777777" w:rsidR="004703DD" w:rsidRDefault="004703DD" w:rsidP="004703DD">
      <w:pPr>
        <w:rPr>
          <w:rFonts w:cs="Verdana"/>
        </w:rPr>
      </w:pPr>
      <w:r w:rsidRPr="009A1D3B">
        <w:rPr>
          <w:rFonts w:cstheme="minorHAnsi"/>
        </w:rPr>
        <w:t>A key achievement in 2019 was the opening of the new ‘Y Bwthyn’ NGS Macmillan Specialist Palliative</w:t>
      </w:r>
      <w:r w:rsidRPr="009A1D3B">
        <w:rPr>
          <w:rFonts w:cs="Verdana"/>
        </w:rPr>
        <w:t xml:space="preserve"> Care Unit, enabling the transfer of the current service from Pontypridd Cottage Hospital. </w:t>
      </w:r>
      <w:r>
        <w:rPr>
          <w:rFonts w:cs="Verdana"/>
        </w:rPr>
        <w:t xml:space="preserve"> </w:t>
      </w:r>
      <w:r w:rsidRPr="009A1D3B">
        <w:rPr>
          <w:rFonts w:cs="Verdana"/>
        </w:rPr>
        <w:t>This purpose designed facility provides a light, spacious and fitting environment for palliative care patients and their families, and has already proved clinically beneficial in terms of facilitating on-site access to acute specialists for treatments and symptom management.</w:t>
      </w:r>
      <w:r>
        <w:rPr>
          <w:rFonts w:cs="Verdana"/>
        </w:rPr>
        <w:t xml:space="preserve"> </w:t>
      </w:r>
    </w:p>
    <w:p w14:paraId="13FF9AFF" w14:textId="77777777" w:rsidR="004703DD" w:rsidRPr="00F0063F" w:rsidRDefault="004703DD" w:rsidP="004703DD">
      <w:pPr>
        <w:rPr>
          <w:rFonts w:cs="Verdana"/>
        </w:rPr>
      </w:pPr>
    </w:p>
    <w:p w14:paraId="4FE9E999" w14:textId="77777777" w:rsidR="004703DD" w:rsidRPr="00F0063F" w:rsidRDefault="004703DD" w:rsidP="004703DD">
      <w:pPr>
        <w:rPr>
          <w:rFonts w:cs="Verdana"/>
        </w:rPr>
      </w:pPr>
      <w:r w:rsidRPr="00F0063F">
        <w:rPr>
          <w:rFonts w:cs="Verdana"/>
        </w:rPr>
        <w:t xml:space="preserve">The Director of Primary Care, Community and Mental Health has the Executive lead for improving the health and well-being of homeless and specific vulnerable groups. </w:t>
      </w:r>
      <w:r>
        <w:rPr>
          <w:rFonts w:cs="Verdana"/>
        </w:rPr>
        <w:t xml:space="preserve"> </w:t>
      </w:r>
      <w:r w:rsidRPr="00F0063F">
        <w:rPr>
          <w:rFonts w:cs="Verdana"/>
        </w:rPr>
        <w:t xml:space="preserve">Health Boards are expected to have in place assessments and plans to identify and target the health and well-being needs of homeless and vulnerable groups of all ages including homeless, asylum seekers, gypsies and travellers, substance misusers, EU migrants who are homeless or living in circumstances of insecurity. </w:t>
      </w:r>
      <w:r>
        <w:rPr>
          <w:rFonts w:cs="Verdana"/>
        </w:rPr>
        <w:t xml:space="preserve"> </w:t>
      </w:r>
      <w:r w:rsidRPr="00F0063F">
        <w:rPr>
          <w:rFonts w:cs="Verdana"/>
        </w:rPr>
        <w:t xml:space="preserve">The </w:t>
      </w:r>
      <w:r>
        <w:rPr>
          <w:rFonts w:cs="Verdana"/>
        </w:rPr>
        <w:t>UHB</w:t>
      </w:r>
      <w:r w:rsidRPr="00F0063F">
        <w:rPr>
          <w:rFonts w:cs="Verdana"/>
        </w:rPr>
        <w:t xml:space="preserve"> has worked in partnership with </w:t>
      </w:r>
      <w:r>
        <w:rPr>
          <w:rFonts w:cs="Verdana"/>
        </w:rPr>
        <w:t xml:space="preserve">LA </w:t>
      </w:r>
      <w:r w:rsidRPr="00F0063F">
        <w:rPr>
          <w:rFonts w:cs="Verdana"/>
        </w:rPr>
        <w:t>colleagues, service users and the third sector to improve the health of vulnerable groups and to contribute to the prevention of homelessness:</w:t>
      </w:r>
    </w:p>
    <w:p w14:paraId="5BB37EED" w14:textId="77777777" w:rsidR="004703DD" w:rsidRPr="00F0063F" w:rsidRDefault="004703DD" w:rsidP="004703DD">
      <w:pPr>
        <w:rPr>
          <w:rFonts w:cs="Verdana"/>
        </w:rPr>
      </w:pPr>
    </w:p>
    <w:p w14:paraId="10193CF7" w14:textId="77777777" w:rsidR="004703DD" w:rsidRPr="00F0063F" w:rsidRDefault="004703DD" w:rsidP="004703DD">
      <w:pPr>
        <w:pStyle w:val="ListParagraph"/>
        <w:numPr>
          <w:ilvl w:val="0"/>
          <w:numId w:val="80"/>
        </w:numPr>
        <w:ind w:left="284" w:hanging="284"/>
        <w:rPr>
          <w:rFonts w:cs="Verdana"/>
        </w:rPr>
      </w:pPr>
      <w:r w:rsidRPr="00F0063F">
        <w:rPr>
          <w:rFonts w:cs="Verdana"/>
        </w:rPr>
        <w:t>Taff Ely Cluster have supported a one stop shop for advice from agencies including Citizens Advice Bureau</w:t>
      </w:r>
      <w:r>
        <w:rPr>
          <w:rFonts w:cs="Verdana"/>
        </w:rPr>
        <w:t xml:space="preserve"> (CAB)</w:t>
      </w:r>
      <w:r w:rsidRPr="00F0063F">
        <w:rPr>
          <w:rFonts w:cs="Verdana"/>
        </w:rPr>
        <w:t>, Safe Barod, Job Centre, MIND, Hapi Project for those that are homeless.</w:t>
      </w:r>
      <w:r>
        <w:rPr>
          <w:rFonts w:cs="Verdana"/>
        </w:rPr>
        <w:t xml:space="preserve"> </w:t>
      </w:r>
      <w:r w:rsidRPr="00F0063F">
        <w:rPr>
          <w:rFonts w:cs="Verdana"/>
        </w:rPr>
        <w:t xml:space="preserve"> Further work being explored including the input from specialist nurses and podiatry services to provide access to health services, advice and support. </w:t>
      </w:r>
      <w:r>
        <w:rPr>
          <w:rFonts w:cs="Verdana"/>
        </w:rPr>
        <w:t xml:space="preserve"> </w:t>
      </w:r>
      <w:r w:rsidRPr="00F0063F">
        <w:rPr>
          <w:rFonts w:cs="Verdana"/>
        </w:rPr>
        <w:t xml:space="preserve">Support to this approach from local businesses who have donated items of clean clothing, toiletries, food and supplies </w:t>
      </w:r>
      <w:r>
        <w:rPr>
          <w:rFonts w:cs="Verdana"/>
        </w:rPr>
        <w:t xml:space="preserve">and </w:t>
      </w:r>
      <w:r w:rsidRPr="00F0063F">
        <w:rPr>
          <w:rFonts w:cs="Verdana"/>
        </w:rPr>
        <w:t xml:space="preserve">from local policy community support officers who encourage and signpost the homeless to access this support. </w:t>
      </w:r>
    </w:p>
    <w:p w14:paraId="334494AA" w14:textId="77777777" w:rsidR="004703DD" w:rsidRPr="00F0063F" w:rsidRDefault="004703DD" w:rsidP="004703DD">
      <w:pPr>
        <w:pStyle w:val="ListParagraph"/>
        <w:numPr>
          <w:ilvl w:val="0"/>
          <w:numId w:val="80"/>
        </w:numPr>
        <w:ind w:left="284" w:hanging="284"/>
        <w:rPr>
          <w:rFonts w:cs="Verdana"/>
        </w:rPr>
      </w:pPr>
      <w:r w:rsidRPr="00F0063F">
        <w:rPr>
          <w:rFonts w:cs="Verdana"/>
        </w:rPr>
        <w:t xml:space="preserve">The IRIS project, which aims to support victims of domestic violence and abuse, is currently accessible to all GP practices in RCT and Merthyr Tydfil County Boroughs. </w:t>
      </w:r>
      <w:r>
        <w:rPr>
          <w:rFonts w:cs="Verdana"/>
        </w:rPr>
        <w:t xml:space="preserve"> </w:t>
      </w:r>
      <w:r w:rsidRPr="00F0063F">
        <w:rPr>
          <w:rFonts w:cs="Verdana"/>
        </w:rPr>
        <w:t xml:space="preserve">Work is ongoing to extend the project to provide access for all GP practices in Bridgend County Borough. </w:t>
      </w:r>
    </w:p>
    <w:p w14:paraId="69081BCA" w14:textId="77777777" w:rsidR="004703DD" w:rsidRPr="00F0063F" w:rsidRDefault="004703DD" w:rsidP="004703DD">
      <w:pPr>
        <w:pStyle w:val="ListParagraph"/>
        <w:numPr>
          <w:ilvl w:val="0"/>
          <w:numId w:val="80"/>
        </w:numPr>
        <w:ind w:left="284" w:hanging="284"/>
        <w:rPr>
          <w:rFonts w:cs="Verdana"/>
        </w:rPr>
      </w:pPr>
      <w:r w:rsidRPr="00F0063F">
        <w:rPr>
          <w:rFonts w:cs="Verdana"/>
        </w:rPr>
        <w:t xml:space="preserve">The All Wales Alternative Treatment Scheme provides support for violent and challenging patients who frequently have complex and multiple needs including issues with addictions, poor mental health and homelessness. </w:t>
      </w:r>
      <w:r>
        <w:rPr>
          <w:rFonts w:cs="Verdana"/>
        </w:rPr>
        <w:t xml:space="preserve"> </w:t>
      </w:r>
      <w:r w:rsidRPr="00F0063F">
        <w:rPr>
          <w:rFonts w:cs="Verdana"/>
        </w:rPr>
        <w:t xml:space="preserve">The scheme provides an enhanced service liaising closely with partner agencies to develop comprehensive care plans. </w:t>
      </w:r>
    </w:p>
    <w:p w14:paraId="771F1302" w14:textId="77777777" w:rsidR="004703DD" w:rsidRPr="00F0063F" w:rsidRDefault="004703DD" w:rsidP="004703DD">
      <w:pPr>
        <w:pStyle w:val="ListParagraph"/>
        <w:numPr>
          <w:ilvl w:val="0"/>
          <w:numId w:val="80"/>
        </w:numPr>
        <w:ind w:left="284" w:hanging="284"/>
        <w:rPr>
          <w:rFonts w:cs="Verdana"/>
        </w:rPr>
      </w:pPr>
      <w:r w:rsidRPr="00F0063F">
        <w:rPr>
          <w:rFonts w:cs="Verdana"/>
        </w:rPr>
        <w:t xml:space="preserve">The Health Board continues to engage and co-ordinate GP care as part of the Refugee Settlement Programme. </w:t>
      </w:r>
    </w:p>
    <w:p w14:paraId="7E2932E0" w14:textId="77777777" w:rsidR="004703DD" w:rsidRPr="00F0063F" w:rsidRDefault="004703DD" w:rsidP="004703DD">
      <w:pPr>
        <w:pStyle w:val="ListParagraph"/>
        <w:numPr>
          <w:ilvl w:val="0"/>
          <w:numId w:val="80"/>
        </w:numPr>
        <w:ind w:left="284" w:hanging="284"/>
        <w:rPr>
          <w:rFonts w:cs="Verdana"/>
        </w:rPr>
      </w:pPr>
      <w:r w:rsidRPr="00F0063F">
        <w:rPr>
          <w:rFonts w:cs="Verdana"/>
        </w:rPr>
        <w:t>A Homeless Local Enhanced Service has been commissioned with 11 GP practices across</w:t>
      </w:r>
      <w:r>
        <w:rPr>
          <w:rFonts w:cs="Verdana"/>
        </w:rPr>
        <w:t xml:space="preserve"> the Health Board</w:t>
      </w:r>
      <w:r w:rsidRPr="00F0063F">
        <w:rPr>
          <w:rFonts w:cs="Verdana"/>
        </w:rPr>
        <w:t xml:space="preserve"> currently having signed up. </w:t>
      </w:r>
    </w:p>
    <w:p w14:paraId="0D91C506" w14:textId="77777777" w:rsidR="004703DD" w:rsidRPr="00F0063F" w:rsidRDefault="004703DD" w:rsidP="004703DD">
      <w:pPr>
        <w:pStyle w:val="ListParagraph"/>
        <w:numPr>
          <w:ilvl w:val="0"/>
          <w:numId w:val="80"/>
        </w:numPr>
        <w:ind w:left="284" w:hanging="284"/>
        <w:rPr>
          <w:rFonts w:cs="Verdana"/>
        </w:rPr>
      </w:pPr>
      <w:r w:rsidRPr="00F0063F">
        <w:rPr>
          <w:rFonts w:cs="Verdana"/>
        </w:rPr>
        <w:t xml:space="preserve">The Health Board works closely with Women’s Refuge and local GP practices to ensure these vulnerable patients and their children are able to access GP services when needed. </w:t>
      </w:r>
    </w:p>
    <w:p w14:paraId="2C401E38" w14:textId="77777777" w:rsidR="004703DD" w:rsidRPr="00F0063F" w:rsidRDefault="004703DD" w:rsidP="004703DD">
      <w:pPr>
        <w:rPr>
          <w:rFonts w:cs="Verdana"/>
        </w:rPr>
      </w:pPr>
    </w:p>
    <w:p w14:paraId="32D4162C" w14:textId="77777777" w:rsidR="004703DD" w:rsidRPr="009A1D3B" w:rsidRDefault="004703DD" w:rsidP="004703DD">
      <w:pPr>
        <w:rPr>
          <w:rFonts w:cstheme="minorHAnsi"/>
          <w:color w:val="000000" w:themeColor="text1"/>
        </w:rPr>
      </w:pPr>
      <w:r w:rsidRPr="009A1D3B">
        <w:rPr>
          <w:rFonts w:cstheme="minorHAnsi"/>
          <w:color w:val="000000" w:themeColor="text1"/>
        </w:rPr>
        <w:t>The key priorities for primary and community care services are as follows:</w:t>
      </w:r>
    </w:p>
    <w:p w14:paraId="0D6368EF" w14:textId="77777777" w:rsidR="004703DD" w:rsidRPr="009A1D3B" w:rsidRDefault="004703DD" w:rsidP="004703DD">
      <w:pPr>
        <w:pStyle w:val="Heading4"/>
      </w:pPr>
      <w:r w:rsidRPr="009A1D3B">
        <w:t>Primary and Community Care Priorities</w:t>
      </w:r>
    </w:p>
    <w:p w14:paraId="39BD4F39" w14:textId="77777777" w:rsidR="004703DD" w:rsidRDefault="004703DD" w:rsidP="004703DD">
      <w:pPr>
        <w:numPr>
          <w:ilvl w:val="0"/>
          <w:numId w:val="56"/>
        </w:numPr>
        <w:contextualSpacing/>
        <w:rPr>
          <w:rFonts w:cstheme="minorHAnsi"/>
          <w:color w:val="000000" w:themeColor="text1"/>
        </w:rPr>
      </w:pPr>
      <w:r w:rsidRPr="009A1D3B">
        <w:rPr>
          <w:rFonts w:cstheme="minorHAnsi"/>
          <w:color w:val="000000" w:themeColor="text1"/>
        </w:rPr>
        <w:t>Implementation and evaluation of the Transformation Model including the deployment of the wider MDT to support primary care, and securing financial sustainability following the end of WG funding.</w:t>
      </w:r>
    </w:p>
    <w:p w14:paraId="2E95129A" w14:textId="77777777" w:rsidR="004703DD" w:rsidRPr="00843C9A" w:rsidRDefault="004703DD" w:rsidP="004703DD">
      <w:pPr>
        <w:pStyle w:val="ListParagraph"/>
        <w:numPr>
          <w:ilvl w:val="0"/>
          <w:numId w:val="56"/>
        </w:numPr>
        <w:rPr>
          <w:rFonts w:cstheme="minorHAnsi"/>
          <w:color w:val="000000" w:themeColor="text1"/>
        </w:rPr>
      </w:pPr>
      <w:r w:rsidRPr="00843C9A">
        <w:rPr>
          <w:rFonts w:cstheme="minorHAnsi"/>
          <w:color w:val="000000" w:themeColor="text1"/>
        </w:rPr>
        <w:t>Continued input to support the delivery of improvements across the National Planned Care Programme.</w:t>
      </w:r>
    </w:p>
    <w:p w14:paraId="27F77012" w14:textId="77777777" w:rsidR="004703DD" w:rsidRDefault="004703DD" w:rsidP="004703DD">
      <w:pPr>
        <w:numPr>
          <w:ilvl w:val="0"/>
          <w:numId w:val="56"/>
        </w:numPr>
        <w:contextualSpacing/>
        <w:rPr>
          <w:rFonts w:cstheme="minorHAnsi"/>
        </w:rPr>
      </w:pPr>
      <w:r>
        <w:rPr>
          <w:rFonts w:cstheme="minorHAnsi"/>
        </w:rPr>
        <w:t xml:space="preserve">Maximising use of segmentation, </w:t>
      </w:r>
      <w:r w:rsidRPr="002B5397">
        <w:rPr>
          <w:rFonts w:cstheme="minorHAnsi"/>
        </w:rPr>
        <w:t>risk stratification and value based health ca</w:t>
      </w:r>
      <w:r>
        <w:rPr>
          <w:rFonts w:cstheme="minorHAnsi"/>
        </w:rPr>
        <w:t>re to inform service redesign.</w:t>
      </w:r>
    </w:p>
    <w:p w14:paraId="5A931903" w14:textId="77777777" w:rsidR="004703DD" w:rsidRDefault="004703DD" w:rsidP="004703DD">
      <w:pPr>
        <w:numPr>
          <w:ilvl w:val="0"/>
          <w:numId w:val="56"/>
        </w:numPr>
        <w:contextualSpacing/>
        <w:rPr>
          <w:rFonts w:cstheme="minorHAnsi"/>
        </w:rPr>
      </w:pPr>
      <w:r w:rsidRPr="005C6875">
        <w:rPr>
          <w:rFonts w:cstheme="minorHAnsi"/>
        </w:rPr>
        <w:t>Developing and improving Primary/Community Estate to deliver good quality and robust core provision, good quality services, robust as well as suppor</w:t>
      </w:r>
      <w:r>
        <w:rPr>
          <w:rFonts w:cstheme="minorHAnsi"/>
        </w:rPr>
        <w:t xml:space="preserve">ting the Transformation model. </w:t>
      </w:r>
    </w:p>
    <w:p w14:paraId="583363F3" w14:textId="77777777" w:rsidR="004703DD" w:rsidRDefault="004703DD" w:rsidP="004703DD">
      <w:pPr>
        <w:numPr>
          <w:ilvl w:val="0"/>
          <w:numId w:val="56"/>
        </w:numPr>
        <w:contextualSpacing/>
        <w:rPr>
          <w:rFonts w:cstheme="minorHAnsi"/>
        </w:rPr>
      </w:pPr>
      <w:r w:rsidRPr="005C6875">
        <w:rPr>
          <w:rFonts w:cstheme="minorHAnsi"/>
        </w:rPr>
        <w:t>Maximisation of digitalisation/IT infrastructure/agile mobile working across Primary Care and Localities</w:t>
      </w:r>
    </w:p>
    <w:p w14:paraId="468E55A4" w14:textId="77777777" w:rsidR="004703DD" w:rsidRDefault="004703DD" w:rsidP="004703DD">
      <w:pPr>
        <w:numPr>
          <w:ilvl w:val="0"/>
          <w:numId w:val="56"/>
        </w:numPr>
        <w:contextualSpacing/>
        <w:rPr>
          <w:rFonts w:cstheme="minorHAnsi"/>
        </w:rPr>
      </w:pPr>
      <w:r w:rsidRPr="005C6875">
        <w:rPr>
          <w:rFonts w:cstheme="minorHAnsi"/>
        </w:rPr>
        <w:t>Improve Information Management through dedicated resource to support data analysis, performance management and reporting</w:t>
      </w:r>
      <w:r>
        <w:rPr>
          <w:rFonts w:cstheme="minorHAnsi"/>
        </w:rPr>
        <w:t xml:space="preserve"> and use of information systems.</w:t>
      </w:r>
    </w:p>
    <w:p w14:paraId="5D7851CA" w14:textId="77777777" w:rsidR="004703DD" w:rsidRDefault="004703DD" w:rsidP="004703DD">
      <w:pPr>
        <w:numPr>
          <w:ilvl w:val="0"/>
          <w:numId w:val="56"/>
        </w:numPr>
        <w:contextualSpacing/>
        <w:rPr>
          <w:rFonts w:cstheme="minorHAnsi"/>
        </w:rPr>
      </w:pPr>
      <w:r w:rsidRPr="005C6875">
        <w:rPr>
          <w:rFonts w:cstheme="minorHAnsi"/>
        </w:rPr>
        <w:t>Focussed effort on patient engagement and the empowerment of citizens at the planning stage of service ch</w:t>
      </w:r>
      <w:r>
        <w:rPr>
          <w:rFonts w:cstheme="minorHAnsi"/>
        </w:rPr>
        <w:t>ange as well as implementation.</w:t>
      </w:r>
    </w:p>
    <w:p w14:paraId="6BE68AB9" w14:textId="77777777" w:rsidR="004703DD" w:rsidRDefault="004703DD" w:rsidP="004703DD">
      <w:pPr>
        <w:numPr>
          <w:ilvl w:val="0"/>
          <w:numId w:val="56"/>
        </w:numPr>
        <w:contextualSpacing/>
        <w:rPr>
          <w:rFonts w:cstheme="minorHAnsi"/>
        </w:rPr>
      </w:pPr>
      <w:r w:rsidRPr="005C6875">
        <w:rPr>
          <w:rFonts w:cstheme="minorHAnsi"/>
        </w:rPr>
        <w:lastRenderedPageBreak/>
        <w:t>Continue to strengthen and develop systematic workforce planning and training and education frameworks to support wider workforce developments/recruitment/retention including the Training and Development H</w:t>
      </w:r>
      <w:r>
        <w:rPr>
          <w:rFonts w:cstheme="minorHAnsi"/>
        </w:rPr>
        <w:t>ub through Pacesetter resource.</w:t>
      </w:r>
    </w:p>
    <w:p w14:paraId="0664BAF8" w14:textId="77777777" w:rsidR="004703DD" w:rsidRDefault="004703DD" w:rsidP="004703DD">
      <w:pPr>
        <w:numPr>
          <w:ilvl w:val="0"/>
          <w:numId w:val="56"/>
        </w:numPr>
        <w:contextualSpacing/>
        <w:rPr>
          <w:rFonts w:cstheme="minorHAnsi"/>
        </w:rPr>
      </w:pPr>
      <w:r w:rsidRPr="005C6875">
        <w:rPr>
          <w:rFonts w:cstheme="minorHAnsi"/>
        </w:rPr>
        <w:t>Utilise more fully the Research and Development Resources to evalu</w:t>
      </w:r>
      <w:r>
        <w:rPr>
          <w:rFonts w:cstheme="minorHAnsi"/>
        </w:rPr>
        <w:t>ate progress and effectiveness .</w:t>
      </w:r>
    </w:p>
    <w:p w14:paraId="616574F6" w14:textId="77777777" w:rsidR="004703DD" w:rsidRPr="005C6875" w:rsidRDefault="004703DD" w:rsidP="004703DD">
      <w:pPr>
        <w:numPr>
          <w:ilvl w:val="0"/>
          <w:numId w:val="56"/>
        </w:numPr>
        <w:contextualSpacing/>
        <w:rPr>
          <w:rFonts w:cstheme="minorHAnsi"/>
        </w:rPr>
      </w:pPr>
      <w:r w:rsidRPr="005C6875">
        <w:rPr>
          <w:rFonts w:cstheme="minorHAnsi"/>
        </w:rPr>
        <w:t xml:space="preserve">Development of Health Parks which bring together primary care, community services and where possible LA services, in all localities. </w:t>
      </w:r>
      <w:r>
        <w:rPr>
          <w:rFonts w:cstheme="minorHAnsi"/>
        </w:rPr>
        <w:t xml:space="preserve"> </w:t>
      </w:r>
      <w:r w:rsidRPr="005C6875">
        <w:rPr>
          <w:rFonts w:cstheme="minorHAnsi"/>
        </w:rPr>
        <w:t xml:space="preserve">This includes the development of the Health Park model in the new facility in Porthcawl, the Bridgend Health &amp; Wellness Centre (Sunnyside) and at Maesteg Hospital; the public opposition to the ABMU proposal to permanently close Maesteg Day Hospital has been listened to, and it is now the </w:t>
      </w:r>
      <w:r>
        <w:rPr>
          <w:rFonts w:cstheme="minorHAnsi"/>
        </w:rPr>
        <w:t>UHBs</w:t>
      </w:r>
      <w:r w:rsidRPr="005C6875">
        <w:rPr>
          <w:rFonts w:cstheme="minorHAnsi"/>
        </w:rPr>
        <w:t xml:space="preserve"> intention to develop the site to its full potential to ensure we provide care closer to home for the local population.</w:t>
      </w:r>
    </w:p>
    <w:p w14:paraId="0C44FC67" w14:textId="77777777" w:rsidR="004703DD" w:rsidRPr="0008799A" w:rsidRDefault="004703DD" w:rsidP="004703DD">
      <w:pPr>
        <w:rPr>
          <w:rFonts w:ascii="Arial" w:hAnsi="Arial" w:cs="Arial"/>
        </w:rPr>
      </w:pPr>
    </w:p>
    <w:p w14:paraId="4D93B8A2" w14:textId="77777777" w:rsidR="004703DD" w:rsidRPr="002B5397" w:rsidRDefault="004703DD" w:rsidP="004703DD">
      <w:pPr>
        <w:ind w:left="425" w:hanging="425"/>
        <w:contextualSpacing/>
        <w:rPr>
          <w:rFonts w:cstheme="minorHAnsi"/>
        </w:rPr>
      </w:pPr>
      <w:r w:rsidRPr="002B5397">
        <w:rPr>
          <w:rFonts w:cstheme="minorHAnsi"/>
          <w:b/>
        </w:rPr>
        <w:t>Primary Care Priorities</w:t>
      </w:r>
    </w:p>
    <w:p w14:paraId="371F080D" w14:textId="77777777" w:rsidR="004703DD" w:rsidRPr="002B5397" w:rsidRDefault="004703DD" w:rsidP="004703DD">
      <w:pPr>
        <w:numPr>
          <w:ilvl w:val="0"/>
          <w:numId w:val="12"/>
        </w:numPr>
        <w:ind w:left="426"/>
        <w:contextualSpacing/>
        <w:rPr>
          <w:rFonts w:cstheme="minorHAnsi"/>
        </w:rPr>
      </w:pPr>
      <w:r w:rsidRPr="002B5397">
        <w:rPr>
          <w:rFonts w:cstheme="minorHAnsi"/>
        </w:rPr>
        <w:t>Implement and progress the Primary Care Model for Wales to support the objectives within A Healthier Wales plan for Wales</w:t>
      </w:r>
    </w:p>
    <w:p w14:paraId="3C84B576" w14:textId="77777777" w:rsidR="004703DD" w:rsidRPr="002B5397" w:rsidRDefault="004703DD" w:rsidP="004703DD">
      <w:pPr>
        <w:numPr>
          <w:ilvl w:val="0"/>
          <w:numId w:val="12"/>
        </w:numPr>
        <w:ind w:left="426"/>
        <w:contextualSpacing/>
        <w:rPr>
          <w:rFonts w:cstheme="minorHAnsi"/>
        </w:rPr>
      </w:pPr>
      <w:r w:rsidRPr="002B5397">
        <w:rPr>
          <w:rFonts w:cstheme="minorHAnsi"/>
        </w:rPr>
        <w:t xml:space="preserve">Continue to remodel urgent primary care services including </w:t>
      </w:r>
    </w:p>
    <w:p w14:paraId="4A32486F" w14:textId="77777777" w:rsidR="004703DD" w:rsidRPr="002B5397" w:rsidRDefault="004703DD" w:rsidP="004703DD">
      <w:pPr>
        <w:numPr>
          <w:ilvl w:val="1"/>
          <w:numId w:val="12"/>
        </w:numPr>
        <w:contextualSpacing/>
        <w:rPr>
          <w:rFonts w:cstheme="minorHAnsi"/>
        </w:rPr>
      </w:pPr>
      <w:r w:rsidRPr="002B5397">
        <w:rPr>
          <w:rFonts w:cstheme="minorHAnsi"/>
        </w:rPr>
        <w:t xml:space="preserve">Development of MDT  </w:t>
      </w:r>
    </w:p>
    <w:p w14:paraId="061198A1" w14:textId="77777777" w:rsidR="004703DD" w:rsidRPr="002B5397" w:rsidRDefault="004703DD" w:rsidP="004703DD">
      <w:pPr>
        <w:numPr>
          <w:ilvl w:val="1"/>
          <w:numId w:val="12"/>
        </w:numPr>
        <w:contextualSpacing/>
        <w:rPr>
          <w:rFonts w:cstheme="minorHAnsi"/>
        </w:rPr>
      </w:pPr>
      <w:r w:rsidRPr="002B5397">
        <w:rPr>
          <w:rFonts w:cstheme="minorHAnsi"/>
        </w:rPr>
        <w:t xml:space="preserve">Tender for GP services via consortium       </w:t>
      </w:r>
    </w:p>
    <w:p w14:paraId="6C1904D8" w14:textId="77777777" w:rsidR="004703DD" w:rsidRPr="002B5397" w:rsidRDefault="004703DD" w:rsidP="004703DD">
      <w:pPr>
        <w:numPr>
          <w:ilvl w:val="1"/>
          <w:numId w:val="12"/>
        </w:numPr>
        <w:contextualSpacing/>
        <w:rPr>
          <w:rFonts w:cstheme="minorHAnsi"/>
        </w:rPr>
      </w:pPr>
      <w:r w:rsidRPr="002B5397">
        <w:rPr>
          <w:rFonts w:cstheme="minorHAnsi"/>
        </w:rPr>
        <w:t>Roll out of 111</w:t>
      </w:r>
    </w:p>
    <w:p w14:paraId="16DBC0B1" w14:textId="77777777" w:rsidR="004703DD" w:rsidRPr="002B5397" w:rsidRDefault="004703DD" w:rsidP="004703DD">
      <w:pPr>
        <w:numPr>
          <w:ilvl w:val="0"/>
          <w:numId w:val="12"/>
        </w:numPr>
        <w:ind w:left="426" w:hanging="426"/>
        <w:contextualSpacing/>
        <w:rPr>
          <w:rFonts w:cstheme="minorHAnsi"/>
        </w:rPr>
      </w:pPr>
      <w:r w:rsidRPr="002B5397">
        <w:rPr>
          <w:rFonts w:cstheme="minorHAnsi"/>
        </w:rPr>
        <w:t>Continued review of enhanced services across</w:t>
      </w:r>
      <w:r>
        <w:rPr>
          <w:rFonts w:cstheme="minorHAnsi"/>
        </w:rPr>
        <w:t xml:space="preserve"> CTM</w:t>
      </w:r>
      <w:r w:rsidRPr="002B5397">
        <w:rPr>
          <w:rFonts w:cstheme="minorHAnsi"/>
        </w:rPr>
        <w:t xml:space="preserve"> in order to harmonise and ensure most efficient use of resources supporting the shift of service delivery out of hospital and into the community. </w:t>
      </w:r>
    </w:p>
    <w:p w14:paraId="077C0146" w14:textId="77777777" w:rsidR="004703DD" w:rsidRPr="002B5397" w:rsidRDefault="004703DD" w:rsidP="004703DD">
      <w:pPr>
        <w:numPr>
          <w:ilvl w:val="0"/>
          <w:numId w:val="12"/>
        </w:numPr>
        <w:ind w:left="426" w:hanging="426"/>
        <w:contextualSpacing/>
        <w:rPr>
          <w:rFonts w:cstheme="minorHAnsi"/>
        </w:rPr>
      </w:pPr>
      <w:r w:rsidRPr="002B5397">
        <w:rPr>
          <w:rFonts w:cstheme="minorHAnsi"/>
        </w:rPr>
        <w:t>Support the ongoing maturity and development of Clusters and their clinical and managerial leaders.</w:t>
      </w:r>
    </w:p>
    <w:p w14:paraId="3B498C08" w14:textId="77777777" w:rsidR="004703DD" w:rsidRPr="002B5397" w:rsidRDefault="004703DD" w:rsidP="004703DD">
      <w:pPr>
        <w:numPr>
          <w:ilvl w:val="0"/>
          <w:numId w:val="12"/>
        </w:numPr>
        <w:ind w:left="426" w:hanging="426"/>
        <w:contextualSpacing/>
        <w:rPr>
          <w:rFonts w:cstheme="minorHAnsi"/>
        </w:rPr>
      </w:pPr>
      <w:r w:rsidRPr="002B5397">
        <w:rPr>
          <w:rFonts w:cstheme="minorHAnsi"/>
        </w:rPr>
        <w:t>Support a quality improvement programme of work to address the high incidents of antibiotic prescribing and community acquired infect</w:t>
      </w:r>
      <w:r>
        <w:rPr>
          <w:rFonts w:cstheme="minorHAnsi"/>
        </w:rPr>
        <w:t>ions, as part of the Health Board’s Anti-</w:t>
      </w:r>
      <w:r w:rsidRPr="002B5397">
        <w:rPr>
          <w:rFonts w:cstheme="minorHAnsi"/>
        </w:rPr>
        <w:t xml:space="preserve">Microbial Resistance programme, and other drug groups where prescribing is an outlier. </w:t>
      </w:r>
    </w:p>
    <w:p w14:paraId="0F8DF231" w14:textId="77777777" w:rsidR="004703DD" w:rsidRPr="002B5397" w:rsidRDefault="004703DD" w:rsidP="004703DD">
      <w:pPr>
        <w:numPr>
          <w:ilvl w:val="0"/>
          <w:numId w:val="12"/>
        </w:numPr>
        <w:ind w:left="426"/>
        <w:contextualSpacing/>
        <w:rPr>
          <w:rFonts w:cstheme="minorHAnsi"/>
        </w:rPr>
      </w:pPr>
      <w:r w:rsidRPr="002B5397">
        <w:rPr>
          <w:rFonts w:cstheme="minorHAnsi"/>
        </w:rPr>
        <w:t xml:space="preserve">Improve oral health </w:t>
      </w:r>
      <w:r>
        <w:rPr>
          <w:rFonts w:cstheme="minorHAnsi"/>
        </w:rPr>
        <w:t xml:space="preserve">and </w:t>
      </w:r>
      <w:r w:rsidRPr="00E86ACA">
        <w:rPr>
          <w:rFonts w:cstheme="minorHAnsi"/>
        </w:rPr>
        <w:t xml:space="preserve">the range and quality of dental services provided in primary care including </w:t>
      </w:r>
      <w:r w:rsidRPr="002B5397">
        <w:rPr>
          <w:rFonts w:cstheme="minorHAnsi"/>
        </w:rPr>
        <w:t xml:space="preserve">:                     </w:t>
      </w:r>
    </w:p>
    <w:p w14:paraId="5390E8C3" w14:textId="77777777" w:rsidR="004703DD" w:rsidRPr="002B5397" w:rsidRDefault="004703DD" w:rsidP="004703DD">
      <w:pPr>
        <w:numPr>
          <w:ilvl w:val="1"/>
          <w:numId w:val="12"/>
        </w:numPr>
        <w:contextualSpacing/>
        <w:rPr>
          <w:rFonts w:cstheme="minorHAnsi"/>
        </w:rPr>
      </w:pPr>
      <w:r w:rsidRPr="002B5397">
        <w:rPr>
          <w:rFonts w:cstheme="minorHAnsi"/>
        </w:rPr>
        <w:t>Review and remodelling of Community Dental Service following its repatriation from C&amp;VUHB</w:t>
      </w:r>
    </w:p>
    <w:p w14:paraId="793E6C0F" w14:textId="77777777" w:rsidR="004703DD" w:rsidRPr="002B5397" w:rsidRDefault="004703DD" w:rsidP="004703DD">
      <w:pPr>
        <w:numPr>
          <w:ilvl w:val="1"/>
          <w:numId w:val="12"/>
        </w:numPr>
        <w:contextualSpacing/>
        <w:rPr>
          <w:rFonts w:cstheme="minorHAnsi"/>
        </w:rPr>
      </w:pPr>
      <w:r w:rsidRPr="002B5397">
        <w:rPr>
          <w:rFonts w:cstheme="minorHAnsi"/>
        </w:rPr>
        <w:t>Incre</w:t>
      </w:r>
      <w:r>
        <w:rPr>
          <w:rFonts w:cstheme="minorHAnsi"/>
        </w:rPr>
        <w:t>asing access to Dental Services</w:t>
      </w:r>
    </w:p>
    <w:p w14:paraId="6AC478E0" w14:textId="77777777" w:rsidR="004703DD" w:rsidRPr="002B5397" w:rsidRDefault="004703DD" w:rsidP="004703DD">
      <w:pPr>
        <w:numPr>
          <w:ilvl w:val="1"/>
          <w:numId w:val="12"/>
        </w:numPr>
        <w:contextualSpacing/>
        <w:rPr>
          <w:rFonts w:cstheme="minorHAnsi"/>
        </w:rPr>
      </w:pPr>
      <w:r w:rsidRPr="002B5397">
        <w:rPr>
          <w:rFonts w:cstheme="minorHAnsi"/>
        </w:rPr>
        <w:t xml:space="preserve">Implementation of dental reform contract                   </w:t>
      </w:r>
    </w:p>
    <w:p w14:paraId="0E5E2C47" w14:textId="77777777" w:rsidR="004703DD" w:rsidRDefault="004703DD" w:rsidP="004703DD">
      <w:pPr>
        <w:numPr>
          <w:ilvl w:val="1"/>
          <w:numId w:val="12"/>
        </w:numPr>
        <w:contextualSpacing/>
        <w:rPr>
          <w:rFonts w:cstheme="minorHAnsi"/>
        </w:rPr>
      </w:pPr>
      <w:r w:rsidRPr="002B5397">
        <w:rPr>
          <w:rFonts w:cstheme="minorHAnsi"/>
        </w:rPr>
        <w:t xml:space="preserve">Continued implementation of Baby Teeth Do Matter     </w:t>
      </w:r>
    </w:p>
    <w:p w14:paraId="4DD55FDB" w14:textId="77777777" w:rsidR="004703DD" w:rsidRPr="00E86ACA" w:rsidRDefault="004703DD" w:rsidP="004703DD">
      <w:pPr>
        <w:pStyle w:val="ListParagraph"/>
        <w:numPr>
          <w:ilvl w:val="1"/>
          <w:numId w:val="12"/>
        </w:numPr>
        <w:rPr>
          <w:rFonts w:cstheme="minorHAnsi"/>
        </w:rPr>
      </w:pPr>
      <w:r w:rsidRPr="00E86ACA">
        <w:rPr>
          <w:rFonts w:cstheme="minorHAnsi"/>
        </w:rPr>
        <w:t>Increase access to services for bariatric patients</w:t>
      </w:r>
    </w:p>
    <w:p w14:paraId="0DCB3A04" w14:textId="77777777" w:rsidR="004703DD" w:rsidRPr="002B5397" w:rsidRDefault="004703DD" w:rsidP="004703DD">
      <w:pPr>
        <w:numPr>
          <w:ilvl w:val="1"/>
          <w:numId w:val="12"/>
        </w:numPr>
        <w:contextualSpacing/>
        <w:rPr>
          <w:rFonts w:cstheme="minorHAnsi"/>
        </w:rPr>
      </w:pPr>
      <w:r w:rsidRPr="002B5397">
        <w:rPr>
          <w:rFonts w:cstheme="minorHAnsi"/>
        </w:rPr>
        <w:t xml:space="preserve">Repatriation of paediatric GA activity to RGH                                               </w:t>
      </w:r>
    </w:p>
    <w:p w14:paraId="487D5CAE" w14:textId="77777777" w:rsidR="004703DD" w:rsidRPr="002B5397" w:rsidRDefault="004703DD" w:rsidP="004703DD">
      <w:pPr>
        <w:numPr>
          <w:ilvl w:val="1"/>
          <w:numId w:val="12"/>
        </w:numPr>
        <w:contextualSpacing/>
        <w:rPr>
          <w:rFonts w:cstheme="minorHAnsi"/>
        </w:rPr>
      </w:pPr>
      <w:r w:rsidRPr="002B5397">
        <w:rPr>
          <w:rFonts w:cstheme="minorHAnsi"/>
        </w:rPr>
        <w:t xml:space="preserve">Delivery of domiciliary service </w:t>
      </w:r>
      <w:r>
        <w:rPr>
          <w:rFonts w:cstheme="minorHAnsi"/>
        </w:rPr>
        <w:t>in</w:t>
      </w:r>
      <w:r w:rsidRPr="002B5397">
        <w:rPr>
          <w:rFonts w:cstheme="minorHAnsi"/>
        </w:rPr>
        <w:t xml:space="preserve"> Bridgend </w:t>
      </w:r>
      <w:r>
        <w:rPr>
          <w:rFonts w:cstheme="minorHAnsi"/>
        </w:rPr>
        <w:t>County Borough</w:t>
      </w:r>
      <w:r w:rsidRPr="002B5397">
        <w:rPr>
          <w:rFonts w:cstheme="minorHAnsi"/>
        </w:rPr>
        <w:t xml:space="preserve">                                               </w:t>
      </w:r>
    </w:p>
    <w:p w14:paraId="0C596604" w14:textId="77777777" w:rsidR="004703DD" w:rsidRPr="002B5397" w:rsidRDefault="004703DD" w:rsidP="004703DD">
      <w:pPr>
        <w:numPr>
          <w:ilvl w:val="1"/>
          <w:numId w:val="12"/>
        </w:numPr>
        <w:contextualSpacing/>
        <w:rPr>
          <w:rFonts w:cstheme="minorHAnsi"/>
        </w:rPr>
      </w:pPr>
      <w:r w:rsidRPr="00E86ACA">
        <w:rPr>
          <w:rFonts w:cstheme="minorHAnsi"/>
        </w:rPr>
        <w:t>Development of intermediate care services, such as minor oral surgery, in conjunction with secondary care colleagues to reduce referrals in to hospital and provide care closer to home.</w:t>
      </w:r>
    </w:p>
    <w:p w14:paraId="5CAB6305" w14:textId="77777777" w:rsidR="004703DD" w:rsidRDefault="004703DD" w:rsidP="004703DD">
      <w:pPr>
        <w:numPr>
          <w:ilvl w:val="0"/>
          <w:numId w:val="12"/>
        </w:numPr>
        <w:ind w:left="426"/>
        <w:contextualSpacing/>
        <w:rPr>
          <w:rFonts w:cstheme="minorHAnsi"/>
        </w:rPr>
      </w:pPr>
      <w:r w:rsidRPr="002B5397">
        <w:rPr>
          <w:rFonts w:cstheme="minorHAnsi"/>
        </w:rPr>
        <w:t>Improve eye health and strengthen access to optometry services across CTM, including</w:t>
      </w:r>
      <w:r>
        <w:rPr>
          <w:rFonts w:cstheme="minorHAnsi"/>
        </w:rPr>
        <w:t>:</w:t>
      </w:r>
    </w:p>
    <w:p w14:paraId="3602A02B" w14:textId="77777777" w:rsidR="004703DD" w:rsidRDefault="004703DD" w:rsidP="004703DD">
      <w:pPr>
        <w:numPr>
          <w:ilvl w:val="1"/>
          <w:numId w:val="12"/>
        </w:numPr>
        <w:contextualSpacing/>
        <w:rPr>
          <w:rFonts w:cstheme="minorHAnsi"/>
        </w:rPr>
      </w:pPr>
      <w:r w:rsidRPr="002B5397">
        <w:rPr>
          <w:rFonts w:cstheme="minorHAnsi"/>
        </w:rPr>
        <w:t xml:space="preserve"> services for low vision - Implement Glaucoma monitoring in primary care and further promote </w:t>
      </w:r>
      <w:r>
        <w:rPr>
          <w:rFonts w:cstheme="minorHAnsi"/>
        </w:rPr>
        <w:t>Eye Health Examination Wales (</w:t>
      </w:r>
      <w:r w:rsidRPr="002B5397">
        <w:rPr>
          <w:rFonts w:cstheme="minorHAnsi"/>
        </w:rPr>
        <w:t>EHEW</w:t>
      </w:r>
      <w:r>
        <w:rPr>
          <w:rFonts w:cstheme="minorHAnsi"/>
        </w:rPr>
        <w:t>).</w:t>
      </w:r>
    </w:p>
    <w:p w14:paraId="1DC753EF" w14:textId="77777777" w:rsidR="004703DD" w:rsidRPr="00BA7E95" w:rsidRDefault="004703DD" w:rsidP="004703DD">
      <w:pPr>
        <w:pStyle w:val="ListParagraph"/>
        <w:numPr>
          <w:ilvl w:val="1"/>
          <w:numId w:val="12"/>
        </w:numPr>
        <w:rPr>
          <w:rFonts w:cstheme="minorHAnsi"/>
        </w:rPr>
      </w:pPr>
      <w:r w:rsidRPr="00BA7E95">
        <w:rPr>
          <w:rFonts w:cstheme="minorHAnsi"/>
        </w:rPr>
        <w:t xml:space="preserve">Cluster IMTPs </w:t>
      </w:r>
      <w:r>
        <w:rPr>
          <w:rFonts w:cstheme="minorHAnsi"/>
        </w:rPr>
        <w:t xml:space="preserve">for 2021-24 </w:t>
      </w:r>
      <w:r w:rsidRPr="00BA7E95">
        <w:rPr>
          <w:rFonts w:cstheme="minorHAnsi"/>
        </w:rPr>
        <w:t>to include actions to increase provision of eye care services in the community and specific actions to include at least one optometrist in the cluster with advance training for medical retina and glaucoma.</w:t>
      </w:r>
    </w:p>
    <w:p w14:paraId="02EBC827" w14:textId="77777777" w:rsidR="004703DD" w:rsidRDefault="004703DD" w:rsidP="004703DD">
      <w:pPr>
        <w:numPr>
          <w:ilvl w:val="0"/>
          <w:numId w:val="12"/>
        </w:numPr>
        <w:ind w:left="426" w:hanging="426"/>
        <w:contextualSpacing/>
        <w:rPr>
          <w:rFonts w:cstheme="minorHAnsi"/>
        </w:rPr>
      </w:pPr>
      <w:r w:rsidRPr="002B5397">
        <w:rPr>
          <w:rFonts w:cstheme="minorHAnsi"/>
        </w:rPr>
        <w:t>Support the current managed practices and consider their return to independent status and manage other practice through the Health Bo</w:t>
      </w:r>
      <w:r>
        <w:rPr>
          <w:rFonts w:cstheme="minorHAnsi"/>
        </w:rPr>
        <w:t>ard if necessary in the future.</w:t>
      </w:r>
    </w:p>
    <w:p w14:paraId="2A6A28DB" w14:textId="77777777" w:rsidR="004703DD" w:rsidRDefault="004703DD" w:rsidP="004703DD">
      <w:pPr>
        <w:numPr>
          <w:ilvl w:val="0"/>
          <w:numId w:val="12"/>
        </w:numPr>
        <w:ind w:left="426"/>
        <w:contextualSpacing/>
        <w:rPr>
          <w:rFonts w:cstheme="minorHAnsi"/>
        </w:rPr>
      </w:pPr>
      <w:r w:rsidRPr="002B5397">
        <w:rPr>
          <w:rFonts w:cstheme="minorHAnsi"/>
        </w:rPr>
        <w:t>Support the expansion of clinical services where demands are growing, e.g. Aural Care, and roll out to the Bridgend Locality</w:t>
      </w:r>
      <w:r>
        <w:rPr>
          <w:rFonts w:cstheme="minorHAnsi"/>
        </w:rPr>
        <w:t>.</w:t>
      </w:r>
    </w:p>
    <w:p w14:paraId="45AE253D" w14:textId="77777777" w:rsidR="004703DD" w:rsidRDefault="004703DD" w:rsidP="004703DD">
      <w:pPr>
        <w:numPr>
          <w:ilvl w:val="0"/>
          <w:numId w:val="12"/>
        </w:numPr>
        <w:ind w:left="426"/>
        <w:contextualSpacing/>
        <w:rPr>
          <w:rFonts w:cstheme="minorHAnsi"/>
        </w:rPr>
      </w:pPr>
      <w:r w:rsidRPr="002B5397">
        <w:rPr>
          <w:rFonts w:cstheme="minorHAnsi"/>
        </w:rPr>
        <w:t>Mainstreaming Pacesetter initiatives through 2020/23</w:t>
      </w:r>
      <w:r>
        <w:rPr>
          <w:rFonts w:cstheme="minorHAnsi"/>
        </w:rPr>
        <w:t>.</w:t>
      </w:r>
    </w:p>
    <w:p w14:paraId="30EC2A5C" w14:textId="44D7712C" w:rsidR="004703DD" w:rsidRDefault="004703DD" w:rsidP="004703DD">
      <w:pPr>
        <w:ind w:left="425" w:hanging="425"/>
        <w:contextualSpacing/>
        <w:rPr>
          <w:rFonts w:cstheme="minorHAnsi"/>
          <w:b/>
        </w:rPr>
      </w:pPr>
      <w:r w:rsidRPr="00BA7E95">
        <w:rPr>
          <w:rFonts w:cstheme="minorHAnsi"/>
        </w:rPr>
        <w:t xml:space="preserve">Within the context of the  </w:t>
      </w:r>
      <w:r>
        <w:rPr>
          <w:rFonts w:cstheme="minorHAnsi"/>
        </w:rPr>
        <w:t xml:space="preserve">developing </w:t>
      </w:r>
      <w:r w:rsidRPr="00BA7E95">
        <w:rPr>
          <w:rFonts w:cstheme="minorHAnsi"/>
        </w:rPr>
        <w:t>Health Board Inte</w:t>
      </w:r>
      <w:r>
        <w:rPr>
          <w:rFonts w:cstheme="minorHAnsi"/>
        </w:rPr>
        <w:t xml:space="preserve">grated Health and Care Strategy, </w:t>
      </w:r>
      <w:r w:rsidRPr="00BA7E95">
        <w:rPr>
          <w:rFonts w:cstheme="minorHAnsi"/>
        </w:rPr>
        <w:t>continue to support the identification of services that can be provided in primary and community care settings in order to alleviate the demand on secondary care services and provide care closer to home</w:t>
      </w:r>
    </w:p>
    <w:p w14:paraId="29453FB1" w14:textId="5A44EC95" w:rsidR="009A1D3B" w:rsidRPr="002B5397" w:rsidRDefault="009A1D3B" w:rsidP="009A1D3B">
      <w:pPr>
        <w:ind w:left="425" w:hanging="425"/>
        <w:contextualSpacing/>
        <w:rPr>
          <w:rFonts w:cstheme="minorHAnsi"/>
          <w:b/>
        </w:rPr>
      </w:pPr>
      <w:r w:rsidRPr="002B5397">
        <w:rPr>
          <w:rFonts w:cstheme="minorHAnsi"/>
          <w:b/>
        </w:rPr>
        <w:t>Community/Localities Priorities</w:t>
      </w:r>
    </w:p>
    <w:p w14:paraId="60A94277" w14:textId="26F2DD1F" w:rsidR="009A1D3B" w:rsidRPr="002B5397" w:rsidRDefault="009A1D3B" w:rsidP="007111FC">
      <w:pPr>
        <w:numPr>
          <w:ilvl w:val="0"/>
          <w:numId w:val="11"/>
        </w:numPr>
        <w:ind w:left="426"/>
        <w:contextualSpacing/>
        <w:rPr>
          <w:rFonts w:cstheme="minorHAnsi"/>
        </w:rPr>
      </w:pPr>
      <w:r w:rsidRPr="002B5397">
        <w:rPr>
          <w:rFonts w:cstheme="minorHAnsi"/>
        </w:rPr>
        <w:t xml:space="preserve">Continued review and development of our community hospitals to </w:t>
      </w:r>
      <w:r>
        <w:rPr>
          <w:rFonts w:cstheme="minorHAnsi"/>
        </w:rPr>
        <w:t>support patient flow including:</w:t>
      </w:r>
    </w:p>
    <w:p w14:paraId="5867AEEA" w14:textId="3E8B0C84" w:rsidR="009A1D3B" w:rsidRPr="002B5397" w:rsidRDefault="009A1D3B" w:rsidP="007111FC">
      <w:pPr>
        <w:numPr>
          <w:ilvl w:val="1"/>
          <w:numId w:val="11"/>
        </w:numPr>
        <w:ind w:left="851"/>
        <w:contextualSpacing/>
        <w:rPr>
          <w:rFonts w:cstheme="minorHAnsi"/>
        </w:rPr>
      </w:pPr>
      <w:r w:rsidRPr="002B5397">
        <w:rPr>
          <w:rFonts w:cstheme="minorHAnsi"/>
        </w:rPr>
        <w:t>optimising contribution to patient flow through ensuring effective, outcome based care and enabling timel</w:t>
      </w:r>
      <w:r>
        <w:rPr>
          <w:rFonts w:cstheme="minorHAnsi"/>
        </w:rPr>
        <w:t>y discharge/transfer of care</w:t>
      </w:r>
    </w:p>
    <w:p w14:paraId="1CAE1F20" w14:textId="4FC67527" w:rsidR="009A1D3B" w:rsidRPr="002B5397" w:rsidRDefault="009A1D3B" w:rsidP="007111FC">
      <w:pPr>
        <w:numPr>
          <w:ilvl w:val="1"/>
          <w:numId w:val="11"/>
        </w:numPr>
        <w:ind w:left="851"/>
        <w:contextualSpacing/>
        <w:rPr>
          <w:rFonts w:cstheme="minorHAnsi"/>
        </w:rPr>
      </w:pPr>
      <w:r w:rsidRPr="002B5397">
        <w:rPr>
          <w:rFonts w:cstheme="minorHAnsi"/>
        </w:rPr>
        <w:t>develop a shared care approach to meeting the needs of patients with complex needs and behaviou</w:t>
      </w:r>
      <w:r>
        <w:rPr>
          <w:rFonts w:cstheme="minorHAnsi"/>
        </w:rPr>
        <w:t>rs</w:t>
      </w:r>
    </w:p>
    <w:p w14:paraId="5EECD97A" w14:textId="6DC3F7B1" w:rsidR="009A1D3B" w:rsidRPr="002B5397" w:rsidRDefault="009A1D3B" w:rsidP="007111FC">
      <w:pPr>
        <w:numPr>
          <w:ilvl w:val="1"/>
          <w:numId w:val="11"/>
        </w:numPr>
        <w:ind w:left="851"/>
        <w:contextualSpacing/>
        <w:rPr>
          <w:rFonts w:cstheme="minorHAnsi"/>
        </w:rPr>
      </w:pPr>
      <w:r w:rsidRPr="002B5397">
        <w:rPr>
          <w:rFonts w:cstheme="minorHAnsi"/>
        </w:rPr>
        <w:lastRenderedPageBreak/>
        <w:t xml:space="preserve"> targeted and in</w:t>
      </w:r>
      <w:r>
        <w:rPr>
          <w:rFonts w:cstheme="minorHAnsi"/>
        </w:rPr>
        <w:t>novative recruitment strategies</w:t>
      </w:r>
    </w:p>
    <w:p w14:paraId="3F6008C5" w14:textId="19852854" w:rsidR="009A1D3B" w:rsidRPr="002B5397" w:rsidRDefault="009A1D3B" w:rsidP="007111FC">
      <w:pPr>
        <w:numPr>
          <w:ilvl w:val="1"/>
          <w:numId w:val="11"/>
        </w:numPr>
        <w:ind w:left="851"/>
        <w:contextualSpacing/>
        <w:rPr>
          <w:rFonts w:cstheme="minorHAnsi"/>
        </w:rPr>
      </w:pPr>
      <w:r w:rsidRPr="002B5397">
        <w:rPr>
          <w:rFonts w:cstheme="minorHAnsi"/>
        </w:rPr>
        <w:t xml:space="preserve"> review of the stroke rehabilitation pathway</w:t>
      </w:r>
    </w:p>
    <w:p w14:paraId="623D332C" w14:textId="3C5A5528" w:rsidR="009A1D3B" w:rsidRPr="002B5397" w:rsidRDefault="009A1D3B" w:rsidP="007111FC">
      <w:pPr>
        <w:numPr>
          <w:ilvl w:val="0"/>
          <w:numId w:val="11"/>
        </w:numPr>
        <w:ind w:left="426"/>
        <w:contextualSpacing/>
        <w:rPr>
          <w:rFonts w:cstheme="minorHAnsi"/>
        </w:rPr>
      </w:pPr>
      <w:r w:rsidRPr="002B5397">
        <w:rPr>
          <w:rFonts w:cstheme="minorHAnsi"/>
        </w:rPr>
        <w:t>Scale up and roll out the District Nursing Neighbourhood Nursing approach, supported by the DN Principles and use of Malinko software</w:t>
      </w:r>
      <w:r w:rsidR="007A5777">
        <w:rPr>
          <w:rFonts w:cstheme="minorHAnsi"/>
        </w:rPr>
        <w:t>, this together with issue of laptops/iPad to the DN moves the staff to being a digitally enabled mobile workforce</w:t>
      </w:r>
    </w:p>
    <w:p w14:paraId="60E1155F" w14:textId="62FE9BB4" w:rsidR="009A1D3B" w:rsidRPr="002B5397" w:rsidRDefault="009A1D3B" w:rsidP="007111FC">
      <w:pPr>
        <w:numPr>
          <w:ilvl w:val="0"/>
          <w:numId w:val="11"/>
        </w:numPr>
        <w:ind w:left="426"/>
        <w:contextualSpacing/>
        <w:rPr>
          <w:rFonts w:cstheme="minorHAnsi"/>
        </w:rPr>
      </w:pPr>
      <w:r w:rsidRPr="002B5397">
        <w:rPr>
          <w:rFonts w:cstheme="minorHAnsi"/>
        </w:rPr>
        <w:t>Ensure the effective functioning of the new ‘Y Bwthyn’ NGS Macmillan palliative care unit and its integration wit</w:t>
      </w:r>
      <w:r w:rsidR="008D2ADF">
        <w:rPr>
          <w:rFonts w:cstheme="minorHAnsi"/>
        </w:rPr>
        <w:t>h other</w:t>
      </w:r>
      <w:r w:rsidR="0068088F">
        <w:rPr>
          <w:rFonts w:cstheme="minorHAnsi"/>
        </w:rPr>
        <w:t xml:space="preserve"> on-site services at RGH</w:t>
      </w:r>
      <w:r w:rsidR="008D2ADF">
        <w:rPr>
          <w:rFonts w:cstheme="minorHAnsi"/>
        </w:rPr>
        <w:t>.</w:t>
      </w:r>
    </w:p>
    <w:p w14:paraId="35FDB70D" w14:textId="6691B78D" w:rsidR="009A1D3B" w:rsidRPr="002B5397" w:rsidRDefault="009A1D3B" w:rsidP="007111FC">
      <w:pPr>
        <w:numPr>
          <w:ilvl w:val="0"/>
          <w:numId w:val="11"/>
        </w:numPr>
        <w:ind w:left="426"/>
        <w:contextualSpacing/>
        <w:rPr>
          <w:rFonts w:cstheme="minorHAnsi"/>
        </w:rPr>
      </w:pPr>
      <w:r w:rsidRPr="002B5397">
        <w:rPr>
          <w:rFonts w:cstheme="minorHAnsi"/>
        </w:rPr>
        <w:t>Continue to support End of Life Care (EOLC) Board initiatives such as Hospice @Home, mainstreaming Future Care planning and addressing the findings of the NACEL audit.</w:t>
      </w:r>
    </w:p>
    <w:p w14:paraId="616449E2" w14:textId="68698CF2" w:rsidR="009A1D3B" w:rsidRPr="002B5397" w:rsidRDefault="009A1D3B" w:rsidP="007111FC">
      <w:pPr>
        <w:numPr>
          <w:ilvl w:val="0"/>
          <w:numId w:val="11"/>
        </w:numPr>
        <w:ind w:left="426" w:hanging="426"/>
        <w:contextualSpacing/>
        <w:rPr>
          <w:rFonts w:cstheme="minorHAnsi"/>
        </w:rPr>
      </w:pPr>
      <w:r w:rsidRPr="002B5397">
        <w:rPr>
          <w:rFonts w:cstheme="minorHAnsi"/>
        </w:rPr>
        <w:t>Review current Continuing Health Care provision and ensure that robust processes continue to be in place to scrutinise packages.</w:t>
      </w:r>
    </w:p>
    <w:p w14:paraId="5F734CF9" w14:textId="72A89DA9" w:rsidR="009A1D3B" w:rsidRDefault="009A1D3B" w:rsidP="007111FC">
      <w:pPr>
        <w:numPr>
          <w:ilvl w:val="0"/>
          <w:numId w:val="11"/>
        </w:numPr>
        <w:ind w:left="426"/>
        <w:contextualSpacing/>
        <w:rPr>
          <w:rFonts w:cstheme="minorHAnsi"/>
        </w:rPr>
      </w:pPr>
      <w:r w:rsidRPr="002B5397">
        <w:rPr>
          <w:rFonts w:cstheme="minorHAnsi"/>
        </w:rPr>
        <w:t>Development of the Lymphoedema service within RCT &amp; MT and work towards repatriation of the SLA with SBUHB for the Bridgend service</w:t>
      </w:r>
      <w:r w:rsidR="008D2ADF">
        <w:rPr>
          <w:rFonts w:cstheme="minorHAnsi"/>
        </w:rPr>
        <w:t>.</w:t>
      </w:r>
    </w:p>
    <w:p w14:paraId="347371AD" w14:textId="77777777" w:rsidR="00FC7D1E" w:rsidRDefault="00FC7D1E" w:rsidP="009A1D3B">
      <w:pPr>
        <w:contextualSpacing/>
        <w:rPr>
          <w:rFonts w:cstheme="minorHAnsi"/>
        </w:rPr>
      </w:pPr>
    </w:p>
    <w:p w14:paraId="3ED566FB" w14:textId="55943598" w:rsidR="009A1D3B" w:rsidRDefault="009A1D3B" w:rsidP="009A1D3B">
      <w:pPr>
        <w:rPr>
          <w:b/>
        </w:rPr>
      </w:pPr>
      <w:r>
        <w:rPr>
          <w:bCs/>
          <w:noProof/>
        </w:rPr>
        <mc:AlternateContent>
          <mc:Choice Requires="wps">
            <w:drawing>
              <wp:anchor distT="0" distB="0" distL="114300" distR="114300" simplePos="0" relativeHeight="252819456" behindDoc="1" locked="0" layoutInCell="1" allowOverlap="1" wp14:anchorId="7B89D9DC" wp14:editId="0704B17D">
                <wp:simplePos x="0" y="0"/>
                <wp:positionH relativeFrom="margin">
                  <wp:posOffset>-74930</wp:posOffset>
                </wp:positionH>
                <wp:positionV relativeFrom="paragraph">
                  <wp:posOffset>107315</wp:posOffset>
                </wp:positionV>
                <wp:extent cx="6715125" cy="696595"/>
                <wp:effectExtent l="0" t="38100" r="47625" b="65405"/>
                <wp:wrapNone/>
                <wp:docPr id="58" name="Right Arrow 58"/>
                <wp:cNvGraphicFramePr/>
                <a:graphic xmlns:a="http://schemas.openxmlformats.org/drawingml/2006/main">
                  <a:graphicData uri="http://schemas.microsoft.com/office/word/2010/wordprocessingShape">
                    <wps:wsp>
                      <wps:cNvSpPr/>
                      <wps:spPr>
                        <a:xfrm>
                          <a:off x="0" y="0"/>
                          <a:ext cx="6715125"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EEB86B" id="Right Arrow 58" o:spid="_x0000_s1026" type="#_x0000_t13" style="position:absolute;margin-left:-5.9pt;margin-top:8.45pt;width:528.75pt;height:54.85pt;z-index:-250497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" adj="20930" fillcolor="#eaf1dd [662]" strokecolor="#76923c [2406]" strokeweight="2pt">
                <w10:wrap anchorx="margin"/>
              </v:shape>
            </w:pict>
          </mc:Fallback>
        </mc:AlternateContent>
      </w:r>
      <w:r>
        <w:rPr>
          <w:b/>
        </w:rPr>
        <w:t>Milestones</w:t>
      </w:r>
    </w:p>
    <w:p w14:paraId="026498DD" w14:textId="7425DF6B" w:rsidR="009A1D3B" w:rsidRPr="00C260C6" w:rsidRDefault="009A1D3B" w:rsidP="009A1D3B">
      <w:pPr>
        <w:rPr>
          <w:b/>
        </w:rPr>
      </w:pPr>
    </w:p>
    <w:tbl>
      <w:tblPr>
        <w:tblStyle w:val="TableGrid"/>
        <w:tblW w:w="10060" w:type="dxa"/>
        <w:tblLook w:val="04A0" w:firstRow="1" w:lastRow="0" w:firstColumn="1" w:lastColumn="0" w:noHBand="0" w:noVBand="1"/>
      </w:tblPr>
      <w:tblGrid>
        <w:gridCol w:w="6516"/>
        <w:gridCol w:w="1843"/>
        <w:gridCol w:w="1701"/>
      </w:tblGrid>
      <w:tr w:rsidR="009A1D3B" w14:paraId="47D057AC" w14:textId="77777777" w:rsidTr="00E334A5">
        <w:trPr>
          <w:tblHeader/>
        </w:trPr>
        <w:tc>
          <w:tcPr>
            <w:tcW w:w="6516" w:type="dxa"/>
          </w:tcPr>
          <w:p w14:paraId="77B11449" w14:textId="79973FE2" w:rsidR="009A1D3B" w:rsidRDefault="009A1D3B" w:rsidP="00E02C36">
            <w:pPr>
              <w:jc w:val="center"/>
              <w:rPr>
                <w:rFonts w:asciiTheme="minorHAnsi" w:hAnsiTheme="minorHAnsi"/>
                <w:bCs/>
              </w:rPr>
            </w:pPr>
            <w:r>
              <w:rPr>
                <w:rFonts w:asciiTheme="minorHAnsi" w:hAnsiTheme="minorHAnsi"/>
                <w:bCs/>
              </w:rPr>
              <w:t>Year 1</w:t>
            </w:r>
          </w:p>
          <w:p w14:paraId="5F643133" w14:textId="77777777" w:rsidR="009A1D3B" w:rsidRDefault="009A1D3B" w:rsidP="00E02C36">
            <w:pPr>
              <w:jc w:val="center"/>
              <w:rPr>
                <w:rFonts w:asciiTheme="minorHAnsi" w:hAnsiTheme="minorHAnsi"/>
                <w:bCs/>
              </w:rPr>
            </w:pPr>
          </w:p>
        </w:tc>
        <w:tc>
          <w:tcPr>
            <w:tcW w:w="1843" w:type="dxa"/>
          </w:tcPr>
          <w:p w14:paraId="6A881644" w14:textId="77777777" w:rsidR="009A1D3B" w:rsidRDefault="009A1D3B" w:rsidP="00E02C36">
            <w:pPr>
              <w:jc w:val="center"/>
              <w:rPr>
                <w:rFonts w:asciiTheme="minorHAnsi" w:hAnsiTheme="minorHAnsi"/>
                <w:bCs/>
              </w:rPr>
            </w:pPr>
            <w:r>
              <w:rPr>
                <w:rFonts w:asciiTheme="minorHAnsi" w:hAnsiTheme="minorHAnsi"/>
                <w:bCs/>
              </w:rPr>
              <w:t>Year 2</w:t>
            </w:r>
          </w:p>
        </w:tc>
        <w:tc>
          <w:tcPr>
            <w:tcW w:w="1701" w:type="dxa"/>
          </w:tcPr>
          <w:p w14:paraId="66723E63" w14:textId="6F08A8F8" w:rsidR="009A1D3B" w:rsidRDefault="009A1D3B" w:rsidP="009A1D3B">
            <w:pPr>
              <w:jc w:val="center"/>
              <w:rPr>
                <w:rFonts w:asciiTheme="minorHAnsi" w:hAnsiTheme="minorHAnsi"/>
                <w:bCs/>
              </w:rPr>
            </w:pPr>
            <w:r>
              <w:rPr>
                <w:rFonts w:asciiTheme="minorHAnsi" w:hAnsiTheme="minorHAnsi"/>
                <w:bCs/>
              </w:rPr>
              <w:t>Year 3</w:t>
            </w:r>
          </w:p>
        </w:tc>
      </w:tr>
      <w:tr w:rsidR="009A1D3B" w14:paraId="681574DB" w14:textId="77777777" w:rsidTr="00E334A5">
        <w:tc>
          <w:tcPr>
            <w:tcW w:w="6516" w:type="dxa"/>
          </w:tcPr>
          <w:p w14:paraId="527F507E" w14:textId="4911EAFA" w:rsidR="009A1D3B" w:rsidRPr="00E0159C" w:rsidRDefault="009A1D3B" w:rsidP="00E02C36">
            <w:pPr>
              <w:rPr>
                <w:rFonts w:asciiTheme="minorHAnsi" w:hAnsiTheme="minorHAnsi"/>
                <w:bCs/>
                <w:sz w:val="22"/>
                <w:szCs w:val="22"/>
              </w:rPr>
            </w:pPr>
            <w:r w:rsidRPr="00AE4EBC">
              <w:rPr>
                <w:rFonts w:asciiTheme="minorHAnsi" w:hAnsiTheme="minorHAnsi"/>
                <w:b/>
                <w:bCs/>
                <w:sz w:val="22"/>
                <w:szCs w:val="22"/>
              </w:rPr>
              <w:t>Transformation Programme</w:t>
            </w:r>
            <w:r w:rsidRPr="00E0159C">
              <w:rPr>
                <w:rFonts w:asciiTheme="minorHAnsi" w:hAnsiTheme="minorHAnsi"/>
                <w:bCs/>
                <w:sz w:val="22"/>
                <w:szCs w:val="22"/>
              </w:rPr>
              <w:t xml:space="preserve"> </w:t>
            </w:r>
            <w:r>
              <w:rPr>
                <w:rFonts w:asciiTheme="minorHAnsi" w:hAnsiTheme="minorHAnsi"/>
                <w:bCs/>
                <w:sz w:val="22"/>
                <w:szCs w:val="22"/>
              </w:rPr>
              <w:t>–</w:t>
            </w:r>
            <w:r w:rsidRPr="00E0159C">
              <w:rPr>
                <w:rFonts w:asciiTheme="minorHAnsi" w:hAnsiTheme="minorHAnsi"/>
                <w:bCs/>
                <w:sz w:val="22"/>
                <w:szCs w:val="22"/>
              </w:rPr>
              <w:t xml:space="preserve"> </w:t>
            </w:r>
            <w:r w:rsidR="00CE7ED2">
              <w:rPr>
                <w:rFonts w:asciiTheme="minorHAnsi" w:hAnsiTheme="minorHAnsi"/>
                <w:bCs/>
                <w:sz w:val="22"/>
                <w:szCs w:val="22"/>
              </w:rPr>
              <w:t xml:space="preserve">Q4 - </w:t>
            </w:r>
            <w:r w:rsidR="00CE7ED2" w:rsidRPr="00E0159C">
              <w:rPr>
                <w:rFonts w:asciiTheme="minorHAnsi" w:hAnsiTheme="minorHAnsi"/>
                <w:bCs/>
                <w:sz w:val="22"/>
                <w:szCs w:val="22"/>
              </w:rPr>
              <w:t>Evaluation of CT and Bridgend models and lessons learned to inform alignment and sustainability of  future services      Development of financial sustainability plan</w:t>
            </w:r>
          </w:p>
        </w:tc>
        <w:tc>
          <w:tcPr>
            <w:tcW w:w="1843" w:type="dxa"/>
          </w:tcPr>
          <w:p w14:paraId="793FD0B4" w14:textId="77777777" w:rsidR="009A1D3B" w:rsidRPr="00E0159C" w:rsidRDefault="009A1D3B" w:rsidP="00E02C36">
            <w:pPr>
              <w:rPr>
                <w:rFonts w:asciiTheme="minorHAnsi" w:hAnsiTheme="minorHAnsi"/>
                <w:bCs/>
                <w:sz w:val="22"/>
                <w:szCs w:val="22"/>
              </w:rPr>
            </w:pPr>
            <w:r w:rsidRPr="00E0159C">
              <w:rPr>
                <w:rFonts w:asciiTheme="minorHAnsi" w:hAnsiTheme="minorHAnsi"/>
                <w:bCs/>
                <w:sz w:val="22"/>
                <w:szCs w:val="22"/>
              </w:rPr>
              <w:t>Sustaining service following end of WG funding and in light of evaluation</w:t>
            </w:r>
          </w:p>
        </w:tc>
        <w:tc>
          <w:tcPr>
            <w:tcW w:w="1701" w:type="dxa"/>
          </w:tcPr>
          <w:p w14:paraId="20368EEA" w14:textId="7260ABAA" w:rsidR="009A1D3B" w:rsidRPr="00E0159C" w:rsidRDefault="009A1D3B" w:rsidP="00E02C36">
            <w:pPr>
              <w:rPr>
                <w:rFonts w:asciiTheme="minorHAnsi" w:hAnsiTheme="minorHAnsi"/>
                <w:bCs/>
                <w:sz w:val="22"/>
                <w:szCs w:val="22"/>
              </w:rPr>
            </w:pPr>
            <w:r w:rsidRPr="00E0159C">
              <w:rPr>
                <w:rFonts w:asciiTheme="minorHAnsi" w:hAnsiTheme="minorHAnsi"/>
                <w:bCs/>
                <w:sz w:val="22"/>
                <w:szCs w:val="22"/>
              </w:rPr>
              <w:t xml:space="preserve">Sustaining service </w:t>
            </w:r>
            <w:r>
              <w:rPr>
                <w:rFonts w:asciiTheme="minorHAnsi" w:hAnsiTheme="minorHAnsi"/>
                <w:bCs/>
                <w:sz w:val="22"/>
                <w:szCs w:val="22"/>
              </w:rPr>
              <w:t>and ongoing</w:t>
            </w:r>
            <w:r w:rsidRPr="00E0159C">
              <w:rPr>
                <w:rFonts w:asciiTheme="minorHAnsi" w:hAnsiTheme="minorHAnsi"/>
                <w:bCs/>
                <w:sz w:val="22"/>
                <w:szCs w:val="22"/>
              </w:rPr>
              <w:t xml:space="preserve"> evaluation</w:t>
            </w:r>
          </w:p>
        </w:tc>
      </w:tr>
      <w:tr w:rsidR="009A1D3B" w14:paraId="523EDF35" w14:textId="77777777" w:rsidTr="00E334A5">
        <w:tc>
          <w:tcPr>
            <w:tcW w:w="6516" w:type="dxa"/>
          </w:tcPr>
          <w:p w14:paraId="1A30EB33" w14:textId="77777777" w:rsidR="009A1D3B" w:rsidRPr="00AE4EBC" w:rsidRDefault="009A1D3B" w:rsidP="00E02C36">
            <w:pPr>
              <w:rPr>
                <w:b/>
                <w:sz w:val="22"/>
                <w:szCs w:val="22"/>
              </w:rPr>
            </w:pPr>
            <w:r>
              <w:rPr>
                <w:b/>
                <w:sz w:val="22"/>
                <w:szCs w:val="22"/>
              </w:rPr>
              <w:t>IM&amp;T</w:t>
            </w:r>
          </w:p>
          <w:p w14:paraId="7A6B2764" w14:textId="0451C8DF" w:rsidR="009A1D3B" w:rsidRPr="001B299F" w:rsidRDefault="009A1D3B" w:rsidP="00E02C36">
            <w:pPr>
              <w:rPr>
                <w:sz w:val="22"/>
                <w:szCs w:val="22"/>
              </w:rPr>
            </w:pPr>
            <w:r w:rsidRPr="001B299F">
              <w:rPr>
                <w:sz w:val="22"/>
                <w:szCs w:val="22"/>
              </w:rPr>
              <w:t xml:space="preserve">Q1 – </w:t>
            </w:r>
            <w:r w:rsidR="00B8421F">
              <w:rPr>
                <w:sz w:val="22"/>
                <w:szCs w:val="22"/>
              </w:rPr>
              <w:t>A</w:t>
            </w:r>
            <w:r w:rsidRPr="001B299F">
              <w:rPr>
                <w:sz w:val="22"/>
                <w:szCs w:val="22"/>
              </w:rPr>
              <w:t>ppointment to  dedicated IM&amp;T post</w:t>
            </w:r>
          </w:p>
          <w:p w14:paraId="7077C8F1" w14:textId="2B649984" w:rsidR="009A1D3B" w:rsidRPr="0098336B" w:rsidRDefault="009A1D3B" w:rsidP="00B8421F">
            <w:pPr>
              <w:rPr>
                <w:sz w:val="22"/>
                <w:szCs w:val="22"/>
              </w:rPr>
            </w:pPr>
            <w:r w:rsidRPr="001B299F">
              <w:rPr>
                <w:sz w:val="22"/>
                <w:szCs w:val="22"/>
              </w:rPr>
              <w:t>Q4</w:t>
            </w:r>
            <w:r w:rsidR="00B8421F">
              <w:rPr>
                <w:sz w:val="22"/>
                <w:szCs w:val="22"/>
              </w:rPr>
              <w:t xml:space="preserve"> – Evaluation </w:t>
            </w:r>
            <w:r w:rsidRPr="001B299F">
              <w:rPr>
                <w:sz w:val="22"/>
                <w:szCs w:val="22"/>
              </w:rPr>
              <w:t>of post and impact on data evaluation and reporting</w:t>
            </w:r>
          </w:p>
        </w:tc>
        <w:tc>
          <w:tcPr>
            <w:tcW w:w="1843" w:type="dxa"/>
          </w:tcPr>
          <w:p w14:paraId="3E64B4AB" w14:textId="77777777" w:rsidR="009A1D3B" w:rsidRPr="001B299F" w:rsidRDefault="009A1D3B" w:rsidP="00E02C36">
            <w:pPr>
              <w:rPr>
                <w:rFonts w:asciiTheme="minorHAnsi" w:hAnsiTheme="minorHAnsi"/>
                <w:bCs/>
                <w:sz w:val="22"/>
                <w:szCs w:val="22"/>
              </w:rPr>
            </w:pPr>
            <w:r w:rsidRPr="001B299F">
              <w:rPr>
                <w:rFonts w:asciiTheme="minorHAnsi" w:hAnsiTheme="minorHAnsi"/>
                <w:bCs/>
                <w:sz w:val="22"/>
                <w:szCs w:val="22"/>
              </w:rPr>
              <w:t>Continue to develop new areas to monitor and report</w:t>
            </w:r>
          </w:p>
        </w:tc>
        <w:tc>
          <w:tcPr>
            <w:tcW w:w="1701" w:type="dxa"/>
          </w:tcPr>
          <w:p w14:paraId="3873EC59" w14:textId="268BC47C" w:rsidR="009A1D3B" w:rsidRPr="001B299F" w:rsidRDefault="009A1D3B" w:rsidP="00E02C36">
            <w:pPr>
              <w:rPr>
                <w:rFonts w:asciiTheme="minorHAnsi" w:hAnsiTheme="minorHAnsi"/>
                <w:bCs/>
                <w:sz w:val="22"/>
                <w:szCs w:val="22"/>
              </w:rPr>
            </w:pPr>
            <w:r w:rsidRPr="001B299F">
              <w:rPr>
                <w:rFonts w:asciiTheme="minorHAnsi" w:hAnsiTheme="minorHAnsi"/>
                <w:bCs/>
                <w:sz w:val="22"/>
                <w:szCs w:val="22"/>
              </w:rPr>
              <w:t>Continue to develop new areas to monitor and report</w:t>
            </w:r>
          </w:p>
        </w:tc>
      </w:tr>
      <w:tr w:rsidR="009A1D3B" w14:paraId="03128691" w14:textId="77777777" w:rsidTr="00E334A5">
        <w:tc>
          <w:tcPr>
            <w:tcW w:w="6516" w:type="dxa"/>
          </w:tcPr>
          <w:p w14:paraId="5105DC07" w14:textId="77777777" w:rsidR="009A1D3B" w:rsidRPr="00AE4EBC" w:rsidRDefault="009A1D3B" w:rsidP="00E02C36">
            <w:pPr>
              <w:rPr>
                <w:rFonts w:asciiTheme="minorHAnsi" w:hAnsiTheme="minorHAnsi"/>
                <w:b/>
                <w:bCs/>
                <w:sz w:val="22"/>
                <w:szCs w:val="22"/>
              </w:rPr>
            </w:pPr>
            <w:r>
              <w:rPr>
                <w:rFonts w:asciiTheme="minorHAnsi" w:hAnsiTheme="minorHAnsi"/>
                <w:b/>
                <w:bCs/>
                <w:sz w:val="22"/>
                <w:szCs w:val="22"/>
              </w:rPr>
              <w:t>Oral Health – Q2</w:t>
            </w:r>
          </w:p>
          <w:p w14:paraId="68D6E855" w14:textId="10C85464" w:rsidR="009A1D3B" w:rsidRPr="00AE4EBC" w:rsidRDefault="009A1D3B" w:rsidP="00F60A35">
            <w:pPr>
              <w:pStyle w:val="ListParagraph"/>
              <w:numPr>
                <w:ilvl w:val="0"/>
                <w:numId w:val="57"/>
              </w:numPr>
              <w:ind w:left="313"/>
              <w:rPr>
                <w:rFonts w:asciiTheme="minorHAnsi" w:hAnsiTheme="minorHAnsi"/>
                <w:bCs/>
                <w:sz w:val="22"/>
                <w:szCs w:val="22"/>
              </w:rPr>
            </w:pPr>
            <w:r w:rsidRPr="00AE4EBC">
              <w:rPr>
                <w:rFonts w:asciiTheme="minorHAnsi" w:hAnsiTheme="minorHAnsi"/>
                <w:bCs/>
                <w:sz w:val="22"/>
                <w:szCs w:val="22"/>
              </w:rPr>
              <w:t xml:space="preserve">CDS </w:t>
            </w:r>
            <w:r w:rsidR="00B8421F">
              <w:rPr>
                <w:rFonts w:asciiTheme="minorHAnsi" w:hAnsiTheme="minorHAnsi"/>
                <w:bCs/>
                <w:sz w:val="22"/>
                <w:szCs w:val="22"/>
              </w:rPr>
              <w:t xml:space="preserve">– Implement </w:t>
            </w:r>
            <w:r w:rsidRPr="00AE4EBC">
              <w:rPr>
                <w:rFonts w:asciiTheme="minorHAnsi" w:hAnsiTheme="minorHAnsi"/>
                <w:bCs/>
                <w:sz w:val="22"/>
                <w:szCs w:val="22"/>
              </w:rPr>
              <w:t>recommendations from review.</w:t>
            </w:r>
          </w:p>
          <w:p w14:paraId="179C0562" w14:textId="40E54AFA" w:rsidR="009A1D3B" w:rsidRPr="00AE4EBC" w:rsidRDefault="009A1D3B" w:rsidP="00F60A35">
            <w:pPr>
              <w:pStyle w:val="ListParagraph"/>
              <w:numPr>
                <w:ilvl w:val="0"/>
                <w:numId w:val="57"/>
              </w:numPr>
              <w:ind w:left="313"/>
              <w:rPr>
                <w:rFonts w:asciiTheme="minorHAnsi" w:hAnsiTheme="minorHAnsi"/>
                <w:bCs/>
                <w:sz w:val="22"/>
                <w:szCs w:val="22"/>
              </w:rPr>
            </w:pPr>
            <w:r w:rsidRPr="00AE4EBC">
              <w:rPr>
                <w:rFonts w:asciiTheme="minorHAnsi" w:hAnsiTheme="minorHAnsi"/>
                <w:bCs/>
                <w:sz w:val="22"/>
                <w:szCs w:val="22"/>
              </w:rPr>
              <w:t xml:space="preserve">Access </w:t>
            </w:r>
            <w:r w:rsidR="00B8421F">
              <w:rPr>
                <w:rFonts w:asciiTheme="minorHAnsi" w:hAnsiTheme="minorHAnsi"/>
                <w:bCs/>
                <w:sz w:val="22"/>
                <w:szCs w:val="22"/>
              </w:rPr>
              <w:t xml:space="preserve">– Look </w:t>
            </w:r>
            <w:r w:rsidRPr="00AE4EBC">
              <w:rPr>
                <w:rFonts w:asciiTheme="minorHAnsi" w:hAnsiTheme="minorHAnsi"/>
                <w:bCs/>
                <w:sz w:val="22"/>
                <w:szCs w:val="22"/>
              </w:rPr>
              <w:t xml:space="preserve">to reduce contracts which are not meeting contract value and redistribute where need is greatest  </w:t>
            </w:r>
          </w:p>
          <w:p w14:paraId="578747C8" w14:textId="584376D3" w:rsidR="009A1D3B" w:rsidRPr="00AE4EBC" w:rsidRDefault="009A1D3B" w:rsidP="00F60A35">
            <w:pPr>
              <w:pStyle w:val="ListParagraph"/>
              <w:numPr>
                <w:ilvl w:val="0"/>
                <w:numId w:val="57"/>
              </w:numPr>
              <w:ind w:left="313"/>
              <w:rPr>
                <w:rFonts w:asciiTheme="minorHAnsi" w:hAnsiTheme="minorHAnsi"/>
                <w:bCs/>
                <w:sz w:val="22"/>
                <w:szCs w:val="22"/>
              </w:rPr>
            </w:pPr>
            <w:r w:rsidRPr="00AE4EBC">
              <w:rPr>
                <w:rFonts w:asciiTheme="minorHAnsi" w:hAnsiTheme="minorHAnsi"/>
                <w:bCs/>
                <w:sz w:val="22"/>
                <w:szCs w:val="22"/>
              </w:rPr>
              <w:t xml:space="preserve">Dental contract reform </w:t>
            </w:r>
            <w:r w:rsidR="00B8421F">
              <w:rPr>
                <w:rFonts w:asciiTheme="minorHAnsi" w:hAnsiTheme="minorHAnsi"/>
                <w:bCs/>
                <w:sz w:val="22"/>
                <w:szCs w:val="22"/>
              </w:rPr>
              <w:t>– Continue</w:t>
            </w:r>
            <w:r w:rsidRPr="00AE4EBC">
              <w:rPr>
                <w:rFonts w:asciiTheme="minorHAnsi" w:hAnsiTheme="minorHAnsi"/>
                <w:bCs/>
                <w:sz w:val="22"/>
                <w:szCs w:val="22"/>
              </w:rPr>
              <w:t xml:space="preserve"> to roll out    </w:t>
            </w:r>
          </w:p>
          <w:p w14:paraId="7BD9B2EC" w14:textId="77777777" w:rsidR="009A1D3B" w:rsidRPr="00AE4EBC" w:rsidRDefault="009A1D3B" w:rsidP="00F60A35">
            <w:pPr>
              <w:pStyle w:val="ListParagraph"/>
              <w:numPr>
                <w:ilvl w:val="0"/>
                <w:numId w:val="57"/>
              </w:numPr>
              <w:ind w:left="313"/>
              <w:rPr>
                <w:rFonts w:asciiTheme="minorHAnsi" w:hAnsiTheme="minorHAnsi"/>
                <w:bCs/>
                <w:sz w:val="22"/>
                <w:szCs w:val="22"/>
              </w:rPr>
            </w:pPr>
            <w:r w:rsidRPr="00AE4EBC">
              <w:rPr>
                <w:rFonts w:asciiTheme="minorHAnsi" w:hAnsiTheme="minorHAnsi"/>
                <w:bCs/>
                <w:sz w:val="22"/>
                <w:szCs w:val="22"/>
              </w:rPr>
              <w:t xml:space="preserve">Baby Teeth Do Matter implement roll out to Bridgend Localities     </w:t>
            </w:r>
          </w:p>
          <w:p w14:paraId="69B1FDD2" w14:textId="77DAAAF9" w:rsidR="009A1D3B" w:rsidRPr="00AE4EBC" w:rsidRDefault="009A1D3B" w:rsidP="00F60A35">
            <w:pPr>
              <w:pStyle w:val="ListParagraph"/>
              <w:numPr>
                <w:ilvl w:val="0"/>
                <w:numId w:val="57"/>
              </w:numPr>
              <w:ind w:left="313"/>
              <w:rPr>
                <w:rFonts w:asciiTheme="minorHAnsi" w:hAnsiTheme="minorHAnsi"/>
                <w:bCs/>
                <w:sz w:val="22"/>
                <w:szCs w:val="22"/>
              </w:rPr>
            </w:pPr>
            <w:r w:rsidRPr="00AE4EBC">
              <w:rPr>
                <w:rFonts w:asciiTheme="minorHAnsi" w:hAnsiTheme="minorHAnsi"/>
                <w:bCs/>
                <w:sz w:val="22"/>
                <w:szCs w:val="22"/>
              </w:rPr>
              <w:t xml:space="preserve">Paediatric GA </w:t>
            </w:r>
            <w:r w:rsidR="00B8421F">
              <w:rPr>
                <w:rFonts w:asciiTheme="minorHAnsi" w:hAnsiTheme="minorHAnsi"/>
                <w:bCs/>
                <w:sz w:val="22"/>
                <w:szCs w:val="22"/>
              </w:rPr>
              <w:t xml:space="preserve">– Assess </w:t>
            </w:r>
            <w:r w:rsidR="006A0E07">
              <w:rPr>
                <w:rFonts w:asciiTheme="minorHAnsi" w:hAnsiTheme="minorHAnsi"/>
                <w:bCs/>
                <w:sz w:val="22"/>
                <w:szCs w:val="22"/>
              </w:rPr>
              <w:t>D&amp;C</w:t>
            </w:r>
            <w:r w:rsidR="00010D79">
              <w:rPr>
                <w:rFonts w:asciiTheme="minorHAnsi" w:hAnsiTheme="minorHAnsi"/>
                <w:bCs/>
                <w:sz w:val="22"/>
                <w:szCs w:val="22"/>
              </w:rPr>
              <w:t xml:space="preserve"> within RGH </w:t>
            </w:r>
            <w:r w:rsidRPr="00AE4EBC">
              <w:rPr>
                <w:rFonts w:asciiTheme="minorHAnsi" w:hAnsiTheme="minorHAnsi"/>
                <w:bCs/>
                <w:sz w:val="22"/>
                <w:szCs w:val="22"/>
              </w:rPr>
              <w:t xml:space="preserve">6. Domiciliary Visits </w:t>
            </w:r>
            <w:r w:rsidR="00B8421F">
              <w:rPr>
                <w:rFonts w:asciiTheme="minorHAnsi" w:hAnsiTheme="minorHAnsi"/>
                <w:bCs/>
                <w:sz w:val="22"/>
                <w:szCs w:val="22"/>
              </w:rPr>
              <w:t xml:space="preserve">– Repatriate </w:t>
            </w:r>
            <w:r w:rsidRPr="00AE4EBC">
              <w:rPr>
                <w:rFonts w:asciiTheme="minorHAnsi" w:hAnsiTheme="minorHAnsi"/>
                <w:bCs/>
                <w:sz w:val="22"/>
                <w:szCs w:val="22"/>
              </w:rPr>
              <w:t xml:space="preserve">and deliver throughout  CTM   </w:t>
            </w:r>
          </w:p>
          <w:p w14:paraId="6C634551" w14:textId="77777777" w:rsidR="009A1D3B" w:rsidRPr="00AE4EBC" w:rsidRDefault="009A1D3B" w:rsidP="00F60A35">
            <w:pPr>
              <w:pStyle w:val="ListParagraph"/>
              <w:numPr>
                <w:ilvl w:val="0"/>
                <w:numId w:val="57"/>
              </w:numPr>
              <w:ind w:left="313"/>
              <w:rPr>
                <w:bCs/>
              </w:rPr>
            </w:pPr>
            <w:r w:rsidRPr="00AE4EBC">
              <w:rPr>
                <w:rFonts w:asciiTheme="minorHAnsi" w:hAnsiTheme="minorHAnsi"/>
                <w:bCs/>
                <w:sz w:val="22"/>
                <w:szCs w:val="22"/>
              </w:rPr>
              <w:t>Repatriate MOS from Swansea Bay</w:t>
            </w:r>
          </w:p>
        </w:tc>
        <w:tc>
          <w:tcPr>
            <w:tcW w:w="1843" w:type="dxa"/>
          </w:tcPr>
          <w:p w14:paraId="37672113" w14:textId="368298BB" w:rsidR="009A1D3B" w:rsidRPr="00AE4EBC" w:rsidRDefault="00BB3F8B" w:rsidP="00E02C36">
            <w:pPr>
              <w:rPr>
                <w:rFonts w:asciiTheme="minorHAnsi" w:hAnsiTheme="minorHAnsi"/>
                <w:sz w:val="22"/>
                <w:szCs w:val="22"/>
              </w:rPr>
            </w:pPr>
            <w:r>
              <w:rPr>
                <w:rFonts w:asciiTheme="minorHAnsi" w:hAnsiTheme="minorHAnsi"/>
                <w:sz w:val="22"/>
                <w:szCs w:val="22"/>
              </w:rPr>
              <w:t>S</w:t>
            </w:r>
            <w:r w:rsidR="009A1D3B" w:rsidRPr="00AE4EBC">
              <w:rPr>
                <w:rFonts w:asciiTheme="minorHAnsi" w:hAnsiTheme="minorHAnsi"/>
                <w:sz w:val="22"/>
                <w:szCs w:val="22"/>
              </w:rPr>
              <w:t xml:space="preserve">ustain service delivery and continual assessment  </w:t>
            </w:r>
          </w:p>
        </w:tc>
        <w:tc>
          <w:tcPr>
            <w:tcW w:w="1701" w:type="dxa"/>
          </w:tcPr>
          <w:p w14:paraId="0A6C9811" w14:textId="27356BBE" w:rsidR="009A1D3B" w:rsidRPr="00AE4EBC" w:rsidRDefault="00BB3F8B" w:rsidP="00E02C36">
            <w:pPr>
              <w:rPr>
                <w:rFonts w:asciiTheme="minorHAnsi" w:hAnsiTheme="minorHAnsi"/>
                <w:sz w:val="22"/>
                <w:szCs w:val="22"/>
              </w:rPr>
            </w:pPr>
            <w:r>
              <w:rPr>
                <w:rFonts w:asciiTheme="minorHAnsi" w:hAnsiTheme="minorHAnsi"/>
                <w:sz w:val="22"/>
                <w:szCs w:val="22"/>
              </w:rPr>
              <w:t>S</w:t>
            </w:r>
            <w:r w:rsidR="009A1D3B" w:rsidRPr="00AE4EBC">
              <w:rPr>
                <w:rFonts w:asciiTheme="minorHAnsi" w:hAnsiTheme="minorHAnsi"/>
                <w:sz w:val="22"/>
                <w:szCs w:val="22"/>
              </w:rPr>
              <w:t>ustain</w:t>
            </w:r>
            <w:r w:rsidR="009A1D3B">
              <w:rPr>
                <w:rFonts w:asciiTheme="minorHAnsi" w:hAnsiTheme="minorHAnsi"/>
                <w:sz w:val="22"/>
                <w:szCs w:val="22"/>
              </w:rPr>
              <w:t xml:space="preserve"> service delivery and continual</w:t>
            </w:r>
            <w:r w:rsidR="009A1D3B" w:rsidRPr="00AE4EBC">
              <w:rPr>
                <w:rFonts w:asciiTheme="minorHAnsi" w:hAnsiTheme="minorHAnsi"/>
                <w:sz w:val="22"/>
                <w:szCs w:val="22"/>
              </w:rPr>
              <w:t xml:space="preserve"> assessment  </w:t>
            </w:r>
          </w:p>
        </w:tc>
      </w:tr>
      <w:tr w:rsidR="009A1D3B" w14:paraId="2A6E0B66" w14:textId="77777777" w:rsidTr="00E334A5">
        <w:tc>
          <w:tcPr>
            <w:tcW w:w="6516" w:type="dxa"/>
          </w:tcPr>
          <w:p w14:paraId="78C1199A" w14:textId="77777777" w:rsidR="009A1D3B" w:rsidRPr="00584BE2" w:rsidRDefault="009A1D3B" w:rsidP="00E02C36">
            <w:pPr>
              <w:rPr>
                <w:rFonts w:asciiTheme="minorHAnsi" w:hAnsiTheme="minorHAnsi"/>
                <w:b/>
                <w:bCs/>
                <w:sz w:val="22"/>
                <w:szCs w:val="22"/>
              </w:rPr>
            </w:pPr>
            <w:r w:rsidRPr="00584BE2">
              <w:rPr>
                <w:rFonts w:asciiTheme="minorHAnsi" w:hAnsiTheme="minorHAnsi"/>
                <w:b/>
                <w:bCs/>
                <w:sz w:val="22"/>
                <w:szCs w:val="22"/>
              </w:rPr>
              <w:t xml:space="preserve">Urgent Primary Care </w:t>
            </w:r>
            <w:r>
              <w:rPr>
                <w:rFonts w:asciiTheme="minorHAnsi" w:hAnsiTheme="minorHAnsi"/>
                <w:b/>
                <w:bCs/>
                <w:sz w:val="22"/>
                <w:szCs w:val="22"/>
              </w:rPr>
              <w:t>– Q1</w:t>
            </w:r>
          </w:p>
          <w:p w14:paraId="23001A3E" w14:textId="77777777" w:rsidR="009A1D3B" w:rsidRPr="00584BE2" w:rsidRDefault="009A1D3B" w:rsidP="00F60A35">
            <w:pPr>
              <w:pStyle w:val="ListParagraph"/>
              <w:numPr>
                <w:ilvl w:val="0"/>
                <w:numId w:val="58"/>
              </w:numPr>
              <w:rPr>
                <w:rFonts w:asciiTheme="minorHAnsi" w:hAnsiTheme="minorHAnsi"/>
                <w:bCs/>
                <w:sz w:val="22"/>
                <w:szCs w:val="22"/>
              </w:rPr>
            </w:pPr>
            <w:r w:rsidRPr="00584BE2">
              <w:rPr>
                <w:rFonts w:asciiTheme="minorHAnsi" w:hAnsiTheme="minorHAnsi"/>
                <w:bCs/>
                <w:sz w:val="22"/>
                <w:szCs w:val="22"/>
              </w:rPr>
              <w:t xml:space="preserve">Nurse Practitioners working in PCCs. </w:t>
            </w:r>
          </w:p>
          <w:p w14:paraId="55FB794A" w14:textId="77777777" w:rsidR="009A1D3B" w:rsidRPr="00584BE2" w:rsidRDefault="009A1D3B" w:rsidP="00F60A35">
            <w:pPr>
              <w:pStyle w:val="ListParagraph"/>
              <w:numPr>
                <w:ilvl w:val="0"/>
                <w:numId w:val="58"/>
              </w:numPr>
              <w:rPr>
                <w:rFonts w:asciiTheme="minorHAnsi" w:hAnsiTheme="minorHAnsi"/>
                <w:bCs/>
                <w:sz w:val="22"/>
                <w:szCs w:val="22"/>
              </w:rPr>
            </w:pPr>
            <w:r w:rsidRPr="00584BE2">
              <w:rPr>
                <w:rFonts w:asciiTheme="minorHAnsi" w:hAnsiTheme="minorHAnsi"/>
                <w:bCs/>
                <w:sz w:val="22"/>
                <w:szCs w:val="22"/>
              </w:rPr>
              <w:t xml:space="preserve">111 implementation     </w:t>
            </w:r>
          </w:p>
          <w:p w14:paraId="2B68F1A3" w14:textId="77777777" w:rsidR="009A1D3B" w:rsidRPr="00584BE2" w:rsidRDefault="009A1D3B" w:rsidP="00F60A35">
            <w:pPr>
              <w:pStyle w:val="ListParagraph"/>
              <w:numPr>
                <w:ilvl w:val="0"/>
                <w:numId w:val="58"/>
              </w:numPr>
              <w:rPr>
                <w:bCs/>
              </w:rPr>
            </w:pPr>
            <w:r w:rsidRPr="00584BE2">
              <w:rPr>
                <w:rFonts w:asciiTheme="minorHAnsi" w:hAnsiTheme="minorHAnsi"/>
                <w:bCs/>
                <w:sz w:val="22"/>
                <w:szCs w:val="22"/>
              </w:rPr>
              <w:t>Commence contract with GP consortium</w:t>
            </w:r>
          </w:p>
        </w:tc>
        <w:tc>
          <w:tcPr>
            <w:tcW w:w="1843" w:type="dxa"/>
          </w:tcPr>
          <w:p w14:paraId="740AC750" w14:textId="77777777" w:rsidR="009A1D3B" w:rsidRPr="007C2681" w:rsidRDefault="009A1D3B" w:rsidP="00E02C36">
            <w:pPr>
              <w:rPr>
                <w:sz w:val="22"/>
                <w:szCs w:val="22"/>
              </w:rPr>
            </w:pPr>
            <w:r w:rsidRPr="007C2681">
              <w:rPr>
                <w:sz w:val="22"/>
                <w:szCs w:val="22"/>
              </w:rPr>
              <w:t>Review, audit and build on progress.  Contract monitoring of new contract</w:t>
            </w:r>
          </w:p>
          <w:p w14:paraId="5C8D44BE" w14:textId="77777777" w:rsidR="009A1D3B" w:rsidRPr="007C2681" w:rsidRDefault="009A1D3B" w:rsidP="00E02C36">
            <w:pPr>
              <w:rPr>
                <w:bCs/>
                <w:sz w:val="22"/>
                <w:szCs w:val="22"/>
              </w:rPr>
            </w:pPr>
          </w:p>
        </w:tc>
        <w:tc>
          <w:tcPr>
            <w:tcW w:w="1701" w:type="dxa"/>
          </w:tcPr>
          <w:p w14:paraId="4EEB0D67" w14:textId="295FF6E9" w:rsidR="009A1D3B" w:rsidRPr="0098336B" w:rsidRDefault="009A1D3B" w:rsidP="00E02C36">
            <w:pPr>
              <w:rPr>
                <w:sz w:val="22"/>
                <w:szCs w:val="22"/>
              </w:rPr>
            </w:pPr>
            <w:r w:rsidRPr="007C2681">
              <w:rPr>
                <w:sz w:val="22"/>
                <w:szCs w:val="22"/>
              </w:rPr>
              <w:t>Review, audit and build on progress.  Contract monitoring of new contract</w:t>
            </w:r>
          </w:p>
        </w:tc>
      </w:tr>
      <w:tr w:rsidR="009A1D3B" w14:paraId="4A4210E7" w14:textId="77777777" w:rsidTr="00E334A5">
        <w:tc>
          <w:tcPr>
            <w:tcW w:w="6516" w:type="dxa"/>
          </w:tcPr>
          <w:p w14:paraId="5AB81FDF" w14:textId="77777777" w:rsidR="009A1D3B" w:rsidRPr="00F35D50" w:rsidRDefault="009A1D3B" w:rsidP="00E02C36">
            <w:pPr>
              <w:rPr>
                <w:rFonts w:asciiTheme="minorHAnsi" w:hAnsiTheme="minorHAnsi"/>
                <w:b/>
                <w:sz w:val="22"/>
                <w:szCs w:val="22"/>
              </w:rPr>
            </w:pPr>
            <w:r w:rsidRPr="00F35D50">
              <w:rPr>
                <w:rFonts w:asciiTheme="minorHAnsi" w:hAnsiTheme="minorHAnsi"/>
                <w:b/>
                <w:sz w:val="22"/>
                <w:szCs w:val="22"/>
              </w:rPr>
              <w:t xml:space="preserve">Eye Health and Optometry </w:t>
            </w:r>
          </w:p>
          <w:p w14:paraId="64AB835A" w14:textId="77777777" w:rsidR="009A1D3B" w:rsidRPr="00F35D50" w:rsidRDefault="009A1D3B" w:rsidP="00E02C36">
            <w:pPr>
              <w:rPr>
                <w:rFonts w:asciiTheme="minorHAnsi" w:hAnsiTheme="minorHAnsi"/>
                <w:sz w:val="22"/>
                <w:szCs w:val="22"/>
              </w:rPr>
            </w:pPr>
            <w:r w:rsidRPr="00F35D50">
              <w:rPr>
                <w:rFonts w:asciiTheme="minorHAnsi" w:hAnsiTheme="minorHAnsi"/>
                <w:sz w:val="22"/>
                <w:szCs w:val="22"/>
              </w:rPr>
              <w:t xml:space="preserve">Q1 </w:t>
            </w:r>
          </w:p>
          <w:p w14:paraId="22DB0FA1" w14:textId="562A145A" w:rsidR="009A1D3B" w:rsidRPr="00F35D50" w:rsidRDefault="00B8421F" w:rsidP="00F60A35">
            <w:pPr>
              <w:pStyle w:val="ListParagraph"/>
              <w:numPr>
                <w:ilvl w:val="0"/>
                <w:numId w:val="59"/>
              </w:numPr>
              <w:ind w:left="313"/>
              <w:rPr>
                <w:rFonts w:asciiTheme="minorHAnsi" w:hAnsiTheme="minorHAnsi"/>
                <w:sz w:val="22"/>
                <w:szCs w:val="22"/>
              </w:rPr>
            </w:pPr>
            <w:r>
              <w:rPr>
                <w:rFonts w:asciiTheme="minorHAnsi" w:hAnsiTheme="minorHAnsi"/>
                <w:sz w:val="22"/>
                <w:szCs w:val="22"/>
              </w:rPr>
              <w:t>C</w:t>
            </w:r>
            <w:r w:rsidR="009A1D3B" w:rsidRPr="00F35D50">
              <w:rPr>
                <w:rFonts w:asciiTheme="minorHAnsi" w:hAnsiTheme="minorHAnsi"/>
                <w:sz w:val="22"/>
                <w:szCs w:val="22"/>
              </w:rPr>
              <w:t xml:space="preserve">ontinue to promote EHEW </w:t>
            </w:r>
          </w:p>
          <w:p w14:paraId="48F35799" w14:textId="77777777" w:rsidR="009A1D3B" w:rsidRPr="00F35D50" w:rsidRDefault="009A1D3B" w:rsidP="00F60A35">
            <w:pPr>
              <w:pStyle w:val="ListParagraph"/>
              <w:numPr>
                <w:ilvl w:val="0"/>
                <w:numId w:val="59"/>
              </w:numPr>
              <w:ind w:left="313"/>
              <w:rPr>
                <w:rFonts w:asciiTheme="minorHAnsi" w:hAnsiTheme="minorHAnsi"/>
                <w:sz w:val="22"/>
                <w:szCs w:val="22"/>
              </w:rPr>
            </w:pPr>
            <w:r w:rsidRPr="00F35D50">
              <w:rPr>
                <w:rFonts w:asciiTheme="minorHAnsi" w:hAnsiTheme="minorHAnsi"/>
                <w:sz w:val="22"/>
                <w:szCs w:val="22"/>
              </w:rPr>
              <w:t>If funding agreed commence glaucoma service within primary care</w:t>
            </w:r>
          </w:p>
          <w:p w14:paraId="1E947389" w14:textId="79F9B7B1" w:rsidR="009A1D3B" w:rsidRPr="0098336B" w:rsidRDefault="009A1D3B" w:rsidP="00B8421F">
            <w:pPr>
              <w:rPr>
                <w:rFonts w:asciiTheme="minorHAnsi" w:hAnsiTheme="minorHAnsi"/>
                <w:sz w:val="22"/>
                <w:szCs w:val="22"/>
              </w:rPr>
            </w:pPr>
            <w:r w:rsidRPr="00F35D50">
              <w:rPr>
                <w:rFonts w:asciiTheme="minorHAnsi" w:hAnsiTheme="minorHAnsi"/>
                <w:bCs/>
                <w:sz w:val="22"/>
                <w:szCs w:val="22"/>
              </w:rPr>
              <w:t xml:space="preserve">Q4 </w:t>
            </w:r>
            <w:r w:rsidR="00B8421F">
              <w:rPr>
                <w:rFonts w:asciiTheme="minorHAnsi" w:hAnsiTheme="minorHAnsi"/>
                <w:b/>
                <w:bCs/>
                <w:sz w:val="22"/>
                <w:szCs w:val="22"/>
              </w:rPr>
              <w:t xml:space="preserve">– </w:t>
            </w:r>
            <w:r w:rsidR="00B8421F" w:rsidRPr="00B8421F">
              <w:rPr>
                <w:rFonts w:asciiTheme="minorHAnsi" w:hAnsiTheme="minorHAnsi"/>
                <w:bCs/>
                <w:sz w:val="22"/>
                <w:szCs w:val="22"/>
              </w:rPr>
              <w:t>Monitor</w:t>
            </w:r>
            <w:r w:rsidR="00B8421F">
              <w:rPr>
                <w:rFonts w:asciiTheme="minorHAnsi" w:hAnsiTheme="minorHAnsi"/>
                <w:b/>
                <w:bCs/>
                <w:sz w:val="22"/>
                <w:szCs w:val="22"/>
              </w:rPr>
              <w:t xml:space="preserve"> </w:t>
            </w:r>
            <w:r w:rsidRPr="00F35D50">
              <w:rPr>
                <w:rFonts w:asciiTheme="minorHAnsi" w:hAnsiTheme="minorHAnsi"/>
                <w:sz w:val="22"/>
                <w:szCs w:val="22"/>
              </w:rPr>
              <w:t>progress and impact on secondary care waiting lists and outpatient care activity</w:t>
            </w:r>
          </w:p>
        </w:tc>
        <w:tc>
          <w:tcPr>
            <w:tcW w:w="1843" w:type="dxa"/>
          </w:tcPr>
          <w:p w14:paraId="40212370" w14:textId="28A60476" w:rsidR="009A1D3B" w:rsidRPr="00F35D50" w:rsidRDefault="00BB3F8B" w:rsidP="00E02C36">
            <w:pPr>
              <w:rPr>
                <w:sz w:val="22"/>
                <w:szCs w:val="22"/>
              </w:rPr>
            </w:pPr>
            <w:r>
              <w:rPr>
                <w:sz w:val="22"/>
                <w:szCs w:val="22"/>
              </w:rPr>
              <w:t>C</w:t>
            </w:r>
            <w:r w:rsidR="009A1D3B" w:rsidRPr="00F35D50">
              <w:rPr>
                <w:sz w:val="22"/>
                <w:szCs w:val="22"/>
              </w:rPr>
              <w:t>ontinue to delivery whilst monitoring progress and impact on secondary care</w:t>
            </w:r>
          </w:p>
        </w:tc>
        <w:tc>
          <w:tcPr>
            <w:tcW w:w="1701" w:type="dxa"/>
          </w:tcPr>
          <w:p w14:paraId="52596344" w14:textId="703EB127" w:rsidR="009A1D3B" w:rsidRPr="00F35D50" w:rsidRDefault="00BB3F8B" w:rsidP="00E02C36">
            <w:pPr>
              <w:rPr>
                <w:sz w:val="22"/>
                <w:szCs w:val="22"/>
              </w:rPr>
            </w:pPr>
            <w:r>
              <w:rPr>
                <w:sz w:val="22"/>
                <w:szCs w:val="22"/>
              </w:rPr>
              <w:t>C</w:t>
            </w:r>
            <w:r w:rsidR="009A1D3B" w:rsidRPr="00F35D50">
              <w:rPr>
                <w:sz w:val="22"/>
                <w:szCs w:val="22"/>
              </w:rPr>
              <w:t>ontinue to delivery whilst monitoring progress and impact on secondary care</w:t>
            </w:r>
          </w:p>
        </w:tc>
      </w:tr>
      <w:tr w:rsidR="009A1D3B" w14:paraId="73E1AC0B" w14:textId="77777777" w:rsidTr="00E334A5">
        <w:tc>
          <w:tcPr>
            <w:tcW w:w="6516" w:type="dxa"/>
          </w:tcPr>
          <w:p w14:paraId="638F48A7" w14:textId="77777777" w:rsidR="009A1D3B" w:rsidRDefault="009A1D3B" w:rsidP="00E02C36">
            <w:pPr>
              <w:rPr>
                <w:rFonts w:asciiTheme="minorHAnsi" w:hAnsiTheme="minorHAnsi"/>
                <w:b/>
                <w:sz w:val="22"/>
                <w:szCs w:val="22"/>
              </w:rPr>
            </w:pPr>
            <w:r>
              <w:rPr>
                <w:rFonts w:asciiTheme="minorHAnsi" w:hAnsiTheme="minorHAnsi"/>
                <w:b/>
                <w:sz w:val="22"/>
                <w:szCs w:val="22"/>
              </w:rPr>
              <w:t>Neighbourhood Nursing</w:t>
            </w:r>
          </w:p>
          <w:p w14:paraId="0AE32D9A" w14:textId="36A2FB68" w:rsidR="009A1D3B" w:rsidRDefault="009A1D3B" w:rsidP="00E02C36">
            <w:pPr>
              <w:rPr>
                <w:rFonts w:asciiTheme="minorHAnsi" w:hAnsiTheme="minorHAnsi"/>
                <w:sz w:val="22"/>
                <w:szCs w:val="22"/>
              </w:rPr>
            </w:pPr>
            <w:r w:rsidRPr="00EA46BE">
              <w:rPr>
                <w:rFonts w:asciiTheme="minorHAnsi" w:hAnsiTheme="minorHAnsi"/>
                <w:sz w:val="22"/>
                <w:szCs w:val="22"/>
              </w:rPr>
              <w:t>Q1</w:t>
            </w:r>
            <w:r>
              <w:rPr>
                <w:rFonts w:asciiTheme="minorHAnsi" w:hAnsiTheme="minorHAnsi"/>
                <w:sz w:val="22"/>
                <w:szCs w:val="22"/>
              </w:rPr>
              <w:t xml:space="preserve"> </w:t>
            </w:r>
            <w:r w:rsidR="00B8421F">
              <w:rPr>
                <w:rFonts w:asciiTheme="minorHAnsi" w:hAnsiTheme="minorHAnsi"/>
                <w:sz w:val="22"/>
                <w:szCs w:val="22"/>
              </w:rPr>
              <w:t xml:space="preserve">– Secure </w:t>
            </w:r>
            <w:r w:rsidRPr="00EA46BE">
              <w:rPr>
                <w:rFonts w:asciiTheme="minorHAnsi" w:hAnsiTheme="minorHAnsi"/>
                <w:sz w:val="22"/>
                <w:szCs w:val="22"/>
              </w:rPr>
              <w:t>funding through IMTP and scope plan for phased implementation</w:t>
            </w:r>
          </w:p>
          <w:p w14:paraId="485914E2" w14:textId="29C91BFD" w:rsidR="009A1D3B" w:rsidRPr="00EA46BE" w:rsidRDefault="009A1D3B" w:rsidP="00B8421F">
            <w:pPr>
              <w:rPr>
                <w:rFonts w:asciiTheme="minorHAnsi" w:hAnsiTheme="minorHAnsi"/>
                <w:sz w:val="22"/>
                <w:szCs w:val="22"/>
              </w:rPr>
            </w:pPr>
            <w:r>
              <w:rPr>
                <w:rFonts w:asciiTheme="minorHAnsi" w:hAnsiTheme="minorHAnsi"/>
                <w:sz w:val="22"/>
                <w:szCs w:val="22"/>
              </w:rPr>
              <w:t xml:space="preserve">Q2 – </w:t>
            </w:r>
            <w:r w:rsidR="00B8421F">
              <w:rPr>
                <w:rFonts w:asciiTheme="minorHAnsi" w:hAnsiTheme="minorHAnsi"/>
                <w:sz w:val="22"/>
                <w:szCs w:val="22"/>
              </w:rPr>
              <w:t>I</w:t>
            </w:r>
            <w:r>
              <w:rPr>
                <w:rFonts w:asciiTheme="minorHAnsi" w:hAnsiTheme="minorHAnsi"/>
                <w:sz w:val="22"/>
                <w:szCs w:val="22"/>
              </w:rPr>
              <w:t>f funding agreed, commence planned roll out</w:t>
            </w:r>
          </w:p>
        </w:tc>
        <w:tc>
          <w:tcPr>
            <w:tcW w:w="1843" w:type="dxa"/>
          </w:tcPr>
          <w:p w14:paraId="1C82F4D3" w14:textId="77777777" w:rsidR="009A1D3B" w:rsidRPr="00EA46BE" w:rsidRDefault="009A1D3B" w:rsidP="00E02C36">
            <w:pPr>
              <w:rPr>
                <w:sz w:val="22"/>
                <w:szCs w:val="22"/>
              </w:rPr>
            </w:pPr>
            <w:r w:rsidRPr="00EA46BE">
              <w:rPr>
                <w:sz w:val="22"/>
                <w:szCs w:val="22"/>
              </w:rPr>
              <w:t>Review and consider other areas</w:t>
            </w:r>
          </w:p>
          <w:p w14:paraId="66F70A82" w14:textId="77777777" w:rsidR="009A1D3B" w:rsidRPr="00F35D50" w:rsidRDefault="009A1D3B" w:rsidP="00E02C36"/>
        </w:tc>
        <w:tc>
          <w:tcPr>
            <w:tcW w:w="1701" w:type="dxa"/>
          </w:tcPr>
          <w:p w14:paraId="2E5AFE7C" w14:textId="06AC4A3A" w:rsidR="009A1D3B" w:rsidRPr="00F35D50" w:rsidRDefault="009A1D3B" w:rsidP="00E02C36"/>
        </w:tc>
      </w:tr>
      <w:tr w:rsidR="009A1D3B" w14:paraId="686436F7" w14:textId="77777777" w:rsidTr="00E334A5">
        <w:tc>
          <w:tcPr>
            <w:tcW w:w="6516" w:type="dxa"/>
          </w:tcPr>
          <w:p w14:paraId="33920966" w14:textId="77777777" w:rsidR="009A1D3B" w:rsidRPr="00B55592" w:rsidRDefault="009A1D3B" w:rsidP="00E02C36">
            <w:pPr>
              <w:rPr>
                <w:rFonts w:asciiTheme="minorHAnsi" w:hAnsiTheme="minorHAnsi"/>
                <w:b/>
                <w:sz w:val="22"/>
                <w:szCs w:val="22"/>
              </w:rPr>
            </w:pPr>
            <w:r w:rsidRPr="00B55592">
              <w:rPr>
                <w:rFonts w:asciiTheme="minorHAnsi" w:hAnsiTheme="minorHAnsi"/>
                <w:b/>
                <w:sz w:val="22"/>
                <w:szCs w:val="22"/>
              </w:rPr>
              <w:lastRenderedPageBreak/>
              <w:t>Community Hospitals</w:t>
            </w:r>
          </w:p>
          <w:p w14:paraId="047F5B03" w14:textId="77777777" w:rsidR="009A1D3B" w:rsidRDefault="009A1D3B" w:rsidP="00E02C36">
            <w:pPr>
              <w:rPr>
                <w:rFonts w:asciiTheme="minorHAnsi" w:hAnsiTheme="minorHAnsi"/>
                <w:b/>
                <w:sz w:val="22"/>
                <w:szCs w:val="22"/>
              </w:rPr>
            </w:pPr>
            <w:r w:rsidRPr="00B55592">
              <w:rPr>
                <w:rFonts w:asciiTheme="minorHAnsi" w:hAnsiTheme="minorHAnsi"/>
                <w:sz w:val="22"/>
                <w:szCs w:val="22"/>
              </w:rPr>
              <w:t>Q1</w:t>
            </w:r>
            <w:r w:rsidRPr="00B55592">
              <w:rPr>
                <w:rFonts w:asciiTheme="minorHAnsi" w:hAnsiTheme="minorHAnsi"/>
                <w:b/>
                <w:sz w:val="22"/>
                <w:szCs w:val="22"/>
              </w:rPr>
              <w:t xml:space="preserve"> </w:t>
            </w:r>
          </w:p>
          <w:p w14:paraId="24D3241C" w14:textId="77777777" w:rsidR="009A1D3B" w:rsidRPr="00B55592" w:rsidRDefault="009A1D3B" w:rsidP="00F60A35">
            <w:pPr>
              <w:pStyle w:val="ListParagraph"/>
              <w:numPr>
                <w:ilvl w:val="0"/>
                <w:numId w:val="60"/>
              </w:numPr>
              <w:ind w:left="360"/>
              <w:rPr>
                <w:rFonts w:asciiTheme="minorHAnsi" w:hAnsiTheme="minorHAnsi"/>
                <w:sz w:val="22"/>
                <w:szCs w:val="22"/>
              </w:rPr>
            </w:pPr>
            <w:r w:rsidRPr="00B55592">
              <w:rPr>
                <w:rFonts w:asciiTheme="minorHAnsi" w:hAnsiTheme="minorHAnsi"/>
                <w:sz w:val="22"/>
                <w:szCs w:val="22"/>
              </w:rPr>
              <w:t>Review flow process</w:t>
            </w:r>
          </w:p>
          <w:p w14:paraId="531D0B7B" w14:textId="77777777" w:rsidR="009A1D3B" w:rsidRPr="00B55592" w:rsidRDefault="009A1D3B" w:rsidP="00F60A35">
            <w:pPr>
              <w:pStyle w:val="ListParagraph"/>
              <w:numPr>
                <w:ilvl w:val="0"/>
                <w:numId w:val="60"/>
              </w:numPr>
              <w:ind w:left="360"/>
              <w:rPr>
                <w:rFonts w:asciiTheme="minorHAnsi" w:hAnsiTheme="minorHAnsi"/>
                <w:sz w:val="22"/>
                <w:szCs w:val="22"/>
              </w:rPr>
            </w:pPr>
            <w:r w:rsidRPr="00B55592">
              <w:rPr>
                <w:rFonts w:asciiTheme="minorHAnsi" w:hAnsiTheme="minorHAnsi"/>
                <w:sz w:val="22"/>
                <w:szCs w:val="22"/>
              </w:rPr>
              <w:t xml:space="preserve">Commence planning for dementia shared care </w:t>
            </w:r>
            <w:r>
              <w:rPr>
                <w:rFonts w:asciiTheme="minorHAnsi" w:hAnsiTheme="minorHAnsi"/>
                <w:sz w:val="22"/>
                <w:szCs w:val="22"/>
              </w:rPr>
              <w:t>if</w:t>
            </w:r>
            <w:r w:rsidRPr="00B55592">
              <w:rPr>
                <w:rFonts w:asciiTheme="minorHAnsi" w:hAnsiTheme="minorHAnsi"/>
                <w:sz w:val="22"/>
                <w:szCs w:val="22"/>
              </w:rPr>
              <w:t xml:space="preserve"> funding agreed </w:t>
            </w:r>
          </w:p>
          <w:p w14:paraId="1C4E4833" w14:textId="77777777" w:rsidR="009A1D3B" w:rsidRPr="00B55592" w:rsidRDefault="009A1D3B" w:rsidP="00F60A35">
            <w:pPr>
              <w:pStyle w:val="ListParagraph"/>
              <w:numPr>
                <w:ilvl w:val="0"/>
                <w:numId w:val="60"/>
              </w:numPr>
              <w:ind w:left="360"/>
              <w:rPr>
                <w:rFonts w:asciiTheme="minorHAnsi" w:hAnsiTheme="minorHAnsi"/>
                <w:sz w:val="22"/>
                <w:szCs w:val="22"/>
              </w:rPr>
            </w:pPr>
            <w:r w:rsidRPr="00B55592">
              <w:rPr>
                <w:rFonts w:asciiTheme="minorHAnsi" w:hAnsiTheme="minorHAnsi"/>
                <w:sz w:val="22"/>
                <w:szCs w:val="22"/>
              </w:rPr>
              <w:t>Commence review of stroke pathway</w:t>
            </w:r>
          </w:p>
          <w:p w14:paraId="02349031" w14:textId="77777777" w:rsidR="009A1D3B" w:rsidRPr="00B55592" w:rsidRDefault="009A1D3B" w:rsidP="00E02C36">
            <w:pPr>
              <w:rPr>
                <w:rFonts w:asciiTheme="minorHAnsi" w:hAnsiTheme="minorHAnsi"/>
                <w:sz w:val="22"/>
                <w:szCs w:val="22"/>
              </w:rPr>
            </w:pPr>
            <w:r w:rsidRPr="00B55592">
              <w:rPr>
                <w:rFonts w:asciiTheme="minorHAnsi" w:hAnsiTheme="minorHAnsi"/>
                <w:sz w:val="22"/>
                <w:szCs w:val="22"/>
              </w:rPr>
              <w:t xml:space="preserve">Q4 </w:t>
            </w:r>
          </w:p>
          <w:p w14:paraId="358C5C1A" w14:textId="77777777" w:rsidR="009A1D3B" w:rsidRPr="00B55592" w:rsidRDefault="009A1D3B" w:rsidP="00F60A35">
            <w:pPr>
              <w:pStyle w:val="ListParagraph"/>
              <w:numPr>
                <w:ilvl w:val="0"/>
                <w:numId w:val="61"/>
              </w:numPr>
              <w:ind w:left="405"/>
              <w:rPr>
                <w:rFonts w:asciiTheme="minorHAnsi" w:hAnsiTheme="minorHAnsi"/>
                <w:sz w:val="22"/>
                <w:szCs w:val="22"/>
              </w:rPr>
            </w:pPr>
            <w:r w:rsidRPr="00B55592">
              <w:rPr>
                <w:rFonts w:asciiTheme="minorHAnsi" w:hAnsiTheme="minorHAnsi"/>
                <w:sz w:val="22"/>
                <w:szCs w:val="22"/>
              </w:rPr>
              <w:t xml:space="preserve">Evaluate changes to flow process            </w:t>
            </w:r>
          </w:p>
          <w:p w14:paraId="64B6230B" w14:textId="77777777" w:rsidR="009A1D3B" w:rsidRPr="00B55592" w:rsidRDefault="009A1D3B" w:rsidP="00F60A35">
            <w:pPr>
              <w:pStyle w:val="ListParagraph"/>
              <w:numPr>
                <w:ilvl w:val="0"/>
                <w:numId w:val="61"/>
              </w:numPr>
              <w:ind w:left="405"/>
              <w:rPr>
                <w:rFonts w:asciiTheme="minorHAnsi" w:hAnsiTheme="minorHAnsi"/>
                <w:sz w:val="22"/>
                <w:szCs w:val="22"/>
              </w:rPr>
            </w:pPr>
            <w:r w:rsidRPr="00B55592">
              <w:rPr>
                <w:rFonts w:asciiTheme="minorHAnsi" w:hAnsiTheme="minorHAnsi"/>
                <w:sz w:val="22"/>
                <w:szCs w:val="22"/>
              </w:rPr>
              <w:t xml:space="preserve">Evaluate status of dementia Shared Care work if funding agreed                  </w:t>
            </w:r>
          </w:p>
          <w:p w14:paraId="40796684" w14:textId="234388B6" w:rsidR="009A1D3B" w:rsidRPr="0098336B" w:rsidRDefault="009A1D3B" w:rsidP="00F60A35">
            <w:pPr>
              <w:pStyle w:val="ListParagraph"/>
              <w:numPr>
                <w:ilvl w:val="0"/>
                <w:numId w:val="61"/>
              </w:numPr>
              <w:ind w:left="405"/>
              <w:rPr>
                <w:rFonts w:asciiTheme="minorHAnsi" w:hAnsiTheme="minorHAnsi"/>
                <w:sz w:val="22"/>
                <w:szCs w:val="22"/>
              </w:rPr>
            </w:pPr>
            <w:r w:rsidRPr="00B55592">
              <w:rPr>
                <w:rFonts w:asciiTheme="minorHAnsi" w:hAnsiTheme="minorHAnsi"/>
                <w:sz w:val="22"/>
                <w:szCs w:val="22"/>
              </w:rPr>
              <w:t>Review status of changes to stroke pathway</w:t>
            </w:r>
          </w:p>
        </w:tc>
        <w:tc>
          <w:tcPr>
            <w:tcW w:w="1843" w:type="dxa"/>
          </w:tcPr>
          <w:p w14:paraId="0C5EA229" w14:textId="35AA421B" w:rsidR="009A1D3B" w:rsidRPr="00B55592" w:rsidRDefault="00BB3F8B" w:rsidP="00E02C36">
            <w:pPr>
              <w:rPr>
                <w:sz w:val="22"/>
                <w:szCs w:val="22"/>
              </w:rPr>
            </w:pPr>
            <w:r>
              <w:rPr>
                <w:sz w:val="22"/>
                <w:szCs w:val="22"/>
              </w:rPr>
              <w:t>E</w:t>
            </w:r>
            <w:r w:rsidR="009A1D3B" w:rsidRPr="00B55592">
              <w:rPr>
                <w:sz w:val="22"/>
                <w:szCs w:val="22"/>
              </w:rPr>
              <w:t>valuate year 1 actions and commence year 2 plan which may be shared care in YCC</w:t>
            </w:r>
          </w:p>
          <w:p w14:paraId="257FA7F5" w14:textId="77777777" w:rsidR="009A1D3B" w:rsidRPr="00B55592" w:rsidRDefault="009A1D3B" w:rsidP="00E02C36">
            <w:pPr>
              <w:rPr>
                <w:sz w:val="22"/>
                <w:szCs w:val="22"/>
              </w:rPr>
            </w:pPr>
          </w:p>
        </w:tc>
        <w:tc>
          <w:tcPr>
            <w:tcW w:w="1701" w:type="dxa"/>
          </w:tcPr>
          <w:p w14:paraId="2D5B2A29" w14:textId="02FFB3E4" w:rsidR="009A1D3B" w:rsidRDefault="00BB3F8B" w:rsidP="00E02C36">
            <w:pPr>
              <w:rPr>
                <w:sz w:val="22"/>
                <w:szCs w:val="22"/>
              </w:rPr>
            </w:pPr>
            <w:r>
              <w:rPr>
                <w:sz w:val="22"/>
                <w:szCs w:val="22"/>
              </w:rPr>
              <w:t>E</w:t>
            </w:r>
            <w:r w:rsidR="009A1D3B" w:rsidRPr="00B55592">
              <w:rPr>
                <w:sz w:val="22"/>
                <w:szCs w:val="22"/>
              </w:rPr>
              <w:t>valuate year 2 actions and commen</w:t>
            </w:r>
            <w:r w:rsidR="009A1D3B">
              <w:rPr>
                <w:sz w:val="22"/>
                <w:szCs w:val="22"/>
              </w:rPr>
              <w:t>ce year 3 plan based on potentia</w:t>
            </w:r>
            <w:r w:rsidR="009A1D3B" w:rsidRPr="00B55592">
              <w:rPr>
                <w:sz w:val="22"/>
                <w:szCs w:val="22"/>
              </w:rPr>
              <w:t xml:space="preserve">l role out to YCC </w:t>
            </w:r>
          </w:p>
          <w:p w14:paraId="1D6D3DAA" w14:textId="77777777" w:rsidR="009A1D3B" w:rsidRPr="00B55592" w:rsidRDefault="009A1D3B" w:rsidP="00E02C36">
            <w:pPr>
              <w:rPr>
                <w:sz w:val="22"/>
                <w:szCs w:val="22"/>
              </w:rPr>
            </w:pPr>
          </w:p>
          <w:p w14:paraId="02E36346" w14:textId="77777777" w:rsidR="009A1D3B" w:rsidRPr="00B55592" w:rsidRDefault="009A1D3B" w:rsidP="00E02C36">
            <w:pPr>
              <w:rPr>
                <w:sz w:val="22"/>
                <w:szCs w:val="22"/>
              </w:rPr>
            </w:pPr>
          </w:p>
        </w:tc>
      </w:tr>
      <w:tr w:rsidR="009A1D3B" w14:paraId="4C7ACA64" w14:textId="77777777" w:rsidTr="00E334A5">
        <w:tc>
          <w:tcPr>
            <w:tcW w:w="6516" w:type="dxa"/>
          </w:tcPr>
          <w:p w14:paraId="679D86F5" w14:textId="77777777" w:rsidR="009A1D3B" w:rsidRDefault="009A1D3B" w:rsidP="00E02C36">
            <w:pPr>
              <w:rPr>
                <w:rFonts w:asciiTheme="minorHAnsi" w:hAnsiTheme="minorHAnsi"/>
                <w:b/>
                <w:sz w:val="22"/>
                <w:szCs w:val="22"/>
              </w:rPr>
            </w:pPr>
            <w:r w:rsidRPr="00874268">
              <w:rPr>
                <w:rFonts w:asciiTheme="minorHAnsi" w:hAnsiTheme="minorHAnsi"/>
                <w:b/>
                <w:sz w:val="22"/>
                <w:szCs w:val="22"/>
              </w:rPr>
              <w:t>Lymphoedema Services</w:t>
            </w:r>
          </w:p>
          <w:p w14:paraId="214F650F" w14:textId="6D9F1846" w:rsidR="009A1D3B" w:rsidRPr="00F1182C" w:rsidRDefault="009A1D3B" w:rsidP="00E02C36">
            <w:pPr>
              <w:rPr>
                <w:rFonts w:asciiTheme="minorHAnsi" w:hAnsiTheme="minorHAnsi"/>
                <w:sz w:val="22"/>
                <w:szCs w:val="22"/>
              </w:rPr>
            </w:pPr>
            <w:r w:rsidRPr="00F1182C">
              <w:rPr>
                <w:rFonts w:asciiTheme="minorHAnsi" w:hAnsiTheme="minorHAnsi"/>
                <w:sz w:val="22"/>
                <w:szCs w:val="22"/>
              </w:rPr>
              <w:t xml:space="preserve">Q1 – </w:t>
            </w:r>
            <w:r w:rsidR="00B8421F">
              <w:rPr>
                <w:rFonts w:asciiTheme="minorHAnsi" w:hAnsiTheme="minorHAnsi"/>
                <w:sz w:val="22"/>
                <w:szCs w:val="22"/>
              </w:rPr>
              <w:t>A</w:t>
            </w:r>
            <w:r w:rsidRPr="00F1182C">
              <w:rPr>
                <w:rFonts w:asciiTheme="minorHAnsi" w:hAnsiTheme="minorHAnsi"/>
                <w:sz w:val="22"/>
                <w:szCs w:val="22"/>
              </w:rPr>
              <w:t>dditional staff appointed in RCT and MT</w:t>
            </w:r>
          </w:p>
          <w:p w14:paraId="49E150B5" w14:textId="5875430C" w:rsidR="009A1D3B" w:rsidRPr="0098336B" w:rsidRDefault="009A1D3B" w:rsidP="0098336B">
            <w:pPr>
              <w:rPr>
                <w:rFonts w:asciiTheme="minorHAnsi" w:hAnsiTheme="minorHAnsi"/>
                <w:sz w:val="22"/>
                <w:szCs w:val="22"/>
              </w:rPr>
            </w:pPr>
            <w:r w:rsidRPr="00F1182C">
              <w:rPr>
                <w:rFonts w:asciiTheme="minorHAnsi" w:hAnsiTheme="minorHAnsi"/>
                <w:sz w:val="22"/>
                <w:szCs w:val="22"/>
              </w:rPr>
              <w:t>Q4 – Agree repatriation of Bridgend service and termination of SLA with SBUHB</w:t>
            </w:r>
          </w:p>
        </w:tc>
        <w:tc>
          <w:tcPr>
            <w:tcW w:w="1843" w:type="dxa"/>
          </w:tcPr>
          <w:p w14:paraId="6FBF7319" w14:textId="1D0C6963" w:rsidR="009A1D3B" w:rsidRPr="00F1182C" w:rsidRDefault="00BB3F8B" w:rsidP="00E02C36">
            <w:pPr>
              <w:rPr>
                <w:sz w:val="22"/>
                <w:szCs w:val="22"/>
              </w:rPr>
            </w:pPr>
            <w:r>
              <w:rPr>
                <w:sz w:val="22"/>
                <w:szCs w:val="22"/>
              </w:rPr>
              <w:t>E</w:t>
            </w:r>
            <w:r w:rsidR="009A1D3B" w:rsidRPr="00F1182C">
              <w:rPr>
                <w:sz w:val="22"/>
                <w:szCs w:val="22"/>
              </w:rPr>
              <w:t>valuate year 1 actions and commence year 2 plan</w:t>
            </w:r>
          </w:p>
        </w:tc>
        <w:tc>
          <w:tcPr>
            <w:tcW w:w="1701" w:type="dxa"/>
          </w:tcPr>
          <w:p w14:paraId="1EAF7727" w14:textId="77777777" w:rsidR="009A1D3B" w:rsidRPr="00F1182C" w:rsidRDefault="009A1D3B" w:rsidP="00E02C36">
            <w:pPr>
              <w:rPr>
                <w:sz w:val="22"/>
                <w:szCs w:val="22"/>
              </w:rPr>
            </w:pPr>
            <w:r w:rsidRPr="00F1182C">
              <w:rPr>
                <w:sz w:val="22"/>
                <w:szCs w:val="22"/>
              </w:rPr>
              <w:t>Service now core business</w:t>
            </w:r>
          </w:p>
        </w:tc>
      </w:tr>
      <w:tr w:rsidR="009A1D3B" w14:paraId="620BD8D2" w14:textId="77777777" w:rsidTr="00E334A5">
        <w:tc>
          <w:tcPr>
            <w:tcW w:w="6516" w:type="dxa"/>
          </w:tcPr>
          <w:p w14:paraId="1DB33326" w14:textId="77777777" w:rsidR="009A1D3B" w:rsidRDefault="009A1D3B" w:rsidP="00E02C36">
            <w:pPr>
              <w:rPr>
                <w:rFonts w:asciiTheme="minorHAnsi" w:hAnsiTheme="minorHAnsi"/>
                <w:b/>
                <w:sz w:val="22"/>
                <w:szCs w:val="22"/>
              </w:rPr>
            </w:pPr>
            <w:r>
              <w:rPr>
                <w:rFonts w:asciiTheme="minorHAnsi" w:hAnsiTheme="minorHAnsi"/>
                <w:b/>
                <w:sz w:val="22"/>
                <w:szCs w:val="22"/>
              </w:rPr>
              <w:t>Aural Health</w:t>
            </w:r>
          </w:p>
          <w:p w14:paraId="7EBE03F4" w14:textId="5A5C81F2" w:rsidR="009A1D3B" w:rsidRPr="00C260C6" w:rsidRDefault="00B8421F" w:rsidP="00E02C36">
            <w:pPr>
              <w:rPr>
                <w:rFonts w:asciiTheme="minorHAnsi" w:hAnsiTheme="minorHAnsi"/>
                <w:sz w:val="22"/>
                <w:szCs w:val="22"/>
              </w:rPr>
            </w:pPr>
            <w:r>
              <w:rPr>
                <w:rFonts w:asciiTheme="minorHAnsi" w:hAnsiTheme="minorHAnsi"/>
                <w:sz w:val="22"/>
                <w:szCs w:val="22"/>
              </w:rPr>
              <w:t>Q1 – A</w:t>
            </w:r>
            <w:r w:rsidR="009A1D3B">
              <w:rPr>
                <w:rFonts w:asciiTheme="minorHAnsi" w:hAnsiTheme="minorHAnsi"/>
                <w:sz w:val="22"/>
                <w:szCs w:val="22"/>
              </w:rPr>
              <w:t>ppoint staff and roll out service to Bridgend locality</w:t>
            </w:r>
          </w:p>
        </w:tc>
        <w:tc>
          <w:tcPr>
            <w:tcW w:w="1843" w:type="dxa"/>
          </w:tcPr>
          <w:p w14:paraId="5AAAAEF6" w14:textId="77777777" w:rsidR="009A1D3B" w:rsidRPr="00BB3F8B" w:rsidRDefault="009A1D3B" w:rsidP="00E02C36">
            <w:pPr>
              <w:rPr>
                <w:sz w:val="22"/>
                <w:szCs w:val="22"/>
              </w:rPr>
            </w:pPr>
            <w:r w:rsidRPr="00BB3F8B">
              <w:rPr>
                <w:sz w:val="22"/>
                <w:szCs w:val="22"/>
              </w:rPr>
              <w:t>Deliver and evaluate the service</w:t>
            </w:r>
          </w:p>
        </w:tc>
        <w:tc>
          <w:tcPr>
            <w:tcW w:w="1701" w:type="dxa"/>
          </w:tcPr>
          <w:p w14:paraId="6106EF01" w14:textId="77777777" w:rsidR="009A1D3B" w:rsidRPr="00BB3F8B" w:rsidRDefault="009A1D3B" w:rsidP="00E02C36">
            <w:pPr>
              <w:rPr>
                <w:sz w:val="22"/>
                <w:szCs w:val="22"/>
              </w:rPr>
            </w:pPr>
            <w:r w:rsidRPr="00BB3F8B">
              <w:rPr>
                <w:sz w:val="22"/>
                <w:szCs w:val="22"/>
              </w:rPr>
              <w:t>Service now core business</w:t>
            </w:r>
          </w:p>
        </w:tc>
      </w:tr>
    </w:tbl>
    <w:p w14:paraId="338BCC45" w14:textId="79ED5100" w:rsidR="009A1D3B" w:rsidRPr="002B5397" w:rsidRDefault="00E334A5" w:rsidP="009A1D3B">
      <w:pPr>
        <w:contextualSpacing/>
        <w:rPr>
          <w:rFonts w:cstheme="minorHAnsi"/>
        </w:rPr>
      </w:pPr>
      <w:r w:rsidRPr="003D0778">
        <w:rPr>
          <w:noProof/>
          <w:color w:val="FFFFFF" w:themeColor="background1"/>
          <w:szCs w:val="22"/>
        </w:rPr>
        <w:drawing>
          <wp:anchor distT="0" distB="0" distL="114300" distR="114300" simplePos="0" relativeHeight="252637184" behindDoc="0" locked="0" layoutInCell="1" allowOverlap="1" wp14:anchorId="7BBEE5BC" wp14:editId="32FE6475">
            <wp:simplePos x="0" y="0"/>
            <wp:positionH relativeFrom="margin">
              <wp:align>right</wp:align>
            </wp:positionH>
            <wp:positionV relativeFrom="paragraph">
              <wp:posOffset>8890</wp:posOffset>
            </wp:positionV>
            <wp:extent cx="454660" cy="549275"/>
            <wp:effectExtent l="0" t="0" r="2540" b="3175"/>
            <wp:wrapNone/>
            <wp:docPr id="22" name="Picture 22"/>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44">
                      <a:extLst>
                        <a:ext uri="{28A0092B-C50C-407E-A947-70E740481C1C}">
                          <a14:useLocalDpi xmlns:a14="http://schemas.microsoft.com/office/drawing/2010/main" val="0"/>
                        </a:ext>
                      </a:extLst>
                    </a:blip>
                    <a:stretch>
                      <a:fillRect/>
                    </a:stretch>
                  </pic:blipFill>
                  <pic:spPr>
                    <a:xfrm>
                      <a:off x="0" y="0"/>
                      <a:ext cx="454660" cy="549275"/>
                    </a:xfrm>
                    <a:prstGeom prst="rect">
                      <a:avLst/>
                    </a:prstGeom>
                  </pic:spPr>
                </pic:pic>
              </a:graphicData>
            </a:graphic>
            <wp14:sizeRelH relativeFrom="margin">
              <wp14:pctWidth>0</wp14:pctWidth>
            </wp14:sizeRelH>
            <wp14:sizeRelV relativeFrom="margin">
              <wp14:pctHeight>0</wp14:pctHeight>
            </wp14:sizeRelV>
          </wp:anchor>
        </w:drawing>
      </w:r>
      <w:r w:rsidR="00BC1141">
        <w:rPr>
          <w:bCs/>
          <w:noProof/>
        </w:rPr>
        <mc:AlternateContent>
          <mc:Choice Requires="wps">
            <w:drawing>
              <wp:anchor distT="0" distB="0" distL="114300" distR="114300" simplePos="0" relativeHeight="252821504" behindDoc="1" locked="0" layoutInCell="1" allowOverlap="1" wp14:anchorId="77BDE653" wp14:editId="7AA94E75">
                <wp:simplePos x="0" y="0"/>
                <wp:positionH relativeFrom="margin">
                  <wp:posOffset>-60960</wp:posOffset>
                </wp:positionH>
                <wp:positionV relativeFrom="paragraph">
                  <wp:posOffset>-9106535</wp:posOffset>
                </wp:positionV>
                <wp:extent cx="6715125" cy="696595"/>
                <wp:effectExtent l="0" t="38100" r="47625" b="65405"/>
                <wp:wrapNone/>
                <wp:docPr id="60" name="Right Arrow 60"/>
                <wp:cNvGraphicFramePr/>
                <a:graphic xmlns:a="http://schemas.openxmlformats.org/drawingml/2006/main">
                  <a:graphicData uri="http://schemas.microsoft.com/office/word/2010/wordprocessingShape">
                    <wps:wsp>
                      <wps:cNvSpPr/>
                      <wps:spPr>
                        <a:xfrm>
                          <a:off x="0" y="0"/>
                          <a:ext cx="6715125"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787F23" id="Right Arrow 60" o:spid="_x0000_s1026" type="#_x0000_t13" style="position:absolute;margin-left:-4.8pt;margin-top:-717.05pt;width:528.75pt;height:54.85pt;z-index:-250494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" adj="20930" fillcolor="#eaf1dd [662]" strokecolor="#76923c [2406]" strokeweight="2pt">
                <w10:wrap anchorx="margin"/>
              </v:shape>
            </w:pict>
          </mc:Fallback>
        </mc:AlternateContent>
      </w:r>
    </w:p>
    <w:p w14:paraId="3B646473" w14:textId="60F38976" w:rsidR="00BF0C95" w:rsidRPr="003D0778" w:rsidRDefault="00BF0C95" w:rsidP="005D384E">
      <w:pPr>
        <w:pStyle w:val="Heading2"/>
        <w:shd w:val="clear" w:color="auto" w:fill="365F91" w:themeFill="accent1" w:themeFillShade="BF"/>
        <w:rPr>
          <w:color w:val="FFFFFF" w:themeColor="background1"/>
          <w:szCs w:val="22"/>
        </w:rPr>
      </w:pPr>
      <w:bookmarkStart w:id="99" w:name="_Toc532299681"/>
      <w:bookmarkStart w:id="100" w:name="_Toc532463985"/>
      <w:bookmarkStart w:id="101" w:name="_Toc536195562"/>
      <w:bookmarkStart w:id="102" w:name="_Toc29573947"/>
      <w:r w:rsidRPr="003D0778">
        <w:rPr>
          <w:color w:val="FFFFFF" w:themeColor="background1"/>
          <w:szCs w:val="22"/>
        </w:rPr>
        <w:t xml:space="preserve">Acute Care – </w:t>
      </w:r>
      <w:r w:rsidR="00215C11" w:rsidRPr="003D0778">
        <w:rPr>
          <w:color w:val="FFFFFF" w:themeColor="background1"/>
          <w:szCs w:val="22"/>
        </w:rPr>
        <w:t xml:space="preserve">Local and </w:t>
      </w:r>
      <w:r w:rsidR="004E3659" w:rsidRPr="003D0778">
        <w:rPr>
          <w:color w:val="FFFFFF" w:themeColor="background1"/>
          <w:szCs w:val="22"/>
        </w:rPr>
        <w:t xml:space="preserve">Regional </w:t>
      </w:r>
      <w:r w:rsidRPr="003D0778">
        <w:rPr>
          <w:color w:val="FFFFFF" w:themeColor="background1"/>
          <w:szCs w:val="22"/>
        </w:rPr>
        <w:t>Secondary Care</w:t>
      </w:r>
      <w:bookmarkEnd w:id="99"/>
      <w:bookmarkEnd w:id="100"/>
      <w:bookmarkEnd w:id="101"/>
      <w:bookmarkEnd w:id="102"/>
    </w:p>
    <w:p w14:paraId="3CE84BB6" w14:textId="2D20E24B" w:rsidR="00E02C36" w:rsidRPr="003D0778" w:rsidRDefault="00E02C36" w:rsidP="00E02C36">
      <w:pPr>
        <w:rPr>
          <w:rFonts w:asciiTheme="minorHAnsi" w:hAnsiTheme="minorHAnsi" w:cstheme="minorHAnsi"/>
          <w:szCs w:val="22"/>
        </w:rPr>
      </w:pPr>
      <w:bookmarkStart w:id="103" w:name="_Toc532463986"/>
      <w:bookmarkStart w:id="104" w:name="_Toc473290317"/>
      <w:r w:rsidRPr="003D0778">
        <w:rPr>
          <w:rFonts w:asciiTheme="minorHAnsi" w:hAnsiTheme="minorHAnsi" w:cstheme="minorHAnsi"/>
          <w:szCs w:val="22"/>
        </w:rPr>
        <w:t xml:space="preserve">Acute care faces several present and future challenges, not least of which are: </w:t>
      </w:r>
    </w:p>
    <w:p w14:paraId="36AD597D" w14:textId="77777777" w:rsidR="00E02C36" w:rsidRPr="003D0778" w:rsidRDefault="00E02C36" w:rsidP="00E02C36">
      <w:pPr>
        <w:pStyle w:val="NormaBullet"/>
        <w:rPr>
          <w:szCs w:val="22"/>
        </w:rPr>
      </w:pPr>
      <w:r w:rsidRPr="003D0778">
        <w:rPr>
          <w:szCs w:val="22"/>
        </w:rPr>
        <w:t>An ageing population and associated rise in hospital attendances associated with frailty.</w:t>
      </w:r>
    </w:p>
    <w:p w14:paraId="334ED81E" w14:textId="77777777" w:rsidR="00E02C36" w:rsidRPr="003D0778" w:rsidRDefault="00E02C36" w:rsidP="00E02C36">
      <w:pPr>
        <w:pStyle w:val="NormaBullet"/>
        <w:rPr>
          <w:szCs w:val="22"/>
        </w:rPr>
      </w:pPr>
      <w:r w:rsidRPr="003D0778">
        <w:rPr>
          <w:szCs w:val="22"/>
        </w:rPr>
        <w:t xml:space="preserve">High population morbidity with mental health, substance misuse, poor lifestyle choices and long term conditions all playing significant roles.  </w:t>
      </w:r>
    </w:p>
    <w:p w14:paraId="72C5CA37" w14:textId="77777777" w:rsidR="00E02C36" w:rsidRPr="003D0778" w:rsidRDefault="00E02C36" w:rsidP="00E02C36">
      <w:pPr>
        <w:pStyle w:val="NormaBullet"/>
        <w:rPr>
          <w:szCs w:val="22"/>
        </w:rPr>
      </w:pPr>
      <w:r w:rsidRPr="003D0778">
        <w:rPr>
          <w:szCs w:val="22"/>
        </w:rPr>
        <w:t xml:space="preserve">Growing levels of complex needs in the population (high-need, high-cost patients). </w:t>
      </w:r>
    </w:p>
    <w:p w14:paraId="28EB9F96" w14:textId="6E66A250" w:rsidR="00E02C36" w:rsidRPr="00E56B02" w:rsidRDefault="00E02C36" w:rsidP="00E02C36">
      <w:pPr>
        <w:pStyle w:val="NormaBullet"/>
        <w:rPr>
          <w:szCs w:val="22"/>
        </w:rPr>
      </w:pPr>
      <w:r w:rsidRPr="003D0778">
        <w:rPr>
          <w:szCs w:val="22"/>
        </w:rPr>
        <w:t>Challenged performance on key scheduled and unscheduled care indicators such as</w:t>
      </w:r>
      <w:r w:rsidR="00026E19">
        <w:rPr>
          <w:szCs w:val="22"/>
        </w:rPr>
        <w:t xml:space="preserve"> </w:t>
      </w:r>
      <w:r w:rsidRPr="003D0778">
        <w:rPr>
          <w:szCs w:val="22"/>
        </w:rPr>
        <w:t xml:space="preserve">RTT and A&amp;E waiting </w:t>
      </w:r>
      <w:r w:rsidRPr="00E56B02">
        <w:rPr>
          <w:szCs w:val="22"/>
        </w:rPr>
        <w:t>times.</w:t>
      </w:r>
    </w:p>
    <w:p w14:paraId="7255FDDA" w14:textId="77777777" w:rsidR="00E02C36" w:rsidRPr="00E56B02" w:rsidRDefault="00E02C36" w:rsidP="00E02C36">
      <w:pPr>
        <w:pStyle w:val="NormaBullet"/>
        <w:rPr>
          <w:szCs w:val="22"/>
        </w:rPr>
      </w:pPr>
      <w:r w:rsidRPr="00E56B02">
        <w:rPr>
          <w:szCs w:val="22"/>
        </w:rPr>
        <w:t>Difficulties in recruitment and reduction in the numbers of medical trainees in key areas leading to service sustainability issues.</w:t>
      </w:r>
    </w:p>
    <w:p w14:paraId="67F89585" w14:textId="0811BBD0" w:rsidR="00E02C36" w:rsidRPr="00E56B02" w:rsidRDefault="00E02C36" w:rsidP="00E02C36">
      <w:pPr>
        <w:pStyle w:val="NormaBullet"/>
        <w:rPr>
          <w:szCs w:val="22"/>
        </w:rPr>
      </w:pPr>
      <w:r w:rsidRPr="00E56B02">
        <w:rPr>
          <w:szCs w:val="22"/>
        </w:rPr>
        <w:t>Opportunities in many areas for improving value and efficiency.</w:t>
      </w:r>
    </w:p>
    <w:p w14:paraId="468CFCF0" w14:textId="77777777" w:rsidR="00E02C36" w:rsidRPr="00E56B02" w:rsidRDefault="00E02C36" w:rsidP="00E02C36">
      <w:pPr>
        <w:autoSpaceDE w:val="0"/>
        <w:autoSpaceDN w:val="0"/>
        <w:adjustRightInd w:val="0"/>
        <w:rPr>
          <w:rFonts w:asciiTheme="minorHAnsi" w:hAnsiTheme="minorHAnsi" w:cs="Calibri"/>
          <w:szCs w:val="22"/>
        </w:rPr>
      </w:pPr>
    </w:p>
    <w:p w14:paraId="29D05310" w14:textId="57EB8B53" w:rsidR="00E02C36" w:rsidRPr="00E56B02" w:rsidRDefault="00A05DD0" w:rsidP="00E02C36">
      <w:pPr>
        <w:autoSpaceDE w:val="0"/>
        <w:autoSpaceDN w:val="0"/>
        <w:adjustRightInd w:val="0"/>
        <w:rPr>
          <w:rFonts w:asciiTheme="minorHAnsi" w:hAnsiTheme="minorHAnsi" w:cs="Calibri"/>
          <w:szCs w:val="22"/>
        </w:rPr>
      </w:pPr>
      <w:r w:rsidRPr="00E56B02">
        <w:rPr>
          <w:rFonts w:asciiTheme="minorHAnsi" w:hAnsiTheme="minorHAnsi" w:cs="Calibri"/>
          <w:szCs w:val="22"/>
        </w:rPr>
        <w:t xml:space="preserve">The </w:t>
      </w:r>
      <w:r w:rsidR="00244927">
        <w:rPr>
          <w:rFonts w:asciiTheme="minorHAnsi" w:hAnsiTheme="minorHAnsi" w:cs="Calibri"/>
          <w:szCs w:val="22"/>
        </w:rPr>
        <w:t>UHB</w:t>
      </w:r>
      <w:r w:rsidRPr="00E56B02">
        <w:rPr>
          <w:rFonts w:asciiTheme="minorHAnsi" w:hAnsiTheme="minorHAnsi" w:cs="Calibri"/>
          <w:szCs w:val="22"/>
        </w:rPr>
        <w:t xml:space="preserve"> </w:t>
      </w:r>
      <w:r w:rsidR="006F2788" w:rsidRPr="00E56B02">
        <w:rPr>
          <w:rFonts w:asciiTheme="minorHAnsi" w:hAnsiTheme="minorHAnsi" w:cs="Calibri"/>
          <w:szCs w:val="22"/>
        </w:rPr>
        <w:t>is</w:t>
      </w:r>
      <w:r w:rsidRPr="00E56B02">
        <w:rPr>
          <w:rFonts w:asciiTheme="minorHAnsi" w:hAnsiTheme="minorHAnsi" w:cs="Calibri"/>
          <w:szCs w:val="22"/>
        </w:rPr>
        <w:t xml:space="preserve"> committed to place quality and patient safety at the heart of its planning and delivery of healthcare.  </w:t>
      </w:r>
      <w:r w:rsidR="00E02C36" w:rsidRPr="00E56B02">
        <w:rPr>
          <w:rFonts w:asciiTheme="minorHAnsi" w:hAnsiTheme="minorHAnsi" w:cs="Calibri"/>
          <w:szCs w:val="22"/>
        </w:rPr>
        <w:t xml:space="preserve">Our challenge is to design and deliver high quality, high performing, sustainable hospital services for the future, delivering care locally and within our boundaries wherever possible, but effectively collaborating with neighbouring </w:t>
      </w:r>
      <w:r w:rsidR="00244927">
        <w:rPr>
          <w:rFonts w:asciiTheme="minorHAnsi" w:hAnsiTheme="minorHAnsi" w:cs="Calibri"/>
          <w:szCs w:val="22"/>
        </w:rPr>
        <w:t>HBs</w:t>
      </w:r>
      <w:r w:rsidR="00E02C36" w:rsidRPr="00E56B02">
        <w:rPr>
          <w:rFonts w:asciiTheme="minorHAnsi" w:hAnsiTheme="minorHAnsi" w:cs="Calibri"/>
          <w:szCs w:val="22"/>
        </w:rPr>
        <w:t xml:space="preserve"> on regional models</w:t>
      </w:r>
      <w:r w:rsidR="00E02C36" w:rsidRPr="00E56B02">
        <w:rPr>
          <w:rFonts w:asciiTheme="minorHAnsi" w:hAnsiTheme="minorHAnsi" w:cs="Calibri"/>
          <w:b/>
          <w:szCs w:val="22"/>
        </w:rPr>
        <w:t xml:space="preserve"> </w:t>
      </w:r>
      <w:r w:rsidR="00E02C36" w:rsidRPr="00E56B02">
        <w:rPr>
          <w:rFonts w:asciiTheme="minorHAnsi" w:hAnsiTheme="minorHAnsi" w:cs="Calibri"/>
          <w:szCs w:val="22"/>
        </w:rPr>
        <w:t xml:space="preserve">of care for emergency or elective services where there is evidence that this brings better outcomes for patients. </w:t>
      </w:r>
    </w:p>
    <w:p w14:paraId="380F586A" w14:textId="77777777" w:rsidR="00E02C36" w:rsidRPr="00E56B02" w:rsidRDefault="00E02C36" w:rsidP="00E02C36">
      <w:pPr>
        <w:autoSpaceDE w:val="0"/>
        <w:autoSpaceDN w:val="0"/>
        <w:adjustRightInd w:val="0"/>
        <w:rPr>
          <w:rFonts w:asciiTheme="minorHAnsi" w:hAnsiTheme="minorHAnsi" w:cs="Calibri"/>
          <w:szCs w:val="22"/>
        </w:rPr>
      </w:pPr>
    </w:p>
    <w:p w14:paraId="3FBFBEE9" w14:textId="76120D5F" w:rsidR="00E02C36" w:rsidRPr="00E56B02" w:rsidRDefault="00E02C36" w:rsidP="00E02C36">
      <w:pPr>
        <w:autoSpaceDE w:val="0"/>
        <w:autoSpaceDN w:val="0"/>
        <w:adjustRightInd w:val="0"/>
        <w:rPr>
          <w:rFonts w:asciiTheme="minorHAnsi" w:hAnsiTheme="minorHAnsi" w:cs="Calibri"/>
          <w:szCs w:val="22"/>
        </w:rPr>
      </w:pPr>
      <w:r w:rsidRPr="00E56B02">
        <w:rPr>
          <w:rFonts w:asciiTheme="minorHAnsi" w:hAnsiTheme="minorHAnsi" w:cs="Calibri"/>
          <w:szCs w:val="22"/>
        </w:rPr>
        <w:t>We will do this by continuing to empower clinical leaders across the organisation to seek out best practice, develop and test innovative new service models, redesign and modernise the workforce, and drive through productivity, efficiency</w:t>
      </w:r>
      <w:r w:rsidR="00A05DD0" w:rsidRPr="00E56B02">
        <w:rPr>
          <w:rFonts w:asciiTheme="minorHAnsi" w:hAnsiTheme="minorHAnsi" w:cs="Calibri"/>
          <w:szCs w:val="22"/>
        </w:rPr>
        <w:t>, quality</w:t>
      </w:r>
      <w:r w:rsidRPr="00E56B02">
        <w:rPr>
          <w:rFonts w:asciiTheme="minorHAnsi" w:hAnsiTheme="minorHAnsi" w:cs="Calibri"/>
          <w:szCs w:val="22"/>
        </w:rPr>
        <w:t xml:space="preserve"> and performance improvements, maximising the use of all our available resources (estate, workforce, technology</w:t>
      </w:r>
      <w:r w:rsidR="009400F5">
        <w:rPr>
          <w:rFonts w:asciiTheme="minorHAnsi" w:hAnsiTheme="minorHAnsi" w:cs="Calibri"/>
          <w:szCs w:val="22"/>
        </w:rPr>
        <w:t xml:space="preserve"> (eg deployment of digital medical records (</w:t>
      </w:r>
      <w:r w:rsidR="009400F5" w:rsidRPr="009400F5">
        <w:rPr>
          <w:rFonts w:asciiTheme="minorHAnsi" w:hAnsiTheme="minorHAnsi" w:cs="Calibri"/>
          <w:b/>
          <w:szCs w:val="22"/>
        </w:rPr>
        <w:t>section 8.2.1.1</w:t>
      </w:r>
      <w:r w:rsidR="009400F5">
        <w:rPr>
          <w:rFonts w:asciiTheme="minorHAnsi" w:hAnsiTheme="minorHAnsi" w:cs="Calibri"/>
          <w:szCs w:val="22"/>
        </w:rPr>
        <w:t>)</w:t>
      </w:r>
      <w:r w:rsidRPr="00E56B02">
        <w:rPr>
          <w:rFonts w:asciiTheme="minorHAnsi" w:hAnsiTheme="minorHAnsi" w:cs="Calibri"/>
          <w:szCs w:val="22"/>
        </w:rPr>
        <w:t>, and financial).</w:t>
      </w:r>
      <w:r w:rsidR="00A05DD0" w:rsidRPr="00E56B02">
        <w:rPr>
          <w:rFonts w:asciiTheme="minorHAnsi" w:hAnsiTheme="minorHAnsi" w:cs="Calibri"/>
          <w:szCs w:val="22"/>
        </w:rPr>
        <w:t xml:space="preserve">  We are also ensuring both staff and patients are empowered and involved in the design and delivery of services across the organisation.</w:t>
      </w:r>
    </w:p>
    <w:p w14:paraId="287A1991" w14:textId="2103B0E8" w:rsidR="000D2DBB" w:rsidRPr="00E56B02" w:rsidRDefault="000D2DBB" w:rsidP="00C11306">
      <w:pPr>
        <w:pStyle w:val="Heading3"/>
        <w:ind w:left="0" w:firstLine="0"/>
        <w:rPr>
          <w:szCs w:val="22"/>
        </w:rPr>
      </w:pPr>
      <w:r w:rsidRPr="00E56B02">
        <w:rPr>
          <w:szCs w:val="22"/>
        </w:rPr>
        <w:t>Unscheduled Care</w:t>
      </w:r>
      <w:bookmarkEnd w:id="103"/>
    </w:p>
    <w:p w14:paraId="039CF977" w14:textId="49481C69" w:rsidR="00E02C36" w:rsidRPr="003D0778" w:rsidRDefault="00E02C36" w:rsidP="00E02C36">
      <w:pPr>
        <w:rPr>
          <w:rFonts w:asciiTheme="minorHAnsi" w:hAnsiTheme="minorHAnsi"/>
          <w:szCs w:val="22"/>
        </w:rPr>
      </w:pPr>
      <w:r w:rsidRPr="003D0778">
        <w:rPr>
          <w:rFonts w:asciiTheme="minorHAnsi" w:hAnsiTheme="minorHAnsi"/>
          <w:szCs w:val="22"/>
        </w:rPr>
        <w:t>Much of the work within urgent and emergency care (unscheduled care) continues to focus and build up</w:t>
      </w:r>
      <w:r>
        <w:rPr>
          <w:rFonts w:asciiTheme="minorHAnsi" w:hAnsiTheme="minorHAnsi"/>
          <w:szCs w:val="22"/>
        </w:rPr>
        <w:t>on the work undertaken over 2019/2020</w:t>
      </w:r>
      <w:r w:rsidRPr="003D0778">
        <w:rPr>
          <w:rFonts w:asciiTheme="minorHAnsi" w:hAnsiTheme="minorHAnsi"/>
          <w:szCs w:val="22"/>
        </w:rPr>
        <w:t xml:space="preserve"> on patient flow.  This is complex and varied and requires continued focus and change to overcome the numerous blockages and changes in the system</w:t>
      </w:r>
      <w:r w:rsidR="00AB5D79">
        <w:rPr>
          <w:rFonts w:asciiTheme="minorHAnsi" w:hAnsiTheme="minorHAnsi"/>
          <w:szCs w:val="22"/>
        </w:rPr>
        <w:t>;</w:t>
      </w:r>
      <w:r w:rsidRPr="003D0778">
        <w:rPr>
          <w:rFonts w:asciiTheme="minorHAnsi" w:hAnsiTheme="minorHAnsi"/>
          <w:szCs w:val="22"/>
        </w:rPr>
        <w:t xml:space="preserve"> however, it is key to improving outcomes and quality for patients, whilst maintaining elective activity within the </w:t>
      </w:r>
      <w:r w:rsidR="00244927">
        <w:rPr>
          <w:rFonts w:asciiTheme="minorHAnsi" w:hAnsiTheme="minorHAnsi"/>
          <w:szCs w:val="22"/>
        </w:rPr>
        <w:t>UHB</w:t>
      </w:r>
      <w:r w:rsidRPr="003D0778">
        <w:rPr>
          <w:rFonts w:asciiTheme="minorHAnsi" w:hAnsiTheme="minorHAnsi"/>
          <w:szCs w:val="22"/>
        </w:rPr>
        <w:t>.</w:t>
      </w:r>
    </w:p>
    <w:p w14:paraId="381B0127" w14:textId="77777777" w:rsidR="00E02C36" w:rsidRPr="003D0778" w:rsidRDefault="00E02C36" w:rsidP="00E02C36">
      <w:pPr>
        <w:rPr>
          <w:rFonts w:asciiTheme="minorHAnsi" w:hAnsiTheme="minorHAnsi"/>
          <w:szCs w:val="22"/>
        </w:rPr>
      </w:pPr>
    </w:p>
    <w:p w14:paraId="7F081479" w14:textId="508B060D" w:rsidR="00E02C36" w:rsidRDefault="00E02C36" w:rsidP="00E02C36">
      <w:pPr>
        <w:autoSpaceDE w:val="0"/>
        <w:autoSpaceDN w:val="0"/>
        <w:adjustRightInd w:val="0"/>
        <w:rPr>
          <w:rFonts w:asciiTheme="minorHAnsi" w:hAnsiTheme="minorHAnsi"/>
          <w:szCs w:val="22"/>
        </w:rPr>
      </w:pPr>
      <w:r w:rsidRPr="003D0778">
        <w:rPr>
          <w:rFonts w:asciiTheme="minorHAnsi" w:hAnsiTheme="minorHAnsi" w:cs="Calibri"/>
          <w:szCs w:val="22"/>
        </w:rPr>
        <w:t xml:space="preserve">Work to improve our unscheduled care pathway touches many parts of our health and care system </w:t>
      </w:r>
      <w:r w:rsidRPr="003D0778">
        <w:rPr>
          <w:rFonts w:asciiTheme="minorHAnsi" w:hAnsiTheme="minorHAnsi"/>
          <w:szCs w:val="22"/>
        </w:rPr>
        <w:t xml:space="preserve">and can only be achieved through partnership working with our </w:t>
      </w:r>
      <w:r w:rsidR="00AB5D79">
        <w:rPr>
          <w:rFonts w:asciiTheme="minorHAnsi" w:hAnsiTheme="minorHAnsi"/>
          <w:szCs w:val="22"/>
        </w:rPr>
        <w:t>LA’s</w:t>
      </w:r>
      <w:r w:rsidRPr="003D0778">
        <w:rPr>
          <w:rFonts w:asciiTheme="minorHAnsi" w:hAnsiTheme="minorHAnsi"/>
          <w:szCs w:val="22"/>
        </w:rPr>
        <w:t xml:space="preserve">, WAST and the Third Sector in particular. </w:t>
      </w:r>
      <w:r w:rsidRPr="001D0123">
        <w:rPr>
          <w:rFonts w:asciiTheme="minorHAnsi" w:hAnsiTheme="minorHAnsi"/>
          <w:szCs w:val="22"/>
        </w:rPr>
        <w:t xml:space="preserve"> Earlier sections </w:t>
      </w:r>
      <w:r w:rsidRPr="001D0123">
        <w:rPr>
          <w:rFonts w:asciiTheme="minorHAnsi" w:hAnsiTheme="minorHAnsi"/>
          <w:szCs w:val="22"/>
        </w:rPr>
        <w:lastRenderedPageBreak/>
        <w:t>of this Plan</w:t>
      </w:r>
      <w:r w:rsidR="002D16E3">
        <w:rPr>
          <w:rFonts w:asciiTheme="minorHAnsi" w:hAnsiTheme="minorHAnsi"/>
          <w:szCs w:val="22"/>
        </w:rPr>
        <w:t xml:space="preserve"> </w:t>
      </w:r>
      <w:r w:rsidR="002D16E3" w:rsidRPr="00164805">
        <w:rPr>
          <w:rFonts w:asciiTheme="minorHAnsi" w:hAnsiTheme="minorHAnsi"/>
          <w:b/>
          <w:szCs w:val="22"/>
        </w:rPr>
        <w:t>(Section 5.2.2)</w:t>
      </w:r>
      <w:r w:rsidRPr="00066948">
        <w:rPr>
          <w:rFonts w:asciiTheme="minorHAnsi" w:hAnsiTheme="minorHAnsi"/>
          <w:szCs w:val="22"/>
        </w:rPr>
        <w:t xml:space="preserve">, </w:t>
      </w:r>
      <w:r w:rsidRPr="003D0778">
        <w:rPr>
          <w:rFonts w:asciiTheme="minorHAnsi" w:hAnsiTheme="minorHAnsi"/>
          <w:szCs w:val="22"/>
        </w:rPr>
        <w:t xml:space="preserve">have included details of integrated services with </w:t>
      </w:r>
      <w:r w:rsidR="00EC0B7A">
        <w:rPr>
          <w:rFonts w:asciiTheme="minorHAnsi" w:hAnsiTheme="minorHAnsi"/>
          <w:szCs w:val="22"/>
        </w:rPr>
        <w:t>LAs</w:t>
      </w:r>
      <w:r w:rsidRPr="003D0778">
        <w:rPr>
          <w:rFonts w:asciiTheme="minorHAnsi" w:hAnsiTheme="minorHAnsi"/>
          <w:szCs w:val="22"/>
        </w:rPr>
        <w:t xml:space="preserve"> such as</w:t>
      </w:r>
      <w:r>
        <w:rPr>
          <w:rFonts w:asciiTheme="minorHAnsi" w:hAnsiTheme="minorHAnsi"/>
          <w:szCs w:val="22"/>
        </w:rPr>
        <w:t xml:space="preserve"> the services funded from the transformation fund which will transform the way health and social care is delivered.  This fund will enable the expansion of existing successful services like</w:t>
      </w:r>
      <w:r w:rsidRPr="003D0778">
        <w:rPr>
          <w:rFonts w:asciiTheme="minorHAnsi" w:hAnsiTheme="minorHAnsi"/>
          <w:szCs w:val="22"/>
        </w:rPr>
        <w:t xml:space="preserve"> Stay Well@Home</w:t>
      </w:r>
      <w:r>
        <w:rPr>
          <w:rFonts w:asciiTheme="minorHAnsi" w:hAnsiTheme="minorHAnsi"/>
          <w:szCs w:val="22"/>
        </w:rPr>
        <w:t xml:space="preserve"> </w:t>
      </w:r>
      <w:r w:rsidRPr="003D0778">
        <w:rPr>
          <w:szCs w:val="22"/>
        </w:rPr>
        <w:t>(SW@HT)</w:t>
      </w:r>
      <w:r>
        <w:rPr>
          <w:szCs w:val="22"/>
        </w:rPr>
        <w:t xml:space="preserve"> and the Virtual Ward and will provide greater choice for patients, whilst reducing pressure on social care, GP surgeries and hospitals. </w:t>
      </w:r>
      <w:r w:rsidR="00EC0B7A">
        <w:rPr>
          <w:szCs w:val="22"/>
        </w:rPr>
        <w:t xml:space="preserve"> </w:t>
      </w:r>
      <w:r>
        <w:rPr>
          <w:szCs w:val="22"/>
        </w:rPr>
        <w:t>In terms of patient flow these services have been proven to have an impact on conveyances to hospital</w:t>
      </w:r>
      <w:r w:rsidRPr="003D0778">
        <w:rPr>
          <w:szCs w:val="22"/>
        </w:rPr>
        <w:t>,</w:t>
      </w:r>
      <w:r>
        <w:rPr>
          <w:szCs w:val="22"/>
        </w:rPr>
        <w:t xml:space="preserve"> with admission avoidance and supported timely discharges from hos</w:t>
      </w:r>
      <w:r w:rsidR="00EC0B7A">
        <w:rPr>
          <w:szCs w:val="22"/>
        </w:rPr>
        <w:t>pital to home.</w:t>
      </w:r>
      <w:r w:rsidR="00034015">
        <w:rPr>
          <w:szCs w:val="22"/>
        </w:rPr>
        <w:t xml:space="preserve">  This includes deployment of Vision 360 as a Shared Care Record and increased accessibility of information across Health and Care.</w:t>
      </w:r>
    </w:p>
    <w:p w14:paraId="19449002" w14:textId="27642FD0" w:rsidR="00626150" w:rsidRDefault="00E56B02" w:rsidP="00E56B02">
      <w:pPr>
        <w:autoSpaceDE w:val="0"/>
        <w:autoSpaceDN w:val="0"/>
        <w:adjustRightInd w:val="0"/>
        <w:rPr>
          <w:rFonts w:asciiTheme="minorHAnsi" w:hAnsiTheme="minorHAnsi"/>
          <w:szCs w:val="22"/>
        </w:rPr>
      </w:pPr>
      <w:r>
        <w:rPr>
          <w:noProof/>
        </w:rPr>
        <w:drawing>
          <wp:anchor distT="0" distB="0" distL="114300" distR="114300" simplePos="0" relativeHeight="252892160" behindDoc="1" locked="0" layoutInCell="1" allowOverlap="1" wp14:anchorId="316DCE6D" wp14:editId="0C0EF041">
            <wp:simplePos x="0" y="0"/>
            <wp:positionH relativeFrom="margin">
              <wp:align>right</wp:align>
            </wp:positionH>
            <wp:positionV relativeFrom="paragraph">
              <wp:posOffset>11430</wp:posOffset>
            </wp:positionV>
            <wp:extent cx="3093720" cy="1583055"/>
            <wp:effectExtent l="0" t="0" r="0" b="0"/>
            <wp:wrapTight wrapText="bothSides">
              <wp:wrapPolygon edited="0">
                <wp:start x="0" y="0"/>
                <wp:lineTo x="0" y="21314"/>
                <wp:lineTo x="21414" y="21314"/>
                <wp:lineTo x="21414" y="0"/>
                <wp:lineTo x="0" y="0"/>
              </wp:wrapPolygon>
            </wp:wrapTight>
            <wp:docPr id="1811" name="Picture 1811" descr="cid:image001.png@01D59659.74741C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1.png@01D59659.74741CC0"/>
                    <pic:cNvPicPr>
                      <a:picLocks noChangeAspect="1" noChangeArrowheads="1"/>
                    </pic:cNvPicPr>
                  </pic:nvPicPr>
                  <pic:blipFill>
                    <a:blip r:embed="rId68" r:link="rId69" cstate="print">
                      <a:extLst>
                        <a:ext uri="{28A0092B-C50C-407E-A947-70E740481C1C}">
                          <a14:useLocalDpi xmlns:a14="http://schemas.microsoft.com/office/drawing/2010/main" val="0"/>
                        </a:ext>
                      </a:extLst>
                    </a:blip>
                    <a:srcRect/>
                    <a:stretch>
                      <a:fillRect/>
                    </a:stretch>
                  </pic:blipFill>
                  <pic:spPr bwMode="auto">
                    <a:xfrm>
                      <a:off x="0" y="0"/>
                      <a:ext cx="3093720" cy="15830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736775" w14:textId="77777777" w:rsidR="00E56B02" w:rsidRDefault="00E56B02" w:rsidP="00E02C36">
      <w:pPr>
        <w:autoSpaceDE w:val="0"/>
        <w:autoSpaceDN w:val="0"/>
        <w:adjustRightInd w:val="0"/>
        <w:rPr>
          <w:noProof/>
        </w:rPr>
      </w:pPr>
      <w:r w:rsidRPr="003D0778">
        <w:rPr>
          <w:rFonts w:asciiTheme="minorHAnsi" w:hAnsiTheme="minorHAnsi"/>
          <w:szCs w:val="22"/>
        </w:rPr>
        <w:t xml:space="preserve">The impact of these </w:t>
      </w:r>
      <w:r w:rsidRPr="00E56B02">
        <w:rPr>
          <w:rFonts w:asciiTheme="minorHAnsi" w:hAnsiTheme="minorHAnsi"/>
          <w:szCs w:val="22"/>
        </w:rPr>
        <w:t xml:space="preserve">initiatives on both unscheduled and scheduled care is being monitored and evaluated by using a number of overarching performance and quality indicators.  This ensures there is alignment and collaboration across the whole system.  For example, as can be seen from the graph </w:t>
      </w:r>
      <w:r w:rsidRPr="003D0778">
        <w:rPr>
          <w:rFonts w:asciiTheme="minorHAnsi" w:hAnsiTheme="minorHAnsi"/>
          <w:szCs w:val="22"/>
        </w:rPr>
        <w:t>the number of elective/day case cancellations has dropped considerably in comparison to previous years and have remained</w:t>
      </w:r>
      <w:r>
        <w:rPr>
          <w:rFonts w:asciiTheme="minorHAnsi" w:hAnsiTheme="minorHAnsi"/>
          <w:szCs w:val="22"/>
        </w:rPr>
        <w:t xml:space="preserve"> relatively</w:t>
      </w:r>
      <w:r w:rsidRPr="003D0778">
        <w:rPr>
          <w:rFonts w:asciiTheme="minorHAnsi" w:hAnsiTheme="minorHAnsi"/>
          <w:szCs w:val="22"/>
        </w:rPr>
        <w:t xml:space="preserve"> low in numbers since the commencement of the </w:t>
      </w:r>
      <w:r>
        <w:rPr>
          <w:szCs w:val="22"/>
        </w:rPr>
        <w:t>SW@H</w:t>
      </w:r>
      <w:r w:rsidRPr="003D0778">
        <w:rPr>
          <w:szCs w:val="22"/>
        </w:rPr>
        <w:t xml:space="preserve"> </w:t>
      </w:r>
      <w:r>
        <w:rPr>
          <w:rFonts w:asciiTheme="minorHAnsi" w:hAnsiTheme="minorHAnsi"/>
          <w:szCs w:val="22"/>
        </w:rPr>
        <w:t>service, despite an increase in demand.</w:t>
      </w:r>
      <w:r w:rsidRPr="003D0778">
        <w:rPr>
          <w:rFonts w:asciiTheme="minorHAnsi" w:hAnsiTheme="minorHAnsi"/>
          <w:szCs w:val="22"/>
        </w:rPr>
        <w:t xml:space="preserve">  This is an indication of improvements in overal</w:t>
      </w:r>
      <w:r>
        <w:rPr>
          <w:rFonts w:asciiTheme="minorHAnsi" w:hAnsiTheme="minorHAnsi"/>
          <w:szCs w:val="22"/>
        </w:rPr>
        <w:t>l patient flow since the introduction of the SW@H service.</w:t>
      </w:r>
    </w:p>
    <w:p w14:paraId="56E70DB9" w14:textId="77777777" w:rsidR="00E56B02" w:rsidRDefault="00E56B02" w:rsidP="00E02C36">
      <w:pPr>
        <w:autoSpaceDE w:val="0"/>
        <w:autoSpaceDN w:val="0"/>
        <w:adjustRightInd w:val="0"/>
        <w:rPr>
          <w:noProof/>
        </w:rPr>
      </w:pPr>
    </w:p>
    <w:p w14:paraId="0F5AEA00" w14:textId="2510DE87" w:rsidR="00E02C36" w:rsidRDefault="00E56B02" w:rsidP="00E02C36">
      <w:pPr>
        <w:autoSpaceDE w:val="0"/>
        <w:autoSpaceDN w:val="0"/>
        <w:adjustRightInd w:val="0"/>
        <w:rPr>
          <w:rFonts w:asciiTheme="minorHAnsi" w:hAnsiTheme="minorHAnsi"/>
          <w:szCs w:val="22"/>
        </w:rPr>
      </w:pPr>
      <w:r>
        <w:rPr>
          <w:rFonts w:asciiTheme="minorHAnsi" w:hAnsiTheme="minorHAnsi"/>
          <w:szCs w:val="22"/>
        </w:rPr>
        <w:t>A s</w:t>
      </w:r>
      <w:r w:rsidR="00EC6007">
        <w:rPr>
          <w:rFonts w:asciiTheme="minorHAnsi" w:hAnsiTheme="minorHAnsi"/>
          <w:szCs w:val="22"/>
        </w:rPr>
        <w:t>ummary of key Service</w:t>
      </w:r>
      <w:r w:rsidR="00E02C36">
        <w:rPr>
          <w:rFonts w:asciiTheme="minorHAnsi" w:hAnsiTheme="minorHAnsi"/>
          <w:szCs w:val="22"/>
        </w:rPr>
        <w:t xml:space="preserve"> areas/changes to be undertaken during 2020/2021, which have a significant impact on unscheduled care and patient flow are as follows:</w:t>
      </w:r>
    </w:p>
    <w:p w14:paraId="7CAABCB2" w14:textId="77777777" w:rsidR="00E02C36" w:rsidRDefault="00E02C36" w:rsidP="00E02C36">
      <w:pPr>
        <w:rPr>
          <w:rFonts w:asciiTheme="minorHAnsi" w:hAnsiTheme="minorHAnsi"/>
          <w:b/>
          <w:szCs w:val="22"/>
        </w:rPr>
      </w:pPr>
    </w:p>
    <w:p w14:paraId="5B7CA10E" w14:textId="67908BEF" w:rsidR="00E02C36" w:rsidRPr="00E56B02" w:rsidRDefault="00E02C36" w:rsidP="00E02C36">
      <w:r w:rsidRPr="008151F4">
        <w:rPr>
          <w:rFonts w:asciiTheme="minorHAnsi" w:hAnsiTheme="minorHAnsi"/>
          <w:b/>
          <w:szCs w:val="22"/>
        </w:rPr>
        <w:t xml:space="preserve">Implementation of the remaining requirements of the South Wales Programme </w:t>
      </w:r>
      <w:r w:rsidR="005B6EE1">
        <w:rPr>
          <w:rFonts w:asciiTheme="minorHAnsi" w:hAnsiTheme="minorHAnsi"/>
          <w:szCs w:val="22"/>
        </w:rPr>
        <w:t>– In</w:t>
      </w:r>
      <w:r>
        <w:t xml:space="preserve"> March 2014, the </w:t>
      </w:r>
      <w:r w:rsidR="00A554B9">
        <w:t>SWP</w:t>
      </w:r>
      <w:r>
        <w:t xml:space="preserve"> Board confirmed agreement of recommendations in relation to the provision of emergency medicine (A&amp;E), acute medicine and </w:t>
      </w:r>
      <w:r w:rsidRPr="00E56B02">
        <w:t xml:space="preserve">consultant-led maternity and inpatient services.  The outcome, based on an extensive consultation exercise, was that in order to address the fragility </w:t>
      </w:r>
      <w:r w:rsidR="00342C13" w:rsidRPr="00E56B02">
        <w:t xml:space="preserve">and quality </w:t>
      </w:r>
      <w:r w:rsidRPr="00E56B02">
        <w:t>of these services, there would be a reduction in the number of sites delivering this level of care.</w:t>
      </w:r>
    </w:p>
    <w:p w14:paraId="573B8055" w14:textId="77777777" w:rsidR="00E02C36" w:rsidRPr="00E56B02" w:rsidRDefault="00E02C36" w:rsidP="00E02C36"/>
    <w:p w14:paraId="20B72C73" w14:textId="56FF28BB" w:rsidR="00E02C36" w:rsidRDefault="00E02C36" w:rsidP="00E02C36">
      <w:pPr>
        <w:rPr>
          <w:rFonts w:cs="Arial"/>
        </w:rPr>
      </w:pPr>
      <w:r w:rsidRPr="00E56B02">
        <w:t xml:space="preserve">PCH </w:t>
      </w:r>
      <w:r w:rsidR="00342C13" w:rsidRPr="00E56B02">
        <w:t xml:space="preserve">and </w:t>
      </w:r>
      <w:r w:rsidR="00B9758F">
        <w:t>POW</w:t>
      </w:r>
      <w:r w:rsidR="00897141">
        <w:t>H</w:t>
      </w:r>
      <w:r w:rsidR="00342C13" w:rsidRPr="00E56B02">
        <w:t xml:space="preserve"> were identified as two of five sites that </w:t>
      </w:r>
      <w:r w:rsidRPr="00E56B02">
        <w:t>would continue to provide these services, along with the University Hospital of Wales</w:t>
      </w:r>
      <w:r w:rsidR="004C29F7" w:rsidRPr="00E56B02">
        <w:t xml:space="preserve"> (UHW), Royal Gwent Hospital RGw</w:t>
      </w:r>
      <w:r w:rsidRPr="00E56B02">
        <w:t xml:space="preserve">H) and Morriston Hospital (MH).   </w:t>
      </w:r>
      <w:r w:rsidRPr="00E56B02">
        <w:rPr>
          <w:rFonts w:cs="Arial"/>
        </w:rPr>
        <w:t xml:space="preserve">In relation to </w:t>
      </w:r>
      <w:r w:rsidR="0068088F">
        <w:rPr>
          <w:rFonts w:cs="Arial"/>
        </w:rPr>
        <w:t>RGH</w:t>
      </w:r>
      <w:r w:rsidRPr="00E56B02">
        <w:rPr>
          <w:rFonts w:cs="Arial"/>
        </w:rPr>
        <w:t xml:space="preserve">, it was agreed that whilst </w:t>
      </w:r>
      <w:r w:rsidRPr="00E56B02">
        <w:rPr>
          <w:lang w:eastAsia="en-US"/>
        </w:rPr>
        <w:t>inpatient paediatric services</w:t>
      </w:r>
      <w:r w:rsidRPr="00E56B02">
        <w:rPr>
          <w:rFonts w:cs="Arial"/>
        </w:rPr>
        <w:t xml:space="preserve"> would no longer be delivered from the site, </w:t>
      </w:r>
      <w:r>
        <w:rPr>
          <w:rFonts w:cs="Arial"/>
        </w:rPr>
        <w:t xml:space="preserve">a new local paediatric assessment unit (PAU) model would be developed for the Rhondda and Taff Ely populations to ensure the majority of children would continue to have their care delivered locally. </w:t>
      </w:r>
      <w:r w:rsidR="002C0E8D">
        <w:rPr>
          <w:rFonts w:cs="Arial"/>
        </w:rPr>
        <w:t xml:space="preserve"> </w:t>
      </w:r>
      <w:r>
        <w:rPr>
          <w:rFonts w:cs="Arial"/>
        </w:rPr>
        <w:t>A new free-standing midwifery led birthing centre would also be provided from the hospital.</w:t>
      </w:r>
    </w:p>
    <w:p w14:paraId="2E30FD03" w14:textId="77777777" w:rsidR="00E02C36" w:rsidRDefault="00E02C36" w:rsidP="00E02C36"/>
    <w:p w14:paraId="28672FA3" w14:textId="13B1BACF" w:rsidR="00E02C36" w:rsidRDefault="00E02C36" w:rsidP="00E02C36">
      <w:r>
        <w:rPr>
          <w:rFonts w:cs="Arial"/>
        </w:rPr>
        <w:t xml:space="preserve">Within the recommendations, it was also agreed that RGH would </w:t>
      </w:r>
      <w:r>
        <w:rPr>
          <w:rFonts w:eastAsia="Calibri" w:cs="Arial"/>
          <w:lang w:eastAsia="en-US"/>
        </w:rPr>
        <w:t xml:space="preserve">become a beacon site for developing a new and innovative model of acute medicine that maximises the opportunity of delivering the widest range of medical care in a local hospital setting.  The first delivery of service change against the </w:t>
      </w:r>
      <w:r w:rsidR="00A554B9">
        <w:rPr>
          <w:rFonts w:eastAsia="Calibri" w:cs="Arial"/>
          <w:lang w:eastAsia="en-US"/>
        </w:rPr>
        <w:t>SWP</w:t>
      </w:r>
      <w:r>
        <w:rPr>
          <w:rFonts w:eastAsia="Calibri" w:cs="Arial"/>
          <w:lang w:eastAsia="en-US"/>
        </w:rPr>
        <w:t xml:space="preserve"> was the establishment of the acute medicine service in RGH from September 2015.  This established a new 50 bed unit co-located with the Emergency Department (ED)</w:t>
      </w:r>
      <w:r w:rsidR="002C0E8D">
        <w:rPr>
          <w:rFonts w:eastAsia="Calibri" w:cs="Arial"/>
          <w:lang w:eastAsia="en-US"/>
        </w:rPr>
        <w:t xml:space="preserve"> </w:t>
      </w:r>
      <w:r>
        <w:t>followed by a £6m investment in the Diagnostics Hub in RGH in November 2016.</w:t>
      </w:r>
    </w:p>
    <w:p w14:paraId="199B4800" w14:textId="77777777" w:rsidR="00E02C36" w:rsidRDefault="00E02C36" w:rsidP="00E02C36">
      <w:pPr>
        <w:rPr>
          <w:bCs/>
        </w:rPr>
      </w:pPr>
    </w:p>
    <w:p w14:paraId="7525DBEC" w14:textId="0F6989D5" w:rsidR="00E02C36" w:rsidRPr="00E56B02" w:rsidRDefault="00E02C36" w:rsidP="00E02C36">
      <w:pPr>
        <w:rPr>
          <w:bCs/>
        </w:rPr>
      </w:pPr>
      <w:r w:rsidRPr="00553540">
        <w:rPr>
          <w:bCs/>
        </w:rPr>
        <w:t>The specific challenges associated with the RGH site have resulted in the need to retain paediatri</w:t>
      </w:r>
      <w:r w:rsidR="00B9758F">
        <w:rPr>
          <w:bCs/>
        </w:rPr>
        <w:t xml:space="preserve">c inpatient services on </w:t>
      </w:r>
      <w:r w:rsidRPr="00553540">
        <w:rPr>
          <w:bCs/>
        </w:rPr>
        <w:t xml:space="preserve">site to allow time to develop and consider options for a new </w:t>
      </w:r>
      <w:r>
        <w:rPr>
          <w:bCs/>
        </w:rPr>
        <w:t>emergency medicine (A&amp;E)</w:t>
      </w:r>
      <w:r w:rsidRPr="00553540">
        <w:rPr>
          <w:bCs/>
        </w:rPr>
        <w:t xml:space="preserve"> model.</w:t>
      </w:r>
    </w:p>
    <w:p w14:paraId="4872E837" w14:textId="77777777" w:rsidR="00E02C36" w:rsidRPr="00E56B02" w:rsidRDefault="00E02C36" w:rsidP="00E02C36">
      <w:pPr>
        <w:rPr>
          <w:bCs/>
        </w:rPr>
      </w:pPr>
    </w:p>
    <w:p w14:paraId="7B436D01" w14:textId="5E78D6F2" w:rsidR="00E02C36" w:rsidRPr="002538AA" w:rsidRDefault="00E02C36" w:rsidP="00E02C36">
      <w:pPr>
        <w:rPr>
          <w:bCs/>
        </w:rPr>
      </w:pPr>
      <w:r w:rsidRPr="00E56B02">
        <w:rPr>
          <w:bCs/>
        </w:rPr>
        <w:t xml:space="preserve">Set and supported effectively, within the South Wales regional context, a plan has been developed to implement the remaining elements of the SWP to provide safe, </w:t>
      </w:r>
      <w:r w:rsidR="000A757C" w:rsidRPr="00E56B02">
        <w:rPr>
          <w:bCs/>
        </w:rPr>
        <w:t xml:space="preserve">high </w:t>
      </w:r>
      <w:r w:rsidRPr="00E56B02">
        <w:rPr>
          <w:bCs/>
        </w:rPr>
        <w:t>quality, accessible and sustainable services.  Specifically, local service models for emergency medicine, completion of the acute medicine beacon site model, paediatric assessment at RGH and the transfer of consultant led inpatie</w:t>
      </w:r>
      <w:r>
        <w:rPr>
          <w:bCs/>
        </w:rPr>
        <w:t xml:space="preserve">nt paediatric services to PCH by September 2020.  </w:t>
      </w:r>
    </w:p>
    <w:p w14:paraId="64B9B633" w14:textId="77777777" w:rsidR="00E02C36" w:rsidRDefault="00E02C36" w:rsidP="00E02C36">
      <w:pPr>
        <w:autoSpaceDE w:val="0"/>
        <w:autoSpaceDN w:val="0"/>
        <w:adjustRightInd w:val="0"/>
        <w:rPr>
          <w:rFonts w:asciiTheme="minorHAnsi" w:hAnsiTheme="minorHAnsi"/>
          <w:szCs w:val="22"/>
        </w:rPr>
      </w:pPr>
    </w:p>
    <w:p w14:paraId="77ED0E20" w14:textId="44D22A97" w:rsidR="00E02C36" w:rsidRPr="008151F4" w:rsidRDefault="00E02C36" w:rsidP="00E02C36">
      <w:pPr>
        <w:autoSpaceDE w:val="0"/>
        <w:autoSpaceDN w:val="0"/>
        <w:adjustRightInd w:val="0"/>
        <w:rPr>
          <w:szCs w:val="22"/>
        </w:rPr>
      </w:pPr>
      <w:r w:rsidRPr="008151F4">
        <w:rPr>
          <w:rFonts w:asciiTheme="minorHAnsi" w:hAnsiTheme="minorHAnsi"/>
          <w:b/>
          <w:szCs w:val="22"/>
        </w:rPr>
        <w:t xml:space="preserve">Stroke Services </w:t>
      </w:r>
      <w:r w:rsidRPr="008151F4">
        <w:rPr>
          <w:rFonts w:asciiTheme="minorHAnsi" w:hAnsiTheme="minorHAnsi"/>
          <w:szCs w:val="22"/>
        </w:rPr>
        <w:t xml:space="preserve">- The </w:t>
      </w:r>
      <w:r w:rsidR="00D65FF0">
        <w:rPr>
          <w:rFonts w:asciiTheme="minorHAnsi" w:hAnsiTheme="minorHAnsi"/>
          <w:szCs w:val="22"/>
        </w:rPr>
        <w:t>UHB</w:t>
      </w:r>
      <w:r w:rsidRPr="008151F4">
        <w:rPr>
          <w:rFonts w:asciiTheme="minorHAnsi" w:hAnsiTheme="minorHAnsi"/>
          <w:szCs w:val="22"/>
        </w:rPr>
        <w:t xml:space="preserve"> have continued to make progress with regards to the implementation of the “Together for Health – Stroke Delivery Plan”.</w:t>
      </w:r>
      <w:r w:rsidRPr="008151F4">
        <w:rPr>
          <w:szCs w:val="22"/>
        </w:rPr>
        <w:t xml:space="preserve">  </w:t>
      </w:r>
      <w:r w:rsidR="004E50ED">
        <w:rPr>
          <w:szCs w:val="22"/>
        </w:rPr>
        <w:t>Following</w:t>
      </w:r>
      <w:r w:rsidR="004E50ED" w:rsidRPr="008151F4">
        <w:rPr>
          <w:szCs w:val="22"/>
        </w:rPr>
        <w:t xml:space="preserve"> </w:t>
      </w:r>
      <w:r w:rsidRPr="008151F4">
        <w:rPr>
          <w:szCs w:val="22"/>
        </w:rPr>
        <w:t>the Bridgend boundary change, w</w:t>
      </w:r>
      <w:r w:rsidR="00D65FF0">
        <w:rPr>
          <w:szCs w:val="22"/>
        </w:rPr>
        <w:t xml:space="preserve">e </w:t>
      </w:r>
      <w:r w:rsidR="004E50ED">
        <w:rPr>
          <w:szCs w:val="22"/>
        </w:rPr>
        <w:t xml:space="preserve">have been working </w:t>
      </w:r>
      <w:r w:rsidRPr="008151F4">
        <w:rPr>
          <w:szCs w:val="22"/>
        </w:rPr>
        <w:t xml:space="preserve"> to refresh our approach to stroke service improvement, focusing on how we can further improve </w:t>
      </w:r>
      <w:r>
        <w:rPr>
          <w:szCs w:val="22"/>
        </w:rPr>
        <w:t xml:space="preserve">the quality and performance of </w:t>
      </w:r>
      <w:r w:rsidRPr="008151F4">
        <w:rPr>
          <w:szCs w:val="22"/>
        </w:rPr>
        <w:t>our stroke services to the communities we serve.  It is recognised that there is a direct co</w:t>
      </w:r>
      <w:r w:rsidR="00E23422">
        <w:rPr>
          <w:szCs w:val="22"/>
        </w:rPr>
        <w:t>rrelation</w:t>
      </w:r>
      <w:r w:rsidRPr="008151F4">
        <w:rPr>
          <w:szCs w:val="22"/>
        </w:rPr>
        <w:t xml:space="preserve"> </w:t>
      </w:r>
      <w:r w:rsidRPr="008151F4">
        <w:rPr>
          <w:szCs w:val="22"/>
        </w:rPr>
        <w:lastRenderedPageBreak/>
        <w:t>between stroke services performance</w:t>
      </w:r>
      <w:r>
        <w:rPr>
          <w:szCs w:val="22"/>
        </w:rPr>
        <w:t>/quality</w:t>
      </w:r>
      <w:r w:rsidRPr="008151F4">
        <w:rPr>
          <w:szCs w:val="22"/>
        </w:rPr>
        <w:t xml:space="preserve"> and the level of escalation within a </w:t>
      </w:r>
      <w:r w:rsidR="00D65FF0">
        <w:rPr>
          <w:szCs w:val="22"/>
        </w:rPr>
        <w:t xml:space="preserve">DGH </w:t>
      </w:r>
      <w:r w:rsidRPr="008151F4">
        <w:rPr>
          <w:szCs w:val="22"/>
        </w:rPr>
        <w:t xml:space="preserve">in particular, because stroke services currently rely heavily on the support of the </w:t>
      </w:r>
      <w:r w:rsidR="00880EE0">
        <w:rPr>
          <w:szCs w:val="22"/>
        </w:rPr>
        <w:t>ED</w:t>
      </w:r>
      <w:r w:rsidRPr="008151F4">
        <w:rPr>
          <w:szCs w:val="22"/>
        </w:rPr>
        <w:t xml:space="preserve">.  In summary the challenges within our current stroke service </w:t>
      </w:r>
      <w:r>
        <w:rPr>
          <w:szCs w:val="22"/>
        </w:rPr>
        <w:t xml:space="preserve">which are more pertinent to patient flow and unscheduled care </w:t>
      </w:r>
      <w:r w:rsidRPr="008151F4">
        <w:rPr>
          <w:szCs w:val="22"/>
        </w:rPr>
        <w:t>are as follows:</w:t>
      </w:r>
    </w:p>
    <w:p w14:paraId="5C43EBDE" w14:textId="6BB956C0" w:rsidR="00E02C36" w:rsidRPr="001C2323" w:rsidRDefault="00E02C36" w:rsidP="00F60A35">
      <w:pPr>
        <w:numPr>
          <w:ilvl w:val="0"/>
          <w:numId w:val="62"/>
        </w:numPr>
        <w:tabs>
          <w:tab w:val="left" w:pos="1134"/>
        </w:tabs>
        <w:ind w:left="357" w:hanging="357"/>
        <w:contextualSpacing/>
        <w:rPr>
          <w:rFonts w:asciiTheme="minorHAnsi" w:eastAsiaTheme="minorHAnsi" w:hAnsiTheme="minorHAnsi" w:cstheme="minorBidi"/>
          <w:szCs w:val="22"/>
          <w:lang w:eastAsia="en-US"/>
        </w:rPr>
      </w:pPr>
      <w:r w:rsidRPr="001C2323">
        <w:rPr>
          <w:rFonts w:asciiTheme="minorHAnsi" w:eastAsiaTheme="minorHAnsi" w:hAnsiTheme="minorHAnsi" w:cstheme="minorBidi"/>
          <w:szCs w:val="22"/>
          <w:lang w:eastAsia="en-US"/>
        </w:rPr>
        <w:t xml:space="preserve">Both stroke units currently run a 5 day service. There are real challenges to being able to consistently deliver high compliance for assessment by a consultant within 24 hours across the organisation, given that there is 2.6 WTE Stroke Consultants at PCH and 2.0 WTE at </w:t>
      </w:r>
      <w:r w:rsidR="00E32360">
        <w:rPr>
          <w:rFonts w:asciiTheme="minorHAnsi" w:eastAsiaTheme="minorHAnsi" w:hAnsiTheme="minorHAnsi" w:cstheme="minorBidi"/>
          <w:szCs w:val="22"/>
          <w:lang w:eastAsia="en-US"/>
        </w:rPr>
        <w:t>POWH</w:t>
      </w:r>
      <w:r w:rsidRPr="001C2323">
        <w:rPr>
          <w:rFonts w:asciiTheme="minorHAnsi" w:eastAsiaTheme="minorHAnsi" w:hAnsiTheme="minorHAnsi" w:cstheme="minorBidi"/>
          <w:szCs w:val="22"/>
          <w:lang w:eastAsia="en-US"/>
        </w:rPr>
        <w:t>, with very limited middle grade cover.  There are also challenges in delivering a 7 day service for nursing and therapy provision due to current staffing numbers.</w:t>
      </w:r>
    </w:p>
    <w:p w14:paraId="34BC826F" w14:textId="77777777" w:rsidR="00E02C36" w:rsidRPr="001C2323" w:rsidRDefault="00E02C36" w:rsidP="00F60A35">
      <w:pPr>
        <w:numPr>
          <w:ilvl w:val="0"/>
          <w:numId w:val="62"/>
        </w:numPr>
        <w:tabs>
          <w:tab w:val="left" w:pos="1134"/>
        </w:tabs>
        <w:ind w:left="357" w:hanging="357"/>
        <w:contextualSpacing/>
        <w:rPr>
          <w:rFonts w:asciiTheme="minorHAnsi" w:eastAsiaTheme="minorHAnsi" w:hAnsiTheme="minorHAnsi" w:cstheme="minorBidi"/>
          <w:szCs w:val="22"/>
          <w:lang w:eastAsia="en-US"/>
        </w:rPr>
      </w:pPr>
      <w:r w:rsidRPr="001C2323">
        <w:rPr>
          <w:rFonts w:asciiTheme="minorHAnsi" w:eastAsiaTheme="minorHAnsi" w:hAnsiTheme="minorHAnsi" w:cstheme="minorBidi"/>
          <w:szCs w:val="22"/>
          <w:lang w:eastAsia="en-US"/>
        </w:rPr>
        <w:t xml:space="preserve">Thrombolysis rates and door to needle times continue to be a challenge and is an area of focus for further improvement. </w:t>
      </w:r>
    </w:p>
    <w:p w14:paraId="3EE4AD8C" w14:textId="6171AEB6" w:rsidR="00E02C36" w:rsidRPr="001C2323" w:rsidRDefault="00E02C36" w:rsidP="00F60A35">
      <w:pPr>
        <w:numPr>
          <w:ilvl w:val="0"/>
          <w:numId w:val="62"/>
        </w:numPr>
        <w:tabs>
          <w:tab w:val="left" w:pos="1134"/>
        </w:tabs>
        <w:ind w:left="357" w:hanging="357"/>
        <w:contextualSpacing/>
        <w:rPr>
          <w:rFonts w:asciiTheme="minorHAnsi" w:eastAsiaTheme="minorHAnsi" w:hAnsiTheme="minorHAnsi" w:cstheme="minorBidi"/>
          <w:szCs w:val="22"/>
          <w:lang w:eastAsia="en-US"/>
        </w:rPr>
      </w:pPr>
      <w:r w:rsidRPr="001C2323">
        <w:rPr>
          <w:rFonts w:asciiTheme="minorHAnsi" w:eastAsiaTheme="minorHAnsi" w:hAnsiTheme="minorHAnsi" w:cstheme="minorBidi"/>
          <w:szCs w:val="22"/>
          <w:lang w:eastAsia="en-US"/>
        </w:rPr>
        <w:t>Both stroke units have a specific challenge around achieving the 4 hour target for admission to the stroke unit.  Significant patient flow issues and pressures across both site</w:t>
      </w:r>
      <w:r w:rsidR="00220B5F">
        <w:rPr>
          <w:rFonts w:asciiTheme="minorHAnsi" w:eastAsiaTheme="minorHAnsi" w:hAnsiTheme="minorHAnsi" w:cstheme="minorBidi"/>
          <w:szCs w:val="22"/>
          <w:lang w:eastAsia="en-US"/>
        </w:rPr>
        <w:t>s</w:t>
      </w:r>
      <w:r w:rsidRPr="001C2323">
        <w:rPr>
          <w:rFonts w:asciiTheme="minorHAnsi" w:eastAsiaTheme="minorHAnsi" w:hAnsiTheme="minorHAnsi" w:cstheme="minorBidi"/>
          <w:szCs w:val="22"/>
          <w:lang w:eastAsia="en-US"/>
        </w:rPr>
        <w:t xml:space="preserve"> have a direct impact on stroke service provision.   </w:t>
      </w:r>
    </w:p>
    <w:p w14:paraId="65E2A9CD" w14:textId="74E44DCE" w:rsidR="00E02C36" w:rsidRPr="001C2323" w:rsidRDefault="00E02C36" w:rsidP="00F60A35">
      <w:pPr>
        <w:numPr>
          <w:ilvl w:val="0"/>
          <w:numId w:val="62"/>
        </w:numPr>
        <w:tabs>
          <w:tab w:val="left" w:pos="1134"/>
        </w:tabs>
        <w:ind w:left="357" w:hanging="357"/>
        <w:contextualSpacing/>
        <w:rPr>
          <w:rFonts w:asciiTheme="minorHAnsi" w:eastAsiaTheme="minorHAnsi" w:hAnsiTheme="minorHAnsi" w:cstheme="minorBidi"/>
          <w:szCs w:val="22"/>
          <w:lang w:eastAsia="en-US"/>
        </w:rPr>
      </w:pPr>
      <w:r w:rsidRPr="001C2323">
        <w:rPr>
          <w:rFonts w:asciiTheme="minorHAnsi" w:eastAsiaTheme="minorHAnsi" w:hAnsiTheme="minorHAnsi" w:cstheme="minorBidi"/>
          <w:szCs w:val="22"/>
          <w:lang w:eastAsia="en-US"/>
        </w:rPr>
        <w:t xml:space="preserve">Within </w:t>
      </w:r>
      <w:r w:rsidR="00912953">
        <w:rPr>
          <w:rFonts w:asciiTheme="minorHAnsi" w:eastAsiaTheme="minorHAnsi" w:hAnsiTheme="minorHAnsi" w:cstheme="minorBidi"/>
          <w:szCs w:val="22"/>
          <w:lang w:eastAsia="en-US"/>
        </w:rPr>
        <w:t>PCH</w:t>
      </w:r>
      <w:r w:rsidRPr="001C2323">
        <w:rPr>
          <w:rFonts w:asciiTheme="minorHAnsi" w:eastAsiaTheme="minorHAnsi" w:hAnsiTheme="minorHAnsi" w:cstheme="minorBidi"/>
          <w:szCs w:val="22"/>
          <w:lang w:eastAsia="en-US"/>
        </w:rPr>
        <w:t xml:space="preserve"> there is a Community Stroke/Neuro Rehabilitation service which is currently funded out of National Stroke/Neurological on a non</w:t>
      </w:r>
      <w:r w:rsidR="00D54E91">
        <w:rPr>
          <w:rFonts w:asciiTheme="minorHAnsi" w:eastAsiaTheme="minorHAnsi" w:hAnsiTheme="minorHAnsi" w:cstheme="minorBidi"/>
          <w:szCs w:val="22"/>
          <w:lang w:eastAsia="en-US"/>
        </w:rPr>
        <w:t>-</w:t>
      </w:r>
      <w:r w:rsidRPr="001C2323">
        <w:rPr>
          <w:rFonts w:asciiTheme="minorHAnsi" w:eastAsiaTheme="minorHAnsi" w:hAnsiTheme="minorHAnsi" w:cstheme="minorBidi"/>
          <w:szCs w:val="22"/>
          <w:lang w:eastAsia="en-US"/>
        </w:rPr>
        <w:t>recurring basis.  There is also a</w:t>
      </w:r>
      <w:r w:rsidRPr="008151F4">
        <w:rPr>
          <w:rFonts w:asciiTheme="minorHAnsi" w:eastAsiaTheme="minorHAnsi" w:hAnsiTheme="minorHAnsi" w:cstheme="minorBidi"/>
          <w:szCs w:val="22"/>
          <w:lang w:eastAsia="en-US"/>
        </w:rPr>
        <w:t>n</w:t>
      </w:r>
      <w:r w:rsidRPr="001C2323">
        <w:rPr>
          <w:rFonts w:asciiTheme="minorHAnsi" w:eastAsiaTheme="minorHAnsi" w:hAnsiTheme="minorHAnsi" w:cstheme="minorBidi"/>
          <w:szCs w:val="22"/>
          <w:lang w:eastAsia="en-US"/>
        </w:rPr>
        <w:t xml:space="preserve"> Early Supported Discharge Service which is currently funded</w:t>
      </w:r>
      <w:r>
        <w:rPr>
          <w:rFonts w:asciiTheme="minorHAnsi" w:eastAsiaTheme="minorHAnsi" w:hAnsiTheme="minorHAnsi" w:cstheme="minorBidi"/>
          <w:szCs w:val="22"/>
          <w:lang w:eastAsia="en-US"/>
        </w:rPr>
        <w:t xml:space="preserve"> out of Intermediate Care Funds</w:t>
      </w:r>
      <w:r w:rsidR="00912953">
        <w:rPr>
          <w:rFonts w:asciiTheme="minorHAnsi" w:eastAsiaTheme="minorHAnsi" w:hAnsiTheme="minorHAnsi" w:cstheme="minorBidi"/>
          <w:szCs w:val="22"/>
          <w:lang w:eastAsia="en-US"/>
        </w:rPr>
        <w:t xml:space="preserve"> (ICF)</w:t>
      </w:r>
      <w:r>
        <w:rPr>
          <w:rFonts w:asciiTheme="minorHAnsi" w:eastAsiaTheme="minorHAnsi" w:hAnsiTheme="minorHAnsi" w:cstheme="minorBidi"/>
          <w:szCs w:val="22"/>
          <w:lang w:eastAsia="en-US"/>
        </w:rPr>
        <w:t>, so currently there is no long term funding identified for these services.</w:t>
      </w:r>
      <w:r w:rsidRPr="001C2323">
        <w:rPr>
          <w:rFonts w:asciiTheme="minorHAnsi" w:eastAsiaTheme="minorHAnsi" w:hAnsiTheme="minorHAnsi" w:cstheme="minorBidi"/>
          <w:szCs w:val="22"/>
          <w:lang w:eastAsia="en-US"/>
        </w:rPr>
        <w:t xml:space="preserve">   With</w:t>
      </w:r>
      <w:r w:rsidR="00220B5F">
        <w:rPr>
          <w:rFonts w:asciiTheme="minorHAnsi" w:eastAsiaTheme="minorHAnsi" w:hAnsiTheme="minorHAnsi" w:cstheme="minorBidi"/>
          <w:szCs w:val="22"/>
          <w:lang w:eastAsia="en-US"/>
        </w:rPr>
        <w:t>in</w:t>
      </w:r>
      <w:r w:rsidRPr="001C2323">
        <w:rPr>
          <w:rFonts w:asciiTheme="minorHAnsi" w:eastAsiaTheme="minorHAnsi" w:hAnsiTheme="minorHAnsi" w:cstheme="minorBidi"/>
          <w:szCs w:val="22"/>
          <w:lang w:eastAsia="en-US"/>
        </w:rPr>
        <w:t xml:space="preserve"> POWH there is no stroke/neuro rehabilitation service or an Early Supported Discharge Service </w:t>
      </w:r>
      <w:r>
        <w:rPr>
          <w:rFonts w:asciiTheme="minorHAnsi" w:eastAsiaTheme="minorHAnsi" w:hAnsiTheme="minorHAnsi" w:cstheme="minorBidi"/>
          <w:szCs w:val="22"/>
          <w:lang w:eastAsia="en-US"/>
        </w:rPr>
        <w:t>which has a direct impact on patient flow.</w:t>
      </w:r>
      <w:r w:rsidRPr="001C2323">
        <w:rPr>
          <w:rFonts w:asciiTheme="minorHAnsi" w:eastAsiaTheme="minorHAnsi" w:hAnsiTheme="minorHAnsi" w:cstheme="minorBidi"/>
          <w:szCs w:val="22"/>
          <w:lang w:eastAsia="en-US"/>
        </w:rPr>
        <w:t xml:space="preserve">  </w:t>
      </w:r>
    </w:p>
    <w:p w14:paraId="4399046D" w14:textId="77777777" w:rsidR="00E02C36" w:rsidRPr="008151F4" w:rsidRDefault="00E02C36" w:rsidP="00E02C36">
      <w:pPr>
        <w:autoSpaceDE w:val="0"/>
        <w:autoSpaceDN w:val="0"/>
        <w:adjustRightInd w:val="0"/>
        <w:rPr>
          <w:szCs w:val="22"/>
        </w:rPr>
      </w:pPr>
    </w:p>
    <w:p w14:paraId="604B931A" w14:textId="62E8DC61" w:rsidR="00E02C36" w:rsidRPr="008151F4" w:rsidRDefault="00E02C36" w:rsidP="00E02C36">
      <w:pPr>
        <w:autoSpaceDE w:val="0"/>
        <w:autoSpaceDN w:val="0"/>
        <w:adjustRightInd w:val="0"/>
        <w:rPr>
          <w:rFonts w:asciiTheme="minorHAnsi" w:hAnsiTheme="minorHAnsi"/>
          <w:szCs w:val="22"/>
        </w:rPr>
      </w:pPr>
      <w:r w:rsidRPr="008151F4">
        <w:rPr>
          <w:szCs w:val="22"/>
        </w:rPr>
        <w:t xml:space="preserve">There is a plan to produce a new </w:t>
      </w:r>
      <w:r w:rsidR="00912953">
        <w:rPr>
          <w:szCs w:val="22"/>
        </w:rPr>
        <w:t xml:space="preserve">CTM </w:t>
      </w:r>
      <w:r w:rsidRPr="008151F4">
        <w:rPr>
          <w:szCs w:val="22"/>
        </w:rPr>
        <w:t>Stroke Improvement plan</w:t>
      </w:r>
      <w:r w:rsidR="00A537E3">
        <w:rPr>
          <w:szCs w:val="22"/>
        </w:rPr>
        <w:t xml:space="preserve"> </w:t>
      </w:r>
      <w:r w:rsidR="00A537E3" w:rsidRPr="00A537E3">
        <w:rPr>
          <w:szCs w:val="22"/>
        </w:rPr>
        <w:t>May</w:t>
      </w:r>
      <w:r w:rsidR="00A537E3">
        <w:rPr>
          <w:szCs w:val="22"/>
        </w:rPr>
        <w:t xml:space="preserve"> 2020</w:t>
      </w:r>
      <w:r w:rsidRPr="008151F4">
        <w:rPr>
          <w:rFonts w:asciiTheme="minorHAnsi" w:hAnsiTheme="minorHAnsi"/>
          <w:szCs w:val="22"/>
        </w:rPr>
        <w:t xml:space="preserve"> which will drive service improvement </w:t>
      </w:r>
      <w:r>
        <w:rPr>
          <w:rFonts w:asciiTheme="minorHAnsi" w:hAnsiTheme="minorHAnsi"/>
          <w:szCs w:val="22"/>
        </w:rPr>
        <w:t>and quality</w:t>
      </w:r>
      <w:r w:rsidRPr="008151F4">
        <w:rPr>
          <w:rFonts w:asciiTheme="minorHAnsi" w:hAnsiTheme="minorHAnsi"/>
          <w:szCs w:val="22"/>
        </w:rPr>
        <w:t>.</w:t>
      </w:r>
    </w:p>
    <w:p w14:paraId="4E572D8D" w14:textId="41810D03" w:rsidR="00E02C36" w:rsidRPr="008151F4" w:rsidRDefault="00E02C36" w:rsidP="00E02C36">
      <w:pPr>
        <w:autoSpaceDE w:val="0"/>
        <w:autoSpaceDN w:val="0"/>
        <w:adjustRightInd w:val="0"/>
        <w:rPr>
          <w:rFonts w:asciiTheme="minorHAnsi" w:hAnsiTheme="minorHAnsi"/>
          <w:szCs w:val="22"/>
        </w:rPr>
      </w:pPr>
    </w:p>
    <w:p w14:paraId="017B63A7" w14:textId="0EDD00FD" w:rsidR="00E02C36" w:rsidRPr="008151F4" w:rsidRDefault="00B84214" w:rsidP="00E02C36">
      <w:pPr>
        <w:autoSpaceDE w:val="0"/>
        <w:autoSpaceDN w:val="0"/>
        <w:adjustRightInd w:val="0"/>
        <w:rPr>
          <w:rFonts w:asciiTheme="minorHAnsi" w:hAnsiTheme="minorHAnsi"/>
          <w:szCs w:val="22"/>
        </w:rPr>
      </w:pPr>
      <w:r>
        <w:rPr>
          <w:noProof/>
        </w:rPr>
        <w:drawing>
          <wp:anchor distT="0" distB="0" distL="114300" distR="114300" simplePos="0" relativeHeight="252937216" behindDoc="0" locked="0" layoutInCell="1" allowOverlap="1" wp14:anchorId="32B48B53" wp14:editId="7E5CB8AC">
            <wp:simplePos x="0" y="0"/>
            <wp:positionH relativeFrom="margin">
              <wp:posOffset>4439285</wp:posOffset>
            </wp:positionH>
            <wp:positionV relativeFrom="paragraph">
              <wp:posOffset>8890</wp:posOffset>
            </wp:positionV>
            <wp:extent cx="1898650" cy="2679700"/>
            <wp:effectExtent l="0" t="0" r="6350" b="6350"/>
            <wp:wrapSquare wrapText="bothSides"/>
            <wp:docPr id="23" name="Picture 23" descr="cid:image002.png@01D5F30D.7E73F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72" descr="cid:image002.png@01D5F30D.7E73F270"/>
                    <pic:cNvPicPr>
                      <a:picLocks noChangeAspect="1" noChangeArrowheads="1"/>
                    </pic:cNvPicPr>
                  </pic:nvPicPr>
                  <pic:blipFill>
                    <a:blip r:embed="rId70" r:link="rId71">
                      <a:extLst>
                        <a:ext uri="{28A0092B-C50C-407E-A947-70E740481C1C}">
                          <a14:useLocalDpi xmlns:a14="http://schemas.microsoft.com/office/drawing/2010/main" val="0"/>
                        </a:ext>
                      </a:extLst>
                    </a:blip>
                    <a:srcRect/>
                    <a:stretch>
                      <a:fillRect/>
                    </a:stretch>
                  </pic:blipFill>
                  <pic:spPr bwMode="auto">
                    <a:xfrm>
                      <a:off x="0" y="0"/>
                      <a:ext cx="1898650" cy="2679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02C36" w:rsidRPr="008151F4">
        <w:rPr>
          <w:rFonts w:asciiTheme="minorHAnsi" w:hAnsiTheme="minorHAnsi"/>
          <w:b/>
          <w:szCs w:val="22"/>
        </w:rPr>
        <w:t>Major Trauma</w:t>
      </w:r>
      <w:r w:rsidR="00E02C36">
        <w:rPr>
          <w:rFonts w:asciiTheme="minorHAnsi" w:hAnsiTheme="minorHAnsi"/>
          <w:szCs w:val="22"/>
        </w:rPr>
        <w:t xml:space="preserve"> - </w:t>
      </w:r>
      <w:r w:rsidR="00E02C36" w:rsidRPr="008151F4">
        <w:rPr>
          <w:rFonts w:asciiTheme="minorHAnsi" w:hAnsiTheme="minorHAnsi"/>
          <w:szCs w:val="22"/>
        </w:rPr>
        <w:t xml:space="preserve">One of the key priorities within unscheduled care for 2020/2021 and beyond is the implementation of the major trauma model across </w:t>
      </w:r>
      <w:r w:rsidR="00912953">
        <w:rPr>
          <w:rFonts w:asciiTheme="minorHAnsi" w:hAnsiTheme="minorHAnsi"/>
          <w:szCs w:val="22"/>
        </w:rPr>
        <w:t>CTM</w:t>
      </w:r>
      <w:r w:rsidR="00E02C36" w:rsidRPr="008151F4">
        <w:rPr>
          <w:rFonts w:asciiTheme="minorHAnsi" w:hAnsiTheme="minorHAnsi"/>
          <w:szCs w:val="22"/>
        </w:rPr>
        <w:t xml:space="preserve">UHB.  Trauma Units will be operational at </w:t>
      </w:r>
      <w:r w:rsidR="00912953">
        <w:rPr>
          <w:rFonts w:asciiTheme="minorHAnsi" w:hAnsiTheme="minorHAnsi"/>
          <w:szCs w:val="22"/>
        </w:rPr>
        <w:t>PCH</w:t>
      </w:r>
      <w:r w:rsidR="00E02C36" w:rsidRPr="008151F4">
        <w:rPr>
          <w:rFonts w:asciiTheme="minorHAnsi" w:hAnsiTheme="minorHAnsi"/>
          <w:szCs w:val="22"/>
        </w:rPr>
        <w:t xml:space="preserve"> </w:t>
      </w:r>
      <w:r w:rsidR="00912953">
        <w:rPr>
          <w:rFonts w:asciiTheme="minorHAnsi" w:hAnsiTheme="minorHAnsi"/>
          <w:szCs w:val="22"/>
        </w:rPr>
        <w:t xml:space="preserve">and </w:t>
      </w:r>
      <w:r w:rsidR="00E32360">
        <w:rPr>
          <w:rFonts w:asciiTheme="minorHAnsi" w:hAnsiTheme="minorHAnsi"/>
          <w:szCs w:val="22"/>
        </w:rPr>
        <w:t>POWH</w:t>
      </w:r>
      <w:r w:rsidR="00E02C36" w:rsidRPr="008151F4">
        <w:rPr>
          <w:rFonts w:asciiTheme="minorHAnsi" w:hAnsiTheme="minorHAnsi"/>
          <w:szCs w:val="22"/>
        </w:rPr>
        <w:t xml:space="preserve"> from 1</w:t>
      </w:r>
      <w:r w:rsidR="00E02C36" w:rsidRPr="008151F4">
        <w:rPr>
          <w:rFonts w:asciiTheme="minorHAnsi" w:hAnsiTheme="minorHAnsi"/>
          <w:szCs w:val="22"/>
          <w:vertAlign w:val="superscript"/>
        </w:rPr>
        <w:t>st</w:t>
      </w:r>
      <w:r w:rsidR="00E02C36" w:rsidRPr="008151F4">
        <w:rPr>
          <w:rFonts w:asciiTheme="minorHAnsi" w:hAnsiTheme="minorHAnsi"/>
          <w:szCs w:val="22"/>
        </w:rPr>
        <w:t xml:space="preserve"> April 2020.  This is being taken forward as part of the integrated network for South and West Wales and South Powys.  The likely impact which is being planned for will be:</w:t>
      </w:r>
    </w:p>
    <w:p w14:paraId="75AAA095" w14:textId="279F9043" w:rsidR="00E02C36" w:rsidRPr="008151F4" w:rsidRDefault="00E02C36" w:rsidP="00F60A35">
      <w:pPr>
        <w:pStyle w:val="ListParagraph"/>
        <w:numPr>
          <w:ilvl w:val="0"/>
          <w:numId w:val="31"/>
        </w:numPr>
        <w:autoSpaceDE w:val="0"/>
        <w:autoSpaceDN w:val="0"/>
        <w:adjustRightInd w:val="0"/>
        <w:ind w:left="357" w:hanging="357"/>
        <w:rPr>
          <w:rFonts w:asciiTheme="minorHAnsi" w:hAnsiTheme="minorHAnsi"/>
          <w:szCs w:val="22"/>
        </w:rPr>
      </w:pPr>
      <w:r w:rsidRPr="008151F4">
        <w:rPr>
          <w:rFonts w:asciiTheme="minorHAnsi" w:hAnsiTheme="minorHAnsi"/>
          <w:szCs w:val="22"/>
        </w:rPr>
        <w:t xml:space="preserve">Patients </w:t>
      </w:r>
      <w:r w:rsidR="0006602B">
        <w:rPr>
          <w:rFonts w:asciiTheme="minorHAnsi" w:hAnsiTheme="minorHAnsi"/>
          <w:szCs w:val="22"/>
        </w:rPr>
        <w:t>who</w:t>
      </w:r>
      <w:r w:rsidRPr="008151F4">
        <w:rPr>
          <w:rFonts w:asciiTheme="minorHAnsi" w:hAnsiTheme="minorHAnsi"/>
          <w:szCs w:val="22"/>
        </w:rPr>
        <w:t xml:space="preserve"> would have been seen in </w:t>
      </w:r>
      <w:r w:rsidR="00912953">
        <w:rPr>
          <w:rFonts w:asciiTheme="minorHAnsi" w:hAnsiTheme="minorHAnsi"/>
          <w:szCs w:val="22"/>
        </w:rPr>
        <w:t>RGH</w:t>
      </w:r>
      <w:r w:rsidRPr="008151F4">
        <w:rPr>
          <w:rFonts w:asciiTheme="minorHAnsi" w:hAnsiTheme="minorHAnsi"/>
          <w:szCs w:val="22"/>
        </w:rPr>
        <w:t xml:space="preserve"> will now flow to </w:t>
      </w:r>
      <w:r w:rsidR="00912953">
        <w:rPr>
          <w:rFonts w:asciiTheme="minorHAnsi" w:hAnsiTheme="minorHAnsi"/>
          <w:szCs w:val="22"/>
        </w:rPr>
        <w:t>PCH</w:t>
      </w:r>
      <w:r w:rsidRPr="008151F4">
        <w:rPr>
          <w:rFonts w:asciiTheme="minorHAnsi" w:hAnsiTheme="minorHAnsi"/>
          <w:szCs w:val="22"/>
        </w:rPr>
        <w:t xml:space="preserve"> or</w:t>
      </w:r>
      <w:r w:rsidR="00912953">
        <w:rPr>
          <w:rFonts w:asciiTheme="minorHAnsi" w:hAnsiTheme="minorHAnsi"/>
          <w:szCs w:val="22"/>
        </w:rPr>
        <w:t xml:space="preserve"> </w:t>
      </w:r>
      <w:r w:rsidR="00E32360">
        <w:rPr>
          <w:rFonts w:asciiTheme="minorHAnsi" w:hAnsiTheme="minorHAnsi"/>
          <w:szCs w:val="22"/>
        </w:rPr>
        <w:t>POWH</w:t>
      </w:r>
      <w:r w:rsidRPr="008151F4">
        <w:rPr>
          <w:rFonts w:asciiTheme="minorHAnsi" w:hAnsiTheme="minorHAnsi"/>
          <w:szCs w:val="22"/>
        </w:rPr>
        <w:t>,</w:t>
      </w:r>
    </w:p>
    <w:p w14:paraId="2DDF66B2" w14:textId="32CC9BDE" w:rsidR="00E02C36" w:rsidRPr="008151F4" w:rsidRDefault="00E02C36" w:rsidP="00F60A35">
      <w:pPr>
        <w:pStyle w:val="ListParagraph"/>
        <w:numPr>
          <w:ilvl w:val="0"/>
          <w:numId w:val="31"/>
        </w:numPr>
        <w:autoSpaceDE w:val="0"/>
        <w:autoSpaceDN w:val="0"/>
        <w:adjustRightInd w:val="0"/>
        <w:ind w:left="357" w:hanging="357"/>
        <w:rPr>
          <w:rFonts w:asciiTheme="minorHAnsi" w:hAnsiTheme="minorHAnsi"/>
          <w:szCs w:val="22"/>
        </w:rPr>
      </w:pPr>
      <w:r w:rsidRPr="008151F4">
        <w:rPr>
          <w:rFonts w:asciiTheme="minorHAnsi" w:hAnsiTheme="minorHAnsi"/>
          <w:szCs w:val="22"/>
        </w:rPr>
        <w:t xml:space="preserve">There will be an increased flow to </w:t>
      </w:r>
      <w:r w:rsidR="00912953">
        <w:rPr>
          <w:rFonts w:asciiTheme="minorHAnsi" w:hAnsiTheme="minorHAnsi"/>
          <w:szCs w:val="22"/>
        </w:rPr>
        <w:t>UHW</w:t>
      </w:r>
      <w:r w:rsidRPr="008151F4">
        <w:rPr>
          <w:rFonts w:asciiTheme="minorHAnsi" w:hAnsiTheme="minorHAnsi"/>
          <w:szCs w:val="22"/>
        </w:rPr>
        <w:t xml:space="preserve"> for patients who would have been seen originally within </w:t>
      </w:r>
      <w:r w:rsidR="00912953">
        <w:rPr>
          <w:rFonts w:asciiTheme="minorHAnsi" w:hAnsiTheme="minorHAnsi"/>
          <w:szCs w:val="22"/>
        </w:rPr>
        <w:t>CTM</w:t>
      </w:r>
      <w:r w:rsidRPr="008151F4">
        <w:rPr>
          <w:rFonts w:asciiTheme="minorHAnsi" w:hAnsiTheme="minorHAnsi"/>
          <w:szCs w:val="22"/>
        </w:rPr>
        <w:t xml:space="preserve"> </w:t>
      </w:r>
    </w:p>
    <w:p w14:paraId="2E35A8FD" w14:textId="77777777" w:rsidR="00D54E91" w:rsidRDefault="00E02C36" w:rsidP="00F60A35">
      <w:pPr>
        <w:pStyle w:val="ListParagraph"/>
        <w:numPr>
          <w:ilvl w:val="0"/>
          <w:numId w:val="31"/>
        </w:numPr>
        <w:autoSpaceDE w:val="0"/>
        <w:autoSpaceDN w:val="0"/>
        <w:adjustRightInd w:val="0"/>
        <w:ind w:left="357" w:hanging="357"/>
        <w:rPr>
          <w:rFonts w:asciiTheme="minorHAnsi" w:hAnsiTheme="minorHAnsi"/>
          <w:szCs w:val="22"/>
        </w:rPr>
      </w:pPr>
      <w:r w:rsidRPr="008151F4">
        <w:rPr>
          <w:rFonts w:asciiTheme="minorHAnsi" w:hAnsiTheme="minorHAnsi"/>
          <w:szCs w:val="22"/>
        </w:rPr>
        <w:t>There will be implication</w:t>
      </w:r>
      <w:r w:rsidR="00D54E91">
        <w:rPr>
          <w:rFonts w:asciiTheme="minorHAnsi" w:hAnsiTheme="minorHAnsi"/>
          <w:szCs w:val="22"/>
        </w:rPr>
        <w:t>s</w:t>
      </w:r>
      <w:r w:rsidRPr="008151F4">
        <w:rPr>
          <w:rFonts w:asciiTheme="minorHAnsi" w:hAnsiTheme="minorHAnsi"/>
          <w:szCs w:val="22"/>
        </w:rPr>
        <w:t xml:space="preserve"> with regards to the repatriation of patients back from UHW in a timely manner and the provision of their rehabilitation needs.</w:t>
      </w:r>
    </w:p>
    <w:p w14:paraId="496206EF" w14:textId="136770E5" w:rsidR="00D3264D" w:rsidRDefault="00E02C36" w:rsidP="00626150">
      <w:pPr>
        <w:autoSpaceDE w:val="0"/>
        <w:autoSpaceDN w:val="0"/>
        <w:adjustRightInd w:val="0"/>
        <w:rPr>
          <w:rFonts w:asciiTheme="minorHAnsi" w:hAnsiTheme="minorHAnsi"/>
          <w:szCs w:val="22"/>
        </w:rPr>
      </w:pPr>
      <w:r w:rsidRPr="00D54E91">
        <w:rPr>
          <w:rFonts w:asciiTheme="minorHAnsi" w:hAnsiTheme="minorHAnsi"/>
          <w:szCs w:val="22"/>
        </w:rPr>
        <w:t xml:space="preserve"> </w:t>
      </w:r>
    </w:p>
    <w:p w14:paraId="7C616EA7" w14:textId="79E7C204" w:rsidR="008B327B" w:rsidRPr="00E56B02" w:rsidRDefault="00E56B02" w:rsidP="00626150">
      <w:pPr>
        <w:autoSpaceDE w:val="0"/>
        <w:autoSpaceDN w:val="0"/>
        <w:adjustRightInd w:val="0"/>
        <w:rPr>
          <w:rFonts w:asciiTheme="minorHAnsi" w:hAnsiTheme="minorHAnsi"/>
          <w:szCs w:val="22"/>
        </w:rPr>
      </w:pPr>
      <w:r>
        <w:rPr>
          <w:rFonts w:asciiTheme="minorHAnsi" w:hAnsiTheme="minorHAnsi"/>
          <w:szCs w:val="22"/>
        </w:rPr>
        <w:t xml:space="preserve">  </w:t>
      </w:r>
      <w:r w:rsidR="008B327B" w:rsidRPr="00E56B02">
        <w:rPr>
          <w:rFonts w:asciiTheme="minorHAnsi" w:hAnsiTheme="minorHAnsi"/>
          <w:szCs w:val="22"/>
        </w:rPr>
        <w:t>This development will have the following quality outcomes / benefits:</w:t>
      </w:r>
    </w:p>
    <w:p w14:paraId="4625873C" w14:textId="77777777" w:rsidR="00B84214" w:rsidRPr="00E56B02" w:rsidRDefault="00B84214" w:rsidP="00626150">
      <w:pPr>
        <w:autoSpaceDE w:val="0"/>
        <w:autoSpaceDN w:val="0"/>
        <w:adjustRightInd w:val="0"/>
        <w:rPr>
          <w:rFonts w:asciiTheme="minorHAnsi" w:hAnsiTheme="minorHAnsi"/>
          <w:szCs w:val="22"/>
        </w:rPr>
      </w:pPr>
    </w:p>
    <w:tbl>
      <w:tblPr>
        <w:tblStyle w:val="TableGrid"/>
        <w:tblW w:w="0" w:type="auto"/>
        <w:tblLook w:val="04A0" w:firstRow="1" w:lastRow="0" w:firstColumn="1" w:lastColumn="0" w:noHBand="0" w:noVBand="1"/>
      </w:tblPr>
      <w:tblGrid>
        <w:gridCol w:w="1599"/>
        <w:gridCol w:w="4535"/>
        <w:gridCol w:w="3834"/>
      </w:tblGrid>
      <w:tr w:rsidR="00A611A7" w:rsidRPr="00E56B02" w14:paraId="4121DA16" w14:textId="3E91E360" w:rsidTr="00A611A7">
        <w:tc>
          <w:tcPr>
            <w:tcW w:w="1599" w:type="dxa"/>
            <w:vAlign w:val="center"/>
          </w:tcPr>
          <w:p w14:paraId="7A6D5611" w14:textId="73B8B2C5"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Objective</w:t>
            </w:r>
          </w:p>
        </w:tc>
        <w:tc>
          <w:tcPr>
            <w:tcW w:w="4535" w:type="dxa"/>
            <w:vAlign w:val="center"/>
          </w:tcPr>
          <w:p w14:paraId="4F8BCC1A" w14:textId="4B051508"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Benefit</w:t>
            </w:r>
          </w:p>
        </w:tc>
        <w:tc>
          <w:tcPr>
            <w:tcW w:w="3834" w:type="dxa"/>
          </w:tcPr>
          <w:p w14:paraId="7DCCA027" w14:textId="77777777" w:rsidR="00A611A7" w:rsidRPr="00E56B02" w:rsidRDefault="00A611A7" w:rsidP="008B327B">
            <w:pPr>
              <w:autoSpaceDE w:val="0"/>
              <w:autoSpaceDN w:val="0"/>
              <w:adjustRightInd w:val="0"/>
              <w:jc w:val="left"/>
              <w:rPr>
                <w:rFonts w:asciiTheme="minorHAnsi" w:hAnsiTheme="minorHAnsi"/>
                <w:szCs w:val="22"/>
              </w:rPr>
            </w:pPr>
          </w:p>
        </w:tc>
      </w:tr>
      <w:tr w:rsidR="00A611A7" w:rsidRPr="00E56B02" w14:paraId="038D88C9" w14:textId="2E2906E8" w:rsidTr="00A611A7">
        <w:tc>
          <w:tcPr>
            <w:tcW w:w="1599" w:type="dxa"/>
            <w:vAlign w:val="center"/>
          </w:tcPr>
          <w:p w14:paraId="4AB85343" w14:textId="1D04B697"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Health gain</w:t>
            </w:r>
          </w:p>
        </w:tc>
        <w:tc>
          <w:tcPr>
            <w:tcW w:w="4535" w:type="dxa"/>
            <w:vAlign w:val="center"/>
          </w:tcPr>
          <w:p w14:paraId="58DD7ACC" w14:textId="77777777"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Improving survival</w:t>
            </w:r>
          </w:p>
          <w:p w14:paraId="3C9BD042" w14:textId="77777777"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Improving functional outcomes</w:t>
            </w:r>
          </w:p>
          <w:p w14:paraId="1C5EFFF1" w14:textId="6C14CFDE"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Improving timely clinical and patient experience</w:t>
            </w:r>
          </w:p>
        </w:tc>
        <w:tc>
          <w:tcPr>
            <w:tcW w:w="3834" w:type="dxa"/>
          </w:tcPr>
          <w:p w14:paraId="1C92D7F6" w14:textId="77777777" w:rsidR="00A611A7" w:rsidRPr="00E56B02" w:rsidRDefault="00A611A7" w:rsidP="00A611A7">
            <w:pPr>
              <w:autoSpaceDE w:val="0"/>
              <w:autoSpaceDN w:val="0"/>
              <w:adjustRightInd w:val="0"/>
              <w:jc w:val="left"/>
              <w:rPr>
                <w:rFonts w:asciiTheme="minorHAnsi" w:hAnsiTheme="minorHAnsi"/>
                <w:sz w:val="22"/>
                <w:szCs w:val="22"/>
              </w:rPr>
            </w:pPr>
            <w:r w:rsidRPr="00E56B02">
              <w:rPr>
                <w:rFonts w:asciiTheme="minorHAnsi" w:hAnsiTheme="minorHAnsi"/>
                <w:sz w:val="22"/>
                <w:szCs w:val="22"/>
              </w:rPr>
              <w:t>Improving data collection</w:t>
            </w:r>
          </w:p>
          <w:p w14:paraId="4873B37C" w14:textId="77777777" w:rsidR="00A611A7" w:rsidRPr="00E56B02" w:rsidRDefault="00A611A7" w:rsidP="00A611A7">
            <w:pPr>
              <w:autoSpaceDE w:val="0"/>
              <w:autoSpaceDN w:val="0"/>
              <w:adjustRightInd w:val="0"/>
              <w:jc w:val="left"/>
              <w:rPr>
                <w:rFonts w:asciiTheme="minorHAnsi" w:hAnsiTheme="minorHAnsi"/>
                <w:sz w:val="22"/>
                <w:szCs w:val="22"/>
              </w:rPr>
            </w:pPr>
            <w:r w:rsidRPr="00E56B02">
              <w:rPr>
                <w:rFonts w:asciiTheme="minorHAnsi" w:hAnsiTheme="minorHAnsi"/>
                <w:sz w:val="22"/>
                <w:szCs w:val="22"/>
              </w:rPr>
              <w:t>Enhanced response at major incidents or mass casualty events</w:t>
            </w:r>
          </w:p>
          <w:p w14:paraId="76FACD2B" w14:textId="19B981F4" w:rsidR="00A611A7" w:rsidRPr="00E56B02" w:rsidRDefault="00A611A7" w:rsidP="00A611A7">
            <w:pPr>
              <w:autoSpaceDE w:val="0"/>
              <w:autoSpaceDN w:val="0"/>
              <w:adjustRightInd w:val="0"/>
              <w:jc w:val="left"/>
              <w:rPr>
                <w:rFonts w:asciiTheme="minorHAnsi" w:hAnsiTheme="minorHAnsi"/>
                <w:szCs w:val="22"/>
              </w:rPr>
            </w:pPr>
            <w:r w:rsidRPr="00E56B02">
              <w:rPr>
                <w:rFonts w:asciiTheme="minorHAnsi" w:hAnsiTheme="minorHAnsi"/>
                <w:sz w:val="22"/>
                <w:szCs w:val="22"/>
              </w:rPr>
              <w:t>Enhancing injury prevention</w:t>
            </w:r>
          </w:p>
        </w:tc>
      </w:tr>
      <w:tr w:rsidR="00A611A7" w:rsidRPr="00E56B02" w14:paraId="71EDBFE7" w14:textId="0E9DD120" w:rsidTr="00A611A7">
        <w:tc>
          <w:tcPr>
            <w:tcW w:w="1599" w:type="dxa"/>
            <w:vAlign w:val="center"/>
          </w:tcPr>
          <w:p w14:paraId="67C53E64" w14:textId="3EDEED2B"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Equity</w:t>
            </w:r>
          </w:p>
        </w:tc>
        <w:tc>
          <w:tcPr>
            <w:tcW w:w="4535" w:type="dxa"/>
            <w:vAlign w:val="center"/>
          </w:tcPr>
          <w:p w14:paraId="6F17E19E" w14:textId="77777777"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Enhanced access to specialist care</w:t>
            </w:r>
          </w:p>
          <w:p w14:paraId="1E8C3B1D" w14:textId="77777777"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Enhanced patient flow</w:t>
            </w:r>
          </w:p>
          <w:p w14:paraId="14F76516" w14:textId="1452F896"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System wide improvements in care</w:t>
            </w:r>
          </w:p>
        </w:tc>
        <w:tc>
          <w:tcPr>
            <w:tcW w:w="3834" w:type="dxa"/>
          </w:tcPr>
          <w:p w14:paraId="704C74AF" w14:textId="77777777" w:rsidR="00A611A7" w:rsidRPr="00E56B02" w:rsidRDefault="00A611A7" w:rsidP="00A611A7">
            <w:pPr>
              <w:autoSpaceDE w:val="0"/>
              <w:autoSpaceDN w:val="0"/>
              <w:adjustRightInd w:val="0"/>
              <w:jc w:val="left"/>
              <w:rPr>
                <w:rFonts w:asciiTheme="minorHAnsi" w:hAnsiTheme="minorHAnsi"/>
                <w:sz w:val="22"/>
                <w:szCs w:val="22"/>
              </w:rPr>
            </w:pPr>
            <w:r w:rsidRPr="00E56B02">
              <w:rPr>
                <w:rFonts w:asciiTheme="minorHAnsi" w:hAnsiTheme="minorHAnsi"/>
                <w:sz w:val="22"/>
                <w:szCs w:val="22"/>
              </w:rPr>
              <w:t>Equity of care for trauma in older people</w:t>
            </w:r>
          </w:p>
          <w:p w14:paraId="576C7EAF" w14:textId="40255563" w:rsidR="00A611A7" w:rsidRPr="00E56B02" w:rsidRDefault="00A611A7" w:rsidP="00A611A7">
            <w:pPr>
              <w:autoSpaceDE w:val="0"/>
              <w:autoSpaceDN w:val="0"/>
              <w:adjustRightInd w:val="0"/>
              <w:jc w:val="left"/>
              <w:rPr>
                <w:rFonts w:asciiTheme="minorHAnsi" w:hAnsiTheme="minorHAnsi"/>
                <w:szCs w:val="22"/>
              </w:rPr>
            </w:pPr>
            <w:r w:rsidRPr="00E56B02">
              <w:rPr>
                <w:rFonts w:asciiTheme="minorHAnsi" w:hAnsiTheme="minorHAnsi"/>
                <w:sz w:val="22"/>
                <w:szCs w:val="22"/>
              </w:rPr>
              <w:t>Veterans trauma network</w:t>
            </w:r>
          </w:p>
        </w:tc>
      </w:tr>
      <w:tr w:rsidR="00A611A7" w:rsidRPr="00E56B02" w14:paraId="7BFFF7B6" w14:textId="7844D30B" w:rsidTr="00A611A7">
        <w:tc>
          <w:tcPr>
            <w:tcW w:w="1599" w:type="dxa"/>
            <w:vAlign w:val="center"/>
          </w:tcPr>
          <w:p w14:paraId="48E7E2A0" w14:textId="65990B45"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Clinical skills and sustainability</w:t>
            </w:r>
          </w:p>
        </w:tc>
        <w:tc>
          <w:tcPr>
            <w:tcW w:w="4535" w:type="dxa"/>
            <w:vAlign w:val="center"/>
          </w:tcPr>
          <w:p w14:paraId="02EDE893" w14:textId="4E175B06"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Enhanced multi-professional training and education</w:t>
            </w:r>
          </w:p>
        </w:tc>
        <w:tc>
          <w:tcPr>
            <w:tcW w:w="3834" w:type="dxa"/>
          </w:tcPr>
          <w:p w14:paraId="33114FF5" w14:textId="77777777" w:rsidR="00A611A7" w:rsidRPr="00E56B02" w:rsidRDefault="00A611A7" w:rsidP="00A611A7">
            <w:pPr>
              <w:autoSpaceDE w:val="0"/>
              <w:autoSpaceDN w:val="0"/>
              <w:adjustRightInd w:val="0"/>
              <w:jc w:val="left"/>
              <w:rPr>
                <w:rFonts w:asciiTheme="minorHAnsi" w:hAnsiTheme="minorHAnsi"/>
                <w:sz w:val="22"/>
                <w:szCs w:val="22"/>
              </w:rPr>
            </w:pPr>
            <w:r w:rsidRPr="00E56B02">
              <w:rPr>
                <w:rFonts w:asciiTheme="minorHAnsi" w:hAnsiTheme="minorHAnsi"/>
                <w:sz w:val="22"/>
                <w:szCs w:val="22"/>
              </w:rPr>
              <w:t>Enhance recruitment and retention of workforce</w:t>
            </w:r>
          </w:p>
          <w:p w14:paraId="0361342D" w14:textId="3A3537B5" w:rsidR="00A611A7" w:rsidRPr="00E56B02" w:rsidRDefault="00A611A7" w:rsidP="00A611A7">
            <w:pPr>
              <w:autoSpaceDE w:val="0"/>
              <w:autoSpaceDN w:val="0"/>
              <w:adjustRightInd w:val="0"/>
              <w:jc w:val="left"/>
              <w:rPr>
                <w:rFonts w:asciiTheme="minorHAnsi" w:hAnsiTheme="minorHAnsi"/>
                <w:szCs w:val="22"/>
              </w:rPr>
            </w:pPr>
            <w:r w:rsidRPr="00E56B02">
              <w:rPr>
                <w:rFonts w:asciiTheme="minorHAnsi" w:hAnsiTheme="minorHAnsi"/>
                <w:sz w:val="22"/>
                <w:szCs w:val="22"/>
              </w:rPr>
              <w:t>Development of new roles and ways of working</w:t>
            </w:r>
          </w:p>
        </w:tc>
      </w:tr>
      <w:tr w:rsidR="00A611A7" w:rsidRPr="00E56B02" w14:paraId="470E7257" w14:textId="431B5A78" w:rsidTr="00A611A7">
        <w:tc>
          <w:tcPr>
            <w:tcW w:w="1599" w:type="dxa"/>
            <w:vAlign w:val="center"/>
          </w:tcPr>
          <w:p w14:paraId="52992E4A" w14:textId="10454C8C"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Value for money</w:t>
            </w:r>
          </w:p>
        </w:tc>
        <w:tc>
          <w:tcPr>
            <w:tcW w:w="4535" w:type="dxa"/>
            <w:vAlign w:val="center"/>
          </w:tcPr>
          <w:p w14:paraId="4D9661A3" w14:textId="77777777"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Economic benefits</w:t>
            </w:r>
          </w:p>
          <w:p w14:paraId="5991BD0D" w14:textId="75776291" w:rsidR="00A611A7" w:rsidRPr="00E56B02" w:rsidRDefault="00A611A7" w:rsidP="008B327B">
            <w:pPr>
              <w:autoSpaceDE w:val="0"/>
              <w:autoSpaceDN w:val="0"/>
              <w:adjustRightInd w:val="0"/>
              <w:jc w:val="left"/>
              <w:rPr>
                <w:rFonts w:asciiTheme="minorHAnsi" w:hAnsiTheme="minorHAnsi"/>
                <w:sz w:val="22"/>
                <w:szCs w:val="22"/>
              </w:rPr>
            </w:pPr>
            <w:r w:rsidRPr="00E56B02">
              <w:rPr>
                <w:rFonts w:asciiTheme="minorHAnsi" w:hAnsiTheme="minorHAnsi"/>
                <w:sz w:val="22"/>
                <w:szCs w:val="22"/>
              </w:rPr>
              <w:t>Savings across the system</w:t>
            </w:r>
          </w:p>
        </w:tc>
        <w:tc>
          <w:tcPr>
            <w:tcW w:w="3834" w:type="dxa"/>
          </w:tcPr>
          <w:p w14:paraId="0B6A894F" w14:textId="1E3C8F52" w:rsidR="00A611A7" w:rsidRPr="00E56B02" w:rsidRDefault="00A611A7" w:rsidP="008B327B">
            <w:pPr>
              <w:autoSpaceDE w:val="0"/>
              <w:autoSpaceDN w:val="0"/>
              <w:adjustRightInd w:val="0"/>
              <w:jc w:val="left"/>
              <w:rPr>
                <w:rFonts w:asciiTheme="minorHAnsi" w:hAnsiTheme="minorHAnsi"/>
                <w:szCs w:val="22"/>
              </w:rPr>
            </w:pPr>
            <w:r w:rsidRPr="00E56B02">
              <w:rPr>
                <w:rFonts w:asciiTheme="minorHAnsi" w:hAnsiTheme="minorHAnsi"/>
                <w:sz w:val="22"/>
                <w:szCs w:val="22"/>
              </w:rPr>
              <w:t>Value to other patient groups and networks</w:t>
            </w:r>
          </w:p>
        </w:tc>
      </w:tr>
    </w:tbl>
    <w:p w14:paraId="025A0A49" w14:textId="1C1A1036" w:rsidR="008476EF" w:rsidRPr="003D0778" w:rsidRDefault="008476EF" w:rsidP="008476EF">
      <w:pPr>
        <w:pStyle w:val="Heading3"/>
        <w:ind w:left="0" w:firstLine="0"/>
        <w:rPr>
          <w:szCs w:val="22"/>
        </w:rPr>
      </w:pPr>
      <w:r>
        <w:rPr>
          <w:szCs w:val="22"/>
        </w:rPr>
        <w:lastRenderedPageBreak/>
        <w:t xml:space="preserve">Alignment to the National </w:t>
      </w:r>
      <w:r w:rsidRPr="003D0778">
        <w:rPr>
          <w:szCs w:val="22"/>
        </w:rPr>
        <w:t>Unscheduled Care</w:t>
      </w:r>
      <w:r w:rsidR="00E93087">
        <w:rPr>
          <w:szCs w:val="22"/>
        </w:rPr>
        <w:t xml:space="preserve"> Development</w:t>
      </w:r>
    </w:p>
    <w:p w14:paraId="2EECB911" w14:textId="6F33E48F" w:rsidR="00E93087" w:rsidRDefault="00E93087" w:rsidP="000D2DBB">
      <w:pPr>
        <w:rPr>
          <w:rFonts w:asciiTheme="minorHAnsi" w:hAnsiTheme="minorHAnsi"/>
          <w:b/>
          <w:szCs w:val="22"/>
        </w:rPr>
      </w:pPr>
      <w:r>
        <w:rPr>
          <w:rFonts w:asciiTheme="minorHAnsi" w:hAnsiTheme="minorHAnsi"/>
          <w:b/>
          <w:szCs w:val="22"/>
        </w:rPr>
        <w:t>National Emergency Department Quality and Delivery Framework</w:t>
      </w:r>
    </w:p>
    <w:p w14:paraId="4A8485A9" w14:textId="2D73ABE2" w:rsidR="00E93087" w:rsidRDefault="00E93087" w:rsidP="000D2DBB">
      <w:pPr>
        <w:rPr>
          <w:rFonts w:asciiTheme="minorHAnsi" w:hAnsiTheme="minorHAnsi"/>
          <w:b/>
          <w:szCs w:val="22"/>
        </w:rPr>
      </w:pPr>
      <w:r w:rsidRPr="001D7E89">
        <w:rPr>
          <w:rFonts w:cs="Calibri"/>
        </w:rPr>
        <w:t xml:space="preserve">The Minister for Health &amp; Social Services has requested an understanding of ‘what good looks’ like for patients accessing an </w:t>
      </w:r>
      <w:r w:rsidR="00880EE0">
        <w:rPr>
          <w:rFonts w:cs="Calibri"/>
        </w:rPr>
        <w:t>ED</w:t>
      </w:r>
      <w:r w:rsidRPr="001D7E89">
        <w:rPr>
          <w:rFonts w:cs="Calibri"/>
        </w:rPr>
        <w:t xml:space="preserve"> and the creation of a National </w:t>
      </w:r>
      <w:r w:rsidR="00880EE0">
        <w:rPr>
          <w:rFonts w:cs="Calibri"/>
        </w:rPr>
        <w:t>ED</w:t>
      </w:r>
      <w:r w:rsidRPr="001D7E89">
        <w:rPr>
          <w:rFonts w:cs="Calibri"/>
        </w:rPr>
        <w:t xml:space="preserve"> Quality &amp; Delivery Framework (EDQDF) for NHS Wales.</w:t>
      </w:r>
      <w:r>
        <w:rPr>
          <w:rFonts w:cs="Calibri"/>
        </w:rPr>
        <w:t xml:space="preserve">  Further detail can be found in </w:t>
      </w:r>
      <w:r w:rsidRPr="00F279EB">
        <w:rPr>
          <w:rFonts w:cs="Calibri"/>
          <w:b/>
        </w:rPr>
        <w:t xml:space="preserve">Annex </w:t>
      </w:r>
      <w:r w:rsidR="005C3AAA">
        <w:rPr>
          <w:rFonts w:cs="Calibri"/>
          <w:b/>
        </w:rPr>
        <w:t>3</w:t>
      </w:r>
      <w:r>
        <w:rPr>
          <w:rFonts w:cs="Calibri"/>
          <w:b/>
        </w:rPr>
        <w:t>.</w:t>
      </w:r>
      <w:r w:rsidRPr="00E93087">
        <w:rPr>
          <w:rFonts w:cs="Calibri"/>
        </w:rPr>
        <w:t xml:space="preserve">  However key activities to date and planned are included in the story board below</w:t>
      </w:r>
      <w:r w:rsidR="006034BA">
        <w:rPr>
          <w:rFonts w:cs="Calibri"/>
        </w:rPr>
        <w:t xml:space="preserve"> (</w:t>
      </w:r>
      <w:r w:rsidR="006034BA" w:rsidRPr="006034BA">
        <w:rPr>
          <w:rFonts w:cs="Calibri"/>
          <w:b/>
        </w:rPr>
        <w:t>see also section 8.2.1.2</w:t>
      </w:r>
      <w:r w:rsidR="006034BA">
        <w:rPr>
          <w:rFonts w:cs="Calibri"/>
        </w:rPr>
        <w:t>)</w:t>
      </w:r>
      <w:r w:rsidRPr="00E93087">
        <w:rPr>
          <w:rFonts w:cs="Calibri"/>
        </w:rPr>
        <w:t>.</w:t>
      </w:r>
    </w:p>
    <w:p w14:paraId="15197D9B" w14:textId="6566C473" w:rsidR="00E93087" w:rsidRDefault="00E93087" w:rsidP="000D2DBB">
      <w:pPr>
        <w:rPr>
          <w:rFonts w:asciiTheme="minorHAnsi" w:hAnsiTheme="minorHAnsi"/>
          <w:b/>
          <w:szCs w:val="22"/>
        </w:rPr>
      </w:pPr>
      <w:r w:rsidRPr="00E93087">
        <w:rPr>
          <w:rFonts w:asciiTheme="minorHAnsi" w:hAnsiTheme="minorHAnsi"/>
          <w:b/>
          <w:noProof/>
          <w:szCs w:val="22"/>
        </w:rPr>
        <w:drawing>
          <wp:inline distT="0" distB="0" distL="0" distR="0" wp14:anchorId="52449AE9" wp14:editId="7F75D698">
            <wp:extent cx="6336030" cy="4480834"/>
            <wp:effectExtent l="0" t="0" r="7620" b="0"/>
            <wp:docPr id="1800" name="Picture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336030" cy="4480834"/>
                    </a:xfrm>
                    <a:prstGeom prst="rect">
                      <a:avLst/>
                    </a:prstGeom>
                    <a:noFill/>
                    <a:ln>
                      <a:noFill/>
                    </a:ln>
                  </pic:spPr>
                </pic:pic>
              </a:graphicData>
            </a:graphic>
          </wp:inline>
        </w:drawing>
      </w:r>
    </w:p>
    <w:p w14:paraId="412A1F6C" w14:textId="1587D92A" w:rsidR="000D2DBB" w:rsidRDefault="008A34B4" w:rsidP="003853B9">
      <w:pPr>
        <w:pStyle w:val="Heading4"/>
      </w:pPr>
      <w:r>
        <w:t>P</w:t>
      </w:r>
      <w:r w:rsidR="000D2DBB" w:rsidRPr="008476EF">
        <w:t>re Hospital</w:t>
      </w:r>
    </w:p>
    <w:p w14:paraId="695A6E03" w14:textId="008B3CD4" w:rsidR="00E02C36" w:rsidRPr="008151F4" w:rsidRDefault="00E02C36" w:rsidP="00E02C36">
      <w:pPr>
        <w:rPr>
          <w:rFonts w:asciiTheme="minorHAnsi" w:hAnsiTheme="minorHAnsi"/>
          <w:szCs w:val="22"/>
        </w:rPr>
      </w:pPr>
      <w:r w:rsidRPr="008151F4">
        <w:rPr>
          <w:rFonts w:asciiTheme="minorHAnsi" w:hAnsiTheme="minorHAnsi"/>
          <w:szCs w:val="22"/>
        </w:rPr>
        <w:t>Often an individual’s care and support needs are best provided in the community or their own home.  A significant focus therefore continues to be th</w:t>
      </w:r>
      <w:r w:rsidR="00B50ED7">
        <w:rPr>
          <w:rFonts w:asciiTheme="minorHAnsi" w:hAnsiTheme="minorHAnsi"/>
          <w:szCs w:val="22"/>
        </w:rPr>
        <w:t>o</w:t>
      </w:r>
      <w:r w:rsidRPr="008151F4">
        <w:rPr>
          <w:rFonts w:asciiTheme="minorHAnsi" w:hAnsiTheme="minorHAnsi"/>
          <w:szCs w:val="22"/>
        </w:rPr>
        <w:t>se priorities which, through integrated care and partnership working, either address an individual’s rising need before they require hospital admission or directs them to the correct service for their need.</w:t>
      </w:r>
    </w:p>
    <w:p w14:paraId="3C6B3E13" w14:textId="77777777" w:rsidR="00626150" w:rsidRPr="008476EF" w:rsidRDefault="00626150" w:rsidP="00626150">
      <w:pPr>
        <w:rPr>
          <w:rFonts w:asciiTheme="minorHAnsi" w:hAnsiTheme="minorHAnsi"/>
          <w:b/>
          <w:szCs w:val="22"/>
        </w:rPr>
      </w:pPr>
    </w:p>
    <w:p w14:paraId="793942C7" w14:textId="77124E6E" w:rsidR="00626150" w:rsidRPr="003D0778" w:rsidRDefault="00626150" w:rsidP="00626150">
      <w:pPr>
        <w:pStyle w:val="NormaBullet"/>
        <w:numPr>
          <w:ilvl w:val="0"/>
          <w:numId w:val="0"/>
        </w:numPr>
        <w:rPr>
          <w:szCs w:val="22"/>
        </w:rPr>
      </w:pPr>
      <w:r>
        <w:rPr>
          <w:szCs w:val="22"/>
        </w:rPr>
        <w:t xml:space="preserve">Priorities and initiatives being put in place within Integrated Community Services and </w:t>
      </w:r>
      <w:r w:rsidRPr="003D0778">
        <w:rPr>
          <w:szCs w:val="22"/>
        </w:rPr>
        <w:t>Primary Care</w:t>
      </w:r>
      <w:r>
        <w:rPr>
          <w:szCs w:val="22"/>
        </w:rPr>
        <w:t xml:space="preserve">, including </w:t>
      </w:r>
      <w:r w:rsidRPr="00A03181">
        <w:rPr>
          <w:szCs w:val="22"/>
        </w:rPr>
        <w:t>WAST</w:t>
      </w:r>
      <w:r>
        <w:rPr>
          <w:szCs w:val="22"/>
        </w:rPr>
        <w:t xml:space="preserve"> are:</w:t>
      </w:r>
    </w:p>
    <w:p w14:paraId="24C3D15E" w14:textId="0CABC920" w:rsidR="00626150" w:rsidRPr="00A03181" w:rsidRDefault="003416C3" w:rsidP="00F60A35">
      <w:pPr>
        <w:pStyle w:val="ListParagraph"/>
        <w:numPr>
          <w:ilvl w:val="0"/>
          <w:numId w:val="21"/>
        </w:numPr>
        <w:autoSpaceDE w:val="0"/>
        <w:autoSpaceDN w:val="0"/>
        <w:adjustRightInd w:val="0"/>
        <w:ind w:left="357" w:hanging="357"/>
        <w:rPr>
          <w:rFonts w:asciiTheme="minorHAnsi" w:hAnsiTheme="minorHAnsi" w:cstheme="minorHAnsi"/>
          <w:szCs w:val="22"/>
        </w:rPr>
      </w:pPr>
      <w:r>
        <w:rPr>
          <w:rFonts w:asciiTheme="minorHAnsi" w:hAnsiTheme="minorHAnsi" w:cstheme="minorHAnsi"/>
          <w:szCs w:val="22"/>
        </w:rPr>
        <w:t>D</w:t>
      </w:r>
      <w:r w:rsidR="00626150" w:rsidRPr="00590DB4">
        <w:rPr>
          <w:rFonts w:asciiTheme="minorHAnsi" w:hAnsiTheme="minorHAnsi" w:cstheme="minorHAnsi"/>
          <w:szCs w:val="22"/>
        </w:rPr>
        <w:t>elivery of the R</w:t>
      </w:r>
      <w:r>
        <w:rPr>
          <w:rFonts w:asciiTheme="minorHAnsi" w:hAnsiTheme="minorHAnsi" w:cstheme="minorHAnsi"/>
          <w:szCs w:val="22"/>
        </w:rPr>
        <w:t>PBs</w:t>
      </w:r>
      <w:r w:rsidR="00626150" w:rsidRPr="00590DB4">
        <w:rPr>
          <w:rFonts w:asciiTheme="minorHAnsi" w:hAnsiTheme="minorHAnsi" w:cstheme="minorHAnsi"/>
          <w:szCs w:val="22"/>
        </w:rPr>
        <w:t xml:space="preserve"> Stay Well in Your Community Programme, </w:t>
      </w:r>
      <w:r w:rsidR="00626150">
        <w:rPr>
          <w:rFonts w:asciiTheme="minorHAnsi" w:hAnsiTheme="minorHAnsi" w:cstheme="minorHAnsi"/>
          <w:szCs w:val="22"/>
        </w:rPr>
        <w:t>(</w:t>
      </w:r>
      <w:r w:rsidR="00626150" w:rsidRPr="00590DB4">
        <w:rPr>
          <w:rFonts w:asciiTheme="minorHAnsi" w:hAnsiTheme="minorHAnsi" w:cstheme="minorHAnsi"/>
          <w:szCs w:val="22"/>
        </w:rPr>
        <w:t xml:space="preserve">see </w:t>
      </w:r>
      <w:r w:rsidR="00626150" w:rsidRPr="00164805">
        <w:rPr>
          <w:rFonts w:asciiTheme="minorHAnsi" w:hAnsiTheme="minorHAnsi" w:cstheme="minorHAnsi"/>
          <w:b/>
          <w:szCs w:val="22"/>
        </w:rPr>
        <w:t xml:space="preserve">section </w:t>
      </w:r>
      <w:r w:rsidR="008B327B" w:rsidRPr="00164805">
        <w:rPr>
          <w:rFonts w:asciiTheme="minorHAnsi" w:hAnsiTheme="minorHAnsi" w:cstheme="minorHAnsi"/>
          <w:b/>
          <w:szCs w:val="22"/>
        </w:rPr>
        <w:t>5.2.2</w:t>
      </w:r>
      <w:r w:rsidR="00626150" w:rsidRPr="00164805">
        <w:rPr>
          <w:rFonts w:asciiTheme="minorHAnsi" w:hAnsiTheme="minorHAnsi" w:cstheme="minorHAnsi"/>
          <w:szCs w:val="22"/>
        </w:rPr>
        <w:t>)</w:t>
      </w:r>
      <w:r w:rsidR="00626150" w:rsidRPr="008B327B">
        <w:rPr>
          <w:rFonts w:asciiTheme="minorHAnsi" w:hAnsiTheme="minorHAnsi" w:cstheme="minorHAnsi"/>
          <w:color w:val="7030A0"/>
          <w:szCs w:val="22"/>
        </w:rPr>
        <w:t xml:space="preserve"> </w:t>
      </w:r>
      <w:r w:rsidR="00626150">
        <w:rPr>
          <w:rFonts w:asciiTheme="minorHAnsi" w:hAnsiTheme="minorHAnsi" w:cstheme="minorHAnsi"/>
          <w:szCs w:val="22"/>
        </w:rPr>
        <w:t xml:space="preserve">including the use of </w:t>
      </w:r>
      <w:r w:rsidR="00626150" w:rsidRPr="003D0778">
        <w:rPr>
          <w:szCs w:val="22"/>
        </w:rPr>
        <w:t>Advanced Paramedic Practitioner</w:t>
      </w:r>
      <w:r w:rsidR="00251607">
        <w:rPr>
          <w:szCs w:val="22"/>
        </w:rPr>
        <w:t>s</w:t>
      </w:r>
      <w:r w:rsidR="00626150">
        <w:rPr>
          <w:szCs w:val="22"/>
        </w:rPr>
        <w:t xml:space="preserve"> within the Enhanced Community Cluster Teams and partners including WAST supporting the SW@H service by referring directly to a multi</w:t>
      </w:r>
      <w:r w:rsidR="00773C2C">
        <w:rPr>
          <w:szCs w:val="22"/>
        </w:rPr>
        <w:t>-</w:t>
      </w:r>
      <w:r w:rsidR="00626150">
        <w:rPr>
          <w:szCs w:val="22"/>
        </w:rPr>
        <w:t>agency single point of access to avoid conveyances to hospital.</w:t>
      </w:r>
    </w:p>
    <w:p w14:paraId="0743CD68" w14:textId="77777777" w:rsidR="00626150" w:rsidRPr="00590DB4" w:rsidRDefault="00626150" w:rsidP="00F60A35">
      <w:pPr>
        <w:pStyle w:val="NormalBulletIndent"/>
        <w:numPr>
          <w:ilvl w:val="0"/>
          <w:numId w:val="21"/>
        </w:numPr>
        <w:ind w:left="357" w:hanging="357"/>
        <w:rPr>
          <w:szCs w:val="22"/>
        </w:rPr>
      </w:pPr>
      <w:r w:rsidRPr="00590DB4">
        <w:rPr>
          <w:szCs w:val="22"/>
        </w:rPr>
        <w:t>The introduction of appropriate sign posting of patients to alternative primary care professionals, dentists, optometrists and pharmacists based on assessment of identified need</w:t>
      </w:r>
      <w:r>
        <w:rPr>
          <w:szCs w:val="22"/>
        </w:rPr>
        <w:t>.</w:t>
      </w:r>
    </w:p>
    <w:p w14:paraId="4F2BC27B" w14:textId="7836C56A" w:rsidR="00626150" w:rsidRDefault="00626150" w:rsidP="00F60A35">
      <w:pPr>
        <w:pStyle w:val="NormalBulletIndent"/>
        <w:numPr>
          <w:ilvl w:val="0"/>
          <w:numId w:val="21"/>
        </w:numPr>
        <w:ind w:left="357" w:hanging="357"/>
        <w:rPr>
          <w:szCs w:val="22"/>
        </w:rPr>
      </w:pPr>
      <w:r w:rsidRPr="00590DB4">
        <w:rPr>
          <w:szCs w:val="22"/>
        </w:rPr>
        <w:t>Encouraging utilisation of the common ailments scheme within community pharmacies where appropriate</w:t>
      </w:r>
      <w:r>
        <w:rPr>
          <w:szCs w:val="22"/>
        </w:rPr>
        <w:t>.</w:t>
      </w:r>
    </w:p>
    <w:p w14:paraId="5CD0CF42" w14:textId="1E5E357A" w:rsidR="00626150" w:rsidRPr="003241C8" w:rsidRDefault="00354C49" w:rsidP="00F60A35">
      <w:pPr>
        <w:pStyle w:val="NormalBulletIndent"/>
        <w:numPr>
          <w:ilvl w:val="0"/>
          <w:numId w:val="21"/>
        </w:numPr>
        <w:ind w:left="357" w:hanging="357"/>
        <w:rPr>
          <w:szCs w:val="22"/>
        </w:rPr>
      </w:pPr>
      <w:r>
        <w:rPr>
          <w:rFonts w:asciiTheme="minorHAnsi" w:hAnsiTheme="minorHAnsi"/>
        </w:rPr>
        <w:t xml:space="preserve">Following </w:t>
      </w:r>
      <w:r w:rsidR="00626150">
        <w:rPr>
          <w:rFonts w:asciiTheme="minorHAnsi" w:hAnsiTheme="minorHAnsi"/>
        </w:rPr>
        <w:t>evidence gained from a</w:t>
      </w:r>
      <w:r w:rsidR="006E7749">
        <w:rPr>
          <w:rFonts w:asciiTheme="minorHAnsi" w:hAnsiTheme="minorHAnsi"/>
        </w:rPr>
        <w:t xml:space="preserve"> pilot,</w:t>
      </w:r>
      <w:r w:rsidR="00626150" w:rsidRPr="003241C8">
        <w:rPr>
          <w:rFonts w:asciiTheme="minorHAnsi" w:hAnsiTheme="minorHAnsi"/>
        </w:rPr>
        <w:t xml:space="preserve"> the virtual ward</w:t>
      </w:r>
      <w:r w:rsidR="00626150">
        <w:rPr>
          <w:rFonts w:asciiTheme="minorHAnsi" w:hAnsiTheme="minorHAnsi"/>
        </w:rPr>
        <w:t xml:space="preserve"> will be rolled out as part of the </w:t>
      </w:r>
      <w:r>
        <w:rPr>
          <w:rFonts w:asciiTheme="minorHAnsi" w:hAnsiTheme="minorHAnsi"/>
        </w:rPr>
        <w:t>UHBs</w:t>
      </w:r>
      <w:r w:rsidR="00626150" w:rsidRPr="003241C8">
        <w:rPr>
          <w:rFonts w:asciiTheme="minorHAnsi" w:hAnsiTheme="minorHAnsi"/>
        </w:rPr>
        <w:t xml:space="preserve"> wider Transformational Plan. </w:t>
      </w:r>
    </w:p>
    <w:p w14:paraId="51AC0A5E" w14:textId="0E2E2E1A" w:rsidR="00626150" w:rsidRDefault="00626150" w:rsidP="00F60A35">
      <w:pPr>
        <w:pStyle w:val="NormalBulletIndent"/>
        <w:numPr>
          <w:ilvl w:val="0"/>
          <w:numId w:val="21"/>
        </w:numPr>
        <w:ind w:left="357" w:hanging="357"/>
        <w:rPr>
          <w:szCs w:val="22"/>
        </w:rPr>
      </w:pPr>
      <w:r w:rsidRPr="00590DB4">
        <w:rPr>
          <w:szCs w:val="22"/>
        </w:rPr>
        <w:t xml:space="preserve">Encouraging the use of alternative methods for GP consultations such </w:t>
      </w:r>
      <w:r w:rsidR="008D261B">
        <w:rPr>
          <w:szCs w:val="22"/>
        </w:rPr>
        <w:t xml:space="preserve">as, </w:t>
      </w:r>
      <w:r w:rsidRPr="00590DB4">
        <w:rPr>
          <w:szCs w:val="22"/>
        </w:rPr>
        <w:t>telephone triage an</w:t>
      </w:r>
      <w:r>
        <w:rPr>
          <w:szCs w:val="22"/>
        </w:rPr>
        <w:t>d advice software such as WebGP.</w:t>
      </w:r>
    </w:p>
    <w:p w14:paraId="5016877F" w14:textId="075BC26E" w:rsidR="00626150" w:rsidRPr="003241C8" w:rsidRDefault="00626150" w:rsidP="00F60A35">
      <w:pPr>
        <w:pStyle w:val="NormalBulletIndent"/>
        <w:numPr>
          <w:ilvl w:val="0"/>
          <w:numId w:val="21"/>
        </w:numPr>
        <w:ind w:left="357" w:hanging="357"/>
        <w:rPr>
          <w:szCs w:val="22"/>
        </w:rPr>
      </w:pPr>
      <w:r w:rsidRPr="003241C8">
        <w:rPr>
          <w:rFonts w:asciiTheme="minorHAnsi" w:hAnsiTheme="minorHAnsi"/>
        </w:rPr>
        <w:lastRenderedPageBreak/>
        <w:t xml:space="preserve">Cluster schemes have commenced around chronic conditions management.  These include COPD where a team follow up a patient recently discharged from hospital following an acute exacerbation of COPD to ensure they are not relapsing and at risk of a further admission. The evaluation of </w:t>
      </w:r>
      <w:r w:rsidR="005D74D5">
        <w:rPr>
          <w:rFonts w:asciiTheme="minorHAnsi" w:hAnsiTheme="minorHAnsi"/>
        </w:rPr>
        <w:t xml:space="preserve">the </w:t>
      </w:r>
      <w:r w:rsidRPr="003241C8">
        <w:rPr>
          <w:rFonts w:asciiTheme="minorHAnsi" w:hAnsiTheme="minorHAnsi"/>
        </w:rPr>
        <w:t xml:space="preserve">scheme has shown a decrease in GP attendance, OOH call and emergency admissions. The primary care team are currently developing plans to roll out this initiative across the </w:t>
      </w:r>
      <w:r w:rsidR="00D25137">
        <w:rPr>
          <w:rFonts w:asciiTheme="minorHAnsi" w:hAnsiTheme="minorHAnsi"/>
        </w:rPr>
        <w:t>UHB</w:t>
      </w:r>
      <w:r>
        <w:rPr>
          <w:rFonts w:asciiTheme="minorHAnsi" w:hAnsiTheme="minorHAnsi"/>
        </w:rPr>
        <w:t>.</w:t>
      </w:r>
    </w:p>
    <w:p w14:paraId="0B58FAB1" w14:textId="4417F8AF" w:rsidR="00626150" w:rsidRPr="00826BDD" w:rsidRDefault="00626150" w:rsidP="00F60A35">
      <w:pPr>
        <w:pStyle w:val="NormalBulletIndent"/>
        <w:numPr>
          <w:ilvl w:val="0"/>
          <w:numId w:val="21"/>
        </w:numPr>
        <w:ind w:left="357" w:hanging="357"/>
        <w:rPr>
          <w:szCs w:val="22"/>
        </w:rPr>
      </w:pPr>
      <w:r w:rsidRPr="003241C8">
        <w:rPr>
          <w:rFonts w:asciiTheme="minorHAnsi" w:hAnsiTheme="minorHAnsi" w:cs="Tahoma"/>
        </w:rPr>
        <w:t xml:space="preserve">Joint pathways have been agreed with WAST for chronic conditions such as diabetes, falls and respiratory.  Where patients can be kept at home the paramedics will pass information </w:t>
      </w:r>
      <w:r w:rsidR="008326D4">
        <w:rPr>
          <w:rFonts w:asciiTheme="minorHAnsi" w:hAnsiTheme="minorHAnsi" w:cs="Tahoma"/>
        </w:rPr>
        <w:t>o</w:t>
      </w:r>
      <w:r w:rsidRPr="003241C8">
        <w:rPr>
          <w:rFonts w:asciiTheme="minorHAnsi" w:hAnsiTheme="minorHAnsi" w:cs="Tahoma"/>
        </w:rPr>
        <w:t>nto the GP and District Nurse and a visit will be made to the patient within 48 hours.</w:t>
      </w:r>
    </w:p>
    <w:p w14:paraId="4D0362DB" w14:textId="000D5CAD" w:rsidR="00626150" w:rsidRDefault="00626150" w:rsidP="003853B9">
      <w:pPr>
        <w:pStyle w:val="Heading4"/>
      </w:pPr>
      <w:r w:rsidRPr="00823259">
        <w:t>Ambulance Services</w:t>
      </w:r>
    </w:p>
    <w:p w14:paraId="1C753D1B" w14:textId="77147E21" w:rsidR="0068087A" w:rsidRDefault="002D1F31" w:rsidP="002D1F31">
      <w:pPr>
        <w:rPr>
          <w:rFonts w:asciiTheme="minorHAnsi" w:hAnsiTheme="minorHAnsi" w:cs="Arial"/>
        </w:rPr>
      </w:pPr>
      <w:r w:rsidRPr="002D1F31">
        <w:rPr>
          <w:rFonts w:asciiTheme="minorHAnsi" w:hAnsiTheme="minorHAnsi" w:cs="Arial"/>
        </w:rPr>
        <w:t xml:space="preserve">The Welsh Ambulance Service NHS Trust (WAST) has an important and increasing role to play in supporting sustainable improvements across the unscheduled care system in Wales.  A range of scalable service transformation initiatives have been proposed and discussed with the Chief Ambulance Services Commissioner (CASC) and Health Boards through the EASC and EASC Management Group. </w:t>
      </w:r>
      <w:r w:rsidR="0062060B">
        <w:rPr>
          <w:rFonts w:asciiTheme="minorHAnsi" w:hAnsiTheme="minorHAnsi" w:cs="Arial"/>
        </w:rPr>
        <w:t xml:space="preserve"> </w:t>
      </w:r>
      <w:r w:rsidRPr="002D1F31">
        <w:rPr>
          <w:rFonts w:asciiTheme="minorHAnsi" w:hAnsiTheme="minorHAnsi" w:cs="Arial"/>
        </w:rPr>
        <w:t>It is proposed that WAST and the Health Board will prioritise the expansion of the following three service initiatives to be included as key developments within the Health Boar</w:t>
      </w:r>
      <w:r w:rsidR="0068087A">
        <w:rPr>
          <w:rFonts w:asciiTheme="minorHAnsi" w:hAnsiTheme="minorHAnsi" w:cs="Arial"/>
        </w:rPr>
        <w:t>ds respective IMTP for 2020/21:</w:t>
      </w:r>
    </w:p>
    <w:p w14:paraId="635CC9F3" w14:textId="77777777" w:rsidR="0068087A" w:rsidRPr="0068087A" w:rsidRDefault="0068087A" w:rsidP="00F60A35">
      <w:pPr>
        <w:pStyle w:val="ListParagraph"/>
        <w:numPr>
          <w:ilvl w:val="0"/>
          <w:numId w:val="33"/>
        </w:numPr>
        <w:ind w:left="360"/>
        <w:rPr>
          <w:rFonts w:asciiTheme="minorHAnsi" w:hAnsiTheme="minorHAnsi" w:cs="Arial"/>
          <w:szCs w:val="22"/>
        </w:rPr>
      </w:pPr>
      <w:r w:rsidRPr="002D1F31">
        <w:rPr>
          <w:rFonts w:asciiTheme="minorHAnsi" w:hAnsiTheme="minorHAnsi" w:cs="Arial"/>
        </w:rPr>
        <w:t>Initiative 1: Expansion of the Falls Response Model focussing on the implementation of a level 2 falls response service within each Health Board;</w:t>
      </w:r>
    </w:p>
    <w:p w14:paraId="5965BE9B" w14:textId="79BC66BF" w:rsidR="0068087A" w:rsidRPr="002109B4" w:rsidRDefault="0068087A" w:rsidP="00F60A35">
      <w:pPr>
        <w:pStyle w:val="ListParagraph"/>
        <w:numPr>
          <w:ilvl w:val="0"/>
          <w:numId w:val="33"/>
        </w:numPr>
        <w:ind w:left="360"/>
        <w:rPr>
          <w:rFonts w:asciiTheme="minorHAnsi" w:hAnsiTheme="minorHAnsi" w:cs="Arial"/>
          <w:szCs w:val="22"/>
        </w:rPr>
      </w:pPr>
      <w:r w:rsidRPr="0068087A">
        <w:rPr>
          <w:rFonts w:asciiTheme="minorHAnsi" w:hAnsiTheme="minorHAnsi" w:cs="Arial"/>
        </w:rPr>
        <w:t>Initiative 2: Expansion of the Advanced Paramedic Practitioners (APP) model;</w:t>
      </w:r>
    </w:p>
    <w:p w14:paraId="75E56C67" w14:textId="0C87F908" w:rsidR="002109B4" w:rsidRPr="0068087A" w:rsidRDefault="002109B4" w:rsidP="00F60A35">
      <w:pPr>
        <w:pStyle w:val="ListParagraph"/>
        <w:numPr>
          <w:ilvl w:val="0"/>
          <w:numId w:val="33"/>
        </w:numPr>
        <w:ind w:left="360"/>
        <w:rPr>
          <w:rFonts w:asciiTheme="minorHAnsi" w:hAnsiTheme="minorHAnsi" w:cs="Arial"/>
          <w:szCs w:val="22"/>
        </w:rPr>
      </w:pPr>
      <w:r w:rsidRPr="002D1F31">
        <w:rPr>
          <w:rFonts w:asciiTheme="minorHAnsi" w:hAnsiTheme="minorHAnsi" w:cs="Arial"/>
        </w:rPr>
        <w:t xml:space="preserve">Initiative 3: Expansion of pre-hospital clinical pathways / wider system referral pathways focussing on a national Respiratory pathway (other national pathways to be identified and prioritised in collaboration with </w:t>
      </w:r>
      <w:r w:rsidR="00D25137">
        <w:rPr>
          <w:rFonts w:asciiTheme="minorHAnsi" w:hAnsiTheme="minorHAnsi" w:cs="Arial"/>
        </w:rPr>
        <w:t xml:space="preserve">UHB </w:t>
      </w:r>
      <w:r w:rsidRPr="002D1F31">
        <w:rPr>
          <w:rFonts w:asciiTheme="minorHAnsi" w:hAnsiTheme="minorHAnsi" w:cs="Arial"/>
        </w:rPr>
        <w:t>colleagues).</w:t>
      </w:r>
    </w:p>
    <w:p w14:paraId="7815F926" w14:textId="77777777" w:rsidR="002109B4" w:rsidRDefault="002109B4" w:rsidP="00626150">
      <w:pPr>
        <w:rPr>
          <w:rFonts w:asciiTheme="minorHAnsi" w:hAnsiTheme="minorHAnsi" w:cs="Arial"/>
          <w:szCs w:val="22"/>
        </w:rPr>
      </w:pPr>
    </w:p>
    <w:p w14:paraId="105FBA3A" w14:textId="7A18AEF5" w:rsidR="00626150" w:rsidRDefault="002109B4" w:rsidP="00626150">
      <w:pPr>
        <w:rPr>
          <w:rFonts w:asciiTheme="minorHAnsi" w:hAnsiTheme="minorHAnsi" w:cs="Arial"/>
          <w:szCs w:val="22"/>
        </w:rPr>
      </w:pPr>
      <w:r>
        <w:rPr>
          <w:rFonts w:asciiTheme="minorHAnsi" w:hAnsiTheme="minorHAnsi" w:cs="Arial"/>
          <w:szCs w:val="22"/>
        </w:rPr>
        <w:t xml:space="preserve">Further specific areas of work </w:t>
      </w:r>
      <w:r w:rsidR="00626150" w:rsidRPr="00823259">
        <w:rPr>
          <w:rFonts w:asciiTheme="minorHAnsi" w:hAnsiTheme="minorHAnsi" w:cs="Arial"/>
          <w:szCs w:val="22"/>
        </w:rPr>
        <w:t>will include:</w:t>
      </w:r>
    </w:p>
    <w:p w14:paraId="4377ED54" w14:textId="20DB678E" w:rsidR="00626150" w:rsidRPr="00C10B0E" w:rsidRDefault="00626150" w:rsidP="00F60A35">
      <w:pPr>
        <w:pStyle w:val="ListParagraph"/>
        <w:numPr>
          <w:ilvl w:val="0"/>
          <w:numId w:val="33"/>
        </w:numPr>
        <w:ind w:left="360"/>
        <w:rPr>
          <w:rFonts w:asciiTheme="minorHAnsi" w:hAnsiTheme="minorHAnsi" w:cs="Arial"/>
          <w:szCs w:val="22"/>
        </w:rPr>
      </w:pPr>
      <w:r>
        <w:rPr>
          <w:rFonts w:asciiTheme="minorHAnsi" w:hAnsiTheme="minorHAnsi" w:cs="Arial"/>
          <w:szCs w:val="22"/>
        </w:rPr>
        <w:t xml:space="preserve">Following establishment of CTMUHB in April 2019, WAST will now need to change their operational management boundaries to align with the new health board arrangements. Commencing April 2020 WAST will be developing the required </w:t>
      </w:r>
      <w:r w:rsidR="00614BBE">
        <w:rPr>
          <w:rFonts w:asciiTheme="minorHAnsi" w:hAnsiTheme="minorHAnsi" w:cs="Arial"/>
          <w:szCs w:val="22"/>
        </w:rPr>
        <w:t>workstreams</w:t>
      </w:r>
      <w:r>
        <w:rPr>
          <w:rFonts w:asciiTheme="minorHAnsi" w:hAnsiTheme="minorHAnsi" w:cs="Arial"/>
          <w:szCs w:val="22"/>
        </w:rPr>
        <w:t xml:space="preserve"> to take forward this work.</w:t>
      </w:r>
    </w:p>
    <w:p w14:paraId="28C2F6E8" w14:textId="77777777" w:rsidR="00DB28BC" w:rsidRDefault="00626150" w:rsidP="00F60A35">
      <w:pPr>
        <w:pStyle w:val="ListParagraph"/>
        <w:numPr>
          <w:ilvl w:val="0"/>
          <w:numId w:val="32"/>
        </w:numPr>
        <w:spacing w:after="160" w:line="254" w:lineRule="auto"/>
        <w:ind w:left="360"/>
        <w:rPr>
          <w:rFonts w:asciiTheme="minorHAnsi" w:hAnsiTheme="minorHAnsi"/>
          <w:szCs w:val="22"/>
        </w:rPr>
      </w:pPr>
      <w:r w:rsidRPr="00DB28BC">
        <w:rPr>
          <w:rFonts w:asciiTheme="minorHAnsi" w:hAnsiTheme="minorHAnsi"/>
          <w:szCs w:val="22"/>
        </w:rPr>
        <w:t>Review of the current pathways of care between WAST and CTMUHB in a programme of work that will review, refresh and improve options for patients.  In particular focusing on more robust alternate pathways for conveyance.</w:t>
      </w:r>
    </w:p>
    <w:p w14:paraId="12A99C3F" w14:textId="5A86F84C" w:rsidR="00626150" w:rsidRPr="00DB28BC" w:rsidRDefault="00626150" w:rsidP="00F60A35">
      <w:pPr>
        <w:pStyle w:val="ListParagraph"/>
        <w:numPr>
          <w:ilvl w:val="0"/>
          <w:numId w:val="32"/>
        </w:numPr>
        <w:spacing w:after="160" w:line="254" w:lineRule="auto"/>
        <w:ind w:left="360"/>
        <w:rPr>
          <w:rFonts w:asciiTheme="minorHAnsi" w:hAnsiTheme="minorHAnsi"/>
          <w:szCs w:val="22"/>
        </w:rPr>
      </w:pPr>
      <w:r w:rsidRPr="00DB28BC">
        <w:rPr>
          <w:rFonts w:asciiTheme="minorHAnsi" w:hAnsiTheme="minorHAnsi"/>
          <w:szCs w:val="22"/>
        </w:rPr>
        <w:t>Development of a Standard Operating Procedure with CTMUHB Patient Access Team to utilise transport options other than default WAST resources for GP admissions</w:t>
      </w:r>
    </w:p>
    <w:p w14:paraId="0FDBE38C" w14:textId="77777777" w:rsidR="00626150" w:rsidRPr="00C10B0E" w:rsidRDefault="00626150" w:rsidP="00F60A35">
      <w:pPr>
        <w:numPr>
          <w:ilvl w:val="0"/>
          <w:numId w:val="32"/>
        </w:numPr>
        <w:ind w:left="360"/>
        <w:rPr>
          <w:rFonts w:asciiTheme="minorHAnsi" w:hAnsiTheme="minorHAnsi"/>
          <w:szCs w:val="22"/>
        </w:rPr>
      </w:pPr>
      <w:r w:rsidRPr="00C10B0E">
        <w:rPr>
          <w:rFonts w:asciiTheme="minorHAnsi" w:hAnsiTheme="minorHAnsi"/>
          <w:szCs w:val="22"/>
        </w:rPr>
        <w:t xml:space="preserve">Develop secondary triage of calls suitable for referral to established patient pathways in </w:t>
      </w:r>
      <w:r>
        <w:rPr>
          <w:rFonts w:asciiTheme="minorHAnsi" w:hAnsiTheme="minorHAnsi"/>
          <w:szCs w:val="22"/>
        </w:rPr>
        <w:t xml:space="preserve">partnership with CTMUHB and Local Authorities. </w:t>
      </w:r>
    </w:p>
    <w:p w14:paraId="01B5305B" w14:textId="2F8FEB89" w:rsidR="00626150" w:rsidRPr="00823259" w:rsidRDefault="00626150" w:rsidP="00F60A35">
      <w:pPr>
        <w:numPr>
          <w:ilvl w:val="0"/>
          <w:numId w:val="32"/>
        </w:numPr>
        <w:ind w:left="360"/>
        <w:rPr>
          <w:rFonts w:asciiTheme="minorHAnsi" w:hAnsiTheme="minorHAnsi"/>
          <w:szCs w:val="22"/>
        </w:rPr>
      </w:pPr>
      <w:r w:rsidRPr="00823259">
        <w:rPr>
          <w:rFonts w:asciiTheme="minorHAnsi" w:hAnsiTheme="minorHAnsi"/>
          <w:szCs w:val="22"/>
        </w:rPr>
        <w:t>In conjunction with CTM</w:t>
      </w:r>
      <w:r>
        <w:rPr>
          <w:rFonts w:asciiTheme="minorHAnsi" w:hAnsiTheme="minorHAnsi"/>
          <w:szCs w:val="22"/>
        </w:rPr>
        <w:t>U</w:t>
      </w:r>
      <w:r w:rsidR="00105292">
        <w:rPr>
          <w:rFonts w:asciiTheme="minorHAnsi" w:hAnsiTheme="minorHAnsi"/>
          <w:szCs w:val="22"/>
        </w:rPr>
        <w:t xml:space="preserve">HB explore developing the </w:t>
      </w:r>
      <w:r w:rsidRPr="00823259">
        <w:rPr>
          <w:rFonts w:asciiTheme="minorHAnsi" w:hAnsiTheme="minorHAnsi"/>
          <w:szCs w:val="22"/>
        </w:rPr>
        <w:t xml:space="preserve">Single </w:t>
      </w:r>
      <w:r>
        <w:rPr>
          <w:rFonts w:asciiTheme="minorHAnsi" w:hAnsiTheme="minorHAnsi"/>
          <w:szCs w:val="22"/>
        </w:rPr>
        <w:t>Integrated Clinical Assessment a</w:t>
      </w:r>
      <w:r w:rsidR="00105292">
        <w:rPr>
          <w:rFonts w:asciiTheme="minorHAnsi" w:hAnsiTheme="minorHAnsi"/>
          <w:szCs w:val="22"/>
        </w:rPr>
        <w:t>nd Triage (SICAT)</w:t>
      </w:r>
      <w:r w:rsidRPr="00823259">
        <w:rPr>
          <w:rFonts w:asciiTheme="minorHAnsi" w:hAnsiTheme="minorHAnsi"/>
          <w:szCs w:val="22"/>
        </w:rPr>
        <w:t xml:space="preserve"> model across South East Wales.</w:t>
      </w:r>
    </w:p>
    <w:p w14:paraId="1F0CB2E8" w14:textId="578F9978" w:rsidR="00626150" w:rsidRPr="00823259" w:rsidRDefault="00626150" w:rsidP="00F60A35">
      <w:pPr>
        <w:numPr>
          <w:ilvl w:val="0"/>
          <w:numId w:val="32"/>
        </w:numPr>
        <w:ind w:left="360"/>
        <w:rPr>
          <w:rFonts w:asciiTheme="minorHAnsi" w:hAnsiTheme="minorHAnsi"/>
          <w:szCs w:val="22"/>
        </w:rPr>
      </w:pPr>
      <w:r w:rsidRPr="00823259">
        <w:rPr>
          <w:rFonts w:asciiTheme="minorHAnsi" w:hAnsiTheme="minorHAnsi"/>
          <w:szCs w:val="22"/>
        </w:rPr>
        <w:t>Develop a Respiratory Pathway with CT</w:t>
      </w:r>
      <w:r w:rsidR="00C815FA">
        <w:rPr>
          <w:rFonts w:asciiTheme="minorHAnsi" w:hAnsiTheme="minorHAnsi"/>
          <w:szCs w:val="22"/>
        </w:rPr>
        <w:t>M</w:t>
      </w:r>
      <w:r w:rsidRPr="00823259">
        <w:rPr>
          <w:rFonts w:asciiTheme="minorHAnsi" w:hAnsiTheme="minorHAnsi"/>
          <w:szCs w:val="22"/>
        </w:rPr>
        <w:t>UHB Primar</w:t>
      </w:r>
      <w:r w:rsidR="00624C4F">
        <w:rPr>
          <w:rFonts w:asciiTheme="minorHAnsi" w:hAnsiTheme="minorHAnsi"/>
          <w:szCs w:val="22"/>
        </w:rPr>
        <w:t xml:space="preserve">y Care Team or Local </w:t>
      </w:r>
      <w:r w:rsidR="00C45824">
        <w:rPr>
          <w:rFonts w:asciiTheme="minorHAnsi" w:hAnsiTheme="minorHAnsi"/>
          <w:szCs w:val="22"/>
        </w:rPr>
        <w:t>Authority</w:t>
      </w:r>
      <w:r w:rsidRPr="00823259">
        <w:rPr>
          <w:rFonts w:asciiTheme="minorHAnsi" w:hAnsiTheme="minorHAnsi"/>
          <w:szCs w:val="22"/>
        </w:rPr>
        <w:t xml:space="preserve"> @ home service to support patient</w:t>
      </w:r>
      <w:r w:rsidR="00796D08">
        <w:rPr>
          <w:rFonts w:asciiTheme="minorHAnsi" w:hAnsiTheme="minorHAnsi"/>
          <w:szCs w:val="22"/>
        </w:rPr>
        <w:t>s</w:t>
      </w:r>
      <w:r w:rsidRPr="00823259">
        <w:rPr>
          <w:rFonts w:asciiTheme="minorHAnsi" w:hAnsiTheme="minorHAnsi"/>
          <w:szCs w:val="22"/>
        </w:rPr>
        <w:t xml:space="preserve"> in their own home</w:t>
      </w:r>
      <w:r w:rsidR="00796D08">
        <w:rPr>
          <w:rFonts w:asciiTheme="minorHAnsi" w:hAnsiTheme="minorHAnsi"/>
          <w:szCs w:val="22"/>
        </w:rPr>
        <w:t>s</w:t>
      </w:r>
      <w:r w:rsidRPr="00823259">
        <w:rPr>
          <w:rFonts w:asciiTheme="minorHAnsi" w:hAnsiTheme="minorHAnsi"/>
          <w:szCs w:val="22"/>
        </w:rPr>
        <w:t xml:space="preserve"> and negating the need to admit to DGH unnecessarily.</w:t>
      </w:r>
    </w:p>
    <w:p w14:paraId="45382954" w14:textId="2E8842C6" w:rsidR="00626150" w:rsidRPr="00A32CB3" w:rsidRDefault="00626150" w:rsidP="00F60A35">
      <w:pPr>
        <w:numPr>
          <w:ilvl w:val="0"/>
          <w:numId w:val="32"/>
        </w:numPr>
        <w:ind w:left="360"/>
        <w:rPr>
          <w:rFonts w:asciiTheme="minorHAnsi" w:hAnsiTheme="minorHAnsi"/>
          <w:szCs w:val="22"/>
        </w:rPr>
      </w:pPr>
      <w:r w:rsidRPr="00823259">
        <w:rPr>
          <w:rFonts w:asciiTheme="minorHAnsi" w:hAnsiTheme="minorHAnsi"/>
          <w:szCs w:val="22"/>
        </w:rPr>
        <w:t>Develop a D&amp;V Pathway with CT</w:t>
      </w:r>
      <w:r w:rsidR="005669E1">
        <w:rPr>
          <w:rFonts w:asciiTheme="minorHAnsi" w:hAnsiTheme="minorHAnsi"/>
          <w:szCs w:val="22"/>
        </w:rPr>
        <w:t>M</w:t>
      </w:r>
      <w:r w:rsidRPr="00823259">
        <w:rPr>
          <w:rFonts w:asciiTheme="minorHAnsi" w:hAnsiTheme="minorHAnsi"/>
          <w:szCs w:val="22"/>
        </w:rPr>
        <w:t>UHB Primary Care Team or L</w:t>
      </w:r>
      <w:r w:rsidR="00041FA3">
        <w:rPr>
          <w:rFonts w:asciiTheme="minorHAnsi" w:hAnsiTheme="minorHAnsi"/>
          <w:szCs w:val="22"/>
        </w:rPr>
        <w:t xml:space="preserve">ocal </w:t>
      </w:r>
      <w:r w:rsidRPr="00823259">
        <w:rPr>
          <w:rFonts w:asciiTheme="minorHAnsi" w:hAnsiTheme="minorHAnsi"/>
          <w:szCs w:val="22"/>
        </w:rPr>
        <w:t>A</w:t>
      </w:r>
      <w:r w:rsidR="00041FA3">
        <w:rPr>
          <w:rFonts w:asciiTheme="minorHAnsi" w:hAnsiTheme="minorHAnsi"/>
          <w:szCs w:val="22"/>
        </w:rPr>
        <w:t>uthority @</w:t>
      </w:r>
      <w:r w:rsidRPr="00823259">
        <w:rPr>
          <w:rFonts w:asciiTheme="minorHAnsi" w:hAnsiTheme="minorHAnsi"/>
          <w:szCs w:val="22"/>
        </w:rPr>
        <w:t>home service to support patient</w:t>
      </w:r>
      <w:r w:rsidR="001217B6">
        <w:rPr>
          <w:rFonts w:asciiTheme="minorHAnsi" w:hAnsiTheme="minorHAnsi"/>
          <w:szCs w:val="22"/>
        </w:rPr>
        <w:t>s</w:t>
      </w:r>
      <w:r w:rsidRPr="00823259">
        <w:rPr>
          <w:rFonts w:asciiTheme="minorHAnsi" w:hAnsiTheme="minorHAnsi"/>
          <w:szCs w:val="22"/>
        </w:rPr>
        <w:t xml:space="preserve"> in their own home</w:t>
      </w:r>
      <w:r w:rsidR="001217B6">
        <w:rPr>
          <w:rFonts w:asciiTheme="minorHAnsi" w:hAnsiTheme="minorHAnsi"/>
          <w:szCs w:val="22"/>
        </w:rPr>
        <w:t>s</w:t>
      </w:r>
      <w:r w:rsidRPr="00823259">
        <w:rPr>
          <w:rFonts w:asciiTheme="minorHAnsi" w:hAnsiTheme="minorHAnsi"/>
          <w:szCs w:val="22"/>
        </w:rPr>
        <w:t xml:space="preserve"> and negating the need to admit to DGH unnecessarily.</w:t>
      </w:r>
    </w:p>
    <w:p w14:paraId="13EC8C6D" w14:textId="77777777" w:rsidR="00626150" w:rsidRPr="003D0778" w:rsidRDefault="00626150" w:rsidP="003853B9">
      <w:pPr>
        <w:pStyle w:val="Heading4"/>
      </w:pPr>
      <w:r w:rsidRPr="003D0778">
        <w:t>Ward Based Care</w:t>
      </w:r>
    </w:p>
    <w:p w14:paraId="74D3E838" w14:textId="77777777" w:rsidR="00626150" w:rsidRPr="003D0778" w:rsidRDefault="00626150" w:rsidP="00626150">
      <w:pPr>
        <w:rPr>
          <w:rFonts w:asciiTheme="minorHAnsi" w:hAnsiTheme="minorHAnsi"/>
          <w:szCs w:val="22"/>
        </w:rPr>
      </w:pPr>
      <w:r w:rsidRPr="003D0778">
        <w:rPr>
          <w:rFonts w:asciiTheme="minorHAnsi" w:hAnsiTheme="minorHAnsi"/>
          <w:szCs w:val="22"/>
        </w:rPr>
        <w:t>Many of the bottle necks and delays within the system occur during the early part of the day and weekend discharge rates are minimal.  Plans are already being implemented to:</w:t>
      </w:r>
    </w:p>
    <w:p w14:paraId="00809626" w14:textId="77777777" w:rsidR="00626150" w:rsidRPr="003D0778" w:rsidRDefault="00626150" w:rsidP="00626150">
      <w:pPr>
        <w:pStyle w:val="NormaBullet"/>
        <w:rPr>
          <w:szCs w:val="22"/>
        </w:rPr>
      </w:pPr>
      <w:r w:rsidRPr="003D0778">
        <w:rPr>
          <w:szCs w:val="22"/>
        </w:rPr>
        <w:t>Continue the daily multidisciplinary board rounds on D</w:t>
      </w:r>
      <w:r>
        <w:rPr>
          <w:szCs w:val="22"/>
        </w:rPr>
        <w:t xml:space="preserve">istrict </w:t>
      </w:r>
      <w:r w:rsidRPr="003D0778">
        <w:rPr>
          <w:szCs w:val="22"/>
        </w:rPr>
        <w:t>G</w:t>
      </w:r>
      <w:r>
        <w:rPr>
          <w:szCs w:val="22"/>
        </w:rPr>
        <w:t xml:space="preserve">eneral </w:t>
      </w:r>
      <w:r w:rsidRPr="003D0778">
        <w:rPr>
          <w:szCs w:val="22"/>
        </w:rPr>
        <w:t>H</w:t>
      </w:r>
      <w:r>
        <w:rPr>
          <w:szCs w:val="22"/>
        </w:rPr>
        <w:t>ospital (DGH)</w:t>
      </w:r>
      <w:r w:rsidRPr="003D0778">
        <w:rPr>
          <w:szCs w:val="22"/>
        </w:rPr>
        <w:t xml:space="preserve"> sites.</w:t>
      </w:r>
    </w:p>
    <w:p w14:paraId="600CCF33" w14:textId="77777777" w:rsidR="00626150" w:rsidRPr="003D0778" w:rsidRDefault="00626150" w:rsidP="00626150">
      <w:pPr>
        <w:pStyle w:val="NormaBullet"/>
        <w:rPr>
          <w:szCs w:val="22"/>
        </w:rPr>
      </w:pPr>
      <w:r w:rsidRPr="003D0778">
        <w:rPr>
          <w:szCs w:val="22"/>
        </w:rPr>
        <w:t>Monitor the implementation of the anticipated day of discharge model on all hospital sites in line with the frailty model.</w:t>
      </w:r>
    </w:p>
    <w:p w14:paraId="6675B57D" w14:textId="77777777" w:rsidR="00626150" w:rsidRPr="003D0778" w:rsidRDefault="00626150" w:rsidP="00626150">
      <w:pPr>
        <w:pStyle w:val="NormaBullet"/>
        <w:rPr>
          <w:szCs w:val="22"/>
        </w:rPr>
      </w:pPr>
      <w:r w:rsidRPr="003D0778">
        <w:rPr>
          <w:szCs w:val="22"/>
        </w:rPr>
        <w:t>Monitor implementation of criteria led discharge across all hospital sites.</w:t>
      </w:r>
    </w:p>
    <w:p w14:paraId="4CC0592C" w14:textId="77777777" w:rsidR="00626150" w:rsidRPr="003D0778" w:rsidRDefault="00626150" w:rsidP="00626150">
      <w:pPr>
        <w:pStyle w:val="NormaBullet"/>
        <w:rPr>
          <w:szCs w:val="22"/>
        </w:rPr>
      </w:pPr>
      <w:r w:rsidRPr="003D0778">
        <w:rPr>
          <w:szCs w:val="22"/>
        </w:rPr>
        <w:t>Utilise the discharge lounges facilities on each DGH site.</w:t>
      </w:r>
    </w:p>
    <w:p w14:paraId="0A29C1E2" w14:textId="77777777" w:rsidR="00626150" w:rsidRPr="003D0778" w:rsidRDefault="00626150" w:rsidP="00626150">
      <w:pPr>
        <w:pStyle w:val="NormaBullet"/>
        <w:rPr>
          <w:szCs w:val="22"/>
        </w:rPr>
      </w:pPr>
      <w:r w:rsidRPr="003D0778">
        <w:rPr>
          <w:szCs w:val="22"/>
        </w:rPr>
        <w:t>Audit and monitor the live bed management/patient transfer system.</w:t>
      </w:r>
    </w:p>
    <w:p w14:paraId="7EFFA6DB" w14:textId="77777777" w:rsidR="00626150" w:rsidRPr="003D0778" w:rsidRDefault="00626150" w:rsidP="00626150">
      <w:pPr>
        <w:pStyle w:val="NormaBullet"/>
        <w:rPr>
          <w:szCs w:val="22"/>
        </w:rPr>
      </w:pPr>
      <w:r w:rsidRPr="003D0778">
        <w:rPr>
          <w:szCs w:val="22"/>
        </w:rPr>
        <w:t>Continue with daily deep dives at each of the community hospitals.</w:t>
      </w:r>
    </w:p>
    <w:p w14:paraId="15309155" w14:textId="77777777" w:rsidR="000D2DBB" w:rsidRPr="003D0778" w:rsidRDefault="000D2DBB" w:rsidP="003853B9">
      <w:pPr>
        <w:pStyle w:val="Heading4"/>
      </w:pPr>
      <w:r w:rsidRPr="003D0778">
        <w:lastRenderedPageBreak/>
        <w:t>Supporting the Emergency Department</w:t>
      </w:r>
    </w:p>
    <w:p w14:paraId="64DD0C6A" w14:textId="77777777" w:rsidR="00626150" w:rsidRPr="003D0778" w:rsidRDefault="00626150" w:rsidP="00626150">
      <w:pPr>
        <w:rPr>
          <w:rFonts w:asciiTheme="minorHAnsi" w:hAnsiTheme="minorHAnsi"/>
          <w:szCs w:val="22"/>
        </w:rPr>
      </w:pPr>
      <w:r w:rsidRPr="003D0778">
        <w:rPr>
          <w:rFonts w:asciiTheme="minorHAnsi" w:hAnsiTheme="minorHAnsi"/>
          <w:szCs w:val="22"/>
        </w:rPr>
        <w:t>A range of actions are already underway to improve system performance in the acute part of the unscheduled care pathway and these include:</w:t>
      </w:r>
    </w:p>
    <w:p w14:paraId="0F32308D" w14:textId="6D3CE13D" w:rsidR="00626150" w:rsidRPr="003D0778" w:rsidRDefault="00626150" w:rsidP="00626150">
      <w:pPr>
        <w:pStyle w:val="NormaBullet"/>
        <w:rPr>
          <w:color w:val="000000" w:themeColor="text1"/>
          <w:szCs w:val="22"/>
        </w:rPr>
      </w:pPr>
      <w:r w:rsidRPr="003D0778">
        <w:rPr>
          <w:color w:val="000000" w:themeColor="text1"/>
          <w:szCs w:val="22"/>
        </w:rPr>
        <w:t xml:space="preserve">Establishment of Ambulatory Emergency Surgical Unit (AESU) in </w:t>
      </w:r>
      <w:r w:rsidR="00E32360">
        <w:rPr>
          <w:color w:val="000000" w:themeColor="text1"/>
          <w:szCs w:val="22"/>
        </w:rPr>
        <w:t>POWH</w:t>
      </w:r>
      <w:r w:rsidRPr="003D0778">
        <w:rPr>
          <w:color w:val="000000" w:themeColor="text1"/>
          <w:szCs w:val="22"/>
        </w:rPr>
        <w:t xml:space="preserve"> to improve performance within the </w:t>
      </w:r>
      <w:r w:rsidR="00880EE0">
        <w:rPr>
          <w:color w:val="000000" w:themeColor="text1"/>
          <w:szCs w:val="22"/>
        </w:rPr>
        <w:t>ED</w:t>
      </w:r>
      <w:r w:rsidRPr="003D0778">
        <w:rPr>
          <w:color w:val="000000" w:themeColor="text1"/>
          <w:szCs w:val="22"/>
        </w:rPr>
        <w:t xml:space="preserve"> in re-routing patients from ED to the AESU, improve patient flow and improve 4 hour target compliance. </w:t>
      </w:r>
    </w:p>
    <w:p w14:paraId="137D563C" w14:textId="62747D77" w:rsidR="00626150" w:rsidRPr="0040789E" w:rsidRDefault="00626150" w:rsidP="00626150">
      <w:pPr>
        <w:pStyle w:val="NormaBullet"/>
        <w:rPr>
          <w:szCs w:val="22"/>
        </w:rPr>
      </w:pPr>
      <w:r w:rsidRPr="003D0778">
        <w:rPr>
          <w:color w:val="000000" w:themeColor="text1"/>
          <w:szCs w:val="22"/>
        </w:rPr>
        <w:t xml:space="preserve">Establishment of a frailty at front door service in </w:t>
      </w:r>
      <w:r w:rsidR="00E32360">
        <w:rPr>
          <w:color w:val="000000" w:themeColor="text1"/>
          <w:szCs w:val="22"/>
        </w:rPr>
        <w:t>POWH</w:t>
      </w:r>
      <w:r w:rsidRPr="003D0778">
        <w:rPr>
          <w:color w:val="000000" w:themeColor="text1"/>
          <w:szCs w:val="22"/>
        </w:rPr>
        <w:t xml:space="preserve"> with </w:t>
      </w:r>
      <w:r w:rsidR="00F95251">
        <w:rPr>
          <w:color w:val="000000" w:themeColor="text1"/>
          <w:szCs w:val="22"/>
        </w:rPr>
        <w:t xml:space="preserve">a </w:t>
      </w:r>
      <w:r w:rsidRPr="003D0778">
        <w:rPr>
          <w:color w:val="000000" w:themeColor="text1"/>
          <w:szCs w:val="22"/>
        </w:rPr>
        <w:t xml:space="preserve">multi-disciplinary front door assessment service to deliver comprehensive geriatric assessment for older patients attending the </w:t>
      </w:r>
      <w:r w:rsidR="00E32360">
        <w:rPr>
          <w:color w:val="000000" w:themeColor="text1"/>
          <w:szCs w:val="22"/>
        </w:rPr>
        <w:t>POWH</w:t>
      </w:r>
      <w:r w:rsidRPr="003D0778">
        <w:rPr>
          <w:color w:val="000000" w:themeColor="text1"/>
          <w:szCs w:val="22"/>
        </w:rPr>
        <w:t xml:space="preserve"> Acute Medical Unit and ED to ensure all suitable patients have an early assessment and follow the appropriate pathway to meet their needs.</w:t>
      </w:r>
    </w:p>
    <w:p w14:paraId="4A61FA70" w14:textId="4F0EB9A3" w:rsidR="00626150" w:rsidRDefault="00626150" w:rsidP="00626150">
      <w:pPr>
        <w:pStyle w:val="NormaBullet"/>
        <w:rPr>
          <w:szCs w:val="22"/>
        </w:rPr>
      </w:pPr>
      <w:r w:rsidRPr="003D0778">
        <w:rPr>
          <w:szCs w:val="22"/>
        </w:rPr>
        <w:t>Ambulatory care facilities</w:t>
      </w:r>
      <w:r>
        <w:rPr>
          <w:szCs w:val="22"/>
        </w:rPr>
        <w:t>, including</w:t>
      </w:r>
      <w:r w:rsidRPr="003D0778">
        <w:rPr>
          <w:szCs w:val="22"/>
        </w:rPr>
        <w:t xml:space="preserve"> </w:t>
      </w:r>
      <w:r w:rsidRPr="003D0778">
        <w:rPr>
          <w:color w:val="000000" w:themeColor="text1"/>
          <w:szCs w:val="22"/>
        </w:rPr>
        <w:t>Age Connect Morgannwg early discharge support service</w:t>
      </w:r>
      <w:r>
        <w:rPr>
          <w:color w:val="000000" w:themeColor="text1"/>
          <w:szCs w:val="22"/>
        </w:rPr>
        <w:t>,</w:t>
      </w:r>
      <w:r w:rsidRPr="003D0778">
        <w:rPr>
          <w:color w:val="000000" w:themeColor="text1"/>
          <w:szCs w:val="22"/>
        </w:rPr>
        <w:t xml:space="preserve"> </w:t>
      </w:r>
      <w:r w:rsidRPr="003D0778">
        <w:rPr>
          <w:szCs w:val="22"/>
        </w:rPr>
        <w:t xml:space="preserve">are aligned with the </w:t>
      </w:r>
      <w:r w:rsidR="00880EE0">
        <w:rPr>
          <w:szCs w:val="22"/>
        </w:rPr>
        <w:t>ED</w:t>
      </w:r>
      <w:r w:rsidRPr="003D0778">
        <w:rPr>
          <w:szCs w:val="22"/>
        </w:rPr>
        <w:t xml:space="preserve">s on </w:t>
      </w:r>
      <w:r>
        <w:rPr>
          <w:szCs w:val="22"/>
        </w:rPr>
        <w:t>all</w:t>
      </w:r>
      <w:r w:rsidRPr="003D0778">
        <w:rPr>
          <w:szCs w:val="22"/>
        </w:rPr>
        <w:t xml:space="preserve"> acute sites.</w:t>
      </w:r>
    </w:p>
    <w:p w14:paraId="2BD16ED5" w14:textId="17D930C0" w:rsidR="00626150" w:rsidRPr="003D0778" w:rsidRDefault="00626150" w:rsidP="00626150">
      <w:pPr>
        <w:pStyle w:val="NormaBullet"/>
        <w:rPr>
          <w:szCs w:val="22"/>
        </w:rPr>
      </w:pPr>
      <w:r>
        <w:rPr>
          <w:szCs w:val="22"/>
        </w:rPr>
        <w:t xml:space="preserve">Following a meeting with </w:t>
      </w:r>
      <w:r w:rsidR="00897141">
        <w:rPr>
          <w:szCs w:val="22"/>
        </w:rPr>
        <w:t>WG</w:t>
      </w:r>
      <w:r>
        <w:rPr>
          <w:szCs w:val="22"/>
        </w:rPr>
        <w:t xml:space="preserve"> joining other </w:t>
      </w:r>
      <w:r w:rsidR="00880EE0">
        <w:rPr>
          <w:szCs w:val="22"/>
        </w:rPr>
        <w:t>ED</w:t>
      </w:r>
      <w:r>
        <w:rPr>
          <w:szCs w:val="22"/>
        </w:rPr>
        <w:t xml:space="preserve">s in Wales to host the British Red Cross “Well Being and Home Safe Service” which is a volunteer led </w:t>
      </w:r>
      <w:r w:rsidRPr="00A11A70">
        <w:rPr>
          <w:szCs w:val="22"/>
        </w:rPr>
        <w:t xml:space="preserve">service.  The service will be operational from December 2019 at </w:t>
      </w:r>
      <w:r w:rsidR="00620451" w:rsidRPr="00A11A70">
        <w:rPr>
          <w:szCs w:val="22"/>
        </w:rPr>
        <w:t>PCH</w:t>
      </w:r>
      <w:r>
        <w:rPr>
          <w:szCs w:val="22"/>
        </w:rPr>
        <w:t xml:space="preserve"> </w:t>
      </w:r>
      <w:r w:rsidR="00620451">
        <w:rPr>
          <w:szCs w:val="22"/>
        </w:rPr>
        <w:t>and RGH</w:t>
      </w:r>
      <w:r>
        <w:rPr>
          <w:szCs w:val="22"/>
        </w:rPr>
        <w:t>, 10 hours a day 7 days a week.</w:t>
      </w:r>
      <w:r w:rsidR="00A11A70">
        <w:rPr>
          <w:szCs w:val="22"/>
        </w:rPr>
        <w:t xml:space="preserve"> </w:t>
      </w:r>
      <w:r>
        <w:rPr>
          <w:szCs w:val="22"/>
        </w:rPr>
        <w:t xml:space="preserve"> The service has been operational at </w:t>
      </w:r>
      <w:r w:rsidR="00E32360">
        <w:rPr>
          <w:szCs w:val="22"/>
        </w:rPr>
        <w:t>POWH</w:t>
      </w:r>
      <w:r w:rsidR="00620451">
        <w:rPr>
          <w:szCs w:val="22"/>
        </w:rPr>
        <w:t xml:space="preserve"> </w:t>
      </w:r>
      <w:r w:rsidR="00D50C1C">
        <w:rPr>
          <w:szCs w:val="22"/>
        </w:rPr>
        <w:t>over the last year</w:t>
      </w:r>
      <w:r>
        <w:rPr>
          <w:szCs w:val="22"/>
        </w:rPr>
        <w:t xml:space="preserve"> as part of a pilot project. </w:t>
      </w:r>
    </w:p>
    <w:p w14:paraId="1C95BA8C" w14:textId="77777777" w:rsidR="00626150" w:rsidRPr="003D0778" w:rsidRDefault="00626150" w:rsidP="00626150">
      <w:pPr>
        <w:pStyle w:val="NormaBullet"/>
        <w:rPr>
          <w:szCs w:val="22"/>
        </w:rPr>
      </w:pPr>
      <w:r w:rsidRPr="003D0778">
        <w:rPr>
          <w:szCs w:val="22"/>
        </w:rPr>
        <w:t>Psychiatric liaison and crisis resolution services</w:t>
      </w:r>
      <w:r>
        <w:rPr>
          <w:szCs w:val="22"/>
        </w:rPr>
        <w:t>.</w:t>
      </w:r>
    </w:p>
    <w:p w14:paraId="3722462E" w14:textId="004D0A7A" w:rsidR="00626150" w:rsidRPr="003D0778" w:rsidRDefault="00626150" w:rsidP="00626150">
      <w:pPr>
        <w:pStyle w:val="NormaBullet"/>
        <w:rPr>
          <w:color w:val="000000" w:themeColor="text1"/>
          <w:szCs w:val="22"/>
        </w:rPr>
      </w:pPr>
      <w:r w:rsidRPr="003D0778">
        <w:rPr>
          <w:color w:val="000000" w:themeColor="text1"/>
          <w:szCs w:val="22"/>
        </w:rPr>
        <w:t xml:space="preserve">Review on a case by case basis those patients who remain in the </w:t>
      </w:r>
      <w:r w:rsidR="00880EE0">
        <w:rPr>
          <w:color w:val="000000" w:themeColor="text1"/>
          <w:szCs w:val="22"/>
        </w:rPr>
        <w:t>ED</w:t>
      </w:r>
      <w:r w:rsidRPr="003D0778">
        <w:rPr>
          <w:color w:val="000000" w:themeColor="text1"/>
          <w:szCs w:val="22"/>
        </w:rPr>
        <w:t xml:space="preserve"> over 12 hours to understand the reasons and highlight issues within the patient pathway.</w:t>
      </w:r>
    </w:p>
    <w:p w14:paraId="38EB2AD4" w14:textId="77777777" w:rsidR="00626150" w:rsidRPr="003D0778" w:rsidRDefault="00626150" w:rsidP="00626150">
      <w:pPr>
        <w:pStyle w:val="NormaBullet"/>
        <w:rPr>
          <w:szCs w:val="22"/>
        </w:rPr>
      </w:pPr>
      <w:r w:rsidRPr="003D0778">
        <w:rPr>
          <w:szCs w:val="22"/>
        </w:rPr>
        <w:t>Dedicated space on each DGH site to protect minor injuries stream.</w:t>
      </w:r>
    </w:p>
    <w:p w14:paraId="30D6D1DF" w14:textId="77777777" w:rsidR="00626150" w:rsidRPr="003D0778" w:rsidRDefault="00626150" w:rsidP="00626150">
      <w:pPr>
        <w:pStyle w:val="NormaBullet"/>
        <w:rPr>
          <w:color w:val="000000" w:themeColor="text1"/>
          <w:szCs w:val="22"/>
        </w:rPr>
      </w:pPr>
      <w:r w:rsidRPr="003D0778">
        <w:rPr>
          <w:color w:val="000000" w:themeColor="text1"/>
          <w:szCs w:val="22"/>
        </w:rPr>
        <w:t>Further develop Consultant in Acute Medicine model to improve cross cover and depth of Consultant cover and in-reach into the ED to cover medical intake.</w:t>
      </w:r>
    </w:p>
    <w:p w14:paraId="3C3E1D19" w14:textId="77777777" w:rsidR="00626150" w:rsidRDefault="00626150" w:rsidP="00626150">
      <w:pPr>
        <w:pStyle w:val="NormaBullet"/>
        <w:rPr>
          <w:color w:val="000000" w:themeColor="text1"/>
          <w:szCs w:val="22"/>
        </w:rPr>
      </w:pPr>
      <w:r w:rsidRPr="003D0778">
        <w:rPr>
          <w:color w:val="000000" w:themeColor="text1"/>
          <w:szCs w:val="22"/>
        </w:rPr>
        <w:t xml:space="preserve">Increase senior decision maker medical workforce and develop robust models for practitioner and nursing workforce to ensure sustainable emergency medicine model. </w:t>
      </w:r>
    </w:p>
    <w:p w14:paraId="35EF0DB1" w14:textId="3C1449CC" w:rsidR="00626150" w:rsidRDefault="00620451" w:rsidP="00626150">
      <w:pPr>
        <w:pStyle w:val="NormaBullet"/>
        <w:rPr>
          <w:color w:val="000000" w:themeColor="text1"/>
          <w:szCs w:val="22"/>
        </w:rPr>
      </w:pPr>
      <w:r>
        <w:rPr>
          <w:color w:val="000000" w:themeColor="text1"/>
          <w:szCs w:val="22"/>
        </w:rPr>
        <w:t xml:space="preserve">WG </w:t>
      </w:r>
      <w:r w:rsidR="00626150">
        <w:rPr>
          <w:color w:val="000000" w:themeColor="text1"/>
          <w:szCs w:val="22"/>
        </w:rPr>
        <w:t xml:space="preserve">has allocated funding to all </w:t>
      </w:r>
      <w:r w:rsidR="00411B9E">
        <w:rPr>
          <w:color w:val="000000" w:themeColor="text1"/>
          <w:szCs w:val="22"/>
        </w:rPr>
        <w:t>Health Board</w:t>
      </w:r>
      <w:r w:rsidR="00626150">
        <w:rPr>
          <w:color w:val="000000" w:themeColor="text1"/>
          <w:szCs w:val="22"/>
        </w:rPr>
        <w:t>s for a frequent attenders service. Two Case Managers and admin assistants have been funded until the end of the financial year.   Clinically led frequent attenders meetings are now held on a regularly basis on each site.</w:t>
      </w:r>
    </w:p>
    <w:p w14:paraId="2EED0F53" w14:textId="7C01D88E" w:rsidR="00626150" w:rsidRPr="00D468B9" w:rsidRDefault="00626150" w:rsidP="00626150">
      <w:pPr>
        <w:pStyle w:val="NormaBullet"/>
        <w:rPr>
          <w:rFonts w:asciiTheme="minorHAnsi" w:hAnsiTheme="minorHAnsi"/>
          <w:color w:val="000000" w:themeColor="text1"/>
          <w:szCs w:val="22"/>
        </w:rPr>
      </w:pPr>
      <w:r w:rsidRPr="0029374E">
        <w:rPr>
          <w:rFonts w:asciiTheme="minorHAnsi" w:hAnsiTheme="minorHAnsi"/>
        </w:rPr>
        <w:t>As mentioned previously the SW@HT service including a skill mix of social workers, occupational therapists, occupational therapy technicians and physiotherapists, working seven days a week from 8am to 8pm, will undertake assessment at EDs and support individuals to be discharged home. SW@HT will access a four hour response from social care and the nursing @home service to ensure appropriate support can be provide in the community to ensure a safe timely discharge</w:t>
      </w:r>
      <w:r w:rsidR="003A1310">
        <w:rPr>
          <w:rFonts w:asciiTheme="minorHAnsi" w:hAnsiTheme="minorHAnsi"/>
        </w:rPr>
        <w:t>.</w:t>
      </w:r>
    </w:p>
    <w:p w14:paraId="4C822AAD" w14:textId="38ABFBBA" w:rsidR="00D468B9" w:rsidRPr="00626150" w:rsidRDefault="00D468B9" w:rsidP="00626150">
      <w:pPr>
        <w:pStyle w:val="NormaBullet"/>
        <w:rPr>
          <w:rFonts w:asciiTheme="minorHAnsi" w:hAnsiTheme="minorHAnsi"/>
          <w:color w:val="000000" w:themeColor="text1"/>
          <w:szCs w:val="22"/>
        </w:rPr>
      </w:pPr>
      <w:r>
        <w:rPr>
          <w:rFonts w:asciiTheme="minorHAnsi" w:hAnsiTheme="minorHAnsi"/>
        </w:rPr>
        <w:t>Implementation of the new ED Clinical Information and Management System (</w:t>
      </w:r>
      <w:r w:rsidRPr="00D468B9">
        <w:rPr>
          <w:rFonts w:asciiTheme="minorHAnsi" w:hAnsiTheme="minorHAnsi"/>
          <w:b/>
        </w:rPr>
        <w:t>section 8.2.1.2</w:t>
      </w:r>
      <w:r>
        <w:rPr>
          <w:rFonts w:asciiTheme="minorHAnsi" w:hAnsiTheme="minorHAnsi"/>
        </w:rPr>
        <w:t>).</w:t>
      </w:r>
    </w:p>
    <w:p w14:paraId="5CB18524" w14:textId="77777777" w:rsidR="00626150" w:rsidRPr="00B36DE2" w:rsidRDefault="00626150" w:rsidP="003853B9">
      <w:pPr>
        <w:pStyle w:val="Heading4"/>
      </w:pPr>
      <w:r w:rsidRPr="00B36DE2">
        <w:t>Discharge and Locality Based Care</w:t>
      </w:r>
    </w:p>
    <w:p w14:paraId="214D9889" w14:textId="77777777" w:rsidR="00626150" w:rsidRDefault="00626150" w:rsidP="00626150">
      <w:pPr>
        <w:rPr>
          <w:rFonts w:asciiTheme="minorHAnsi" w:hAnsiTheme="minorHAnsi"/>
          <w:color w:val="000000"/>
        </w:rPr>
      </w:pPr>
      <w:r>
        <w:rPr>
          <w:rFonts w:asciiTheme="minorHAnsi" w:hAnsiTheme="minorHAnsi"/>
          <w:color w:val="000000"/>
        </w:rPr>
        <w:t>As mentioned above, as one of the Transformational Fund requirements, one element of current community health service provision which requests a key development in the shift to “out of hospital” care to date, is our @Home Single Point of Access which includes a range of clinical interventions supported by Triage:</w:t>
      </w:r>
    </w:p>
    <w:p w14:paraId="38E18D2C" w14:textId="77777777" w:rsidR="00626150" w:rsidRDefault="00626150" w:rsidP="00F60A35">
      <w:pPr>
        <w:pStyle w:val="ListParagraph"/>
        <w:numPr>
          <w:ilvl w:val="0"/>
          <w:numId w:val="34"/>
        </w:numPr>
        <w:rPr>
          <w:rFonts w:asciiTheme="minorHAnsi" w:hAnsiTheme="minorHAnsi"/>
          <w:color w:val="000000"/>
        </w:rPr>
      </w:pPr>
      <w:r>
        <w:rPr>
          <w:rFonts w:asciiTheme="minorHAnsi" w:hAnsiTheme="minorHAnsi"/>
          <w:color w:val="000000"/>
        </w:rPr>
        <w:t>Cons</w:t>
      </w:r>
      <w:r w:rsidRPr="00A32CB3">
        <w:rPr>
          <w:rFonts w:asciiTheme="minorHAnsi" w:hAnsiTheme="minorHAnsi"/>
          <w:color w:val="000000"/>
        </w:rPr>
        <w:t xml:space="preserve">ultant </w:t>
      </w:r>
      <w:r>
        <w:rPr>
          <w:rFonts w:asciiTheme="minorHAnsi" w:hAnsiTheme="minorHAnsi"/>
          <w:color w:val="000000"/>
        </w:rPr>
        <w:t>led assessment (72 hour)</w:t>
      </w:r>
    </w:p>
    <w:p w14:paraId="3FF19CD0" w14:textId="77777777" w:rsidR="00626150" w:rsidRDefault="00626150" w:rsidP="00F60A35">
      <w:pPr>
        <w:pStyle w:val="ListParagraph"/>
        <w:numPr>
          <w:ilvl w:val="0"/>
          <w:numId w:val="34"/>
        </w:numPr>
        <w:rPr>
          <w:rFonts w:asciiTheme="minorHAnsi" w:hAnsiTheme="minorHAnsi"/>
          <w:color w:val="000000"/>
        </w:rPr>
      </w:pPr>
      <w:r>
        <w:rPr>
          <w:rFonts w:asciiTheme="minorHAnsi" w:hAnsiTheme="minorHAnsi"/>
          <w:color w:val="000000"/>
        </w:rPr>
        <w:t>Initial Registered Nurse Response (4 hour)</w:t>
      </w:r>
    </w:p>
    <w:p w14:paraId="3319AA82" w14:textId="77777777" w:rsidR="00626150" w:rsidRDefault="00626150" w:rsidP="00F60A35">
      <w:pPr>
        <w:pStyle w:val="ListParagraph"/>
        <w:numPr>
          <w:ilvl w:val="0"/>
          <w:numId w:val="34"/>
        </w:numPr>
        <w:rPr>
          <w:rFonts w:asciiTheme="minorHAnsi" w:hAnsiTheme="minorHAnsi"/>
          <w:color w:val="000000"/>
        </w:rPr>
      </w:pPr>
      <w:r>
        <w:rPr>
          <w:rFonts w:asciiTheme="minorHAnsi" w:hAnsiTheme="minorHAnsi"/>
          <w:color w:val="000000"/>
        </w:rPr>
        <w:t>Community IV intervention (same day)</w:t>
      </w:r>
    </w:p>
    <w:p w14:paraId="7AAF19FC" w14:textId="3D60118F" w:rsidR="00626150" w:rsidRDefault="00626150" w:rsidP="00F60A35">
      <w:pPr>
        <w:pStyle w:val="ListParagraph"/>
        <w:numPr>
          <w:ilvl w:val="0"/>
          <w:numId w:val="34"/>
        </w:numPr>
        <w:rPr>
          <w:rFonts w:asciiTheme="minorHAnsi" w:hAnsiTheme="minorHAnsi"/>
          <w:color w:val="000000"/>
        </w:rPr>
      </w:pPr>
      <w:r>
        <w:rPr>
          <w:rFonts w:asciiTheme="minorHAnsi" w:hAnsiTheme="minorHAnsi"/>
          <w:color w:val="000000"/>
        </w:rPr>
        <w:t xml:space="preserve">Community replacement fluids </w:t>
      </w:r>
      <w:r w:rsidR="0038668B">
        <w:rPr>
          <w:rFonts w:asciiTheme="minorHAnsi" w:hAnsiTheme="minorHAnsi"/>
          <w:color w:val="000000"/>
        </w:rPr>
        <w:t>e.g.</w:t>
      </w:r>
      <w:r>
        <w:rPr>
          <w:rFonts w:asciiTheme="minorHAnsi" w:hAnsiTheme="minorHAnsi"/>
          <w:color w:val="000000"/>
        </w:rPr>
        <w:t xml:space="preserve"> subcutaneous.</w:t>
      </w:r>
    </w:p>
    <w:p w14:paraId="2A84D3CE" w14:textId="77777777" w:rsidR="00626150" w:rsidRDefault="00626150" w:rsidP="00626150">
      <w:pPr>
        <w:rPr>
          <w:rFonts w:asciiTheme="minorHAnsi" w:hAnsiTheme="minorHAnsi"/>
          <w:color w:val="000000"/>
        </w:rPr>
      </w:pPr>
    </w:p>
    <w:p w14:paraId="44BE5808" w14:textId="77777777" w:rsidR="00626150" w:rsidRPr="00A32CB3" w:rsidRDefault="00626150" w:rsidP="00626150">
      <w:pPr>
        <w:rPr>
          <w:rFonts w:asciiTheme="minorHAnsi" w:hAnsiTheme="minorHAnsi"/>
          <w:color w:val="000000"/>
        </w:rPr>
      </w:pPr>
      <w:r>
        <w:rPr>
          <w:rFonts w:asciiTheme="minorHAnsi" w:hAnsiTheme="minorHAnsi"/>
          <w:color w:val="000000"/>
        </w:rPr>
        <w:t>These services help bridge the gap between core primary/community and secondary care services and support our district nursing and GP colleagues in complex assessment and care in the community.</w:t>
      </w:r>
    </w:p>
    <w:p w14:paraId="20C8560F" w14:textId="77777777" w:rsidR="00E02C36" w:rsidRDefault="000D2DBB" w:rsidP="003853B9">
      <w:pPr>
        <w:pStyle w:val="Heading4"/>
        <w:rPr>
          <w:color w:val="943634" w:themeColor="accent2" w:themeShade="BF"/>
        </w:rPr>
      </w:pPr>
      <w:r w:rsidRPr="003D0778">
        <w:t>Summary of other key areas of work particularly over the Winter Period</w:t>
      </w:r>
    </w:p>
    <w:p w14:paraId="42A2E245" w14:textId="1BA9000A" w:rsidR="00E02C36" w:rsidRDefault="00E02C36" w:rsidP="00E02C36">
      <w:pPr>
        <w:rPr>
          <w:rStyle w:val="Hyperlink"/>
          <w:rFonts w:asciiTheme="minorHAnsi" w:eastAsiaTheme="majorEastAsia" w:hAnsiTheme="minorHAnsi" w:cs="Tahoma"/>
          <w:color w:val="943634" w:themeColor="accent2" w:themeShade="BF"/>
          <w:szCs w:val="22"/>
        </w:rPr>
      </w:pPr>
      <w:r w:rsidRPr="00A537E3">
        <w:rPr>
          <w:rFonts w:asciiTheme="minorHAnsi" w:hAnsiTheme="minorHAnsi"/>
          <w:szCs w:val="22"/>
        </w:rPr>
        <w:t xml:space="preserve">Further information on these initiatives is detailed within our </w:t>
      </w:r>
      <w:hyperlink r:id="rId73" w:history="1">
        <w:r w:rsidRPr="00A537E3">
          <w:rPr>
            <w:rStyle w:val="Hyperlink"/>
            <w:rFonts w:asciiTheme="minorHAnsi" w:eastAsiaTheme="majorEastAsia" w:hAnsiTheme="minorHAnsi" w:cs="Tahoma"/>
            <w:color w:val="auto"/>
            <w:szCs w:val="22"/>
          </w:rPr>
          <w:t xml:space="preserve">Winter Plan </w:t>
        </w:r>
        <w:r w:rsidR="00A537E3" w:rsidRPr="00A537E3">
          <w:rPr>
            <w:rStyle w:val="Hyperlink"/>
            <w:rFonts w:asciiTheme="minorHAnsi" w:eastAsiaTheme="majorEastAsia" w:hAnsiTheme="minorHAnsi" w:cs="Tahoma"/>
            <w:color w:val="auto"/>
            <w:szCs w:val="22"/>
          </w:rPr>
          <w:t>2019/20</w:t>
        </w:r>
      </w:hyperlink>
      <w:r w:rsidRPr="00A537E3">
        <w:rPr>
          <w:rStyle w:val="Hyperlink"/>
          <w:rFonts w:asciiTheme="minorHAnsi" w:eastAsiaTheme="majorEastAsia" w:hAnsiTheme="minorHAnsi" w:cs="Tahoma"/>
          <w:color w:val="943634" w:themeColor="accent2" w:themeShade="BF"/>
          <w:szCs w:val="22"/>
        </w:rPr>
        <w:t>.</w:t>
      </w:r>
    </w:p>
    <w:p w14:paraId="744F1F82" w14:textId="77777777" w:rsidR="000D2DBB" w:rsidRPr="003D0778" w:rsidRDefault="000D2DBB" w:rsidP="000D2DBB">
      <w:pPr>
        <w:rPr>
          <w:rFonts w:asciiTheme="minorHAnsi" w:hAnsiTheme="minorHAnsi"/>
          <w:b/>
          <w:bCs/>
          <w:szCs w:val="22"/>
        </w:rPr>
      </w:pPr>
    </w:p>
    <w:p w14:paraId="1A78AE66" w14:textId="77777777" w:rsidR="000D2DBB" w:rsidRPr="003D0778" w:rsidRDefault="000D2DBB" w:rsidP="000D2DBB">
      <w:pPr>
        <w:rPr>
          <w:rFonts w:asciiTheme="minorHAnsi" w:hAnsiTheme="minorHAnsi"/>
          <w:szCs w:val="22"/>
        </w:rPr>
      </w:pPr>
      <w:r w:rsidRPr="003D0778">
        <w:rPr>
          <w:rFonts w:asciiTheme="minorHAnsi" w:hAnsiTheme="minorHAnsi"/>
          <w:szCs w:val="22"/>
        </w:rPr>
        <w:t>Work on patient flow across the whole healthcare system continues with implementation of the following interventions:</w:t>
      </w:r>
    </w:p>
    <w:p w14:paraId="574C4ACA" w14:textId="77777777" w:rsidR="00626150" w:rsidRPr="003D0778" w:rsidRDefault="00626150" w:rsidP="00626150">
      <w:pPr>
        <w:pStyle w:val="NormaBullet"/>
        <w:rPr>
          <w:szCs w:val="22"/>
        </w:rPr>
      </w:pPr>
      <w:r w:rsidRPr="003D0778">
        <w:rPr>
          <w:szCs w:val="22"/>
        </w:rPr>
        <w:t>Implementation of revised local escalation protocols.</w:t>
      </w:r>
    </w:p>
    <w:p w14:paraId="24DE021F" w14:textId="53329CF1" w:rsidR="00626150" w:rsidRPr="003D0778" w:rsidRDefault="00626150" w:rsidP="00626150">
      <w:pPr>
        <w:pStyle w:val="NormaBullet"/>
        <w:rPr>
          <w:szCs w:val="22"/>
        </w:rPr>
      </w:pPr>
      <w:r w:rsidRPr="003D0778">
        <w:rPr>
          <w:szCs w:val="22"/>
        </w:rPr>
        <w:t xml:space="preserve">Improved use of </w:t>
      </w:r>
      <w:r w:rsidR="00F73DA5">
        <w:rPr>
          <w:szCs w:val="22"/>
        </w:rPr>
        <w:t xml:space="preserve">WAST </w:t>
      </w:r>
      <w:r w:rsidRPr="003D0778">
        <w:rPr>
          <w:szCs w:val="22"/>
        </w:rPr>
        <w:t>pathways and operational efficiency measures.</w:t>
      </w:r>
    </w:p>
    <w:p w14:paraId="740437D3" w14:textId="77777777" w:rsidR="00626150" w:rsidRDefault="00626150" w:rsidP="00626150">
      <w:pPr>
        <w:pStyle w:val="NormaBullet"/>
        <w:rPr>
          <w:szCs w:val="22"/>
        </w:rPr>
      </w:pPr>
      <w:r w:rsidRPr="003D0778">
        <w:rPr>
          <w:szCs w:val="22"/>
        </w:rPr>
        <w:lastRenderedPageBreak/>
        <w:t>Local Authority preparedness.</w:t>
      </w:r>
    </w:p>
    <w:p w14:paraId="60DE8E50" w14:textId="77777777" w:rsidR="00626150" w:rsidRDefault="00626150" w:rsidP="00626150">
      <w:pPr>
        <w:pStyle w:val="NormaBullet"/>
        <w:rPr>
          <w:szCs w:val="22"/>
        </w:rPr>
      </w:pPr>
      <w:r>
        <w:rPr>
          <w:szCs w:val="22"/>
        </w:rPr>
        <w:t>Robust planning for the Christmas and New Year s</w:t>
      </w:r>
      <w:r w:rsidRPr="003B4651">
        <w:rPr>
          <w:szCs w:val="22"/>
        </w:rPr>
        <w:t>ervice provision</w:t>
      </w:r>
    </w:p>
    <w:p w14:paraId="55068C38" w14:textId="77777777" w:rsidR="00626150" w:rsidRPr="003B4651" w:rsidRDefault="00626150" w:rsidP="00626150">
      <w:pPr>
        <w:pStyle w:val="NormaBullet"/>
        <w:rPr>
          <w:szCs w:val="22"/>
        </w:rPr>
      </w:pPr>
      <w:r>
        <w:rPr>
          <w:szCs w:val="22"/>
        </w:rPr>
        <w:t>Increased focus on the implementation of the Seasonal flu campaign</w:t>
      </w:r>
    </w:p>
    <w:p w14:paraId="773E3587" w14:textId="77777777" w:rsidR="00626150" w:rsidRPr="003D0778" w:rsidRDefault="00626150" w:rsidP="00626150">
      <w:pPr>
        <w:pStyle w:val="NormaBullet"/>
        <w:rPr>
          <w:szCs w:val="22"/>
        </w:rPr>
      </w:pPr>
      <w:r w:rsidRPr="003D0778">
        <w:rPr>
          <w:szCs w:val="22"/>
        </w:rPr>
        <w:t>Zero tolerance of ambulance delays.</w:t>
      </w:r>
    </w:p>
    <w:p w14:paraId="28987F8B" w14:textId="77777777" w:rsidR="00626150" w:rsidRPr="003D0778" w:rsidRDefault="00626150" w:rsidP="00626150">
      <w:pPr>
        <w:pStyle w:val="NormaBullet"/>
        <w:rPr>
          <w:szCs w:val="22"/>
        </w:rPr>
      </w:pPr>
      <w:r w:rsidRPr="003D0778">
        <w:rPr>
          <w:szCs w:val="22"/>
        </w:rPr>
        <w:t>Daily deep dives by senior nursing team.</w:t>
      </w:r>
    </w:p>
    <w:p w14:paraId="7D61C8F1" w14:textId="77777777" w:rsidR="00626150" w:rsidRPr="003D0778" w:rsidRDefault="00626150" w:rsidP="00626150">
      <w:pPr>
        <w:pStyle w:val="NormaBullet"/>
        <w:rPr>
          <w:szCs w:val="22"/>
        </w:rPr>
      </w:pPr>
      <w:r w:rsidRPr="003D0778">
        <w:rPr>
          <w:szCs w:val="22"/>
        </w:rPr>
        <w:t>Twice daily site based flow meetings.</w:t>
      </w:r>
    </w:p>
    <w:p w14:paraId="2B66B066" w14:textId="77777777" w:rsidR="00626150" w:rsidRPr="003D0778" w:rsidRDefault="00626150" w:rsidP="00626150">
      <w:pPr>
        <w:pStyle w:val="NormaBullet"/>
        <w:rPr>
          <w:szCs w:val="22"/>
        </w:rPr>
      </w:pPr>
      <w:r w:rsidRPr="003D0778">
        <w:rPr>
          <w:szCs w:val="22"/>
        </w:rPr>
        <w:t>Continued implementation of daily board rounds.</w:t>
      </w:r>
    </w:p>
    <w:p w14:paraId="1D8A13CC" w14:textId="77777777" w:rsidR="00626150" w:rsidRPr="003D0778" w:rsidRDefault="00626150" w:rsidP="00626150">
      <w:pPr>
        <w:pStyle w:val="NormaBullet"/>
        <w:rPr>
          <w:szCs w:val="22"/>
        </w:rPr>
      </w:pPr>
      <w:r w:rsidRPr="003D0778">
        <w:rPr>
          <w:szCs w:val="22"/>
        </w:rPr>
        <w:t>Planning anticipated dates of discharge.</w:t>
      </w:r>
    </w:p>
    <w:p w14:paraId="55262B4F" w14:textId="77777777" w:rsidR="00626150" w:rsidRPr="003D0778" w:rsidRDefault="00626150" w:rsidP="00626150">
      <w:pPr>
        <w:pStyle w:val="NormaBullet"/>
        <w:rPr>
          <w:szCs w:val="22"/>
        </w:rPr>
      </w:pPr>
      <w:r w:rsidRPr="003D0778">
        <w:rPr>
          <w:szCs w:val="22"/>
        </w:rPr>
        <w:t>Live bed management system.</w:t>
      </w:r>
    </w:p>
    <w:p w14:paraId="34586A5D" w14:textId="77777777" w:rsidR="00626150" w:rsidRPr="003D0778" w:rsidRDefault="00626150" w:rsidP="00626150">
      <w:pPr>
        <w:pStyle w:val="NormaBullet"/>
        <w:rPr>
          <w:szCs w:val="22"/>
        </w:rPr>
      </w:pPr>
      <w:r w:rsidRPr="003D0778">
        <w:rPr>
          <w:szCs w:val="22"/>
        </w:rPr>
        <w:t>Robust implementation of Choice Protocol.</w:t>
      </w:r>
    </w:p>
    <w:p w14:paraId="3EF54482" w14:textId="54EF702D" w:rsidR="00626150" w:rsidRDefault="00626150" w:rsidP="00626150">
      <w:pPr>
        <w:pStyle w:val="NormaBullet"/>
        <w:rPr>
          <w:szCs w:val="22"/>
        </w:rPr>
      </w:pPr>
      <w:r w:rsidRPr="003D0778">
        <w:rPr>
          <w:szCs w:val="22"/>
        </w:rPr>
        <w:t>C</w:t>
      </w:r>
      <w:r>
        <w:rPr>
          <w:szCs w:val="22"/>
        </w:rPr>
        <w:t xml:space="preserve">ontinued strengthening of the Primary Care </w:t>
      </w:r>
      <w:r w:rsidR="00AE0C07">
        <w:rPr>
          <w:szCs w:val="22"/>
        </w:rPr>
        <w:t>out</w:t>
      </w:r>
      <w:r>
        <w:rPr>
          <w:szCs w:val="22"/>
        </w:rPr>
        <w:t xml:space="preserve"> of Hour</w:t>
      </w:r>
      <w:r w:rsidRPr="003D0778">
        <w:rPr>
          <w:szCs w:val="22"/>
        </w:rPr>
        <w:t>s service.</w:t>
      </w:r>
      <w:r>
        <w:rPr>
          <w:szCs w:val="22"/>
        </w:rPr>
        <w:t xml:space="preserve"> </w:t>
      </w:r>
    </w:p>
    <w:p w14:paraId="6251F715" w14:textId="77777777" w:rsidR="00626150" w:rsidRDefault="00626150" w:rsidP="00626150">
      <w:pPr>
        <w:pStyle w:val="NormaBullet"/>
        <w:rPr>
          <w:szCs w:val="22"/>
        </w:rPr>
      </w:pPr>
      <w:r>
        <w:rPr>
          <w:szCs w:val="22"/>
        </w:rPr>
        <w:t>Implementation of a communication plan aimed at promoting local and national winter health messages.</w:t>
      </w:r>
    </w:p>
    <w:p w14:paraId="76FBFBEE" w14:textId="77777777" w:rsidR="00E02C36" w:rsidRDefault="00E02C36" w:rsidP="00E02C36">
      <w:pPr>
        <w:pStyle w:val="NormaBullet"/>
        <w:numPr>
          <w:ilvl w:val="0"/>
          <w:numId w:val="0"/>
        </w:numPr>
        <w:rPr>
          <w:szCs w:val="22"/>
        </w:rPr>
      </w:pPr>
    </w:p>
    <w:p w14:paraId="3BFCDE9C" w14:textId="69CC1EC3" w:rsidR="00E02C36" w:rsidRDefault="00E02C36" w:rsidP="00E02C36">
      <w:pPr>
        <w:rPr>
          <w:rFonts w:asciiTheme="minorHAnsi" w:hAnsiTheme="minorHAnsi"/>
          <w:b/>
          <w:bCs/>
        </w:rPr>
      </w:pPr>
      <w:r>
        <w:rPr>
          <w:rFonts w:asciiTheme="minorHAnsi" w:hAnsiTheme="minorHAnsi"/>
          <w:bCs/>
          <w:noProof/>
        </w:rPr>
        <mc:AlternateContent>
          <mc:Choice Requires="wps">
            <w:drawing>
              <wp:anchor distT="0" distB="0" distL="114300" distR="114300" simplePos="0" relativeHeight="252823552" behindDoc="1" locked="0" layoutInCell="1" allowOverlap="1" wp14:anchorId="02C704A3" wp14:editId="5B2BAE22">
                <wp:simplePos x="0" y="0"/>
                <wp:positionH relativeFrom="margin">
                  <wp:posOffset>-78740</wp:posOffset>
                </wp:positionH>
                <wp:positionV relativeFrom="paragraph">
                  <wp:posOffset>130810</wp:posOffset>
                </wp:positionV>
                <wp:extent cx="6713220" cy="696685"/>
                <wp:effectExtent l="0" t="38100" r="30480" b="65405"/>
                <wp:wrapNone/>
                <wp:docPr id="61" name="Right Arrow 61"/>
                <wp:cNvGraphicFramePr/>
                <a:graphic xmlns:a="http://schemas.openxmlformats.org/drawingml/2006/main">
                  <a:graphicData uri="http://schemas.microsoft.com/office/word/2010/wordprocessingShape">
                    <wps:wsp>
                      <wps:cNvSpPr/>
                      <wps:spPr>
                        <a:xfrm>
                          <a:off x="0" y="0"/>
                          <a:ext cx="6713220" cy="69668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FD387" id="Right Arrow 61" o:spid="_x0000_s1026" type="#_x0000_t13" style="position:absolute;margin-left:-6.2pt;margin-top:10.3pt;width:528.6pt;height:54.85pt;z-index:-250492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" adj="20930" fillcolor="#eaf1dd [662]" strokecolor="#76923c [2406]" strokeweight="2pt">
                <w10:wrap anchorx="margin"/>
              </v:shape>
            </w:pict>
          </mc:Fallback>
        </mc:AlternateContent>
      </w:r>
      <w:r w:rsidRPr="000327BE">
        <w:rPr>
          <w:rFonts w:asciiTheme="minorHAnsi" w:hAnsiTheme="minorHAnsi"/>
          <w:b/>
          <w:bCs/>
        </w:rPr>
        <w:t>Milestones</w:t>
      </w:r>
    </w:p>
    <w:p w14:paraId="130A36EF" w14:textId="1835FA32" w:rsidR="00E02C36" w:rsidRPr="000327BE" w:rsidRDefault="00E02C36" w:rsidP="00E02C36">
      <w:pPr>
        <w:rPr>
          <w:rFonts w:asciiTheme="minorHAnsi" w:hAnsiTheme="minorHAnsi"/>
          <w:b/>
          <w:bCs/>
        </w:rPr>
      </w:pPr>
    </w:p>
    <w:tbl>
      <w:tblPr>
        <w:tblStyle w:val="TableGrid"/>
        <w:tblW w:w="0" w:type="auto"/>
        <w:tblLook w:val="04A0" w:firstRow="1" w:lastRow="0" w:firstColumn="1" w:lastColumn="0" w:noHBand="0" w:noVBand="1"/>
      </w:tblPr>
      <w:tblGrid>
        <w:gridCol w:w="4531"/>
        <w:gridCol w:w="3544"/>
        <w:gridCol w:w="1893"/>
      </w:tblGrid>
      <w:tr w:rsidR="00E02C36" w14:paraId="54D403EB" w14:textId="77777777" w:rsidTr="00E02C36">
        <w:tc>
          <w:tcPr>
            <w:tcW w:w="4531" w:type="dxa"/>
          </w:tcPr>
          <w:p w14:paraId="420E2201" w14:textId="77777777" w:rsidR="00E02C36" w:rsidRDefault="00E02C36" w:rsidP="00E02C36">
            <w:pPr>
              <w:jc w:val="center"/>
              <w:rPr>
                <w:rFonts w:asciiTheme="minorHAnsi" w:hAnsiTheme="minorHAnsi"/>
                <w:bCs/>
              </w:rPr>
            </w:pPr>
            <w:r>
              <w:rPr>
                <w:rFonts w:asciiTheme="minorHAnsi" w:hAnsiTheme="minorHAnsi"/>
                <w:bCs/>
              </w:rPr>
              <w:t>Year 1</w:t>
            </w:r>
          </w:p>
          <w:p w14:paraId="333B6332" w14:textId="77777777" w:rsidR="00E02C36" w:rsidRDefault="00E02C36" w:rsidP="00E02C36">
            <w:pPr>
              <w:jc w:val="center"/>
              <w:rPr>
                <w:rFonts w:asciiTheme="minorHAnsi" w:hAnsiTheme="minorHAnsi"/>
                <w:bCs/>
              </w:rPr>
            </w:pPr>
          </w:p>
        </w:tc>
        <w:tc>
          <w:tcPr>
            <w:tcW w:w="3544" w:type="dxa"/>
          </w:tcPr>
          <w:p w14:paraId="62D46694" w14:textId="77777777" w:rsidR="00E02C36" w:rsidRDefault="00E02C36" w:rsidP="00E02C36">
            <w:pPr>
              <w:jc w:val="center"/>
              <w:rPr>
                <w:rFonts w:asciiTheme="minorHAnsi" w:hAnsiTheme="minorHAnsi"/>
                <w:bCs/>
              </w:rPr>
            </w:pPr>
            <w:r>
              <w:rPr>
                <w:rFonts w:asciiTheme="minorHAnsi" w:hAnsiTheme="minorHAnsi"/>
                <w:bCs/>
              </w:rPr>
              <w:t>Year 2</w:t>
            </w:r>
          </w:p>
        </w:tc>
        <w:tc>
          <w:tcPr>
            <w:tcW w:w="1893" w:type="dxa"/>
          </w:tcPr>
          <w:p w14:paraId="30F8D36F" w14:textId="0CEBD7BE" w:rsidR="00E02C36" w:rsidRDefault="00E02C36" w:rsidP="00E02C36">
            <w:pPr>
              <w:jc w:val="center"/>
              <w:rPr>
                <w:rFonts w:asciiTheme="minorHAnsi" w:hAnsiTheme="minorHAnsi"/>
                <w:bCs/>
              </w:rPr>
            </w:pPr>
            <w:r>
              <w:rPr>
                <w:rFonts w:asciiTheme="minorHAnsi" w:hAnsiTheme="minorHAnsi"/>
                <w:bCs/>
              </w:rPr>
              <w:t>Year 3</w:t>
            </w:r>
          </w:p>
        </w:tc>
      </w:tr>
      <w:tr w:rsidR="00E02C36" w14:paraId="71D2C46D" w14:textId="77777777" w:rsidTr="00E02C36">
        <w:tc>
          <w:tcPr>
            <w:tcW w:w="4531" w:type="dxa"/>
          </w:tcPr>
          <w:p w14:paraId="64A729DB" w14:textId="6FD6AFBA" w:rsidR="00E02C36" w:rsidRPr="000327BE" w:rsidRDefault="00E02C36" w:rsidP="00E02C36">
            <w:pPr>
              <w:rPr>
                <w:rFonts w:asciiTheme="minorHAnsi" w:hAnsiTheme="minorHAnsi"/>
                <w:b/>
                <w:bCs/>
              </w:rPr>
            </w:pPr>
            <w:r>
              <w:rPr>
                <w:rFonts w:asciiTheme="minorHAnsi" w:hAnsiTheme="minorHAnsi"/>
                <w:b/>
                <w:bCs/>
              </w:rPr>
              <w:t>Regional Transformation</w:t>
            </w:r>
          </w:p>
          <w:p w14:paraId="7BFDAE71" w14:textId="3B2718A6" w:rsidR="00E02C36" w:rsidRPr="00E56B02" w:rsidRDefault="008B327B" w:rsidP="00E02C36">
            <w:pPr>
              <w:rPr>
                <w:rFonts w:asciiTheme="minorHAnsi" w:hAnsiTheme="minorHAnsi"/>
                <w:bCs/>
              </w:rPr>
            </w:pPr>
            <w:r w:rsidRPr="00E56B02">
              <w:rPr>
                <w:rFonts w:asciiTheme="minorHAnsi" w:hAnsiTheme="minorHAnsi"/>
                <w:bCs/>
              </w:rPr>
              <w:t xml:space="preserve">See </w:t>
            </w:r>
            <w:r w:rsidRPr="00164805">
              <w:rPr>
                <w:rFonts w:asciiTheme="minorHAnsi" w:hAnsiTheme="minorHAnsi"/>
                <w:b/>
                <w:bCs/>
              </w:rPr>
              <w:t>section 5.2.3</w:t>
            </w:r>
            <w:r w:rsidRPr="00066948">
              <w:rPr>
                <w:rFonts w:asciiTheme="minorHAnsi" w:hAnsiTheme="minorHAnsi"/>
                <w:bCs/>
              </w:rPr>
              <w:t xml:space="preserve"> </w:t>
            </w:r>
            <w:r w:rsidRPr="00E56B02">
              <w:rPr>
                <w:rFonts w:asciiTheme="minorHAnsi" w:hAnsiTheme="minorHAnsi"/>
                <w:bCs/>
              </w:rPr>
              <w:t>for detailed milestones for years 1 &amp; 1)</w:t>
            </w:r>
          </w:p>
          <w:p w14:paraId="58E89BB7" w14:textId="77777777" w:rsidR="00E02C36" w:rsidRPr="00E56B02" w:rsidRDefault="00E02C36" w:rsidP="00E02C36">
            <w:pPr>
              <w:rPr>
                <w:rFonts w:asciiTheme="minorHAnsi" w:hAnsiTheme="minorHAnsi"/>
                <w:bCs/>
              </w:rPr>
            </w:pPr>
          </w:p>
          <w:p w14:paraId="4E1A16DE" w14:textId="77777777" w:rsidR="00E02C36" w:rsidRPr="00E56B02" w:rsidRDefault="00E02C36" w:rsidP="00E02C36">
            <w:pPr>
              <w:rPr>
                <w:rFonts w:asciiTheme="minorHAnsi" w:hAnsiTheme="minorHAnsi"/>
                <w:b/>
                <w:bCs/>
              </w:rPr>
            </w:pPr>
            <w:r w:rsidRPr="00E56B02">
              <w:rPr>
                <w:rFonts w:asciiTheme="minorHAnsi" w:hAnsiTheme="minorHAnsi"/>
                <w:b/>
                <w:bCs/>
              </w:rPr>
              <w:t>Implementation of the SWP</w:t>
            </w:r>
          </w:p>
          <w:p w14:paraId="59EC1930" w14:textId="77777777" w:rsidR="00E02C36" w:rsidRPr="00E56B02" w:rsidRDefault="00E02C36" w:rsidP="00E02C36">
            <w:pPr>
              <w:rPr>
                <w:rFonts w:asciiTheme="minorHAnsi" w:hAnsiTheme="minorHAnsi"/>
                <w:bCs/>
              </w:rPr>
            </w:pPr>
            <w:r w:rsidRPr="00E56B02">
              <w:rPr>
                <w:rFonts w:asciiTheme="minorHAnsi" w:hAnsiTheme="minorHAnsi"/>
                <w:bCs/>
              </w:rPr>
              <w:t>Q1 Continued implementation of the Communication &amp; Engagement Plan.</w:t>
            </w:r>
          </w:p>
          <w:p w14:paraId="518F3EC6" w14:textId="6399D408" w:rsidR="00E02C36" w:rsidRPr="00E56B02" w:rsidRDefault="00E02C36" w:rsidP="00E02C36">
            <w:pPr>
              <w:rPr>
                <w:rFonts w:asciiTheme="minorHAnsi" w:hAnsiTheme="minorHAnsi"/>
                <w:bCs/>
              </w:rPr>
            </w:pPr>
            <w:r w:rsidRPr="00E56B02">
              <w:rPr>
                <w:rFonts w:asciiTheme="minorHAnsi" w:hAnsiTheme="minorHAnsi"/>
                <w:bCs/>
              </w:rPr>
              <w:t>Q</w:t>
            </w:r>
            <w:r w:rsidR="008B327B" w:rsidRPr="00E56B02">
              <w:rPr>
                <w:rFonts w:asciiTheme="minorHAnsi" w:hAnsiTheme="minorHAnsi"/>
                <w:bCs/>
              </w:rPr>
              <w:t>1 A</w:t>
            </w:r>
            <w:r w:rsidRPr="00E56B02">
              <w:rPr>
                <w:rFonts w:asciiTheme="minorHAnsi" w:hAnsiTheme="minorHAnsi"/>
                <w:bCs/>
              </w:rPr>
              <w:t>pproval of detailed service models.</w:t>
            </w:r>
          </w:p>
          <w:p w14:paraId="7F6800D3" w14:textId="1F681D8F" w:rsidR="00E02C36" w:rsidRPr="00E56B02" w:rsidRDefault="00E02C36" w:rsidP="00E02C36">
            <w:pPr>
              <w:rPr>
                <w:rFonts w:asciiTheme="minorHAnsi" w:hAnsiTheme="minorHAnsi"/>
                <w:bCs/>
              </w:rPr>
            </w:pPr>
            <w:r w:rsidRPr="00E56B02">
              <w:rPr>
                <w:rFonts w:asciiTheme="minorHAnsi" w:hAnsiTheme="minorHAnsi"/>
                <w:bCs/>
              </w:rPr>
              <w:t xml:space="preserve">Q1 Business case </w:t>
            </w:r>
            <w:r w:rsidR="008B327B" w:rsidRPr="00E56B02">
              <w:rPr>
                <w:rFonts w:asciiTheme="minorHAnsi" w:hAnsiTheme="minorHAnsi"/>
                <w:bCs/>
              </w:rPr>
              <w:t xml:space="preserve">development and </w:t>
            </w:r>
            <w:r w:rsidRPr="00E56B02">
              <w:rPr>
                <w:rFonts w:asciiTheme="minorHAnsi" w:hAnsiTheme="minorHAnsi"/>
                <w:bCs/>
              </w:rPr>
              <w:t>approval.</w:t>
            </w:r>
          </w:p>
          <w:p w14:paraId="53F4A91E" w14:textId="26C4F9EB" w:rsidR="00E02C36" w:rsidRPr="00E56B02" w:rsidRDefault="00E02C36" w:rsidP="00E02C36">
            <w:pPr>
              <w:rPr>
                <w:rFonts w:asciiTheme="minorHAnsi" w:hAnsiTheme="minorHAnsi"/>
                <w:bCs/>
              </w:rPr>
            </w:pPr>
            <w:r w:rsidRPr="00E56B02">
              <w:rPr>
                <w:rFonts w:asciiTheme="minorHAnsi" w:hAnsiTheme="minorHAnsi"/>
                <w:bCs/>
              </w:rPr>
              <w:t xml:space="preserve">Q2 – Q4 (September 2020) </w:t>
            </w:r>
            <w:r w:rsidR="00E56B02" w:rsidRPr="00E56B02">
              <w:t>Commencement of the implementation of emergency medicine</w:t>
            </w:r>
            <w:r w:rsidRPr="00E56B02">
              <w:rPr>
                <w:rFonts w:asciiTheme="minorHAnsi" w:hAnsiTheme="minorHAnsi"/>
                <w:bCs/>
              </w:rPr>
              <w:t xml:space="preserve"> service model</w:t>
            </w:r>
            <w:r w:rsidR="008B327B" w:rsidRPr="00E56B02">
              <w:rPr>
                <w:rFonts w:asciiTheme="minorHAnsi" w:hAnsiTheme="minorHAnsi"/>
                <w:bCs/>
              </w:rPr>
              <w:t xml:space="preserve"> (dependent on model &amp; any capital requirements)</w:t>
            </w:r>
            <w:r w:rsidRPr="00E56B02">
              <w:rPr>
                <w:rFonts w:asciiTheme="minorHAnsi" w:hAnsiTheme="minorHAnsi"/>
                <w:bCs/>
              </w:rPr>
              <w:t>, completion of acute medicine beacon site model, paediatric assessment unit at RGH and transfer of consultant led inpatient paediatric ser</w:t>
            </w:r>
            <w:r w:rsidR="008B327B" w:rsidRPr="00E56B02">
              <w:rPr>
                <w:rFonts w:asciiTheme="minorHAnsi" w:hAnsiTheme="minorHAnsi"/>
                <w:bCs/>
              </w:rPr>
              <w:t>vices to PCH by September 2020.</w:t>
            </w:r>
          </w:p>
          <w:p w14:paraId="35B15A01" w14:textId="77777777" w:rsidR="008B327B" w:rsidRPr="00E56B02" w:rsidRDefault="008B327B" w:rsidP="00E02C36">
            <w:pPr>
              <w:rPr>
                <w:rFonts w:asciiTheme="minorHAnsi" w:hAnsiTheme="minorHAnsi"/>
                <w:bCs/>
              </w:rPr>
            </w:pPr>
          </w:p>
          <w:p w14:paraId="1A206AD5" w14:textId="68AF3562" w:rsidR="008B327B" w:rsidRPr="00E56B02" w:rsidRDefault="008B327B" w:rsidP="00E02C36">
            <w:pPr>
              <w:rPr>
                <w:rFonts w:asciiTheme="minorHAnsi" w:hAnsiTheme="minorHAnsi"/>
                <w:bCs/>
              </w:rPr>
            </w:pPr>
            <w:r w:rsidRPr="00E56B02">
              <w:rPr>
                <w:rFonts w:asciiTheme="minorHAnsi" w:hAnsiTheme="minorHAnsi"/>
                <w:bCs/>
              </w:rPr>
              <w:t>These milestones will need to be further discussed / agreed.</w:t>
            </w:r>
          </w:p>
          <w:p w14:paraId="6EAA911F" w14:textId="77777777" w:rsidR="00E02C36" w:rsidRPr="00CF74FE" w:rsidRDefault="00E02C36" w:rsidP="00E02C36">
            <w:pPr>
              <w:rPr>
                <w:rFonts w:asciiTheme="minorHAnsi" w:hAnsiTheme="minorHAnsi"/>
                <w:bCs/>
              </w:rPr>
            </w:pPr>
          </w:p>
          <w:p w14:paraId="6C08D783" w14:textId="77777777" w:rsidR="00E02C36" w:rsidRPr="00664D9F" w:rsidRDefault="00E02C36" w:rsidP="00E02C36">
            <w:pPr>
              <w:rPr>
                <w:rFonts w:asciiTheme="minorHAnsi" w:hAnsiTheme="minorHAnsi"/>
                <w:b/>
                <w:bCs/>
              </w:rPr>
            </w:pPr>
            <w:r w:rsidRPr="00664D9F">
              <w:rPr>
                <w:rFonts w:asciiTheme="minorHAnsi" w:hAnsiTheme="minorHAnsi"/>
                <w:b/>
                <w:bCs/>
              </w:rPr>
              <w:t>Stroke</w:t>
            </w:r>
          </w:p>
          <w:p w14:paraId="2A40A0D8" w14:textId="77777777" w:rsidR="00E02C36" w:rsidRPr="00E02C36" w:rsidRDefault="00E02C36" w:rsidP="00E02C36">
            <w:pPr>
              <w:rPr>
                <w:rFonts w:asciiTheme="minorHAnsi" w:hAnsiTheme="minorHAnsi"/>
                <w:bCs/>
              </w:rPr>
            </w:pPr>
            <w:r w:rsidRPr="00E02C36">
              <w:rPr>
                <w:rFonts w:asciiTheme="minorHAnsi" w:hAnsiTheme="minorHAnsi"/>
                <w:bCs/>
              </w:rPr>
              <w:t xml:space="preserve">Q1 Implementation of the Stroke Service Improvement Plan which will include the scoping work for HASU development. </w:t>
            </w:r>
          </w:p>
          <w:p w14:paraId="043E9568" w14:textId="77777777" w:rsidR="00E02C36" w:rsidRPr="00E02C36" w:rsidRDefault="00E02C36" w:rsidP="00E02C36">
            <w:pPr>
              <w:rPr>
                <w:rFonts w:asciiTheme="minorHAnsi" w:hAnsiTheme="minorHAnsi"/>
                <w:bCs/>
              </w:rPr>
            </w:pPr>
          </w:p>
          <w:p w14:paraId="73ED1DC8" w14:textId="77777777" w:rsidR="00E02C36" w:rsidRPr="00664D9F" w:rsidRDefault="00E02C36" w:rsidP="00E02C36">
            <w:pPr>
              <w:rPr>
                <w:rFonts w:asciiTheme="minorHAnsi" w:hAnsiTheme="minorHAnsi"/>
                <w:b/>
                <w:bCs/>
              </w:rPr>
            </w:pPr>
            <w:r w:rsidRPr="00664D9F">
              <w:rPr>
                <w:rFonts w:asciiTheme="minorHAnsi" w:hAnsiTheme="minorHAnsi"/>
                <w:b/>
                <w:bCs/>
              </w:rPr>
              <w:t>Winter Planning &amp; Managing periods of increased demand</w:t>
            </w:r>
          </w:p>
          <w:p w14:paraId="6A9C7BB6" w14:textId="77777777" w:rsidR="00E02C36" w:rsidRPr="00E02C36" w:rsidRDefault="00E02C36" w:rsidP="00E02C36">
            <w:pPr>
              <w:rPr>
                <w:rFonts w:asciiTheme="minorHAnsi" w:hAnsiTheme="minorHAnsi"/>
                <w:bCs/>
              </w:rPr>
            </w:pPr>
            <w:r w:rsidRPr="00E02C36">
              <w:rPr>
                <w:rFonts w:asciiTheme="minorHAnsi" w:hAnsiTheme="minorHAnsi"/>
                <w:bCs/>
              </w:rPr>
              <w:t>Q1 Undertake a review/ evaluation of Winter 2019/2020 and consider lessons learnt.</w:t>
            </w:r>
          </w:p>
          <w:p w14:paraId="1042F147" w14:textId="77777777" w:rsidR="00E02C36" w:rsidRDefault="00E02C36" w:rsidP="00E02C36">
            <w:pPr>
              <w:rPr>
                <w:rFonts w:asciiTheme="minorHAnsi" w:hAnsiTheme="minorHAnsi"/>
                <w:bCs/>
              </w:rPr>
            </w:pPr>
            <w:r w:rsidRPr="00E02C36">
              <w:rPr>
                <w:rFonts w:asciiTheme="minorHAnsi" w:hAnsiTheme="minorHAnsi"/>
                <w:bCs/>
              </w:rPr>
              <w:t>Q2 Commence Winter Planning preparedness for Winter 2020/2021.</w:t>
            </w:r>
          </w:p>
          <w:p w14:paraId="7639E6EE" w14:textId="77777777" w:rsidR="00E02C36" w:rsidRPr="00E02C36" w:rsidRDefault="00E02C36" w:rsidP="00E02C36">
            <w:pPr>
              <w:rPr>
                <w:rFonts w:asciiTheme="minorHAnsi" w:hAnsiTheme="minorHAnsi"/>
                <w:bCs/>
              </w:rPr>
            </w:pPr>
          </w:p>
          <w:p w14:paraId="68D85E29" w14:textId="77777777" w:rsidR="00E02C36" w:rsidRPr="00BB3EC5" w:rsidRDefault="00E02C36" w:rsidP="00E02C36">
            <w:pPr>
              <w:rPr>
                <w:rFonts w:asciiTheme="minorHAnsi" w:hAnsiTheme="minorHAnsi"/>
                <w:b/>
                <w:bCs/>
              </w:rPr>
            </w:pPr>
            <w:r w:rsidRPr="00BB3EC5">
              <w:rPr>
                <w:rFonts w:asciiTheme="minorHAnsi" w:hAnsiTheme="minorHAnsi"/>
                <w:b/>
                <w:bCs/>
              </w:rPr>
              <w:t>Major Trauma</w:t>
            </w:r>
          </w:p>
          <w:p w14:paraId="4FA12B54" w14:textId="627C280F" w:rsidR="00E02C36" w:rsidRPr="00E02C36" w:rsidRDefault="00E02C36" w:rsidP="00E02C36">
            <w:pPr>
              <w:rPr>
                <w:rFonts w:asciiTheme="minorHAnsi" w:hAnsiTheme="minorHAnsi"/>
                <w:bCs/>
              </w:rPr>
            </w:pPr>
            <w:r w:rsidRPr="00E02C36">
              <w:rPr>
                <w:rFonts w:asciiTheme="minorHAnsi" w:hAnsiTheme="minorHAnsi"/>
                <w:bCs/>
              </w:rPr>
              <w:t xml:space="preserve">Year 1 </w:t>
            </w:r>
            <w:r w:rsidR="00AE0C07" w:rsidRPr="00E02C36">
              <w:rPr>
                <w:rFonts w:asciiTheme="minorHAnsi" w:hAnsiTheme="minorHAnsi"/>
                <w:bCs/>
              </w:rPr>
              <w:t>- As</w:t>
            </w:r>
            <w:r w:rsidRPr="00E02C36">
              <w:rPr>
                <w:rFonts w:asciiTheme="minorHAnsi" w:hAnsiTheme="minorHAnsi"/>
                <w:bCs/>
              </w:rPr>
              <w:t xml:space="preserve"> part of the Network plan for South &amp; West Wales &amp; South Powys, implementation of major trauma model across CTMUHB. Trauma Units to be operational in PCH &amp; POWH by 1</w:t>
            </w:r>
            <w:r w:rsidRPr="00E02C36">
              <w:rPr>
                <w:rFonts w:asciiTheme="minorHAnsi" w:hAnsiTheme="minorHAnsi"/>
                <w:bCs/>
                <w:vertAlign w:val="superscript"/>
              </w:rPr>
              <w:t>st</w:t>
            </w:r>
            <w:r w:rsidRPr="00E02C36">
              <w:rPr>
                <w:rFonts w:asciiTheme="minorHAnsi" w:hAnsiTheme="minorHAnsi"/>
                <w:bCs/>
              </w:rPr>
              <w:t xml:space="preserve"> April 2020. To include recruitment of TARN &amp; Rehab Coordinators, Major Trauma Practitioners &amp; </w:t>
            </w:r>
          </w:p>
          <w:p w14:paraId="75080696" w14:textId="77777777" w:rsidR="00E02C36" w:rsidRPr="00E02C36" w:rsidRDefault="00E02C36" w:rsidP="00E02C36">
            <w:pPr>
              <w:rPr>
                <w:rFonts w:asciiTheme="minorHAnsi" w:hAnsiTheme="minorHAnsi"/>
                <w:bCs/>
              </w:rPr>
            </w:pPr>
            <w:r w:rsidRPr="00E02C36">
              <w:rPr>
                <w:rFonts w:asciiTheme="minorHAnsi" w:hAnsiTheme="minorHAnsi"/>
                <w:bCs/>
              </w:rPr>
              <w:lastRenderedPageBreak/>
              <w:t xml:space="preserve">Year 1 –   Network Programme Business Case will be developed to describe the schedule of business cases to be producing during Y1 &amp; Y2 in order to support subsequent developments of the programme. </w:t>
            </w:r>
          </w:p>
          <w:p w14:paraId="4FF196DC" w14:textId="330AA485" w:rsidR="00E02C36" w:rsidRPr="00E02C36" w:rsidRDefault="00E02C36" w:rsidP="00E02C36">
            <w:pPr>
              <w:spacing w:line="20" w:lineRule="atLeast"/>
              <w:rPr>
                <w:rFonts w:cs="Arial"/>
              </w:rPr>
            </w:pPr>
            <w:r w:rsidRPr="00E02C36">
              <w:rPr>
                <w:rFonts w:asciiTheme="minorHAnsi" w:hAnsiTheme="minorHAnsi"/>
                <w:bCs/>
              </w:rPr>
              <w:t xml:space="preserve">Year 1 – Network to provide </w:t>
            </w:r>
            <w:r w:rsidR="00DB0AF0">
              <w:rPr>
                <w:rFonts w:asciiTheme="minorHAnsi" w:hAnsiTheme="minorHAnsi"/>
                <w:bCs/>
              </w:rPr>
              <w:t>Health Board</w:t>
            </w:r>
            <w:r w:rsidRPr="00E02C36">
              <w:rPr>
                <w:rFonts w:asciiTheme="minorHAnsi" w:hAnsiTheme="minorHAnsi"/>
                <w:bCs/>
              </w:rPr>
              <w:t xml:space="preserve">’s with guidance on the phased approach to develop landing pad/rehab facility.  </w:t>
            </w:r>
            <w:r w:rsidRPr="00E02C36">
              <w:rPr>
                <w:rFonts w:cs="Arial"/>
              </w:rPr>
              <w:t>Major trauma practitioners /rehabilitation coordinators /therapists to form a team, supported by weekly visit by rehabilitation consultant.</w:t>
            </w:r>
          </w:p>
          <w:p w14:paraId="71BA70B5" w14:textId="785E08DD" w:rsidR="00E02C36" w:rsidRPr="00BB3EC5" w:rsidRDefault="00E02C36" w:rsidP="00E02C36">
            <w:pPr>
              <w:rPr>
                <w:rFonts w:asciiTheme="minorHAnsi" w:hAnsiTheme="minorHAnsi"/>
                <w:bCs/>
              </w:rPr>
            </w:pPr>
            <w:r w:rsidRPr="00E02C36">
              <w:rPr>
                <w:rFonts w:cs="Arial"/>
              </w:rPr>
              <w:t>Develop model for landing pad/rehabilitation facility</w:t>
            </w:r>
          </w:p>
        </w:tc>
        <w:tc>
          <w:tcPr>
            <w:tcW w:w="3544" w:type="dxa"/>
          </w:tcPr>
          <w:p w14:paraId="1882D368" w14:textId="77777777" w:rsidR="00E02C36" w:rsidRPr="00E02C36" w:rsidRDefault="00E02C36" w:rsidP="00E02C36">
            <w:pPr>
              <w:rPr>
                <w:rFonts w:asciiTheme="minorHAnsi" w:hAnsiTheme="minorHAnsi"/>
                <w:bCs/>
              </w:rPr>
            </w:pPr>
            <w:r w:rsidRPr="00E02C36">
              <w:rPr>
                <w:rFonts w:asciiTheme="minorHAnsi" w:hAnsiTheme="minorHAnsi"/>
                <w:bCs/>
              </w:rPr>
              <w:lastRenderedPageBreak/>
              <w:t>Continue the evaluation of the Transformation Programmes.</w:t>
            </w:r>
          </w:p>
          <w:p w14:paraId="6DF4F5CD" w14:textId="77777777" w:rsidR="00E02C36" w:rsidRDefault="00E02C36" w:rsidP="00E02C36">
            <w:pPr>
              <w:rPr>
                <w:rFonts w:asciiTheme="minorHAnsi" w:hAnsiTheme="minorHAnsi"/>
                <w:bCs/>
              </w:rPr>
            </w:pPr>
          </w:p>
          <w:p w14:paraId="69869C13" w14:textId="77777777" w:rsidR="00E02C36" w:rsidRDefault="00E02C36" w:rsidP="00E02C36">
            <w:pPr>
              <w:rPr>
                <w:rFonts w:asciiTheme="minorHAnsi" w:hAnsiTheme="minorHAnsi"/>
                <w:bCs/>
              </w:rPr>
            </w:pPr>
          </w:p>
          <w:p w14:paraId="6C1E869A" w14:textId="77777777" w:rsidR="00E02C36" w:rsidRDefault="00E02C36" w:rsidP="00E02C36">
            <w:pPr>
              <w:rPr>
                <w:rFonts w:asciiTheme="minorHAnsi" w:hAnsiTheme="minorHAnsi"/>
                <w:bCs/>
              </w:rPr>
            </w:pPr>
          </w:p>
          <w:p w14:paraId="6A1EABE4" w14:textId="77777777" w:rsidR="00E02C36" w:rsidRDefault="00E02C36" w:rsidP="00E02C36">
            <w:pPr>
              <w:rPr>
                <w:rFonts w:asciiTheme="minorHAnsi" w:hAnsiTheme="minorHAnsi"/>
                <w:bCs/>
              </w:rPr>
            </w:pPr>
          </w:p>
          <w:p w14:paraId="35B5440A" w14:textId="77777777" w:rsidR="00E02C36" w:rsidRDefault="00E02C36" w:rsidP="00E02C36">
            <w:pPr>
              <w:rPr>
                <w:rFonts w:asciiTheme="minorHAnsi" w:hAnsiTheme="minorHAnsi"/>
                <w:bCs/>
              </w:rPr>
            </w:pPr>
          </w:p>
          <w:p w14:paraId="05FFF0EE" w14:textId="77777777" w:rsidR="00E02C36" w:rsidRDefault="00E02C36" w:rsidP="00E02C36">
            <w:pPr>
              <w:rPr>
                <w:rFonts w:asciiTheme="minorHAnsi" w:hAnsiTheme="minorHAnsi"/>
                <w:bCs/>
              </w:rPr>
            </w:pPr>
          </w:p>
          <w:p w14:paraId="46CA7DE7" w14:textId="77777777" w:rsidR="00E02C36" w:rsidRPr="00E02C36" w:rsidRDefault="00E02C36" w:rsidP="00E02C36">
            <w:pPr>
              <w:rPr>
                <w:rFonts w:asciiTheme="minorHAnsi" w:hAnsiTheme="minorHAnsi"/>
                <w:bCs/>
              </w:rPr>
            </w:pPr>
            <w:r w:rsidRPr="00E02C36">
              <w:rPr>
                <w:rFonts w:asciiTheme="minorHAnsi" w:hAnsiTheme="minorHAnsi"/>
                <w:bCs/>
              </w:rPr>
              <w:t>Commence post implementation evaluation.</w:t>
            </w:r>
          </w:p>
          <w:p w14:paraId="614CDD89" w14:textId="77777777" w:rsidR="00E02C36" w:rsidRDefault="00E02C36" w:rsidP="00E02C36">
            <w:pPr>
              <w:rPr>
                <w:rFonts w:asciiTheme="minorHAnsi" w:hAnsiTheme="minorHAnsi"/>
                <w:bCs/>
              </w:rPr>
            </w:pPr>
          </w:p>
          <w:p w14:paraId="5CDBA9B5" w14:textId="77777777" w:rsidR="00E02C36" w:rsidRDefault="00E02C36" w:rsidP="00E02C36">
            <w:pPr>
              <w:rPr>
                <w:rFonts w:asciiTheme="minorHAnsi" w:hAnsiTheme="minorHAnsi"/>
                <w:bCs/>
              </w:rPr>
            </w:pPr>
          </w:p>
          <w:p w14:paraId="720A75E5" w14:textId="77777777" w:rsidR="00E02C36" w:rsidRDefault="00E02C36" w:rsidP="00E02C36">
            <w:pPr>
              <w:rPr>
                <w:rFonts w:asciiTheme="minorHAnsi" w:hAnsiTheme="minorHAnsi"/>
                <w:bCs/>
              </w:rPr>
            </w:pPr>
          </w:p>
          <w:p w14:paraId="1659B6AC" w14:textId="77777777" w:rsidR="00E02C36" w:rsidRDefault="00E02C36" w:rsidP="00E02C36">
            <w:pPr>
              <w:rPr>
                <w:rFonts w:asciiTheme="minorHAnsi" w:hAnsiTheme="minorHAnsi"/>
                <w:bCs/>
              </w:rPr>
            </w:pPr>
          </w:p>
          <w:p w14:paraId="0AC1AE4B" w14:textId="77777777" w:rsidR="00E02C36" w:rsidRPr="00CF74FE" w:rsidRDefault="00E02C36" w:rsidP="00E02C36">
            <w:pPr>
              <w:rPr>
                <w:rFonts w:asciiTheme="minorHAnsi" w:hAnsiTheme="minorHAnsi"/>
                <w:bCs/>
              </w:rPr>
            </w:pPr>
          </w:p>
          <w:p w14:paraId="4186BE71" w14:textId="77777777" w:rsidR="00E02C36" w:rsidRDefault="00E02C36" w:rsidP="00E02C36">
            <w:pPr>
              <w:rPr>
                <w:rFonts w:asciiTheme="minorHAnsi" w:hAnsiTheme="minorHAnsi"/>
                <w:bCs/>
              </w:rPr>
            </w:pPr>
          </w:p>
          <w:p w14:paraId="208E43B5" w14:textId="77777777" w:rsidR="00E02C36" w:rsidRDefault="00E02C36" w:rsidP="00E02C36">
            <w:pPr>
              <w:rPr>
                <w:rFonts w:asciiTheme="minorHAnsi" w:hAnsiTheme="minorHAnsi"/>
                <w:bCs/>
              </w:rPr>
            </w:pPr>
          </w:p>
          <w:p w14:paraId="3375CACA" w14:textId="0CC82A88" w:rsidR="00E02C36" w:rsidRDefault="00E02C36" w:rsidP="00E02C36">
            <w:pPr>
              <w:rPr>
                <w:rFonts w:asciiTheme="minorHAnsi" w:hAnsiTheme="minorHAnsi"/>
                <w:bCs/>
              </w:rPr>
            </w:pPr>
            <w:r w:rsidRPr="00E02C36">
              <w:rPr>
                <w:rFonts w:asciiTheme="minorHAnsi" w:hAnsiTheme="minorHAnsi"/>
                <w:bCs/>
              </w:rPr>
              <w:t xml:space="preserve">Q1 Review and implement year 2 of the Stroke Service Improvement plan, the scale of service change dependent on the outcome of the HASU service scoping work. </w:t>
            </w:r>
          </w:p>
          <w:p w14:paraId="1934D474" w14:textId="59F34F5D" w:rsidR="00E02C36" w:rsidRPr="00E02C36" w:rsidRDefault="00E02C36" w:rsidP="00E02C36">
            <w:pPr>
              <w:rPr>
                <w:rFonts w:asciiTheme="minorHAnsi" w:hAnsiTheme="minorHAnsi"/>
                <w:bCs/>
              </w:rPr>
            </w:pPr>
            <w:r w:rsidRPr="00E02C36">
              <w:rPr>
                <w:rFonts w:asciiTheme="minorHAnsi" w:hAnsiTheme="minorHAnsi"/>
                <w:bCs/>
              </w:rPr>
              <w:t xml:space="preserve">Q1 Undertake a review/evaluation of Winter 2020/2021 as part of the rolling cycle to plan to meet increased demand.  Development of a plan within Q2 in line with </w:t>
            </w:r>
            <w:r w:rsidR="00897141">
              <w:rPr>
                <w:rFonts w:asciiTheme="minorHAnsi" w:hAnsiTheme="minorHAnsi"/>
                <w:bCs/>
              </w:rPr>
              <w:t>WG</w:t>
            </w:r>
            <w:r w:rsidRPr="00E02C36">
              <w:rPr>
                <w:rFonts w:asciiTheme="minorHAnsi" w:hAnsiTheme="minorHAnsi"/>
                <w:bCs/>
              </w:rPr>
              <w:t>s requirements. Q3 Winter Plan implementation.</w:t>
            </w:r>
          </w:p>
          <w:p w14:paraId="1AC72E73" w14:textId="77777777" w:rsidR="00E02C36" w:rsidRDefault="00E02C36" w:rsidP="00E02C36">
            <w:pPr>
              <w:rPr>
                <w:rFonts w:asciiTheme="minorHAnsi" w:hAnsiTheme="minorHAnsi"/>
                <w:bCs/>
              </w:rPr>
            </w:pPr>
          </w:p>
          <w:p w14:paraId="265D36F1" w14:textId="77777777" w:rsidR="00E02C36" w:rsidRDefault="00E02C36" w:rsidP="00E02C36">
            <w:pPr>
              <w:rPr>
                <w:rFonts w:asciiTheme="minorHAnsi" w:hAnsiTheme="minorHAnsi"/>
                <w:bCs/>
              </w:rPr>
            </w:pPr>
          </w:p>
          <w:p w14:paraId="3AFFF5DB" w14:textId="77777777" w:rsidR="00E02C36" w:rsidRDefault="00E02C36" w:rsidP="00E02C36">
            <w:pPr>
              <w:rPr>
                <w:rFonts w:asciiTheme="minorHAnsi" w:hAnsiTheme="minorHAnsi"/>
                <w:bCs/>
              </w:rPr>
            </w:pPr>
            <w:r>
              <w:rPr>
                <w:rFonts w:asciiTheme="minorHAnsi" w:hAnsiTheme="minorHAnsi"/>
                <w:bCs/>
              </w:rPr>
              <w:t>Years 2 &amp; 3 – Major Trauma therapy/rehab/</w:t>
            </w:r>
          </w:p>
          <w:p w14:paraId="0887AF06" w14:textId="77777777" w:rsidR="00E02C36" w:rsidRDefault="00E02C36" w:rsidP="00E02C36">
            <w:pPr>
              <w:rPr>
                <w:rFonts w:asciiTheme="minorHAnsi" w:hAnsiTheme="minorHAnsi"/>
                <w:bCs/>
              </w:rPr>
            </w:pPr>
            <w:r>
              <w:rPr>
                <w:rFonts w:asciiTheme="minorHAnsi" w:hAnsiTheme="minorHAnsi"/>
                <w:bCs/>
              </w:rPr>
              <w:t xml:space="preserve">neuropsychology requirements to be delivered.  </w:t>
            </w:r>
          </w:p>
          <w:p w14:paraId="58523233" w14:textId="77777777" w:rsidR="00E02C36" w:rsidRDefault="00E02C36" w:rsidP="00E02C36">
            <w:pPr>
              <w:rPr>
                <w:rFonts w:asciiTheme="minorHAnsi" w:hAnsiTheme="minorHAnsi"/>
                <w:bCs/>
              </w:rPr>
            </w:pPr>
            <w:r>
              <w:rPr>
                <w:rFonts w:asciiTheme="minorHAnsi" w:hAnsiTheme="minorHAnsi"/>
                <w:bCs/>
              </w:rPr>
              <w:t>Year 2 – Business Case for Orthogeriatric requirements to be developed.</w:t>
            </w:r>
          </w:p>
          <w:p w14:paraId="645CB122" w14:textId="77777777" w:rsidR="00E02C36" w:rsidRPr="00664D9F" w:rsidRDefault="00E02C36" w:rsidP="00E02C36">
            <w:pPr>
              <w:rPr>
                <w:rFonts w:asciiTheme="minorHAnsi" w:hAnsiTheme="minorHAnsi"/>
                <w:bCs/>
              </w:rPr>
            </w:pPr>
          </w:p>
        </w:tc>
        <w:tc>
          <w:tcPr>
            <w:tcW w:w="1893" w:type="dxa"/>
          </w:tcPr>
          <w:p w14:paraId="530440B0" w14:textId="77777777" w:rsidR="00E02C36" w:rsidRDefault="00E02C36" w:rsidP="00E02C36">
            <w:pPr>
              <w:rPr>
                <w:rFonts w:asciiTheme="minorHAnsi" w:hAnsiTheme="minorHAnsi"/>
                <w:bCs/>
              </w:rPr>
            </w:pPr>
          </w:p>
          <w:p w14:paraId="653289E2" w14:textId="77777777" w:rsidR="00E02C36" w:rsidRDefault="00E02C36" w:rsidP="00E02C36">
            <w:pPr>
              <w:rPr>
                <w:rFonts w:asciiTheme="minorHAnsi" w:hAnsiTheme="minorHAnsi"/>
                <w:bCs/>
              </w:rPr>
            </w:pPr>
          </w:p>
          <w:p w14:paraId="5EE09D28" w14:textId="77777777" w:rsidR="00E02C36" w:rsidRDefault="00E02C36" w:rsidP="00E02C36">
            <w:pPr>
              <w:rPr>
                <w:rFonts w:asciiTheme="minorHAnsi" w:hAnsiTheme="minorHAnsi"/>
                <w:bCs/>
              </w:rPr>
            </w:pPr>
          </w:p>
          <w:p w14:paraId="69FA039C" w14:textId="77777777" w:rsidR="00E02C36" w:rsidRDefault="00E02C36" w:rsidP="00E02C36">
            <w:pPr>
              <w:rPr>
                <w:rFonts w:asciiTheme="minorHAnsi" w:hAnsiTheme="minorHAnsi"/>
                <w:bCs/>
              </w:rPr>
            </w:pPr>
          </w:p>
          <w:p w14:paraId="37697015" w14:textId="77777777" w:rsidR="00E02C36" w:rsidRDefault="00E02C36" w:rsidP="00E02C36">
            <w:pPr>
              <w:rPr>
                <w:rFonts w:asciiTheme="minorHAnsi" w:hAnsiTheme="minorHAnsi"/>
                <w:bCs/>
              </w:rPr>
            </w:pPr>
          </w:p>
          <w:p w14:paraId="62FDAB7F" w14:textId="77777777" w:rsidR="00E02C36" w:rsidRDefault="00E02C36" w:rsidP="00E02C36">
            <w:pPr>
              <w:rPr>
                <w:rFonts w:asciiTheme="minorHAnsi" w:hAnsiTheme="minorHAnsi"/>
                <w:bCs/>
              </w:rPr>
            </w:pPr>
          </w:p>
          <w:p w14:paraId="38A9071F" w14:textId="77777777" w:rsidR="00E02C36" w:rsidRDefault="00E02C36" w:rsidP="00E02C36">
            <w:pPr>
              <w:rPr>
                <w:rFonts w:asciiTheme="minorHAnsi" w:hAnsiTheme="minorHAnsi"/>
                <w:bCs/>
              </w:rPr>
            </w:pPr>
          </w:p>
          <w:p w14:paraId="4782FDE3" w14:textId="77777777" w:rsidR="00E02C36" w:rsidRDefault="00E02C36" w:rsidP="00E02C36">
            <w:pPr>
              <w:rPr>
                <w:rFonts w:asciiTheme="minorHAnsi" w:hAnsiTheme="minorHAnsi"/>
                <w:bCs/>
              </w:rPr>
            </w:pPr>
          </w:p>
          <w:p w14:paraId="0752CE33" w14:textId="77777777" w:rsidR="00E02C36" w:rsidRDefault="00E02C36" w:rsidP="00E02C36">
            <w:pPr>
              <w:rPr>
                <w:rFonts w:asciiTheme="minorHAnsi" w:hAnsiTheme="minorHAnsi"/>
                <w:bCs/>
              </w:rPr>
            </w:pPr>
          </w:p>
          <w:p w14:paraId="0EBD411D" w14:textId="77777777" w:rsidR="00E02C36" w:rsidRDefault="00E02C36" w:rsidP="00E02C36">
            <w:pPr>
              <w:rPr>
                <w:rFonts w:asciiTheme="minorHAnsi" w:hAnsiTheme="minorHAnsi"/>
                <w:bCs/>
              </w:rPr>
            </w:pPr>
          </w:p>
          <w:p w14:paraId="0D77AD0F" w14:textId="77777777" w:rsidR="00E02C36" w:rsidRDefault="00E02C36" w:rsidP="00E02C36">
            <w:pPr>
              <w:rPr>
                <w:rFonts w:asciiTheme="minorHAnsi" w:hAnsiTheme="minorHAnsi"/>
                <w:bCs/>
              </w:rPr>
            </w:pPr>
          </w:p>
          <w:p w14:paraId="4336E2C7" w14:textId="77777777" w:rsidR="00E02C36" w:rsidRDefault="00E02C36" w:rsidP="00E02C36">
            <w:pPr>
              <w:rPr>
                <w:rFonts w:asciiTheme="minorHAnsi" w:hAnsiTheme="minorHAnsi"/>
                <w:bCs/>
              </w:rPr>
            </w:pPr>
          </w:p>
          <w:p w14:paraId="2BA6CD54" w14:textId="77777777" w:rsidR="00E02C36" w:rsidRDefault="00E02C36" w:rsidP="00E02C36">
            <w:pPr>
              <w:rPr>
                <w:rFonts w:asciiTheme="minorHAnsi" w:hAnsiTheme="minorHAnsi"/>
                <w:bCs/>
              </w:rPr>
            </w:pPr>
          </w:p>
          <w:p w14:paraId="391FCB9C" w14:textId="77777777" w:rsidR="00E02C36" w:rsidRDefault="00E02C36" w:rsidP="00E02C36">
            <w:pPr>
              <w:rPr>
                <w:rFonts w:asciiTheme="minorHAnsi" w:hAnsiTheme="minorHAnsi"/>
                <w:bCs/>
              </w:rPr>
            </w:pPr>
          </w:p>
          <w:p w14:paraId="13D2ED13" w14:textId="77777777" w:rsidR="00E02C36" w:rsidRDefault="00E02C36" w:rsidP="00E02C36">
            <w:pPr>
              <w:rPr>
                <w:rFonts w:asciiTheme="minorHAnsi" w:hAnsiTheme="minorHAnsi"/>
                <w:bCs/>
              </w:rPr>
            </w:pPr>
          </w:p>
          <w:p w14:paraId="1DDDBDBB" w14:textId="77777777" w:rsidR="00E02C36" w:rsidRDefault="00E02C36" w:rsidP="00E02C36">
            <w:pPr>
              <w:rPr>
                <w:rFonts w:asciiTheme="minorHAnsi" w:hAnsiTheme="minorHAnsi"/>
                <w:bCs/>
              </w:rPr>
            </w:pPr>
          </w:p>
          <w:p w14:paraId="5EC481E1" w14:textId="77777777" w:rsidR="00E02C36" w:rsidRDefault="00E02C36" w:rsidP="00E02C36">
            <w:pPr>
              <w:rPr>
                <w:rFonts w:asciiTheme="minorHAnsi" w:hAnsiTheme="minorHAnsi"/>
                <w:bCs/>
              </w:rPr>
            </w:pPr>
          </w:p>
          <w:p w14:paraId="33B77180" w14:textId="77777777" w:rsidR="00E02C36" w:rsidRDefault="00E02C36" w:rsidP="00E02C36">
            <w:pPr>
              <w:rPr>
                <w:rFonts w:asciiTheme="minorHAnsi" w:hAnsiTheme="minorHAnsi"/>
                <w:bCs/>
              </w:rPr>
            </w:pPr>
          </w:p>
          <w:p w14:paraId="1F8A1065" w14:textId="77777777" w:rsidR="00E02C36" w:rsidRDefault="00E02C36" w:rsidP="00E02C36">
            <w:pPr>
              <w:rPr>
                <w:rFonts w:asciiTheme="minorHAnsi" w:hAnsiTheme="minorHAnsi"/>
                <w:bCs/>
              </w:rPr>
            </w:pPr>
          </w:p>
          <w:p w14:paraId="0EA3C4D1" w14:textId="77777777" w:rsidR="00E02C36" w:rsidRDefault="00E02C36" w:rsidP="00E02C36">
            <w:pPr>
              <w:rPr>
                <w:rFonts w:asciiTheme="minorHAnsi" w:hAnsiTheme="minorHAnsi"/>
                <w:bCs/>
              </w:rPr>
            </w:pPr>
          </w:p>
          <w:p w14:paraId="3BC23C66" w14:textId="77777777" w:rsidR="00E02C36" w:rsidRDefault="00E02C36" w:rsidP="00E02C36">
            <w:pPr>
              <w:rPr>
                <w:rFonts w:asciiTheme="minorHAnsi" w:hAnsiTheme="minorHAnsi"/>
                <w:bCs/>
              </w:rPr>
            </w:pPr>
          </w:p>
          <w:p w14:paraId="3C0E76FC" w14:textId="77777777" w:rsidR="00E02C36" w:rsidRDefault="00E02C36" w:rsidP="00E02C36">
            <w:pPr>
              <w:rPr>
                <w:rFonts w:asciiTheme="minorHAnsi" w:hAnsiTheme="minorHAnsi"/>
                <w:bCs/>
              </w:rPr>
            </w:pPr>
          </w:p>
          <w:p w14:paraId="534E8A61" w14:textId="77777777" w:rsidR="00E02C36" w:rsidRDefault="00E02C36" w:rsidP="00E02C36">
            <w:pPr>
              <w:rPr>
                <w:rFonts w:asciiTheme="minorHAnsi" w:hAnsiTheme="minorHAnsi"/>
                <w:bCs/>
              </w:rPr>
            </w:pPr>
            <w:r>
              <w:rPr>
                <w:rFonts w:asciiTheme="minorHAnsi" w:hAnsiTheme="minorHAnsi"/>
                <w:bCs/>
              </w:rPr>
              <w:t>Continuation of Winter Planning cycle as described.</w:t>
            </w:r>
          </w:p>
          <w:p w14:paraId="6E890E15" w14:textId="77777777" w:rsidR="00E02C36" w:rsidRDefault="00E02C36" w:rsidP="00E02C36">
            <w:pPr>
              <w:rPr>
                <w:rFonts w:asciiTheme="minorHAnsi" w:hAnsiTheme="minorHAnsi"/>
                <w:bCs/>
              </w:rPr>
            </w:pPr>
          </w:p>
          <w:p w14:paraId="1884F040" w14:textId="77777777" w:rsidR="00E02C36" w:rsidRDefault="00E02C36" w:rsidP="00E02C36">
            <w:pPr>
              <w:rPr>
                <w:rFonts w:asciiTheme="minorHAnsi" w:hAnsiTheme="minorHAnsi"/>
                <w:bCs/>
              </w:rPr>
            </w:pPr>
          </w:p>
          <w:p w14:paraId="3F0186DD" w14:textId="77777777" w:rsidR="00E02C36" w:rsidRDefault="00E02C36" w:rsidP="00E02C36">
            <w:pPr>
              <w:rPr>
                <w:rFonts w:asciiTheme="minorHAnsi" w:hAnsiTheme="minorHAnsi"/>
                <w:bCs/>
              </w:rPr>
            </w:pPr>
          </w:p>
          <w:p w14:paraId="389FAE4B" w14:textId="77777777" w:rsidR="00E02C36" w:rsidRDefault="00E02C36" w:rsidP="00E02C36">
            <w:pPr>
              <w:rPr>
                <w:rFonts w:asciiTheme="minorHAnsi" w:hAnsiTheme="minorHAnsi"/>
                <w:bCs/>
              </w:rPr>
            </w:pPr>
          </w:p>
          <w:p w14:paraId="1AEE22E2" w14:textId="77777777" w:rsidR="00E02C36" w:rsidRDefault="00E02C36" w:rsidP="00E02C36">
            <w:pPr>
              <w:rPr>
                <w:rFonts w:asciiTheme="minorHAnsi" w:hAnsiTheme="minorHAnsi"/>
                <w:bCs/>
              </w:rPr>
            </w:pPr>
          </w:p>
          <w:p w14:paraId="61118667" w14:textId="77777777" w:rsidR="00E02C36" w:rsidRDefault="00E02C36" w:rsidP="00E02C36">
            <w:pPr>
              <w:rPr>
                <w:rFonts w:asciiTheme="minorHAnsi" w:hAnsiTheme="minorHAnsi"/>
                <w:bCs/>
              </w:rPr>
            </w:pPr>
          </w:p>
          <w:p w14:paraId="3CBCF744" w14:textId="77777777" w:rsidR="00E02C36" w:rsidRDefault="00E02C36" w:rsidP="00E02C36">
            <w:pPr>
              <w:rPr>
                <w:rFonts w:asciiTheme="minorHAnsi" w:hAnsiTheme="minorHAnsi"/>
                <w:bCs/>
              </w:rPr>
            </w:pPr>
            <w:r>
              <w:rPr>
                <w:rFonts w:asciiTheme="minorHAnsi" w:hAnsiTheme="minorHAnsi"/>
                <w:bCs/>
              </w:rPr>
              <w:t>Years 3&amp;4 – Orthogeriatric requirements to be delivered.</w:t>
            </w:r>
          </w:p>
          <w:p w14:paraId="5DAF8C8D" w14:textId="77777777" w:rsidR="00E02C36" w:rsidRPr="00B93E25" w:rsidRDefault="00E02C36" w:rsidP="00E02C36">
            <w:pPr>
              <w:rPr>
                <w:rFonts w:cs="Arial"/>
              </w:rPr>
            </w:pPr>
            <w:r>
              <w:rPr>
                <w:rFonts w:cs="Arial"/>
              </w:rPr>
              <w:t xml:space="preserve">Year 3 - </w:t>
            </w:r>
            <w:r w:rsidRPr="00B93E25">
              <w:rPr>
                <w:rFonts w:cs="Arial"/>
              </w:rPr>
              <w:t xml:space="preserve">Delivery of dedicated landing pad within existing infrastructure OR new infrastructure </w:t>
            </w:r>
            <w:r w:rsidRPr="00B93E25">
              <w:rPr>
                <w:rFonts w:cs="Arial"/>
              </w:rPr>
              <w:lastRenderedPageBreak/>
              <w:t>depending upon</w:t>
            </w:r>
            <w:r>
              <w:rPr>
                <w:rFonts w:cs="Arial"/>
              </w:rPr>
              <w:t xml:space="preserve"> local service developments </w:t>
            </w:r>
            <w:r w:rsidRPr="00B93E25">
              <w:rPr>
                <w:rFonts w:cs="Arial"/>
              </w:rPr>
              <w:t>circumstances.</w:t>
            </w:r>
          </w:p>
          <w:p w14:paraId="32AFD4F7" w14:textId="77777777" w:rsidR="00E02C36" w:rsidRPr="00B93E25" w:rsidRDefault="00E02C36" w:rsidP="00E02C36">
            <w:pPr>
              <w:ind w:left="18" w:hanging="18"/>
              <w:rPr>
                <w:rFonts w:cs="Arial"/>
              </w:rPr>
            </w:pPr>
          </w:p>
          <w:p w14:paraId="5978293C" w14:textId="60EE3D33" w:rsidR="00E02C36" w:rsidRPr="00E02C36" w:rsidRDefault="00E02C36" w:rsidP="00E02C36">
            <w:pPr>
              <w:spacing w:line="20" w:lineRule="atLeast"/>
              <w:rPr>
                <w:rFonts w:cs="Arial"/>
              </w:rPr>
            </w:pPr>
            <w:r w:rsidRPr="00B93E25">
              <w:rPr>
                <w:rFonts w:cs="Arial"/>
              </w:rPr>
              <w:t>Delivery of nursing staffing requirements.</w:t>
            </w:r>
          </w:p>
        </w:tc>
      </w:tr>
    </w:tbl>
    <w:p w14:paraId="48B5BE28" w14:textId="77777777" w:rsidR="00540D72" w:rsidRPr="003D0778" w:rsidRDefault="00540D72" w:rsidP="00ED716B">
      <w:pPr>
        <w:pStyle w:val="Heading3"/>
        <w:rPr>
          <w:szCs w:val="22"/>
        </w:rPr>
      </w:pPr>
      <w:bookmarkStart w:id="105" w:name="_Toc532463987"/>
      <w:r w:rsidRPr="003D0778">
        <w:rPr>
          <w:szCs w:val="22"/>
        </w:rPr>
        <w:lastRenderedPageBreak/>
        <w:t>Planned Care</w:t>
      </w:r>
      <w:bookmarkEnd w:id="105"/>
    </w:p>
    <w:p w14:paraId="252362C3" w14:textId="77D583E9" w:rsidR="00DE3193" w:rsidRPr="00195C09" w:rsidRDefault="00DE3193" w:rsidP="00DE3193">
      <w:pPr>
        <w:rPr>
          <w:rFonts w:asciiTheme="minorHAnsi" w:hAnsiTheme="minorHAnsi"/>
          <w:szCs w:val="22"/>
        </w:rPr>
      </w:pPr>
      <w:bookmarkStart w:id="106" w:name="_Toc532463990"/>
      <w:r w:rsidRPr="00195C09">
        <w:rPr>
          <w:rFonts w:asciiTheme="minorHAnsi" w:hAnsiTheme="minorHAnsi"/>
          <w:szCs w:val="22"/>
        </w:rPr>
        <w:t xml:space="preserve">The </w:t>
      </w:r>
      <w:r w:rsidR="009400F5">
        <w:rPr>
          <w:rFonts w:asciiTheme="minorHAnsi" w:hAnsiTheme="minorHAnsi"/>
          <w:szCs w:val="22"/>
        </w:rPr>
        <w:t xml:space="preserve">UHB </w:t>
      </w:r>
      <w:r w:rsidRPr="00195C09">
        <w:rPr>
          <w:rFonts w:asciiTheme="minorHAnsi" w:hAnsiTheme="minorHAnsi"/>
          <w:szCs w:val="22"/>
        </w:rPr>
        <w:t>clearly recognises the benefit of early assessment and treatment on health outcomes and places a high priority on achieving national access targets which</w:t>
      </w:r>
      <w:r w:rsidR="009400F5">
        <w:rPr>
          <w:rFonts w:asciiTheme="minorHAnsi" w:hAnsiTheme="minorHAnsi"/>
          <w:szCs w:val="22"/>
        </w:rPr>
        <w:t>,</w:t>
      </w:r>
      <w:r w:rsidRPr="00195C09">
        <w:rPr>
          <w:rFonts w:asciiTheme="minorHAnsi" w:hAnsiTheme="minorHAnsi"/>
          <w:szCs w:val="22"/>
        </w:rPr>
        <w:t xml:space="preserve"> as part of the planned care system</w:t>
      </w:r>
      <w:r w:rsidR="009400F5">
        <w:rPr>
          <w:rFonts w:asciiTheme="minorHAnsi" w:hAnsiTheme="minorHAnsi"/>
          <w:szCs w:val="22"/>
        </w:rPr>
        <w:t>,</w:t>
      </w:r>
      <w:r w:rsidRPr="00195C09">
        <w:rPr>
          <w:rFonts w:asciiTheme="minorHAnsi" w:hAnsiTheme="minorHAnsi"/>
          <w:szCs w:val="22"/>
        </w:rPr>
        <w:t xml:space="preserve"> includes looking across primary care, community and hospital services.  Our primary and community care section demonstrates that we are committed to re-balancing planned care pathways and through our cluster plans we are seeking to develop appropriate components in primary and community care to reduce the reliance on secondary care; reflecting the pri</w:t>
      </w:r>
      <w:r w:rsidR="009400F5">
        <w:rPr>
          <w:rFonts w:asciiTheme="minorHAnsi" w:hAnsiTheme="minorHAnsi"/>
          <w:szCs w:val="22"/>
        </w:rPr>
        <w:t>nciples of prudent healthcare.</w:t>
      </w:r>
    </w:p>
    <w:p w14:paraId="59909B98" w14:textId="77777777" w:rsidR="00DE3193" w:rsidRPr="00195C09" w:rsidRDefault="00DE3193" w:rsidP="00DE3193">
      <w:pPr>
        <w:rPr>
          <w:rFonts w:asciiTheme="minorHAnsi" w:hAnsiTheme="minorHAnsi"/>
          <w:szCs w:val="22"/>
        </w:rPr>
      </w:pPr>
    </w:p>
    <w:p w14:paraId="1BADFE5F" w14:textId="77777777" w:rsidR="00DE3193" w:rsidRDefault="00DE3193" w:rsidP="00DE3193">
      <w:pPr>
        <w:rPr>
          <w:rFonts w:asciiTheme="minorHAnsi" w:hAnsiTheme="minorHAnsi"/>
          <w:szCs w:val="22"/>
        </w:rPr>
      </w:pPr>
      <w:r w:rsidRPr="00195C09">
        <w:rPr>
          <w:rFonts w:asciiTheme="minorHAnsi" w:hAnsiTheme="minorHAnsi"/>
          <w:szCs w:val="22"/>
        </w:rPr>
        <w:t xml:space="preserve">We continue to take positive steps to improve our performance, including implementing a range of ‘enabling’ measures that are linked to improving patient flow and process efficiency; all contribute to the development of a sustainable service model.  We remain committed to our journey of continuous improvement necessary to develop a sustainable service model for planned care. </w:t>
      </w:r>
    </w:p>
    <w:p w14:paraId="7D04486B" w14:textId="77777777" w:rsidR="00DE3193" w:rsidRDefault="00DE3193" w:rsidP="00DE3193">
      <w:pPr>
        <w:rPr>
          <w:rFonts w:asciiTheme="minorHAnsi" w:hAnsiTheme="minorHAnsi"/>
          <w:szCs w:val="22"/>
        </w:rPr>
      </w:pPr>
    </w:p>
    <w:p w14:paraId="285B1CC5" w14:textId="259CC6B1" w:rsidR="00DE3193" w:rsidRDefault="00DE3193" w:rsidP="00DE3193">
      <w:pPr>
        <w:rPr>
          <w:rFonts w:asciiTheme="minorHAnsi" w:hAnsiTheme="minorHAnsi"/>
          <w:szCs w:val="22"/>
        </w:rPr>
      </w:pPr>
      <w:r>
        <w:rPr>
          <w:rFonts w:asciiTheme="minorHAnsi" w:hAnsiTheme="minorHAnsi"/>
          <w:szCs w:val="22"/>
        </w:rPr>
        <w:t xml:space="preserve">The </w:t>
      </w:r>
      <w:r w:rsidR="009400F5">
        <w:rPr>
          <w:rFonts w:asciiTheme="minorHAnsi" w:hAnsiTheme="minorHAnsi"/>
          <w:szCs w:val="22"/>
        </w:rPr>
        <w:t>UHB</w:t>
      </w:r>
      <w:r>
        <w:rPr>
          <w:rFonts w:asciiTheme="minorHAnsi" w:hAnsiTheme="minorHAnsi"/>
          <w:szCs w:val="22"/>
        </w:rPr>
        <w:t xml:space="preserve"> has placed a strong emphasis on quality in the delivery of care and services for the populations we serve.</w:t>
      </w:r>
      <w:r w:rsidR="009400F5">
        <w:rPr>
          <w:rFonts w:asciiTheme="minorHAnsi" w:hAnsiTheme="minorHAnsi"/>
          <w:szCs w:val="22"/>
        </w:rPr>
        <w:t xml:space="preserve"> </w:t>
      </w:r>
      <w:r>
        <w:rPr>
          <w:rFonts w:asciiTheme="minorHAnsi" w:hAnsiTheme="minorHAnsi"/>
          <w:szCs w:val="22"/>
        </w:rPr>
        <w:t xml:space="preserve"> This is within the context of the Quadruple Aim to ensure that people are supported to manage their own health and wellbeing and to live independently in their own homes for as long as possible, supported by targeted multi-professional integrated health and social care services that will meet their needs delivered by the right professional at the right time as locally as possible; and with strengthened patient and staff involvement and empowerment in the design and delivery of care and support across the organisation.</w:t>
      </w:r>
      <w:r w:rsidR="009400F5">
        <w:rPr>
          <w:rFonts w:asciiTheme="minorHAnsi" w:hAnsiTheme="minorHAnsi"/>
          <w:szCs w:val="22"/>
        </w:rPr>
        <w:t xml:space="preserve"> </w:t>
      </w:r>
      <w:r>
        <w:rPr>
          <w:rFonts w:asciiTheme="minorHAnsi" w:hAnsiTheme="minorHAnsi"/>
          <w:szCs w:val="22"/>
        </w:rPr>
        <w:t xml:space="preserve"> It is imperative that we have an ongoing dialogue with patients and staff to continuously identify what constitutes high quality care and ensure that meaningful patient involvement is embedded in our quality improvement programmes. </w:t>
      </w:r>
    </w:p>
    <w:p w14:paraId="4A6B7A9F" w14:textId="77777777" w:rsidR="00DE3193" w:rsidRDefault="00DE3193" w:rsidP="00DE3193">
      <w:pPr>
        <w:rPr>
          <w:rFonts w:asciiTheme="minorHAnsi" w:hAnsiTheme="minorHAnsi"/>
          <w:szCs w:val="22"/>
        </w:rPr>
      </w:pPr>
    </w:p>
    <w:p w14:paraId="184C036D" w14:textId="4E282C4E" w:rsidR="00DE3193" w:rsidRDefault="00DE3193" w:rsidP="00DE3193">
      <w:pPr>
        <w:rPr>
          <w:rFonts w:asciiTheme="minorHAnsi" w:hAnsiTheme="minorHAnsi"/>
          <w:szCs w:val="22"/>
        </w:rPr>
      </w:pPr>
      <w:r>
        <w:rPr>
          <w:rFonts w:asciiTheme="minorHAnsi" w:hAnsiTheme="minorHAnsi"/>
          <w:szCs w:val="22"/>
        </w:rPr>
        <w:t xml:space="preserve">We will continue to improve the ability of the organisation to listen to and learn from our patients and their families and ensure that the planning and delivery of services is based on a robust process centred around meaningful engagement, learning from patient experiences both positive and negative, in order that we can improve the experience of patients and their families. </w:t>
      </w:r>
      <w:r w:rsidR="009400F5">
        <w:rPr>
          <w:rFonts w:asciiTheme="minorHAnsi" w:hAnsiTheme="minorHAnsi"/>
          <w:szCs w:val="22"/>
        </w:rPr>
        <w:t xml:space="preserve"> </w:t>
      </w:r>
      <w:r>
        <w:rPr>
          <w:rFonts w:asciiTheme="minorHAnsi" w:hAnsiTheme="minorHAnsi"/>
          <w:szCs w:val="22"/>
        </w:rPr>
        <w:t xml:space="preserve">We will continue our approach to embed Patient Reported Outcome Measures (PROMS) to support the implementation of both a Prudent and Values Based Healthcare approach across the organisation to ensure we deliver and monitor desired outcomes that matter to individuals. </w:t>
      </w:r>
    </w:p>
    <w:p w14:paraId="35F5F56C" w14:textId="12D5958A" w:rsidR="00DE3193" w:rsidRPr="00DE3193" w:rsidRDefault="00DE3193" w:rsidP="00BB7B73">
      <w:pPr>
        <w:pStyle w:val="Heading4"/>
      </w:pPr>
      <w:r w:rsidRPr="00DE3193">
        <w:t>Children, Young People and Families</w:t>
      </w:r>
      <w:r w:rsidR="00BB7B73">
        <w:t xml:space="preserve"> </w:t>
      </w:r>
    </w:p>
    <w:p w14:paraId="37D4F1F3" w14:textId="77777777" w:rsidR="00DE3193" w:rsidRDefault="00DE3193" w:rsidP="00DE3193">
      <w:pPr>
        <w:rPr>
          <w:rFonts w:asciiTheme="minorHAnsi" w:hAnsiTheme="minorHAnsi"/>
          <w:szCs w:val="22"/>
        </w:rPr>
      </w:pPr>
      <w:r>
        <w:rPr>
          <w:rFonts w:asciiTheme="minorHAnsi" w:hAnsiTheme="minorHAnsi"/>
          <w:szCs w:val="22"/>
        </w:rPr>
        <w:t xml:space="preserve">We are planning to develop fully integrated health and well-being services where children, young people and their families will receive a range of services by the right person, at the time when we can make a real difference to their needs and at the pace that is most beneficial to them. </w:t>
      </w:r>
    </w:p>
    <w:p w14:paraId="7F52B637" w14:textId="77777777" w:rsidR="00DE3193" w:rsidRDefault="00DE3193" w:rsidP="00DE3193">
      <w:pPr>
        <w:rPr>
          <w:rFonts w:asciiTheme="minorHAnsi" w:hAnsiTheme="minorHAnsi"/>
          <w:szCs w:val="22"/>
        </w:rPr>
      </w:pPr>
    </w:p>
    <w:p w14:paraId="23254C00" w14:textId="79FBB922" w:rsidR="00DE3193" w:rsidRPr="00E56B02" w:rsidRDefault="00DE3193" w:rsidP="00DE3193">
      <w:pPr>
        <w:rPr>
          <w:rFonts w:asciiTheme="minorHAnsi" w:hAnsiTheme="minorHAnsi"/>
          <w:szCs w:val="22"/>
        </w:rPr>
      </w:pPr>
      <w:r>
        <w:rPr>
          <w:rFonts w:asciiTheme="minorHAnsi" w:hAnsiTheme="minorHAnsi"/>
          <w:szCs w:val="22"/>
        </w:rPr>
        <w:t xml:space="preserve">Over </w:t>
      </w:r>
      <w:r w:rsidRPr="00E56B02">
        <w:rPr>
          <w:rFonts w:asciiTheme="minorHAnsi" w:hAnsiTheme="minorHAnsi"/>
          <w:szCs w:val="22"/>
        </w:rPr>
        <w:t xml:space="preserve">the last year, </w:t>
      </w:r>
      <w:r w:rsidR="004605AB">
        <w:rPr>
          <w:rFonts w:asciiTheme="minorHAnsi" w:hAnsiTheme="minorHAnsi"/>
          <w:szCs w:val="22"/>
        </w:rPr>
        <w:t>CTMUHB</w:t>
      </w:r>
      <w:r w:rsidRPr="00E56B02">
        <w:rPr>
          <w:rFonts w:asciiTheme="minorHAnsi" w:hAnsiTheme="minorHAnsi"/>
          <w:szCs w:val="22"/>
        </w:rPr>
        <w:t xml:space="preserve"> has implemented the centralisation of the Neonatal Unit to </w:t>
      </w:r>
      <w:r w:rsidR="00C9206E">
        <w:rPr>
          <w:rFonts w:asciiTheme="minorHAnsi" w:hAnsiTheme="minorHAnsi"/>
          <w:szCs w:val="22"/>
        </w:rPr>
        <w:t>PCH</w:t>
      </w:r>
      <w:r w:rsidRPr="00E56B02">
        <w:rPr>
          <w:rFonts w:asciiTheme="minorHAnsi" w:hAnsiTheme="minorHAnsi"/>
          <w:szCs w:val="22"/>
        </w:rPr>
        <w:t xml:space="preserve"> in line with the </w:t>
      </w:r>
      <w:r w:rsidR="00A554B9">
        <w:rPr>
          <w:rFonts w:asciiTheme="minorHAnsi" w:hAnsiTheme="minorHAnsi"/>
          <w:szCs w:val="22"/>
        </w:rPr>
        <w:t>SWP</w:t>
      </w:r>
      <w:r w:rsidRPr="00E56B02">
        <w:rPr>
          <w:rFonts w:asciiTheme="minorHAnsi" w:hAnsiTheme="minorHAnsi"/>
          <w:szCs w:val="22"/>
        </w:rPr>
        <w:t xml:space="preserve">. </w:t>
      </w:r>
      <w:r w:rsidR="00C9206E">
        <w:rPr>
          <w:rFonts w:asciiTheme="minorHAnsi" w:hAnsiTheme="minorHAnsi"/>
          <w:szCs w:val="22"/>
        </w:rPr>
        <w:t xml:space="preserve"> </w:t>
      </w:r>
      <w:r w:rsidRPr="00E56B02">
        <w:rPr>
          <w:rFonts w:asciiTheme="minorHAnsi" w:hAnsiTheme="minorHAnsi"/>
          <w:szCs w:val="22"/>
        </w:rPr>
        <w:t xml:space="preserve">The newly built unit ensures care for new born infants in line with national guidelines and robust pathways have been put in place to ensure safe and effective care for those in need of the unit. Further work will be undertaken to strengthen therapies input within the Neonatal Unit to develop integrated and joint working processes. </w:t>
      </w:r>
    </w:p>
    <w:p w14:paraId="68E164C1" w14:textId="77777777" w:rsidR="00DE3193" w:rsidRPr="00E56B02" w:rsidRDefault="00DE3193" w:rsidP="00DE3193">
      <w:pPr>
        <w:rPr>
          <w:rFonts w:asciiTheme="minorHAnsi" w:hAnsiTheme="minorHAnsi"/>
          <w:szCs w:val="22"/>
        </w:rPr>
      </w:pPr>
    </w:p>
    <w:p w14:paraId="73170F20" w14:textId="222B6FC0" w:rsidR="00635090" w:rsidRPr="00E56B02" w:rsidRDefault="00635090" w:rsidP="00DE3193">
      <w:pPr>
        <w:rPr>
          <w:rFonts w:asciiTheme="minorHAnsi" w:hAnsiTheme="minorHAnsi"/>
          <w:szCs w:val="22"/>
        </w:rPr>
      </w:pPr>
      <w:r w:rsidRPr="00E56B02">
        <w:rPr>
          <w:rFonts w:asciiTheme="minorHAnsi" w:hAnsiTheme="minorHAnsi"/>
          <w:szCs w:val="22"/>
        </w:rPr>
        <w:lastRenderedPageBreak/>
        <w:t xml:space="preserve">Work will also be undertaken to ensure capacity can be met safely in the Neonatal Unit in </w:t>
      </w:r>
      <w:r w:rsidR="00E32360">
        <w:rPr>
          <w:rFonts w:asciiTheme="minorHAnsi" w:hAnsiTheme="minorHAnsi"/>
          <w:szCs w:val="22"/>
        </w:rPr>
        <w:t>POWH</w:t>
      </w:r>
      <w:r w:rsidRPr="00E56B02">
        <w:rPr>
          <w:rFonts w:asciiTheme="minorHAnsi" w:hAnsiTheme="minorHAnsi"/>
          <w:szCs w:val="22"/>
        </w:rPr>
        <w:t xml:space="preserve"> by the completion of a business case to highlight the need for funding for the stabilisation cot, 1 HDU and 1 Special Care cot and the additional staff resource needed to deliver care effectively.</w:t>
      </w:r>
    </w:p>
    <w:p w14:paraId="365DC6EF" w14:textId="77777777" w:rsidR="00635090" w:rsidRPr="00E56B02" w:rsidRDefault="00635090" w:rsidP="00DE3193">
      <w:pPr>
        <w:rPr>
          <w:rFonts w:asciiTheme="minorHAnsi" w:hAnsiTheme="minorHAnsi"/>
          <w:szCs w:val="22"/>
        </w:rPr>
      </w:pPr>
    </w:p>
    <w:p w14:paraId="29E32844" w14:textId="20B2F69D" w:rsidR="00DE3193" w:rsidRDefault="00DE3193" w:rsidP="00DE3193">
      <w:pPr>
        <w:rPr>
          <w:rFonts w:asciiTheme="minorHAnsi" w:hAnsiTheme="minorHAnsi"/>
          <w:szCs w:val="22"/>
        </w:rPr>
      </w:pPr>
      <w:r w:rsidRPr="00E56B02">
        <w:rPr>
          <w:rFonts w:asciiTheme="minorHAnsi" w:hAnsiTheme="minorHAnsi"/>
          <w:szCs w:val="22"/>
        </w:rPr>
        <w:t xml:space="preserve">The provision of safe, sustainable paediatric services remains both a priority and a challenge for the Health Board through the ongoing full implementation of the </w:t>
      </w:r>
      <w:r w:rsidR="00A554B9">
        <w:rPr>
          <w:rFonts w:asciiTheme="minorHAnsi" w:hAnsiTheme="minorHAnsi"/>
          <w:szCs w:val="22"/>
        </w:rPr>
        <w:t>SWP</w:t>
      </w:r>
      <w:r w:rsidRPr="00E56B02">
        <w:rPr>
          <w:rFonts w:asciiTheme="minorHAnsi" w:hAnsiTheme="minorHAnsi"/>
          <w:szCs w:val="22"/>
        </w:rPr>
        <w:t xml:space="preserve">, whilst </w:t>
      </w:r>
      <w:r>
        <w:rPr>
          <w:rFonts w:asciiTheme="minorHAnsi" w:hAnsiTheme="minorHAnsi"/>
          <w:szCs w:val="22"/>
        </w:rPr>
        <w:t xml:space="preserve">service delivery plans for paediatrics such as the Paediatric Assessment Unit in </w:t>
      </w:r>
      <w:r w:rsidR="0068088F">
        <w:rPr>
          <w:rFonts w:asciiTheme="minorHAnsi" w:hAnsiTheme="minorHAnsi"/>
          <w:szCs w:val="22"/>
        </w:rPr>
        <w:t>RGH</w:t>
      </w:r>
      <w:r w:rsidR="008E6CFE">
        <w:rPr>
          <w:rFonts w:asciiTheme="minorHAnsi" w:hAnsiTheme="minorHAnsi"/>
          <w:szCs w:val="22"/>
        </w:rPr>
        <w:t xml:space="preserve"> </w:t>
      </w:r>
      <w:r>
        <w:rPr>
          <w:rFonts w:asciiTheme="minorHAnsi" w:hAnsiTheme="minorHAnsi"/>
          <w:szCs w:val="22"/>
        </w:rPr>
        <w:t xml:space="preserve">are being finalised. At the same time we must also consider the short and long term impact on other associated services such as Obstetrics and the </w:t>
      </w:r>
      <w:r w:rsidR="00880EE0">
        <w:rPr>
          <w:rFonts w:asciiTheme="minorHAnsi" w:hAnsiTheme="minorHAnsi"/>
          <w:szCs w:val="22"/>
        </w:rPr>
        <w:t>ED</w:t>
      </w:r>
      <w:r>
        <w:rPr>
          <w:rFonts w:asciiTheme="minorHAnsi" w:hAnsiTheme="minorHAnsi"/>
          <w:szCs w:val="22"/>
        </w:rPr>
        <w:t xml:space="preserve">. Regional Paediatric, Obstetric and Neonatal services remain central to our work and require strong links with </w:t>
      </w:r>
      <w:r w:rsidR="008E6CFE">
        <w:rPr>
          <w:rFonts w:asciiTheme="minorHAnsi" w:hAnsiTheme="minorHAnsi"/>
          <w:szCs w:val="22"/>
        </w:rPr>
        <w:t>our neighbouring Health Boards.</w:t>
      </w:r>
    </w:p>
    <w:p w14:paraId="0A8C7E9D" w14:textId="77777777" w:rsidR="00DE3193" w:rsidRDefault="00DE3193" w:rsidP="00DE3193">
      <w:pPr>
        <w:rPr>
          <w:rFonts w:asciiTheme="minorHAnsi" w:hAnsiTheme="minorHAnsi"/>
          <w:szCs w:val="22"/>
        </w:rPr>
      </w:pPr>
    </w:p>
    <w:p w14:paraId="4AE21291" w14:textId="77777777" w:rsidR="00DE3193" w:rsidRDefault="00DE3193" w:rsidP="00DE3193">
      <w:pPr>
        <w:rPr>
          <w:rFonts w:asciiTheme="minorHAnsi" w:hAnsiTheme="minorHAnsi"/>
          <w:szCs w:val="22"/>
        </w:rPr>
      </w:pPr>
      <w:r>
        <w:rPr>
          <w:rFonts w:asciiTheme="minorHAnsi" w:hAnsiTheme="minorHAnsi"/>
          <w:szCs w:val="22"/>
        </w:rPr>
        <w:t xml:space="preserve">We will continue to challenge existing practice and further develop ways of working differently with strong service pathways to enhance care and support for children and their families. </w:t>
      </w:r>
    </w:p>
    <w:p w14:paraId="017FE67D" w14:textId="77777777" w:rsidR="00E334A5" w:rsidRPr="00DE3193" w:rsidRDefault="00E334A5" w:rsidP="00DE3193">
      <w:pPr>
        <w:rPr>
          <w:rFonts w:asciiTheme="minorHAnsi" w:hAnsiTheme="minorHAnsi"/>
          <w:b/>
          <w:szCs w:val="22"/>
        </w:rPr>
      </w:pPr>
    </w:p>
    <w:p w14:paraId="3CAE5A61" w14:textId="6A2C9566" w:rsidR="00DE3193" w:rsidRPr="00DE3193" w:rsidRDefault="00DE3193" w:rsidP="00DE3193">
      <w:pPr>
        <w:rPr>
          <w:rFonts w:asciiTheme="minorHAnsi" w:hAnsiTheme="minorHAnsi"/>
          <w:b/>
          <w:bCs/>
        </w:rPr>
      </w:pPr>
      <w:r w:rsidRPr="00DE3193">
        <w:rPr>
          <w:rFonts w:asciiTheme="minorHAnsi" w:hAnsiTheme="minorHAnsi"/>
          <w:b/>
          <w:bCs/>
          <w:noProof/>
          <w:color w:val="000000" w:themeColor="text1"/>
        </w:rPr>
        <mc:AlternateContent>
          <mc:Choice Requires="wps">
            <w:drawing>
              <wp:anchor distT="0" distB="0" distL="114300" distR="114300" simplePos="0" relativeHeight="252825600" behindDoc="1" locked="0" layoutInCell="1" allowOverlap="1" wp14:anchorId="7A004D3E" wp14:editId="24EE8F83">
                <wp:simplePos x="0" y="0"/>
                <wp:positionH relativeFrom="margin">
                  <wp:posOffset>-93980</wp:posOffset>
                </wp:positionH>
                <wp:positionV relativeFrom="paragraph">
                  <wp:posOffset>93345</wp:posOffset>
                </wp:positionV>
                <wp:extent cx="6675120" cy="696595"/>
                <wp:effectExtent l="0" t="38100" r="30480" b="65405"/>
                <wp:wrapNone/>
                <wp:docPr id="62" name="Right Arrow 62"/>
                <wp:cNvGraphicFramePr/>
                <a:graphic xmlns:a="http://schemas.openxmlformats.org/drawingml/2006/main">
                  <a:graphicData uri="http://schemas.microsoft.com/office/word/2010/wordprocessingShape">
                    <wps:wsp>
                      <wps:cNvSpPr/>
                      <wps:spPr>
                        <a:xfrm>
                          <a:off x="0" y="0"/>
                          <a:ext cx="6675120"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D71633" id="Right Arrow 62" o:spid="_x0000_s1026" type="#_x0000_t13" style="position:absolute;margin-left:-7.4pt;margin-top:7.35pt;width:525.6pt;height:54.85pt;z-index:-250490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" adj="20926" fillcolor="#eaf1dd [662]" strokecolor="#76923c [2406]" strokeweight="2pt">
                <w10:wrap anchorx="margin"/>
              </v:shape>
            </w:pict>
          </mc:Fallback>
        </mc:AlternateContent>
      </w:r>
      <w:r w:rsidRPr="00DE3193">
        <w:rPr>
          <w:rFonts w:asciiTheme="minorHAnsi" w:hAnsiTheme="minorHAnsi"/>
          <w:b/>
          <w:bCs/>
        </w:rPr>
        <w:t>Milestones</w:t>
      </w:r>
    </w:p>
    <w:p w14:paraId="07CE1707" w14:textId="77777777" w:rsidR="00DE3193" w:rsidRDefault="00DE3193" w:rsidP="00DE3193">
      <w:pPr>
        <w:rPr>
          <w:rFonts w:asciiTheme="minorHAnsi" w:hAnsiTheme="minorHAnsi"/>
          <w:bCs/>
        </w:rPr>
      </w:pPr>
    </w:p>
    <w:tbl>
      <w:tblPr>
        <w:tblStyle w:val="TableGrid"/>
        <w:tblW w:w="9918" w:type="dxa"/>
        <w:tblLook w:val="04A0" w:firstRow="1" w:lastRow="0" w:firstColumn="1" w:lastColumn="0" w:noHBand="0" w:noVBand="1"/>
      </w:tblPr>
      <w:tblGrid>
        <w:gridCol w:w="4957"/>
        <w:gridCol w:w="2835"/>
        <w:gridCol w:w="2126"/>
      </w:tblGrid>
      <w:tr w:rsidR="00DE3193" w:rsidRPr="00F13A85" w14:paraId="54FD5000" w14:textId="77777777" w:rsidTr="00DE3193">
        <w:trPr>
          <w:trHeight w:val="2955"/>
        </w:trPr>
        <w:tc>
          <w:tcPr>
            <w:tcW w:w="4957" w:type="dxa"/>
          </w:tcPr>
          <w:p w14:paraId="6D459EBB" w14:textId="77777777" w:rsidR="00DE3193" w:rsidRPr="00E56B02" w:rsidRDefault="00DE3193" w:rsidP="00AA4595">
            <w:pPr>
              <w:jc w:val="center"/>
              <w:rPr>
                <w:rFonts w:asciiTheme="minorHAnsi" w:hAnsiTheme="minorHAnsi"/>
                <w:bCs/>
                <w:sz w:val="22"/>
              </w:rPr>
            </w:pPr>
            <w:r w:rsidRPr="00E56B02">
              <w:rPr>
                <w:rFonts w:asciiTheme="minorHAnsi" w:hAnsiTheme="minorHAnsi"/>
                <w:bCs/>
                <w:sz w:val="22"/>
              </w:rPr>
              <w:t>Year 1</w:t>
            </w:r>
          </w:p>
          <w:p w14:paraId="01A3B0AB" w14:textId="77777777" w:rsidR="00DE3193" w:rsidRPr="00E56B02" w:rsidRDefault="00DE3193" w:rsidP="00AA4595">
            <w:pPr>
              <w:jc w:val="center"/>
              <w:rPr>
                <w:rFonts w:asciiTheme="minorHAnsi" w:hAnsiTheme="minorHAnsi"/>
                <w:bCs/>
                <w:sz w:val="22"/>
              </w:rPr>
            </w:pPr>
          </w:p>
          <w:p w14:paraId="22E76A44" w14:textId="77777777" w:rsidR="00DE3193" w:rsidRPr="00E56B02" w:rsidRDefault="00DE3193" w:rsidP="00AA4595">
            <w:pPr>
              <w:jc w:val="left"/>
              <w:rPr>
                <w:rFonts w:asciiTheme="minorHAnsi" w:hAnsiTheme="minorHAnsi"/>
                <w:bCs/>
                <w:sz w:val="22"/>
                <w:szCs w:val="22"/>
              </w:rPr>
            </w:pPr>
            <w:r w:rsidRPr="00E56B02">
              <w:rPr>
                <w:rFonts w:asciiTheme="minorHAnsi" w:hAnsiTheme="minorHAnsi"/>
                <w:b/>
                <w:bCs/>
                <w:sz w:val="22"/>
              </w:rPr>
              <w:t>Q1</w:t>
            </w:r>
            <w:r w:rsidRPr="00E56B02">
              <w:rPr>
                <w:rFonts w:asciiTheme="minorHAnsi" w:hAnsiTheme="minorHAnsi"/>
                <w:bCs/>
                <w:sz w:val="22"/>
              </w:rPr>
              <w:t xml:space="preserve">: Bid </w:t>
            </w:r>
            <w:r w:rsidRPr="00E56B02">
              <w:rPr>
                <w:rFonts w:asciiTheme="minorHAnsi" w:hAnsiTheme="minorHAnsi"/>
                <w:bCs/>
                <w:sz w:val="22"/>
                <w:szCs w:val="22"/>
              </w:rPr>
              <w:t>produced for therapist input in the Neonatal Unit.</w:t>
            </w:r>
          </w:p>
          <w:p w14:paraId="6F7C736D" w14:textId="5BC9E975" w:rsidR="0057006F" w:rsidRPr="00E56B02" w:rsidRDefault="0057006F" w:rsidP="00AA4595">
            <w:pPr>
              <w:jc w:val="left"/>
              <w:rPr>
                <w:rFonts w:asciiTheme="minorHAnsi" w:hAnsiTheme="minorHAnsi"/>
                <w:bCs/>
                <w:sz w:val="22"/>
                <w:szCs w:val="22"/>
              </w:rPr>
            </w:pPr>
            <w:r w:rsidRPr="00E56B02">
              <w:rPr>
                <w:rFonts w:asciiTheme="minorHAnsi" w:hAnsiTheme="minorHAnsi"/>
                <w:b/>
                <w:bCs/>
                <w:sz w:val="22"/>
                <w:szCs w:val="22"/>
              </w:rPr>
              <w:t xml:space="preserve">Q1. </w:t>
            </w:r>
            <w:r w:rsidRPr="00E56B02">
              <w:rPr>
                <w:rFonts w:asciiTheme="minorHAnsi" w:hAnsiTheme="minorHAnsi"/>
                <w:bCs/>
                <w:sz w:val="22"/>
                <w:szCs w:val="22"/>
              </w:rPr>
              <w:t xml:space="preserve">Business case completed for Neonatal Unit in </w:t>
            </w:r>
            <w:r w:rsidR="00E32360">
              <w:rPr>
                <w:rFonts w:asciiTheme="minorHAnsi" w:hAnsiTheme="minorHAnsi"/>
                <w:bCs/>
                <w:sz w:val="22"/>
                <w:szCs w:val="22"/>
              </w:rPr>
              <w:t>POWH</w:t>
            </w:r>
            <w:r w:rsidRPr="00E56B02">
              <w:rPr>
                <w:rFonts w:asciiTheme="minorHAnsi" w:hAnsiTheme="minorHAnsi"/>
                <w:bCs/>
                <w:sz w:val="22"/>
                <w:szCs w:val="22"/>
              </w:rPr>
              <w:t xml:space="preserve"> for extra costs and staff resource.</w:t>
            </w:r>
          </w:p>
          <w:p w14:paraId="22E46FC6" w14:textId="77777777" w:rsidR="00DE3193" w:rsidRPr="00E56B02" w:rsidRDefault="00DE3193" w:rsidP="00AA4595">
            <w:pPr>
              <w:jc w:val="left"/>
              <w:rPr>
                <w:rFonts w:asciiTheme="minorHAnsi" w:hAnsiTheme="minorHAnsi"/>
                <w:bCs/>
                <w:sz w:val="22"/>
                <w:szCs w:val="22"/>
              </w:rPr>
            </w:pPr>
            <w:r w:rsidRPr="00E56B02">
              <w:rPr>
                <w:rFonts w:asciiTheme="minorHAnsi" w:hAnsiTheme="minorHAnsi"/>
                <w:b/>
                <w:bCs/>
                <w:sz w:val="22"/>
                <w:szCs w:val="22"/>
              </w:rPr>
              <w:t>Q1</w:t>
            </w:r>
            <w:r w:rsidRPr="00E56B02">
              <w:rPr>
                <w:rFonts w:asciiTheme="minorHAnsi" w:hAnsiTheme="minorHAnsi"/>
                <w:bCs/>
                <w:sz w:val="22"/>
                <w:szCs w:val="22"/>
              </w:rPr>
              <w:t xml:space="preserve"> Paediatric Neurology clinics run.</w:t>
            </w:r>
          </w:p>
          <w:p w14:paraId="30A0B3D5" w14:textId="77777777" w:rsidR="00DE3193" w:rsidRPr="00E56B02" w:rsidRDefault="00DE3193" w:rsidP="00AA4595">
            <w:pPr>
              <w:jc w:val="left"/>
              <w:rPr>
                <w:rFonts w:asciiTheme="minorHAnsi" w:hAnsiTheme="minorHAnsi"/>
                <w:bCs/>
                <w:sz w:val="22"/>
              </w:rPr>
            </w:pPr>
            <w:r w:rsidRPr="00E56B02">
              <w:rPr>
                <w:rFonts w:asciiTheme="minorHAnsi" w:hAnsiTheme="minorHAnsi"/>
                <w:b/>
                <w:bCs/>
                <w:sz w:val="22"/>
                <w:szCs w:val="22"/>
              </w:rPr>
              <w:t>Q1</w:t>
            </w:r>
            <w:r w:rsidRPr="00E56B02">
              <w:rPr>
                <w:rFonts w:asciiTheme="minorHAnsi" w:hAnsiTheme="minorHAnsi"/>
                <w:bCs/>
                <w:sz w:val="22"/>
                <w:szCs w:val="22"/>
              </w:rPr>
              <w:t>: Work on</w:t>
            </w:r>
            <w:r w:rsidRPr="00E56B02">
              <w:rPr>
                <w:rFonts w:asciiTheme="minorHAnsi" w:hAnsiTheme="minorHAnsi"/>
                <w:bCs/>
                <w:sz w:val="22"/>
              </w:rPr>
              <w:t xml:space="preserve"> Paediatric Assessment Unit interdependencies with A&amp;E, Obstetrics and Gynaecology.</w:t>
            </w:r>
          </w:p>
          <w:p w14:paraId="201FAF00" w14:textId="77777777" w:rsidR="00DE3193" w:rsidRPr="00E56B02" w:rsidRDefault="00DE3193" w:rsidP="00AA4595">
            <w:pPr>
              <w:jc w:val="left"/>
              <w:rPr>
                <w:rFonts w:asciiTheme="minorHAnsi" w:hAnsiTheme="minorHAnsi"/>
                <w:bCs/>
                <w:sz w:val="22"/>
              </w:rPr>
            </w:pPr>
            <w:r w:rsidRPr="00E56B02">
              <w:rPr>
                <w:rFonts w:asciiTheme="minorHAnsi" w:hAnsiTheme="minorHAnsi"/>
                <w:b/>
                <w:bCs/>
                <w:sz w:val="22"/>
              </w:rPr>
              <w:t>Q2</w:t>
            </w:r>
            <w:r w:rsidRPr="00E56B02">
              <w:rPr>
                <w:rFonts w:asciiTheme="minorHAnsi" w:hAnsiTheme="minorHAnsi"/>
                <w:bCs/>
                <w:sz w:val="22"/>
              </w:rPr>
              <w:t>: Bid complete for therapist input into Neonatal Unit for approval.</w:t>
            </w:r>
          </w:p>
          <w:p w14:paraId="7A894473" w14:textId="25267A1B" w:rsidR="00DE3193" w:rsidRPr="00E56B02" w:rsidRDefault="00DE3193" w:rsidP="00AA4595">
            <w:pPr>
              <w:jc w:val="left"/>
              <w:rPr>
                <w:rFonts w:asciiTheme="minorHAnsi" w:hAnsiTheme="minorHAnsi"/>
                <w:bCs/>
                <w:sz w:val="22"/>
              </w:rPr>
            </w:pPr>
            <w:r w:rsidRPr="00E56B02">
              <w:rPr>
                <w:rFonts w:asciiTheme="minorHAnsi" w:hAnsiTheme="minorHAnsi"/>
                <w:b/>
                <w:bCs/>
                <w:sz w:val="22"/>
              </w:rPr>
              <w:t>Q2</w:t>
            </w:r>
            <w:r w:rsidRPr="00E56B02">
              <w:rPr>
                <w:rFonts w:asciiTheme="minorHAnsi" w:hAnsiTheme="minorHAnsi"/>
                <w:bCs/>
                <w:sz w:val="22"/>
              </w:rPr>
              <w:t>: Implementation of Paediatric Assessment Unit in RGH.</w:t>
            </w:r>
          </w:p>
          <w:p w14:paraId="7F13EB7B" w14:textId="77777777" w:rsidR="00DE3193" w:rsidRPr="00E56B02" w:rsidRDefault="00DE3193" w:rsidP="00AA4595">
            <w:pPr>
              <w:jc w:val="left"/>
              <w:rPr>
                <w:rFonts w:asciiTheme="minorHAnsi" w:hAnsiTheme="minorHAnsi"/>
                <w:bCs/>
                <w:sz w:val="22"/>
              </w:rPr>
            </w:pPr>
            <w:r w:rsidRPr="00E56B02">
              <w:rPr>
                <w:rFonts w:asciiTheme="minorHAnsi" w:hAnsiTheme="minorHAnsi"/>
                <w:b/>
                <w:bCs/>
                <w:sz w:val="22"/>
              </w:rPr>
              <w:t>Q3</w:t>
            </w:r>
            <w:r w:rsidRPr="00E56B02">
              <w:rPr>
                <w:rFonts w:asciiTheme="minorHAnsi" w:hAnsiTheme="minorHAnsi"/>
                <w:bCs/>
                <w:sz w:val="22"/>
              </w:rPr>
              <w:t>: Recruitment of Therapists for Neonatal Unit.</w:t>
            </w:r>
          </w:p>
        </w:tc>
        <w:tc>
          <w:tcPr>
            <w:tcW w:w="2835" w:type="dxa"/>
          </w:tcPr>
          <w:p w14:paraId="6F6F5674" w14:textId="77777777" w:rsidR="00DE3193" w:rsidRPr="00E56B02" w:rsidRDefault="00DE3193" w:rsidP="00AA4595">
            <w:pPr>
              <w:jc w:val="center"/>
              <w:rPr>
                <w:rFonts w:asciiTheme="minorHAnsi" w:hAnsiTheme="minorHAnsi"/>
                <w:bCs/>
                <w:sz w:val="22"/>
              </w:rPr>
            </w:pPr>
            <w:r w:rsidRPr="00E56B02">
              <w:rPr>
                <w:rFonts w:asciiTheme="minorHAnsi" w:hAnsiTheme="minorHAnsi"/>
                <w:bCs/>
                <w:sz w:val="22"/>
              </w:rPr>
              <w:t>Year 2</w:t>
            </w:r>
          </w:p>
          <w:p w14:paraId="38BE8FE9" w14:textId="77777777" w:rsidR="00DE3193" w:rsidRPr="00E56B02" w:rsidRDefault="00DE3193" w:rsidP="00AA4595">
            <w:pPr>
              <w:jc w:val="center"/>
              <w:rPr>
                <w:rFonts w:asciiTheme="minorHAnsi" w:hAnsiTheme="minorHAnsi"/>
                <w:bCs/>
                <w:sz w:val="22"/>
              </w:rPr>
            </w:pPr>
          </w:p>
          <w:p w14:paraId="1D54811A" w14:textId="40C38F47" w:rsidR="00DE3193" w:rsidRPr="00E56B02" w:rsidRDefault="00DE3193" w:rsidP="00AA4595">
            <w:pPr>
              <w:jc w:val="left"/>
              <w:rPr>
                <w:rFonts w:asciiTheme="minorHAnsi" w:hAnsiTheme="minorHAnsi"/>
                <w:bCs/>
                <w:sz w:val="22"/>
              </w:rPr>
            </w:pPr>
            <w:r w:rsidRPr="00E56B02">
              <w:rPr>
                <w:rFonts w:asciiTheme="minorHAnsi" w:hAnsiTheme="minorHAnsi"/>
                <w:b/>
                <w:bCs/>
                <w:sz w:val="22"/>
              </w:rPr>
              <w:t>Q1</w:t>
            </w:r>
            <w:r w:rsidRPr="00E56B02">
              <w:rPr>
                <w:rFonts w:asciiTheme="minorHAnsi" w:hAnsiTheme="minorHAnsi"/>
                <w:bCs/>
                <w:sz w:val="22"/>
              </w:rPr>
              <w:t xml:space="preserve">: Evaluation of Paediatric Assessment Unit in </w:t>
            </w:r>
            <w:r w:rsidR="008E6CFE">
              <w:rPr>
                <w:rFonts w:asciiTheme="minorHAnsi" w:hAnsiTheme="minorHAnsi"/>
                <w:bCs/>
                <w:sz w:val="22"/>
              </w:rPr>
              <w:t>RGH</w:t>
            </w:r>
            <w:r w:rsidRPr="00E56B02">
              <w:rPr>
                <w:rFonts w:asciiTheme="minorHAnsi" w:hAnsiTheme="minorHAnsi"/>
                <w:bCs/>
                <w:sz w:val="22"/>
              </w:rPr>
              <w:t xml:space="preserve">. </w:t>
            </w:r>
          </w:p>
          <w:p w14:paraId="4DE977B8" w14:textId="75755C03" w:rsidR="00DE3193" w:rsidRPr="00E56B02" w:rsidRDefault="00DE3193" w:rsidP="00AA4595">
            <w:pPr>
              <w:jc w:val="left"/>
              <w:rPr>
                <w:rFonts w:asciiTheme="minorHAnsi" w:hAnsiTheme="minorHAnsi"/>
                <w:bCs/>
                <w:sz w:val="22"/>
              </w:rPr>
            </w:pPr>
            <w:r w:rsidRPr="00E56B02">
              <w:rPr>
                <w:rFonts w:asciiTheme="minorHAnsi" w:hAnsiTheme="minorHAnsi"/>
                <w:b/>
                <w:bCs/>
                <w:sz w:val="22"/>
              </w:rPr>
              <w:t>Q1-4</w:t>
            </w:r>
            <w:r w:rsidRPr="00E56B02">
              <w:rPr>
                <w:rFonts w:asciiTheme="minorHAnsi" w:hAnsiTheme="minorHAnsi"/>
                <w:bCs/>
                <w:sz w:val="22"/>
              </w:rPr>
              <w:t xml:space="preserve"> Continue to run Paediatric Neurology clinics in</w:t>
            </w:r>
            <w:r w:rsidR="008E6CFE">
              <w:rPr>
                <w:rFonts w:asciiTheme="minorHAnsi" w:hAnsiTheme="minorHAnsi"/>
                <w:bCs/>
                <w:sz w:val="22"/>
              </w:rPr>
              <w:t xml:space="preserve"> </w:t>
            </w:r>
            <w:r w:rsidR="00E32360">
              <w:rPr>
                <w:rFonts w:asciiTheme="minorHAnsi" w:hAnsiTheme="minorHAnsi"/>
                <w:bCs/>
                <w:sz w:val="22"/>
              </w:rPr>
              <w:t>POWH</w:t>
            </w:r>
            <w:r w:rsidRPr="00E56B02">
              <w:rPr>
                <w:rFonts w:asciiTheme="minorHAnsi" w:hAnsiTheme="minorHAnsi"/>
                <w:bCs/>
                <w:sz w:val="22"/>
              </w:rPr>
              <w:t xml:space="preserve">. </w:t>
            </w:r>
          </w:p>
          <w:p w14:paraId="10A2AD4E" w14:textId="77777777" w:rsidR="00DE3193" w:rsidRPr="00E56B02" w:rsidRDefault="00DE3193" w:rsidP="00AA4595">
            <w:pPr>
              <w:jc w:val="center"/>
              <w:rPr>
                <w:rFonts w:asciiTheme="minorHAnsi" w:hAnsiTheme="minorHAnsi"/>
                <w:bCs/>
                <w:sz w:val="22"/>
              </w:rPr>
            </w:pPr>
          </w:p>
        </w:tc>
        <w:tc>
          <w:tcPr>
            <w:tcW w:w="2126" w:type="dxa"/>
          </w:tcPr>
          <w:p w14:paraId="50886E13" w14:textId="77777777" w:rsidR="00DE3193" w:rsidRPr="00E56B02" w:rsidRDefault="00DE3193" w:rsidP="00AA4595">
            <w:pPr>
              <w:jc w:val="center"/>
              <w:rPr>
                <w:rFonts w:asciiTheme="minorHAnsi" w:hAnsiTheme="minorHAnsi"/>
                <w:bCs/>
                <w:sz w:val="22"/>
              </w:rPr>
            </w:pPr>
            <w:r w:rsidRPr="00E56B02">
              <w:rPr>
                <w:rFonts w:asciiTheme="minorHAnsi" w:hAnsiTheme="minorHAnsi"/>
                <w:bCs/>
                <w:sz w:val="22"/>
              </w:rPr>
              <w:t>Year 3</w:t>
            </w:r>
          </w:p>
          <w:p w14:paraId="2A05BA08" w14:textId="77777777" w:rsidR="00DE3193" w:rsidRPr="00E56B02" w:rsidRDefault="00DE3193" w:rsidP="00AA4595">
            <w:pPr>
              <w:jc w:val="center"/>
              <w:rPr>
                <w:rFonts w:asciiTheme="minorHAnsi" w:hAnsiTheme="minorHAnsi"/>
                <w:bCs/>
                <w:sz w:val="22"/>
              </w:rPr>
            </w:pPr>
          </w:p>
          <w:p w14:paraId="1CF3B93A" w14:textId="745AA4CD" w:rsidR="00DE3193" w:rsidRPr="00E56B02" w:rsidRDefault="00DE3193" w:rsidP="00AA4595">
            <w:pPr>
              <w:jc w:val="left"/>
              <w:rPr>
                <w:rFonts w:asciiTheme="minorHAnsi" w:hAnsiTheme="minorHAnsi"/>
                <w:bCs/>
                <w:sz w:val="22"/>
              </w:rPr>
            </w:pPr>
            <w:r w:rsidRPr="00E56B02">
              <w:rPr>
                <w:rFonts w:asciiTheme="minorHAnsi" w:hAnsiTheme="minorHAnsi"/>
                <w:b/>
                <w:bCs/>
                <w:sz w:val="22"/>
              </w:rPr>
              <w:t>Q1:</w:t>
            </w:r>
            <w:r w:rsidRPr="00E56B02">
              <w:rPr>
                <w:rFonts w:asciiTheme="minorHAnsi" w:hAnsiTheme="minorHAnsi"/>
                <w:bCs/>
                <w:sz w:val="22"/>
              </w:rPr>
              <w:t xml:space="preserve"> Realisation of benefits of Paediatric Assessment Unit in</w:t>
            </w:r>
            <w:r w:rsidR="008E6CFE">
              <w:rPr>
                <w:rFonts w:asciiTheme="minorHAnsi" w:hAnsiTheme="minorHAnsi"/>
                <w:bCs/>
                <w:sz w:val="22"/>
              </w:rPr>
              <w:t xml:space="preserve"> RGH</w:t>
            </w:r>
            <w:r w:rsidRPr="00E56B02">
              <w:rPr>
                <w:rFonts w:asciiTheme="minorHAnsi" w:hAnsiTheme="minorHAnsi"/>
                <w:bCs/>
                <w:sz w:val="22"/>
              </w:rPr>
              <w:t xml:space="preserve">.  </w:t>
            </w:r>
          </w:p>
          <w:p w14:paraId="4D15B63E" w14:textId="6DD3AC5F" w:rsidR="00DE3193" w:rsidRPr="00E56B02" w:rsidRDefault="00DE3193" w:rsidP="008E6CFE">
            <w:pPr>
              <w:jc w:val="left"/>
              <w:rPr>
                <w:rFonts w:asciiTheme="minorHAnsi" w:hAnsiTheme="minorHAnsi"/>
                <w:bCs/>
                <w:sz w:val="22"/>
              </w:rPr>
            </w:pPr>
            <w:r w:rsidRPr="00E56B02">
              <w:rPr>
                <w:rFonts w:asciiTheme="minorHAnsi" w:hAnsiTheme="minorHAnsi"/>
                <w:b/>
                <w:bCs/>
                <w:sz w:val="22"/>
              </w:rPr>
              <w:t>Q1-4:</w:t>
            </w:r>
            <w:r w:rsidRPr="00E56B02">
              <w:rPr>
                <w:rFonts w:asciiTheme="minorHAnsi" w:hAnsiTheme="minorHAnsi"/>
                <w:bCs/>
                <w:sz w:val="22"/>
              </w:rPr>
              <w:t xml:space="preserve"> Continue to run Paediatric Neurology clinics in </w:t>
            </w:r>
            <w:r w:rsidR="00E32360">
              <w:rPr>
                <w:rFonts w:asciiTheme="minorHAnsi" w:hAnsiTheme="minorHAnsi"/>
                <w:bCs/>
                <w:sz w:val="22"/>
              </w:rPr>
              <w:t>POWH</w:t>
            </w:r>
            <w:r w:rsidRPr="00E56B02">
              <w:rPr>
                <w:rFonts w:asciiTheme="minorHAnsi" w:hAnsiTheme="minorHAnsi"/>
                <w:bCs/>
                <w:sz w:val="22"/>
              </w:rPr>
              <w:t xml:space="preserve">. </w:t>
            </w:r>
          </w:p>
        </w:tc>
      </w:tr>
    </w:tbl>
    <w:p w14:paraId="451E98FE" w14:textId="77777777" w:rsidR="00DE3193" w:rsidRPr="00DE3193" w:rsidRDefault="00DE3193" w:rsidP="00BB7B73">
      <w:pPr>
        <w:pStyle w:val="Heading4"/>
      </w:pPr>
      <w:r w:rsidRPr="00DE3193">
        <w:t>Women’s Health and Integrated Sexual Health Services</w:t>
      </w:r>
    </w:p>
    <w:p w14:paraId="514404C8" w14:textId="52DF4E98" w:rsidR="00DE3193" w:rsidRPr="00BC684B" w:rsidRDefault="00DE3193" w:rsidP="00DE3193">
      <w:pPr>
        <w:rPr>
          <w:rFonts w:asciiTheme="minorHAnsi" w:hAnsiTheme="minorHAnsi"/>
          <w:szCs w:val="22"/>
        </w:rPr>
      </w:pPr>
      <w:r>
        <w:rPr>
          <w:rFonts w:asciiTheme="minorHAnsi" w:hAnsiTheme="minorHAnsi"/>
          <w:szCs w:val="22"/>
        </w:rPr>
        <w:t xml:space="preserve">The Health Board provides a range of maternal, women’s health and integrated sexual health services. The last </w:t>
      </w:r>
      <w:r w:rsidRPr="00BC684B">
        <w:rPr>
          <w:rFonts w:asciiTheme="minorHAnsi" w:hAnsiTheme="minorHAnsi"/>
          <w:szCs w:val="22"/>
        </w:rPr>
        <w:t xml:space="preserve">year has been a year of </w:t>
      </w:r>
      <w:r w:rsidR="00400FC4">
        <w:rPr>
          <w:rFonts w:asciiTheme="minorHAnsi" w:hAnsiTheme="minorHAnsi"/>
          <w:szCs w:val="22"/>
        </w:rPr>
        <w:t xml:space="preserve">challenge, </w:t>
      </w:r>
      <w:r w:rsidRPr="00BC684B">
        <w:rPr>
          <w:rFonts w:asciiTheme="minorHAnsi" w:hAnsiTheme="minorHAnsi"/>
          <w:szCs w:val="22"/>
        </w:rPr>
        <w:t>change and learning with significant work to improve services being undertaken following a number of</w:t>
      </w:r>
      <w:r w:rsidR="00400FC4">
        <w:rPr>
          <w:rFonts w:asciiTheme="minorHAnsi" w:hAnsiTheme="minorHAnsi"/>
          <w:szCs w:val="22"/>
        </w:rPr>
        <w:t xml:space="preserve"> critical </w:t>
      </w:r>
      <w:r w:rsidRPr="00BC684B">
        <w:rPr>
          <w:rFonts w:asciiTheme="minorHAnsi" w:hAnsiTheme="minorHAnsi"/>
          <w:szCs w:val="22"/>
        </w:rPr>
        <w:t xml:space="preserve"> reviews by external bodies including the RCOG and HIW.</w:t>
      </w:r>
    </w:p>
    <w:p w14:paraId="51C9CDCB" w14:textId="77777777" w:rsidR="005913B0" w:rsidRPr="00BC684B" w:rsidRDefault="005913B0" w:rsidP="00DE3193">
      <w:pPr>
        <w:rPr>
          <w:rFonts w:asciiTheme="minorHAnsi" w:hAnsiTheme="minorHAnsi"/>
          <w:szCs w:val="22"/>
        </w:rPr>
      </w:pPr>
    </w:p>
    <w:p w14:paraId="7505F18D" w14:textId="77777777" w:rsidR="0020477C" w:rsidRPr="00BC684B" w:rsidRDefault="0020477C" w:rsidP="0020477C">
      <w:pPr>
        <w:rPr>
          <w:rFonts w:asciiTheme="minorHAnsi" w:hAnsiTheme="minorHAnsi"/>
          <w:szCs w:val="22"/>
        </w:rPr>
      </w:pPr>
      <w:r w:rsidRPr="00BC684B">
        <w:rPr>
          <w:rFonts w:asciiTheme="minorHAnsi" w:hAnsiTheme="minorHAnsi"/>
          <w:szCs w:val="22"/>
        </w:rPr>
        <w:t>There are five priority areas for sexual health in Wales over the next five years (2019 – 2024). These have been clinically identified and seek to reduce social and healthcare costs. Progress has been made against the priorities in the following areas:</w:t>
      </w:r>
    </w:p>
    <w:p w14:paraId="0010A1EB" w14:textId="77777777" w:rsidR="0020477C" w:rsidRPr="00BC684B" w:rsidRDefault="0020477C" w:rsidP="0020477C">
      <w:pPr>
        <w:rPr>
          <w:rFonts w:asciiTheme="minorHAnsi" w:hAnsiTheme="minorHAnsi"/>
          <w:szCs w:val="22"/>
        </w:rPr>
      </w:pPr>
    </w:p>
    <w:p w14:paraId="192052DF" w14:textId="3EA38D96" w:rsidR="0020477C" w:rsidRPr="00BC684B" w:rsidRDefault="0020477C" w:rsidP="0020477C">
      <w:pPr>
        <w:rPr>
          <w:rFonts w:asciiTheme="minorHAnsi" w:hAnsiTheme="minorHAnsi"/>
          <w:szCs w:val="22"/>
        </w:rPr>
      </w:pPr>
      <w:r w:rsidRPr="00BC684B">
        <w:rPr>
          <w:rFonts w:asciiTheme="minorHAnsi" w:hAnsiTheme="minorHAnsi"/>
          <w:szCs w:val="22"/>
        </w:rPr>
        <w:t xml:space="preserve">Long Acting Reversible Contraception (LARCS) are routinely offered within Sexual Health clinics and there is close working with </w:t>
      </w:r>
      <w:r w:rsidR="00984D63">
        <w:rPr>
          <w:rFonts w:asciiTheme="minorHAnsi" w:hAnsiTheme="minorHAnsi"/>
          <w:szCs w:val="22"/>
        </w:rPr>
        <w:t>LA</w:t>
      </w:r>
      <w:r w:rsidRPr="00BC684B">
        <w:rPr>
          <w:rFonts w:asciiTheme="minorHAnsi" w:hAnsiTheme="minorHAnsi"/>
          <w:szCs w:val="22"/>
        </w:rPr>
        <w:t xml:space="preserve"> partners such as substance misuse services and Families First to help target the most vulnerable in our society.</w:t>
      </w:r>
      <w:r w:rsidR="009631CD">
        <w:rPr>
          <w:rFonts w:asciiTheme="minorHAnsi" w:hAnsiTheme="minorHAnsi"/>
          <w:szCs w:val="22"/>
        </w:rPr>
        <w:t xml:space="preserve"> </w:t>
      </w:r>
      <w:r w:rsidRPr="00BC684B">
        <w:rPr>
          <w:rFonts w:asciiTheme="minorHAnsi" w:hAnsiTheme="minorHAnsi"/>
          <w:szCs w:val="22"/>
        </w:rPr>
        <w:t xml:space="preserve"> Future developments will include sexual health staff training midwifery staff to deliver LARCS postnatally and the development of an electronic Emergency Hormonal Contraception module that will audit LARC offerings. </w:t>
      </w:r>
    </w:p>
    <w:p w14:paraId="0817E5B8" w14:textId="77777777" w:rsidR="0020477C" w:rsidRPr="00BC684B" w:rsidRDefault="0020477C" w:rsidP="0020477C">
      <w:pPr>
        <w:rPr>
          <w:rFonts w:asciiTheme="minorHAnsi" w:hAnsiTheme="minorHAnsi"/>
          <w:szCs w:val="22"/>
        </w:rPr>
      </w:pPr>
    </w:p>
    <w:p w14:paraId="17D48787" w14:textId="77777777" w:rsidR="0020477C" w:rsidRPr="00BC684B" w:rsidRDefault="0020477C" w:rsidP="0020477C">
      <w:pPr>
        <w:rPr>
          <w:rFonts w:asciiTheme="minorHAnsi" w:hAnsiTheme="minorHAnsi"/>
          <w:szCs w:val="22"/>
        </w:rPr>
      </w:pPr>
      <w:r w:rsidRPr="00BC684B">
        <w:rPr>
          <w:rFonts w:asciiTheme="minorHAnsi" w:hAnsiTheme="minorHAnsi"/>
          <w:szCs w:val="22"/>
        </w:rPr>
        <w:t xml:space="preserve">98% of people with needs relating to STIs contacting a service are offered to be seen or assessed with an appointment or as a ‘walk-in’ within 2 working days of first contacting the service and 80% of people are seen or assessed within 2 working days of first contacting the service. The service is going to look at a bid for text messaging results to improve turnaround times. </w:t>
      </w:r>
    </w:p>
    <w:p w14:paraId="4F5FF27E" w14:textId="77777777" w:rsidR="0020477C" w:rsidRPr="00BC684B" w:rsidRDefault="0020477C" w:rsidP="0020477C">
      <w:pPr>
        <w:rPr>
          <w:rFonts w:asciiTheme="minorHAnsi" w:hAnsiTheme="minorHAnsi"/>
          <w:szCs w:val="22"/>
        </w:rPr>
      </w:pPr>
    </w:p>
    <w:p w14:paraId="2EE6B91D" w14:textId="4836041C" w:rsidR="0020477C" w:rsidRPr="00BC684B" w:rsidRDefault="0020477C" w:rsidP="0020477C">
      <w:pPr>
        <w:rPr>
          <w:rFonts w:asciiTheme="minorHAnsi" w:hAnsiTheme="minorHAnsi"/>
          <w:szCs w:val="22"/>
        </w:rPr>
      </w:pPr>
      <w:r w:rsidRPr="00BC684B">
        <w:rPr>
          <w:rFonts w:asciiTheme="minorHAnsi" w:hAnsiTheme="minorHAnsi"/>
          <w:szCs w:val="22"/>
        </w:rPr>
        <w:t xml:space="preserve">This year processes have been implemented to support women to be able to self-refer to the Pregnancy Advisory Service, this change aligns the services in the </w:t>
      </w:r>
      <w:r w:rsidR="009631CD">
        <w:rPr>
          <w:rFonts w:asciiTheme="minorHAnsi" w:hAnsiTheme="minorHAnsi"/>
          <w:szCs w:val="22"/>
        </w:rPr>
        <w:t xml:space="preserve">UHB </w:t>
      </w:r>
      <w:r w:rsidRPr="00BC684B">
        <w:rPr>
          <w:rFonts w:asciiTheme="minorHAnsi" w:hAnsiTheme="minorHAnsi"/>
          <w:szCs w:val="22"/>
        </w:rPr>
        <w:t xml:space="preserve">with those in other </w:t>
      </w:r>
      <w:r w:rsidR="009631CD">
        <w:rPr>
          <w:rFonts w:asciiTheme="minorHAnsi" w:hAnsiTheme="minorHAnsi"/>
          <w:szCs w:val="22"/>
        </w:rPr>
        <w:t xml:space="preserve">UHBs </w:t>
      </w:r>
      <w:r w:rsidRPr="00BC684B">
        <w:rPr>
          <w:rFonts w:asciiTheme="minorHAnsi" w:hAnsiTheme="minorHAnsi"/>
          <w:szCs w:val="22"/>
        </w:rPr>
        <w:t xml:space="preserve">across Wales. </w:t>
      </w:r>
      <w:r w:rsidR="009631CD">
        <w:rPr>
          <w:rFonts w:asciiTheme="minorHAnsi" w:hAnsiTheme="minorHAnsi"/>
          <w:szCs w:val="22"/>
        </w:rPr>
        <w:t xml:space="preserve"> </w:t>
      </w:r>
      <w:r w:rsidRPr="00BC684B">
        <w:rPr>
          <w:rFonts w:asciiTheme="minorHAnsi" w:hAnsiTheme="minorHAnsi"/>
          <w:szCs w:val="22"/>
        </w:rPr>
        <w:t xml:space="preserve">Other changes to the </w:t>
      </w:r>
      <w:r w:rsidRPr="00BC684B">
        <w:rPr>
          <w:rFonts w:asciiTheme="minorHAnsi" w:hAnsiTheme="minorHAnsi"/>
          <w:szCs w:val="22"/>
        </w:rPr>
        <w:lastRenderedPageBreak/>
        <w:t xml:space="preserve">way in which these services are delivered has improved accessibility and patient experience. </w:t>
      </w:r>
      <w:r w:rsidR="009631CD">
        <w:rPr>
          <w:rFonts w:asciiTheme="minorHAnsi" w:hAnsiTheme="minorHAnsi"/>
          <w:szCs w:val="22"/>
        </w:rPr>
        <w:t xml:space="preserve"> </w:t>
      </w:r>
      <w:r w:rsidRPr="00BC684B">
        <w:rPr>
          <w:rFonts w:asciiTheme="minorHAnsi" w:hAnsiTheme="minorHAnsi"/>
          <w:szCs w:val="22"/>
        </w:rPr>
        <w:t xml:space="preserve">Work will continue with the aim to offer an appointment for assessment within 5 working days of contacting the service. </w:t>
      </w:r>
    </w:p>
    <w:p w14:paraId="64586008" w14:textId="77777777" w:rsidR="0020477C" w:rsidRPr="00BC684B" w:rsidRDefault="0020477C" w:rsidP="0020477C">
      <w:pPr>
        <w:rPr>
          <w:rFonts w:asciiTheme="minorHAnsi" w:hAnsiTheme="minorHAnsi"/>
          <w:szCs w:val="22"/>
        </w:rPr>
      </w:pPr>
    </w:p>
    <w:p w14:paraId="2D68EC39" w14:textId="6625582C" w:rsidR="0020477C" w:rsidRPr="00BC684B" w:rsidRDefault="0020477C" w:rsidP="0020477C">
      <w:pPr>
        <w:rPr>
          <w:rFonts w:asciiTheme="minorHAnsi" w:hAnsiTheme="minorHAnsi"/>
          <w:szCs w:val="22"/>
        </w:rPr>
      </w:pPr>
      <w:r w:rsidRPr="00BC684B">
        <w:rPr>
          <w:rFonts w:asciiTheme="minorHAnsi" w:hAnsiTheme="minorHAnsi"/>
          <w:szCs w:val="22"/>
        </w:rPr>
        <w:t>HIV patients are seen and managed in a timely manner within the service and Pre-Exposure Prophylaxis (PrEP) is routinely offered to patients accessing our service.</w:t>
      </w:r>
      <w:r w:rsidR="00C3387A">
        <w:rPr>
          <w:rFonts w:asciiTheme="minorHAnsi" w:hAnsiTheme="minorHAnsi"/>
          <w:szCs w:val="22"/>
        </w:rPr>
        <w:t xml:space="preserve"> </w:t>
      </w:r>
      <w:r w:rsidRPr="00BC684B">
        <w:rPr>
          <w:rFonts w:asciiTheme="minorHAnsi" w:hAnsiTheme="minorHAnsi"/>
          <w:szCs w:val="22"/>
        </w:rPr>
        <w:t xml:space="preserve"> An HIV specialist pharmacist has been funded full time this year, this development has yielded both clinical and financial benefits.</w:t>
      </w:r>
      <w:r w:rsidR="00C3387A">
        <w:rPr>
          <w:rFonts w:asciiTheme="minorHAnsi" w:hAnsiTheme="minorHAnsi"/>
          <w:szCs w:val="22"/>
        </w:rPr>
        <w:t xml:space="preserve"> </w:t>
      </w:r>
      <w:r w:rsidRPr="00BC684B">
        <w:rPr>
          <w:rFonts w:asciiTheme="minorHAnsi" w:hAnsiTheme="minorHAnsi"/>
          <w:szCs w:val="22"/>
        </w:rPr>
        <w:t xml:space="preserve"> In addition, the home delivery service for HIV medicines has helped improve patient experience.</w:t>
      </w:r>
    </w:p>
    <w:p w14:paraId="2D3B0DF7" w14:textId="77777777" w:rsidR="0020477C" w:rsidRPr="00BC684B" w:rsidRDefault="0020477C" w:rsidP="0020477C">
      <w:pPr>
        <w:rPr>
          <w:rFonts w:asciiTheme="minorHAnsi" w:hAnsiTheme="minorHAnsi"/>
          <w:szCs w:val="22"/>
        </w:rPr>
      </w:pPr>
    </w:p>
    <w:p w14:paraId="39784213" w14:textId="4D938C9B" w:rsidR="00DE3193" w:rsidRPr="00BC684B" w:rsidRDefault="0020477C" w:rsidP="0020477C">
      <w:pPr>
        <w:rPr>
          <w:rFonts w:asciiTheme="minorHAnsi" w:hAnsiTheme="minorHAnsi"/>
          <w:szCs w:val="22"/>
        </w:rPr>
      </w:pPr>
      <w:r w:rsidRPr="00BC684B">
        <w:rPr>
          <w:rFonts w:asciiTheme="minorHAnsi" w:hAnsiTheme="minorHAnsi"/>
          <w:szCs w:val="22"/>
        </w:rPr>
        <w:t>There are also plans in place for 2020 to become paper light within our services to assist in the implementation of an All Wales Electronic Case Management system for sexual health services.</w:t>
      </w:r>
    </w:p>
    <w:p w14:paraId="62F19618" w14:textId="77777777" w:rsidR="00BC684B" w:rsidRPr="00BC684B" w:rsidRDefault="00BC684B" w:rsidP="0020477C">
      <w:pPr>
        <w:rPr>
          <w:rFonts w:asciiTheme="minorHAnsi" w:hAnsiTheme="minorHAnsi"/>
          <w:szCs w:val="22"/>
        </w:rPr>
      </w:pPr>
    </w:p>
    <w:p w14:paraId="69180516" w14:textId="3D733309" w:rsidR="00BC684B" w:rsidRPr="0020477C" w:rsidRDefault="00BC684B" w:rsidP="0020477C">
      <w:pPr>
        <w:rPr>
          <w:rFonts w:asciiTheme="minorHAnsi" w:hAnsiTheme="minorHAnsi"/>
          <w:color w:val="7030A0"/>
          <w:szCs w:val="22"/>
        </w:rPr>
      </w:pPr>
      <w:r w:rsidRPr="00BC684B">
        <w:rPr>
          <w:rFonts w:asciiTheme="minorHAnsi" w:hAnsiTheme="minorHAnsi"/>
          <w:szCs w:val="22"/>
        </w:rPr>
        <w:t xml:space="preserve">In addition, the development of </w:t>
      </w:r>
      <w:r w:rsidR="00400FC4">
        <w:t>Sacral</w:t>
      </w:r>
      <w:r w:rsidR="00400FC4" w:rsidRPr="00BC684B">
        <w:t xml:space="preserve"> </w:t>
      </w:r>
      <w:r w:rsidRPr="00BC684B">
        <w:t>Nerve Stimulatio</w:t>
      </w:r>
      <w:r w:rsidR="002D21B8">
        <w:t>n service is recognised by the UHB</w:t>
      </w:r>
      <w:r w:rsidRPr="00BC684B">
        <w:t xml:space="preserve">.  It is estimated that around 120 patients in Wales could potentially benefit from the sacral nerve stimulation procedure. </w:t>
      </w:r>
      <w:r w:rsidR="002D21B8">
        <w:t xml:space="preserve"> </w:t>
      </w:r>
      <w:r w:rsidRPr="00BC684B">
        <w:t xml:space="preserve">Work has shown that outsourcing treatment can cost up to 30% more than this </w:t>
      </w:r>
      <w:r>
        <w:t xml:space="preserve">procedure being provided in Wales. </w:t>
      </w:r>
      <w:r w:rsidR="002D21B8">
        <w:t xml:space="preserve"> </w:t>
      </w:r>
      <w:r>
        <w:t>Support has been given to developing a more detailed proposal.</w:t>
      </w:r>
    </w:p>
    <w:p w14:paraId="558BAF70" w14:textId="77777777" w:rsidR="00DE3193" w:rsidRPr="00DE3193" w:rsidRDefault="00DE3193" w:rsidP="00BB7B73">
      <w:pPr>
        <w:pStyle w:val="Heading4"/>
      </w:pPr>
      <w:r w:rsidRPr="00DE3193">
        <w:t>Maternity and Obstetrics Services</w:t>
      </w:r>
    </w:p>
    <w:p w14:paraId="6AD6420A" w14:textId="5C5D5EA9" w:rsidR="00DE3193" w:rsidRDefault="00DE3193" w:rsidP="00DE3193">
      <w:pPr>
        <w:rPr>
          <w:rFonts w:asciiTheme="minorHAnsi" w:hAnsiTheme="minorHAnsi"/>
          <w:szCs w:val="22"/>
        </w:rPr>
      </w:pPr>
      <w:r>
        <w:rPr>
          <w:rFonts w:asciiTheme="minorHAnsi" w:hAnsiTheme="minorHAnsi"/>
          <w:szCs w:val="22"/>
        </w:rPr>
        <w:t xml:space="preserve">In March 2019 the obstetrics element of the </w:t>
      </w:r>
      <w:r w:rsidR="00A554B9">
        <w:rPr>
          <w:rFonts w:asciiTheme="minorHAnsi" w:hAnsiTheme="minorHAnsi"/>
          <w:szCs w:val="22"/>
        </w:rPr>
        <w:t>SWP</w:t>
      </w:r>
      <w:r>
        <w:rPr>
          <w:rFonts w:asciiTheme="minorHAnsi" w:hAnsiTheme="minorHAnsi"/>
          <w:szCs w:val="22"/>
        </w:rPr>
        <w:t xml:space="preserve"> was implemented with consultant led obstetric care being consolidated on the </w:t>
      </w:r>
      <w:r w:rsidR="005D0D86">
        <w:rPr>
          <w:rFonts w:asciiTheme="minorHAnsi" w:hAnsiTheme="minorHAnsi"/>
          <w:szCs w:val="22"/>
        </w:rPr>
        <w:t>PCH</w:t>
      </w:r>
      <w:r>
        <w:rPr>
          <w:rFonts w:asciiTheme="minorHAnsi" w:hAnsiTheme="minorHAnsi"/>
          <w:szCs w:val="22"/>
        </w:rPr>
        <w:t xml:space="preserve"> site and a freestanding midwifery unit being established on the </w:t>
      </w:r>
      <w:r w:rsidR="005D0D86">
        <w:rPr>
          <w:rFonts w:asciiTheme="minorHAnsi" w:hAnsiTheme="minorHAnsi"/>
          <w:szCs w:val="22"/>
        </w:rPr>
        <w:t>RGH</w:t>
      </w:r>
      <w:r>
        <w:rPr>
          <w:rFonts w:asciiTheme="minorHAnsi" w:hAnsiTheme="minorHAnsi"/>
          <w:szCs w:val="22"/>
        </w:rPr>
        <w:t xml:space="preserve"> site. </w:t>
      </w:r>
    </w:p>
    <w:p w14:paraId="38B0581E" w14:textId="77777777" w:rsidR="00DE3193" w:rsidRDefault="00DE3193" w:rsidP="00DE3193">
      <w:pPr>
        <w:rPr>
          <w:rFonts w:asciiTheme="minorHAnsi" w:hAnsiTheme="minorHAnsi"/>
          <w:szCs w:val="22"/>
        </w:rPr>
      </w:pPr>
    </w:p>
    <w:p w14:paraId="2BD0E8DC" w14:textId="20C496CD" w:rsidR="005F65CD" w:rsidRPr="00A611A7" w:rsidRDefault="00DE3193" w:rsidP="00E52F25">
      <w:pPr>
        <w:rPr>
          <w:rFonts w:asciiTheme="minorHAnsi" w:hAnsiTheme="minorHAnsi"/>
          <w:szCs w:val="22"/>
        </w:rPr>
      </w:pPr>
      <w:r>
        <w:rPr>
          <w:rFonts w:asciiTheme="minorHAnsi" w:hAnsiTheme="minorHAnsi"/>
          <w:szCs w:val="22"/>
        </w:rPr>
        <w:t xml:space="preserve">The importance of accommodating women’s choice in birthing </w:t>
      </w:r>
      <w:r w:rsidRPr="00A611A7">
        <w:rPr>
          <w:rFonts w:asciiTheme="minorHAnsi" w:hAnsiTheme="minorHAnsi"/>
          <w:szCs w:val="22"/>
        </w:rPr>
        <w:t>location has been improved by the consolidation of consultant led care in CTM and provides increased options for where women can birth.</w:t>
      </w:r>
      <w:r w:rsidR="002D21B8" w:rsidRPr="00A611A7">
        <w:rPr>
          <w:rFonts w:asciiTheme="minorHAnsi" w:hAnsiTheme="minorHAnsi"/>
          <w:szCs w:val="22"/>
        </w:rPr>
        <w:t xml:space="preserve"> </w:t>
      </w:r>
      <w:r w:rsidRPr="00A611A7">
        <w:rPr>
          <w:rFonts w:asciiTheme="minorHAnsi" w:hAnsiTheme="minorHAnsi"/>
          <w:szCs w:val="22"/>
        </w:rPr>
        <w:t xml:space="preserve"> Women who require consultant led care can now choose between </w:t>
      </w:r>
      <w:r w:rsidR="000359A4" w:rsidRPr="00A611A7">
        <w:rPr>
          <w:rFonts w:asciiTheme="minorHAnsi" w:hAnsiTheme="minorHAnsi"/>
          <w:szCs w:val="22"/>
        </w:rPr>
        <w:t>PCH</w:t>
      </w:r>
      <w:r w:rsidRPr="00A611A7">
        <w:rPr>
          <w:rFonts w:asciiTheme="minorHAnsi" w:hAnsiTheme="minorHAnsi"/>
          <w:szCs w:val="22"/>
        </w:rPr>
        <w:t xml:space="preserve">, </w:t>
      </w:r>
      <w:r w:rsidR="00E32360" w:rsidRPr="00A611A7">
        <w:rPr>
          <w:rFonts w:asciiTheme="minorHAnsi" w:hAnsiTheme="minorHAnsi"/>
          <w:szCs w:val="22"/>
        </w:rPr>
        <w:t>POWH</w:t>
      </w:r>
      <w:r w:rsidRPr="00A611A7">
        <w:rPr>
          <w:rFonts w:asciiTheme="minorHAnsi" w:hAnsiTheme="minorHAnsi"/>
          <w:szCs w:val="22"/>
        </w:rPr>
        <w:t xml:space="preserve"> and </w:t>
      </w:r>
      <w:r w:rsidR="000359A4" w:rsidRPr="00A611A7">
        <w:rPr>
          <w:rFonts w:asciiTheme="minorHAnsi" w:hAnsiTheme="minorHAnsi"/>
          <w:szCs w:val="22"/>
        </w:rPr>
        <w:t>UHW</w:t>
      </w:r>
      <w:r w:rsidRPr="00A611A7">
        <w:rPr>
          <w:rFonts w:asciiTheme="minorHAnsi" w:hAnsiTheme="minorHAnsi"/>
          <w:szCs w:val="22"/>
        </w:rPr>
        <w:t xml:space="preserve"> as part of regional arrangements.</w:t>
      </w:r>
      <w:r w:rsidR="000359A4" w:rsidRPr="00A611A7">
        <w:rPr>
          <w:rFonts w:asciiTheme="minorHAnsi" w:hAnsiTheme="minorHAnsi"/>
          <w:szCs w:val="22"/>
        </w:rPr>
        <w:t xml:space="preserve"> </w:t>
      </w:r>
      <w:r w:rsidRPr="00A611A7">
        <w:rPr>
          <w:rFonts w:asciiTheme="minorHAnsi" w:hAnsiTheme="minorHAnsi"/>
          <w:szCs w:val="22"/>
        </w:rPr>
        <w:t xml:space="preserve"> </w:t>
      </w:r>
      <w:r w:rsidR="00E52F25" w:rsidRPr="00A611A7">
        <w:rPr>
          <w:rFonts w:asciiTheme="minorHAnsi" w:hAnsiTheme="minorHAnsi"/>
          <w:szCs w:val="22"/>
        </w:rPr>
        <w:t xml:space="preserve">As a result of these changes women now have four birthing options: Consultant - Led Birth; Alongside Midwifery Unit; Freestanding Midwifery Unit and Home Birth. </w:t>
      </w:r>
    </w:p>
    <w:p w14:paraId="30D9F1E4" w14:textId="77777777" w:rsidR="00A611A7" w:rsidRPr="00A611A7" w:rsidRDefault="00A611A7" w:rsidP="00E52F25">
      <w:pPr>
        <w:rPr>
          <w:rFonts w:asciiTheme="minorHAnsi" w:hAnsiTheme="minorHAnsi"/>
          <w:szCs w:val="22"/>
        </w:rPr>
      </w:pPr>
    </w:p>
    <w:p w14:paraId="4DDD1D20" w14:textId="7E001A08" w:rsidR="00E52F25" w:rsidRPr="00A611A7" w:rsidRDefault="00DE3193" w:rsidP="00E52F25">
      <w:pPr>
        <w:spacing w:before="120" w:after="120"/>
        <w:contextualSpacing/>
        <w:rPr>
          <w:rFonts w:cs="Times New Roman"/>
          <w:szCs w:val="22"/>
        </w:rPr>
      </w:pPr>
      <w:r w:rsidRPr="00A611A7">
        <w:rPr>
          <w:rFonts w:asciiTheme="minorHAnsi" w:hAnsiTheme="minorHAnsi"/>
          <w:szCs w:val="22"/>
        </w:rPr>
        <w:t xml:space="preserve">Regional work is continuing to take place to fully understand the new flows that are occurring due to the recent consolidation of services in the </w:t>
      </w:r>
      <w:r w:rsidR="002D21B8" w:rsidRPr="00A611A7">
        <w:rPr>
          <w:rFonts w:asciiTheme="minorHAnsi" w:hAnsiTheme="minorHAnsi"/>
          <w:szCs w:val="22"/>
        </w:rPr>
        <w:t xml:space="preserve">UHB </w:t>
      </w:r>
      <w:r w:rsidRPr="00A611A7">
        <w:rPr>
          <w:rFonts w:asciiTheme="minorHAnsi" w:hAnsiTheme="minorHAnsi"/>
          <w:szCs w:val="22"/>
        </w:rPr>
        <w:t>and to ensure that the resources match the demand.</w:t>
      </w:r>
      <w:r w:rsidR="002D21B8" w:rsidRPr="00A611A7">
        <w:rPr>
          <w:rFonts w:asciiTheme="minorHAnsi" w:hAnsiTheme="minorHAnsi"/>
          <w:szCs w:val="22"/>
        </w:rPr>
        <w:t xml:space="preserve"> </w:t>
      </w:r>
      <w:r w:rsidR="00E52F25" w:rsidRPr="00A611A7">
        <w:t>This monitoring has identified that as a result of women’s choice, C&amp;VUHB have seen higher than excepted CTM births at University Hospital Wales. This has led to endorsement that a further 200 consultant led births for CTM women to transfer to UHW.  In developing the joint plans across CTM and C&amp;V UHB’s, the Regional Obstetrics Planning Group considered the following:</w:t>
      </w:r>
    </w:p>
    <w:p w14:paraId="36B334FC" w14:textId="77777777" w:rsidR="00E52F25" w:rsidRPr="00A611A7" w:rsidRDefault="00E52F25" w:rsidP="005F65CD">
      <w:pPr>
        <w:pStyle w:val="ListParagraph"/>
        <w:numPr>
          <w:ilvl w:val="2"/>
          <w:numId w:val="113"/>
        </w:numPr>
        <w:spacing w:before="120" w:after="120"/>
        <w:ind w:left="1077" w:hanging="357"/>
        <w:rPr>
          <w:szCs w:val="22"/>
          <w:lang w:eastAsia="en-US"/>
        </w:rPr>
      </w:pPr>
      <w:r w:rsidRPr="00A611A7">
        <w:rPr>
          <w:szCs w:val="22"/>
        </w:rPr>
        <w:t>maintaining women’s choice was paramount;</w:t>
      </w:r>
    </w:p>
    <w:p w14:paraId="140471A7" w14:textId="7FA2A54F" w:rsidR="00E52F25" w:rsidRPr="00A611A7" w:rsidRDefault="00E52F25" w:rsidP="005F65CD">
      <w:pPr>
        <w:pStyle w:val="ListParagraph"/>
        <w:numPr>
          <w:ilvl w:val="2"/>
          <w:numId w:val="113"/>
        </w:numPr>
        <w:spacing w:before="120" w:after="120"/>
        <w:ind w:left="1077" w:hanging="357"/>
        <w:rPr>
          <w:szCs w:val="22"/>
        </w:rPr>
      </w:pPr>
      <w:r w:rsidRPr="00A611A7">
        <w:rPr>
          <w:szCs w:val="22"/>
        </w:rPr>
        <w:t>ante-natal care should be provide as locally as possible via C&amp;V staffed ‘spoke’ ante-natal clinics that will be provided at RGH;</w:t>
      </w:r>
    </w:p>
    <w:p w14:paraId="0988DFCC" w14:textId="77777777" w:rsidR="00E52F25" w:rsidRPr="00A611A7" w:rsidRDefault="00E52F25" w:rsidP="005F65CD">
      <w:pPr>
        <w:pStyle w:val="ListParagraph"/>
        <w:numPr>
          <w:ilvl w:val="2"/>
          <w:numId w:val="113"/>
        </w:numPr>
        <w:spacing w:before="120" w:after="120"/>
        <w:ind w:left="1077" w:hanging="357"/>
        <w:rPr>
          <w:szCs w:val="22"/>
        </w:rPr>
      </w:pPr>
      <w:r w:rsidRPr="00A611A7">
        <w:rPr>
          <w:szCs w:val="22"/>
        </w:rPr>
        <w:t>midwifery led services would always be offered to women where clinically appropriate; and</w:t>
      </w:r>
    </w:p>
    <w:p w14:paraId="62FE5D90" w14:textId="77777777" w:rsidR="00E52F25" w:rsidRPr="00A611A7" w:rsidRDefault="00E52F25" w:rsidP="005F65CD">
      <w:pPr>
        <w:pStyle w:val="ListParagraph"/>
        <w:numPr>
          <w:ilvl w:val="2"/>
          <w:numId w:val="113"/>
        </w:numPr>
        <w:spacing w:before="120" w:after="120"/>
        <w:ind w:left="1077" w:hanging="357"/>
        <w:rPr>
          <w:szCs w:val="22"/>
        </w:rPr>
      </w:pPr>
      <w:r w:rsidRPr="00A611A7">
        <w:rPr>
          <w:szCs w:val="22"/>
        </w:rPr>
        <w:t>operational delivery must be sustainable.</w:t>
      </w:r>
    </w:p>
    <w:p w14:paraId="53584FF4" w14:textId="77777777" w:rsidR="00E52F25" w:rsidRPr="00A611A7" w:rsidRDefault="00E52F25" w:rsidP="00E52F25">
      <w:pPr>
        <w:spacing w:before="120" w:after="120"/>
        <w:contextualSpacing/>
        <w:rPr>
          <w:szCs w:val="22"/>
        </w:rPr>
      </w:pPr>
      <w:r w:rsidRPr="00A611A7">
        <w:t>The ‘spoke’ antenatal clinics have been designed for a capacity of approximately 400 women, to enable all those women who choose to birth in C&amp;V to receive their antenatal care closer to home.</w:t>
      </w:r>
    </w:p>
    <w:p w14:paraId="66523B6C" w14:textId="2185B02E" w:rsidR="00DE3193" w:rsidRPr="00A611A7" w:rsidRDefault="00DE3193" w:rsidP="00DE3193">
      <w:pPr>
        <w:rPr>
          <w:rFonts w:asciiTheme="minorHAnsi" w:hAnsiTheme="minorHAnsi"/>
          <w:szCs w:val="22"/>
        </w:rPr>
      </w:pPr>
      <w:r w:rsidRPr="00A611A7">
        <w:rPr>
          <w:rFonts w:asciiTheme="minorHAnsi" w:hAnsiTheme="minorHAnsi"/>
          <w:szCs w:val="22"/>
        </w:rPr>
        <w:t xml:space="preserve"> </w:t>
      </w:r>
    </w:p>
    <w:p w14:paraId="7BBE9C8F" w14:textId="77777777" w:rsidR="00DE3193" w:rsidRPr="00A611A7" w:rsidRDefault="00DE3193" w:rsidP="00DE3193">
      <w:pPr>
        <w:rPr>
          <w:rFonts w:asciiTheme="minorHAnsi" w:hAnsiTheme="minorHAnsi"/>
          <w:szCs w:val="22"/>
        </w:rPr>
      </w:pPr>
    </w:p>
    <w:p w14:paraId="4F6E0639" w14:textId="77777777" w:rsidR="005F65CD" w:rsidRPr="005F65CD" w:rsidRDefault="005F65CD" w:rsidP="005F65CD">
      <w:pPr>
        <w:rPr>
          <w:rFonts w:asciiTheme="minorHAnsi" w:hAnsiTheme="minorHAnsi"/>
          <w:b/>
          <w:szCs w:val="22"/>
        </w:rPr>
      </w:pPr>
      <w:r w:rsidRPr="005F65CD">
        <w:rPr>
          <w:rFonts w:asciiTheme="minorHAnsi" w:hAnsiTheme="minorHAnsi"/>
          <w:b/>
          <w:szCs w:val="22"/>
        </w:rPr>
        <w:t>Maternity Improvement Programme</w:t>
      </w:r>
    </w:p>
    <w:p w14:paraId="4AF1A2F4" w14:textId="77777777" w:rsidR="005F65CD" w:rsidRPr="005F65CD" w:rsidRDefault="005F65CD" w:rsidP="005F65CD">
      <w:pPr>
        <w:rPr>
          <w:rFonts w:asciiTheme="minorHAnsi" w:hAnsiTheme="minorHAnsi"/>
          <w:b/>
          <w:szCs w:val="22"/>
        </w:rPr>
      </w:pPr>
    </w:p>
    <w:p w14:paraId="33055A36" w14:textId="77777777" w:rsidR="005F65CD" w:rsidRPr="005F65CD" w:rsidRDefault="005F65CD" w:rsidP="005F65CD">
      <w:pPr>
        <w:rPr>
          <w:rFonts w:asciiTheme="minorHAnsi" w:hAnsiTheme="minorHAnsi"/>
          <w:szCs w:val="22"/>
        </w:rPr>
      </w:pPr>
      <w:r w:rsidRPr="005F65CD">
        <w:rPr>
          <w:rFonts w:asciiTheme="minorHAnsi" w:hAnsiTheme="minorHAnsi"/>
          <w:szCs w:val="22"/>
        </w:rPr>
        <w:t>Following concerns raised early in 2018 regarding failings in maternity services within the former Cwm Taf Health Board the Royal College of Obstetrics and Gynaecologists (RCOG) were commissioned by CTUHB to undertake an independent review and establishment of the Maternity Improvement Board (MIB) in September 2018.  The concerns were further escalated and the wider concerns raised by Welsh Government, Wales Audit Office (WAO) and Healthcare Inspectorate Wales (HIW) regarding quality, culture, leadership and governance, which resulted in escalated monitoring to special measures for maternity services for the UHB.</w:t>
      </w:r>
    </w:p>
    <w:p w14:paraId="6F628ED9" w14:textId="77777777" w:rsidR="005F65CD" w:rsidRPr="005F65CD" w:rsidRDefault="005F65CD" w:rsidP="005F65CD">
      <w:pPr>
        <w:rPr>
          <w:rFonts w:asciiTheme="minorHAnsi" w:hAnsiTheme="minorHAnsi"/>
          <w:szCs w:val="22"/>
        </w:rPr>
      </w:pPr>
    </w:p>
    <w:p w14:paraId="330F14BE" w14:textId="77777777" w:rsidR="005F65CD" w:rsidRPr="005F65CD" w:rsidRDefault="005F65CD" w:rsidP="005F65CD">
      <w:pPr>
        <w:rPr>
          <w:rFonts w:asciiTheme="minorHAnsi" w:hAnsiTheme="minorHAnsi"/>
          <w:szCs w:val="22"/>
        </w:rPr>
      </w:pPr>
      <w:r w:rsidRPr="005F65CD">
        <w:rPr>
          <w:rFonts w:asciiTheme="minorHAnsi" w:hAnsiTheme="minorHAnsi"/>
          <w:szCs w:val="22"/>
        </w:rPr>
        <w:t xml:space="preserve">The Royal College of Obstetricians and Gynaecologists (RCOG) and the Royal College of Midwives (RCM) published their report into maternity services at both Prince Charles and Royal Glamorgan Hospitals on 31 April </w:t>
      </w:r>
      <w:r w:rsidRPr="005F65CD">
        <w:rPr>
          <w:rFonts w:asciiTheme="minorHAnsi" w:hAnsiTheme="minorHAnsi"/>
          <w:szCs w:val="22"/>
        </w:rPr>
        <w:lastRenderedPageBreak/>
        <w:t>2019.   There were a number of areas of concern raised within the report that the UHB were tasked to respond to.   An independent Oversight Panel was appointed which set out to:</w:t>
      </w:r>
    </w:p>
    <w:p w14:paraId="649B84E1" w14:textId="77777777" w:rsidR="005F65CD" w:rsidRPr="005F65CD" w:rsidRDefault="005F65CD" w:rsidP="005F65CD">
      <w:pPr>
        <w:rPr>
          <w:rFonts w:asciiTheme="minorHAnsi" w:hAnsiTheme="minorHAnsi"/>
          <w:szCs w:val="22"/>
        </w:rPr>
      </w:pPr>
    </w:p>
    <w:p w14:paraId="3D458CFF" w14:textId="77777777" w:rsidR="005F65CD" w:rsidRPr="005F65CD" w:rsidRDefault="005F65CD" w:rsidP="005F65CD">
      <w:pPr>
        <w:numPr>
          <w:ilvl w:val="0"/>
          <w:numId w:val="114"/>
        </w:numPr>
        <w:rPr>
          <w:rFonts w:asciiTheme="minorHAnsi" w:hAnsiTheme="minorHAnsi"/>
          <w:szCs w:val="22"/>
        </w:rPr>
      </w:pPr>
      <w:r w:rsidRPr="005F65CD">
        <w:rPr>
          <w:rFonts w:asciiTheme="minorHAnsi" w:hAnsiTheme="minorHAnsi"/>
          <w:szCs w:val="22"/>
        </w:rPr>
        <w:t>Provide assurance, constructive challenge and oversight of the improvement against the 70 RCOG/RCM recommendations</w:t>
      </w:r>
    </w:p>
    <w:p w14:paraId="303EE3A3" w14:textId="77777777" w:rsidR="005F65CD" w:rsidRPr="005F65CD" w:rsidRDefault="005F65CD" w:rsidP="005F65CD">
      <w:pPr>
        <w:numPr>
          <w:ilvl w:val="0"/>
          <w:numId w:val="114"/>
        </w:numPr>
        <w:rPr>
          <w:rFonts w:asciiTheme="minorHAnsi" w:hAnsiTheme="minorHAnsi"/>
          <w:szCs w:val="22"/>
        </w:rPr>
      </w:pPr>
      <w:r w:rsidRPr="005F65CD">
        <w:rPr>
          <w:rFonts w:asciiTheme="minorHAnsi" w:hAnsiTheme="minorHAnsi"/>
          <w:szCs w:val="22"/>
        </w:rPr>
        <w:t>Establish and agree an independent multidisciplinary process to clinically review relevant cases and to ensure that any learning which emerges from these reviews is acted upon by the UHB and others</w:t>
      </w:r>
    </w:p>
    <w:p w14:paraId="2CCF1709" w14:textId="77777777" w:rsidR="005F65CD" w:rsidRDefault="005F65CD" w:rsidP="005F65CD">
      <w:pPr>
        <w:rPr>
          <w:rFonts w:asciiTheme="minorHAnsi" w:hAnsiTheme="minorHAnsi"/>
          <w:szCs w:val="22"/>
        </w:rPr>
      </w:pPr>
    </w:p>
    <w:p w14:paraId="77AFA540" w14:textId="77777777" w:rsidR="005F65CD" w:rsidRPr="005F65CD" w:rsidRDefault="005F65CD" w:rsidP="005F65CD">
      <w:pPr>
        <w:rPr>
          <w:rFonts w:asciiTheme="minorHAnsi" w:hAnsiTheme="minorHAnsi"/>
          <w:szCs w:val="22"/>
        </w:rPr>
      </w:pPr>
      <w:r w:rsidRPr="005F65CD">
        <w:rPr>
          <w:rFonts w:asciiTheme="minorHAnsi" w:hAnsiTheme="minorHAnsi"/>
          <w:szCs w:val="22"/>
        </w:rPr>
        <w:t>The following structure was put in place and has been working to review and implement the learning from the report and the review and improvement work that has followed:</w:t>
      </w:r>
    </w:p>
    <w:p w14:paraId="28637B91" w14:textId="77777777" w:rsidR="005F65CD" w:rsidRPr="005F65CD" w:rsidRDefault="005F65CD" w:rsidP="005F65CD">
      <w:pPr>
        <w:rPr>
          <w:rFonts w:asciiTheme="minorHAnsi" w:hAnsiTheme="minorHAnsi"/>
          <w:szCs w:val="22"/>
        </w:rPr>
      </w:pPr>
      <w:r w:rsidRPr="005F65CD">
        <w:rPr>
          <w:rFonts w:asciiTheme="minorHAnsi" w:hAnsiTheme="minorHAnsi"/>
          <w:noProof/>
          <w:szCs w:val="22"/>
        </w:rPr>
        <w:drawing>
          <wp:inline distT="0" distB="0" distL="0" distR="0" wp14:anchorId="34254D87" wp14:editId="0AFC27E3">
            <wp:extent cx="6172200" cy="3162300"/>
            <wp:effectExtent l="0" t="0" r="0" b="0"/>
            <wp:docPr id="451" name="Picture 451" descr="cid:image001.png@01D5F6D9.713AC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5F6D9.713AC230"/>
                    <pic:cNvPicPr>
                      <a:picLocks noChangeAspect="1" noChangeArrowheads="1"/>
                    </pic:cNvPicPr>
                  </pic:nvPicPr>
                  <pic:blipFill>
                    <a:blip r:embed="rId74" r:link="rId75">
                      <a:extLst>
                        <a:ext uri="{28A0092B-C50C-407E-A947-70E740481C1C}">
                          <a14:useLocalDpi xmlns:a14="http://schemas.microsoft.com/office/drawing/2010/main" val="0"/>
                        </a:ext>
                      </a:extLst>
                    </a:blip>
                    <a:srcRect/>
                    <a:stretch>
                      <a:fillRect/>
                    </a:stretch>
                  </pic:blipFill>
                  <pic:spPr bwMode="auto">
                    <a:xfrm>
                      <a:off x="0" y="0"/>
                      <a:ext cx="6190543" cy="3171698"/>
                    </a:xfrm>
                    <a:prstGeom prst="rect">
                      <a:avLst/>
                    </a:prstGeom>
                    <a:noFill/>
                    <a:ln>
                      <a:noFill/>
                    </a:ln>
                  </pic:spPr>
                </pic:pic>
              </a:graphicData>
            </a:graphic>
          </wp:inline>
        </w:drawing>
      </w:r>
    </w:p>
    <w:p w14:paraId="0B883223" w14:textId="77777777" w:rsidR="005F65CD" w:rsidRPr="005F65CD" w:rsidRDefault="005F65CD" w:rsidP="005F65CD">
      <w:pPr>
        <w:rPr>
          <w:rFonts w:asciiTheme="minorHAnsi" w:hAnsiTheme="minorHAnsi"/>
          <w:szCs w:val="22"/>
        </w:rPr>
      </w:pPr>
    </w:p>
    <w:p w14:paraId="02F80EA2" w14:textId="77777777" w:rsidR="005F65CD" w:rsidRPr="005F65CD" w:rsidRDefault="005F65CD" w:rsidP="005F65CD">
      <w:pPr>
        <w:rPr>
          <w:rFonts w:asciiTheme="minorHAnsi" w:hAnsiTheme="minorHAnsi"/>
          <w:szCs w:val="22"/>
        </w:rPr>
      </w:pPr>
    </w:p>
    <w:p w14:paraId="01560CE2" w14:textId="1A3FAB03" w:rsidR="005F65CD" w:rsidRDefault="005F65CD" w:rsidP="005F65CD">
      <w:pPr>
        <w:rPr>
          <w:rFonts w:asciiTheme="minorHAnsi" w:hAnsiTheme="minorHAnsi"/>
          <w:szCs w:val="22"/>
        </w:rPr>
      </w:pPr>
      <w:r w:rsidRPr="005F65CD">
        <w:rPr>
          <w:rFonts w:asciiTheme="minorHAnsi" w:hAnsiTheme="minorHAnsi"/>
          <w:szCs w:val="22"/>
        </w:rPr>
        <w:t xml:space="preserve">Immediate actions taken forward have focussed on Consultant cover, </w:t>
      </w:r>
      <w:r>
        <w:rPr>
          <w:rFonts w:asciiTheme="minorHAnsi" w:hAnsiTheme="minorHAnsi"/>
          <w:szCs w:val="22"/>
        </w:rPr>
        <w:t>t</w:t>
      </w:r>
      <w:r w:rsidRPr="005F65CD">
        <w:rPr>
          <w:rFonts w:asciiTheme="minorHAnsi" w:hAnsiTheme="minorHAnsi"/>
          <w:szCs w:val="22"/>
        </w:rPr>
        <w:t xml:space="preserve">raining and induction, staffing levels specifically of midwifery teams, </w:t>
      </w:r>
      <w:r>
        <w:rPr>
          <w:rFonts w:asciiTheme="minorHAnsi" w:hAnsiTheme="minorHAnsi"/>
          <w:szCs w:val="22"/>
        </w:rPr>
        <w:t>g</w:t>
      </w:r>
      <w:r w:rsidRPr="005F65CD">
        <w:rPr>
          <w:rFonts w:asciiTheme="minorHAnsi" w:hAnsiTheme="minorHAnsi"/>
          <w:szCs w:val="22"/>
        </w:rPr>
        <w:t>overnance and safety, senior management and leadership as well and work to review and improve the culture and behaviours across the organisation.</w:t>
      </w:r>
    </w:p>
    <w:p w14:paraId="1790432C" w14:textId="77777777" w:rsidR="005F65CD" w:rsidRPr="005F65CD" w:rsidRDefault="005F65CD" w:rsidP="005F65CD">
      <w:pPr>
        <w:rPr>
          <w:rFonts w:asciiTheme="minorHAnsi" w:hAnsiTheme="minorHAnsi"/>
          <w:szCs w:val="22"/>
        </w:rPr>
      </w:pPr>
    </w:p>
    <w:p w14:paraId="5D38FE23" w14:textId="77777777" w:rsidR="005F65CD" w:rsidRPr="005F65CD" w:rsidRDefault="005F65CD" w:rsidP="005F65CD">
      <w:pPr>
        <w:rPr>
          <w:rFonts w:asciiTheme="minorHAnsi" w:hAnsiTheme="minorHAnsi"/>
          <w:szCs w:val="22"/>
        </w:rPr>
      </w:pPr>
      <w:r w:rsidRPr="005F65CD">
        <w:rPr>
          <w:rFonts w:asciiTheme="minorHAnsi" w:hAnsiTheme="minorHAnsi"/>
          <w:szCs w:val="22"/>
        </w:rPr>
        <w:t>There has been significant progress made in the following key areas with a few of the key developments evidenced:</w:t>
      </w:r>
    </w:p>
    <w:p w14:paraId="6E7A72DA" w14:textId="77777777" w:rsidR="005F65CD" w:rsidRPr="005F65CD" w:rsidRDefault="005F65CD" w:rsidP="005F65CD">
      <w:pPr>
        <w:rPr>
          <w:rFonts w:asciiTheme="minorHAnsi" w:hAnsiTheme="minorHAnsi"/>
          <w:szCs w:val="22"/>
        </w:rPr>
      </w:pPr>
    </w:p>
    <w:p w14:paraId="6A9502BD" w14:textId="77777777" w:rsidR="005F65CD" w:rsidRPr="005F65CD" w:rsidRDefault="005F65CD" w:rsidP="005F65CD">
      <w:pPr>
        <w:rPr>
          <w:rFonts w:asciiTheme="minorHAnsi" w:hAnsiTheme="minorHAnsi"/>
          <w:b/>
          <w:bCs/>
          <w:szCs w:val="22"/>
        </w:rPr>
      </w:pPr>
      <w:r w:rsidRPr="005F65CD">
        <w:rPr>
          <w:rFonts w:asciiTheme="minorHAnsi" w:hAnsiTheme="minorHAnsi"/>
          <w:b/>
          <w:bCs/>
          <w:szCs w:val="22"/>
        </w:rPr>
        <w:t>Safe and effective Care – Evidencing early progress:</w:t>
      </w:r>
    </w:p>
    <w:p w14:paraId="7196FC13" w14:textId="77777777" w:rsidR="005F65CD" w:rsidRPr="005F65CD" w:rsidRDefault="005F65CD" w:rsidP="005F65CD">
      <w:pPr>
        <w:rPr>
          <w:rFonts w:asciiTheme="minorHAnsi" w:hAnsiTheme="minorHAnsi"/>
          <w:szCs w:val="22"/>
        </w:rPr>
      </w:pPr>
    </w:p>
    <w:p w14:paraId="485168ED" w14:textId="44A40B84" w:rsidR="005F65CD" w:rsidRPr="005F65CD" w:rsidRDefault="005F65CD" w:rsidP="005F65CD">
      <w:pPr>
        <w:rPr>
          <w:rFonts w:asciiTheme="minorHAnsi" w:hAnsiTheme="minorHAnsi"/>
          <w:szCs w:val="22"/>
        </w:rPr>
      </w:pPr>
      <w:r w:rsidRPr="005F65CD">
        <w:rPr>
          <w:rFonts w:asciiTheme="minorHAnsi" w:hAnsiTheme="minorHAnsi"/>
          <w:szCs w:val="22"/>
        </w:rPr>
        <w:t xml:space="preserve">Work has been undertaken to align Maternity Theatres with the </w:t>
      </w:r>
      <w:r w:rsidR="00846FBD" w:rsidRPr="00846FBD">
        <w:rPr>
          <w:rFonts w:asciiTheme="minorHAnsi" w:hAnsiTheme="minorHAnsi"/>
          <w:szCs w:val="22"/>
        </w:rPr>
        <w:t xml:space="preserve">Anaesthetics, Critical Care and Theatres </w:t>
      </w:r>
      <w:r w:rsidR="00846FBD">
        <w:rPr>
          <w:rFonts w:asciiTheme="minorHAnsi" w:hAnsiTheme="minorHAnsi"/>
          <w:szCs w:val="22"/>
        </w:rPr>
        <w:t>(</w:t>
      </w:r>
      <w:r w:rsidRPr="005F65CD">
        <w:rPr>
          <w:rFonts w:asciiTheme="minorHAnsi" w:hAnsiTheme="minorHAnsi"/>
          <w:szCs w:val="22"/>
        </w:rPr>
        <w:t>ACT</w:t>
      </w:r>
      <w:r w:rsidR="00846FBD">
        <w:rPr>
          <w:rFonts w:asciiTheme="minorHAnsi" w:hAnsiTheme="minorHAnsi"/>
          <w:szCs w:val="22"/>
        </w:rPr>
        <w:t>)</w:t>
      </w:r>
      <w:r w:rsidRPr="005F65CD">
        <w:rPr>
          <w:rFonts w:asciiTheme="minorHAnsi" w:hAnsiTheme="minorHAnsi"/>
          <w:szCs w:val="22"/>
        </w:rPr>
        <w:t xml:space="preserve"> directorate for staffing and day to day theatre running.  Priorities for this work include the reduction of hospital acquired infections and improvements to the maternity theatres to ensure compliance with the relevant standards.  Funding has been received for stage one of these developments and a further business case is being developed to support the transfer of obstetric emergency theatre cases to the ACT directorate. </w:t>
      </w:r>
    </w:p>
    <w:p w14:paraId="76332808" w14:textId="77777777" w:rsidR="005F65CD" w:rsidRPr="005F65CD" w:rsidRDefault="005F65CD" w:rsidP="005F65CD">
      <w:pPr>
        <w:rPr>
          <w:rFonts w:asciiTheme="minorHAnsi" w:hAnsiTheme="minorHAnsi"/>
          <w:szCs w:val="22"/>
        </w:rPr>
      </w:pPr>
    </w:p>
    <w:p w14:paraId="7BFEFEB4" w14:textId="7B48E37C" w:rsidR="005F65CD" w:rsidRDefault="005F65CD" w:rsidP="005F65CD">
      <w:pPr>
        <w:rPr>
          <w:rFonts w:asciiTheme="minorHAnsi" w:hAnsiTheme="minorHAnsi"/>
          <w:szCs w:val="22"/>
        </w:rPr>
      </w:pPr>
      <w:r w:rsidRPr="005F65CD">
        <w:rPr>
          <w:rFonts w:asciiTheme="minorHAnsi" w:hAnsiTheme="minorHAnsi"/>
          <w:szCs w:val="22"/>
        </w:rPr>
        <w:t xml:space="preserve">Potential efficiencies were identified within maternity services linked to the implementation of a dedicated Pharmacy resource.  A pilot demonstrated that discharges were quicker and missed doses were reduced with the service in place.  A business case to substantively support this development will be progressed this year and once established further opportunities to expand </w:t>
      </w:r>
      <w:r w:rsidR="001E2EB7">
        <w:rPr>
          <w:rFonts w:asciiTheme="minorHAnsi" w:hAnsiTheme="minorHAnsi"/>
          <w:szCs w:val="22"/>
        </w:rPr>
        <w:t xml:space="preserve">the initiative </w:t>
      </w:r>
      <w:r w:rsidRPr="005F65CD">
        <w:rPr>
          <w:rFonts w:asciiTheme="minorHAnsi" w:hAnsiTheme="minorHAnsi"/>
          <w:szCs w:val="22"/>
        </w:rPr>
        <w:t xml:space="preserve">through the directorate </w:t>
      </w:r>
      <w:r w:rsidR="001E2EB7">
        <w:rPr>
          <w:rFonts w:asciiTheme="minorHAnsi" w:hAnsiTheme="minorHAnsi"/>
          <w:szCs w:val="22"/>
        </w:rPr>
        <w:t xml:space="preserve">will </w:t>
      </w:r>
      <w:r w:rsidRPr="005F65CD">
        <w:rPr>
          <w:rFonts w:asciiTheme="minorHAnsi" w:hAnsiTheme="minorHAnsi"/>
          <w:szCs w:val="22"/>
        </w:rPr>
        <w:t xml:space="preserve">also be explored.  </w:t>
      </w:r>
    </w:p>
    <w:p w14:paraId="364C128B" w14:textId="77777777" w:rsidR="001E2EB7" w:rsidRDefault="001E2EB7" w:rsidP="005F65CD">
      <w:pPr>
        <w:rPr>
          <w:rFonts w:asciiTheme="minorHAnsi" w:hAnsiTheme="minorHAnsi"/>
          <w:szCs w:val="22"/>
        </w:rPr>
      </w:pPr>
    </w:p>
    <w:p w14:paraId="1F703A23" w14:textId="6B4C33C5" w:rsidR="001E2EB7" w:rsidRDefault="001E2EB7" w:rsidP="005F65CD">
      <w:pPr>
        <w:rPr>
          <w:rFonts w:asciiTheme="minorHAnsi" w:hAnsiTheme="minorHAnsi"/>
          <w:szCs w:val="22"/>
        </w:rPr>
      </w:pPr>
      <w:r>
        <w:rPr>
          <w:rFonts w:asciiTheme="minorHAnsi" w:hAnsiTheme="minorHAnsi"/>
          <w:szCs w:val="22"/>
        </w:rPr>
        <w:t>Other areas of progress include:</w:t>
      </w:r>
    </w:p>
    <w:p w14:paraId="058005CC" w14:textId="77777777" w:rsidR="005F65CD" w:rsidRPr="005F65CD" w:rsidRDefault="005F65CD" w:rsidP="005F65CD">
      <w:pPr>
        <w:numPr>
          <w:ilvl w:val="0"/>
          <w:numId w:val="115"/>
        </w:numPr>
        <w:rPr>
          <w:rFonts w:asciiTheme="minorHAnsi" w:hAnsiTheme="minorHAnsi"/>
          <w:szCs w:val="22"/>
        </w:rPr>
      </w:pPr>
      <w:r w:rsidRPr="005F65CD">
        <w:rPr>
          <w:rFonts w:asciiTheme="minorHAnsi" w:hAnsiTheme="minorHAnsi"/>
          <w:szCs w:val="22"/>
        </w:rPr>
        <w:t>Governance Framework in place for midwifery and Consultant leads for key elements</w:t>
      </w:r>
    </w:p>
    <w:p w14:paraId="1B6B2367" w14:textId="77777777" w:rsidR="005F65CD" w:rsidRPr="005F65CD" w:rsidRDefault="005F65CD" w:rsidP="005F65CD">
      <w:pPr>
        <w:numPr>
          <w:ilvl w:val="0"/>
          <w:numId w:val="115"/>
        </w:numPr>
        <w:rPr>
          <w:rFonts w:asciiTheme="minorHAnsi" w:hAnsiTheme="minorHAnsi"/>
          <w:szCs w:val="22"/>
        </w:rPr>
      </w:pPr>
      <w:r w:rsidRPr="005F65CD">
        <w:rPr>
          <w:rFonts w:asciiTheme="minorHAnsi" w:hAnsiTheme="minorHAnsi"/>
          <w:szCs w:val="22"/>
        </w:rPr>
        <w:t>Increased audit activity and updating of clinical guidelines</w:t>
      </w:r>
    </w:p>
    <w:p w14:paraId="7839DF8B" w14:textId="77777777" w:rsidR="005F65CD" w:rsidRPr="005F65CD" w:rsidRDefault="005F65CD" w:rsidP="005F65CD">
      <w:pPr>
        <w:numPr>
          <w:ilvl w:val="0"/>
          <w:numId w:val="115"/>
        </w:numPr>
        <w:rPr>
          <w:rFonts w:asciiTheme="minorHAnsi" w:hAnsiTheme="minorHAnsi"/>
          <w:szCs w:val="22"/>
        </w:rPr>
      </w:pPr>
      <w:r w:rsidRPr="005F65CD">
        <w:rPr>
          <w:rFonts w:asciiTheme="minorHAnsi" w:hAnsiTheme="minorHAnsi"/>
          <w:szCs w:val="22"/>
        </w:rPr>
        <w:lastRenderedPageBreak/>
        <w:t>Full multi-disciplinary engagement</w:t>
      </w:r>
    </w:p>
    <w:p w14:paraId="5F41D017" w14:textId="77777777" w:rsidR="005F65CD" w:rsidRPr="005F65CD" w:rsidRDefault="005F65CD" w:rsidP="005F65CD">
      <w:pPr>
        <w:numPr>
          <w:ilvl w:val="0"/>
          <w:numId w:val="115"/>
        </w:numPr>
        <w:rPr>
          <w:rFonts w:asciiTheme="minorHAnsi" w:hAnsiTheme="minorHAnsi"/>
          <w:szCs w:val="22"/>
        </w:rPr>
      </w:pPr>
      <w:r w:rsidRPr="005F65CD">
        <w:rPr>
          <w:rFonts w:asciiTheme="minorHAnsi" w:hAnsiTheme="minorHAnsi"/>
          <w:szCs w:val="22"/>
        </w:rPr>
        <w:t>Engagement and learning including women and family stories</w:t>
      </w:r>
    </w:p>
    <w:p w14:paraId="7AD8FCDC" w14:textId="77777777" w:rsidR="005F65CD" w:rsidRPr="005F65CD" w:rsidRDefault="005F65CD" w:rsidP="005F65CD">
      <w:pPr>
        <w:rPr>
          <w:rFonts w:asciiTheme="minorHAnsi" w:hAnsiTheme="minorHAnsi"/>
          <w:szCs w:val="22"/>
        </w:rPr>
      </w:pPr>
    </w:p>
    <w:p w14:paraId="71698372" w14:textId="77777777" w:rsidR="005F65CD" w:rsidRPr="005F65CD" w:rsidRDefault="005F65CD" w:rsidP="005F65CD">
      <w:pPr>
        <w:rPr>
          <w:rFonts w:asciiTheme="minorHAnsi" w:hAnsiTheme="minorHAnsi"/>
          <w:b/>
          <w:bCs/>
          <w:szCs w:val="22"/>
        </w:rPr>
      </w:pPr>
      <w:r w:rsidRPr="005F65CD">
        <w:rPr>
          <w:rFonts w:asciiTheme="minorHAnsi" w:hAnsiTheme="minorHAnsi"/>
          <w:b/>
          <w:bCs/>
          <w:szCs w:val="22"/>
        </w:rPr>
        <w:t>Quality of Management and leadership – evidence of early progress:</w:t>
      </w:r>
    </w:p>
    <w:p w14:paraId="77E4B29C" w14:textId="77777777" w:rsidR="005F65CD" w:rsidRPr="005F65CD" w:rsidRDefault="005F65CD" w:rsidP="005F65CD">
      <w:pPr>
        <w:rPr>
          <w:rFonts w:asciiTheme="minorHAnsi" w:hAnsiTheme="minorHAnsi"/>
          <w:b/>
          <w:bCs/>
          <w:szCs w:val="22"/>
        </w:rPr>
      </w:pPr>
    </w:p>
    <w:p w14:paraId="1BA4F0CD" w14:textId="4BA98A60" w:rsidR="005F65CD" w:rsidRPr="005F65CD" w:rsidRDefault="005F65CD" w:rsidP="005F65CD">
      <w:pPr>
        <w:numPr>
          <w:ilvl w:val="0"/>
          <w:numId w:val="116"/>
        </w:numPr>
        <w:rPr>
          <w:rFonts w:asciiTheme="minorHAnsi" w:hAnsiTheme="minorHAnsi"/>
          <w:szCs w:val="22"/>
        </w:rPr>
      </w:pPr>
      <w:r w:rsidRPr="005F65CD">
        <w:rPr>
          <w:rFonts w:asciiTheme="minorHAnsi" w:hAnsiTheme="minorHAnsi"/>
          <w:szCs w:val="22"/>
        </w:rPr>
        <w:t xml:space="preserve">New Maternity Service leadership team largely in place, </w:t>
      </w:r>
      <w:r w:rsidR="001E2EB7">
        <w:rPr>
          <w:rFonts w:asciiTheme="minorHAnsi" w:hAnsiTheme="minorHAnsi"/>
          <w:szCs w:val="22"/>
        </w:rPr>
        <w:t xml:space="preserve">with a </w:t>
      </w:r>
      <w:r w:rsidRPr="005F65CD">
        <w:rPr>
          <w:rFonts w:asciiTheme="minorHAnsi" w:hAnsiTheme="minorHAnsi"/>
          <w:szCs w:val="22"/>
        </w:rPr>
        <w:t>New Clinical Director, Directorate Manager and Director of Midwifery.</w:t>
      </w:r>
    </w:p>
    <w:p w14:paraId="21B6B221" w14:textId="77777777" w:rsidR="005F65CD" w:rsidRPr="005F65CD" w:rsidRDefault="005F65CD" w:rsidP="005F65CD">
      <w:pPr>
        <w:numPr>
          <w:ilvl w:val="0"/>
          <w:numId w:val="116"/>
        </w:numPr>
        <w:rPr>
          <w:rFonts w:asciiTheme="minorHAnsi" w:hAnsiTheme="minorHAnsi"/>
          <w:szCs w:val="22"/>
        </w:rPr>
      </w:pPr>
      <w:r w:rsidRPr="005F65CD">
        <w:rPr>
          <w:rFonts w:asciiTheme="minorHAnsi" w:hAnsiTheme="minorHAnsi"/>
          <w:szCs w:val="22"/>
        </w:rPr>
        <w:t>Recruitment of three Consultant Obstetrician and gynaecologists, Consultant Midwife, Deputy Head of Midwifery, Intra-partum Lead Midwife as well as additional registered midwives recruited at PCH</w:t>
      </w:r>
    </w:p>
    <w:p w14:paraId="78DC64AA" w14:textId="77777777" w:rsidR="005F65CD" w:rsidRPr="005F65CD" w:rsidRDefault="005F65CD" w:rsidP="005F65CD">
      <w:pPr>
        <w:numPr>
          <w:ilvl w:val="0"/>
          <w:numId w:val="116"/>
        </w:numPr>
        <w:rPr>
          <w:rFonts w:asciiTheme="minorHAnsi" w:hAnsiTheme="minorHAnsi"/>
          <w:szCs w:val="22"/>
        </w:rPr>
      </w:pPr>
      <w:r w:rsidRPr="005F65CD">
        <w:rPr>
          <w:rFonts w:asciiTheme="minorHAnsi" w:hAnsiTheme="minorHAnsi"/>
          <w:szCs w:val="22"/>
        </w:rPr>
        <w:t>Training programme developed and improved compliance</w:t>
      </w:r>
    </w:p>
    <w:p w14:paraId="422E6C5A" w14:textId="77777777" w:rsidR="001E2EB7" w:rsidRDefault="001E2EB7" w:rsidP="005F65CD">
      <w:pPr>
        <w:rPr>
          <w:rFonts w:asciiTheme="minorHAnsi" w:hAnsiTheme="minorHAnsi"/>
          <w:b/>
          <w:bCs/>
          <w:szCs w:val="22"/>
        </w:rPr>
      </w:pPr>
    </w:p>
    <w:p w14:paraId="3A0ED54E" w14:textId="582A1214" w:rsidR="005F65CD" w:rsidRPr="005F65CD" w:rsidRDefault="005F65CD" w:rsidP="005F65CD">
      <w:pPr>
        <w:rPr>
          <w:rFonts w:asciiTheme="minorHAnsi" w:hAnsiTheme="minorHAnsi"/>
          <w:b/>
          <w:bCs/>
          <w:szCs w:val="22"/>
        </w:rPr>
      </w:pPr>
      <w:r w:rsidRPr="005F65CD">
        <w:rPr>
          <w:rFonts w:asciiTheme="minorHAnsi" w:hAnsiTheme="minorHAnsi"/>
          <w:b/>
          <w:bCs/>
          <w:szCs w:val="22"/>
        </w:rPr>
        <w:t xml:space="preserve">Quality of </w:t>
      </w:r>
      <w:r w:rsidR="001E2EB7">
        <w:rPr>
          <w:rFonts w:asciiTheme="minorHAnsi" w:hAnsiTheme="minorHAnsi"/>
          <w:b/>
          <w:bCs/>
          <w:szCs w:val="22"/>
        </w:rPr>
        <w:t>W</w:t>
      </w:r>
      <w:r w:rsidRPr="005F65CD">
        <w:rPr>
          <w:rFonts w:asciiTheme="minorHAnsi" w:hAnsiTheme="minorHAnsi"/>
          <w:b/>
          <w:bCs/>
          <w:szCs w:val="22"/>
        </w:rPr>
        <w:t>omen’s and Families’ Experience – evidence of early progress:</w:t>
      </w:r>
    </w:p>
    <w:p w14:paraId="6619DB70" w14:textId="77777777" w:rsidR="005F65CD" w:rsidRPr="005F65CD" w:rsidRDefault="005F65CD" w:rsidP="005F65CD">
      <w:pPr>
        <w:rPr>
          <w:rFonts w:asciiTheme="minorHAnsi" w:hAnsiTheme="minorHAnsi"/>
          <w:b/>
          <w:bCs/>
          <w:szCs w:val="22"/>
        </w:rPr>
      </w:pPr>
    </w:p>
    <w:p w14:paraId="09044A2E" w14:textId="61046041" w:rsidR="005F65CD" w:rsidRPr="005F65CD" w:rsidRDefault="005F65CD" w:rsidP="005F65CD">
      <w:pPr>
        <w:rPr>
          <w:rFonts w:asciiTheme="minorHAnsi" w:hAnsiTheme="minorHAnsi"/>
          <w:szCs w:val="22"/>
        </w:rPr>
      </w:pPr>
      <w:r w:rsidRPr="005F65CD">
        <w:rPr>
          <w:rFonts w:asciiTheme="minorHAnsi" w:hAnsiTheme="minorHAnsi"/>
          <w:szCs w:val="22"/>
        </w:rPr>
        <w:t xml:space="preserve">Ongoing engagement has continued to ensure </w:t>
      </w:r>
      <w:r w:rsidR="001E2EB7">
        <w:rPr>
          <w:rFonts w:asciiTheme="minorHAnsi" w:hAnsiTheme="minorHAnsi"/>
          <w:szCs w:val="22"/>
        </w:rPr>
        <w:t xml:space="preserve">the </w:t>
      </w:r>
      <w:r w:rsidRPr="005F65CD">
        <w:rPr>
          <w:rFonts w:asciiTheme="minorHAnsi" w:hAnsiTheme="minorHAnsi"/>
          <w:szCs w:val="22"/>
        </w:rPr>
        <w:t xml:space="preserve">quality of women’s experiences, work is being undertaken on the miscarriage pathway to bring in line with NICE guidance to ensure high quality care for women who have suffered a pregnancy loss. This is being undertaken with a multidisciplinary approach with colleagues from midwifery, gynaecology, primary care and pathology engaged. </w:t>
      </w:r>
    </w:p>
    <w:p w14:paraId="049E8F2C" w14:textId="77777777" w:rsidR="005F65CD" w:rsidRDefault="005F65CD" w:rsidP="005F65CD">
      <w:pPr>
        <w:rPr>
          <w:rFonts w:asciiTheme="minorHAnsi" w:hAnsiTheme="minorHAnsi"/>
          <w:b/>
          <w:bCs/>
          <w:szCs w:val="22"/>
        </w:rPr>
      </w:pPr>
    </w:p>
    <w:p w14:paraId="7FED9964" w14:textId="5922943A" w:rsidR="001E2EB7" w:rsidRPr="001E2EB7" w:rsidRDefault="001E2EB7" w:rsidP="005F65CD">
      <w:pPr>
        <w:rPr>
          <w:rFonts w:asciiTheme="minorHAnsi" w:hAnsiTheme="minorHAnsi"/>
          <w:bCs/>
          <w:szCs w:val="22"/>
        </w:rPr>
      </w:pPr>
      <w:r w:rsidRPr="001E2EB7">
        <w:rPr>
          <w:rFonts w:asciiTheme="minorHAnsi" w:hAnsiTheme="minorHAnsi"/>
          <w:bCs/>
          <w:szCs w:val="22"/>
        </w:rPr>
        <w:t>Other areas of progress include:</w:t>
      </w:r>
    </w:p>
    <w:p w14:paraId="51E730E6" w14:textId="77777777" w:rsidR="005F65CD" w:rsidRPr="005F65CD" w:rsidRDefault="005F65CD" w:rsidP="005F65CD">
      <w:pPr>
        <w:numPr>
          <w:ilvl w:val="0"/>
          <w:numId w:val="117"/>
        </w:numPr>
        <w:rPr>
          <w:rFonts w:asciiTheme="minorHAnsi" w:hAnsiTheme="minorHAnsi"/>
          <w:szCs w:val="22"/>
        </w:rPr>
      </w:pPr>
      <w:r w:rsidRPr="005F65CD">
        <w:rPr>
          <w:rFonts w:asciiTheme="minorHAnsi" w:hAnsiTheme="minorHAnsi"/>
          <w:szCs w:val="22"/>
        </w:rPr>
        <w:t>Women’s experience Midwife appointed</w:t>
      </w:r>
    </w:p>
    <w:p w14:paraId="2D4BBDF3" w14:textId="77777777" w:rsidR="005F65CD" w:rsidRPr="005F65CD" w:rsidRDefault="005F65CD" w:rsidP="005F65CD">
      <w:pPr>
        <w:numPr>
          <w:ilvl w:val="0"/>
          <w:numId w:val="117"/>
        </w:numPr>
        <w:rPr>
          <w:rFonts w:asciiTheme="minorHAnsi" w:hAnsiTheme="minorHAnsi"/>
          <w:szCs w:val="22"/>
        </w:rPr>
      </w:pPr>
      <w:r w:rsidRPr="005F65CD">
        <w:rPr>
          <w:rFonts w:asciiTheme="minorHAnsi" w:hAnsiTheme="minorHAnsi"/>
          <w:szCs w:val="22"/>
        </w:rPr>
        <w:t>Community engagement events held across Merthyr, Llantrisant and Bridgend</w:t>
      </w:r>
    </w:p>
    <w:p w14:paraId="4DC2D750" w14:textId="77777777" w:rsidR="005F65CD" w:rsidRPr="005F65CD" w:rsidRDefault="005F65CD" w:rsidP="005F65CD">
      <w:pPr>
        <w:numPr>
          <w:ilvl w:val="0"/>
          <w:numId w:val="117"/>
        </w:numPr>
        <w:rPr>
          <w:rFonts w:asciiTheme="minorHAnsi" w:hAnsiTheme="minorHAnsi"/>
          <w:szCs w:val="22"/>
        </w:rPr>
      </w:pPr>
      <w:r w:rsidRPr="005F65CD">
        <w:rPr>
          <w:rFonts w:asciiTheme="minorHAnsi" w:hAnsiTheme="minorHAnsi"/>
          <w:szCs w:val="22"/>
        </w:rPr>
        <w:t xml:space="preserve">Lay Chair in place for ‘My Maternity My Way’ </w:t>
      </w:r>
    </w:p>
    <w:p w14:paraId="46CAEF34" w14:textId="15CBFC98" w:rsidR="005F65CD" w:rsidRPr="005F65CD" w:rsidRDefault="005F65CD" w:rsidP="005F65CD">
      <w:pPr>
        <w:numPr>
          <w:ilvl w:val="0"/>
          <w:numId w:val="117"/>
        </w:numPr>
        <w:rPr>
          <w:rFonts w:asciiTheme="minorHAnsi" w:hAnsiTheme="minorHAnsi"/>
          <w:szCs w:val="22"/>
        </w:rPr>
      </w:pPr>
      <w:r w:rsidRPr="005F65CD">
        <w:rPr>
          <w:rFonts w:asciiTheme="minorHAnsi" w:hAnsiTheme="minorHAnsi"/>
          <w:szCs w:val="22"/>
        </w:rPr>
        <w:t>Increase in the governance team to improve and speed up the response to complaints and concerns raise</w:t>
      </w:r>
      <w:r w:rsidR="001E2EB7">
        <w:rPr>
          <w:rFonts w:asciiTheme="minorHAnsi" w:hAnsiTheme="minorHAnsi"/>
          <w:szCs w:val="22"/>
        </w:rPr>
        <w:t>d</w:t>
      </w:r>
      <w:r w:rsidRPr="005F65CD">
        <w:rPr>
          <w:rFonts w:asciiTheme="minorHAnsi" w:hAnsiTheme="minorHAnsi"/>
          <w:szCs w:val="22"/>
        </w:rPr>
        <w:t xml:space="preserve"> by women and families.</w:t>
      </w:r>
    </w:p>
    <w:p w14:paraId="1E9D5B80" w14:textId="77777777" w:rsidR="001E2EB7" w:rsidRDefault="001E2EB7" w:rsidP="005F65CD">
      <w:pPr>
        <w:rPr>
          <w:rFonts w:asciiTheme="minorHAnsi" w:hAnsiTheme="minorHAnsi"/>
          <w:b/>
          <w:bCs/>
          <w:szCs w:val="22"/>
        </w:rPr>
      </w:pPr>
    </w:p>
    <w:p w14:paraId="7247813E" w14:textId="77777777" w:rsidR="005F65CD" w:rsidRPr="005F65CD" w:rsidRDefault="005F65CD" w:rsidP="005F65CD">
      <w:pPr>
        <w:rPr>
          <w:rFonts w:asciiTheme="minorHAnsi" w:hAnsiTheme="minorHAnsi"/>
          <w:b/>
          <w:bCs/>
          <w:szCs w:val="22"/>
        </w:rPr>
      </w:pPr>
      <w:r w:rsidRPr="005F65CD">
        <w:rPr>
          <w:rFonts w:asciiTheme="minorHAnsi" w:hAnsiTheme="minorHAnsi"/>
          <w:b/>
          <w:bCs/>
          <w:szCs w:val="22"/>
        </w:rPr>
        <w:t>What others are saying about our improvement work:</w:t>
      </w:r>
    </w:p>
    <w:p w14:paraId="3C36222E" w14:textId="77777777" w:rsidR="005F65CD" w:rsidRPr="005F65CD" w:rsidRDefault="005F65CD" w:rsidP="005F65CD">
      <w:pPr>
        <w:rPr>
          <w:rFonts w:asciiTheme="minorHAnsi" w:hAnsiTheme="minorHAnsi"/>
          <w:b/>
          <w:bCs/>
          <w:szCs w:val="22"/>
        </w:rPr>
      </w:pPr>
    </w:p>
    <w:p w14:paraId="03CA25E4" w14:textId="75057036" w:rsidR="005F65CD" w:rsidRPr="005F65CD" w:rsidRDefault="001E2EB7" w:rsidP="005F65CD">
      <w:pPr>
        <w:rPr>
          <w:rFonts w:asciiTheme="minorHAnsi" w:hAnsiTheme="minorHAnsi"/>
          <w:szCs w:val="22"/>
        </w:rPr>
      </w:pPr>
      <w:r>
        <w:rPr>
          <w:rFonts w:asciiTheme="minorHAnsi" w:hAnsiTheme="minorHAnsi"/>
          <w:szCs w:val="22"/>
        </w:rPr>
        <w:t xml:space="preserve">The </w:t>
      </w:r>
      <w:r w:rsidR="005F65CD" w:rsidRPr="005F65CD">
        <w:rPr>
          <w:rFonts w:asciiTheme="minorHAnsi" w:hAnsiTheme="minorHAnsi"/>
          <w:szCs w:val="22"/>
        </w:rPr>
        <w:t>Minister/IMSOP’s first quarterly report published on 8</w:t>
      </w:r>
      <w:r w:rsidR="005F65CD" w:rsidRPr="005F65CD">
        <w:rPr>
          <w:rFonts w:asciiTheme="minorHAnsi" w:hAnsiTheme="minorHAnsi"/>
          <w:szCs w:val="22"/>
          <w:vertAlign w:val="superscript"/>
        </w:rPr>
        <w:t>th</w:t>
      </w:r>
      <w:r w:rsidR="005F65CD" w:rsidRPr="005F65CD">
        <w:rPr>
          <w:rFonts w:asciiTheme="minorHAnsi" w:hAnsiTheme="minorHAnsi"/>
          <w:szCs w:val="22"/>
        </w:rPr>
        <w:t xml:space="preserve"> October 2019</w:t>
      </w:r>
      <w:r>
        <w:rPr>
          <w:rFonts w:asciiTheme="minorHAnsi" w:hAnsiTheme="minorHAnsi"/>
          <w:szCs w:val="22"/>
        </w:rPr>
        <w:t xml:space="preserve"> noted</w:t>
      </w:r>
      <w:r w:rsidR="005F65CD" w:rsidRPr="005F65CD">
        <w:rPr>
          <w:rFonts w:asciiTheme="minorHAnsi" w:hAnsiTheme="minorHAnsi"/>
          <w:szCs w:val="22"/>
        </w:rPr>
        <w:t>:</w:t>
      </w:r>
    </w:p>
    <w:p w14:paraId="7D1C53DF" w14:textId="77777777" w:rsidR="005F65CD" w:rsidRPr="005F65CD" w:rsidRDefault="005F65CD" w:rsidP="005F65CD">
      <w:pPr>
        <w:rPr>
          <w:rFonts w:asciiTheme="minorHAnsi" w:hAnsiTheme="minorHAnsi"/>
          <w:szCs w:val="22"/>
        </w:rPr>
      </w:pPr>
    </w:p>
    <w:p w14:paraId="42CA8D1E" w14:textId="77777777" w:rsidR="005F65CD" w:rsidRPr="005F65CD" w:rsidRDefault="005F65CD" w:rsidP="005F65CD">
      <w:pPr>
        <w:numPr>
          <w:ilvl w:val="0"/>
          <w:numId w:val="118"/>
        </w:numPr>
        <w:rPr>
          <w:rFonts w:asciiTheme="minorHAnsi" w:hAnsiTheme="minorHAnsi"/>
          <w:szCs w:val="22"/>
        </w:rPr>
      </w:pPr>
      <w:r w:rsidRPr="005F65CD">
        <w:rPr>
          <w:rFonts w:asciiTheme="minorHAnsi" w:hAnsiTheme="minorHAnsi"/>
          <w:szCs w:val="22"/>
        </w:rPr>
        <w:t>Better understanding of the problem and underlying causes</w:t>
      </w:r>
    </w:p>
    <w:p w14:paraId="6F94A285" w14:textId="77777777" w:rsidR="005F65CD" w:rsidRPr="005F65CD" w:rsidRDefault="005F65CD" w:rsidP="005F65CD">
      <w:pPr>
        <w:numPr>
          <w:ilvl w:val="0"/>
          <w:numId w:val="118"/>
        </w:numPr>
        <w:rPr>
          <w:rFonts w:asciiTheme="minorHAnsi" w:hAnsiTheme="minorHAnsi"/>
          <w:szCs w:val="22"/>
        </w:rPr>
      </w:pPr>
      <w:r w:rsidRPr="005F65CD">
        <w:rPr>
          <w:rFonts w:asciiTheme="minorHAnsi" w:hAnsiTheme="minorHAnsi"/>
          <w:szCs w:val="22"/>
        </w:rPr>
        <w:t>The Health Board has recognised that there are broader, deeper organisational issues to be addressed</w:t>
      </w:r>
    </w:p>
    <w:p w14:paraId="342BB45D" w14:textId="77777777" w:rsidR="005F65CD" w:rsidRPr="005F65CD" w:rsidRDefault="005F65CD" w:rsidP="005F65CD">
      <w:pPr>
        <w:numPr>
          <w:ilvl w:val="0"/>
          <w:numId w:val="118"/>
        </w:numPr>
        <w:rPr>
          <w:rFonts w:asciiTheme="minorHAnsi" w:hAnsiTheme="minorHAnsi"/>
          <w:szCs w:val="22"/>
        </w:rPr>
      </w:pPr>
      <w:r w:rsidRPr="005F65CD">
        <w:rPr>
          <w:rFonts w:asciiTheme="minorHAnsi" w:hAnsiTheme="minorHAnsi"/>
          <w:szCs w:val="22"/>
        </w:rPr>
        <w:t>Foundations for improvement largely in place</w:t>
      </w:r>
    </w:p>
    <w:p w14:paraId="0BB32AEE" w14:textId="77777777" w:rsidR="005F65CD" w:rsidRPr="005F65CD" w:rsidRDefault="005F65CD" w:rsidP="005F65CD">
      <w:pPr>
        <w:numPr>
          <w:ilvl w:val="0"/>
          <w:numId w:val="118"/>
        </w:numPr>
        <w:rPr>
          <w:rFonts w:asciiTheme="minorHAnsi" w:hAnsiTheme="minorHAnsi"/>
          <w:szCs w:val="22"/>
        </w:rPr>
      </w:pPr>
      <w:r w:rsidRPr="005F65CD">
        <w:rPr>
          <w:rFonts w:asciiTheme="minorHAnsi" w:hAnsiTheme="minorHAnsi"/>
          <w:szCs w:val="22"/>
        </w:rPr>
        <w:t>Reasonable assurance about the eleven ‘make safe’ recommendations</w:t>
      </w:r>
    </w:p>
    <w:p w14:paraId="7382A973" w14:textId="77777777" w:rsidR="005F65CD" w:rsidRPr="005F65CD" w:rsidRDefault="005F65CD" w:rsidP="005F65CD">
      <w:pPr>
        <w:numPr>
          <w:ilvl w:val="0"/>
          <w:numId w:val="118"/>
        </w:numPr>
        <w:rPr>
          <w:rFonts w:asciiTheme="minorHAnsi" w:hAnsiTheme="minorHAnsi"/>
          <w:szCs w:val="22"/>
        </w:rPr>
      </w:pPr>
      <w:r w:rsidRPr="005F65CD">
        <w:rPr>
          <w:rFonts w:asciiTheme="minorHAnsi" w:hAnsiTheme="minorHAnsi"/>
          <w:szCs w:val="22"/>
        </w:rPr>
        <w:t>The reconfiguration of services has been achieved without obvious negative consequence</w:t>
      </w:r>
    </w:p>
    <w:p w14:paraId="6CAECFE9" w14:textId="77777777" w:rsidR="001E2EB7" w:rsidRDefault="001E2EB7" w:rsidP="005F65CD">
      <w:pPr>
        <w:rPr>
          <w:rFonts w:asciiTheme="minorHAnsi" w:hAnsiTheme="minorHAnsi"/>
          <w:szCs w:val="22"/>
        </w:rPr>
      </w:pPr>
    </w:p>
    <w:p w14:paraId="76AB9B6F" w14:textId="69FB06E4" w:rsidR="005F65CD" w:rsidRPr="005F65CD" w:rsidRDefault="001E2EB7" w:rsidP="005F65CD">
      <w:pPr>
        <w:rPr>
          <w:rFonts w:asciiTheme="minorHAnsi" w:hAnsiTheme="minorHAnsi"/>
          <w:szCs w:val="22"/>
        </w:rPr>
      </w:pPr>
      <w:r>
        <w:rPr>
          <w:rFonts w:asciiTheme="minorHAnsi" w:hAnsiTheme="minorHAnsi"/>
          <w:szCs w:val="22"/>
        </w:rPr>
        <w:t xml:space="preserve">The </w:t>
      </w:r>
      <w:r w:rsidR="005F65CD" w:rsidRPr="005F65CD">
        <w:rPr>
          <w:rFonts w:asciiTheme="minorHAnsi" w:hAnsiTheme="minorHAnsi"/>
          <w:szCs w:val="22"/>
        </w:rPr>
        <w:t>CHC report August 2019 of 3 unannounced visits to PCH in June and July 2019</w:t>
      </w:r>
      <w:r>
        <w:rPr>
          <w:rFonts w:asciiTheme="minorHAnsi" w:hAnsiTheme="minorHAnsi"/>
          <w:szCs w:val="22"/>
        </w:rPr>
        <w:t xml:space="preserve"> noted:</w:t>
      </w:r>
    </w:p>
    <w:p w14:paraId="3076D880" w14:textId="77777777" w:rsidR="005F65CD" w:rsidRPr="005F65CD" w:rsidRDefault="005F65CD" w:rsidP="005F65CD">
      <w:pPr>
        <w:rPr>
          <w:rFonts w:asciiTheme="minorHAnsi" w:hAnsiTheme="minorHAnsi"/>
          <w:szCs w:val="22"/>
        </w:rPr>
      </w:pPr>
    </w:p>
    <w:p w14:paraId="5A5C84FC" w14:textId="77777777" w:rsidR="005F65CD" w:rsidRPr="005F65CD" w:rsidRDefault="005F65CD" w:rsidP="005F65CD">
      <w:pPr>
        <w:numPr>
          <w:ilvl w:val="0"/>
          <w:numId w:val="119"/>
        </w:numPr>
        <w:rPr>
          <w:rFonts w:asciiTheme="minorHAnsi" w:hAnsiTheme="minorHAnsi"/>
          <w:szCs w:val="22"/>
        </w:rPr>
      </w:pPr>
      <w:r w:rsidRPr="005F65CD">
        <w:rPr>
          <w:rFonts w:asciiTheme="minorHAnsi" w:hAnsiTheme="minorHAnsi"/>
          <w:szCs w:val="22"/>
        </w:rPr>
        <w:t>Women reporting generally good experience of care but mixed picture in terms of staff morale</w:t>
      </w:r>
    </w:p>
    <w:p w14:paraId="5E44525C" w14:textId="77777777" w:rsidR="001E2EB7" w:rsidRDefault="001E2EB7" w:rsidP="005F65CD">
      <w:pPr>
        <w:rPr>
          <w:rFonts w:asciiTheme="minorHAnsi" w:hAnsiTheme="minorHAnsi"/>
          <w:szCs w:val="22"/>
        </w:rPr>
      </w:pPr>
    </w:p>
    <w:p w14:paraId="2A669343" w14:textId="77777777" w:rsidR="005F65CD" w:rsidRPr="005F65CD" w:rsidRDefault="005F65CD" w:rsidP="005F65CD">
      <w:pPr>
        <w:rPr>
          <w:rFonts w:asciiTheme="minorHAnsi" w:hAnsiTheme="minorHAnsi"/>
          <w:szCs w:val="22"/>
        </w:rPr>
      </w:pPr>
      <w:r w:rsidRPr="005F65CD">
        <w:rPr>
          <w:rFonts w:asciiTheme="minorHAnsi" w:hAnsiTheme="minorHAnsi"/>
          <w:szCs w:val="22"/>
        </w:rPr>
        <w:t>Health Inspectorate Wales (HIW) inspections of RGH September 2019 – teams congratulated for significant improvements to staff morale, culture environment and women’s experience</w:t>
      </w:r>
    </w:p>
    <w:p w14:paraId="7E188516" w14:textId="77777777" w:rsidR="001E2EB7" w:rsidRDefault="001E2EB7" w:rsidP="005F65CD">
      <w:pPr>
        <w:rPr>
          <w:rFonts w:asciiTheme="minorHAnsi" w:hAnsiTheme="minorHAnsi"/>
          <w:szCs w:val="22"/>
        </w:rPr>
      </w:pPr>
    </w:p>
    <w:p w14:paraId="3C2C3167" w14:textId="77777777" w:rsidR="005F65CD" w:rsidRPr="005F65CD" w:rsidRDefault="005F65CD" w:rsidP="005F65CD">
      <w:pPr>
        <w:rPr>
          <w:rFonts w:asciiTheme="minorHAnsi" w:hAnsiTheme="minorHAnsi"/>
          <w:szCs w:val="22"/>
        </w:rPr>
      </w:pPr>
      <w:r w:rsidRPr="005F65CD">
        <w:rPr>
          <w:rFonts w:asciiTheme="minorHAnsi" w:hAnsiTheme="minorHAnsi"/>
          <w:szCs w:val="22"/>
        </w:rPr>
        <w:t>Health Education and Improvement Wales (HEIW) October 2019 – a really positive training experience for medical trainees. ‘Teaching was described as brilliant’.</w:t>
      </w:r>
    </w:p>
    <w:p w14:paraId="067021E0" w14:textId="77777777" w:rsidR="005F65CD" w:rsidRDefault="005F65CD" w:rsidP="005F65CD">
      <w:pPr>
        <w:rPr>
          <w:rFonts w:asciiTheme="minorHAnsi" w:hAnsiTheme="minorHAnsi"/>
          <w:szCs w:val="22"/>
        </w:rPr>
      </w:pPr>
    </w:p>
    <w:p w14:paraId="0DB68BE4" w14:textId="77777777" w:rsidR="001E2EB7" w:rsidRDefault="001E2EB7" w:rsidP="005F65CD">
      <w:pPr>
        <w:rPr>
          <w:rFonts w:asciiTheme="minorHAnsi" w:hAnsiTheme="minorHAnsi"/>
          <w:szCs w:val="22"/>
        </w:rPr>
      </w:pPr>
    </w:p>
    <w:p w14:paraId="2F2156B6" w14:textId="77777777" w:rsidR="001E2EB7" w:rsidRPr="005F65CD" w:rsidRDefault="001E2EB7" w:rsidP="005F65CD">
      <w:pPr>
        <w:rPr>
          <w:rFonts w:asciiTheme="minorHAnsi" w:hAnsiTheme="minorHAnsi"/>
          <w:szCs w:val="22"/>
        </w:rPr>
      </w:pPr>
    </w:p>
    <w:p w14:paraId="16D03F9B" w14:textId="77777777" w:rsidR="005F65CD" w:rsidRPr="005F65CD" w:rsidRDefault="005F65CD" w:rsidP="005F65CD">
      <w:pPr>
        <w:rPr>
          <w:rFonts w:asciiTheme="minorHAnsi" w:hAnsiTheme="minorHAnsi"/>
          <w:b/>
          <w:bCs/>
          <w:szCs w:val="22"/>
        </w:rPr>
      </w:pPr>
      <w:r w:rsidRPr="005F65CD">
        <w:rPr>
          <w:rFonts w:asciiTheme="minorHAnsi" w:hAnsiTheme="minorHAnsi"/>
          <w:b/>
          <w:bCs/>
          <w:szCs w:val="22"/>
        </w:rPr>
        <w:t>Moving forward and key milestones for the coming year:</w:t>
      </w:r>
    </w:p>
    <w:p w14:paraId="4E24DDBF" w14:textId="77777777" w:rsidR="005F65CD" w:rsidRPr="005F65CD" w:rsidRDefault="005F65CD" w:rsidP="005F65CD">
      <w:pPr>
        <w:rPr>
          <w:rFonts w:asciiTheme="minorHAnsi" w:hAnsiTheme="minorHAnsi"/>
          <w:b/>
          <w:bCs/>
          <w:szCs w:val="22"/>
        </w:rPr>
      </w:pPr>
    </w:p>
    <w:p w14:paraId="775BCA51" w14:textId="4F69B30D" w:rsidR="005F65CD" w:rsidRPr="005F65CD" w:rsidRDefault="005F65CD" w:rsidP="005F65CD">
      <w:pPr>
        <w:rPr>
          <w:rFonts w:asciiTheme="minorHAnsi" w:hAnsiTheme="minorHAnsi"/>
          <w:szCs w:val="22"/>
        </w:rPr>
      </w:pPr>
      <w:r w:rsidRPr="005F65CD">
        <w:rPr>
          <w:rFonts w:asciiTheme="minorHAnsi" w:hAnsiTheme="minorHAnsi"/>
          <w:szCs w:val="22"/>
        </w:rPr>
        <w:t>We are aware that there are still areas for development and ongoing improvement</w:t>
      </w:r>
      <w:r w:rsidR="001E2EB7">
        <w:rPr>
          <w:rFonts w:asciiTheme="minorHAnsi" w:hAnsiTheme="minorHAnsi"/>
          <w:szCs w:val="22"/>
        </w:rPr>
        <w:t xml:space="preserve"> and </w:t>
      </w:r>
      <w:r w:rsidRPr="005F65CD">
        <w:rPr>
          <w:rFonts w:asciiTheme="minorHAnsi" w:hAnsiTheme="minorHAnsi"/>
          <w:szCs w:val="22"/>
        </w:rPr>
        <w:t xml:space="preserve">over the next year the UHB and Directorate of Obstetrics and Gynaecology service will aim to continue to further learn from the engagement work we have committed to, and further implement the recommendations </w:t>
      </w:r>
      <w:r w:rsidR="001E2EB7">
        <w:rPr>
          <w:rFonts w:asciiTheme="minorHAnsi" w:hAnsiTheme="minorHAnsi"/>
          <w:szCs w:val="22"/>
        </w:rPr>
        <w:t xml:space="preserve"> made</w:t>
      </w:r>
      <w:r w:rsidRPr="005F65CD">
        <w:rPr>
          <w:rFonts w:asciiTheme="minorHAnsi" w:hAnsiTheme="minorHAnsi"/>
          <w:szCs w:val="22"/>
        </w:rPr>
        <w:t>. Key milestones will be:</w:t>
      </w:r>
    </w:p>
    <w:p w14:paraId="176D6EC7" w14:textId="77777777" w:rsidR="005F65CD" w:rsidRPr="005F65CD" w:rsidRDefault="005F65CD" w:rsidP="005F65CD">
      <w:pPr>
        <w:rPr>
          <w:rFonts w:asciiTheme="minorHAnsi" w:hAnsiTheme="minorHAnsi"/>
          <w:szCs w:val="22"/>
        </w:rPr>
      </w:pPr>
    </w:p>
    <w:p w14:paraId="5C3F8AC1" w14:textId="0ECFC285" w:rsidR="005F65CD" w:rsidRPr="005F65CD" w:rsidRDefault="005F65CD" w:rsidP="005F65CD">
      <w:pPr>
        <w:numPr>
          <w:ilvl w:val="0"/>
          <w:numId w:val="119"/>
        </w:numPr>
        <w:rPr>
          <w:rFonts w:asciiTheme="minorHAnsi" w:hAnsiTheme="minorHAnsi"/>
          <w:szCs w:val="22"/>
        </w:rPr>
      </w:pPr>
      <w:r w:rsidRPr="005F65CD">
        <w:rPr>
          <w:rFonts w:asciiTheme="minorHAnsi" w:hAnsiTheme="minorHAnsi"/>
          <w:szCs w:val="22"/>
        </w:rPr>
        <w:t xml:space="preserve">Working on sustainable improvement on themes from women at PCH – </w:t>
      </w:r>
      <w:r w:rsidR="001E2EB7">
        <w:rPr>
          <w:rFonts w:asciiTheme="minorHAnsi" w:hAnsiTheme="minorHAnsi"/>
          <w:szCs w:val="22"/>
        </w:rPr>
        <w:t xml:space="preserve">eg </w:t>
      </w:r>
      <w:r w:rsidRPr="005F65CD">
        <w:rPr>
          <w:rFonts w:asciiTheme="minorHAnsi" w:hAnsiTheme="minorHAnsi"/>
          <w:szCs w:val="22"/>
        </w:rPr>
        <w:t>timely analgesia</w:t>
      </w:r>
    </w:p>
    <w:p w14:paraId="0CBAEC60" w14:textId="53662D40" w:rsidR="005F65CD" w:rsidRPr="005F65CD" w:rsidRDefault="005F65CD" w:rsidP="005F65CD">
      <w:pPr>
        <w:numPr>
          <w:ilvl w:val="0"/>
          <w:numId w:val="119"/>
        </w:numPr>
        <w:rPr>
          <w:rFonts w:asciiTheme="minorHAnsi" w:hAnsiTheme="minorHAnsi"/>
          <w:szCs w:val="22"/>
        </w:rPr>
      </w:pPr>
      <w:r w:rsidRPr="005F65CD">
        <w:rPr>
          <w:rFonts w:asciiTheme="minorHAnsi" w:hAnsiTheme="minorHAnsi"/>
          <w:szCs w:val="22"/>
        </w:rPr>
        <w:t>Continue to improve complain</w:t>
      </w:r>
      <w:r w:rsidR="001E2EB7">
        <w:rPr>
          <w:rFonts w:asciiTheme="minorHAnsi" w:hAnsiTheme="minorHAnsi"/>
          <w:szCs w:val="22"/>
        </w:rPr>
        <w:t>t</w:t>
      </w:r>
      <w:r w:rsidRPr="005F65CD">
        <w:rPr>
          <w:rFonts w:asciiTheme="minorHAnsi" w:hAnsiTheme="minorHAnsi"/>
          <w:szCs w:val="22"/>
        </w:rPr>
        <w:t xml:space="preserve"> response times and experience</w:t>
      </w:r>
    </w:p>
    <w:p w14:paraId="7A0AE5AE" w14:textId="77777777" w:rsidR="005F65CD" w:rsidRPr="005F65CD" w:rsidRDefault="005F65CD" w:rsidP="005F65CD">
      <w:pPr>
        <w:numPr>
          <w:ilvl w:val="0"/>
          <w:numId w:val="119"/>
        </w:numPr>
        <w:rPr>
          <w:rFonts w:asciiTheme="minorHAnsi" w:hAnsiTheme="minorHAnsi"/>
          <w:szCs w:val="22"/>
        </w:rPr>
      </w:pPr>
      <w:r w:rsidRPr="005F65CD">
        <w:rPr>
          <w:rFonts w:asciiTheme="minorHAnsi" w:hAnsiTheme="minorHAnsi"/>
          <w:szCs w:val="22"/>
        </w:rPr>
        <w:t>Improvement plan focussing on moving from ‘early progress’ through to ‘results’ phase in the maturity matrix</w:t>
      </w:r>
    </w:p>
    <w:p w14:paraId="0F1A3701" w14:textId="77777777" w:rsidR="005F65CD" w:rsidRPr="005F65CD" w:rsidRDefault="005F65CD" w:rsidP="005F65CD">
      <w:pPr>
        <w:numPr>
          <w:ilvl w:val="0"/>
          <w:numId w:val="119"/>
        </w:numPr>
        <w:rPr>
          <w:rFonts w:asciiTheme="minorHAnsi" w:hAnsiTheme="minorHAnsi"/>
          <w:szCs w:val="22"/>
        </w:rPr>
      </w:pPr>
      <w:r w:rsidRPr="005F65CD">
        <w:rPr>
          <w:rFonts w:asciiTheme="minorHAnsi" w:hAnsiTheme="minorHAnsi"/>
          <w:szCs w:val="22"/>
        </w:rPr>
        <w:t>Focus on working in partnership with staff, women and families and other stakeholders to drive sustained improvement</w:t>
      </w:r>
    </w:p>
    <w:p w14:paraId="7BBCDF53" w14:textId="77777777" w:rsidR="005F65CD" w:rsidRPr="005F65CD" w:rsidRDefault="005F65CD" w:rsidP="005F65CD">
      <w:pPr>
        <w:numPr>
          <w:ilvl w:val="0"/>
          <w:numId w:val="119"/>
        </w:numPr>
        <w:rPr>
          <w:rFonts w:asciiTheme="minorHAnsi" w:hAnsiTheme="minorHAnsi"/>
          <w:szCs w:val="22"/>
        </w:rPr>
      </w:pPr>
      <w:r w:rsidRPr="005F65CD">
        <w:rPr>
          <w:rFonts w:asciiTheme="minorHAnsi" w:hAnsiTheme="minorHAnsi"/>
          <w:szCs w:val="22"/>
        </w:rPr>
        <w:t>Improvement through the lens of Values and Behaviours</w:t>
      </w:r>
    </w:p>
    <w:p w14:paraId="17D07BAD" w14:textId="77777777" w:rsidR="005F65CD" w:rsidRPr="005F65CD" w:rsidRDefault="005F65CD" w:rsidP="005F65CD">
      <w:pPr>
        <w:numPr>
          <w:ilvl w:val="0"/>
          <w:numId w:val="119"/>
        </w:numPr>
        <w:rPr>
          <w:rFonts w:asciiTheme="minorHAnsi" w:hAnsiTheme="minorHAnsi"/>
          <w:szCs w:val="22"/>
        </w:rPr>
      </w:pPr>
      <w:r w:rsidRPr="005F65CD">
        <w:rPr>
          <w:rFonts w:asciiTheme="minorHAnsi" w:hAnsiTheme="minorHAnsi"/>
          <w:szCs w:val="22"/>
        </w:rPr>
        <w:t>Engagement and completion of our maternity vision and strategy</w:t>
      </w:r>
    </w:p>
    <w:p w14:paraId="5A2EC5FB" w14:textId="77777777" w:rsidR="005F65CD" w:rsidRPr="009A51C4" w:rsidRDefault="005F65CD" w:rsidP="00DE3193">
      <w:pPr>
        <w:rPr>
          <w:rFonts w:asciiTheme="minorHAnsi" w:hAnsiTheme="minorHAnsi"/>
          <w:szCs w:val="22"/>
        </w:rPr>
      </w:pPr>
    </w:p>
    <w:p w14:paraId="33F594B1" w14:textId="77777777" w:rsidR="00DE3193" w:rsidRPr="009A51C4" w:rsidRDefault="00DE3193" w:rsidP="00DE3193">
      <w:pPr>
        <w:rPr>
          <w:rFonts w:asciiTheme="minorHAnsi" w:hAnsiTheme="minorHAnsi"/>
          <w:szCs w:val="22"/>
        </w:rPr>
      </w:pPr>
    </w:p>
    <w:p w14:paraId="5E3BDC26" w14:textId="77777777" w:rsidR="00DE3193" w:rsidRPr="00DE3193" w:rsidRDefault="00DE3193" w:rsidP="00BB7B73">
      <w:pPr>
        <w:pStyle w:val="Heading4"/>
      </w:pPr>
      <w:r w:rsidRPr="00DE3193">
        <w:t>Gynaecology Services</w:t>
      </w:r>
    </w:p>
    <w:p w14:paraId="3979873B" w14:textId="0685F712" w:rsidR="00DE3193" w:rsidRPr="00F23324" w:rsidRDefault="00DE3193" w:rsidP="00DE3193">
      <w:pPr>
        <w:rPr>
          <w:rFonts w:asciiTheme="minorHAnsi" w:hAnsiTheme="minorHAnsi"/>
          <w:szCs w:val="22"/>
        </w:rPr>
      </w:pPr>
      <w:r w:rsidRPr="00F23324">
        <w:rPr>
          <w:rFonts w:asciiTheme="minorHAnsi" w:hAnsiTheme="minorHAnsi"/>
          <w:szCs w:val="22"/>
        </w:rPr>
        <w:t xml:space="preserve">Following the implementation of the </w:t>
      </w:r>
      <w:r w:rsidR="00A554B9">
        <w:rPr>
          <w:rFonts w:asciiTheme="minorHAnsi" w:hAnsiTheme="minorHAnsi"/>
          <w:szCs w:val="22"/>
        </w:rPr>
        <w:t>SWP</w:t>
      </w:r>
      <w:r w:rsidRPr="00F23324">
        <w:rPr>
          <w:rFonts w:asciiTheme="minorHAnsi" w:hAnsiTheme="minorHAnsi"/>
          <w:szCs w:val="22"/>
        </w:rPr>
        <w:t xml:space="preserve">, gynaecology services are now provided in a different way across </w:t>
      </w:r>
      <w:r>
        <w:rPr>
          <w:rFonts w:asciiTheme="minorHAnsi" w:hAnsiTheme="minorHAnsi"/>
          <w:szCs w:val="22"/>
        </w:rPr>
        <w:t xml:space="preserve">the </w:t>
      </w:r>
      <w:r w:rsidR="00F02FB0">
        <w:rPr>
          <w:rFonts w:asciiTheme="minorHAnsi" w:hAnsiTheme="minorHAnsi"/>
          <w:szCs w:val="22"/>
        </w:rPr>
        <w:t>UHB</w:t>
      </w:r>
      <w:r w:rsidRPr="00F23324">
        <w:rPr>
          <w:rFonts w:asciiTheme="minorHAnsi" w:hAnsiTheme="minorHAnsi"/>
          <w:szCs w:val="22"/>
        </w:rPr>
        <w:t xml:space="preserve">.  </w:t>
      </w:r>
    </w:p>
    <w:p w14:paraId="0645ABB8" w14:textId="77777777" w:rsidR="00DE3193" w:rsidRPr="00F23324" w:rsidRDefault="00DE3193" w:rsidP="00DE3193">
      <w:pPr>
        <w:rPr>
          <w:rFonts w:asciiTheme="minorHAnsi" w:hAnsiTheme="minorHAnsi"/>
          <w:szCs w:val="22"/>
        </w:rPr>
      </w:pPr>
    </w:p>
    <w:p w14:paraId="39D957AF" w14:textId="0972DB32" w:rsidR="00DE3193" w:rsidRPr="00F23324" w:rsidRDefault="00DE3193" w:rsidP="00DE3193">
      <w:pPr>
        <w:rPr>
          <w:rFonts w:asciiTheme="minorHAnsi" w:hAnsiTheme="minorHAnsi"/>
          <w:szCs w:val="22"/>
        </w:rPr>
      </w:pPr>
      <w:r w:rsidRPr="00F23324">
        <w:rPr>
          <w:rFonts w:asciiTheme="minorHAnsi" w:hAnsiTheme="minorHAnsi"/>
          <w:szCs w:val="22"/>
        </w:rPr>
        <w:t>A Gynae</w:t>
      </w:r>
      <w:r>
        <w:rPr>
          <w:rFonts w:asciiTheme="minorHAnsi" w:hAnsiTheme="minorHAnsi"/>
          <w:szCs w:val="22"/>
        </w:rPr>
        <w:t>cology</w:t>
      </w:r>
      <w:r w:rsidRPr="00F23324">
        <w:rPr>
          <w:rFonts w:asciiTheme="minorHAnsi" w:hAnsiTheme="minorHAnsi"/>
          <w:szCs w:val="22"/>
        </w:rPr>
        <w:t xml:space="preserve"> Day Assessment Unit (GDAU) with Early Pregnancy Unit (EPU) has been established on the</w:t>
      </w:r>
      <w:r>
        <w:rPr>
          <w:rFonts w:asciiTheme="minorHAnsi" w:hAnsiTheme="minorHAnsi"/>
          <w:szCs w:val="22"/>
        </w:rPr>
        <w:t xml:space="preserve"> </w:t>
      </w:r>
      <w:r w:rsidR="00C52023">
        <w:rPr>
          <w:rFonts w:asciiTheme="minorHAnsi" w:hAnsiTheme="minorHAnsi"/>
          <w:szCs w:val="22"/>
        </w:rPr>
        <w:t>RGH</w:t>
      </w:r>
      <w:r w:rsidRPr="00F23324">
        <w:rPr>
          <w:rFonts w:asciiTheme="minorHAnsi" w:hAnsiTheme="minorHAnsi"/>
          <w:szCs w:val="22"/>
        </w:rPr>
        <w:t xml:space="preserve"> site.</w:t>
      </w:r>
      <w:r w:rsidR="00F02FB0">
        <w:rPr>
          <w:rFonts w:asciiTheme="minorHAnsi" w:hAnsiTheme="minorHAnsi"/>
          <w:szCs w:val="22"/>
        </w:rPr>
        <w:t xml:space="preserve"> </w:t>
      </w:r>
      <w:r w:rsidRPr="00F23324">
        <w:rPr>
          <w:rFonts w:asciiTheme="minorHAnsi" w:hAnsiTheme="minorHAnsi"/>
          <w:szCs w:val="22"/>
        </w:rPr>
        <w:t xml:space="preserve"> The GDAU and EPU provide consultant led services throughout the day</w:t>
      </w:r>
      <w:r>
        <w:rPr>
          <w:rFonts w:asciiTheme="minorHAnsi" w:hAnsiTheme="minorHAnsi"/>
          <w:szCs w:val="22"/>
        </w:rPr>
        <w:t xml:space="preserve">, </w:t>
      </w:r>
      <w:r w:rsidRPr="00F23324">
        <w:rPr>
          <w:rFonts w:asciiTheme="minorHAnsi" w:hAnsiTheme="minorHAnsi"/>
          <w:szCs w:val="22"/>
        </w:rPr>
        <w:t>responding to the h</w:t>
      </w:r>
      <w:r>
        <w:rPr>
          <w:rFonts w:asciiTheme="minorHAnsi" w:hAnsiTheme="minorHAnsi"/>
          <w:szCs w:val="22"/>
        </w:rPr>
        <w:t>ealth needs of our women.  Also</w:t>
      </w:r>
      <w:r w:rsidRPr="00F23324">
        <w:rPr>
          <w:rFonts w:asciiTheme="minorHAnsi" w:hAnsiTheme="minorHAnsi"/>
          <w:szCs w:val="22"/>
        </w:rPr>
        <w:t xml:space="preserve"> nurse led clinics run from the GDAU allow for waiting times to be further reduced. </w:t>
      </w:r>
      <w:r w:rsidR="00F02FB0">
        <w:rPr>
          <w:rFonts w:asciiTheme="minorHAnsi" w:hAnsiTheme="minorHAnsi"/>
          <w:szCs w:val="22"/>
        </w:rPr>
        <w:t xml:space="preserve"> </w:t>
      </w:r>
      <w:r w:rsidRPr="00F23324">
        <w:rPr>
          <w:rFonts w:asciiTheme="minorHAnsi" w:hAnsiTheme="minorHAnsi"/>
          <w:szCs w:val="22"/>
        </w:rPr>
        <w:t xml:space="preserve">Additional work is being undertaken to review the clinical model in the GDAU to scope the potential for  other services to be provided from there in the future such as nurse led pessary clinics.  </w:t>
      </w:r>
    </w:p>
    <w:p w14:paraId="6205A3FF" w14:textId="77777777" w:rsidR="00DE3193" w:rsidRPr="00F23324" w:rsidRDefault="00DE3193" w:rsidP="00DE3193">
      <w:pPr>
        <w:rPr>
          <w:rFonts w:asciiTheme="minorHAnsi" w:hAnsiTheme="minorHAnsi"/>
          <w:szCs w:val="22"/>
        </w:rPr>
      </w:pPr>
    </w:p>
    <w:p w14:paraId="0D715C29" w14:textId="1FB9A581" w:rsidR="00DE3193" w:rsidRPr="00F23324" w:rsidRDefault="00DE3193" w:rsidP="00DE3193">
      <w:pPr>
        <w:rPr>
          <w:rFonts w:asciiTheme="minorHAnsi" w:hAnsiTheme="minorHAnsi"/>
          <w:szCs w:val="22"/>
        </w:rPr>
      </w:pPr>
      <w:r w:rsidRPr="00F23324">
        <w:rPr>
          <w:rFonts w:asciiTheme="minorHAnsi" w:hAnsiTheme="minorHAnsi"/>
          <w:szCs w:val="22"/>
        </w:rPr>
        <w:t xml:space="preserve">The GDAU’s in </w:t>
      </w:r>
      <w:r w:rsidR="00C52023">
        <w:rPr>
          <w:rFonts w:asciiTheme="minorHAnsi" w:hAnsiTheme="minorHAnsi"/>
          <w:szCs w:val="22"/>
        </w:rPr>
        <w:t>PCH</w:t>
      </w:r>
      <w:r>
        <w:rPr>
          <w:rFonts w:asciiTheme="minorHAnsi" w:hAnsiTheme="minorHAnsi"/>
          <w:szCs w:val="22"/>
        </w:rPr>
        <w:t xml:space="preserve"> and </w:t>
      </w:r>
      <w:r w:rsidR="00E32360">
        <w:rPr>
          <w:rFonts w:asciiTheme="minorHAnsi" w:hAnsiTheme="minorHAnsi"/>
          <w:szCs w:val="22"/>
        </w:rPr>
        <w:t>POWH</w:t>
      </w:r>
      <w:r w:rsidR="00C52023">
        <w:rPr>
          <w:rFonts w:asciiTheme="minorHAnsi" w:hAnsiTheme="minorHAnsi"/>
          <w:szCs w:val="22"/>
        </w:rPr>
        <w:t xml:space="preserve"> </w:t>
      </w:r>
      <w:r w:rsidRPr="00F23324">
        <w:rPr>
          <w:rFonts w:asciiTheme="minorHAnsi" w:hAnsiTheme="minorHAnsi"/>
          <w:szCs w:val="22"/>
        </w:rPr>
        <w:t xml:space="preserve">are currently under review to ensure consistent services are provided across </w:t>
      </w:r>
      <w:r>
        <w:rPr>
          <w:rFonts w:asciiTheme="minorHAnsi" w:hAnsiTheme="minorHAnsi"/>
          <w:szCs w:val="22"/>
        </w:rPr>
        <w:t xml:space="preserve">the </w:t>
      </w:r>
      <w:r w:rsidR="007501B6">
        <w:rPr>
          <w:rFonts w:asciiTheme="minorHAnsi" w:hAnsiTheme="minorHAnsi"/>
          <w:szCs w:val="22"/>
        </w:rPr>
        <w:t xml:space="preserve">UHB </w:t>
      </w:r>
      <w:r w:rsidRPr="00F23324">
        <w:rPr>
          <w:rFonts w:asciiTheme="minorHAnsi" w:hAnsiTheme="minorHAnsi"/>
          <w:szCs w:val="22"/>
        </w:rPr>
        <w:t>with the additional aim of improving flow through the sites.</w:t>
      </w:r>
    </w:p>
    <w:p w14:paraId="50E9414C" w14:textId="045C80FD" w:rsidR="00DE3193" w:rsidRPr="00F23324" w:rsidRDefault="00DE3193" w:rsidP="00DE3193">
      <w:pPr>
        <w:rPr>
          <w:rFonts w:asciiTheme="minorHAnsi" w:hAnsiTheme="minorHAnsi"/>
          <w:szCs w:val="22"/>
        </w:rPr>
      </w:pPr>
    </w:p>
    <w:p w14:paraId="1F7AE77D" w14:textId="6FEA3A29" w:rsidR="00DE3193" w:rsidRDefault="00DE3193" w:rsidP="00DE3193">
      <w:pPr>
        <w:rPr>
          <w:rFonts w:asciiTheme="minorHAnsi" w:hAnsiTheme="minorHAnsi"/>
          <w:szCs w:val="22"/>
        </w:rPr>
      </w:pPr>
      <w:r w:rsidRPr="00F23324">
        <w:rPr>
          <w:rFonts w:asciiTheme="minorHAnsi" w:hAnsiTheme="minorHAnsi"/>
          <w:szCs w:val="22"/>
        </w:rPr>
        <w:t xml:space="preserve">Theatre availability continues to be a concern </w:t>
      </w:r>
      <w:r>
        <w:rPr>
          <w:rFonts w:asciiTheme="minorHAnsi" w:hAnsiTheme="minorHAnsi"/>
          <w:szCs w:val="22"/>
        </w:rPr>
        <w:t xml:space="preserve">in </w:t>
      </w:r>
      <w:r w:rsidR="00C52023">
        <w:rPr>
          <w:rFonts w:asciiTheme="minorHAnsi" w:hAnsiTheme="minorHAnsi"/>
          <w:szCs w:val="22"/>
        </w:rPr>
        <w:t>PCH</w:t>
      </w:r>
      <w:r>
        <w:rPr>
          <w:rFonts w:asciiTheme="minorHAnsi" w:hAnsiTheme="minorHAnsi"/>
          <w:szCs w:val="22"/>
        </w:rPr>
        <w:t xml:space="preserve">, </w:t>
      </w:r>
      <w:r w:rsidR="00E32360">
        <w:rPr>
          <w:rFonts w:asciiTheme="minorHAnsi" w:hAnsiTheme="minorHAnsi"/>
          <w:szCs w:val="22"/>
        </w:rPr>
        <w:t>POWH</w:t>
      </w:r>
      <w:r>
        <w:rPr>
          <w:rFonts w:asciiTheme="minorHAnsi" w:hAnsiTheme="minorHAnsi"/>
          <w:szCs w:val="22"/>
        </w:rPr>
        <w:t xml:space="preserve"> and </w:t>
      </w:r>
      <w:r w:rsidR="00C52023">
        <w:rPr>
          <w:rFonts w:asciiTheme="minorHAnsi" w:hAnsiTheme="minorHAnsi"/>
          <w:szCs w:val="22"/>
        </w:rPr>
        <w:t>RGH</w:t>
      </w:r>
      <w:r>
        <w:rPr>
          <w:rFonts w:asciiTheme="minorHAnsi" w:hAnsiTheme="minorHAnsi"/>
          <w:szCs w:val="22"/>
        </w:rPr>
        <w:t xml:space="preserve"> and </w:t>
      </w:r>
      <w:r w:rsidRPr="00F23324">
        <w:rPr>
          <w:rFonts w:asciiTheme="minorHAnsi" w:hAnsiTheme="minorHAnsi"/>
          <w:szCs w:val="22"/>
        </w:rPr>
        <w:t xml:space="preserve">while significant improvements in </w:t>
      </w:r>
      <w:r w:rsidR="002C4B27">
        <w:rPr>
          <w:rFonts w:asciiTheme="minorHAnsi" w:hAnsiTheme="minorHAnsi"/>
          <w:szCs w:val="22"/>
        </w:rPr>
        <w:t>RTT</w:t>
      </w:r>
      <w:r w:rsidRPr="00F23324">
        <w:rPr>
          <w:rFonts w:asciiTheme="minorHAnsi" w:hAnsiTheme="minorHAnsi"/>
          <w:szCs w:val="22"/>
        </w:rPr>
        <w:t xml:space="preserve"> have been seen there is still more to be done. </w:t>
      </w:r>
      <w:r w:rsidR="002C4B27">
        <w:rPr>
          <w:rFonts w:asciiTheme="minorHAnsi" w:hAnsiTheme="minorHAnsi"/>
          <w:szCs w:val="22"/>
        </w:rPr>
        <w:t xml:space="preserve"> </w:t>
      </w:r>
      <w:r w:rsidRPr="00F23324">
        <w:rPr>
          <w:rFonts w:asciiTheme="minorHAnsi" w:hAnsiTheme="minorHAnsi"/>
          <w:szCs w:val="22"/>
        </w:rPr>
        <w:t>The business case for outpatient hysteroscopy has been updated recently and shows the benefits of moving this service to outpatients rather than undertaking them in main theatres.</w:t>
      </w:r>
      <w:r w:rsidR="002C4B27">
        <w:rPr>
          <w:rFonts w:asciiTheme="minorHAnsi" w:hAnsiTheme="minorHAnsi"/>
          <w:szCs w:val="22"/>
        </w:rPr>
        <w:t xml:space="preserve"> </w:t>
      </w:r>
      <w:r w:rsidRPr="00F23324">
        <w:rPr>
          <w:rFonts w:asciiTheme="minorHAnsi" w:hAnsiTheme="minorHAnsi"/>
          <w:szCs w:val="22"/>
        </w:rPr>
        <w:t xml:space="preserve"> In many cases an outpatient setting is preferred by women and this change will release inpatient capacity helping to improve waiting times. </w:t>
      </w:r>
      <w:r w:rsidR="002C4B27">
        <w:rPr>
          <w:rFonts w:asciiTheme="minorHAnsi" w:hAnsiTheme="minorHAnsi"/>
          <w:szCs w:val="22"/>
        </w:rPr>
        <w:t xml:space="preserve"> </w:t>
      </w:r>
      <w:r w:rsidRPr="00F23324">
        <w:rPr>
          <w:rFonts w:asciiTheme="minorHAnsi" w:hAnsiTheme="minorHAnsi"/>
          <w:szCs w:val="22"/>
        </w:rPr>
        <w:t xml:space="preserve">Further work will now be undertaken to incorporate the </w:t>
      </w:r>
      <w:r w:rsidR="00E32360">
        <w:rPr>
          <w:rFonts w:asciiTheme="minorHAnsi" w:hAnsiTheme="minorHAnsi"/>
          <w:szCs w:val="22"/>
        </w:rPr>
        <w:t>POWH</w:t>
      </w:r>
      <w:r w:rsidR="00C52023">
        <w:rPr>
          <w:rFonts w:asciiTheme="minorHAnsi" w:hAnsiTheme="minorHAnsi"/>
          <w:szCs w:val="22"/>
        </w:rPr>
        <w:t xml:space="preserve"> </w:t>
      </w:r>
      <w:r w:rsidRPr="00F23324">
        <w:rPr>
          <w:rFonts w:asciiTheme="minorHAnsi" w:hAnsiTheme="minorHAnsi"/>
          <w:szCs w:val="22"/>
        </w:rPr>
        <w:t xml:space="preserve">service into future service plans to ensure consistency and equity across </w:t>
      </w:r>
      <w:r>
        <w:rPr>
          <w:rFonts w:asciiTheme="minorHAnsi" w:hAnsiTheme="minorHAnsi"/>
          <w:szCs w:val="22"/>
        </w:rPr>
        <w:t xml:space="preserve">the </w:t>
      </w:r>
      <w:r w:rsidR="00BC6338">
        <w:rPr>
          <w:rFonts w:asciiTheme="minorHAnsi" w:hAnsiTheme="minorHAnsi"/>
          <w:szCs w:val="22"/>
        </w:rPr>
        <w:t>UHB.</w:t>
      </w:r>
    </w:p>
    <w:p w14:paraId="758CBF45" w14:textId="77777777" w:rsidR="00BC6338" w:rsidRPr="00F23324" w:rsidRDefault="00BC6338" w:rsidP="00DE3193">
      <w:pPr>
        <w:rPr>
          <w:rFonts w:asciiTheme="minorHAnsi" w:hAnsiTheme="minorHAnsi"/>
          <w:szCs w:val="22"/>
        </w:rPr>
      </w:pPr>
    </w:p>
    <w:p w14:paraId="5EA83A00" w14:textId="2E000D17" w:rsidR="00E40DAD" w:rsidRDefault="00B04DCB" w:rsidP="00BC6338">
      <w:pPr>
        <w:rPr>
          <w:rFonts w:asciiTheme="minorHAnsi" w:hAnsiTheme="minorHAnsi"/>
          <w:b/>
          <w:szCs w:val="22"/>
        </w:rPr>
      </w:pPr>
      <w:r w:rsidRPr="00DE3193">
        <w:rPr>
          <w:rFonts w:asciiTheme="minorHAnsi" w:hAnsiTheme="minorHAnsi"/>
          <w:b/>
          <w:noProof/>
          <w:szCs w:val="22"/>
        </w:rPr>
        <mc:AlternateContent>
          <mc:Choice Requires="wps">
            <w:drawing>
              <wp:anchor distT="0" distB="0" distL="114300" distR="114300" simplePos="0" relativeHeight="252826624" behindDoc="1" locked="0" layoutInCell="1" allowOverlap="1" wp14:anchorId="3636750C" wp14:editId="2576A237">
                <wp:simplePos x="0" y="0"/>
                <wp:positionH relativeFrom="margin">
                  <wp:posOffset>-38100</wp:posOffset>
                </wp:positionH>
                <wp:positionV relativeFrom="paragraph">
                  <wp:posOffset>57150</wp:posOffset>
                </wp:positionV>
                <wp:extent cx="6606540" cy="696595"/>
                <wp:effectExtent l="0" t="38100" r="41910" b="65405"/>
                <wp:wrapNone/>
                <wp:docPr id="63" name="Right Arrow 63"/>
                <wp:cNvGraphicFramePr/>
                <a:graphic xmlns:a="http://schemas.openxmlformats.org/drawingml/2006/main">
                  <a:graphicData uri="http://schemas.microsoft.com/office/word/2010/wordprocessingShape">
                    <wps:wsp>
                      <wps:cNvSpPr/>
                      <wps:spPr>
                        <a:xfrm>
                          <a:off x="0" y="0"/>
                          <a:ext cx="6606540"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DBAED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3" o:spid="_x0000_s1026" type="#_x0000_t13" style="position:absolute;margin-left:-3pt;margin-top:4.5pt;width:520.2pt;height:54.85pt;z-index:-250489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" adj="20919" fillcolor="#eaf1dd [662]" strokecolor="#76923c [2406]" strokeweight="2pt">
                <w10:wrap anchorx="margin"/>
              </v:shape>
            </w:pict>
          </mc:Fallback>
        </mc:AlternateContent>
      </w:r>
      <w:r w:rsidR="00E40DAD" w:rsidRPr="00E40DAD">
        <w:rPr>
          <w:rFonts w:asciiTheme="minorHAnsi" w:hAnsiTheme="minorHAnsi"/>
          <w:b/>
          <w:szCs w:val="22"/>
        </w:rPr>
        <w:t>Milestones</w:t>
      </w:r>
    </w:p>
    <w:p w14:paraId="2A99808E" w14:textId="77777777" w:rsidR="00BC6338" w:rsidRPr="00E40DAD" w:rsidRDefault="00BC6338" w:rsidP="00BC6338">
      <w:pPr>
        <w:rPr>
          <w:rFonts w:asciiTheme="minorHAnsi" w:hAnsiTheme="minorHAnsi"/>
          <w:b/>
          <w:szCs w:val="22"/>
        </w:rPr>
      </w:pPr>
    </w:p>
    <w:tbl>
      <w:tblPr>
        <w:tblStyle w:val="TableGrid"/>
        <w:tblW w:w="0" w:type="auto"/>
        <w:tblLayout w:type="fixed"/>
        <w:tblLook w:val="04A0" w:firstRow="1" w:lastRow="0" w:firstColumn="1" w:lastColumn="0" w:noHBand="0" w:noVBand="1"/>
      </w:tblPr>
      <w:tblGrid>
        <w:gridCol w:w="4106"/>
        <w:gridCol w:w="3686"/>
        <w:gridCol w:w="2176"/>
      </w:tblGrid>
      <w:tr w:rsidR="00E40DAD" w14:paraId="15A3CB7C" w14:textId="77777777" w:rsidTr="00E40DAD">
        <w:tc>
          <w:tcPr>
            <w:tcW w:w="4106" w:type="dxa"/>
          </w:tcPr>
          <w:p w14:paraId="7B930DE1" w14:textId="790F0124" w:rsidR="00B04DCB" w:rsidRDefault="00B04DCB" w:rsidP="00B04DCB">
            <w:pPr>
              <w:jc w:val="center"/>
              <w:rPr>
                <w:rFonts w:asciiTheme="minorHAnsi" w:hAnsiTheme="minorHAnsi"/>
                <w:sz w:val="22"/>
                <w:szCs w:val="22"/>
              </w:rPr>
            </w:pPr>
            <w:r w:rsidRPr="00B04DCB">
              <w:rPr>
                <w:rFonts w:asciiTheme="minorHAnsi" w:hAnsiTheme="minorHAnsi"/>
                <w:sz w:val="22"/>
                <w:szCs w:val="22"/>
              </w:rPr>
              <w:t>Year 1</w:t>
            </w:r>
          </w:p>
          <w:p w14:paraId="1EB8DE20" w14:textId="77777777" w:rsidR="00BC6338" w:rsidRPr="00B04DCB" w:rsidRDefault="00BC6338" w:rsidP="00B04DCB">
            <w:pPr>
              <w:jc w:val="center"/>
              <w:rPr>
                <w:rFonts w:asciiTheme="minorHAnsi" w:hAnsiTheme="minorHAnsi"/>
                <w:sz w:val="22"/>
                <w:szCs w:val="22"/>
              </w:rPr>
            </w:pPr>
          </w:p>
          <w:p w14:paraId="245145C4" w14:textId="77777777"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Q1 – Q4</w:t>
            </w:r>
            <w:r w:rsidRPr="00E56B02">
              <w:rPr>
                <w:rFonts w:asciiTheme="minorHAnsi" w:hAnsiTheme="minorHAnsi"/>
                <w:sz w:val="22"/>
                <w:szCs w:val="22"/>
              </w:rPr>
              <w:t xml:space="preserve"> Maternity Improvement Programme.</w:t>
            </w:r>
          </w:p>
          <w:p w14:paraId="5CEE3B48" w14:textId="3F22E5E0" w:rsidR="00E40DAD" w:rsidRPr="00E56B02" w:rsidRDefault="001E6D77" w:rsidP="00E40DAD">
            <w:pPr>
              <w:jc w:val="left"/>
              <w:rPr>
                <w:rFonts w:asciiTheme="minorHAnsi" w:hAnsiTheme="minorHAnsi"/>
                <w:sz w:val="21"/>
                <w:szCs w:val="21"/>
              </w:rPr>
            </w:pPr>
            <w:r>
              <w:rPr>
                <w:rFonts w:asciiTheme="minorHAnsi" w:hAnsiTheme="minorHAnsi"/>
                <w:b/>
                <w:sz w:val="21"/>
                <w:szCs w:val="21"/>
              </w:rPr>
              <w:t xml:space="preserve">Q1 </w:t>
            </w:r>
            <w:r w:rsidR="00E40DAD" w:rsidRPr="00E56B02">
              <w:rPr>
                <w:rFonts w:asciiTheme="minorHAnsi" w:hAnsiTheme="minorHAnsi"/>
                <w:sz w:val="21"/>
                <w:szCs w:val="21"/>
              </w:rPr>
              <w:t>Sexual Health Services to become paper light</w:t>
            </w:r>
          </w:p>
          <w:p w14:paraId="5C2B0295" w14:textId="77777777" w:rsidR="00A2728B" w:rsidRDefault="00E40DAD" w:rsidP="00E40DAD">
            <w:pPr>
              <w:jc w:val="left"/>
              <w:rPr>
                <w:rFonts w:asciiTheme="minorHAnsi" w:hAnsiTheme="minorHAnsi"/>
                <w:sz w:val="22"/>
                <w:szCs w:val="22"/>
              </w:rPr>
            </w:pPr>
            <w:r w:rsidRPr="00E56B02">
              <w:rPr>
                <w:rFonts w:asciiTheme="minorHAnsi" w:hAnsiTheme="minorHAnsi"/>
                <w:b/>
                <w:sz w:val="22"/>
                <w:szCs w:val="22"/>
              </w:rPr>
              <w:t xml:space="preserve">Q1 </w:t>
            </w:r>
            <w:r w:rsidRPr="00E56B02">
              <w:rPr>
                <w:rFonts w:asciiTheme="minorHAnsi" w:hAnsiTheme="minorHAnsi"/>
                <w:sz w:val="22"/>
                <w:szCs w:val="22"/>
              </w:rPr>
              <w:t>Impleme</w:t>
            </w:r>
            <w:r w:rsidR="00A2728B">
              <w:rPr>
                <w:rFonts w:asciiTheme="minorHAnsi" w:hAnsiTheme="minorHAnsi"/>
                <w:sz w:val="22"/>
                <w:szCs w:val="22"/>
              </w:rPr>
              <w:t>ntation of Miscarriage pathway.</w:t>
            </w:r>
          </w:p>
          <w:p w14:paraId="529C520D" w14:textId="63EED33F"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Q1</w:t>
            </w:r>
            <w:r w:rsidRPr="00E56B02">
              <w:rPr>
                <w:rFonts w:asciiTheme="minorHAnsi" w:hAnsiTheme="minorHAnsi"/>
                <w:sz w:val="22"/>
                <w:szCs w:val="22"/>
              </w:rPr>
              <w:t xml:space="preserve"> Emergency maternity theatres business case completed.</w:t>
            </w:r>
          </w:p>
          <w:p w14:paraId="52048DDF" w14:textId="77777777" w:rsidR="00E40DAD" w:rsidRPr="00E56B02" w:rsidRDefault="00E40DAD" w:rsidP="00E40DAD">
            <w:pPr>
              <w:jc w:val="left"/>
              <w:rPr>
                <w:rFonts w:asciiTheme="minorHAnsi" w:hAnsiTheme="minorHAnsi"/>
                <w:sz w:val="21"/>
                <w:szCs w:val="21"/>
              </w:rPr>
            </w:pPr>
            <w:r w:rsidRPr="00E56B02">
              <w:rPr>
                <w:rFonts w:asciiTheme="minorHAnsi" w:hAnsiTheme="minorHAnsi"/>
                <w:b/>
                <w:sz w:val="21"/>
                <w:szCs w:val="21"/>
              </w:rPr>
              <w:t>Q2</w:t>
            </w:r>
            <w:r w:rsidRPr="00E56B02">
              <w:rPr>
                <w:rFonts w:asciiTheme="minorHAnsi" w:hAnsiTheme="minorHAnsi"/>
                <w:sz w:val="21"/>
                <w:szCs w:val="21"/>
              </w:rPr>
              <w:t xml:space="preserve"> Training of midwifery staff to deliver LARCS postnatally. </w:t>
            </w:r>
          </w:p>
          <w:p w14:paraId="13C372FD" w14:textId="77777777"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Q2</w:t>
            </w:r>
            <w:r w:rsidRPr="00E56B02">
              <w:rPr>
                <w:rFonts w:asciiTheme="minorHAnsi" w:hAnsiTheme="minorHAnsi"/>
                <w:sz w:val="22"/>
                <w:szCs w:val="22"/>
              </w:rPr>
              <w:t xml:space="preserve"> Expansion of services in GDAU RGH to include nurse led clinics. </w:t>
            </w:r>
          </w:p>
          <w:p w14:paraId="4C1F189E" w14:textId="77777777"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 xml:space="preserve">Q2 </w:t>
            </w:r>
            <w:r w:rsidRPr="00E56B02">
              <w:rPr>
                <w:rFonts w:asciiTheme="minorHAnsi" w:hAnsiTheme="minorHAnsi"/>
                <w:sz w:val="22"/>
                <w:szCs w:val="22"/>
              </w:rPr>
              <w:t>Expansion of maternity pharmacy support.</w:t>
            </w:r>
          </w:p>
          <w:p w14:paraId="600054E4" w14:textId="77777777" w:rsidR="00E40DAD" w:rsidRPr="00E56B02" w:rsidRDefault="00E40DAD" w:rsidP="00E40DAD">
            <w:pPr>
              <w:jc w:val="left"/>
              <w:rPr>
                <w:rFonts w:asciiTheme="minorHAnsi" w:hAnsiTheme="minorHAnsi"/>
                <w:sz w:val="21"/>
                <w:szCs w:val="21"/>
              </w:rPr>
            </w:pPr>
            <w:r w:rsidRPr="00E56B02">
              <w:rPr>
                <w:rFonts w:asciiTheme="minorHAnsi" w:hAnsiTheme="minorHAnsi"/>
                <w:b/>
                <w:sz w:val="21"/>
                <w:szCs w:val="21"/>
              </w:rPr>
              <w:t>Q2</w:t>
            </w:r>
            <w:r w:rsidRPr="00E56B02">
              <w:rPr>
                <w:rFonts w:asciiTheme="minorHAnsi" w:hAnsiTheme="minorHAnsi"/>
                <w:sz w:val="21"/>
                <w:szCs w:val="21"/>
              </w:rPr>
              <w:t xml:space="preserve"> Bid for text messaging STI results</w:t>
            </w:r>
          </w:p>
          <w:p w14:paraId="07C59376" w14:textId="77777777" w:rsidR="00E40DAD" w:rsidRPr="00E56B02" w:rsidRDefault="00E40DAD" w:rsidP="00E40DAD">
            <w:pPr>
              <w:jc w:val="left"/>
              <w:rPr>
                <w:rFonts w:asciiTheme="minorHAnsi" w:hAnsiTheme="minorHAnsi"/>
                <w:sz w:val="21"/>
                <w:szCs w:val="21"/>
              </w:rPr>
            </w:pPr>
            <w:r w:rsidRPr="00E56B02">
              <w:rPr>
                <w:rFonts w:asciiTheme="minorHAnsi" w:hAnsiTheme="minorHAnsi"/>
                <w:b/>
                <w:sz w:val="21"/>
                <w:szCs w:val="21"/>
              </w:rPr>
              <w:t>Q3</w:t>
            </w:r>
            <w:r w:rsidRPr="00E56B02">
              <w:rPr>
                <w:rFonts w:asciiTheme="minorHAnsi" w:hAnsiTheme="minorHAnsi"/>
                <w:sz w:val="21"/>
                <w:szCs w:val="21"/>
              </w:rPr>
              <w:t xml:space="preserve"> Development of an EHC electronic module </w:t>
            </w:r>
          </w:p>
          <w:p w14:paraId="41B6C72C" w14:textId="77777777"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lastRenderedPageBreak/>
              <w:t>Q3</w:t>
            </w:r>
            <w:r w:rsidRPr="00E56B02">
              <w:rPr>
                <w:rFonts w:asciiTheme="minorHAnsi" w:hAnsiTheme="minorHAnsi"/>
                <w:sz w:val="22"/>
                <w:szCs w:val="22"/>
              </w:rPr>
              <w:t xml:space="preserve"> Emergency Maternity theatres aligned to ACT directorate.</w:t>
            </w:r>
          </w:p>
          <w:p w14:paraId="1C03AA65" w14:textId="19EB144E"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Q3</w:t>
            </w:r>
            <w:r w:rsidRPr="00E56B02">
              <w:rPr>
                <w:rFonts w:asciiTheme="minorHAnsi" w:hAnsiTheme="minorHAnsi"/>
                <w:sz w:val="22"/>
                <w:szCs w:val="22"/>
              </w:rPr>
              <w:t xml:space="preserve"> Outpatient Hysteroscopy business case that includes </w:t>
            </w:r>
            <w:r>
              <w:rPr>
                <w:rFonts w:asciiTheme="minorHAnsi" w:hAnsiTheme="minorHAnsi"/>
                <w:sz w:val="22"/>
                <w:szCs w:val="22"/>
              </w:rPr>
              <w:t xml:space="preserve">POWH </w:t>
            </w:r>
            <w:r w:rsidRPr="00E56B02">
              <w:rPr>
                <w:rFonts w:asciiTheme="minorHAnsi" w:hAnsiTheme="minorHAnsi"/>
                <w:sz w:val="22"/>
                <w:szCs w:val="22"/>
              </w:rPr>
              <w:t>service to be completed.</w:t>
            </w:r>
          </w:p>
          <w:p w14:paraId="486565A1" w14:textId="7490A365" w:rsidR="00E40DAD" w:rsidRDefault="00E40DAD" w:rsidP="00E40DAD">
            <w:pPr>
              <w:rPr>
                <w:rFonts w:asciiTheme="minorHAnsi" w:hAnsiTheme="minorHAnsi"/>
                <w:szCs w:val="22"/>
              </w:rPr>
            </w:pPr>
            <w:r w:rsidRPr="00E56B02">
              <w:rPr>
                <w:rFonts w:asciiTheme="minorHAnsi" w:hAnsiTheme="minorHAnsi"/>
                <w:b/>
                <w:sz w:val="22"/>
                <w:szCs w:val="22"/>
              </w:rPr>
              <w:t>Q3 &amp; 4</w:t>
            </w:r>
            <w:r w:rsidRPr="00E56B02">
              <w:rPr>
                <w:rFonts w:asciiTheme="minorHAnsi" w:hAnsiTheme="minorHAnsi"/>
                <w:sz w:val="22"/>
                <w:szCs w:val="22"/>
              </w:rPr>
              <w:t xml:space="preserve"> Review of </w:t>
            </w:r>
            <w:r>
              <w:rPr>
                <w:rFonts w:asciiTheme="minorHAnsi" w:hAnsiTheme="minorHAnsi"/>
                <w:sz w:val="22"/>
                <w:szCs w:val="22"/>
              </w:rPr>
              <w:t>PCH</w:t>
            </w:r>
            <w:r w:rsidRPr="00E56B02">
              <w:rPr>
                <w:rFonts w:asciiTheme="minorHAnsi" w:hAnsiTheme="minorHAnsi"/>
                <w:sz w:val="22"/>
                <w:szCs w:val="22"/>
              </w:rPr>
              <w:t xml:space="preserve"> GDAU and new service model agreed</w:t>
            </w:r>
            <w:r>
              <w:rPr>
                <w:rFonts w:asciiTheme="minorHAnsi" w:hAnsiTheme="minorHAnsi"/>
                <w:sz w:val="22"/>
                <w:szCs w:val="22"/>
              </w:rPr>
              <w:t>.</w:t>
            </w:r>
          </w:p>
        </w:tc>
        <w:tc>
          <w:tcPr>
            <w:tcW w:w="3686" w:type="dxa"/>
          </w:tcPr>
          <w:p w14:paraId="31F1DB70" w14:textId="267C2491" w:rsidR="00B04DCB" w:rsidRDefault="00B04DCB" w:rsidP="00B04DCB">
            <w:pPr>
              <w:jc w:val="center"/>
              <w:rPr>
                <w:rFonts w:asciiTheme="minorHAnsi" w:hAnsiTheme="minorHAnsi"/>
                <w:sz w:val="22"/>
                <w:szCs w:val="22"/>
              </w:rPr>
            </w:pPr>
            <w:r w:rsidRPr="00B04DCB">
              <w:rPr>
                <w:rFonts w:asciiTheme="minorHAnsi" w:hAnsiTheme="minorHAnsi"/>
                <w:sz w:val="22"/>
                <w:szCs w:val="22"/>
              </w:rPr>
              <w:lastRenderedPageBreak/>
              <w:t>Year 2</w:t>
            </w:r>
          </w:p>
          <w:p w14:paraId="352E2686" w14:textId="77777777" w:rsidR="00BC6338" w:rsidRPr="00B04DCB" w:rsidRDefault="00BC6338" w:rsidP="00B04DCB">
            <w:pPr>
              <w:jc w:val="center"/>
              <w:rPr>
                <w:rFonts w:asciiTheme="minorHAnsi" w:hAnsiTheme="minorHAnsi"/>
                <w:sz w:val="22"/>
                <w:szCs w:val="22"/>
              </w:rPr>
            </w:pPr>
          </w:p>
          <w:p w14:paraId="29B833DC" w14:textId="72C77AD8"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Q1 – Q4</w:t>
            </w:r>
            <w:r w:rsidRPr="00E56B02">
              <w:rPr>
                <w:rFonts w:asciiTheme="minorHAnsi" w:hAnsiTheme="minorHAnsi"/>
                <w:sz w:val="22"/>
                <w:szCs w:val="22"/>
              </w:rPr>
              <w:t xml:space="preserve"> Maternity Improvement Programme.</w:t>
            </w:r>
          </w:p>
          <w:p w14:paraId="1AAA45F5" w14:textId="0E33E833" w:rsidR="00E40DAD" w:rsidRPr="00E56B02" w:rsidRDefault="001E6D77" w:rsidP="00E40DAD">
            <w:pPr>
              <w:jc w:val="left"/>
              <w:rPr>
                <w:rFonts w:asciiTheme="minorHAnsi" w:hAnsiTheme="minorHAnsi"/>
                <w:sz w:val="21"/>
                <w:szCs w:val="21"/>
              </w:rPr>
            </w:pPr>
            <w:r>
              <w:rPr>
                <w:rFonts w:asciiTheme="minorHAnsi" w:hAnsiTheme="minorHAnsi"/>
                <w:b/>
                <w:sz w:val="21"/>
                <w:szCs w:val="21"/>
              </w:rPr>
              <w:t>Q1</w:t>
            </w:r>
            <w:r w:rsidR="00E40DAD" w:rsidRPr="00E56B02">
              <w:rPr>
                <w:rFonts w:asciiTheme="minorHAnsi" w:hAnsiTheme="minorHAnsi"/>
                <w:sz w:val="21"/>
                <w:szCs w:val="21"/>
              </w:rPr>
              <w:t xml:space="preserve"> All Wales Sexual Health Case Management System in place </w:t>
            </w:r>
          </w:p>
          <w:p w14:paraId="114A82FA" w14:textId="785FAFA9" w:rsidR="00E40DAD" w:rsidRPr="00E56B02" w:rsidRDefault="00E40DAD" w:rsidP="00E40DAD">
            <w:pPr>
              <w:jc w:val="left"/>
              <w:rPr>
                <w:rFonts w:asciiTheme="minorHAnsi" w:hAnsiTheme="minorHAnsi"/>
                <w:sz w:val="21"/>
                <w:szCs w:val="21"/>
              </w:rPr>
            </w:pPr>
            <w:r w:rsidRPr="00E56B02">
              <w:rPr>
                <w:rFonts w:asciiTheme="minorHAnsi" w:hAnsiTheme="minorHAnsi"/>
                <w:b/>
                <w:sz w:val="21"/>
                <w:szCs w:val="21"/>
              </w:rPr>
              <w:t>Q1</w:t>
            </w:r>
            <w:r w:rsidRPr="00E56B02">
              <w:rPr>
                <w:rFonts w:asciiTheme="minorHAnsi" w:hAnsiTheme="minorHAnsi"/>
                <w:sz w:val="21"/>
                <w:szCs w:val="21"/>
              </w:rPr>
              <w:t xml:space="preserve"> Implementation of STI Text Messaging results </w:t>
            </w:r>
          </w:p>
          <w:p w14:paraId="728F626C" w14:textId="5B873225"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Q1</w:t>
            </w:r>
            <w:r w:rsidRPr="00E56B02">
              <w:rPr>
                <w:rFonts w:asciiTheme="minorHAnsi" w:hAnsiTheme="minorHAnsi"/>
                <w:sz w:val="22"/>
                <w:szCs w:val="22"/>
              </w:rPr>
              <w:t xml:space="preserve"> Review of GAU </w:t>
            </w:r>
            <w:r w:rsidR="00B04DCB">
              <w:rPr>
                <w:rFonts w:asciiTheme="minorHAnsi" w:hAnsiTheme="minorHAnsi"/>
                <w:sz w:val="22"/>
                <w:szCs w:val="22"/>
              </w:rPr>
              <w:t>POWH</w:t>
            </w:r>
            <w:r w:rsidRPr="00E56B02">
              <w:rPr>
                <w:rFonts w:asciiTheme="minorHAnsi" w:hAnsiTheme="minorHAnsi"/>
                <w:sz w:val="22"/>
                <w:szCs w:val="22"/>
              </w:rPr>
              <w:t xml:space="preserve"> and new service model scoped.</w:t>
            </w:r>
          </w:p>
          <w:p w14:paraId="01BFAC85" w14:textId="77777777"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Q1</w:t>
            </w:r>
            <w:r w:rsidRPr="00E56B02">
              <w:rPr>
                <w:rFonts w:asciiTheme="minorHAnsi" w:hAnsiTheme="minorHAnsi"/>
                <w:sz w:val="22"/>
                <w:szCs w:val="22"/>
              </w:rPr>
              <w:t xml:space="preserve"> Benefits realisation of GDAU in </w:t>
            </w:r>
            <w:r>
              <w:rPr>
                <w:rFonts w:asciiTheme="minorHAnsi" w:hAnsiTheme="minorHAnsi"/>
                <w:sz w:val="22"/>
                <w:szCs w:val="22"/>
              </w:rPr>
              <w:t>RGH</w:t>
            </w:r>
            <w:r w:rsidRPr="00E56B02">
              <w:rPr>
                <w:rFonts w:asciiTheme="minorHAnsi" w:hAnsiTheme="minorHAnsi"/>
                <w:sz w:val="22"/>
                <w:szCs w:val="22"/>
              </w:rPr>
              <w:t>.</w:t>
            </w:r>
          </w:p>
          <w:p w14:paraId="314A115B" w14:textId="550AE954"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Q1</w:t>
            </w:r>
            <w:r w:rsidRPr="00E56B02">
              <w:rPr>
                <w:rFonts w:asciiTheme="minorHAnsi" w:hAnsiTheme="minorHAnsi"/>
                <w:sz w:val="22"/>
                <w:szCs w:val="22"/>
              </w:rPr>
              <w:t xml:space="preserve"> Implementation of Outpatient Hysteroscopy model across the</w:t>
            </w:r>
            <w:r w:rsidR="00B04DCB">
              <w:rPr>
                <w:rFonts w:asciiTheme="minorHAnsi" w:hAnsiTheme="minorHAnsi"/>
                <w:sz w:val="22"/>
                <w:szCs w:val="22"/>
              </w:rPr>
              <w:t xml:space="preserve"> UHB</w:t>
            </w:r>
            <w:r w:rsidRPr="00E56B02">
              <w:rPr>
                <w:rFonts w:asciiTheme="minorHAnsi" w:hAnsiTheme="minorHAnsi"/>
                <w:sz w:val="22"/>
                <w:szCs w:val="22"/>
              </w:rPr>
              <w:t>.</w:t>
            </w:r>
          </w:p>
          <w:p w14:paraId="01889BE4" w14:textId="77777777" w:rsidR="00E40DAD" w:rsidRPr="00E56B02" w:rsidRDefault="00E40DAD" w:rsidP="00E40DAD">
            <w:pPr>
              <w:jc w:val="left"/>
              <w:rPr>
                <w:rFonts w:asciiTheme="minorHAnsi" w:hAnsiTheme="minorHAnsi"/>
                <w:sz w:val="21"/>
                <w:szCs w:val="21"/>
              </w:rPr>
            </w:pPr>
            <w:r w:rsidRPr="00E56B02">
              <w:rPr>
                <w:rFonts w:asciiTheme="minorHAnsi" w:hAnsiTheme="minorHAnsi"/>
                <w:b/>
                <w:sz w:val="21"/>
                <w:szCs w:val="21"/>
              </w:rPr>
              <w:t>Q2</w:t>
            </w:r>
            <w:r w:rsidRPr="00E56B02">
              <w:rPr>
                <w:rFonts w:asciiTheme="minorHAnsi" w:hAnsiTheme="minorHAnsi"/>
                <w:sz w:val="21"/>
                <w:szCs w:val="21"/>
              </w:rPr>
              <w:t xml:space="preserve"> Benefits realisation of LARCS being delivered postnatally.</w:t>
            </w:r>
          </w:p>
          <w:p w14:paraId="70D13D69" w14:textId="77777777"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Q2</w:t>
            </w:r>
            <w:r w:rsidRPr="00E56B02">
              <w:rPr>
                <w:rFonts w:asciiTheme="minorHAnsi" w:hAnsiTheme="minorHAnsi"/>
                <w:sz w:val="22"/>
                <w:szCs w:val="22"/>
              </w:rPr>
              <w:t xml:space="preserve"> review of Maternity Pharmacy Support and further expansion of service. </w:t>
            </w:r>
          </w:p>
          <w:p w14:paraId="262DDF35" w14:textId="77777777" w:rsidR="00E40DAD" w:rsidRPr="00E56B02" w:rsidRDefault="00E40DAD" w:rsidP="00E40DAD">
            <w:pPr>
              <w:jc w:val="left"/>
              <w:rPr>
                <w:rFonts w:asciiTheme="minorHAnsi" w:hAnsiTheme="minorHAnsi"/>
                <w:sz w:val="21"/>
                <w:szCs w:val="21"/>
              </w:rPr>
            </w:pPr>
            <w:r w:rsidRPr="00E56B02">
              <w:rPr>
                <w:rFonts w:asciiTheme="minorHAnsi" w:hAnsiTheme="minorHAnsi"/>
                <w:b/>
                <w:sz w:val="21"/>
                <w:szCs w:val="21"/>
              </w:rPr>
              <w:lastRenderedPageBreak/>
              <w:t>Q3</w:t>
            </w:r>
            <w:r w:rsidRPr="00E56B02">
              <w:rPr>
                <w:rFonts w:asciiTheme="minorHAnsi" w:hAnsiTheme="minorHAnsi"/>
                <w:sz w:val="21"/>
                <w:szCs w:val="21"/>
              </w:rPr>
              <w:t xml:space="preserve"> Audit of data from EHC module and changes made regarding LARC offering</w:t>
            </w:r>
          </w:p>
          <w:p w14:paraId="48D8AF39" w14:textId="15F25B10" w:rsidR="00E40DAD" w:rsidRPr="00E56B02" w:rsidRDefault="00E40DAD" w:rsidP="00E40DAD">
            <w:pPr>
              <w:jc w:val="left"/>
              <w:rPr>
                <w:rFonts w:asciiTheme="minorHAnsi" w:hAnsiTheme="minorHAnsi"/>
                <w:sz w:val="22"/>
                <w:szCs w:val="22"/>
              </w:rPr>
            </w:pPr>
            <w:r w:rsidRPr="00E56B02">
              <w:rPr>
                <w:rFonts w:asciiTheme="minorHAnsi" w:hAnsiTheme="minorHAnsi"/>
                <w:b/>
                <w:sz w:val="22"/>
                <w:szCs w:val="22"/>
              </w:rPr>
              <w:t>Q3</w:t>
            </w:r>
            <w:r w:rsidRPr="00E56B02">
              <w:rPr>
                <w:rFonts w:asciiTheme="minorHAnsi" w:hAnsiTheme="minorHAnsi"/>
                <w:sz w:val="22"/>
                <w:szCs w:val="22"/>
              </w:rPr>
              <w:t xml:space="preserve"> Evaluation of GAU in</w:t>
            </w:r>
            <w:r w:rsidR="002C4B27">
              <w:rPr>
                <w:rFonts w:asciiTheme="minorHAnsi" w:hAnsiTheme="minorHAnsi"/>
                <w:sz w:val="22"/>
                <w:szCs w:val="22"/>
              </w:rPr>
              <w:t xml:space="preserve"> PCH</w:t>
            </w:r>
            <w:r w:rsidRPr="00E56B02">
              <w:rPr>
                <w:rFonts w:asciiTheme="minorHAnsi" w:hAnsiTheme="minorHAnsi"/>
                <w:sz w:val="22"/>
                <w:szCs w:val="22"/>
              </w:rPr>
              <w:t xml:space="preserve"> and benefits realised.</w:t>
            </w:r>
          </w:p>
          <w:p w14:paraId="74F8B284" w14:textId="48330ED2" w:rsidR="00E40DAD" w:rsidRDefault="00E40DAD" w:rsidP="00B04DCB">
            <w:pPr>
              <w:rPr>
                <w:rFonts w:asciiTheme="minorHAnsi" w:hAnsiTheme="minorHAnsi"/>
                <w:szCs w:val="22"/>
              </w:rPr>
            </w:pPr>
            <w:r w:rsidRPr="00E56B02">
              <w:rPr>
                <w:rFonts w:asciiTheme="minorHAnsi" w:hAnsiTheme="minorHAnsi"/>
                <w:b/>
                <w:sz w:val="22"/>
                <w:szCs w:val="22"/>
              </w:rPr>
              <w:t>Q3</w:t>
            </w:r>
            <w:r w:rsidRPr="00E56B02">
              <w:rPr>
                <w:rFonts w:asciiTheme="minorHAnsi" w:hAnsiTheme="minorHAnsi"/>
                <w:sz w:val="22"/>
                <w:szCs w:val="22"/>
              </w:rPr>
              <w:t xml:space="preserve"> New service model for GDAU </w:t>
            </w:r>
            <w:r w:rsidR="00B04DCB">
              <w:rPr>
                <w:rFonts w:asciiTheme="minorHAnsi" w:hAnsiTheme="minorHAnsi"/>
                <w:sz w:val="22"/>
                <w:szCs w:val="22"/>
              </w:rPr>
              <w:t>POWH</w:t>
            </w:r>
            <w:r w:rsidRPr="00E56B02">
              <w:rPr>
                <w:rFonts w:asciiTheme="minorHAnsi" w:hAnsiTheme="minorHAnsi"/>
                <w:sz w:val="22"/>
                <w:szCs w:val="22"/>
              </w:rPr>
              <w:t xml:space="preserve"> implemented</w:t>
            </w:r>
            <w:r>
              <w:rPr>
                <w:rFonts w:asciiTheme="minorHAnsi" w:hAnsiTheme="minorHAnsi"/>
                <w:sz w:val="22"/>
                <w:szCs w:val="22"/>
              </w:rPr>
              <w:t>.</w:t>
            </w:r>
          </w:p>
        </w:tc>
        <w:tc>
          <w:tcPr>
            <w:tcW w:w="2176" w:type="dxa"/>
          </w:tcPr>
          <w:p w14:paraId="03939018" w14:textId="69EC6C35" w:rsidR="00B04DCB" w:rsidRDefault="00B04DCB" w:rsidP="00B04DCB">
            <w:pPr>
              <w:jc w:val="center"/>
              <w:rPr>
                <w:rFonts w:asciiTheme="minorHAnsi" w:hAnsiTheme="minorHAnsi"/>
                <w:sz w:val="22"/>
                <w:szCs w:val="22"/>
              </w:rPr>
            </w:pPr>
            <w:r w:rsidRPr="00B04DCB">
              <w:rPr>
                <w:rFonts w:asciiTheme="minorHAnsi" w:hAnsiTheme="minorHAnsi"/>
                <w:sz w:val="22"/>
                <w:szCs w:val="22"/>
              </w:rPr>
              <w:lastRenderedPageBreak/>
              <w:t>Year 3</w:t>
            </w:r>
          </w:p>
          <w:p w14:paraId="4688C5A9" w14:textId="77777777" w:rsidR="00BC6338" w:rsidRPr="00B04DCB" w:rsidRDefault="00BC6338" w:rsidP="00B04DCB">
            <w:pPr>
              <w:jc w:val="center"/>
              <w:rPr>
                <w:rFonts w:asciiTheme="minorHAnsi" w:hAnsiTheme="minorHAnsi"/>
                <w:sz w:val="22"/>
                <w:szCs w:val="22"/>
              </w:rPr>
            </w:pPr>
          </w:p>
          <w:p w14:paraId="078EB7D7" w14:textId="77777777" w:rsidR="00B04DCB" w:rsidRPr="00E56B02" w:rsidRDefault="00B04DCB" w:rsidP="00B04DCB">
            <w:pPr>
              <w:jc w:val="left"/>
              <w:rPr>
                <w:rFonts w:asciiTheme="minorHAnsi" w:hAnsiTheme="minorHAnsi"/>
                <w:sz w:val="22"/>
                <w:szCs w:val="22"/>
              </w:rPr>
            </w:pPr>
            <w:r w:rsidRPr="00E56B02">
              <w:rPr>
                <w:rFonts w:asciiTheme="minorHAnsi" w:hAnsiTheme="minorHAnsi"/>
                <w:b/>
                <w:sz w:val="22"/>
                <w:szCs w:val="22"/>
              </w:rPr>
              <w:t>Q1 – Q4</w:t>
            </w:r>
            <w:r w:rsidRPr="00E56B02">
              <w:rPr>
                <w:rFonts w:asciiTheme="minorHAnsi" w:hAnsiTheme="minorHAnsi"/>
                <w:sz w:val="22"/>
                <w:szCs w:val="22"/>
              </w:rPr>
              <w:t xml:space="preserve"> Maternity Improvement Programme.</w:t>
            </w:r>
          </w:p>
          <w:p w14:paraId="092F641D" w14:textId="77777777" w:rsidR="00B04DCB" w:rsidRPr="00E56B02" w:rsidRDefault="00B04DCB" w:rsidP="00B04DCB">
            <w:pPr>
              <w:jc w:val="left"/>
              <w:rPr>
                <w:rFonts w:asciiTheme="minorHAnsi" w:hAnsiTheme="minorHAnsi"/>
                <w:sz w:val="21"/>
                <w:szCs w:val="21"/>
              </w:rPr>
            </w:pPr>
            <w:r w:rsidRPr="00E56B02">
              <w:rPr>
                <w:rFonts w:asciiTheme="minorHAnsi" w:hAnsiTheme="minorHAnsi"/>
                <w:b/>
                <w:sz w:val="21"/>
                <w:szCs w:val="21"/>
              </w:rPr>
              <w:t>Q1</w:t>
            </w:r>
            <w:r w:rsidRPr="00E56B02">
              <w:rPr>
                <w:rFonts w:asciiTheme="minorHAnsi" w:hAnsiTheme="minorHAnsi"/>
                <w:sz w:val="21"/>
                <w:szCs w:val="21"/>
              </w:rPr>
              <w:t xml:space="preserve"> Benefits realisation of STI text messaging results</w:t>
            </w:r>
          </w:p>
          <w:p w14:paraId="7A205811" w14:textId="43CDA83A" w:rsidR="00B04DCB" w:rsidRPr="00E56B02" w:rsidRDefault="00B04DCB" w:rsidP="00B04DCB">
            <w:pPr>
              <w:jc w:val="left"/>
              <w:rPr>
                <w:rFonts w:asciiTheme="minorHAnsi" w:hAnsiTheme="minorHAnsi"/>
                <w:sz w:val="22"/>
                <w:szCs w:val="22"/>
              </w:rPr>
            </w:pPr>
            <w:r w:rsidRPr="00E56B02">
              <w:rPr>
                <w:rFonts w:asciiTheme="minorHAnsi" w:hAnsiTheme="minorHAnsi"/>
                <w:b/>
                <w:sz w:val="22"/>
                <w:szCs w:val="22"/>
              </w:rPr>
              <w:t>Q3</w:t>
            </w:r>
            <w:r w:rsidRPr="00E56B02">
              <w:rPr>
                <w:rFonts w:asciiTheme="minorHAnsi" w:hAnsiTheme="minorHAnsi"/>
                <w:sz w:val="22"/>
                <w:szCs w:val="22"/>
              </w:rPr>
              <w:t xml:space="preserve"> Benefits realisation of new service model in GDAU</w:t>
            </w:r>
            <w:r w:rsidR="003E5EFC">
              <w:rPr>
                <w:rFonts w:asciiTheme="minorHAnsi" w:hAnsiTheme="minorHAnsi"/>
                <w:sz w:val="22"/>
                <w:szCs w:val="22"/>
              </w:rPr>
              <w:t xml:space="preserve"> POWH</w:t>
            </w:r>
            <w:r w:rsidRPr="00E56B02">
              <w:rPr>
                <w:rFonts w:asciiTheme="minorHAnsi" w:hAnsiTheme="minorHAnsi"/>
                <w:sz w:val="22"/>
                <w:szCs w:val="22"/>
              </w:rPr>
              <w:t xml:space="preserve">. </w:t>
            </w:r>
          </w:p>
          <w:p w14:paraId="03E57AC7" w14:textId="45DF7278" w:rsidR="00E40DAD" w:rsidRDefault="00B04DCB" w:rsidP="00B04DCB">
            <w:pPr>
              <w:rPr>
                <w:rFonts w:asciiTheme="minorHAnsi" w:hAnsiTheme="minorHAnsi"/>
                <w:szCs w:val="22"/>
              </w:rPr>
            </w:pPr>
            <w:r w:rsidRPr="00E56B02">
              <w:rPr>
                <w:rFonts w:asciiTheme="minorHAnsi" w:hAnsiTheme="minorHAnsi"/>
                <w:b/>
                <w:sz w:val="21"/>
                <w:szCs w:val="21"/>
              </w:rPr>
              <w:t>Q3</w:t>
            </w:r>
            <w:r w:rsidRPr="00E56B02">
              <w:rPr>
                <w:rFonts w:asciiTheme="minorHAnsi" w:hAnsiTheme="minorHAnsi"/>
                <w:sz w:val="21"/>
                <w:szCs w:val="21"/>
              </w:rPr>
              <w:t xml:space="preserve"> Continued audit of EHC module</w:t>
            </w:r>
          </w:p>
        </w:tc>
      </w:tr>
    </w:tbl>
    <w:p w14:paraId="29D666EF" w14:textId="64A064E5" w:rsidR="00DE3193" w:rsidRDefault="00DE3193" w:rsidP="006B09CD">
      <w:pPr>
        <w:pStyle w:val="Heading4"/>
        <w:ind w:left="1077" w:hanging="1077"/>
        <w:rPr>
          <w:szCs w:val="22"/>
        </w:rPr>
      </w:pPr>
      <w:r>
        <w:rPr>
          <w:szCs w:val="22"/>
        </w:rPr>
        <w:t>Local and Regional Elective Care</w:t>
      </w:r>
    </w:p>
    <w:p w14:paraId="0E3BF4BB" w14:textId="11E346A5" w:rsidR="00DE3193" w:rsidRDefault="00A2728B" w:rsidP="00DE3193">
      <w:pPr>
        <w:rPr>
          <w:rFonts w:asciiTheme="minorHAnsi" w:hAnsiTheme="minorHAnsi"/>
        </w:rPr>
      </w:pPr>
      <w:r>
        <w:rPr>
          <w:rFonts w:asciiTheme="minorHAnsi" w:hAnsiTheme="minorHAnsi"/>
        </w:rPr>
        <w:t>The UHB</w:t>
      </w:r>
      <w:r w:rsidR="00DE3193">
        <w:rPr>
          <w:rFonts w:asciiTheme="minorHAnsi" w:hAnsiTheme="minorHAnsi"/>
        </w:rPr>
        <w:t xml:space="preserve"> has been proactive over a number of years in developing elective services and determining specific areas which would benefit from service redesign. </w:t>
      </w:r>
      <w:r>
        <w:rPr>
          <w:rFonts w:asciiTheme="minorHAnsi" w:hAnsiTheme="minorHAnsi"/>
        </w:rPr>
        <w:t xml:space="preserve"> </w:t>
      </w:r>
      <w:r w:rsidR="00DE3193" w:rsidRPr="00DF7CF6">
        <w:rPr>
          <w:rFonts w:asciiTheme="minorHAnsi" w:hAnsiTheme="minorHAnsi"/>
        </w:rPr>
        <w:t xml:space="preserve">Delivery of this work programme will assist the organisation in meeting the target trajectories for </w:t>
      </w:r>
      <w:r w:rsidR="00DE3193">
        <w:rPr>
          <w:rFonts w:asciiTheme="minorHAnsi" w:hAnsiTheme="minorHAnsi"/>
        </w:rPr>
        <w:t xml:space="preserve">RTT, diagnostic and cancer targets:  </w:t>
      </w:r>
    </w:p>
    <w:p w14:paraId="7FDF3EF6" w14:textId="55702447" w:rsidR="00DE3193" w:rsidRDefault="00DE3193" w:rsidP="00F60A35">
      <w:pPr>
        <w:numPr>
          <w:ilvl w:val="0"/>
          <w:numId w:val="35"/>
        </w:numPr>
      </w:pPr>
      <w:r>
        <w:t xml:space="preserve">Efficiency, </w:t>
      </w:r>
      <w:r w:rsidR="00A2728B">
        <w:t>P</w:t>
      </w:r>
      <w:r>
        <w:t xml:space="preserve">roductivity and </w:t>
      </w:r>
      <w:r w:rsidR="00A2728B">
        <w:t>V</w:t>
      </w:r>
      <w:r>
        <w:t xml:space="preserve">alue: The aim is to accelerate the delivery of productivity and efficiency targets for Theatres and Outpatient Improvement. </w:t>
      </w:r>
      <w:r w:rsidR="00A2728B">
        <w:t xml:space="preserve"> </w:t>
      </w:r>
      <w:r w:rsidRPr="00DF7CF6">
        <w:t xml:space="preserve">Directorates are supported to develop actions that impact positively on improving access and waiting time targets also ensuring alignment to the </w:t>
      </w:r>
      <w:r w:rsidR="006A0E07">
        <w:t>D&amp;C</w:t>
      </w:r>
      <w:r w:rsidRPr="00DF7CF6">
        <w:t xml:space="preserve"> plans.  This include</w:t>
      </w:r>
      <w:r>
        <w:t>s</w:t>
      </w:r>
      <w:r w:rsidRPr="00DF7CF6">
        <w:t xml:space="preserve"> a programme to measure the impact of these activities on the planned care system overall and in particular to evidence these changes to improvements in RTT performance</w:t>
      </w:r>
      <w:r>
        <w:t xml:space="preserve"> and how these can be maintained</w:t>
      </w:r>
      <w:r w:rsidRPr="00DF7CF6">
        <w:t>.</w:t>
      </w:r>
    </w:p>
    <w:p w14:paraId="327F5A34" w14:textId="46308845" w:rsidR="00DE3193" w:rsidRDefault="00DE3193" w:rsidP="00F60A35">
      <w:pPr>
        <w:numPr>
          <w:ilvl w:val="0"/>
          <w:numId w:val="35"/>
        </w:numPr>
      </w:pPr>
      <w:r>
        <w:t xml:space="preserve">Improve day case rates and options for delivery: There is a focus on understanding demand, capacity and utilisation across the Health Board sites, capturing opportunities for more effective use of resources to increase day case rates across the </w:t>
      </w:r>
      <w:r w:rsidR="00B70B97">
        <w:t>UHB</w:t>
      </w:r>
      <w:r>
        <w:t xml:space="preserve"> and benchmarking current activity against the British Association of Day Surgery (BADS). </w:t>
      </w:r>
    </w:p>
    <w:p w14:paraId="5AB45A06" w14:textId="77777777" w:rsidR="00DE3193" w:rsidRPr="00DF7CF6" w:rsidRDefault="00DE3193" w:rsidP="00F60A35">
      <w:pPr>
        <w:numPr>
          <w:ilvl w:val="0"/>
          <w:numId w:val="35"/>
        </w:numPr>
      </w:pPr>
      <w:r>
        <w:t xml:space="preserve">Improving patient flow:  Key enablers are increasing day of surgery admission, improved treat in turn rates and pre-operative assessment. </w:t>
      </w:r>
    </w:p>
    <w:p w14:paraId="53EE8FEA" w14:textId="4AF71CB2" w:rsidR="00DE3193" w:rsidRPr="00C34DDA" w:rsidRDefault="00DE3193" w:rsidP="00F60A35">
      <w:pPr>
        <w:numPr>
          <w:ilvl w:val="0"/>
          <w:numId w:val="35"/>
        </w:numPr>
        <w:rPr>
          <w:color w:val="000000" w:themeColor="text1"/>
        </w:rPr>
      </w:pPr>
      <w:r w:rsidRPr="00DF7CF6">
        <w:rPr>
          <w:bCs/>
        </w:rPr>
        <w:t xml:space="preserve">Pathway Transformation: There will be continued focus on </w:t>
      </w:r>
      <w:r w:rsidRPr="00DF7CF6">
        <w:t xml:space="preserve">delivering activities that will improve patient pathway management for elective care </w:t>
      </w:r>
      <w:r w:rsidRPr="00DF7CF6">
        <w:rPr>
          <w:color w:val="000000" w:themeColor="text1"/>
        </w:rPr>
        <w:t>across the whole pathway from Primary into Secondary Care.</w:t>
      </w:r>
      <w:r w:rsidR="00B70B97">
        <w:rPr>
          <w:color w:val="000000" w:themeColor="text1"/>
        </w:rPr>
        <w:t xml:space="preserve"> </w:t>
      </w:r>
      <w:r w:rsidRPr="00C34DDA">
        <w:rPr>
          <w:color w:val="000000" w:themeColor="text1"/>
        </w:rPr>
        <w:t xml:space="preserve"> This includes the identification of </w:t>
      </w:r>
      <w:r w:rsidRPr="00C34DDA">
        <w:rPr>
          <w:rFonts w:asciiTheme="minorHAnsi" w:hAnsiTheme="minorHAnsi"/>
          <w:szCs w:val="22"/>
        </w:rPr>
        <w:t xml:space="preserve">alternative pathways and the development of services across primary and secondary care </w:t>
      </w:r>
      <w:r w:rsidRPr="00C34DDA">
        <w:rPr>
          <w:color w:val="000000" w:themeColor="text1"/>
        </w:rPr>
        <w:t>to offer alternatives to outpatient, inpatient or consultant led hospital delivered care.</w:t>
      </w:r>
      <w:r w:rsidR="00B70B97">
        <w:rPr>
          <w:color w:val="000000" w:themeColor="text1"/>
        </w:rPr>
        <w:t xml:space="preserve"> </w:t>
      </w:r>
      <w:r w:rsidRPr="00C34DDA">
        <w:rPr>
          <w:color w:val="000000" w:themeColor="text1"/>
        </w:rPr>
        <w:t xml:space="preserve"> </w:t>
      </w:r>
      <w:r w:rsidRPr="00C34DDA">
        <w:rPr>
          <w:rFonts w:asciiTheme="minorHAnsi" w:hAnsiTheme="minorHAnsi"/>
          <w:szCs w:val="22"/>
        </w:rPr>
        <w:t xml:space="preserve">These elements are key to ensuring the delivery of RTT and need to be maintained into 2020/21 and beyond.  </w:t>
      </w:r>
    </w:p>
    <w:p w14:paraId="0213E7E4" w14:textId="77777777" w:rsidR="00DE3193" w:rsidRDefault="00DE3193" w:rsidP="00DE3193">
      <w:pPr>
        <w:rPr>
          <w:rFonts w:asciiTheme="minorHAnsi" w:hAnsiTheme="minorHAnsi"/>
          <w:szCs w:val="22"/>
        </w:rPr>
      </w:pPr>
    </w:p>
    <w:p w14:paraId="50B3CE2C" w14:textId="77777777" w:rsidR="00DE3193" w:rsidRPr="00ED4940" w:rsidRDefault="00DE3193" w:rsidP="00DE3193">
      <w:pPr>
        <w:rPr>
          <w:rFonts w:asciiTheme="minorHAnsi" w:hAnsiTheme="minorHAnsi"/>
          <w:szCs w:val="22"/>
        </w:rPr>
      </w:pPr>
      <w:r w:rsidRPr="00195C09">
        <w:rPr>
          <w:rFonts w:asciiTheme="minorHAnsi" w:hAnsiTheme="minorHAnsi"/>
          <w:szCs w:val="22"/>
        </w:rPr>
        <w:t>The work is being driven by the Health Board Planned Care Group</w:t>
      </w:r>
      <w:r w:rsidRPr="00ED4940">
        <w:rPr>
          <w:rFonts w:asciiTheme="minorHAnsi" w:hAnsiTheme="minorHAnsi"/>
          <w:szCs w:val="22"/>
        </w:rPr>
        <w:t xml:space="preserve">, chaired by the Chief Operating Officer.  Its purpose is to develop a strategic framework to </w:t>
      </w:r>
      <w:r>
        <w:rPr>
          <w:rFonts w:asciiTheme="minorHAnsi" w:hAnsiTheme="minorHAnsi"/>
          <w:szCs w:val="22"/>
        </w:rPr>
        <w:t xml:space="preserve">deliver and measure improvements across the planned care system, creating opportunities to </w:t>
      </w:r>
      <w:r w:rsidRPr="00ED4940">
        <w:rPr>
          <w:rFonts w:asciiTheme="minorHAnsi" w:hAnsiTheme="minorHAnsi"/>
          <w:szCs w:val="22"/>
        </w:rPr>
        <w:t xml:space="preserve">organise services to reflect the principles of </w:t>
      </w:r>
      <w:r>
        <w:rPr>
          <w:rFonts w:asciiTheme="minorHAnsi" w:hAnsiTheme="minorHAnsi"/>
          <w:szCs w:val="22"/>
        </w:rPr>
        <w:t xml:space="preserve">both Values Based Health Care and </w:t>
      </w:r>
      <w:r w:rsidRPr="00ED4940">
        <w:rPr>
          <w:rFonts w:asciiTheme="minorHAnsi" w:hAnsiTheme="minorHAnsi"/>
          <w:szCs w:val="22"/>
        </w:rPr>
        <w:t>Prudent Health</w:t>
      </w:r>
      <w:r>
        <w:rPr>
          <w:rFonts w:asciiTheme="minorHAnsi" w:hAnsiTheme="minorHAnsi"/>
          <w:szCs w:val="22"/>
        </w:rPr>
        <w:t xml:space="preserve"> C</w:t>
      </w:r>
      <w:r w:rsidRPr="00ED4940">
        <w:rPr>
          <w:rFonts w:asciiTheme="minorHAnsi" w:hAnsiTheme="minorHAnsi"/>
          <w:szCs w:val="22"/>
        </w:rPr>
        <w:t xml:space="preserve">are. </w:t>
      </w:r>
    </w:p>
    <w:p w14:paraId="1CF95E9B" w14:textId="77777777" w:rsidR="00DE3193" w:rsidRDefault="00DE3193" w:rsidP="00DE3193">
      <w:pPr>
        <w:rPr>
          <w:rFonts w:asciiTheme="minorHAnsi" w:hAnsiTheme="minorHAnsi"/>
          <w:szCs w:val="22"/>
        </w:rPr>
      </w:pPr>
    </w:p>
    <w:p w14:paraId="25AF2B04" w14:textId="2BB35BD3" w:rsidR="00DE3193" w:rsidRDefault="00DE3193" w:rsidP="00DE3193">
      <w:pPr>
        <w:rPr>
          <w:rFonts w:asciiTheme="minorHAnsi" w:hAnsiTheme="minorHAnsi"/>
          <w:szCs w:val="22"/>
        </w:rPr>
      </w:pPr>
      <w:r w:rsidRPr="004D6C16">
        <w:rPr>
          <w:rFonts w:asciiTheme="minorHAnsi" w:hAnsiTheme="minorHAnsi"/>
          <w:szCs w:val="22"/>
        </w:rPr>
        <w:t xml:space="preserve">The Health Board has set a challenging trajectory for delivering the 36 week </w:t>
      </w:r>
      <w:r>
        <w:rPr>
          <w:rFonts w:asciiTheme="minorHAnsi" w:hAnsiTheme="minorHAnsi"/>
          <w:szCs w:val="22"/>
        </w:rPr>
        <w:t xml:space="preserve">RTT </w:t>
      </w:r>
      <w:r w:rsidRPr="004D6C16">
        <w:rPr>
          <w:rFonts w:asciiTheme="minorHAnsi" w:hAnsiTheme="minorHAnsi"/>
          <w:szCs w:val="22"/>
        </w:rPr>
        <w:t>target across all specialties by March 2020, with it being maintained thereafter.  This will require additional capacity to be delivered in key specialties such as Orthopaedics, ENT, General Surgery and Ophthalmology to keep the number of patients waiting over 36</w:t>
      </w:r>
      <w:r w:rsidR="00D40622">
        <w:rPr>
          <w:rFonts w:asciiTheme="minorHAnsi" w:hAnsiTheme="minorHAnsi"/>
          <w:szCs w:val="22"/>
        </w:rPr>
        <w:t xml:space="preserve"> weeks</w:t>
      </w:r>
      <w:r w:rsidRPr="004D6C16">
        <w:rPr>
          <w:rFonts w:asciiTheme="minorHAnsi" w:hAnsiTheme="minorHAnsi"/>
          <w:szCs w:val="22"/>
        </w:rPr>
        <w:t xml:space="preserve"> to a minimum. </w:t>
      </w:r>
      <w:r w:rsidR="00D40622">
        <w:rPr>
          <w:rFonts w:asciiTheme="minorHAnsi" w:hAnsiTheme="minorHAnsi"/>
          <w:szCs w:val="22"/>
        </w:rPr>
        <w:t xml:space="preserve"> </w:t>
      </w:r>
      <w:r w:rsidRPr="004D6C16">
        <w:rPr>
          <w:rFonts w:asciiTheme="minorHAnsi" w:hAnsiTheme="minorHAnsi"/>
          <w:szCs w:val="22"/>
        </w:rPr>
        <w:t xml:space="preserve">This will be further supported by continued progress on planned care initiatives, supported through enhanced </w:t>
      </w:r>
      <w:r w:rsidR="00D40622">
        <w:rPr>
          <w:rFonts w:asciiTheme="minorHAnsi" w:hAnsiTheme="minorHAnsi"/>
          <w:szCs w:val="22"/>
        </w:rPr>
        <w:t>PMO</w:t>
      </w:r>
      <w:r w:rsidRPr="004D6C16">
        <w:rPr>
          <w:rFonts w:asciiTheme="minorHAnsi" w:hAnsiTheme="minorHAnsi"/>
          <w:szCs w:val="22"/>
        </w:rPr>
        <w:t xml:space="preserve"> resource, as well as consistently delivering expected levels of capacity committed to within our detailed </w:t>
      </w:r>
      <w:r w:rsidR="006A0E07">
        <w:rPr>
          <w:rFonts w:asciiTheme="minorHAnsi" w:hAnsiTheme="minorHAnsi"/>
          <w:szCs w:val="22"/>
        </w:rPr>
        <w:t>D&amp;C</w:t>
      </w:r>
      <w:r w:rsidRPr="004D6C16">
        <w:rPr>
          <w:rFonts w:asciiTheme="minorHAnsi" w:hAnsiTheme="minorHAnsi"/>
          <w:szCs w:val="22"/>
        </w:rPr>
        <w:t xml:space="preserve"> plans.</w:t>
      </w:r>
    </w:p>
    <w:p w14:paraId="4C11EF9A" w14:textId="77777777" w:rsidR="00DE3193" w:rsidRDefault="00DE3193" w:rsidP="00DE3193">
      <w:pPr>
        <w:rPr>
          <w:rFonts w:asciiTheme="minorHAnsi" w:hAnsiTheme="minorHAnsi"/>
          <w:b/>
          <w:bCs/>
          <w:szCs w:val="22"/>
        </w:rPr>
      </w:pPr>
    </w:p>
    <w:p w14:paraId="6721B4CB" w14:textId="0755E129" w:rsidR="00DE3193" w:rsidRDefault="00DE3193" w:rsidP="00DE3193">
      <w:pPr>
        <w:rPr>
          <w:rFonts w:asciiTheme="minorHAnsi" w:hAnsiTheme="minorHAnsi"/>
          <w:szCs w:val="22"/>
        </w:rPr>
      </w:pPr>
      <w:r>
        <w:rPr>
          <w:rFonts w:asciiTheme="minorHAnsi" w:hAnsiTheme="minorHAnsi"/>
          <w:szCs w:val="22"/>
        </w:rPr>
        <w:t xml:space="preserve">Following an internal review by the </w:t>
      </w:r>
      <w:r w:rsidR="00D10F44">
        <w:rPr>
          <w:rFonts w:asciiTheme="minorHAnsi" w:hAnsiTheme="minorHAnsi"/>
          <w:szCs w:val="22"/>
        </w:rPr>
        <w:t>UHB</w:t>
      </w:r>
      <w:r>
        <w:rPr>
          <w:rFonts w:asciiTheme="minorHAnsi" w:hAnsiTheme="minorHAnsi"/>
          <w:szCs w:val="22"/>
        </w:rPr>
        <w:t xml:space="preserve">, it became apparent that a number of waiting lists were not being reported to </w:t>
      </w:r>
      <w:r w:rsidR="00D40622">
        <w:rPr>
          <w:rFonts w:asciiTheme="minorHAnsi" w:hAnsiTheme="minorHAnsi"/>
          <w:szCs w:val="22"/>
        </w:rPr>
        <w:t>WG</w:t>
      </w:r>
      <w:r>
        <w:rPr>
          <w:rFonts w:asciiTheme="minorHAnsi" w:hAnsiTheme="minorHAnsi"/>
          <w:szCs w:val="22"/>
        </w:rPr>
        <w:t>. As a result, the</w:t>
      </w:r>
      <w:r w:rsidR="00D10F44">
        <w:rPr>
          <w:rFonts w:asciiTheme="minorHAnsi" w:hAnsiTheme="minorHAnsi"/>
          <w:szCs w:val="22"/>
        </w:rPr>
        <w:t xml:space="preserve"> UHB </w:t>
      </w:r>
      <w:r>
        <w:rPr>
          <w:rFonts w:asciiTheme="minorHAnsi" w:hAnsiTheme="minorHAnsi"/>
          <w:szCs w:val="22"/>
        </w:rPr>
        <w:t>requested support from the Delivery Unit (DU) in resolving the issues identified and to provide assurance that actions have been put in place to mitigate future risk of inadvertent non-reporting of waiting lists.</w:t>
      </w:r>
      <w:r w:rsidR="00D10F44">
        <w:rPr>
          <w:rFonts w:asciiTheme="minorHAnsi" w:hAnsiTheme="minorHAnsi"/>
          <w:szCs w:val="22"/>
        </w:rPr>
        <w:t xml:space="preserve"> </w:t>
      </w:r>
      <w:r>
        <w:rPr>
          <w:rFonts w:asciiTheme="minorHAnsi" w:hAnsiTheme="minorHAnsi"/>
          <w:szCs w:val="22"/>
        </w:rPr>
        <w:t xml:space="preserve"> Following publication of a report from the DU, the </w:t>
      </w:r>
      <w:r w:rsidR="00D10F44">
        <w:rPr>
          <w:rFonts w:asciiTheme="minorHAnsi" w:hAnsiTheme="minorHAnsi"/>
          <w:szCs w:val="22"/>
        </w:rPr>
        <w:t>UHB</w:t>
      </w:r>
      <w:r>
        <w:rPr>
          <w:rFonts w:asciiTheme="minorHAnsi" w:hAnsiTheme="minorHAnsi"/>
          <w:szCs w:val="22"/>
        </w:rPr>
        <w:t xml:space="preserve"> has agreed an action plan to deliver their recommendations:</w:t>
      </w:r>
    </w:p>
    <w:p w14:paraId="1321C563" w14:textId="77777777" w:rsidR="00DE3193" w:rsidRDefault="00DE3193" w:rsidP="00DE3193">
      <w:pPr>
        <w:rPr>
          <w:rFonts w:asciiTheme="minorHAnsi" w:hAnsiTheme="minorHAnsi"/>
          <w:szCs w:val="22"/>
        </w:rPr>
      </w:pPr>
    </w:p>
    <w:p w14:paraId="119E2130" w14:textId="77777777" w:rsidR="00DE3193" w:rsidRDefault="00DE3193" w:rsidP="00F60A35">
      <w:pPr>
        <w:pStyle w:val="ListParagraph"/>
        <w:numPr>
          <w:ilvl w:val="0"/>
          <w:numId w:val="63"/>
        </w:numPr>
        <w:ind w:left="357" w:hanging="357"/>
        <w:rPr>
          <w:rFonts w:asciiTheme="minorHAnsi" w:hAnsiTheme="minorHAnsi"/>
          <w:szCs w:val="22"/>
        </w:rPr>
      </w:pPr>
      <w:r>
        <w:rPr>
          <w:rFonts w:asciiTheme="minorHAnsi" w:hAnsiTheme="minorHAnsi"/>
          <w:szCs w:val="22"/>
        </w:rPr>
        <w:t xml:space="preserve">Quantify the scope of patients who have not been appropriately reported and assure there are no other areas of potential concern from a reporting perspective. </w:t>
      </w:r>
    </w:p>
    <w:p w14:paraId="7A6BE714" w14:textId="77777777" w:rsidR="00DE3193" w:rsidRDefault="00DE3193" w:rsidP="00F60A35">
      <w:pPr>
        <w:pStyle w:val="ListParagraph"/>
        <w:numPr>
          <w:ilvl w:val="0"/>
          <w:numId w:val="63"/>
        </w:numPr>
        <w:ind w:left="357" w:hanging="357"/>
        <w:rPr>
          <w:rFonts w:asciiTheme="minorHAnsi" w:hAnsiTheme="minorHAnsi"/>
          <w:szCs w:val="22"/>
        </w:rPr>
      </w:pPr>
      <w:r>
        <w:rPr>
          <w:rFonts w:asciiTheme="minorHAnsi" w:hAnsiTheme="minorHAnsi"/>
          <w:szCs w:val="22"/>
        </w:rPr>
        <w:t>Ensure that any clinical risks to the patients affected is identified and appropriately managed.</w:t>
      </w:r>
    </w:p>
    <w:p w14:paraId="188CF6C2" w14:textId="77777777" w:rsidR="00DE3193" w:rsidRDefault="00DE3193" w:rsidP="00F60A35">
      <w:pPr>
        <w:pStyle w:val="ListParagraph"/>
        <w:numPr>
          <w:ilvl w:val="0"/>
          <w:numId w:val="63"/>
        </w:numPr>
        <w:ind w:left="357" w:hanging="357"/>
        <w:rPr>
          <w:rFonts w:asciiTheme="minorHAnsi" w:hAnsiTheme="minorHAnsi"/>
          <w:szCs w:val="22"/>
        </w:rPr>
      </w:pPr>
      <w:r>
        <w:rPr>
          <w:rFonts w:asciiTheme="minorHAnsi" w:hAnsiTheme="minorHAnsi"/>
          <w:szCs w:val="22"/>
        </w:rPr>
        <w:t>Ensure at the earliest opportunity that all waiting lists are appropriately reported going forward.</w:t>
      </w:r>
    </w:p>
    <w:p w14:paraId="72E33A21" w14:textId="77777777" w:rsidR="00DE3193" w:rsidRDefault="00DE3193" w:rsidP="00F60A35">
      <w:pPr>
        <w:pStyle w:val="ListParagraph"/>
        <w:numPr>
          <w:ilvl w:val="0"/>
          <w:numId w:val="63"/>
        </w:numPr>
        <w:ind w:left="357" w:hanging="357"/>
        <w:rPr>
          <w:rFonts w:asciiTheme="minorHAnsi" w:hAnsiTheme="minorHAnsi"/>
          <w:szCs w:val="22"/>
        </w:rPr>
      </w:pPr>
      <w:r>
        <w:rPr>
          <w:rFonts w:asciiTheme="minorHAnsi" w:hAnsiTheme="minorHAnsi"/>
          <w:szCs w:val="22"/>
        </w:rPr>
        <w:lastRenderedPageBreak/>
        <w:t>Ensure the specialties affected have access to sufficient capacity to ensure that patients can be seen in a timely manner in line with RTT targets.</w:t>
      </w:r>
    </w:p>
    <w:p w14:paraId="1239F309" w14:textId="77777777" w:rsidR="00DE3193" w:rsidRDefault="00DE3193" w:rsidP="00F60A35">
      <w:pPr>
        <w:pStyle w:val="ListParagraph"/>
        <w:numPr>
          <w:ilvl w:val="0"/>
          <w:numId w:val="63"/>
        </w:numPr>
        <w:ind w:left="357" w:hanging="357"/>
        <w:rPr>
          <w:rFonts w:asciiTheme="minorHAnsi" w:hAnsiTheme="minorHAnsi"/>
          <w:szCs w:val="22"/>
        </w:rPr>
      </w:pPr>
      <w:r>
        <w:rPr>
          <w:rFonts w:asciiTheme="minorHAnsi" w:hAnsiTheme="minorHAnsi"/>
          <w:szCs w:val="22"/>
        </w:rPr>
        <w:t xml:space="preserve">Establish what systems, processes and governance arrangements need to be in place to prevent situations like this occurring again. </w:t>
      </w:r>
    </w:p>
    <w:p w14:paraId="542D5B3D" w14:textId="77777777" w:rsidR="00DE3193" w:rsidRPr="007E5499" w:rsidRDefault="00DE3193" w:rsidP="00DE3193">
      <w:pPr>
        <w:pStyle w:val="ListParagraph"/>
        <w:rPr>
          <w:rFonts w:asciiTheme="minorHAnsi" w:hAnsiTheme="minorHAnsi"/>
          <w:szCs w:val="22"/>
        </w:rPr>
      </w:pPr>
    </w:p>
    <w:p w14:paraId="6B120B20" w14:textId="77777777" w:rsidR="00DE3193" w:rsidRDefault="00DE3193" w:rsidP="00DE3193">
      <w:pPr>
        <w:rPr>
          <w:rFonts w:asciiTheme="minorHAnsi" w:hAnsiTheme="minorHAnsi"/>
        </w:rPr>
      </w:pPr>
      <w:r>
        <w:rPr>
          <w:rFonts w:asciiTheme="minorHAnsi" w:hAnsiTheme="minorHAnsi"/>
        </w:rPr>
        <w:t xml:space="preserve">A summary of the key elements of the work programme is detailed below: </w:t>
      </w:r>
    </w:p>
    <w:p w14:paraId="2E41ADE8" w14:textId="682D9F59" w:rsidR="00DE3193" w:rsidRDefault="00DE3193" w:rsidP="00F60A35">
      <w:pPr>
        <w:numPr>
          <w:ilvl w:val="0"/>
          <w:numId w:val="35"/>
        </w:numPr>
      </w:pPr>
      <w:r>
        <w:t xml:space="preserve">Breast Services – The project to centralise breast services was completed in 2017/18 and all clinics and surgery is now undertaken at </w:t>
      </w:r>
      <w:r w:rsidR="00FB5854">
        <w:t>RGH</w:t>
      </w:r>
      <w:r>
        <w:t xml:space="preserve">. </w:t>
      </w:r>
      <w:r w:rsidR="00FB5854">
        <w:t xml:space="preserve"> </w:t>
      </w:r>
      <w:r>
        <w:t xml:space="preserve">A preferred option has been identified for the future provision of breast services that would co-locate outpatient and imaging services enabling improved patient flow, enhanced facilities for training, enhanced patient experience and improved environment for patients and staff. The focus for 2020/21, linked to the wider RGH developments, will be continue to plan for the dedicated state of the art Breast Centre on the RGH site, supported with money raised by the Giving to Pink campaign, as part of the wider programme of planned service changes for the RGH site. </w:t>
      </w:r>
    </w:p>
    <w:p w14:paraId="28B96AAF" w14:textId="77777777" w:rsidR="00DE3193" w:rsidRDefault="00DE3193" w:rsidP="00F60A35">
      <w:pPr>
        <w:numPr>
          <w:ilvl w:val="0"/>
          <w:numId w:val="35"/>
        </w:numPr>
      </w:pPr>
      <w:r>
        <w:t>Cancer – During 2017/18 the Health Board established a formal Early Cancer Diagnosis Programme which focuses on improving survival outcomes for our local population. The key elements of the programme which continue in to 2020/21 include:</w:t>
      </w:r>
    </w:p>
    <w:p w14:paraId="6C3E8766" w14:textId="77777777" w:rsidR="00DE3193" w:rsidRDefault="00DE3193" w:rsidP="00F60A35">
      <w:pPr>
        <w:numPr>
          <w:ilvl w:val="1"/>
          <w:numId w:val="35"/>
        </w:numPr>
      </w:pPr>
      <w:r>
        <w:t xml:space="preserve">Embedding and evolving the Rapid Diagnostic Clinic as a mainstream service following a successful two year pilot phase.  </w:t>
      </w:r>
    </w:p>
    <w:p w14:paraId="35DD4D5D" w14:textId="77777777" w:rsidR="00DE3193" w:rsidRDefault="00DE3193" w:rsidP="00F60A35">
      <w:pPr>
        <w:numPr>
          <w:ilvl w:val="1"/>
          <w:numId w:val="35"/>
        </w:numPr>
      </w:pPr>
      <w:r>
        <w:t xml:space="preserve">Public awareness – A programme of community engagement to address barriers to early presentation of cancer, recognising the culture within our local communities in relation to cancer presentation. </w:t>
      </w:r>
    </w:p>
    <w:p w14:paraId="05EDC5A0" w14:textId="77777777" w:rsidR="00DE3193" w:rsidRDefault="00DE3193" w:rsidP="00F60A35">
      <w:pPr>
        <w:numPr>
          <w:ilvl w:val="1"/>
          <w:numId w:val="35"/>
        </w:numPr>
      </w:pPr>
      <w:r>
        <w:t xml:space="preserve">Increasing and strengthening diagnostic capacity to facilitate the delivery of the Single Cancer Pathway. Developing expertise and increasing resource to deliver national optimal pathways. </w:t>
      </w:r>
    </w:p>
    <w:p w14:paraId="0DC340A1" w14:textId="77777777" w:rsidR="00DE3193" w:rsidRPr="009C6233" w:rsidRDefault="00DE3193" w:rsidP="00F60A35">
      <w:pPr>
        <w:pStyle w:val="NormaBulletIndent"/>
        <w:numPr>
          <w:ilvl w:val="0"/>
          <w:numId w:val="36"/>
        </w:numPr>
        <w:ind w:left="426" w:hanging="426"/>
        <w:rPr>
          <w:szCs w:val="22"/>
        </w:rPr>
      </w:pPr>
      <w:r w:rsidRPr="00FE1BBB">
        <w:rPr>
          <w:szCs w:val="22"/>
        </w:rPr>
        <w:t xml:space="preserve">Theatres – development of a dedicated day surgery unit on the RGH site; standardise Pre-Operative Assessment Screening Service. </w:t>
      </w:r>
    </w:p>
    <w:p w14:paraId="16930821" w14:textId="77777777" w:rsidR="00DE3193" w:rsidRPr="009C6233" w:rsidRDefault="00DE3193" w:rsidP="00F60A35">
      <w:pPr>
        <w:pStyle w:val="NormaBulletIndent"/>
        <w:numPr>
          <w:ilvl w:val="0"/>
          <w:numId w:val="36"/>
        </w:numPr>
        <w:ind w:left="426" w:hanging="426"/>
        <w:rPr>
          <w:szCs w:val="22"/>
        </w:rPr>
      </w:pPr>
      <w:r w:rsidRPr="009F55A5">
        <w:rPr>
          <w:szCs w:val="22"/>
        </w:rPr>
        <w:t>Outpatient Improvement - reduction in outpatient DNA rates from improved text and remind coverage; improved delayed Follow Up Not Booked Position with particular focus on clinical risk</w:t>
      </w:r>
      <w:r>
        <w:rPr>
          <w:szCs w:val="22"/>
        </w:rPr>
        <w:t>; work collaboratively across Health Boards to explore predictive modelling options to minimise DNAs and cancellations; explore the potential to introduce new technology approaches to deliver outpatient services closer to patient’s homes and communities.</w:t>
      </w:r>
    </w:p>
    <w:p w14:paraId="21AB90D7" w14:textId="6570012C" w:rsidR="00DE3193" w:rsidRPr="009C6233" w:rsidRDefault="00DE3193" w:rsidP="00F60A35">
      <w:pPr>
        <w:pStyle w:val="NormaBulletIndent"/>
        <w:numPr>
          <w:ilvl w:val="0"/>
          <w:numId w:val="36"/>
        </w:numPr>
        <w:ind w:left="426" w:hanging="426"/>
        <w:rPr>
          <w:szCs w:val="22"/>
        </w:rPr>
      </w:pPr>
      <w:r w:rsidRPr="007F3C76">
        <w:rPr>
          <w:szCs w:val="22"/>
        </w:rPr>
        <w:t xml:space="preserve">Develop and implement expansion of current Glaucoma team in </w:t>
      </w:r>
      <w:r w:rsidR="00E32360">
        <w:rPr>
          <w:szCs w:val="22"/>
        </w:rPr>
        <w:t>POWH</w:t>
      </w:r>
      <w:r w:rsidRPr="007F3C76">
        <w:rPr>
          <w:szCs w:val="22"/>
        </w:rPr>
        <w:t xml:space="preserve"> to enable provision of services that meet the new eye care measure as part of the national planned care work. </w:t>
      </w:r>
    </w:p>
    <w:p w14:paraId="4DE03A15" w14:textId="6A9050B9" w:rsidR="00DE3193" w:rsidRPr="009C6233" w:rsidRDefault="00DE3193" w:rsidP="00F60A35">
      <w:pPr>
        <w:pStyle w:val="NormaBulletIndent"/>
        <w:numPr>
          <w:ilvl w:val="0"/>
          <w:numId w:val="36"/>
        </w:numPr>
        <w:ind w:left="426" w:hanging="426"/>
        <w:rPr>
          <w:szCs w:val="22"/>
        </w:rPr>
      </w:pPr>
      <w:r w:rsidRPr="00F6140B">
        <w:rPr>
          <w:szCs w:val="22"/>
        </w:rPr>
        <w:t xml:space="preserve">Development of a nutrition team in </w:t>
      </w:r>
      <w:r w:rsidR="00E32360">
        <w:rPr>
          <w:szCs w:val="22"/>
        </w:rPr>
        <w:t>POWH</w:t>
      </w:r>
      <w:r w:rsidR="00C10BAB">
        <w:rPr>
          <w:szCs w:val="22"/>
        </w:rPr>
        <w:t xml:space="preserve"> </w:t>
      </w:r>
      <w:r w:rsidRPr="00F6140B">
        <w:rPr>
          <w:szCs w:val="22"/>
        </w:rPr>
        <w:t xml:space="preserve">to provide support for patients in accordance with NICE recommendations for patients who require nutritional support to be managed by a dedicated multidisciplinary nutrition team. </w:t>
      </w:r>
    </w:p>
    <w:p w14:paraId="2E211764" w14:textId="660E740C" w:rsidR="00DE3193" w:rsidRPr="009C6233" w:rsidRDefault="00DE3193" w:rsidP="00F60A35">
      <w:pPr>
        <w:pStyle w:val="NormaBulletIndent"/>
        <w:numPr>
          <w:ilvl w:val="0"/>
          <w:numId w:val="36"/>
        </w:numPr>
        <w:ind w:left="426" w:hanging="426"/>
        <w:rPr>
          <w:szCs w:val="22"/>
        </w:rPr>
      </w:pPr>
      <w:r w:rsidRPr="00F6140B">
        <w:rPr>
          <w:szCs w:val="22"/>
        </w:rPr>
        <w:t xml:space="preserve">Develop a sustainable Heart Failure Team </w:t>
      </w:r>
      <w:r>
        <w:rPr>
          <w:szCs w:val="22"/>
        </w:rPr>
        <w:t xml:space="preserve">across the </w:t>
      </w:r>
      <w:r w:rsidR="003474EE">
        <w:rPr>
          <w:szCs w:val="22"/>
        </w:rPr>
        <w:t>UHB</w:t>
      </w:r>
      <w:r>
        <w:rPr>
          <w:szCs w:val="22"/>
        </w:rPr>
        <w:t>.</w:t>
      </w:r>
    </w:p>
    <w:p w14:paraId="468B100C" w14:textId="6B046F95" w:rsidR="00DE3193" w:rsidRPr="009C6233" w:rsidRDefault="00DE3193" w:rsidP="00F60A35">
      <w:pPr>
        <w:pStyle w:val="NormaBulletIndent"/>
        <w:numPr>
          <w:ilvl w:val="0"/>
          <w:numId w:val="36"/>
        </w:numPr>
        <w:ind w:left="426" w:hanging="426"/>
        <w:rPr>
          <w:szCs w:val="22"/>
        </w:rPr>
      </w:pPr>
      <w:r w:rsidRPr="00F6140B">
        <w:rPr>
          <w:szCs w:val="22"/>
        </w:rPr>
        <w:t xml:space="preserve">Implementation of a sustainable cardiology service in </w:t>
      </w:r>
      <w:r w:rsidR="00E32360">
        <w:rPr>
          <w:szCs w:val="22"/>
        </w:rPr>
        <w:t>POWH</w:t>
      </w:r>
      <w:r w:rsidRPr="00F6140B">
        <w:rPr>
          <w:szCs w:val="22"/>
        </w:rPr>
        <w:t>.  The service currently delivers all treatment and diagnostic services within RTT targets however performance is maintained with consultants working more than 10 sessions and some additional WLI activity.</w:t>
      </w:r>
    </w:p>
    <w:p w14:paraId="5FF38974" w14:textId="4ED307DF" w:rsidR="00DE3193" w:rsidRDefault="00DE3193" w:rsidP="00F60A35">
      <w:pPr>
        <w:pStyle w:val="NormaBulletIndent"/>
        <w:numPr>
          <w:ilvl w:val="0"/>
          <w:numId w:val="36"/>
        </w:numPr>
        <w:ind w:left="426" w:hanging="426"/>
        <w:rPr>
          <w:szCs w:val="22"/>
        </w:rPr>
      </w:pPr>
      <w:r w:rsidRPr="00F6140B">
        <w:rPr>
          <w:szCs w:val="22"/>
        </w:rPr>
        <w:t xml:space="preserve">Develop a sustainable ITU Consultant workforce in </w:t>
      </w:r>
      <w:r w:rsidR="00E32360">
        <w:rPr>
          <w:szCs w:val="22"/>
        </w:rPr>
        <w:t>POWH</w:t>
      </w:r>
      <w:r w:rsidRPr="00F6140B">
        <w:rPr>
          <w:szCs w:val="22"/>
        </w:rPr>
        <w:t xml:space="preserve"> to improve quality,</w:t>
      </w:r>
      <w:r>
        <w:rPr>
          <w:szCs w:val="22"/>
        </w:rPr>
        <w:t xml:space="preserve"> safety and patient experience.</w:t>
      </w:r>
    </w:p>
    <w:p w14:paraId="1CED12F7" w14:textId="1532B8B8" w:rsidR="00DE3193" w:rsidRPr="008152EE" w:rsidRDefault="00DE3193" w:rsidP="00F60A35">
      <w:pPr>
        <w:pStyle w:val="NormaBulletIndent"/>
        <w:numPr>
          <w:ilvl w:val="0"/>
          <w:numId w:val="36"/>
        </w:numPr>
        <w:ind w:left="426" w:hanging="426"/>
        <w:rPr>
          <w:szCs w:val="22"/>
        </w:rPr>
      </w:pPr>
      <w:r w:rsidRPr="008152EE">
        <w:rPr>
          <w:szCs w:val="22"/>
        </w:rPr>
        <w:t xml:space="preserve">Maintain the endoscopy service at </w:t>
      </w:r>
      <w:r w:rsidR="005F2768">
        <w:rPr>
          <w:szCs w:val="22"/>
        </w:rPr>
        <w:t>PCH</w:t>
      </w:r>
      <w:r w:rsidRPr="008152EE">
        <w:rPr>
          <w:szCs w:val="22"/>
        </w:rPr>
        <w:t xml:space="preserve"> and expand the endoscopy services in </w:t>
      </w:r>
      <w:r w:rsidR="005F2768">
        <w:rPr>
          <w:szCs w:val="22"/>
        </w:rPr>
        <w:t>RGH</w:t>
      </w:r>
      <w:r w:rsidRPr="008152EE">
        <w:rPr>
          <w:szCs w:val="22"/>
        </w:rPr>
        <w:t>, as part of the interim plan, leading to the longer term Phase 2 development of the Diagnostic Hub and achieving JAG accreditation.</w:t>
      </w:r>
    </w:p>
    <w:p w14:paraId="4DFD4FD1" w14:textId="16C1A818" w:rsidR="00DE3193" w:rsidRDefault="00DE3193" w:rsidP="00F60A35">
      <w:pPr>
        <w:pStyle w:val="NormaBulletIndent"/>
        <w:numPr>
          <w:ilvl w:val="0"/>
          <w:numId w:val="36"/>
        </w:numPr>
        <w:ind w:left="426" w:hanging="426"/>
        <w:rPr>
          <w:szCs w:val="22"/>
        </w:rPr>
      </w:pPr>
      <w:r w:rsidRPr="001A2A19">
        <w:rPr>
          <w:szCs w:val="22"/>
        </w:rPr>
        <w:t xml:space="preserve">Develop organisational frailty </w:t>
      </w:r>
      <w:r>
        <w:rPr>
          <w:szCs w:val="22"/>
        </w:rPr>
        <w:t xml:space="preserve">and orthogeriatrician </w:t>
      </w:r>
      <w:r w:rsidRPr="001A2A19">
        <w:rPr>
          <w:szCs w:val="22"/>
        </w:rPr>
        <w:t xml:space="preserve">model </w:t>
      </w:r>
      <w:r>
        <w:rPr>
          <w:szCs w:val="22"/>
        </w:rPr>
        <w:t xml:space="preserve">across the </w:t>
      </w:r>
      <w:r w:rsidR="002A5BBE">
        <w:rPr>
          <w:szCs w:val="22"/>
        </w:rPr>
        <w:t>UHB</w:t>
      </w:r>
      <w:r>
        <w:rPr>
          <w:szCs w:val="22"/>
        </w:rPr>
        <w:t>.</w:t>
      </w:r>
    </w:p>
    <w:p w14:paraId="09EBE6B6" w14:textId="77777777" w:rsidR="00DE3193" w:rsidRDefault="00DE3193" w:rsidP="00F60A35">
      <w:pPr>
        <w:pStyle w:val="NormaBulletIndent"/>
        <w:numPr>
          <w:ilvl w:val="0"/>
          <w:numId w:val="36"/>
        </w:numPr>
        <w:ind w:left="426" w:hanging="426"/>
        <w:rPr>
          <w:szCs w:val="22"/>
        </w:rPr>
      </w:pPr>
      <w:r>
        <w:rPr>
          <w:szCs w:val="22"/>
        </w:rPr>
        <w:t xml:space="preserve">Development of </w:t>
      </w:r>
      <w:r w:rsidRPr="00C454CE">
        <w:rPr>
          <w:szCs w:val="22"/>
        </w:rPr>
        <w:t>dedicated ring fenced acute NIV service on the acute sites to deliver timely, safe and effective care to patients whilst acknowledging the prospective remodelling in line with the South Wales Plan</w:t>
      </w:r>
      <w:r>
        <w:rPr>
          <w:szCs w:val="22"/>
        </w:rPr>
        <w:t>.</w:t>
      </w:r>
    </w:p>
    <w:p w14:paraId="39FE892B" w14:textId="77777777" w:rsidR="00DE3193" w:rsidRPr="00ED7EBE" w:rsidRDefault="00DE3193" w:rsidP="00F60A35">
      <w:pPr>
        <w:pStyle w:val="NormaBulletIndent"/>
        <w:numPr>
          <w:ilvl w:val="0"/>
          <w:numId w:val="36"/>
        </w:numPr>
        <w:ind w:left="426" w:hanging="426"/>
        <w:rPr>
          <w:szCs w:val="22"/>
        </w:rPr>
      </w:pPr>
      <w:r w:rsidRPr="008A1BD3">
        <w:rPr>
          <w:rFonts w:asciiTheme="minorHAnsi" w:hAnsiTheme="minorHAnsi"/>
          <w:bCs/>
        </w:rPr>
        <w:t>Develop enhanced neurophysiology services for the local population.</w:t>
      </w:r>
    </w:p>
    <w:p w14:paraId="74E1012C" w14:textId="75AAFC83" w:rsidR="00DE3193" w:rsidRDefault="00DE3193" w:rsidP="00F60A35">
      <w:pPr>
        <w:pStyle w:val="NormaBulletIndent"/>
        <w:numPr>
          <w:ilvl w:val="0"/>
          <w:numId w:val="36"/>
        </w:numPr>
        <w:ind w:left="426" w:hanging="426"/>
        <w:rPr>
          <w:szCs w:val="22"/>
        </w:rPr>
      </w:pPr>
      <w:r w:rsidRPr="00ED7EBE">
        <w:rPr>
          <w:szCs w:val="22"/>
        </w:rPr>
        <w:t>Gastroenterology – roll out of an out of hours 24/7 upper GI Bleed Roster (currently 12 hours a day)</w:t>
      </w:r>
      <w:r>
        <w:rPr>
          <w:szCs w:val="22"/>
        </w:rPr>
        <w:t>.</w:t>
      </w:r>
    </w:p>
    <w:p w14:paraId="76F6EAEB" w14:textId="77777777" w:rsidR="00DE3193" w:rsidRDefault="00DE3193" w:rsidP="00F60A35">
      <w:pPr>
        <w:pStyle w:val="NormaBulletIndent"/>
        <w:numPr>
          <w:ilvl w:val="0"/>
          <w:numId w:val="36"/>
        </w:numPr>
        <w:ind w:left="426" w:hanging="426"/>
        <w:rPr>
          <w:szCs w:val="22"/>
        </w:rPr>
      </w:pPr>
      <w:r w:rsidRPr="009F059C">
        <w:rPr>
          <w:szCs w:val="22"/>
        </w:rPr>
        <w:t>Progress on Improved Criti</w:t>
      </w:r>
      <w:r>
        <w:rPr>
          <w:szCs w:val="22"/>
        </w:rPr>
        <w:t>c</w:t>
      </w:r>
      <w:r w:rsidRPr="009F059C">
        <w:rPr>
          <w:szCs w:val="22"/>
        </w:rPr>
        <w:t xml:space="preserve">al </w:t>
      </w:r>
      <w:r>
        <w:rPr>
          <w:szCs w:val="22"/>
        </w:rPr>
        <w:t>C</w:t>
      </w:r>
      <w:r w:rsidRPr="009F059C">
        <w:rPr>
          <w:szCs w:val="22"/>
        </w:rPr>
        <w:t>are infrastructure in preparation for organisational changes</w:t>
      </w:r>
      <w:r>
        <w:rPr>
          <w:szCs w:val="22"/>
        </w:rPr>
        <w:t xml:space="preserve">, </w:t>
      </w:r>
      <w:r w:rsidRPr="009F059C">
        <w:rPr>
          <w:szCs w:val="22"/>
        </w:rPr>
        <w:t>changes in demand anticipated</w:t>
      </w:r>
      <w:r>
        <w:rPr>
          <w:szCs w:val="22"/>
        </w:rPr>
        <w:t xml:space="preserve"> and to meet the Critical Care Network quality standards. </w:t>
      </w:r>
    </w:p>
    <w:p w14:paraId="799F35F9" w14:textId="0C29E104" w:rsidR="00DE3193" w:rsidRDefault="00DE3193" w:rsidP="00F60A35">
      <w:pPr>
        <w:pStyle w:val="NormaBulletIndent"/>
        <w:numPr>
          <w:ilvl w:val="0"/>
          <w:numId w:val="36"/>
        </w:numPr>
        <w:ind w:left="426" w:hanging="426"/>
        <w:rPr>
          <w:szCs w:val="22"/>
        </w:rPr>
      </w:pPr>
      <w:r>
        <w:rPr>
          <w:szCs w:val="22"/>
        </w:rPr>
        <w:t xml:space="preserve">Progress on the plans to deliver a central decontamination unit on </w:t>
      </w:r>
      <w:r w:rsidR="0033375C">
        <w:rPr>
          <w:szCs w:val="22"/>
        </w:rPr>
        <w:t>POWH</w:t>
      </w:r>
      <w:r>
        <w:rPr>
          <w:szCs w:val="22"/>
        </w:rPr>
        <w:t xml:space="preserve"> site that maintains JAG accreditation.</w:t>
      </w:r>
    </w:p>
    <w:p w14:paraId="6BE6945B" w14:textId="77777777" w:rsidR="00DE3193" w:rsidRDefault="00DE3193" w:rsidP="00F60A35">
      <w:pPr>
        <w:pStyle w:val="NormaBulletIndent"/>
        <w:numPr>
          <w:ilvl w:val="0"/>
          <w:numId w:val="36"/>
        </w:numPr>
        <w:ind w:left="426" w:hanging="426"/>
        <w:rPr>
          <w:szCs w:val="22"/>
        </w:rPr>
      </w:pPr>
      <w:r>
        <w:rPr>
          <w:szCs w:val="22"/>
        </w:rPr>
        <w:t>Establish tracheotomy specialist nurse.</w:t>
      </w:r>
    </w:p>
    <w:p w14:paraId="07D64D7D" w14:textId="41DB6E87" w:rsidR="00DE3193" w:rsidRPr="002A24C7" w:rsidRDefault="00DE3193" w:rsidP="00F60A35">
      <w:pPr>
        <w:pStyle w:val="NormaBulletIndent"/>
        <w:numPr>
          <w:ilvl w:val="0"/>
          <w:numId w:val="36"/>
        </w:numPr>
        <w:ind w:left="426" w:hanging="426"/>
        <w:rPr>
          <w:szCs w:val="22"/>
        </w:rPr>
      </w:pPr>
      <w:r>
        <w:rPr>
          <w:szCs w:val="22"/>
        </w:rPr>
        <w:lastRenderedPageBreak/>
        <w:t>Re-design of C</w:t>
      </w:r>
      <w:r w:rsidR="0033375C">
        <w:rPr>
          <w:szCs w:val="22"/>
        </w:rPr>
        <w:t>hronic Pain service across the UHB</w:t>
      </w:r>
      <w:r>
        <w:rPr>
          <w:szCs w:val="22"/>
        </w:rPr>
        <w:t xml:space="preserve"> to provide additional capacity to meet RTT targets and to be able to provide a high quality service and address inequity of access across the</w:t>
      </w:r>
      <w:r w:rsidR="0033375C">
        <w:rPr>
          <w:szCs w:val="22"/>
        </w:rPr>
        <w:t xml:space="preserve"> UHB</w:t>
      </w:r>
      <w:r>
        <w:rPr>
          <w:szCs w:val="22"/>
        </w:rPr>
        <w:t xml:space="preserve">. </w:t>
      </w:r>
    </w:p>
    <w:p w14:paraId="43677393" w14:textId="77777777" w:rsidR="00DE3193" w:rsidRPr="009C6233" w:rsidRDefault="00DE3193" w:rsidP="00F60A35">
      <w:pPr>
        <w:pStyle w:val="NormaBulletIndent"/>
        <w:numPr>
          <w:ilvl w:val="0"/>
          <w:numId w:val="36"/>
        </w:numPr>
        <w:ind w:left="426" w:hanging="426"/>
        <w:rPr>
          <w:szCs w:val="22"/>
        </w:rPr>
      </w:pPr>
      <w:r>
        <w:rPr>
          <w:szCs w:val="22"/>
        </w:rPr>
        <w:t xml:space="preserve">Re-design of elective/emergency Trauma &amp; Orthopaedic Service to provide timely trauma surgery and reduce cancellations of elective surgery due to the impact of trauma, including the provision of E-PROMS as a key enabler to increase the provision of virtual follow up appointments. </w:t>
      </w:r>
    </w:p>
    <w:p w14:paraId="72C9ACF6" w14:textId="6513110F" w:rsidR="00DE3193" w:rsidRPr="00F64708" w:rsidRDefault="00DE3193" w:rsidP="00F60A35">
      <w:pPr>
        <w:pStyle w:val="NormaBulletIndent"/>
        <w:numPr>
          <w:ilvl w:val="0"/>
          <w:numId w:val="36"/>
        </w:numPr>
        <w:ind w:left="426" w:hanging="426"/>
        <w:rPr>
          <w:szCs w:val="22"/>
        </w:rPr>
      </w:pPr>
      <w:r>
        <w:rPr>
          <w:szCs w:val="22"/>
        </w:rPr>
        <w:t xml:space="preserve">Develop a sustainable Urology workforce model across the </w:t>
      </w:r>
      <w:r w:rsidR="0033375C">
        <w:rPr>
          <w:szCs w:val="22"/>
        </w:rPr>
        <w:t>UHB</w:t>
      </w:r>
      <w:r>
        <w:rPr>
          <w:szCs w:val="22"/>
        </w:rPr>
        <w:t xml:space="preserve"> to improve quality, safety and patient experience. </w:t>
      </w:r>
      <w:r w:rsidRPr="00F64708">
        <w:rPr>
          <w:szCs w:val="22"/>
        </w:rPr>
        <w:tab/>
      </w:r>
      <w:r w:rsidRPr="00F64708">
        <w:rPr>
          <w:szCs w:val="22"/>
        </w:rPr>
        <w:tab/>
      </w:r>
      <w:r w:rsidRPr="00F64708">
        <w:rPr>
          <w:szCs w:val="22"/>
        </w:rPr>
        <w:tab/>
      </w:r>
    </w:p>
    <w:p w14:paraId="3DFD3C0C" w14:textId="47EB6702" w:rsidR="00DE3193" w:rsidRDefault="00DE3193" w:rsidP="00F60A35">
      <w:pPr>
        <w:pStyle w:val="NormaBulletIndent"/>
        <w:numPr>
          <w:ilvl w:val="0"/>
          <w:numId w:val="36"/>
        </w:numPr>
        <w:ind w:left="426" w:hanging="426"/>
        <w:rPr>
          <w:szCs w:val="22"/>
        </w:rPr>
      </w:pPr>
      <w:r>
        <w:rPr>
          <w:szCs w:val="22"/>
        </w:rPr>
        <w:t xml:space="preserve">Undertake clinical review of Ophthalmology services across the </w:t>
      </w:r>
      <w:r w:rsidR="0033375C">
        <w:rPr>
          <w:szCs w:val="22"/>
        </w:rPr>
        <w:t>UHB</w:t>
      </w:r>
      <w:r>
        <w:rPr>
          <w:szCs w:val="22"/>
        </w:rPr>
        <w:t xml:space="preserve"> and implement a service model that will provide patients with equitable access to a safe, effective and sustainable service. </w:t>
      </w:r>
    </w:p>
    <w:p w14:paraId="36F57ABE" w14:textId="6B6ECFC1" w:rsidR="00DE3193" w:rsidRPr="009C6233" w:rsidRDefault="00DE3193" w:rsidP="00F60A35">
      <w:pPr>
        <w:pStyle w:val="NormaBulletIndent"/>
        <w:numPr>
          <w:ilvl w:val="0"/>
          <w:numId w:val="36"/>
        </w:numPr>
        <w:ind w:left="426" w:hanging="426"/>
        <w:rPr>
          <w:szCs w:val="22"/>
        </w:rPr>
      </w:pPr>
      <w:r>
        <w:rPr>
          <w:szCs w:val="22"/>
        </w:rPr>
        <w:t xml:space="preserve">Undertake clinical review of Oral and Maxillo-facial (OMF) service provision and develop a sustainable service model across the </w:t>
      </w:r>
      <w:r w:rsidR="0033375C">
        <w:rPr>
          <w:szCs w:val="22"/>
        </w:rPr>
        <w:t xml:space="preserve">UHB </w:t>
      </w:r>
      <w:r>
        <w:rPr>
          <w:szCs w:val="22"/>
        </w:rPr>
        <w:t xml:space="preserve">that will provide patients with equitable access to a safe and effective OMF and restorative dentistry service. </w:t>
      </w:r>
    </w:p>
    <w:p w14:paraId="02729176" w14:textId="7E175629" w:rsidR="00DE3193" w:rsidRDefault="00DE3193" w:rsidP="00F60A35">
      <w:pPr>
        <w:pStyle w:val="NormaBulletIndent"/>
        <w:numPr>
          <w:ilvl w:val="0"/>
          <w:numId w:val="36"/>
        </w:numPr>
        <w:ind w:left="426" w:hanging="426"/>
        <w:rPr>
          <w:szCs w:val="22"/>
        </w:rPr>
      </w:pPr>
      <w:r>
        <w:rPr>
          <w:szCs w:val="22"/>
        </w:rPr>
        <w:t xml:space="preserve">Continue to work with </w:t>
      </w:r>
      <w:r w:rsidR="0033375C">
        <w:rPr>
          <w:szCs w:val="22"/>
        </w:rPr>
        <w:t>HB</w:t>
      </w:r>
      <w:r>
        <w:rPr>
          <w:szCs w:val="22"/>
        </w:rPr>
        <w:t xml:space="preserve"> colleagues across the region to take forward the implementation of the vascular service centralisation ensuring that the service model provides a safe and timely service for our residents. </w:t>
      </w:r>
    </w:p>
    <w:p w14:paraId="00430575" w14:textId="6AA00285" w:rsidR="00DE3193" w:rsidRDefault="00DE3193" w:rsidP="00F60A35">
      <w:pPr>
        <w:pStyle w:val="NormaBulletIndent"/>
        <w:numPr>
          <w:ilvl w:val="0"/>
          <w:numId w:val="36"/>
        </w:numPr>
        <w:ind w:left="426" w:hanging="426"/>
        <w:rPr>
          <w:szCs w:val="22"/>
        </w:rPr>
      </w:pPr>
      <w:r>
        <w:rPr>
          <w:szCs w:val="22"/>
        </w:rPr>
        <w:t xml:space="preserve">Continue to work with </w:t>
      </w:r>
      <w:r w:rsidR="0033375C">
        <w:rPr>
          <w:szCs w:val="22"/>
        </w:rPr>
        <w:t>HB</w:t>
      </w:r>
      <w:r>
        <w:rPr>
          <w:szCs w:val="22"/>
        </w:rPr>
        <w:t xml:space="preserve"> colleagues across the region to take forward the development of the National Ophthalmology Electronic Patient Record, e-referral and development of regional high volume cataract facility for South East Wales. </w:t>
      </w:r>
    </w:p>
    <w:p w14:paraId="263505B7" w14:textId="1A05B664" w:rsidR="00DE3193" w:rsidRPr="00D335D0" w:rsidRDefault="00DE3193" w:rsidP="00F60A35">
      <w:pPr>
        <w:pStyle w:val="NormaBulletIndent"/>
        <w:numPr>
          <w:ilvl w:val="0"/>
          <w:numId w:val="36"/>
        </w:numPr>
        <w:ind w:left="426" w:hanging="426"/>
        <w:rPr>
          <w:szCs w:val="22"/>
        </w:rPr>
      </w:pPr>
      <w:r>
        <w:rPr>
          <w:szCs w:val="22"/>
        </w:rPr>
        <w:t>Cochlear – development of an agreement with WHSSC on plans for provision of cochlear implant service in</w:t>
      </w:r>
      <w:r w:rsidR="0033375C">
        <w:rPr>
          <w:szCs w:val="22"/>
        </w:rPr>
        <w:t xml:space="preserve"> POWH</w:t>
      </w:r>
      <w:r>
        <w:rPr>
          <w:szCs w:val="22"/>
        </w:rPr>
        <w:t>.</w:t>
      </w:r>
    </w:p>
    <w:p w14:paraId="3A128A88" w14:textId="77777777" w:rsidR="00DE3193" w:rsidRPr="00DE3193" w:rsidRDefault="00DE3193" w:rsidP="00BB7B73">
      <w:pPr>
        <w:pStyle w:val="Heading4"/>
      </w:pPr>
      <w:r w:rsidRPr="00DE3193">
        <w:t>Alignment to National Planned Care Programme</w:t>
      </w:r>
    </w:p>
    <w:p w14:paraId="39CBEDC8" w14:textId="37F7E120" w:rsidR="00DE3193" w:rsidRPr="00E334A5" w:rsidRDefault="00DE3193" w:rsidP="00DE3193">
      <w:pPr>
        <w:rPr>
          <w:rFonts w:asciiTheme="minorHAnsi" w:hAnsiTheme="minorHAnsi"/>
          <w:i/>
        </w:rPr>
      </w:pPr>
      <w:r w:rsidRPr="00DF7CF6">
        <w:rPr>
          <w:rFonts w:asciiTheme="minorHAnsi" w:hAnsiTheme="minorHAnsi"/>
        </w:rPr>
        <w:t xml:space="preserve">The </w:t>
      </w:r>
      <w:r w:rsidRPr="00297635">
        <w:rPr>
          <w:rFonts w:asciiTheme="minorHAnsi" w:hAnsiTheme="minorHAnsi"/>
        </w:rPr>
        <w:t>National Planned Care Programme</w:t>
      </w:r>
      <w:r w:rsidRPr="00DF7CF6">
        <w:rPr>
          <w:rFonts w:asciiTheme="minorHAnsi" w:hAnsiTheme="minorHAnsi"/>
        </w:rPr>
        <w:t xml:space="preserve"> provides a methodology for improving the delivery of planned care services in Wales.  The Programme structure provides a balanced approach to service change, based on prudent healthcare principles, which are designed to augment </w:t>
      </w:r>
      <w:r w:rsidR="0033375C">
        <w:rPr>
          <w:rFonts w:asciiTheme="minorHAnsi" w:hAnsiTheme="minorHAnsi"/>
        </w:rPr>
        <w:t>HB</w:t>
      </w:r>
      <w:r w:rsidRPr="00DF7CF6">
        <w:rPr>
          <w:rFonts w:asciiTheme="minorHAnsi" w:hAnsiTheme="minorHAnsi"/>
        </w:rPr>
        <w:t xml:space="preserve"> efficiency measures and changes to the capacity of existing health care processes.  The key priorities for improvement include:</w:t>
      </w:r>
    </w:p>
    <w:p w14:paraId="5F6DD5EA" w14:textId="77777777" w:rsidR="00DE3193" w:rsidRPr="00DF7CF6" w:rsidRDefault="00DE3193" w:rsidP="00F60A35">
      <w:pPr>
        <w:numPr>
          <w:ilvl w:val="0"/>
          <w:numId w:val="35"/>
        </w:numPr>
      </w:pPr>
      <w:r w:rsidRPr="00DF7CF6">
        <w:t xml:space="preserve">Ophthalmology: Implementation of new eye care measure; increased number of patients seen by </w:t>
      </w:r>
      <w:r>
        <w:t>multi-disciplinary p</w:t>
      </w:r>
      <w:r w:rsidRPr="00DF7CF6">
        <w:t>ractitioners (optometrists, advanced nurse practitioners) where clinically appropriate</w:t>
      </w:r>
      <w:r>
        <w:t>; implementation of the cataract pathway</w:t>
      </w:r>
      <w:r w:rsidRPr="00DF7CF6">
        <w:t>.</w:t>
      </w:r>
    </w:p>
    <w:p w14:paraId="13B45E0F" w14:textId="77777777" w:rsidR="00DE3193" w:rsidRPr="00DF7CF6" w:rsidRDefault="00DE3193" w:rsidP="00F60A35">
      <w:pPr>
        <w:numPr>
          <w:ilvl w:val="0"/>
          <w:numId w:val="35"/>
        </w:numPr>
      </w:pPr>
      <w:r w:rsidRPr="00DF7CF6">
        <w:t xml:space="preserve">Orthopaedics: Virtual follow up activity for hip and knee arthroplasty (PROMS). </w:t>
      </w:r>
    </w:p>
    <w:p w14:paraId="09891615" w14:textId="77777777" w:rsidR="00DE3193" w:rsidRPr="00DF7CF6" w:rsidRDefault="00DE3193" w:rsidP="00F60A35">
      <w:pPr>
        <w:numPr>
          <w:ilvl w:val="0"/>
          <w:numId w:val="35"/>
        </w:numPr>
      </w:pPr>
      <w:r w:rsidRPr="00DF7CF6">
        <w:t>ENT: Implementation of follow up guidelines.</w:t>
      </w:r>
    </w:p>
    <w:p w14:paraId="6B20D2AE" w14:textId="77777777" w:rsidR="00DE3193" w:rsidRPr="00DF7CF6" w:rsidRDefault="00DE3193" w:rsidP="00F60A35">
      <w:pPr>
        <w:numPr>
          <w:ilvl w:val="0"/>
          <w:numId w:val="35"/>
        </w:numPr>
      </w:pPr>
      <w:r w:rsidRPr="00DF7CF6">
        <w:t xml:space="preserve">Urology: </w:t>
      </w:r>
      <w:r>
        <w:t>Self-management</w:t>
      </w:r>
      <w:r w:rsidRPr="00DF7CF6">
        <w:t xml:space="preserve"> follow up of patients with prostate cancer</w:t>
      </w:r>
      <w:r>
        <w:t>; to remain in the community and to reduce unnecessary follow up appointments.</w:t>
      </w:r>
    </w:p>
    <w:p w14:paraId="653F601C" w14:textId="77777777" w:rsidR="00DE3193" w:rsidRPr="00DF7CF6" w:rsidRDefault="00DE3193" w:rsidP="00F60A35">
      <w:pPr>
        <w:numPr>
          <w:ilvl w:val="0"/>
          <w:numId w:val="35"/>
        </w:numPr>
      </w:pPr>
      <w:r w:rsidRPr="00DF7CF6">
        <w:t>Dermatology: Tele-dermatology to support primary care and provide better access to specialist opinion in rural areas; roll out of low risk surgical procedures to be undertaken in primary care; appointment of clinical fellow posts.</w:t>
      </w:r>
    </w:p>
    <w:p w14:paraId="4B56F899" w14:textId="77777777" w:rsidR="00DE3193" w:rsidRDefault="00DE3193" w:rsidP="00DE3193">
      <w:pPr>
        <w:rPr>
          <w:rFonts w:asciiTheme="minorHAnsi" w:hAnsiTheme="minorHAnsi"/>
          <w:bCs/>
        </w:rPr>
      </w:pPr>
    </w:p>
    <w:p w14:paraId="628BEB08" w14:textId="44FB5FD3" w:rsidR="00DE3193" w:rsidRPr="00DF7CF6" w:rsidRDefault="00DE3193" w:rsidP="00DE3193">
      <w:pPr>
        <w:rPr>
          <w:rFonts w:asciiTheme="minorHAnsi" w:hAnsiTheme="minorHAnsi"/>
          <w:bCs/>
        </w:rPr>
      </w:pPr>
      <w:r>
        <w:rPr>
          <w:rFonts w:asciiTheme="minorHAnsi" w:hAnsiTheme="minorHAnsi"/>
          <w:bCs/>
        </w:rPr>
        <w:t xml:space="preserve">The </w:t>
      </w:r>
      <w:r w:rsidR="00927D22">
        <w:rPr>
          <w:rFonts w:asciiTheme="minorHAnsi" w:hAnsiTheme="minorHAnsi"/>
          <w:bCs/>
        </w:rPr>
        <w:t>UHB</w:t>
      </w:r>
      <w:r>
        <w:rPr>
          <w:rFonts w:asciiTheme="minorHAnsi" w:hAnsiTheme="minorHAnsi"/>
          <w:bCs/>
        </w:rPr>
        <w:t xml:space="preserve"> </w:t>
      </w:r>
      <w:r w:rsidRPr="00DF7CF6">
        <w:rPr>
          <w:rFonts w:asciiTheme="minorHAnsi" w:hAnsiTheme="minorHAnsi"/>
          <w:bCs/>
        </w:rPr>
        <w:t>Planned Care Group oversees the implementation of plans arising from the National Planned Care Programme through their individual delivery groups based on the common principles of:</w:t>
      </w:r>
    </w:p>
    <w:p w14:paraId="2CC48FDD" w14:textId="77777777" w:rsidR="00DE3193" w:rsidRPr="00DF7CF6" w:rsidRDefault="00DE3193" w:rsidP="00F60A35">
      <w:pPr>
        <w:numPr>
          <w:ilvl w:val="0"/>
          <w:numId w:val="35"/>
        </w:numPr>
      </w:pPr>
      <w:r w:rsidRPr="00DF7CF6">
        <w:t>Best in class.</w:t>
      </w:r>
    </w:p>
    <w:p w14:paraId="0BCFD1BA" w14:textId="77777777" w:rsidR="00DE3193" w:rsidRPr="00DF7CF6" w:rsidRDefault="00DE3193" w:rsidP="00F60A35">
      <w:pPr>
        <w:numPr>
          <w:ilvl w:val="0"/>
          <w:numId w:val="35"/>
        </w:numPr>
      </w:pPr>
      <w:r w:rsidRPr="00DF7CF6">
        <w:t>Clinical value prioritisation.</w:t>
      </w:r>
    </w:p>
    <w:p w14:paraId="3EAD8824" w14:textId="77777777" w:rsidR="00DE3193" w:rsidRPr="00DF7CF6" w:rsidRDefault="00DE3193" w:rsidP="00F60A35">
      <w:pPr>
        <w:numPr>
          <w:ilvl w:val="0"/>
          <w:numId w:val="35"/>
        </w:numPr>
      </w:pPr>
      <w:r w:rsidRPr="00DF7CF6">
        <w:t xml:space="preserve">Integrated Care. </w:t>
      </w:r>
    </w:p>
    <w:p w14:paraId="224C9011" w14:textId="77777777" w:rsidR="00DE3193" w:rsidRPr="00DF7CF6" w:rsidRDefault="00DE3193" w:rsidP="00DE3193">
      <w:pPr>
        <w:contextualSpacing/>
        <w:rPr>
          <w:rFonts w:asciiTheme="minorHAnsi" w:hAnsiTheme="minorHAnsi"/>
          <w:bCs/>
        </w:rPr>
      </w:pPr>
    </w:p>
    <w:p w14:paraId="6E3F9E7C" w14:textId="77777777" w:rsidR="00DE3193" w:rsidRPr="00DF7CF6" w:rsidRDefault="00DE3193" w:rsidP="00DE3193">
      <w:pPr>
        <w:rPr>
          <w:rFonts w:asciiTheme="minorHAnsi" w:hAnsiTheme="minorHAnsi"/>
        </w:rPr>
      </w:pPr>
      <w:r w:rsidRPr="00DF7CF6">
        <w:rPr>
          <w:rFonts w:asciiTheme="minorHAnsi" w:hAnsiTheme="minorHAnsi"/>
        </w:rPr>
        <w:t>Central to the Planned Care programme is finding ways of empowering patients to take greater control over their health, backed by evidence that this leads to better outcomes and lower costs.  The Health Board has continued our focus on ensuring greater involvement of patients in decision-making on their care/treatment options</w:t>
      </w:r>
      <w:r>
        <w:rPr>
          <w:rFonts w:asciiTheme="minorHAnsi" w:hAnsiTheme="minorHAnsi"/>
        </w:rPr>
        <w:t xml:space="preserve">. </w:t>
      </w:r>
    </w:p>
    <w:p w14:paraId="19AFF1BC" w14:textId="77777777" w:rsidR="00DE3193" w:rsidRPr="00DF7CF6" w:rsidRDefault="00DE3193" w:rsidP="00DE3193">
      <w:pPr>
        <w:rPr>
          <w:rFonts w:asciiTheme="minorHAnsi" w:hAnsiTheme="minorHAnsi"/>
          <w:bCs/>
        </w:rPr>
      </w:pPr>
    </w:p>
    <w:p w14:paraId="0DD9885A" w14:textId="323A9198" w:rsidR="00DE3193" w:rsidRDefault="00DE3193" w:rsidP="00DE3193">
      <w:pPr>
        <w:rPr>
          <w:rFonts w:asciiTheme="minorHAnsi" w:hAnsiTheme="minorHAnsi"/>
          <w:bCs/>
        </w:rPr>
      </w:pPr>
      <w:r w:rsidRPr="00DF7CF6">
        <w:rPr>
          <w:rFonts w:asciiTheme="minorHAnsi" w:hAnsiTheme="minorHAnsi"/>
          <w:bCs/>
        </w:rPr>
        <w:t xml:space="preserve">As part of the National Planned Care Programme, the Outpatient Transformation Steering Group, chaired by the </w:t>
      </w:r>
      <w:r w:rsidR="00207387">
        <w:rPr>
          <w:rFonts w:asciiTheme="minorHAnsi" w:hAnsiTheme="minorHAnsi"/>
          <w:bCs/>
        </w:rPr>
        <w:t>CTMUHB</w:t>
      </w:r>
      <w:r w:rsidRPr="00DF7CF6">
        <w:rPr>
          <w:rFonts w:asciiTheme="minorHAnsi" w:hAnsiTheme="minorHAnsi"/>
          <w:bCs/>
        </w:rPr>
        <w:t xml:space="preserve"> Chief Operating Officer, continues to provide a mechanism to take forward the outpatient transformation agenda across NHS Wales on a collaborative basis.</w:t>
      </w:r>
      <w:r w:rsidR="000843F4">
        <w:rPr>
          <w:rFonts w:asciiTheme="minorHAnsi" w:hAnsiTheme="minorHAnsi"/>
          <w:bCs/>
        </w:rPr>
        <w:t xml:space="preserve"> </w:t>
      </w:r>
      <w:r>
        <w:rPr>
          <w:rFonts w:asciiTheme="minorHAnsi" w:hAnsiTheme="minorHAnsi"/>
          <w:bCs/>
        </w:rPr>
        <w:t xml:space="preserve"> </w:t>
      </w:r>
      <w:r w:rsidRPr="00DF7CF6">
        <w:rPr>
          <w:rFonts w:asciiTheme="minorHAnsi" w:hAnsiTheme="minorHAnsi"/>
          <w:bCs/>
        </w:rPr>
        <w:t xml:space="preserve">Areas of focus identified by the Steering Group include virtual clinics, hospital initiated cancellations, referral criteria, and Follow-Up Not Booked.  The latter is within the context of the </w:t>
      </w:r>
      <w:r w:rsidR="0033463A">
        <w:rPr>
          <w:rFonts w:asciiTheme="minorHAnsi" w:hAnsiTheme="minorHAnsi"/>
          <w:bCs/>
        </w:rPr>
        <w:t>WAO</w:t>
      </w:r>
      <w:r w:rsidRPr="00DF7CF6">
        <w:rPr>
          <w:rFonts w:asciiTheme="minorHAnsi" w:hAnsiTheme="minorHAnsi"/>
          <w:bCs/>
        </w:rPr>
        <w:t xml:space="preserve"> report on the Management of Follow-Up Outpatients across Wales (October 2018)</w:t>
      </w:r>
      <w:r>
        <w:rPr>
          <w:rFonts w:asciiTheme="minorHAnsi" w:hAnsiTheme="minorHAnsi"/>
          <w:bCs/>
        </w:rPr>
        <w:t xml:space="preserve"> to reduce follow ups particularly in urology, ophthalmology, ENT and orthopaedics</w:t>
      </w:r>
      <w:r w:rsidRPr="00DF7CF6">
        <w:rPr>
          <w:rFonts w:asciiTheme="minorHAnsi" w:hAnsiTheme="minorHAnsi"/>
          <w:bCs/>
        </w:rPr>
        <w:t>.</w:t>
      </w:r>
      <w:r>
        <w:rPr>
          <w:rFonts w:asciiTheme="minorHAnsi" w:hAnsiTheme="minorHAnsi"/>
          <w:bCs/>
        </w:rPr>
        <w:t xml:space="preserve"> </w:t>
      </w:r>
      <w:r w:rsidRPr="00DF7CF6">
        <w:rPr>
          <w:rFonts w:asciiTheme="minorHAnsi" w:hAnsiTheme="minorHAnsi"/>
          <w:bCs/>
        </w:rPr>
        <w:t xml:space="preserve">The </w:t>
      </w:r>
      <w:r w:rsidR="00927D22">
        <w:rPr>
          <w:rFonts w:asciiTheme="minorHAnsi" w:hAnsiTheme="minorHAnsi"/>
          <w:bCs/>
        </w:rPr>
        <w:t>UHBs</w:t>
      </w:r>
      <w:r w:rsidRPr="00DF7CF6">
        <w:rPr>
          <w:rFonts w:asciiTheme="minorHAnsi" w:hAnsiTheme="minorHAnsi"/>
          <w:bCs/>
        </w:rPr>
        <w:t xml:space="preserve"> Planned Care Group will oversee the implementation of the associated work programme during 20</w:t>
      </w:r>
      <w:r>
        <w:rPr>
          <w:rFonts w:asciiTheme="minorHAnsi" w:hAnsiTheme="minorHAnsi"/>
          <w:bCs/>
        </w:rPr>
        <w:t>20</w:t>
      </w:r>
      <w:r w:rsidRPr="00DF7CF6">
        <w:rPr>
          <w:rFonts w:asciiTheme="minorHAnsi" w:hAnsiTheme="minorHAnsi"/>
          <w:bCs/>
        </w:rPr>
        <w:t>/2</w:t>
      </w:r>
      <w:r>
        <w:rPr>
          <w:rFonts w:asciiTheme="minorHAnsi" w:hAnsiTheme="minorHAnsi"/>
          <w:bCs/>
        </w:rPr>
        <w:t>1</w:t>
      </w:r>
      <w:r w:rsidRPr="00DF7CF6">
        <w:rPr>
          <w:rFonts w:asciiTheme="minorHAnsi" w:hAnsiTheme="minorHAnsi"/>
          <w:bCs/>
        </w:rPr>
        <w:t>.</w:t>
      </w:r>
    </w:p>
    <w:p w14:paraId="6D508A02" w14:textId="6FD996EF" w:rsidR="00DE3193" w:rsidRPr="005913B0" w:rsidRDefault="00DE3193" w:rsidP="00DE3193">
      <w:pPr>
        <w:rPr>
          <w:rFonts w:asciiTheme="minorHAnsi" w:hAnsiTheme="minorHAnsi"/>
          <w:b/>
          <w:bCs/>
        </w:rPr>
      </w:pPr>
    </w:p>
    <w:p w14:paraId="45CB5A19" w14:textId="66DD7344" w:rsidR="00DE3193" w:rsidRPr="005913B0" w:rsidRDefault="00DE3193" w:rsidP="00DE3193">
      <w:pPr>
        <w:rPr>
          <w:rFonts w:asciiTheme="minorHAnsi" w:hAnsiTheme="minorHAnsi"/>
          <w:b/>
          <w:bCs/>
        </w:rPr>
      </w:pPr>
      <w:r w:rsidRPr="005913B0">
        <w:rPr>
          <w:rFonts w:asciiTheme="minorHAnsi" w:hAnsiTheme="minorHAnsi"/>
          <w:b/>
          <w:bCs/>
          <w:noProof/>
        </w:rPr>
        <mc:AlternateContent>
          <mc:Choice Requires="wps">
            <w:drawing>
              <wp:anchor distT="0" distB="0" distL="114300" distR="114300" simplePos="0" relativeHeight="252828672" behindDoc="1" locked="0" layoutInCell="1" allowOverlap="1" wp14:anchorId="449633AF" wp14:editId="7050EBF4">
                <wp:simplePos x="0" y="0"/>
                <wp:positionH relativeFrom="margin">
                  <wp:posOffset>-95250</wp:posOffset>
                </wp:positionH>
                <wp:positionV relativeFrom="paragraph">
                  <wp:posOffset>83397</wp:posOffset>
                </wp:positionV>
                <wp:extent cx="6730788" cy="696685"/>
                <wp:effectExtent l="0" t="38100" r="32385" b="65405"/>
                <wp:wrapNone/>
                <wp:docPr id="448" name="Right Arrow 448"/>
                <wp:cNvGraphicFramePr/>
                <a:graphic xmlns:a="http://schemas.openxmlformats.org/drawingml/2006/main">
                  <a:graphicData uri="http://schemas.microsoft.com/office/word/2010/wordprocessingShape">
                    <wps:wsp>
                      <wps:cNvSpPr/>
                      <wps:spPr>
                        <a:xfrm>
                          <a:off x="0" y="0"/>
                          <a:ext cx="6730788" cy="69668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7AAEAE" id="Right Arrow 448" o:spid="_x0000_s1026" type="#_x0000_t13" style="position:absolute;margin-left:-7.5pt;margin-top:6.55pt;width:530pt;height:54.85pt;z-index:-25048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" adj="20932" fillcolor="#eaf1dd [662]" strokecolor="#76923c [2406]" strokeweight="2pt">
                <w10:wrap anchorx="margin"/>
              </v:shape>
            </w:pict>
          </mc:Fallback>
        </mc:AlternateContent>
      </w:r>
      <w:r w:rsidRPr="005913B0">
        <w:rPr>
          <w:rFonts w:asciiTheme="minorHAnsi" w:hAnsiTheme="minorHAnsi"/>
          <w:b/>
          <w:bCs/>
        </w:rPr>
        <w:t>Milestones</w:t>
      </w:r>
    </w:p>
    <w:p w14:paraId="563BB761" w14:textId="716FBE1E" w:rsidR="00DE3193" w:rsidRPr="005E3836" w:rsidRDefault="00DE3193" w:rsidP="00DE3193">
      <w:pPr>
        <w:rPr>
          <w:rFonts w:asciiTheme="minorHAnsi" w:hAnsiTheme="minorHAnsi"/>
          <w:bCs/>
        </w:rPr>
      </w:pPr>
    </w:p>
    <w:tbl>
      <w:tblPr>
        <w:tblStyle w:val="TableGrid"/>
        <w:tblW w:w="0" w:type="auto"/>
        <w:tblLook w:val="04A0" w:firstRow="1" w:lastRow="0" w:firstColumn="1" w:lastColumn="0" w:noHBand="0" w:noVBand="1"/>
      </w:tblPr>
      <w:tblGrid>
        <w:gridCol w:w="4531"/>
        <w:gridCol w:w="2694"/>
        <w:gridCol w:w="2743"/>
      </w:tblGrid>
      <w:tr w:rsidR="00DE3193" w14:paraId="6EE631A0" w14:textId="77777777" w:rsidTr="00DE3193">
        <w:tc>
          <w:tcPr>
            <w:tcW w:w="4531" w:type="dxa"/>
          </w:tcPr>
          <w:p w14:paraId="7C923E01" w14:textId="77777777" w:rsidR="00DE3193" w:rsidRDefault="00DE3193" w:rsidP="00AA4595">
            <w:pPr>
              <w:jc w:val="center"/>
              <w:rPr>
                <w:rFonts w:asciiTheme="minorHAnsi" w:hAnsiTheme="minorHAnsi"/>
                <w:bCs/>
              </w:rPr>
            </w:pPr>
            <w:r>
              <w:rPr>
                <w:rFonts w:asciiTheme="minorHAnsi" w:hAnsiTheme="minorHAnsi"/>
                <w:bCs/>
              </w:rPr>
              <w:t>Year 1</w:t>
            </w:r>
          </w:p>
          <w:p w14:paraId="1161A7C6" w14:textId="77777777" w:rsidR="00DE3193" w:rsidRDefault="00DE3193" w:rsidP="00AA4595">
            <w:pPr>
              <w:jc w:val="center"/>
              <w:rPr>
                <w:rFonts w:asciiTheme="minorHAnsi" w:hAnsiTheme="minorHAnsi"/>
                <w:bCs/>
              </w:rPr>
            </w:pPr>
          </w:p>
          <w:p w14:paraId="6A6E10B2" w14:textId="639DC2E6" w:rsidR="00DE3193" w:rsidRPr="00C239CE" w:rsidRDefault="00DE3193" w:rsidP="00DE3193">
            <w:pPr>
              <w:jc w:val="left"/>
              <w:rPr>
                <w:rFonts w:asciiTheme="minorHAnsi" w:hAnsiTheme="minorHAnsi"/>
                <w:bCs/>
              </w:rPr>
            </w:pPr>
            <w:r w:rsidRPr="00C239CE">
              <w:rPr>
                <w:rFonts w:asciiTheme="minorHAnsi" w:hAnsiTheme="minorHAnsi"/>
                <w:bCs/>
              </w:rPr>
              <w:t xml:space="preserve">Q1-4 Improved </w:t>
            </w:r>
            <w:r w:rsidR="00026E19">
              <w:rPr>
                <w:rFonts w:asciiTheme="minorHAnsi" w:hAnsiTheme="minorHAnsi"/>
                <w:bCs/>
              </w:rPr>
              <w:t>Did Not Attend (</w:t>
            </w:r>
            <w:r w:rsidRPr="00C239CE">
              <w:rPr>
                <w:rFonts w:asciiTheme="minorHAnsi" w:hAnsiTheme="minorHAnsi"/>
                <w:bCs/>
              </w:rPr>
              <w:t>DNA</w:t>
            </w:r>
            <w:r w:rsidR="00026E19">
              <w:rPr>
                <w:rFonts w:asciiTheme="minorHAnsi" w:hAnsiTheme="minorHAnsi"/>
                <w:bCs/>
              </w:rPr>
              <w:t>)</w:t>
            </w:r>
            <w:r w:rsidRPr="00C239CE">
              <w:rPr>
                <w:rFonts w:asciiTheme="minorHAnsi" w:hAnsiTheme="minorHAnsi"/>
                <w:bCs/>
              </w:rPr>
              <w:t xml:space="preserve"> and </w:t>
            </w:r>
            <w:r w:rsidR="00026E19">
              <w:rPr>
                <w:rFonts w:asciiTheme="minorHAnsi" w:hAnsiTheme="minorHAnsi"/>
                <w:bCs/>
              </w:rPr>
              <w:t>Follow Ups Not Booked (</w:t>
            </w:r>
            <w:r w:rsidRPr="00C239CE">
              <w:rPr>
                <w:rFonts w:asciiTheme="minorHAnsi" w:hAnsiTheme="minorHAnsi"/>
                <w:bCs/>
              </w:rPr>
              <w:t>FUNB</w:t>
            </w:r>
            <w:r w:rsidR="00026E19">
              <w:rPr>
                <w:rFonts w:asciiTheme="minorHAnsi" w:hAnsiTheme="minorHAnsi"/>
                <w:bCs/>
              </w:rPr>
              <w:t>)</w:t>
            </w:r>
            <w:r w:rsidRPr="00C239CE">
              <w:rPr>
                <w:rFonts w:asciiTheme="minorHAnsi" w:hAnsiTheme="minorHAnsi"/>
                <w:bCs/>
              </w:rPr>
              <w:t xml:space="preserve"> position across the Health Board. </w:t>
            </w:r>
          </w:p>
          <w:p w14:paraId="1B837E98" w14:textId="77777777" w:rsidR="00DE3193" w:rsidRPr="00C239CE" w:rsidRDefault="00DE3193" w:rsidP="00DE3193">
            <w:pPr>
              <w:jc w:val="left"/>
              <w:rPr>
                <w:rFonts w:asciiTheme="minorHAnsi" w:hAnsiTheme="minorHAnsi"/>
                <w:bCs/>
              </w:rPr>
            </w:pPr>
            <w:r w:rsidRPr="00C239CE">
              <w:rPr>
                <w:rFonts w:asciiTheme="minorHAnsi" w:hAnsiTheme="minorHAnsi"/>
                <w:bCs/>
              </w:rPr>
              <w:t>Q1-4 Delivery of Single Cancer Pathway.</w:t>
            </w:r>
          </w:p>
          <w:p w14:paraId="1E9C3F59" w14:textId="77777777" w:rsidR="00DE3193" w:rsidRPr="00C239CE" w:rsidRDefault="00DE3193" w:rsidP="00DE3193">
            <w:pPr>
              <w:jc w:val="left"/>
              <w:rPr>
                <w:rFonts w:asciiTheme="minorHAnsi" w:hAnsiTheme="minorHAnsi"/>
                <w:bCs/>
              </w:rPr>
            </w:pPr>
            <w:r w:rsidRPr="00C239CE">
              <w:rPr>
                <w:rFonts w:asciiTheme="minorHAnsi" w:hAnsiTheme="minorHAnsi"/>
                <w:bCs/>
              </w:rPr>
              <w:t>Q1 development and agreement with WHSSC on sustainable Cochlear service model provision for CTM residents.</w:t>
            </w:r>
          </w:p>
          <w:p w14:paraId="6B3700A9" w14:textId="77777777" w:rsidR="00DE3193" w:rsidRPr="00C239CE" w:rsidRDefault="00DE3193" w:rsidP="00DE3193">
            <w:pPr>
              <w:jc w:val="left"/>
              <w:rPr>
                <w:rFonts w:asciiTheme="minorHAnsi" w:hAnsiTheme="minorHAnsi"/>
                <w:bCs/>
              </w:rPr>
            </w:pPr>
            <w:r w:rsidRPr="00C239CE">
              <w:rPr>
                <w:rFonts w:asciiTheme="minorHAnsi" w:hAnsiTheme="minorHAnsi"/>
                <w:bCs/>
              </w:rPr>
              <w:t xml:space="preserve">Q2 Embedding the Rapid Diagnostic Clinic as mainstream service.  </w:t>
            </w:r>
          </w:p>
          <w:p w14:paraId="4F476240" w14:textId="71A1F1A1" w:rsidR="00DE3193" w:rsidRPr="00DE3193" w:rsidRDefault="00DE3193" w:rsidP="00DE3193">
            <w:pPr>
              <w:rPr>
                <w:rFonts w:asciiTheme="minorHAnsi" w:hAnsiTheme="minorHAnsi"/>
                <w:bCs/>
              </w:rPr>
            </w:pPr>
            <w:r w:rsidRPr="00DE3193">
              <w:rPr>
                <w:rFonts w:asciiTheme="minorHAnsi" w:hAnsiTheme="minorHAnsi"/>
                <w:bCs/>
              </w:rPr>
              <w:t xml:space="preserve">Q2 </w:t>
            </w:r>
            <w:r w:rsidR="004B5C3E">
              <w:rPr>
                <w:rFonts w:asciiTheme="minorHAnsi" w:hAnsiTheme="minorHAnsi"/>
                <w:bCs/>
              </w:rPr>
              <w:t>D</w:t>
            </w:r>
            <w:r w:rsidRPr="00DE3193">
              <w:rPr>
                <w:rFonts w:asciiTheme="minorHAnsi" w:hAnsiTheme="minorHAnsi"/>
                <w:bCs/>
              </w:rPr>
              <w:t xml:space="preserve">evelopment of business case for regional high volume cataract facility. </w:t>
            </w:r>
          </w:p>
          <w:p w14:paraId="009110B6" w14:textId="108B5038" w:rsidR="00DE3193" w:rsidRPr="00DE3193" w:rsidRDefault="00DE3193" w:rsidP="00DE3193">
            <w:pPr>
              <w:rPr>
                <w:rFonts w:asciiTheme="minorHAnsi" w:hAnsiTheme="minorHAnsi"/>
                <w:bCs/>
              </w:rPr>
            </w:pPr>
            <w:r w:rsidRPr="00DE3193">
              <w:rPr>
                <w:rFonts w:asciiTheme="minorHAnsi" w:hAnsiTheme="minorHAnsi"/>
                <w:bCs/>
              </w:rPr>
              <w:t xml:space="preserve">Q2 </w:t>
            </w:r>
            <w:r w:rsidR="004B5C3E">
              <w:rPr>
                <w:rFonts w:asciiTheme="minorHAnsi" w:hAnsiTheme="minorHAnsi"/>
                <w:bCs/>
              </w:rPr>
              <w:t>H</w:t>
            </w:r>
            <w:r w:rsidRPr="00DE3193">
              <w:rPr>
                <w:rFonts w:asciiTheme="minorHAnsi" w:hAnsiTheme="minorHAnsi"/>
                <w:bCs/>
              </w:rPr>
              <w:t>ave implemented the National Ophthalmology Electronic Patient Record and e-referral.</w:t>
            </w:r>
          </w:p>
          <w:p w14:paraId="583AD954" w14:textId="77777777" w:rsidR="00DE3193" w:rsidRPr="00DE3193" w:rsidRDefault="00DE3193" w:rsidP="00DE3193">
            <w:pPr>
              <w:rPr>
                <w:rFonts w:asciiTheme="minorHAnsi" w:hAnsiTheme="minorHAnsi"/>
                <w:bCs/>
              </w:rPr>
            </w:pPr>
            <w:r w:rsidRPr="00DE3193">
              <w:rPr>
                <w:rFonts w:asciiTheme="minorHAnsi" w:hAnsiTheme="minorHAnsi"/>
                <w:bCs/>
              </w:rPr>
              <w:t>Q3 Gastroenterology – roll out of an out of hours 24/7  upper GI Bleed Roster (currently 12 hours a day).</w:t>
            </w:r>
          </w:p>
          <w:p w14:paraId="64B042BB" w14:textId="77777777" w:rsidR="00DE3193" w:rsidRPr="00DE3193" w:rsidRDefault="00DE3193" w:rsidP="00DE3193">
            <w:pPr>
              <w:rPr>
                <w:rFonts w:asciiTheme="minorHAnsi" w:hAnsiTheme="minorHAnsi"/>
                <w:bCs/>
              </w:rPr>
            </w:pPr>
            <w:r w:rsidRPr="00DE3193">
              <w:rPr>
                <w:rFonts w:asciiTheme="minorHAnsi" w:hAnsiTheme="minorHAnsi"/>
                <w:bCs/>
              </w:rPr>
              <w:t xml:space="preserve">Q4 have implemented the vascular service centralisation model. </w:t>
            </w:r>
          </w:p>
          <w:p w14:paraId="1CA62108" w14:textId="77777777" w:rsidR="00DE3193" w:rsidRDefault="00DE3193" w:rsidP="00DE3193">
            <w:pPr>
              <w:rPr>
                <w:rFonts w:asciiTheme="minorHAnsi" w:hAnsiTheme="minorHAnsi"/>
                <w:bCs/>
              </w:rPr>
            </w:pPr>
            <w:r w:rsidRPr="00DE3193">
              <w:rPr>
                <w:rFonts w:asciiTheme="minorHAnsi" w:hAnsiTheme="minorHAnsi"/>
                <w:bCs/>
              </w:rPr>
              <w:t>Q4 implemented sustainable Urology workforce Model.</w:t>
            </w:r>
          </w:p>
          <w:p w14:paraId="55F8900E" w14:textId="77777777" w:rsidR="005913B0" w:rsidRPr="00D96821" w:rsidRDefault="005913B0" w:rsidP="005913B0">
            <w:pPr>
              <w:rPr>
                <w:rFonts w:asciiTheme="minorHAnsi" w:hAnsiTheme="minorHAnsi"/>
                <w:bCs/>
              </w:rPr>
            </w:pPr>
            <w:r w:rsidRPr="00D96821">
              <w:rPr>
                <w:rFonts w:asciiTheme="minorHAnsi" w:hAnsiTheme="minorHAnsi"/>
                <w:bCs/>
              </w:rPr>
              <w:t>Q4 submission of business case for the development of RGH including state of the art breast centre and dedicated day surgery unit.</w:t>
            </w:r>
          </w:p>
          <w:p w14:paraId="3BBB59B4" w14:textId="77777777" w:rsidR="005913B0" w:rsidRPr="00D96821" w:rsidRDefault="005913B0" w:rsidP="005913B0">
            <w:pPr>
              <w:rPr>
                <w:rFonts w:asciiTheme="minorHAnsi" w:hAnsiTheme="minorHAnsi"/>
                <w:bCs/>
              </w:rPr>
            </w:pPr>
            <w:r w:rsidRPr="00D96821">
              <w:rPr>
                <w:rFonts w:asciiTheme="minorHAnsi" w:hAnsiTheme="minorHAnsi"/>
                <w:bCs/>
              </w:rPr>
              <w:t>Q4 Programme of community engagement to address barriers to early presentation of cancer.</w:t>
            </w:r>
          </w:p>
          <w:p w14:paraId="1D6D2875" w14:textId="4037E3A8" w:rsidR="005913B0" w:rsidRPr="00D96821" w:rsidRDefault="005913B0" w:rsidP="005913B0">
            <w:pPr>
              <w:rPr>
                <w:rFonts w:asciiTheme="minorHAnsi" w:hAnsiTheme="minorHAnsi"/>
                <w:bCs/>
              </w:rPr>
            </w:pPr>
            <w:r w:rsidRPr="00D96821">
              <w:rPr>
                <w:rFonts w:asciiTheme="minorHAnsi" w:hAnsiTheme="minorHAnsi"/>
                <w:bCs/>
              </w:rPr>
              <w:t>Q4 Expansion of glaucoma team in</w:t>
            </w:r>
            <w:r w:rsidR="00207387">
              <w:rPr>
                <w:rFonts w:asciiTheme="minorHAnsi" w:hAnsiTheme="minorHAnsi"/>
                <w:bCs/>
              </w:rPr>
              <w:t xml:space="preserve"> </w:t>
            </w:r>
            <w:r w:rsidR="00E32360">
              <w:rPr>
                <w:rFonts w:asciiTheme="minorHAnsi" w:hAnsiTheme="minorHAnsi"/>
                <w:bCs/>
              </w:rPr>
              <w:t>POWH</w:t>
            </w:r>
            <w:r w:rsidRPr="00D96821">
              <w:rPr>
                <w:rFonts w:asciiTheme="minorHAnsi" w:hAnsiTheme="minorHAnsi"/>
                <w:bCs/>
              </w:rPr>
              <w:t xml:space="preserve"> to meet eye care measure requirements.</w:t>
            </w:r>
          </w:p>
          <w:p w14:paraId="7FB5D0B7" w14:textId="250AABD6" w:rsidR="005913B0" w:rsidRPr="00D96821" w:rsidRDefault="005913B0" w:rsidP="005913B0">
            <w:pPr>
              <w:rPr>
                <w:rFonts w:asciiTheme="minorHAnsi" w:hAnsiTheme="minorHAnsi"/>
                <w:bCs/>
              </w:rPr>
            </w:pPr>
            <w:r w:rsidRPr="00D96821">
              <w:rPr>
                <w:rFonts w:asciiTheme="minorHAnsi" w:hAnsiTheme="minorHAnsi"/>
                <w:bCs/>
              </w:rPr>
              <w:t>Q4 Development of nutrition team in</w:t>
            </w:r>
            <w:r w:rsidR="00207387">
              <w:rPr>
                <w:rFonts w:asciiTheme="minorHAnsi" w:hAnsiTheme="minorHAnsi"/>
                <w:bCs/>
              </w:rPr>
              <w:t xml:space="preserve"> </w:t>
            </w:r>
            <w:r w:rsidR="00E32360">
              <w:rPr>
                <w:rFonts w:asciiTheme="minorHAnsi" w:hAnsiTheme="minorHAnsi"/>
                <w:bCs/>
              </w:rPr>
              <w:t>POWH</w:t>
            </w:r>
            <w:r w:rsidRPr="00D96821">
              <w:rPr>
                <w:rFonts w:asciiTheme="minorHAnsi" w:hAnsiTheme="minorHAnsi"/>
                <w:bCs/>
              </w:rPr>
              <w:t xml:space="preserve"> to support patients in accordance with NICE recommendations. </w:t>
            </w:r>
          </w:p>
          <w:p w14:paraId="7D14EFDE" w14:textId="77777777" w:rsidR="005913B0" w:rsidRPr="00D96821" w:rsidRDefault="005913B0" w:rsidP="005913B0">
            <w:pPr>
              <w:rPr>
                <w:rFonts w:asciiTheme="minorHAnsi" w:hAnsiTheme="minorHAnsi"/>
                <w:bCs/>
              </w:rPr>
            </w:pPr>
            <w:r w:rsidRPr="00D96821">
              <w:rPr>
                <w:rFonts w:asciiTheme="minorHAnsi" w:hAnsiTheme="minorHAnsi"/>
                <w:bCs/>
              </w:rPr>
              <w:t xml:space="preserve">Q4 Developed sustainable Heart Failure Team across the Health Board. </w:t>
            </w:r>
          </w:p>
          <w:p w14:paraId="0657905D" w14:textId="77777777" w:rsidR="005913B0" w:rsidRDefault="005913B0" w:rsidP="00DE3193">
            <w:pPr>
              <w:rPr>
                <w:rFonts w:asciiTheme="minorHAnsi" w:hAnsiTheme="minorHAnsi"/>
                <w:bCs/>
              </w:rPr>
            </w:pPr>
            <w:r w:rsidRPr="00D96821">
              <w:rPr>
                <w:rFonts w:asciiTheme="minorHAnsi" w:hAnsiTheme="minorHAnsi"/>
                <w:bCs/>
              </w:rPr>
              <w:t xml:space="preserve">Q4 Implementation of sustainable cardiology service in Princess of Wales Hospital. </w:t>
            </w:r>
          </w:p>
          <w:p w14:paraId="711DEB80" w14:textId="2E1B7D24" w:rsidR="005913B0" w:rsidRDefault="005913B0" w:rsidP="00207387">
            <w:pPr>
              <w:rPr>
                <w:rFonts w:asciiTheme="minorHAnsi" w:hAnsiTheme="minorHAnsi"/>
                <w:bCs/>
              </w:rPr>
            </w:pPr>
            <w:r w:rsidRPr="00D96821">
              <w:rPr>
                <w:rFonts w:asciiTheme="minorHAnsi" w:hAnsiTheme="minorHAnsi"/>
                <w:bCs/>
              </w:rPr>
              <w:t>Q4 Implementation of sustainable ITU Consultant workforce in</w:t>
            </w:r>
            <w:r w:rsidR="00207387">
              <w:rPr>
                <w:rFonts w:asciiTheme="minorHAnsi" w:hAnsiTheme="minorHAnsi"/>
                <w:bCs/>
              </w:rPr>
              <w:t xml:space="preserve"> </w:t>
            </w:r>
            <w:r w:rsidR="00E32360">
              <w:rPr>
                <w:rFonts w:asciiTheme="minorHAnsi" w:hAnsiTheme="minorHAnsi"/>
                <w:bCs/>
              </w:rPr>
              <w:t>POWH</w:t>
            </w:r>
            <w:r w:rsidRPr="00D96821">
              <w:rPr>
                <w:rFonts w:asciiTheme="minorHAnsi" w:hAnsiTheme="minorHAnsi"/>
                <w:bCs/>
              </w:rPr>
              <w:t xml:space="preserve">. </w:t>
            </w:r>
          </w:p>
        </w:tc>
        <w:tc>
          <w:tcPr>
            <w:tcW w:w="2694" w:type="dxa"/>
          </w:tcPr>
          <w:p w14:paraId="75984784" w14:textId="77777777" w:rsidR="00DE3193" w:rsidRDefault="00DE3193" w:rsidP="00AA4595">
            <w:pPr>
              <w:jc w:val="center"/>
              <w:rPr>
                <w:rFonts w:asciiTheme="minorHAnsi" w:hAnsiTheme="minorHAnsi"/>
                <w:bCs/>
              </w:rPr>
            </w:pPr>
            <w:r>
              <w:rPr>
                <w:rFonts w:asciiTheme="minorHAnsi" w:hAnsiTheme="minorHAnsi"/>
                <w:bCs/>
              </w:rPr>
              <w:t>Year 2</w:t>
            </w:r>
          </w:p>
          <w:p w14:paraId="6DFC86CA" w14:textId="77777777" w:rsidR="00DE3193" w:rsidRDefault="00DE3193" w:rsidP="00AA4595">
            <w:pPr>
              <w:jc w:val="center"/>
              <w:rPr>
                <w:rFonts w:asciiTheme="minorHAnsi" w:hAnsiTheme="minorHAnsi"/>
                <w:bCs/>
              </w:rPr>
            </w:pPr>
          </w:p>
          <w:p w14:paraId="0BCBECB2" w14:textId="77777777" w:rsidR="00DE3193" w:rsidRPr="00C239CE" w:rsidRDefault="00DE3193" w:rsidP="00DE3193">
            <w:pPr>
              <w:rPr>
                <w:rFonts w:asciiTheme="minorHAnsi" w:hAnsiTheme="minorHAnsi"/>
                <w:bCs/>
              </w:rPr>
            </w:pPr>
            <w:r w:rsidRPr="00C239CE">
              <w:rPr>
                <w:rFonts w:asciiTheme="minorHAnsi" w:hAnsiTheme="minorHAnsi"/>
                <w:bCs/>
              </w:rPr>
              <w:t>Q2 Redesign of elective / emergency trauma and orthopaedic services</w:t>
            </w:r>
          </w:p>
          <w:p w14:paraId="29441F23" w14:textId="77777777" w:rsidR="00DE3193" w:rsidRPr="00C239CE" w:rsidRDefault="00DE3193" w:rsidP="00DE3193">
            <w:pPr>
              <w:rPr>
                <w:rFonts w:asciiTheme="minorHAnsi" w:hAnsiTheme="minorHAnsi"/>
                <w:bCs/>
              </w:rPr>
            </w:pPr>
            <w:r w:rsidRPr="00C239CE">
              <w:rPr>
                <w:rFonts w:asciiTheme="minorHAnsi" w:hAnsiTheme="minorHAnsi"/>
                <w:bCs/>
              </w:rPr>
              <w:t>Q4 development of RGH breast centre and dedicated day surgery unit.</w:t>
            </w:r>
          </w:p>
          <w:p w14:paraId="356B5D94" w14:textId="77777777" w:rsidR="00DE3193" w:rsidRPr="00C239CE" w:rsidRDefault="00DE3193" w:rsidP="00DE3193">
            <w:pPr>
              <w:rPr>
                <w:rFonts w:asciiTheme="minorHAnsi" w:hAnsiTheme="minorHAnsi"/>
                <w:bCs/>
              </w:rPr>
            </w:pPr>
            <w:r w:rsidRPr="00C239CE">
              <w:rPr>
                <w:rFonts w:asciiTheme="minorHAnsi" w:hAnsiTheme="minorHAnsi"/>
                <w:bCs/>
              </w:rPr>
              <w:t xml:space="preserve">Q1-4 Improved DNA and FUNB position across the Health Board. </w:t>
            </w:r>
          </w:p>
          <w:p w14:paraId="72F1C4C3" w14:textId="77777777" w:rsidR="00DE3193" w:rsidRPr="00C239CE" w:rsidRDefault="00DE3193" w:rsidP="00DE3193">
            <w:pPr>
              <w:rPr>
                <w:rFonts w:asciiTheme="minorHAnsi" w:hAnsiTheme="minorHAnsi"/>
                <w:bCs/>
              </w:rPr>
            </w:pPr>
            <w:r w:rsidRPr="00C239CE">
              <w:rPr>
                <w:rFonts w:asciiTheme="minorHAnsi" w:hAnsiTheme="minorHAnsi"/>
                <w:bCs/>
              </w:rPr>
              <w:t>Q1-4 Delivery of Single Cancer Pathway.</w:t>
            </w:r>
          </w:p>
          <w:p w14:paraId="4016706A" w14:textId="77777777" w:rsidR="00DE3193" w:rsidRDefault="00DE3193" w:rsidP="00AA4595">
            <w:pPr>
              <w:rPr>
                <w:rFonts w:asciiTheme="minorHAnsi" w:hAnsiTheme="minorHAnsi"/>
                <w:bCs/>
              </w:rPr>
            </w:pPr>
          </w:p>
        </w:tc>
        <w:tc>
          <w:tcPr>
            <w:tcW w:w="2743" w:type="dxa"/>
          </w:tcPr>
          <w:p w14:paraId="2A86E698" w14:textId="77777777" w:rsidR="00DE3193" w:rsidRDefault="00DE3193" w:rsidP="00AA4595">
            <w:pPr>
              <w:jc w:val="center"/>
              <w:rPr>
                <w:rFonts w:asciiTheme="minorHAnsi" w:hAnsiTheme="minorHAnsi"/>
                <w:bCs/>
              </w:rPr>
            </w:pPr>
            <w:r>
              <w:rPr>
                <w:rFonts w:asciiTheme="minorHAnsi" w:hAnsiTheme="minorHAnsi"/>
                <w:bCs/>
              </w:rPr>
              <w:t>Year 3</w:t>
            </w:r>
          </w:p>
          <w:p w14:paraId="14490DF1" w14:textId="77777777" w:rsidR="00DE3193" w:rsidRDefault="00DE3193" w:rsidP="00AA4595">
            <w:pPr>
              <w:jc w:val="center"/>
              <w:rPr>
                <w:rFonts w:asciiTheme="minorHAnsi" w:hAnsiTheme="minorHAnsi"/>
                <w:bCs/>
              </w:rPr>
            </w:pPr>
          </w:p>
          <w:p w14:paraId="51A89D48" w14:textId="77777777" w:rsidR="00DE3193" w:rsidRPr="00C239CE" w:rsidRDefault="00DE3193" w:rsidP="00DE3193">
            <w:pPr>
              <w:jc w:val="left"/>
              <w:rPr>
                <w:rFonts w:asciiTheme="minorHAnsi" w:hAnsiTheme="minorHAnsi"/>
                <w:bCs/>
              </w:rPr>
            </w:pPr>
            <w:r w:rsidRPr="00C239CE">
              <w:rPr>
                <w:rFonts w:asciiTheme="minorHAnsi" w:hAnsiTheme="minorHAnsi"/>
                <w:bCs/>
              </w:rPr>
              <w:t xml:space="preserve">Q1-4 Improved DNA and FUNB position across the Health Board. </w:t>
            </w:r>
          </w:p>
          <w:p w14:paraId="4CA6BEFA" w14:textId="77777777" w:rsidR="00DE3193" w:rsidRPr="00C239CE" w:rsidRDefault="00DE3193" w:rsidP="00DE3193">
            <w:pPr>
              <w:jc w:val="left"/>
              <w:rPr>
                <w:rFonts w:asciiTheme="minorHAnsi" w:hAnsiTheme="minorHAnsi"/>
                <w:bCs/>
              </w:rPr>
            </w:pPr>
            <w:r w:rsidRPr="00C239CE">
              <w:rPr>
                <w:rFonts w:asciiTheme="minorHAnsi" w:hAnsiTheme="minorHAnsi"/>
                <w:bCs/>
              </w:rPr>
              <w:t>Q1-4 Delivery of Single Cancer Pathway.</w:t>
            </w:r>
          </w:p>
          <w:p w14:paraId="33F96545" w14:textId="77777777" w:rsidR="00DE3193" w:rsidRPr="00C239CE" w:rsidRDefault="00DE3193" w:rsidP="00DE3193">
            <w:pPr>
              <w:jc w:val="left"/>
              <w:rPr>
                <w:rFonts w:asciiTheme="minorHAnsi" w:hAnsiTheme="minorHAnsi"/>
                <w:bCs/>
              </w:rPr>
            </w:pPr>
            <w:r w:rsidRPr="00C239CE">
              <w:rPr>
                <w:rFonts w:asciiTheme="minorHAnsi" w:hAnsiTheme="minorHAnsi"/>
                <w:bCs/>
              </w:rPr>
              <w:t xml:space="preserve">Q1 Implement frailty and orthogeriatrician model across the Health Board.    </w:t>
            </w:r>
          </w:p>
          <w:p w14:paraId="01AEE9DA" w14:textId="65A5ECFB" w:rsidR="00DE3193" w:rsidRPr="00C239CE" w:rsidRDefault="00DE3193" w:rsidP="00DE3193">
            <w:pPr>
              <w:jc w:val="left"/>
              <w:rPr>
                <w:rFonts w:asciiTheme="minorHAnsi" w:hAnsiTheme="minorHAnsi"/>
                <w:bCs/>
              </w:rPr>
            </w:pPr>
            <w:r w:rsidRPr="00C239CE">
              <w:rPr>
                <w:rFonts w:asciiTheme="minorHAnsi" w:hAnsiTheme="minorHAnsi"/>
                <w:bCs/>
              </w:rPr>
              <w:t xml:space="preserve">Q1 Development of dedicated ring fenced acute NIV service on the acute sites to deliver timely, safe and effective care to patients whilst acknowledging the perspective remodelling in line with the </w:t>
            </w:r>
            <w:r w:rsidR="00A554B9">
              <w:rPr>
                <w:rFonts w:asciiTheme="minorHAnsi" w:hAnsiTheme="minorHAnsi"/>
                <w:bCs/>
              </w:rPr>
              <w:t>SWP</w:t>
            </w:r>
            <w:r w:rsidRPr="00C239CE">
              <w:rPr>
                <w:rFonts w:asciiTheme="minorHAnsi" w:hAnsiTheme="minorHAnsi"/>
                <w:bCs/>
              </w:rPr>
              <w:t xml:space="preserve">. </w:t>
            </w:r>
          </w:p>
          <w:p w14:paraId="022C0C72" w14:textId="27D69404" w:rsidR="00DE3193" w:rsidRDefault="00DE3193" w:rsidP="00DE3193">
            <w:pPr>
              <w:jc w:val="left"/>
              <w:rPr>
                <w:rFonts w:asciiTheme="minorHAnsi" w:hAnsiTheme="minorHAnsi"/>
                <w:bCs/>
              </w:rPr>
            </w:pPr>
            <w:r w:rsidRPr="00C239CE">
              <w:rPr>
                <w:rFonts w:asciiTheme="minorHAnsi" w:hAnsiTheme="minorHAnsi"/>
                <w:bCs/>
              </w:rPr>
              <w:t>Q4 have implemented regional high volume cataract facility.</w:t>
            </w:r>
          </w:p>
        </w:tc>
      </w:tr>
      <w:tr w:rsidR="00DE3193" w14:paraId="658E5BC6" w14:textId="77777777" w:rsidTr="00DE3193">
        <w:trPr>
          <w:trHeight w:val="4386"/>
        </w:trPr>
        <w:tc>
          <w:tcPr>
            <w:tcW w:w="4531" w:type="dxa"/>
          </w:tcPr>
          <w:p w14:paraId="32150DFE" w14:textId="663C270D" w:rsidR="00DE3193" w:rsidRPr="00D96821" w:rsidRDefault="00DE3193" w:rsidP="00D96821">
            <w:pPr>
              <w:rPr>
                <w:rFonts w:asciiTheme="minorHAnsi" w:hAnsiTheme="minorHAnsi"/>
                <w:bCs/>
              </w:rPr>
            </w:pPr>
            <w:r w:rsidRPr="00D96821">
              <w:rPr>
                <w:rFonts w:asciiTheme="minorHAnsi" w:hAnsiTheme="minorHAnsi"/>
                <w:bCs/>
              </w:rPr>
              <w:t xml:space="preserve">Q4 Deliver a central decontamination unit in </w:t>
            </w:r>
            <w:r w:rsidR="00E32360">
              <w:rPr>
                <w:rFonts w:asciiTheme="minorHAnsi" w:hAnsiTheme="minorHAnsi"/>
                <w:bCs/>
              </w:rPr>
              <w:t>POWH</w:t>
            </w:r>
            <w:r w:rsidRPr="00D96821">
              <w:rPr>
                <w:rFonts w:asciiTheme="minorHAnsi" w:hAnsiTheme="minorHAnsi"/>
                <w:bCs/>
              </w:rPr>
              <w:t xml:space="preserve"> site that maintains JAG accreditation. </w:t>
            </w:r>
          </w:p>
          <w:p w14:paraId="6CC69D6A" w14:textId="77777777" w:rsidR="00DE3193" w:rsidRPr="00D96821" w:rsidRDefault="00DE3193" w:rsidP="00D96821">
            <w:pPr>
              <w:rPr>
                <w:rFonts w:asciiTheme="minorHAnsi" w:hAnsiTheme="minorHAnsi"/>
                <w:bCs/>
              </w:rPr>
            </w:pPr>
            <w:r w:rsidRPr="00D96821">
              <w:rPr>
                <w:rFonts w:asciiTheme="minorHAnsi" w:hAnsiTheme="minorHAnsi"/>
                <w:bCs/>
              </w:rPr>
              <w:t xml:space="preserve">Q4 have undertaken clinical review of ophthalmology services and implemented a sustainable service model. </w:t>
            </w:r>
          </w:p>
          <w:p w14:paraId="1A91EB0A" w14:textId="77777777" w:rsidR="00DE3193" w:rsidRPr="00A85EA2" w:rsidRDefault="00DE3193" w:rsidP="00D96821">
            <w:pPr>
              <w:pStyle w:val="NormaBulletIndent"/>
              <w:numPr>
                <w:ilvl w:val="0"/>
                <w:numId w:val="0"/>
              </w:numPr>
              <w:rPr>
                <w:szCs w:val="22"/>
              </w:rPr>
            </w:pPr>
            <w:r>
              <w:rPr>
                <w:szCs w:val="22"/>
              </w:rPr>
              <w:t>Q4 have undertaken clinical review of OMF service provision and implemented a sustainable service model across CTM that will provide patients with equitable access to a safe and effective OMF and restorative dentistry service.</w:t>
            </w:r>
          </w:p>
          <w:p w14:paraId="6AF2981A" w14:textId="77777777" w:rsidR="00DE3193" w:rsidRPr="00D96821" w:rsidRDefault="00DE3193" w:rsidP="00D96821">
            <w:pPr>
              <w:rPr>
                <w:rFonts w:asciiTheme="minorHAnsi" w:hAnsiTheme="minorHAnsi"/>
                <w:bCs/>
              </w:rPr>
            </w:pPr>
            <w:r w:rsidRPr="00D96821">
              <w:rPr>
                <w:rFonts w:asciiTheme="minorHAnsi" w:hAnsiTheme="minorHAnsi"/>
                <w:bCs/>
              </w:rPr>
              <w:t>Q4 Improved critical care infrastructure across CTM to meet the critical care network quality standards.</w:t>
            </w:r>
          </w:p>
          <w:p w14:paraId="77C2037F" w14:textId="77777777" w:rsidR="00DE3193" w:rsidRPr="00D96821" w:rsidRDefault="00DE3193" w:rsidP="00D96821">
            <w:pPr>
              <w:rPr>
                <w:rFonts w:asciiTheme="minorHAnsi" w:hAnsiTheme="minorHAnsi"/>
                <w:bCs/>
              </w:rPr>
            </w:pPr>
            <w:r w:rsidRPr="00D96821">
              <w:rPr>
                <w:rFonts w:asciiTheme="minorHAnsi" w:hAnsiTheme="minorHAnsi"/>
                <w:bCs/>
              </w:rPr>
              <w:t xml:space="preserve">Q4 Establish tracheotomy specialist nurse service. </w:t>
            </w:r>
          </w:p>
          <w:p w14:paraId="690D0842" w14:textId="77777777" w:rsidR="00DE3193" w:rsidRPr="00D96821" w:rsidRDefault="00DE3193" w:rsidP="00D96821">
            <w:pPr>
              <w:rPr>
                <w:rFonts w:asciiTheme="minorHAnsi" w:hAnsiTheme="minorHAnsi"/>
                <w:bCs/>
              </w:rPr>
            </w:pPr>
            <w:r w:rsidRPr="00D96821">
              <w:rPr>
                <w:rFonts w:asciiTheme="minorHAnsi" w:hAnsiTheme="minorHAnsi"/>
                <w:bCs/>
              </w:rPr>
              <w:t>Q4 Redesign of chronic pain service across the Health Board to provide high quality service, meet RTT targets and address inequity of access across CTM.</w:t>
            </w:r>
          </w:p>
          <w:p w14:paraId="3402C630" w14:textId="77777777" w:rsidR="00DE3193" w:rsidRPr="00D96821" w:rsidRDefault="00DE3193" w:rsidP="00D96821">
            <w:pPr>
              <w:rPr>
                <w:rFonts w:asciiTheme="minorHAnsi" w:hAnsiTheme="minorHAnsi"/>
                <w:bCs/>
              </w:rPr>
            </w:pPr>
            <w:r w:rsidRPr="00D96821">
              <w:rPr>
                <w:rFonts w:asciiTheme="minorHAnsi" w:hAnsiTheme="minorHAnsi"/>
                <w:bCs/>
              </w:rPr>
              <w:t>Q4 Develop enhanced neurophysiology services for the local population.</w:t>
            </w:r>
          </w:p>
        </w:tc>
        <w:tc>
          <w:tcPr>
            <w:tcW w:w="2694" w:type="dxa"/>
          </w:tcPr>
          <w:p w14:paraId="6979DCBA" w14:textId="77777777" w:rsidR="00DE3193" w:rsidRPr="009C6233" w:rsidRDefault="00DE3193" w:rsidP="00AA4595">
            <w:pPr>
              <w:pStyle w:val="ListParagraph"/>
              <w:ind w:left="360"/>
              <w:rPr>
                <w:rFonts w:asciiTheme="minorHAnsi" w:hAnsiTheme="minorHAnsi"/>
                <w:bCs/>
              </w:rPr>
            </w:pPr>
          </w:p>
        </w:tc>
        <w:tc>
          <w:tcPr>
            <w:tcW w:w="2743" w:type="dxa"/>
          </w:tcPr>
          <w:p w14:paraId="39B811C4" w14:textId="77777777" w:rsidR="00DE3193" w:rsidRDefault="00DE3193" w:rsidP="00AA4595">
            <w:pPr>
              <w:rPr>
                <w:rFonts w:asciiTheme="minorHAnsi" w:hAnsiTheme="minorHAnsi"/>
                <w:bCs/>
              </w:rPr>
            </w:pPr>
          </w:p>
        </w:tc>
      </w:tr>
    </w:tbl>
    <w:p w14:paraId="2163B763" w14:textId="77777777" w:rsidR="00DE3193" w:rsidRPr="00F64708" w:rsidRDefault="00DE3193" w:rsidP="00DE3193">
      <w:pPr>
        <w:pStyle w:val="NormaBulletIndent"/>
        <w:numPr>
          <w:ilvl w:val="0"/>
          <w:numId w:val="0"/>
        </w:numPr>
        <w:ind w:left="1077" w:hanging="360"/>
        <w:rPr>
          <w:szCs w:val="22"/>
        </w:rPr>
      </w:pPr>
    </w:p>
    <w:p w14:paraId="097F1F7E" w14:textId="6406F4C1" w:rsidR="00DE3193" w:rsidRDefault="00DE3193" w:rsidP="00DE3193">
      <w:pPr>
        <w:rPr>
          <w:rFonts w:asciiTheme="minorHAnsi" w:hAnsiTheme="minorHAnsi"/>
          <w:bCs/>
        </w:rPr>
      </w:pPr>
      <w:r>
        <w:rPr>
          <w:rFonts w:asciiTheme="minorHAnsi" w:hAnsiTheme="minorHAnsi"/>
          <w:bCs/>
          <w:i/>
        </w:rPr>
        <w:lastRenderedPageBreak/>
        <w:t xml:space="preserve">Alignment to National Delivery Plans – </w:t>
      </w:r>
      <w:r>
        <w:rPr>
          <w:rFonts w:asciiTheme="minorHAnsi" w:hAnsiTheme="minorHAnsi"/>
          <w:bCs/>
        </w:rPr>
        <w:t xml:space="preserve">The </w:t>
      </w:r>
      <w:r w:rsidR="00897141">
        <w:rPr>
          <w:rFonts w:asciiTheme="minorHAnsi" w:hAnsiTheme="minorHAnsi"/>
          <w:bCs/>
        </w:rPr>
        <w:t>WG</w:t>
      </w:r>
      <w:r>
        <w:rPr>
          <w:rFonts w:asciiTheme="minorHAnsi" w:hAnsiTheme="minorHAnsi"/>
          <w:bCs/>
        </w:rPr>
        <w:t xml:space="preserve"> has published a series of National Health Delivery Plans setting out national agreed actions and defining performance measures and outcomes within a frame of reference for action by </w:t>
      </w:r>
      <w:r w:rsidR="000843F4">
        <w:rPr>
          <w:rFonts w:asciiTheme="minorHAnsi" w:hAnsiTheme="minorHAnsi"/>
          <w:bCs/>
        </w:rPr>
        <w:t>HBs</w:t>
      </w:r>
      <w:r>
        <w:rPr>
          <w:rFonts w:asciiTheme="minorHAnsi" w:hAnsiTheme="minorHAnsi"/>
          <w:bCs/>
        </w:rPr>
        <w:t xml:space="preserve"> in Wales. In response, the </w:t>
      </w:r>
      <w:r w:rsidR="000843F4">
        <w:rPr>
          <w:rFonts w:asciiTheme="minorHAnsi" w:hAnsiTheme="minorHAnsi"/>
          <w:bCs/>
        </w:rPr>
        <w:t>HB</w:t>
      </w:r>
      <w:r>
        <w:rPr>
          <w:rFonts w:asciiTheme="minorHAnsi" w:hAnsiTheme="minorHAnsi"/>
          <w:bCs/>
        </w:rPr>
        <w:t xml:space="preserve"> has developed local delivery plans</w:t>
      </w:r>
      <w:r w:rsidR="00DF0778">
        <w:rPr>
          <w:rFonts w:asciiTheme="minorHAnsi" w:hAnsiTheme="minorHAnsi"/>
          <w:bCs/>
        </w:rPr>
        <w:t xml:space="preserve"> </w:t>
      </w:r>
      <w:r w:rsidRPr="00AB1585">
        <w:rPr>
          <w:rFonts w:asciiTheme="minorHAnsi" w:hAnsiTheme="minorHAnsi"/>
          <w:bCs/>
        </w:rPr>
        <w:t>with</w:t>
      </w:r>
      <w:r>
        <w:rPr>
          <w:rFonts w:asciiTheme="minorHAnsi" w:hAnsiTheme="minorHAnsi"/>
          <w:bCs/>
        </w:rPr>
        <w:t xml:space="preserve"> the key priorities including:</w:t>
      </w:r>
    </w:p>
    <w:p w14:paraId="6CE7E609" w14:textId="77777777" w:rsidR="00DE3193" w:rsidRDefault="00DE3193" w:rsidP="00DE3193">
      <w:pPr>
        <w:rPr>
          <w:rFonts w:asciiTheme="minorHAnsi" w:hAnsiTheme="minorHAnsi"/>
          <w:bCs/>
        </w:rPr>
      </w:pPr>
    </w:p>
    <w:tbl>
      <w:tblPr>
        <w:tblStyle w:val="TableGrid"/>
        <w:tblW w:w="0" w:type="auto"/>
        <w:tblLayout w:type="fixed"/>
        <w:tblLook w:val="04A0" w:firstRow="1" w:lastRow="0" w:firstColumn="1" w:lastColumn="0" w:noHBand="0" w:noVBand="1"/>
      </w:tblPr>
      <w:tblGrid>
        <w:gridCol w:w="1696"/>
        <w:gridCol w:w="8272"/>
      </w:tblGrid>
      <w:tr w:rsidR="0073072B" w:rsidRPr="006B156D" w14:paraId="27E7D76D" w14:textId="77777777" w:rsidTr="00BB2B8C">
        <w:trPr>
          <w:tblHeader/>
        </w:trPr>
        <w:tc>
          <w:tcPr>
            <w:tcW w:w="1696" w:type="dxa"/>
            <w:shd w:val="clear" w:color="auto" w:fill="002060"/>
          </w:tcPr>
          <w:p w14:paraId="57B9206A" w14:textId="77777777" w:rsidR="0073072B" w:rsidRPr="006B156D" w:rsidRDefault="0073072B" w:rsidP="00BE4FAD">
            <w:pPr>
              <w:rPr>
                <w:rFonts w:asciiTheme="minorHAnsi" w:hAnsiTheme="minorHAnsi"/>
                <w:b/>
                <w:bCs/>
              </w:rPr>
            </w:pPr>
            <w:r w:rsidRPr="006B156D">
              <w:rPr>
                <w:rFonts w:asciiTheme="minorHAnsi" w:hAnsiTheme="minorHAnsi"/>
                <w:b/>
                <w:bCs/>
              </w:rPr>
              <w:t>Delivery Plan</w:t>
            </w:r>
          </w:p>
        </w:tc>
        <w:tc>
          <w:tcPr>
            <w:tcW w:w="8272" w:type="dxa"/>
            <w:shd w:val="clear" w:color="auto" w:fill="002060"/>
          </w:tcPr>
          <w:p w14:paraId="741D6CE7" w14:textId="77777777" w:rsidR="0073072B" w:rsidRPr="006B156D" w:rsidRDefault="0073072B" w:rsidP="00BE4FAD">
            <w:pPr>
              <w:rPr>
                <w:rFonts w:asciiTheme="minorHAnsi" w:hAnsiTheme="minorHAnsi"/>
                <w:b/>
                <w:bCs/>
              </w:rPr>
            </w:pPr>
            <w:r w:rsidRPr="006B156D">
              <w:rPr>
                <w:rFonts w:asciiTheme="minorHAnsi" w:hAnsiTheme="minorHAnsi"/>
                <w:b/>
                <w:bCs/>
              </w:rPr>
              <w:t>Priorities 2020/21</w:t>
            </w:r>
          </w:p>
        </w:tc>
      </w:tr>
      <w:tr w:rsidR="0073072B" w:rsidRPr="00140566" w14:paraId="7246C29E" w14:textId="77777777" w:rsidTr="00BB2B8C">
        <w:tc>
          <w:tcPr>
            <w:tcW w:w="1696" w:type="dxa"/>
            <w:shd w:val="clear" w:color="auto" w:fill="auto"/>
          </w:tcPr>
          <w:p w14:paraId="04402DAB"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Stroke</w:t>
            </w:r>
          </w:p>
        </w:tc>
        <w:tc>
          <w:tcPr>
            <w:tcW w:w="8272" w:type="dxa"/>
            <w:shd w:val="clear" w:color="auto" w:fill="auto"/>
          </w:tcPr>
          <w:p w14:paraId="2D24AE06"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Improve thrombolysis rates and door to needle time.</w:t>
            </w:r>
          </w:p>
          <w:p w14:paraId="7334D8CB"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Address workforce challenges.</w:t>
            </w:r>
          </w:p>
          <w:p w14:paraId="4D6DE1ED"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Work to achieve 4 hour target for admission to the stroke unit.</w:t>
            </w:r>
          </w:p>
          <w:p w14:paraId="0B811672" w14:textId="0DA842A7" w:rsidR="0073072B" w:rsidRPr="008E3CA4" w:rsidRDefault="0073072B" w:rsidP="00794B29">
            <w:pPr>
              <w:rPr>
                <w:rFonts w:asciiTheme="minorHAnsi" w:hAnsiTheme="minorHAnsi"/>
                <w:bCs/>
                <w:sz w:val="22"/>
                <w:szCs w:val="22"/>
              </w:rPr>
            </w:pPr>
            <w:r w:rsidRPr="008E3CA4">
              <w:rPr>
                <w:rFonts w:asciiTheme="minorHAnsi" w:hAnsiTheme="minorHAnsi"/>
                <w:bCs/>
                <w:sz w:val="22"/>
                <w:szCs w:val="22"/>
              </w:rPr>
              <w:t xml:space="preserve">Identify long term funding for a Community Stroke/Neuro Rehabilitation service currently funded by National Stroke/Neurological Implementation Groups until March 2021.  Service is solely funded from this source with no further confirmation of </w:t>
            </w:r>
            <w:r w:rsidR="00794B29">
              <w:rPr>
                <w:rFonts w:asciiTheme="minorHAnsi" w:hAnsiTheme="minorHAnsi"/>
                <w:bCs/>
                <w:sz w:val="22"/>
                <w:szCs w:val="22"/>
              </w:rPr>
              <w:t xml:space="preserve">WG </w:t>
            </w:r>
            <w:r w:rsidRPr="008E3CA4">
              <w:rPr>
                <w:rFonts w:asciiTheme="minorHAnsi" w:hAnsiTheme="minorHAnsi"/>
                <w:bCs/>
                <w:sz w:val="22"/>
                <w:szCs w:val="22"/>
              </w:rPr>
              <w:t>funding after this time.</w:t>
            </w:r>
          </w:p>
        </w:tc>
      </w:tr>
      <w:tr w:rsidR="0073072B" w:rsidRPr="00140566" w14:paraId="19079C67" w14:textId="77777777" w:rsidTr="00BB2B8C">
        <w:tc>
          <w:tcPr>
            <w:tcW w:w="1696" w:type="dxa"/>
          </w:tcPr>
          <w:p w14:paraId="1FA511E0"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Cancer</w:t>
            </w:r>
          </w:p>
        </w:tc>
        <w:tc>
          <w:tcPr>
            <w:tcW w:w="8272" w:type="dxa"/>
          </w:tcPr>
          <w:p w14:paraId="1AAB7633"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Early Cancer Diagnosis Programme.</w:t>
            </w:r>
          </w:p>
          <w:p w14:paraId="3EE2425E"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Single Cancer Pathway implementation. </w:t>
            </w:r>
          </w:p>
          <w:p w14:paraId="0918E0B3"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Cancer workforce sustainability and succession planning. </w:t>
            </w:r>
          </w:p>
          <w:p w14:paraId="1A70F09F"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Maintain high level of peer review compliance. </w:t>
            </w:r>
          </w:p>
          <w:p w14:paraId="79CBC313"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Continue to engage with Velindre NHS Trust to explore opportunities to develop more integrated services with the aim of improving quality and patient experience. </w:t>
            </w:r>
          </w:p>
        </w:tc>
      </w:tr>
      <w:tr w:rsidR="0073072B" w:rsidRPr="00140566" w14:paraId="0A522DB8" w14:textId="77777777" w:rsidTr="00BB2B8C">
        <w:tc>
          <w:tcPr>
            <w:tcW w:w="1696" w:type="dxa"/>
          </w:tcPr>
          <w:p w14:paraId="5407CF7E"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Liver Disease</w:t>
            </w:r>
          </w:p>
        </w:tc>
        <w:tc>
          <w:tcPr>
            <w:tcW w:w="8272" w:type="dxa"/>
          </w:tcPr>
          <w:p w14:paraId="4AAFF7D4"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Preventing liver disease.</w:t>
            </w:r>
          </w:p>
          <w:p w14:paraId="5BC35ECC"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Timely detection of liver disease.</w:t>
            </w:r>
          </w:p>
          <w:p w14:paraId="7118AFB1"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Implement robust pathways to deliver fast, effective and consistent care. </w:t>
            </w:r>
          </w:p>
          <w:p w14:paraId="5B19159B"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Improving information for patients. </w:t>
            </w:r>
          </w:p>
          <w:p w14:paraId="6C5EC255" w14:textId="65A7B334" w:rsidR="0073072B" w:rsidRPr="008E3CA4" w:rsidRDefault="0073072B" w:rsidP="00E136ED">
            <w:pPr>
              <w:rPr>
                <w:rFonts w:asciiTheme="minorHAnsi" w:hAnsiTheme="minorHAnsi"/>
                <w:bCs/>
                <w:sz w:val="22"/>
                <w:szCs w:val="22"/>
              </w:rPr>
            </w:pPr>
            <w:r w:rsidRPr="008E3CA4">
              <w:rPr>
                <w:rFonts w:asciiTheme="minorHAnsi" w:hAnsiTheme="minorHAnsi"/>
                <w:bCs/>
                <w:sz w:val="22"/>
                <w:szCs w:val="22"/>
              </w:rPr>
              <w:t xml:space="preserve">Improved support for patients to live with advanced liver disease. </w:t>
            </w:r>
          </w:p>
        </w:tc>
      </w:tr>
      <w:tr w:rsidR="0073072B" w:rsidRPr="00140566" w14:paraId="4C2F2BCD" w14:textId="77777777" w:rsidTr="00BB2B8C">
        <w:tc>
          <w:tcPr>
            <w:tcW w:w="1696" w:type="dxa"/>
          </w:tcPr>
          <w:p w14:paraId="0DB0A29F"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Neurological Conditions</w:t>
            </w:r>
          </w:p>
        </w:tc>
        <w:tc>
          <w:tcPr>
            <w:tcW w:w="8272" w:type="dxa"/>
          </w:tcPr>
          <w:p w14:paraId="4C5B58C5"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Development of Epilepsy Specialist Nursing Service.</w:t>
            </w:r>
          </w:p>
          <w:p w14:paraId="67696172" w14:textId="37F9B91A"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Development of long term Neurological Strategy for </w:t>
            </w:r>
            <w:r w:rsidR="000774E1">
              <w:rPr>
                <w:rFonts w:asciiTheme="minorHAnsi" w:hAnsiTheme="minorHAnsi"/>
                <w:bCs/>
                <w:sz w:val="22"/>
                <w:szCs w:val="22"/>
              </w:rPr>
              <w:t xml:space="preserve">the </w:t>
            </w:r>
            <w:r w:rsidR="00794B29">
              <w:rPr>
                <w:rFonts w:asciiTheme="minorHAnsi" w:hAnsiTheme="minorHAnsi"/>
                <w:bCs/>
                <w:sz w:val="22"/>
                <w:szCs w:val="22"/>
              </w:rPr>
              <w:t>U</w:t>
            </w:r>
            <w:r w:rsidR="000774E1">
              <w:rPr>
                <w:rFonts w:asciiTheme="minorHAnsi" w:hAnsiTheme="minorHAnsi"/>
                <w:bCs/>
                <w:sz w:val="22"/>
                <w:szCs w:val="22"/>
              </w:rPr>
              <w:t>H</w:t>
            </w:r>
            <w:r w:rsidR="00794B29">
              <w:rPr>
                <w:rFonts w:asciiTheme="minorHAnsi" w:hAnsiTheme="minorHAnsi"/>
                <w:bCs/>
                <w:sz w:val="22"/>
                <w:szCs w:val="22"/>
              </w:rPr>
              <w:t>B</w:t>
            </w:r>
            <w:r w:rsidRPr="008E3CA4">
              <w:rPr>
                <w:rFonts w:asciiTheme="minorHAnsi" w:hAnsiTheme="minorHAnsi"/>
                <w:bCs/>
                <w:sz w:val="22"/>
                <w:szCs w:val="22"/>
              </w:rPr>
              <w:t xml:space="preserve">. </w:t>
            </w:r>
          </w:p>
          <w:p w14:paraId="50CC311F"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To improve neurophysiology waiting times. </w:t>
            </w:r>
          </w:p>
          <w:p w14:paraId="448562E1"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Identify long term funding for a Community Stroke/Neuro Rehabilitation service as above.</w:t>
            </w:r>
          </w:p>
        </w:tc>
      </w:tr>
      <w:tr w:rsidR="0073072B" w:rsidRPr="00140566" w14:paraId="7DC1F4A1" w14:textId="77777777" w:rsidTr="00BB2B8C">
        <w:tc>
          <w:tcPr>
            <w:tcW w:w="1696" w:type="dxa"/>
          </w:tcPr>
          <w:p w14:paraId="48B03E0D"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Rare Diseases</w:t>
            </w:r>
          </w:p>
        </w:tc>
        <w:tc>
          <w:tcPr>
            <w:tcW w:w="8272" w:type="dxa"/>
          </w:tcPr>
          <w:p w14:paraId="2C4945C0"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Identify and improve the pathway for patients with unknown or delayed diagnosis.</w:t>
            </w:r>
          </w:p>
          <w:p w14:paraId="1205A61A"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Ensure better use of patient feedback, best practice and evidence to improve pathways for primary, secondary and specialist services. </w:t>
            </w:r>
          </w:p>
        </w:tc>
      </w:tr>
      <w:tr w:rsidR="0073072B" w:rsidRPr="00140566" w14:paraId="33BB9258" w14:textId="77777777" w:rsidTr="00BB2B8C">
        <w:tc>
          <w:tcPr>
            <w:tcW w:w="1696" w:type="dxa"/>
          </w:tcPr>
          <w:p w14:paraId="14D2C5BE"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Diabetes and Endocrinology</w:t>
            </w:r>
          </w:p>
        </w:tc>
        <w:tc>
          <w:tcPr>
            <w:tcW w:w="8272" w:type="dxa"/>
          </w:tcPr>
          <w:p w14:paraId="74F8CA3C" w14:textId="6D4EA362"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Ensure referral pathway for children with suspected diabetes is embedded across the </w:t>
            </w:r>
            <w:r w:rsidR="000B2076">
              <w:rPr>
                <w:rFonts w:asciiTheme="minorHAnsi" w:hAnsiTheme="minorHAnsi"/>
                <w:bCs/>
                <w:sz w:val="22"/>
                <w:szCs w:val="22"/>
              </w:rPr>
              <w:t>UHB.</w:t>
            </w:r>
            <w:r w:rsidRPr="008E3CA4">
              <w:rPr>
                <w:rFonts w:asciiTheme="minorHAnsi" w:hAnsiTheme="minorHAnsi"/>
                <w:bCs/>
                <w:sz w:val="22"/>
                <w:szCs w:val="22"/>
              </w:rPr>
              <w:t xml:space="preserve"> </w:t>
            </w:r>
          </w:p>
          <w:p w14:paraId="07735331"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Psychology business case for children’s services completed. </w:t>
            </w:r>
          </w:p>
          <w:p w14:paraId="6E4B27C9"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Identify individuals at risk of diabetes and instigate supportive strategies to reduce the risk including clear signposting to lifestyle change / support activities / information.</w:t>
            </w:r>
          </w:p>
          <w:p w14:paraId="0A748915" w14:textId="6416AF68"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Improve general diabetes in pregnancy education for people with diabetes. </w:t>
            </w:r>
          </w:p>
        </w:tc>
      </w:tr>
      <w:tr w:rsidR="0073072B" w:rsidRPr="00140566" w14:paraId="328E41A0" w14:textId="77777777" w:rsidTr="00BB2B8C">
        <w:tc>
          <w:tcPr>
            <w:tcW w:w="1696" w:type="dxa"/>
          </w:tcPr>
          <w:p w14:paraId="3DE9F7C9"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Respiratory disease</w:t>
            </w:r>
          </w:p>
        </w:tc>
        <w:tc>
          <w:tcPr>
            <w:tcW w:w="8272" w:type="dxa"/>
          </w:tcPr>
          <w:p w14:paraId="53D3AE3D"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Increase the number of smokers who are motivated to quit using NHS support.</w:t>
            </w:r>
          </w:p>
          <w:p w14:paraId="7AD03A4A" w14:textId="171EBB54"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Implement evidence based pulmonary rehabilitation service across the whole </w:t>
            </w:r>
            <w:r w:rsidR="005A651F">
              <w:rPr>
                <w:rFonts w:asciiTheme="minorHAnsi" w:hAnsiTheme="minorHAnsi"/>
                <w:bCs/>
                <w:sz w:val="22"/>
                <w:szCs w:val="22"/>
              </w:rPr>
              <w:t>UHB</w:t>
            </w:r>
            <w:r w:rsidRPr="008E3CA4">
              <w:rPr>
                <w:rFonts w:asciiTheme="minorHAnsi" w:hAnsiTheme="minorHAnsi"/>
                <w:bCs/>
                <w:sz w:val="22"/>
                <w:szCs w:val="22"/>
              </w:rPr>
              <w:t xml:space="preserve">. </w:t>
            </w:r>
          </w:p>
          <w:p w14:paraId="21592AD0"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Ensure quality standard for acute non-invasive ventilation service is met. </w:t>
            </w:r>
          </w:p>
          <w:p w14:paraId="74CC1FD6"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Enhance existing model for training and education of healthcare professionals working in GP practices, community services and community hospitals. </w:t>
            </w:r>
          </w:p>
          <w:p w14:paraId="55EE505F" w14:textId="251082FB" w:rsidR="0073072B" w:rsidRPr="008E3CA4" w:rsidRDefault="0073072B" w:rsidP="00756C92">
            <w:pPr>
              <w:rPr>
                <w:rFonts w:asciiTheme="minorHAnsi" w:hAnsiTheme="minorHAnsi"/>
                <w:bCs/>
                <w:sz w:val="22"/>
                <w:szCs w:val="22"/>
              </w:rPr>
            </w:pPr>
            <w:r w:rsidRPr="008E3CA4">
              <w:rPr>
                <w:rFonts w:asciiTheme="minorHAnsi" w:hAnsiTheme="minorHAnsi"/>
                <w:bCs/>
                <w:sz w:val="22"/>
                <w:szCs w:val="22"/>
              </w:rPr>
              <w:t xml:space="preserve">Increase asthma awareness and improve outcomes for </w:t>
            </w:r>
            <w:r w:rsidR="00756C92">
              <w:rPr>
                <w:rFonts w:asciiTheme="minorHAnsi" w:hAnsiTheme="minorHAnsi"/>
                <w:bCs/>
                <w:sz w:val="22"/>
                <w:szCs w:val="22"/>
              </w:rPr>
              <w:t>CYP</w:t>
            </w:r>
            <w:r w:rsidRPr="008E3CA4">
              <w:rPr>
                <w:rFonts w:asciiTheme="minorHAnsi" w:hAnsiTheme="minorHAnsi"/>
                <w:bCs/>
                <w:sz w:val="22"/>
                <w:szCs w:val="22"/>
              </w:rPr>
              <w:t xml:space="preserve"> asthma.</w:t>
            </w:r>
          </w:p>
        </w:tc>
      </w:tr>
      <w:tr w:rsidR="0073072B" w:rsidRPr="00140566" w14:paraId="6BB2B044" w14:textId="77777777" w:rsidTr="00BB2B8C">
        <w:tc>
          <w:tcPr>
            <w:tcW w:w="1696" w:type="dxa"/>
          </w:tcPr>
          <w:p w14:paraId="16786D4C"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Chronic Fatigue Syndrome, Fibromyalgia and M.E.</w:t>
            </w:r>
          </w:p>
        </w:tc>
        <w:tc>
          <w:tcPr>
            <w:tcW w:w="8272" w:type="dxa"/>
          </w:tcPr>
          <w:p w14:paraId="2505ABBE"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Identification and collaborative working with Consultants with an interest in ME.</w:t>
            </w:r>
          </w:p>
          <w:p w14:paraId="659A552A"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Finalise the implementation of the fibromyalgia and CFS/ME pathways.</w:t>
            </w:r>
          </w:p>
          <w:p w14:paraId="6CC20E7D"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Development of psychology support service for patients with CFS/ME/FM.</w:t>
            </w:r>
          </w:p>
        </w:tc>
      </w:tr>
      <w:tr w:rsidR="0073072B" w:rsidRPr="00140566" w14:paraId="24AD9601" w14:textId="77777777" w:rsidTr="00BB2B8C">
        <w:tc>
          <w:tcPr>
            <w:tcW w:w="1696" w:type="dxa"/>
          </w:tcPr>
          <w:p w14:paraId="41211F68"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End of Life Care</w:t>
            </w:r>
          </w:p>
        </w:tc>
        <w:tc>
          <w:tcPr>
            <w:tcW w:w="8272" w:type="dxa"/>
          </w:tcPr>
          <w:p w14:paraId="2EBEB89E"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Address the key actions highlighted by the National Audit in End of Life Care (NACEL) particularly promoting the use of the Care of Decisions Tool for the Last Days of Life across our hospital wards and community settings.</w:t>
            </w:r>
          </w:p>
          <w:p w14:paraId="291045F8"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Continue to promote public awareness of the need for more open discussions about death and dying, such as through Byw Nawr and Marie Curie Talk About campaigns, and to embed Advance or Future Care Planning enabling people to express their preferences for care at the end of life.</w:t>
            </w:r>
          </w:p>
          <w:p w14:paraId="161AFECC" w14:textId="67F9CD9E"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Continue to develop Hospice @Home services for adults and children, enabling people to be cared for and to die at home should that be their wish.</w:t>
            </w:r>
          </w:p>
        </w:tc>
      </w:tr>
      <w:tr w:rsidR="0073072B" w:rsidRPr="00140566" w14:paraId="16FDE018" w14:textId="77777777" w:rsidTr="00BB2B8C">
        <w:tc>
          <w:tcPr>
            <w:tcW w:w="1696" w:type="dxa"/>
          </w:tcPr>
          <w:p w14:paraId="32605930"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lastRenderedPageBreak/>
              <w:t>Heart Disease</w:t>
            </w:r>
          </w:p>
        </w:tc>
        <w:tc>
          <w:tcPr>
            <w:tcW w:w="8272" w:type="dxa"/>
          </w:tcPr>
          <w:p w14:paraId="354A6273"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Achieve RTT waiting times for outpatients, diagnostics and treatment pathways.</w:t>
            </w:r>
          </w:p>
          <w:p w14:paraId="01AFB1B8" w14:textId="69C08F98"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Remodel chest pain service to include implementation of the Heartflow system, expansion of the </w:t>
            </w:r>
            <w:r w:rsidR="00610CCB" w:rsidRPr="008E3CA4">
              <w:rPr>
                <w:rFonts w:asciiTheme="minorHAnsi" w:hAnsiTheme="minorHAnsi"/>
                <w:bCs/>
                <w:sz w:val="22"/>
                <w:szCs w:val="22"/>
              </w:rPr>
              <w:t>Cath</w:t>
            </w:r>
            <w:r w:rsidRPr="008E3CA4">
              <w:rPr>
                <w:rFonts w:asciiTheme="minorHAnsi" w:hAnsiTheme="minorHAnsi"/>
                <w:bCs/>
                <w:sz w:val="22"/>
                <w:szCs w:val="22"/>
              </w:rPr>
              <w:t xml:space="preserve"> lab and cardiac CT, and repatriation of PCI.</w:t>
            </w:r>
          </w:p>
          <w:p w14:paraId="4C418E73"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Review of local cardiac physiology service.</w:t>
            </w:r>
          </w:p>
          <w:p w14:paraId="0A02AADF"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Review of the heart failure service provision.</w:t>
            </w:r>
          </w:p>
          <w:p w14:paraId="2361F65E"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Participation in Cardiac Peer Review and NCAP audit.</w:t>
            </w:r>
          </w:p>
          <w:p w14:paraId="00354753" w14:textId="2D27B93B"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Participation </w:t>
            </w:r>
            <w:r w:rsidR="00A330C3">
              <w:rPr>
                <w:rFonts w:asciiTheme="minorHAnsi" w:hAnsiTheme="minorHAnsi"/>
                <w:bCs/>
                <w:sz w:val="22"/>
                <w:szCs w:val="22"/>
              </w:rPr>
              <w:t>in the AWACI project, including</w:t>
            </w:r>
            <w:r w:rsidRPr="008E3CA4">
              <w:rPr>
                <w:rFonts w:asciiTheme="minorHAnsi" w:hAnsiTheme="minorHAnsi"/>
                <w:bCs/>
                <w:sz w:val="22"/>
                <w:szCs w:val="22"/>
              </w:rPr>
              <w:t xml:space="preserve"> electronic test requesting and digitisation of notes. </w:t>
            </w:r>
          </w:p>
        </w:tc>
      </w:tr>
      <w:tr w:rsidR="0073072B" w:rsidRPr="00140566" w14:paraId="56DBCE18" w14:textId="77777777" w:rsidTr="00BB2B8C">
        <w:tc>
          <w:tcPr>
            <w:tcW w:w="1696" w:type="dxa"/>
          </w:tcPr>
          <w:p w14:paraId="248AC141"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Critical Care</w:t>
            </w:r>
          </w:p>
        </w:tc>
        <w:tc>
          <w:tcPr>
            <w:tcW w:w="8272" w:type="dxa"/>
          </w:tcPr>
          <w:p w14:paraId="7A2495DC"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Ensure all acute admissions are assessed for the risk of developing acute kidney injury.</w:t>
            </w:r>
          </w:p>
          <w:p w14:paraId="689614A0"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Ensure all acutely unwell patients are screened for sepsis and appropriate care pathway delivered where indicated.</w:t>
            </w:r>
          </w:p>
          <w:p w14:paraId="60A23A21"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Ensure all patients requiring general surgery have their mortality risk calculated – those with greater than 10% will require assessment for post-operative critical care admission. </w:t>
            </w:r>
          </w:p>
          <w:p w14:paraId="4A9CF56E"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Allocate critical care units as appropriate.</w:t>
            </w:r>
          </w:p>
          <w:p w14:paraId="028056F4"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Ensure critical care patients are managed by dedicated critical care consultants and middle tier doctors. </w:t>
            </w:r>
          </w:p>
          <w:p w14:paraId="109487E4" w14:textId="6A6054AD"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Increased provision </w:t>
            </w:r>
            <w:r w:rsidR="00CB79B5" w:rsidRPr="008E3CA4">
              <w:rPr>
                <w:rFonts w:asciiTheme="minorHAnsi" w:hAnsiTheme="minorHAnsi"/>
                <w:bCs/>
                <w:sz w:val="22"/>
                <w:szCs w:val="22"/>
              </w:rPr>
              <w:t>f</w:t>
            </w:r>
            <w:r w:rsidRPr="008E3CA4">
              <w:rPr>
                <w:rFonts w:asciiTheme="minorHAnsi" w:hAnsiTheme="minorHAnsi"/>
                <w:bCs/>
                <w:sz w:val="22"/>
                <w:szCs w:val="22"/>
              </w:rPr>
              <w:t xml:space="preserve">or enhancing services to care for level 1 patients outside of critical care where appropriate. </w:t>
            </w:r>
          </w:p>
          <w:p w14:paraId="2D2DE09E"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Prioritise critical care discharges.</w:t>
            </w:r>
          </w:p>
          <w:p w14:paraId="540ECD03" w14:textId="187B7D33" w:rsidR="0073072B" w:rsidRPr="008E3CA4" w:rsidRDefault="0073072B" w:rsidP="00A330C3">
            <w:pPr>
              <w:rPr>
                <w:rFonts w:asciiTheme="minorHAnsi" w:hAnsiTheme="minorHAnsi"/>
                <w:bCs/>
                <w:sz w:val="22"/>
                <w:szCs w:val="22"/>
              </w:rPr>
            </w:pPr>
            <w:r w:rsidRPr="008E3CA4">
              <w:rPr>
                <w:rFonts w:asciiTheme="minorHAnsi" w:hAnsiTheme="minorHAnsi"/>
                <w:bCs/>
                <w:sz w:val="22"/>
                <w:szCs w:val="22"/>
              </w:rPr>
              <w:t>Develop mechanisms to undertake ongoing assessment of Delayed Transfers of Care</w:t>
            </w:r>
            <w:r w:rsidR="00A330C3">
              <w:rPr>
                <w:rFonts w:asciiTheme="minorHAnsi" w:hAnsiTheme="minorHAnsi"/>
                <w:bCs/>
                <w:sz w:val="22"/>
                <w:szCs w:val="22"/>
              </w:rPr>
              <w:t xml:space="preserve"> impact</w:t>
            </w:r>
            <w:r w:rsidRPr="008E3CA4">
              <w:rPr>
                <w:rFonts w:asciiTheme="minorHAnsi" w:hAnsiTheme="minorHAnsi"/>
                <w:bCs/>
                <w:sz w:val="22"/>
                <w:szCs w:val="22"/>
              </w:rPr>
              <w:t xml:space="preserve">. </w:t>
            </w:r>
          </w:p>
        </w:tc>
      </w:tr>
      <w:tr w:rsidR="0073072B" w:rsidRPr="00140566" w14:paraId="2BA7A6F1" w14:textId="77777777" w:rsidTr="00BB2B8C">
        <w:tc>
          <w:tcPr>
            <w:tcW w:w="1696" w:type="dxa"/>
          </w:tcPr>
          <w:p w14:paraId="497E5F09"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Oral Health</w:t>
            </w:r>
          </w:p>
        </w:tc>
        <w:tc>
          <w:tcPr>
            <w:tcW w:w="8272" w:type="dxa"/>
          </w:tcPr>
          <w:p w14:paraId="1010C0D4"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Implement the agreed set of actions to focus on targeting children and their parents to start oral health promotion and prevention early in a child’s life.</w:t>
            </w:r>
          </w:p>
          <w:p w14:paraId="6DC22F59"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Maintain the provision of Minor Oral Surgery (MOS) in Primary Care. </w:t>
            </w:r>
          </w:p>
          <w:p w14:paraId="4D9F5B39"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Continue to explore the range of services that can be delivered from the Dental Teaching Unit building on the successful introduction of MOS and sedation services. </w:t>
            </w:r>
          </w:p>
          <w:p w14:paraId="757B7724"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Explore the upskilling of the General Dental Practitioners workforce and seek to reduce the high number of referrals in to secondary care. </w:t>
            </w:r>
          </w:p>
          <w:p w14:paraId="1C968D53" w14:textId="6F5F7A88"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Implementation of recommendations from completed Designed to Smile service review. </w:t>
            </w:r>
          </w:p>
          <w:p w14:paraId="56B87CB2" w14:textId="45AF0EE4"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Following transfer of Community Dental Service from C</w:t>
            </w:r>
            <w:r w:rsidR="007E2E92">
              <w:rPr>
                <w:rFonts w:asciiTheme="minorHAnsi" w:hAnsiTheme="minorHAnsi"/>
                <w:bCs/>
                <w:sz w:val="22"/>
                <w:szCs w:val="22"/>
              </w:rPr>
              <w:t>aVU</w:t>
            </w:r>
            <w:r w:rsidRPr="008E3CA4">
              <w:rPr>
                <w:rFonts w:asciiTheme="minorHAnsi" w:hAnsiTheme="minorHAnsi"/>
                <w:bCs/>
                <w:sz w:val="22"/>
                <w:szCs w:val="22"/>
              </w:rPr>
              <w:t xml:space="preserve">HB and </w:t>
            </w:r>
            <w:r w:rsidR="007E2E92">
              <w:rPr>
                <w:rFonts w:asciiTheme="minorHAnsi" w:hAnsiTheme="minorHAnsi"/>
                <w:bCs/>
                <w:sz w:val="22"/>
                <w:szCs w:val="22"/>
              </w:rPr>
              <w:t>SBUHB (Bridgend)</w:t>
            </w:r>
            <w:r w:rsidRPr="008E3CA4">
              <w:rPr>
                <w:rFonts w:asciiTheme="minorHAnsi" w:hAnsiTheme="minorHAnsi"/>
                <w:bCs/>
                <w:sz w:val="22"/>
                <w:szCs w:val="22"/>
              </w:rPr>
              <w:t>, continue to review core services to ensure service delivery is integrated, streamlined and improved (where appropriate).</w:t>
            </w:r>
          </w:p>
          <w:p w14:paraId="7E94A6CE" w14:textId="50745965"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Support </w:t>
            </w:r>
            <w:r w:rsidR="00D36463" w:rsidRPr="008E3CA4">
              <w:rPr>
                <w:rFonts w:asciiTheme="minorHAnsi" w:hAnsiTheme="minorHAnsi"/>
                <w:bCs/>
                <w:sz w:val="22"/>
                <w:szCs w:val="22"/>
              </w:rPr>
              <w:t xml:space="preserve">implementation of phase </w:t>
            </w:r>
            <w:r w:rsidR="00487856">
              <w:rPr>
                <w:rFonts w:asciiTheme="minorHAnsi" w:hAnsiTheme="minorHAnsi"/>
                <w:bCs/>
                <w:sz w:val="22"/>
                <w:szCs w:val="22"/>
              </w:rPr>
              <w:t>2</w:t>
            </w:r>
            <w:r w:rsidR="00D36463" w:rsidRPr="008E3CA4">
              <w:rPr>
                <w:rFonts w:asciiTheme="minorHAnsi" w:hAnsiTheme="minorHAnsi"/>
                <w:bCs/>
                <w:sz w:val="22"/>
                <w:szCs w:val="22"/>
              </w:rPr>
              <w:t xml:space="preserve"> o</w:t>
            </w:r>
            <w:r w:rsidRPr="008E3CA4">
              <w:rPr>
                <w:rFonts w:asciiTheme="minorHAnsi" w:hAnsiTheme="minorHAnsi"/>
                <w:bCs/>
                <w:sz w:val="22"/>
                <w:szCs w:val="22"/>
              </w:rPr>
              <w:t xml:space="preserve">f the dental e-referral system (phase </w:t>
            </w:r>
            <w:r w:rsidR="00487856">
              <w:rPr>
                <w:rFonts w:asciiTheme="minorHAnsi" w:hAnsiTheme="minorHAnsi"/>
                <w:bCs/>
                <w:sz w:val="22"/>
                <w:szCs w:val="22"/>
              </w:rPr>
              <w:t>1</w:t>
            </w:r>
            <w:r w:rsidRPr="008E3CA4">
              <w:rPr>
                <w:rFonts w:asciiTheme="minorHAnsi" w:hAnsiTheme="minorHAnsi"/>
                <w:bCs/>
                <w:sz w:val="22"/>
                <w:szCs w:val="22"/>
              </w:rPr>
              <w:t xml:space="preserve"> implemented July 2019).</w:t>
            </w:r>
          </w:p>
          <w:p w14:paraId="27D02D7D" w14:textId="2CE2588C"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111 service redesign of dental call handling and review of current service to streamline urgent dental care across the </w:t>
            </w:r>
            <w:r w:rsidR="00487856">
              <w:rPr>
                <w:rFonts w:asciiTheme="minorHAnsi" w:hAnsiTheme="minorHAnsi"/>
                <w:bCs/>
                <w:sz w:val="22"/>
                <w:szCs w:val="22"/>
              </w:rPr>
              <w:t>UHB</w:t>
            </w:r>
            <w:r w:rsidRPr="008E3CA4">
              <w:rPr>
                <w:rFonts w:asciiTheme="minorHAnsi" w:hAnsiTheme="minorHAnsi"/>
                <w:bCs/>
                <w:sz w:val="22"/>
                <w:szCs w:val="22"/>
              </w:rPr>
              <w:t xml:space="preserve">. </w:t>
            </w:r>
          </w:p>
          <w:p w14:paraId="786DE99A"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Continue to raise awareness of oral cancer and its risks to improve patient outcomes. </w:t>
            </w:r>
          </w:p>
        </w:tc>
      </w:tr>
      <w:tr w:rsidR="0073072B" w:rsidRPr="00140566" w14:paraId="385CC2EC" w14:textId="77777777" w:rsidTr="00BB2B8C">
        <w:tc>
          <w:tcPr>
            <w:tcW w:w="1696" w:type="dxa"/>
          </w:tcPr>
          <w:p w14:paraId="59BC37E7"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Eye Health</w:t>
            </w:r>
          </w:p>
        </w:tc>
        <w:tc>
          <w:tcPr>
            <w:tcW w:w="8272" w:type="dxa"/>
          </w:tcPr>
          <w:p w14:paraId="24B97648" w14:textId="5F21849E"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 xml:space="preserve">The vision set out in the Eye Health Care Delivery Plan which extended to 2020 is being evaluated by </w:t>
            </w:r>
            <w:r w:rsidR="007E2E92">
              <w:rPr>
                <w:rFonts w:asciiTheme="minorHAnsi" w:hAnsiTheme="minorHAnsi"/>
                <w:bCs/>
                <w:sz w:val="22"/>
                <w:szCs w:val="22"/>
              </w:rPr>
              <w:t>WG</w:t>
            </w:r>
            <w:r w:rsidR="00B93329">
              <w:rPr>
                <w:rFonts w:asciiTheme="minorHAnsi" w:hAnsiTheme="minorHAnsi"/>
                <w:bCs/>
                <w:sz w:val="22"/>
                <w:szCs w:val="22"/>
              </w:rPr>
              <w:t xml:space="preserve"> </w:t>
            </w:r>
            <w:r w:rsidRPr="008E3CA4">
              <w:rPr>
                <w:rFonts w:asciiTheme="minorHAnsi" w:hAnsiTheme="minorHAnsi"/>
                <w:bCs/>
                <w:sz w:val="22"/>
                <w:szCs w:val="22"/>
              </w:rPr>
              <w:t xml:space="preserve">and the new direction for service development is awaited. High quality, patient focused and integrated services which improve eye health for the population remain the priority along with ensuring those who develop sight impairment receive appropriate care, support and rehabilitation. </w:t>
            </w:r>
          </w:p>
          <w:p w14:paraId="3CD4520E" w14:textId="18A47F00" w:rsidR="0073072B" w:rsidRPr="008E3CA4" w:rsidRDefault="00B93329" w:rsidP="00B93329">
            <w:pPr>
              <w:rPr>
                <w:rFonts w:asciiTheme="minorHAnsi" w:hAnsiTheme="minorHAnsi"/>
                <w:bCs/>
                <w:sz w:val="22"/>
                <w:szCs w:val="22"/>
              </w:rPr>
            </w:pPr>
            <w:r>
              <w:rPr>
                <w:rFonts w:asciiTheme="minorHAnsi" w:hAnsiTheme="minorHAnsi"/>
                <w:bCs/>
                <w:sz w:val="22"/>
                <w:szCs w:val="22"/>
              </w:rPr>
              <w:t>WG</w:t>
            </w:r>
            <w:r w:rsidR="0073072B" w:rsidRPr="008E3CA4">
              <w:rPr>
                <w:rFonts w:asciiTheme="minorHAnsi" w:hAnsiTheme="minorHAnsi"/>
                <w:bCs/>
                <w:sz w:val="22"/>
                <w:szCs w:val="22"/>
              </w:rPr>
              <w:t>’s current priority areas will continue to be incorporated in the Local Eye Care Plan with focus on preventing avoidable sight loss and improving eye health; early identification of poor eye health and sight problems; providing high quality, efficient, accessible services; ensuring integration of services and patient focussed delivery; and providing care and support for people living with sight / dual sensory impairment.</w:t>
            </w:r>
          </w:p>
        </w:tc>
      </w:tr>
      <w:tr w:rsidR="0073072B" w:rsidRPr="00140566" w14:paraId="3EC62473" w14:textId="77777777" w:rsidTr="00BB2B8C">
        <w:tc>
          <w:tcPr>
            <w:tcW w:w="1696" w:type="dxa"/>
          </w:tcPr>
          <w:p w14:paraId="59AE976C" w14:textId="77777777" w:rsidR="0073072B" w:rsidRPr="008E3CA4" w:rsidRDefault="0073072B" w:rsidP="00BE4FAD">
            <w:pPr>
              <w:rPr>
                <w:rFonts w:asciiTheme="minorHAnsi" w:hAnsiTheme="minorHAnsi"/>
                <w:bCs/>
                <w:sz w:val="22"/>
                <w:szCs w:val="22"/>
              </w:rPr>
            </w:pPr>
            <w:r w:rsidRPr="008E3CA4">
              <w:rPr>
                <w:rFonts w:asciiTheme="minorHAnsi" w:hAnsiTheme="minorHAnsi"/>
                <w:bCs/>
                <w:sz w:val="22"/>
                <w:szCs w:val="22"/>
              </w:rPr>
              <w:t>Pain Management</w:t>
            </w:r>
          </w:p>
        </w:tc>
        <w:tc>
          <w:tcPr>
            <w:tcW w:w="8272" w:type="dxa"/>
          </w:tcPr>
          <w:p w14:paraId="19F3F336" w14:textId="08CD95A2" w:rsidR="0073072B" w:rsidRPr="008E3CA4" w:rsidRDefault="0073072B" w:rsidP="00063557">
            <w:pPr>
              <w:rPr>
                <w:rFonts w:asciiTheme="minorHAnsi" w:hAnsiTheme="minorHAnsi"/>
                <w:bCs/>
                <w:sz w:val="22"/>
                <w:szCs w:val="22"/>
              </w:rPr>
            </w:pPr>
            <w:r w:rsidRPr="008E3CA4">
              <w:rPr>
                <w:rFonts w:asciiTheme="minorHAnsi" w:hAnsiTheme="minorHAnsi"/>
                <w:bCs/>
                <w:sz w:val="22"/>
                <w:szCs w:val="22"/>
              </w:rPr>
              <w:t xml:space="preserve">Within </w:t>
            </w:r>
            <w:r w:rsidR="00063557">
              <w:rPr>
                <w:rFonts w:asciiTheme="minorHAnsi" w:hAnsiTheme="minorHAnsi"/>
                <w:bCs/>
                <w:sz w:val="22"/>
                <w:szCs w:val="22"/>
              </w:rPr>
              <w:t>CTM</w:t>
            </w:r>
            <w:r w:rsidRPr="008E3CA4">
              <w:rPr>
                <w:rFonts w:asciiTheme="minorHAnsi" w:hAnsiTheme="minorHAnsi"/>
                <w:bCs/>
                <w:sz w:val="22"/>
                <w:szCs w:val="22"/>
              </w:rPr>
              <w:t xml:space="preserve"> our aim has been to develop new, more accurate ways of assessing and treating types of chronic non-malignant pain and provide guidance about when patients should be referred to the chronic pain service.  This will allow patients in both primary care and hospital services to be referred to the most appropriate specialists for their needs</w:t>
            </w:r>
          </w:p>
        </w:tc>
      </w:tr>
      <w:tr w:rsidR="00BB2B8C" w:rsidRPr="00BB2B8C" w14:paraId="069503BD" w14:textId="77777777" w:rsidTr="00BB2B8C">
        <w:tc>
          <w:tcPr>
            <w:tcW w:w="1696" w:type="dxa"/>
          </w:tcPr>
          <w:p w14:paraId="01F17F1C" w14:textId="7BB77203" w:rsidR="00BB2B8C" w:rsidRPr="00BB2B8C" w:rsidRDefault="00BB2B8C" w:rsidP="00BE4FAD">
            <w:pPr>
              <w:rPr>
                <w:rFonts w:asciiTheme="minorHAnsi" w:hAnsiTheme="minorHAnsi"/>
                <w:bCs/>
                <w:sz w:val="22"/>
                <w:szCs w:val="22"/>
              </w:rPr>
            </w:pPr>
            <w:r w:rsidRPr="00BB2B8C">
              <w:rPr>
                <w:rFonts w:asciiTheme="minorHAnsi" w:hAnsiTheme="minorHAnsi"/>
                <w:bCs/>
                <w:sz w:val="22"/>
                <w:szCs w:val="22"/>
              </w:rPr>
              <w:t xml:space="preserve">Specialist Neuromuscular </w:t>
            </w:r>
            <w:r w:rsidRPr="00BB2B8C">
              <w:rPr>
                <w:rFonts w:asciiTheme="minorHAnsi" w:hAnsiTheme="minorHAnsi"/>
                <w:bCs/>
                <w:sz w:val="22"/>
                <w:szCs w:val="22"/>
              </w:rPr>
              <w:lastRenderedPageBreak/>
              <w:t>Services in Wales</w:t>
            </w:r>
          </w:p>
        </w:tc>
        <w:tc>
          <w:tcPr>
            <w:tcW w:w="8272" w:type="dxa"/>
          </w:tcPr>
          <w:p w14:paraId="28A61589" w14:textId="3A7E6573" w:rsidR="00BB2B8C" w:rsidRPr="00BB2B8C" w:rsidRDefault="00BB2B8C" w:rsidP="00487856">
            <w:pPr>
              <w:rPr>
                <w:rFonts w:asciiTheme="minorHAnsi" w:hAnsiTheme="minorHAnsi"/>
                <w:bCs/>
                <w:sz w:val="22"/>
                <w:szCs w:val="22"/>
              </w:rPr>
            </w:pPr>
            <w:r w:rsidRPr="00BB2B8C">
              <w:rPr>
                <w:rFonts w:asciiTheme="minorHAnsi" w:hAnsiTheme="minorHAnsi" w:cs="Arial"/>
                <w:iCs/>
                <w:sz w:val="22"/>
                <w:szCs w:val="22"/>
                <w:lang w:eastAsia="en-US"/>
              </w:rPr>
              <w:lastRenderedPageBreak/>
              <w:t xml:space="preserve">Patients with neuromuscular conditions have specialist and complex needs. </w:t>
            </w:r>
            <w:r>
              <w:rPr>
                <w:rFonts w:asciiTheme="minorHAnsi" w:hAnsiTheme="minorHAnsi" w:cs="Arial"/>
                <w:iCs/>
                <w:sz w:val="22"/>
                <w:szCs w:val="22"/>
                <w:lang w:eastAsia="en-US"/>
              </w:rPr>
              <w:t xml:space="preserve"> </w:t>
            </w:r>
            <w:r w:rsidRPr="00BB2B8C">
              <w:rPr>
                <w:rFonts w:asciiTheme="minorHAnsi" w:hAnsiTheme="minorHAnsi" w:cs="Arial"/>
                <w:iCs/>
                <w:sz w:val="22"/>
                <w:szCs w:val="22"/>
                <w:lang w:eastAsia="en-US"/>
              </w:rPr>
              <w:t xml:space="preserve">Whilst not a local priority for CTM in 2020/2021 the Welsh Neuromuscular Network (WNMN) have </w:t>
            </w:r>
            <w:r w:rsidRPr="00BB2B8C">
              <w:rPr>
                <w:rFonts w:asciiTheme="minorHAnsi" w:hAnsiTheme="minorHAnsi" w:cs="Arial"/>
                <w:iCs/>
                <w:sz w:val="22"/>
                <w:szCs w:val="22"/>
                <w:lang w:eastAsia="en-US"/>
              </w:rPr>
              <w:lastRenderedPageBreak/>
              <w:t xml:space="preserve">identified challenges and inherent risks to the current services, which they have shared with key stakeholders.  Additional funding is required to develop services on an all Wales basis to address services risks and sustainability issues.  A formal business case is to be developed during 2020/2021 for consideration by </w:t>
            </w:r>
            <w:r w:rsidR="00487856">
              <w:rPr>
                <w:rFonts w:asciiTheme="minorHAnsi" w:hAnsiTheme="minorHAnsi" w:cs="Arial"/>
                <w:iCs/>
                <w:sz w:val="22"/>
                <w:szCs w:val="22"/>
                <w:lang w:eastAsia="en-US"/>
              </w:rPr>
              <w:t>HBs</w:t>
            </w:r>
            <w:r w:rsidRPr="00BB2B8C">
              <w:rPr>
                <w:rFonts w:asciiTheme="minorHAnsi" w:hAnsiTheme="minorHAnsi" w:cs="Arial"/>
                <w:sz w:val="22"/>
                <w:szCs w:val="22"/>
                <w:lang w:eastAsia="en-US"/>
              </w:rPr>
              <w:t>.</w:t>
            </w:r>
          </w:p>
        </w:tc>
      </w:tr>
    </w:tbl>
    <w:p w14:paraId="2DC5E9F8" w14:textId="77777777" w:rsidR="0073072B" w:rsidRDefault="0073072B" w:rsidP="00DE3193">
      <w:pPr>
        <w:rPr>
          <w:rFonts w:asciiTheme="minorHAnsi" w:hAnsiTheme="minorHAnsi"/>
          <w:bCs/>
        </w:rPr>
      </w:pPr>
    </w:p>
    <w:bookmarkEnd w:id="104"/>
    <w:bookmarkEnd w:id="106"/>
    <w:p w14:paraId="4E8D42FB" w14:textId="50C03404" w:rsidR="00646D7D" w:rsidRPr="000227C6" w:rsidRDefault="00646D7D" w:rsidP="00646D7D">
      <w:r w:rsidRPr="000227C6">
        <w:t xml:space="preserve">Through the </w:t>
      </w:r>
      <w:r w:rsidRPr="000227C6">
        <w:rPr>
          <w:rFonts w:cs="Arial"/>
        </w:rPr>
        <w:t>Regional Planning and Delivery Forum, t</w:t>
      </w:r>
      <w:r w:rsidRPr="000227C6">
        <w:t xml:space="preserve">he </w:t>
      </w:r>
      <w:r w:rsidR="004A45D6">
        <w:t>UHB</w:t>
      </w:r>
      <w:r w:rsidRPr="000227C6">
        <w:t xml:space="preserve"> is committed to working collaboratively and at pace with neighbouring organisations in the region to secure benefits for patients where this is appropriate.  </w:t>
      </w:r>
      <w:r>
        <w:t>The following progress has been made over the course of 2019/20:</w:t>
      </w:r>
    </w:p>
    <w:p w14:paraId="58396EC7" w14:textId="77777777" w:rsidR="00BF0C95" w:rsidRDefault="00BF0C95" w:rsidP="00BF0C95">
      <w:pPr>
        <w:rPr>
          <w:highlight w:val="yellow"/>
        </w:rPr>
      </w:pPr>
    </w:p>
    <w:tbl>
      <w:tblPr>
        <w:tblW w:w="101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3"/>
        <w:gridCol w:w="8505"/>
      </w:tblGrid>
      <w:tr w:rsidR="007C77C9" w:rsidRPr="007C77C9" w14:paraId="6E45011C" w14:textId="77777777" w:rsidTr="007C77C9">
        <w:trPr>
          <w:trHeight w:val="351"/>
          <w:tblHeader/>
        </w:trPr>
        <w:tc>
          <w:tcPr>
            <w:tcW w:w="1663" w:type="dxa"/>
            <w:shd w:val="clear" w:color="auto" w:fill="17365D" w:themeFill="text2" w:themeFillShade="BF"/>
          </w:tcPr>
          <w:p w14:paraId="2E64C123" w14:textId="550FD766" w:rsidR="000227C6" w:rsidRPr="007C77C9" w:rsidRDefault="000227C6" w:rsidP="000227C6">
            <w:pPr>
              <w:autoSpaceDE w:val="0"/>
              <w:autoSpaceDN w:val="0"/>
              <w:adjustRightInd w:val="0"/>
              <w:jc w:val="left"/>
              <w:rPr>
                <w:rFonts w:asciiTheme="minorHAnsi" w:hAnsiTheme="minorHAnsi" w:cs="Calibri"/>
                <w:color w:val="FFFFFF" w:themeColor="background1"/>
                <w:szCs w:val="22"/>
              </w:rPr>
            </w:pPr>
            <w:r w:rsidRPr="007C77C9">
              <w:rPr>
                <w:rFonts w:asciiTheme="minorHAnsi" w:hAnsiTheme="minorHAnsi" w:cs="Calibri"/>
                <w:b/>
                <w:bCs/>
                <w:color w:val="FFFFFF" w:themeColor="background1"/>
                <w:szCs w:val="22"/>
              </w:rPr>
              <w:t xml:space="preserve">Workstream </w:t>
            </w:r>
          </w:p>
        </w:tc>
        <w:tc>
          <w:tcPr>
            <w:tcW w:w="8505" w:type="dxa"/>
            <w:shd w:val="clear" w:color="auto" w:fill="17365D" w:themeFill="text2" w:themeFillShade="BF"/>
          </w:tcPr>
          <w:p w14:paraId="6A523195" w14:textId="7B685DCA" w:rsidR="000227C6" w:rsidRPr="007C77C9" w:rsidRDefault="008B534D" w:rsidP="000227C6">
            <w:pPr>
              <w:autoSpaceDE w:val="0"/>
              <w:autoSpaceDN w:val="0"/>
              <w:adjustRightInd w:val="0"/>
              <w:jc w:val="left"/>
              <w:rPr>
                <w:rFonts w:asciiTheme="minorHAnsi" w:hAnsiTheme="minorHAnsi" w:cs="Calibri"/>
                <w:color w:val="FFFFFF" w:themeColor="background1"/>
                <w:szCs w:val="22"/>
              </w:rPr>
            </w:pPr>
            <w:r>
              <w:rPr>
                <w:rFonts w:asciiTheme="minorHAnsi" w:hAnsiTheme="minorHAnsi" w:cs="Calibri"/>
                <w:b/>
                <w:bCs/>
                <w:color w:val="FFFFFF" w:themeColor="background1"/>
                <w:szCs w:val="22"/>
              </w:rPr>
              <w:t>Progress in 2019</w:t>
            </w:r>
            <w:r w:rsidR="000227C6" w:rsidRPr="007C77C9">
              <w:rPr>
                <w:rFonts w:asciiTheme="minorHAnsi" w:hAnsiTheme="minorHAnsi" w:cs="Calibri"/>
                <w:b/>
                <w:bCs/>
                <w:color w:val="FFFFFF" w:themeColor="background1"/>
                <w:szCs w:val="22"/>
              </w:rPr>
              <w:t>/</w:t>
            </w:r>
            <w:r>
              <w:rPr>
                <w:rFonts w:asciiTheme="minorHAnsi" w:hAnsiTheme="minorHAnsi" w:cs="Calibri"/>
                <w:b/>
                <w:bCs/>
                <w:color w:val="FFFFFF" w:themeColor="background1"/>
                <w:szCs w:val="22"/>
              </w:rPr>
              <w:t>20</w:t>
            </w:r>
          </w:p>
        </w:tc>
      </w:tr>
      <w:tr w:rsidR="000227C6" w:rsidRPr="000227C6" w14:paraId="6E10AF71" w14:textId="77777777" w:rsidTr="007C77C9">
        <w:trPr>
          <w:trHeight w:val="1417"/>
        </w:trPr>
        <w:tc>
          <w:tcPr>
            <w:tcW w:w="1663" w:type="dxa"/>
          </w:tcPr>
          <w:p w14:paraId="68488329" w14:textId="77777777" w:rsidR="000227C6" w:rsidRPr="00E95113" w:rsidRDefault="000227C6" w:rsidP="000227C6">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 xml:space="preserve">Paediatric, obstetrics and neonates </w:t>
            </w:r>
          </w:p>
        </w:tc>
        <w:tc>
          <w:tcPr>
            <w:tcW w:w="8505" w:type="dxa"/>
          </w:tcPr>
          <w:p w14:paraId="6190C559" w14:textId="7B034CD6" w:rsidR="00646D7D" w:rsidRDefault="00646D7D" w:rsidP="00F60A35">
            <w:pPr>
              <w:numPr>
                <w:ilvl w:val="0"/>
                <w:numId w:val="43"/>
              </w:numPr>
              <w:spacing w:line="259" w:lineRule="auto"/>
              <w:jc w:val="left"/>
              <w:rPr>
                <w:rFonts w:cs="Arial"/>
                <w:color w:val="000000"/>
              </w:rPr>
            </w:pPr>
            <w:r>
              <w:rPr>
                <w:rFonts w:cs="Arial"/>
                <w:color w:val="000000"/>
              </w:rPr>
              <w:t xml:space="preserve">Implemented flow changes in March 2019 in line with the </w:t>
            </w:r>
            <w:r w:rsidR="00A554B9">
              <w:rPr>
                <w:rFonts w:cs="Arial"/>
                <w:color w:val="000000"/>
              </w:rPr>
              <w:t>SWP</w:t>
            </w:r>
            <w:r>
              <w:rPr>
                <w:rFonts w:cs="Arial"/>
                <w:color w:val="000000"/>
              </w:rPr>
              <w:t xml:space="preserve"> service model reflecting adjusted activity following CTM</w:t>
            </w:r>
            <w:r w:rsidR="000774E1">
              <w:rPr>
                <w:rFonts w:cs="Arial"/>
                <w:color w:val="000000"/>
              </w:rPr>
              <w:t xml:space="preserve"> </w:t>
            </w:r>
            <w:r>
              <w:rPr>
                <w:rFonts w:cs="Arial"/>
                <w:color w:val="000000"/>
              </w:rPr>
              <w:t xml:space="preserve">internal engagement. </w:t>
            </w:r>
            <w:r w:rsidR="00D72133">
              <w:rPr>
                <w:rFonts w:cs="Arial"/>
                <w:color w:val="000000"/>
              </w:rPr>
              <w:t xml:space="preserve"> </w:t>
            </w:r>
            <w:r>
              <w:rPr>
                <w:rFonts w:cs="Arial"/>
                <w:color w:val="000000"/>
              </w:rPr>
              <w:t xml:space="preserve">Further flow changes agreed for South CTM to UHW in March 2020. </w:t>
            </w:r>
          </w:p>
          <w:p w14:paraId="09EFDB8D" w14:textId="59755718" w:rsidR="00646D7D" w:rsidRDefault="00646D7D" w:rsidP="00F60A35">
            <w:pPr>
              <w:numPr>
                <w:ilvl w:val="0"/>
                <w:numId w:val="43"/>
              </w:numPr>
              <w:spacing w:line="259" w:lineRule="auto"/>
              <w:jc w:val="left"/>
              <w:rPr>
                <w:rFonts w:cs="Arial"/>
                <w:color w:val="000000"/>
              </w:rPr>
            </w:pPr>
            <w:r>
              <w:rPr>
                <w:rFonts w:cs="Arial"/>
                <w:color w:val="000000"/>
              </w:rPr>
              <w:t xml:space="preserve">Continued clinical collaboration to ensure quality service challenges are </w:t>
            </w:r>
            <w:r w:rsidR="00AE0C07">
              <w:rPr>
                <w:rFonts w:cs="Arial"/>
                <w:color w:val="000000"/>
              </w:rPr>
              <w:t>being</w:t>
            </w:r>
            <w:r>
              <w:rPr>
                <w:rFonts w:cs="Arial"/>
                <w:color w:val="000000"/>
              </w:rPr>
              <w:t xml:space="preserve"> collectively managed across the region </w:t>
            </w:r>
          </w:p>
          <w:p w14:paraId="03CB7ECA" w14:textId="77777777" w:rsidR="000227C6" w:rsidRDefault="00646D7D" w:rsidP="00F60A35">
            <w:pPr>
              <w:numPr>
                <w:ilvl w:val="0"/>
                <w:numId w:val="43"/>
              </w:numPr>
              <w:spacing w:line="259" w:lineRule="auto"/>
              <w:jc w:val="left"/>
              <w:rPr>
                <w:rFonts w:cs="Arial"/>
                <w:color w:val="000000"/>
              </w:rPr>
            </w:pPr>
            <w:r w:rsidRPr="00216D30">
              <w:rPr>
                <w:rFonts w:cs="Arial"/>
                <w:color w:val="000000"/>
              </w:rPr>
              <w:t>Completed capital scheme in UHW Obstetrics.</w:t>
            </w:r>
          </w:p>
          <w:p w14:paraId="6BF69721" w14:textId="30CBB8DE" w:rsidR="004566FD" w:rsidRPr="00216D30" w:rsidRDefault="004566FD" w:rsidP="00F60A35">
            <w:pPr>
              <w:numPr>
                <w:ilvl w:val="0"/>
                <w:numId w:val="43"/>
              </w:numPr>
              <w:spacing w:line="259" w:lineRule="auto"/>
              <w:jc w:val="left"/>
              <w:rPr>
                <w:rFonts w:cs="Arial"/>
                <w:color w:val="000000"/>
              </w:rPr>
            </w:pPr>
            <w:r w:rsidRPr="004566FD">
              <w:rPr>
                <w:rFonts w:cs="Arial"/>
                <w:color w:val="000000"/>
              </w:rPr>
              <w:t>Continued planning in the regional context to support paediatrics models in line with the emerging service models for emergency medicine as outlined in the work programme for 20/21 below.</w:t>
            </w:r>
          </w:p>
        </w:tc>
      </w:tr>
      <w:tr w:rsidR="000227C6" w:rsidRPr="000227C6" w14:paraId="70E341E4" w14:textId="77777777" w:rsidTr="007C77C9">
        <w:trPr>
          <w:trHeight w:val="1126"/>
        </w:trPr>
        <w:tc>
          <w:tcPr>
            <w:tcW w:w="1663" w:type="dxa"/>
          </w:tcPr>
          <w:p w14:paraId="112775F8" w14:textId="14FA439B" w:rsidR="000227C6" w:rsidRPr="00E95113" w:rsidRDefault="000227C6" w:rsidP="000227C6">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 xml:space="preserve">Vascular services </w:t>
            </w:r>
          </w:p>
        </w:tc>
        <w:tc>
          <w:tcPr>
            <w:tcW w:w="8505" w:type="dxa"/>
          </w:tcPr>
          <w:p w14:paraId="14520595" w14:textId="72FB73D2" w:rsidR="00646D7D" w:rsidRDefault="00646D7D" w:rsidP="00F60A35">
            <w:pPr>
              <w:numPr>
                <w:ilvl w:val="0"/>
                <w:numId w:val="44"/>
              </w:numPr>
              <w:spacing w:line="259" w:lineRule="auto"/>
              <w:jc w:val="left"/>
              <w:rPr>
                <w:rFonts w:cs="Arial"/>
                <w:color w:val="000000"/>
              </w:rPr>
            </w:pPr>
            <w:r>
              <w:rPr>
                <w:rFonts w:cs="Arial"/>
                <w:color w:val="000000"/>
              </w:rPr>
              <w:t>Delivered a</w:t>
            </w:r>
            <w:r w:rsidRPr="006637B7">
              <w:rPr>
                <w:rFonts w:cs="Arial"/>
                <w:color w:val="000000"/>
              </w:rPr>
              <w:t xml:space="preserve"> regional out of hour</w:t>
            </w:r>
            <w:r>
              <w:rPr>
                <w:rFonts w:cs="Arial"/>
                <w:color w:val="000000"/>
              </w:rPr>
              <w:t>s interventional radiology rota</w:t>
            </w:r>
          </w:p>
          <w:p w14:paraId="4BE02474" w14:textId="29ACEE8F" w:rsidR="000227C6" w:rsidRPr="00216D30" w:rsidRDefault="00646D7D" w:rsidP="00F60A35">
            <w:pPr>
              <w:numPr>
                <w:ilvl w:val="0"/>
                <w:numId w:val="44"/>
              </w:numPr>
              <w:spacing w:line="259" w:lineRule="auto"/>
              <w:jc w:val="left"/>
              <w:rPr>
                <w:rFonts w:cs="Arial"/>
                <w:color w:val="000000"/>
              </w:rPr>
            </w:pPr>
            <w:r w:rsidRPr="00216D30">
              <w:rPr>
                <w:rFonts w:cs="Arial"/>
                <w:color w:val="000000"/>
              </w:rPr>
              <w:t>Continued detailed planning to centralise South East Wales Vascular network with aim to implement from August 2020 subject to successful public engagement and consultation in Q4 2019/20 and approved regional business case in Q1 2020.</w:t>
            </w:r>
          </w:p>
        </w:tc>
      </w:tr>
      <w:tr w:rsidR="000227C6" w:rsidRPr="000227C6" w14:paraId="7C358D48" w14:textId="77777777" w:rsidTr="007C77C9">
        <w:trPr>
          <w:trHeight w:val="837"/>
        </w:trPr>
        <w:tc>
          <w:tcPr>
            <w:tcW w:w="1663" w:type="dxa"/>
          </w:tcPr>
          <w:p w14:paraId="35AA66A1" w14:textId="7F62CD49" w:rsidR="000227C6" w:rsidRPr="00E95113" w:rsidRDefault="000227C6" w:rsidP="000227C6">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 xml:space="preserve">ENT </w:t>
            </w:r>
          </w:p>
        </w:tc>
        <w:tc>
          <w:tcPr>
            <w:tcW w:w="8505" w:type="dxa"/>
          </w:tcPr>
          <w:p w14:paraId="336024A9" w14:textId="77777777" w:rsidR="00646D7D" w:rsidRDefault="00646D7D" w:rsidP="00F60A35">
            <w:pPr>
              <w:numPr>
                <w:ilvl w:val="0"/>
                <w:numId w:val="40"/>
              </w:numPr>
              <w:spacing w:line="259" w:lineRule="auto"/>
              <w:ind w:left="317"/>
              <w:jc w:val="left"/>
              <w:rPr>
                <w:rFonts w:cs="Arial"/>
                <w:color w:val="000000"/>
              </w:rPr>
            </w:pPr>
            <w:r>
              <w:rPr>
                <w:rFonts w:cs="Arial"/>
                <w:color w:val="000000"/>
              </w:rPr>
              <w:t xml:space="preserve">Sustainability issues have been addressed within CTM through integrating the medical workforce across the CTM hospitals. </w:t>
            </w:r>
          </w:p>
          <w:p w14:paraId="652FF777" w14:textId="313695CE" w:rsidR="000227C6" w:rsidRPr="0079578A" w:rsidRDefault="00646D7D" w:rsidP="00F60A35">
            <w:pPr>
              <w:pStyle w:val="ListParagraph"/>
              <w:numPr>
                <w:ilvl w:val="0"/>
                <w:numId w:val="40"/>
              </w:numPr>
              <w:autoSpaceDE w:val="0"/>
              <w:autoSpaceDN w:val="0"/>
              <w:adjustRightInd w:val="0"/>
              <w:ind w:left="317"/>
              <w:rPr>
                <w:rFonts w:asciiTheme="minorHAnsi" w:hAnsiTheme="minorHAnsi" w:cs="Calibri"/>
                <w:color w:val="000000"/>
                <w:szCs w:val="22"/>
              </w:rPr>
            </w:pPr>
            <w:r>
              <w:rPr>
                <w:rFonts w:cs="Arial"/>
                <w:color w:val="000000"/>
              </w:rPr>
              <w:t xml:space="preserve">The regional clinical body continue to work collaboratively to provide joint head and neck cancer MDT with surgery provided at both UHW and </w:t>
            </w:r>
            <w:r w:rsidR="003E7307">
              <w:rPr>
                <w:rFonts w:cs="Arial"/>
                <w:color w:val="000000"/>
              </w:rPr>
              <w:t>RGH</w:t>
            </w:r>
          </w:p>
        </w:tc>
      </w:tr>
      <w:tr w:rsidR="008B534D" w:rsidRPr="000227C6" w14:paraId="41A2D25F" w14:textId="77777777" w:rsidTr="007C77C9">
        <w:trPr>
          <w:trHeight w:val="837"/>
        </w:trPr>
        <w:tc>
          <w:tcPr>
            <w:tcW w:w="1663" w:type="dxa"/>
          </w:tcPr>
          <w:p w14:paraId="5963BA2B" w14:textId="12F933F2" w:rsidR="008B534D" w:rsidRPr="00E95113" w:rsidRDefault="008B534D" w:rsidP="008B534D">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Diagnostics</w:t>
            </w:r>
          </w:p>
        </w:tc>
        <w:tc>
          <w:tcPr>
            <w:tcW w:w="8505" w:type="dxa"/>
          </w:tcPr>
          <w:p w14:paraId="76750D40" w14:textId="77777777" w:rsidR="00646D7D" w:rsidRPr="00F31EE8" w:rsidRDefault="00646D7D" w:rsidP="00646D7D">
            <w:pPr>
              <w:rPr>
                <w:rFonts w:cs="Arial"/>
                <w:b/>
                <w:color w:val="000000"/>
              </w:rPr>
            </w:pPr>
            <w:r w:rsidRPr="00F31EE8">
              <w:rPr>
                <w:rFonts w:cs="Arial"/>
                <w:b/>
                <w:color w:val="000000"/>
              </w:rPr>
              <w:t>CT/MRI</w:t>
            </w:r>
          </w:p>
          <w:p w14:paraId="038A53D4" w14:textId="32B422F9" w:rsidR="00646D7D" w:rsidRDefault="00646D7D" w:rsidP="00646D7D">
            <w:pPr>
              <w:pStyle w:val="NormaBullet"/>
            </w:pPr>
            <w:r>
              <w:t xml:space="preserve">The </w:t>
            </w:r>
            <w:r w:rsidR="00D72133">
              <w:t>DU</w:t>
            </w:r>
            <w:r>
              <w:t xml:space="preserve"> supported a standardised approach for repeating the regional </w:t>
            </w:r>
            <w:r w:rsidR="006A0E07">
              <w:t>D&amp;C</w:t>
            </w:r>
            <w:r>
              <w:t xml:space="preserve"> work for MRI and CT for 2019/2020.</w:t>
            </w:r>
          </w:p>
          <w:p w14:paraId="6CBE9DFE" w14:textId="76D727D5" w:rsidR="00646D7D" w:rsidRDefault="00646D7D" w:rsidP="00646D7D">
            <w:pPr>
              <w:pStyle w:val="NormaBullet"/>
              <w:rPr>
                <w:rFonts w:cs="Arial"/>
                <w:color w:val="000000"/>
              </w:rPr>
            </w:pPr>
            <w:r w:rsidRPr="00F31EE8">
              <w:rPr>
                <w:rFonts w:cs="Arial"/>
                <w:color w:val="000000"/>
              </w:rPr>
              <w:t xml:space="preserve">Continued to utilise available capacity in MRI within </w:t>
            </w:r>
            <w:r w:rsidR="000774E1">
              <w:rPr>
                <w:rFonts w:cs="Arial"/>
                <w:color w:val="000000"/>
              </w:rPr>
              <w:t>the</w:t>
            </w:r>
            <w:r w:rsidR="00D72133">
              <w:rPr>
                <w:rFonts w:cs="Arial"/>
                <w:color w:val="000000"/>
              </w:rPr>
              <w:t xml:space="preserve"> UHB</w:t>
            </w:r>
            <w:r w:rsidRPr="00F31EE8">
              <w:rPr>
                <w:rFonts w:cs="Arial"/>
                <w:color w:val="000000"/>
              </w:rPr>
              <w:t>.</w:t>
            </w:r>
            <w:r>
              <w:rPr>
                <w:rFonts w:cs="Arial"/>
                <w:color w:val="000000"/>
              </w:rPr>
              <w:t xml:space="preserve">  Aneurin Bevan UHB planned to utilise 400 of the 800 spare MRI slots available for utilisation within CTMUHB.</w:t>
            </w:r>
          </w:p>
          <w:p w14:paraId="67BFF908" w14:textId="78984E99" w:rsidR="00646D7D" w:rsidRDefault="00646D7D" w:rsidP="00646D7D">
            <w:pPr>
              <w:pStyle w:val="NormaBullet"/>
              <w:rPr>
                <w:rFonts w:cs="Arial"/>
                <w:color w:val="000000"/>
              </w:rPr>
            </w:pPr>
            <w:r>
              <w:rPr>
                <w:rFonts w:cs="Arial"/>
                <w:color w:val="000000"/>
              </w:rPr>
              <w:t xml:space="preserve">Continued to offer </w:t>
            </w:r>
            <w:r w:rsidRPr="00F31EE8">
              <w:rPr>
                <w:rFonts w:cs="Arial"/>
                <w:color w:val="000000"/>
              </w:rPr>
              <w:t xml:space="preserve">the opportunity for C&amp;V to house a mobile unit on the RGH site so </w:t>
            </w:r>
            <w:r>
              <w:rPr>
                <w:rFonts w:cs="Arial"/>
                <w:color w:val="000000"/>
              </w:rPr>
              <w:t>they can increase</w:t>
            </w:r>
            <w:r w:rsidR="004A45D6">
              <w:rPr>
                <w:rFonts w:cs="Arial"/>
                <w:color w:val="000000"/>
              </w:rPr>
              <w:t xml:space="preserve"> capacity as and when required.</w:t>
            </w:r>
          </w:p>
          <w:p w14:paraId="060C38EC" w14:textId="77777777" w:rsidR="004A45D6" w:rsidRPr="00F31EE8" w:rsidRDefault="004A45D6" w:rsidP="004A45D6">
            <w:pPr>
              <w:pStyle w:val="NormaBullet"/>
              <w:numPr>
                <w:ilvl w:val="0"/>
                <w:numId w:val="0"/>
              </w:numPr>
              <w:rPr>
                <w:rFonts w:cs="Arial"/>
                <w:color w:val="000000"/>
              </w:rPr>
            </w:pPr>
          </w:p>
          <w:p w14:paraId="4AC18724" w14:textId="77777777" w:rsidR="00646D7D" w:rsidRPr="00F31EE8" w:rsidRDefault="00646D7D" w:rsidP="00646D7D">
            <w:pPr>
              <w:rPr>
                <w:rFonts w:cs="Arial"/>
                <w:b/>
                <w:color w:val="000000"/>
              </w:rPr>
            </w:pPr>
            <w:r w:rsidRPr="00F31EE8">
              <w:rPr>
                <w:rFonts w:cs="Arial"/>
                <w:b/>
                <w:color w:val="000000"/>
              </w:rPr>
              <w:t>Endoscopy</w:t>
            </w:r>
          </w:p>
          <w:p w14:paraId="7D6A44BE" w14:textId="0A8BC74A" w:rsidR="00646D7D" w:rsidRDefault="00646D7D" w:rsidP="00646D7D">
            <w:pPr>
              <w:pStyle w:val="NormaBullet"/>
            </w:pPr>
            <w:r>
              <w:t xml:space="preserve">The Regional </w:t>
            </w:r>
            <w:r w:rsidR="00D72133">
              <w:t>D</w:t>
            </w:r>
            <w:r>
              <w:t xml:space="preserve">iagnostic Planning group have developed a close working relationship with the National Endoscopy Programme Board.  This will avoid duplication and enhance the work of both groups. </w:t>
            </w:r>
          </w:p>
          <w:p w14:paraId="70DC36F7" w14:textId="755C80D7" w:rsidR="00646D7D" w:rsidRPr="00F31EE8" w:rsidRDefault="00646D7D" w:rsidP="00646D7D">
            <w:pPr>
              <w:pStyle w:val="NormaBullet"/>
            </w:pPr>
            <w:r>
              <w:t xml:space="preserve">To date the Regional Diagnostic Group has not come up with collaborative solutions for the delivery of endoscopic services in the short term.  However, work has progressed during 2019/2020 within </w:t>
            </w:r>
            <w:r w:rsidR="00D72133">
              <w:t>CTMUHB</w:t>
            </w:r>
            <w:r>
              <w:t xml:space="preserve"> to develop a plan for Phase 2 of the Diagnostic Hub for which there has been agreement that the emphasis will be on the development of endoscopic services.</w:t>
            </w:r>
            <w:r w:rsidR="00D72133">
              <w:t xml:space="preserve"> </w:t>
            </w:r>
            <w:r>
              <w:t xml:space="preserve"> As with Phase 1 of the Diagnostic Hub which focused on CT and MRI services, there is an expectation from </w:t>
            </w:r>
            <w:r w:rsidR="003E7307">
              <w:t>WG</w:t>
            </w:r>
            <w:r>
              <w:t xml:space="preserve"> that the Hubs development will off</w:t>
            </w:r>
            <w:r w:rsidR="00D72133">
              <w:t>er support at a regional level.</w:t>
            </w:r>
            <w:r>
              <w:t xml:space="preserve">  It must be noted that this is a 3 – 5 year plan.</w:t>
            </w:r>
          </w:p>
          <w:p w14:paraId="4B358B01" w14:textId="77777777" w:rsidR="00646D7D" w:rsidRPr="00F31EE8" w:rsidRDefault="00646D7D" w:rsidP="00646D7D">
            <w:pPr>
              <w:rPr>
                <w:rFonts w:cs="Arial"/>
                <w:b/>
                <w:color w:val="000000"/>
              </w:rPr>
            </w:pPr>
            <w:r w:rsidRPr="00F31EE8">
              <w:rPr>
                <w:rFonts w:cs="Arial"/>
                <w:b/>
                <w:color w:val="000000"/>
              </w:rPr>
              <w:t>Endoscopic Ultrasound (EUS)</w:t>
            </w:r>
          </w:p>
          <w:p w14:paraId="60228725" w14:textId="2B6C026A" w:rsidR="00646D7D" w:rsidRDefault="00646D7D" w:rsidP="00646D7D">
            <w:pPr>
              <w:pStyle w:val="NormaBullet"/>
            </w:pPr>
            <w:r>
              <w:t>During 2019/2020 a regional option appraisal process was undertaken.  To ensure robust engagement with key stakeho</w:t>
            </w:r>
            <w:r w:rsidR="00D72133">
              <w:t>lders this was undertaken both ‘</w:t>
            </w:r>
            <w:r>
              <w:t>in-house</w:t>
            </w:r>
            <w:r w:rsidR="00D72133">
              <w:t>’</w:t>
            </w:r>
            <w:r>
              <w:t xml:space="preserve"> within </w:t>
            </w:r>
            <w:r w:rsidR="00D72133">
              <w:t>UHBs</w:t>
            </w:r>
            <w:r>
              <w:t xml:space="preserve"> and at a regional workshop held on 13</w:t>
            </w:r>
            <w:r w:rsidRPr="00854EC8">
              <w:rPr>
                <w:vertAlign w:val="superscript"/>
              </w:rPr>
              <w:t>th</w:t>
            </w:r>
            <w:r>
              <w:t xml:space="preserve"> May 2019.  </w:t>
            </w:r>
          </w:p>
          <w:p w14:paraId="27A771DB" w14:textId="7C8B2EEC" w:rsidR="00646D7D" w:rsidRDefault="00646D7D" w:rsidP="00646D7D">
            <w:pPr>
              <w:pStyle w:val="NormaBullet"/>
            </w:pPr>
            <w:r>
              <w:lastRenderedPageBreak/>
              <w:t xml:space="preserve">The Preferred Option:  All </w:t>
            </w:r>
            <w:r w:rsidR="00D72133">
              <w:t xml:space="preserve">HBs </w:t>
            </w:r>
            <w:r>
              <w:t xml:space="preserve">agreed there would be enough activity in the future for a three site model, when demand reached the expected levels and that plans would be developed for a phased approach, as demand increased incrementally.  </w:t>
            </w:r>
          </w:p>
          <w:p w14:paraId="5DC7A91C" w14:textId="77777777" w:rsidR="00646D7D" w:rsidRDefault="00646D7D" w:rsidP="00646D7D">
            <w:pPr>
              <w:pStyle w:val="NormaBullet"/>
            </w:pPr>
            <w:r>
              <w:t xml:space="preserve">Phase 1: To develop a networked two site model based on the current two providers in SE Wales at Aneurin Bevan and Cardiff and Vale UHBs.  This phase would focus on improving the sustainability of these current units by increasing capacity, trained operatives as well as utilising the capacity regionally. </w:t>
            </w:r>
          </w:p>
          <w:p w14:paraId="42654207" w14:textId="412C65D0" w:rsidR="008B534D" w:rsidRPr="00216D30" w:rsidRDefault="00646D7D" w:rsidP="00D72133">
            <w:pPr>
              <w:pStyle w:val="NormaBullet"/>
            </w:pPr>
            <w:r w:rsidRPr="00216D30">
              <w:t>Phase 2:  As demand on the service increases, it was agreed there will be a need for extension of service provision.  The</w:t>
            </w:r>
            <w:r>
              <w:t>s</w:t>
            </w:r>
            <w:r w:rsidRPr="00216D30">
              <w:t>e service</w:t>
            </w:r>
            <w:r>
              <w:t>s</w:t>
            </w:r>
            <w:r w:rsidRPr="00216D30">
              <w:t xml:space="preserve"> would then be expanded to a three site model i.e. development within the Diagnostic Hub within </w:t>
            </w:r>
            <w:r w:rsidR="000774E1">
              <w:t>the</w:t>
            </w:r>
            <w:r w:rsidR="00D72133">
              <w:t xml:space="preserve"> UHB</w:t>
            </w:r>
            <w:r w:rsidRPr="00216D30">
              <w:t xml:space="preserve">.  The training programme undertaken in Phase 1 to extend to </w:t>
            </w:r>
            <w:r w:rsidR="00D72133">
              <w:t>UHB staff.</w:t>
            </w:r>
          </w:p>
        </w:tc>
      </w:tr>
      <w:tr w:rsidR="008B534D" w:rsidRPr="000227C6" w14:paraId="38398BA2" w14:textId="77777777" w:rsidTr="007C77C9">
        <w:trPr>
          <w:trHeight w:val="837"/>
        </w:trPr>
        <w:tc>
          <w:tcPr>
            <w:tcW w:w="1663" w:type="dxa"/>
          </w:tcPr>
          <w:p w14:paraId="313D4970" w14:textId="1DF07A99" w:rsidR="008B534D" w:rsidRPr="00E95113" w:rsidRDefault="008B534D" w:rsidP="008B534D">
            <w:pPr>
              <w:autoSpaceDE w:val="0"/>
              <w:autoSpaceDN w:val="0"/>
              <w:adjustRightInd w:val="0"/>
              <w:jc w:val="left"/>
              <w:rPr>
                <w:rFonts w:asciiTheme="minorHAnsi" w:hAnsiTheme="minorHAnsi" w:cs="Calibri"/>
                <w:b/>
                <w:color w:val="000000"/>
                <w:szCs w:val="22"/>
              </w:rPr>
            </w:pPr>
            <w:r w:rsidRPr="00E95113">
              <w:rPr>
                <w:rFonts w:asciiTheme="minorHAnsi" w:hAnsiTheme="minorHAnsi" w:cs="Arial"/>
                <w:b/>
                <w:szCs w:val="22"/>
              </w:rPr>
              <w:lastRenderedPageBreak/>
              <w:t>Ophthalmology</w:t>
            </w:r>
          </w:p>
        </w:tc>
        <w:tc>
          <w:tcPr>
            <w:tcW w:w="8505" w:type="dxa"/>
          </w:tcPr>
          <w:p w14:paraId="5A83CB25" w14:textId="59AA6677" w:rsidR="00646D7D" w:rsidRPr="00D401CC" w:rsidRDefault="00646D7D" w:rsidP="00646D7D">
            <w:pPr>
              <w:pStyle w:val="NormaBullet"/>
            </w:pPr>
            <w:r w:rsidRPr="00D401CC">
              <w:t xml:space="preserve">Two major regional </w:t>
            </w:r>
            <w:r w:rsidR="00614BBE">
              <w:t>workstreams</w:t>
            </w:r>
            <w:r w:rsidRPr="00D401CC">
              <w:t xml:space="preserve"> have been established, led by the ABUHB Director of Planning, Digital &amp; IT.</w:t>
            </w:r>
          </w:p>
          <w:p w14:paraId="0D152389" w14:textId="77777777" w:rsidR="00646D7D" w:rsidRPr="00D401CC" w:rsidRDefault="00646D7D" w:rsidP="00646D7D">
            <w:pPr>
              <w:pStyle w:val="NormaBullet"/>
            </w:pPr>
            <w:r w:rsidRPr="00D401CC">
              <w:t>The first work stream is progressing digital enablers and an electronic patient record for ophthalmology, driving regional transformation as the pilot for a national EPR rollout.  The group provides an effective conduit between national group work and action plans at a local UHB / Directorate level.  Key actions this year have included the finalisation of the final business case, baseline review of IM&amp;T / equipment requirements and the agreement of common infrastructure standards as a pre-requisite for project rollout.</w:t>
            </w:r>
          </w:p>
          <w:p w14:paraId="17371BFE" w14:textId="4DA97D18" w:rsidR="008B534D" w:rsidRPr="00FC7D1E" w:rsidRDefault="00D72133" w:rsidP="008957EC">
            <w:pPr>
              <w:pStyle w:val="NormaBullet"/>
              <w:rPr>
                <w:rFonts w:asciiTheme="minorHAnsi" w:hAnsiTheme="minorHAnsi"/>
                <w:szCs w:val="22"/>
              </w:rPr>
            </w:pPr>
            <w:r>
              <w:t>The second work</w:t>
            </w:r>
            <w:r w:rsidR="00646D7D" w:rsidRPr="00D401CC">
              <w:t>stream is progressing an option appraisal for a regional cataract treatment facility, following confirmation of a clinical consensus to proceed in principle.  A project initiation document has been prepared, and options for a project manager are now being finalised.</w:t>
            </w:r>
          </w:p>
        </w:tc>
      </w:tr>
      <w:tr w:rsidR="008B534D" w:rsidRPr="000227C6" w14:paraId="6AB8A404" w14:textId="77777777" w:rsidTr="007C77C9">
        <w:trPr>
          <w:trHeight w:val="837"/>
        </w:trPr>
        <w:tc>
          <w:tcPr>
            <w:tcW w:w="1663" w:type="dxa"/>
          </w:tcPr>
          <w:p w14:paraId="0C91252B" w14:textId="01C7B56A" w:rsidR="008B534D" w:rsidRPr="00E95113" w:rsidRDefault="008B534D" w:rsidP="008B534D">
            <w:pPr>
              <w:autoSpaceDE w:val="0"/>
              <w:autoSpaceDN w:val="0"/>
              <w:adjustRightInd w:val="0"/>
              <w:jc w:val="left"/>
              <w:rPr>
                <w:rFonts w:asciiTheme="minorHAnsi" w:hAnsiTheme="minorHAnsi" w:cs="Arial"/>
                <w:b/>
                <w:szCs w:val="22"/>
              </w:rPr>
            </w:pPr>
            <w:r w:rsidRPr="00E95113">
              <w:rPr>
                <w:rFonts w:asciiTheme="minorHAnsi" w:hAnsiTheme="minorHAnsi" w:cs="Arial"/>
                <w:b/>
                <w:szCs w:val="22"/>
              </w:rPr>
              <w:t>Orthopaedics</w:t>
            </w:r>
          </w:p>
        </w:tc>
        <w:tc>
          <w:tcPr>
            <w:tcW w:w="8505" w:type="dxa"/>
          </w:tcPr>
          <w:p w14:paraId="2B078DD1" w14:textId="22537C2F" w:rsidR="00646D7D" w:rsidRPr="004E1621" w:rsidRDefault="00646D7D" w:rsidP="00F60A35">
            <w:pPr>
              <w:numPr>
                <w:ilvl w:val="0"/>
                <w:numId w:val="45"/>
              </w:numPr>
              <w:jc w:val="left"/>
              <w:rPr>
                <w:rFonts w:cs="Arial"/>
                <w:color w:val="000000"/>
              </w:rPr>
            </w:pPr>
            <w:r w:rsidRPr="004E1621">
              <w:rPr>
                <w:rFonts w:cs="Arial"/>
                <w:color w:val="000000"/>
              </w:rPr>
              <w:t>The Orthopaedics planning group identified limited benefits to regional collaboration on enhancing capacity given the local opportunities for both service pathway improvements and capacity development planning.</w:t>
            </w:r>
            <w:r w:rsidR="00D72133">
              <w:rPr>
                <w:rFonts w:cs="Arial"/>
                <w:color w:val="000000"/>
              </w:rPr>
              <w:t xml:space="preserve"> </w:t>
            </w:r>
            <w:r w:rsidRPr="004E1621">
              <w:rPr>
                <w:rFonts w:cs="Arial"/>
                <w:color w:val="000000"/>
              </w:rPr>
              <w:t xml:space="preserve"> Each UHB was focusing on specific local pathway and capacity reconfiguration and redevelopment opportunities to optimise local service sustainability and access.</w:t>
            </w:r>
            <w:r w:rsidR="00D72133">
              <w:rPr>
                <w:rFonts w:cs="Arial"/>
                <w:color w:val="000000"/>
              </w:rPr>
              <w:t xml:space="preserve"> </w:t>
            </w:r>
            <w:r w:rsidRPr="004E1621">
              <w:rPr>
                <w:rFonts w:cs="Arial"/>
                <w:color w:val="000000"/>
              </w:rPr>
              <w:t xml:space="preserve"> This related specifically to:</w:t>
            </w:r>
          </w:p>
          <w:p w14:paraId="5BD84EA9" w14:textId="77777777" w:rsidR="00646D7D" w:rsidRDefault="00646D7D" w:rsidP="00F60A35">
            <w:pPr>
              <w:pStyle w:val="ListParagraph"/>
              <w:numPr>
                <w:ilvl w:val="0"/>
                <w:numId w:val="46"/>
              </w:numPr>
              <w:jc w:val="left"/>
              <w:rPr>
                <w:rFonts w:cs="Arial"/>
                <w:color w:val="000000"/>
              </w:rPr>
            </w:pPr>
            <w:r w:rsidRPr="004E1621">
              <w:rPr>
                <w:rFonts w:cs="Arial"/>
                <w:color w:val="000000"/>
              </w:rPr>
              <w:t>the implementation of the clinical futures strategy in A</w:t>
            </w:r>
            <w:r>
              <w:rPr>
                <w:rFonts w:cs="Arial"/>
                <w:color w:val="000000"/>
              </w:rPr>
              <w:t xml:space="preserve">neurin </w:t>
            </w:r>
            <w:r w:rsidRPr="004E1621">
              <w:rPr>
                <w:rFonts w:cs="Arial"/>
                <w:color w:val="000000"/>
              </w:rPr>
              <w:t>B</w:t>
            </w:r>
            <w:r>
              <w:rPr>
                <w:rFonts w:cs="Arial"/>
                <w:color w:val="000000"/>
              </w:rPr>
              <w:t>evan</w:t>
            </w:r>
            <w:r w:rsidRPr="004E1621">
              <w:rPr>
                <w:rFonts w:cs="Arial"/>
                <w:color w:val="000000"/>
              </w:rPr>
              <w:t xml:space="preserve"> UHB;</w:t>
            </w:r>
          </w:p>
          <w:p w14:paraId="144E8B07" w14:textId="6D4DED40" w:rsidR="00646D7D" w:rsidRDefault="00646D7D" w:rsidP="00F60A35">
            <w:pPr>
              <w:pStyle w:val="ListParagraph"/>
              <w:numPr>
                <w:ilvl w:val="0"/>
                <w:numId w:val="46"/>
              </w:numPr>
              <w:jc w:val="left"/>
              <w:rPr>
                <w:rFonts w:cs="Arial"/>
                <w:color w:val="000000"/>
              </w:rPr>
            </w:pPr>
            <w:r w:rsidRPr="004E1621">
              <w:rPr>
                <w:rFonts w:cs="Arial"/>
                <w:color w:val="000000"/>
              </w:rPr>
              <w:t>the configuration oppo</w:t>
            </w:r>
            <w:r>
              <w:rPr>
                <w:rFonts w:cs="Arial"/>
                <w:color w:val="000000"/>
              </w:rPr>
              <w:t xml:space="preserve">rtunities presenting in CTM </w:t>
            </w:r>
            <w:r w:rsidRPr="004E1621">
              <w:rPr>
                <w:rFonts w:cs="Arial"/>
                <w:color w:val="000000"/>
              </w:rPr>
              <w:t xml:space="preserve">with the inclusion of </w:t>
            </w:r>
            <w:r w:rsidR="00E32360">
              <w:rPr>
                <w:rFonts w:cs="Arial"/>
                <w:color w:val="000000"/>
              </w:rPr>
              <w:t>POWH</w:t>
            </w:r>
            <w:r w:rsidRPr="004E1621">
              <w:rPr>
                <w:rFonts w:cs="Arial"/>
                <w:color w:val="000000"/>
              </w:rPr>
              <w:t xml:space="preserve"> within the UHB’s service and estates infrastructure; and</w:t>
            </w:r>
          </w:p>
          <w:p w14:paraId="24385905" w14:textId="77777777" w:rsidR="00646D7D" w:rsidRPr="00216D30" w:rsidRDefault="00646D7D" w:rsidP="00F60A35">
            <w:pPr>
              <w:pStyle w:val="ListParagraph"/>
              <w:numPr>
                <w:ilvl w:val="0"/>
                <w:numId w:val="46"/>
              </w:numPr>
              <w:jc w:val="left"/>
              <w:rPr>
                <w:rFonts w:cs="Arial"/>
                <w:color w:val="000000"/>
              </w:rPr>
            </w:pPr>
            <w:r w:rsidRPr="004E1621">
              <w:rPr>
                <w:rFonts w:cs="Arial"/>
                <w:color w:val="000000"/>
              </w:rPr>
              <w:t>The development of CAVOC at UHL as part of Cardiff’s strategic clinical services plan.</w:t>
            </w:r>
          </w:p>
          <w:p w14:paraId="374B9C51" w14:textId="26441857" w:rsidR="008B534D" w:rsidRPr="00216D30" w:rsidRDefault="00AD5691" w:rsidP="00F60A35">
            <w:pPr>
              <w:pStyle w:val="ListParagraph"/>
              <w:numPr>
                <w:ilvl w:val="0"/>
                <w:numId w:val="47"/>
              </w:numPr>
              <w:ind w:left="317"/>
              <w:rPr>
                <w:rFonts w:asciiTheme="minorHAnsi" w:hAnsiTheme="minorHAnsi" w:cs="Arial"/>
                <w:b/>
                <w:szCs w:val="22"/>
              </w:rPr>
            </w:pPr>
            <w:r>
              <w:rPr>
                <w:rFonts w:cs="Arial"/>
                <w:color w:val="000000"/>
              </w:rPr>
              <w:t>C</w:t>
            </w:r>
            <w:r w:rsidR="00646D7D" w:rsidRPr="00216D30">
              <w:rPr>
                <w:rFonts w:cs="Arial"/>
                <w:color w:val="000000"/>
              </w:rPr>
              <w:t>linical and planning time and commitment required to support the above is significant and considered to be of better value to the individual UHBs and the wider regional system.</w:t>
            </w:r>
          </w:p>
        </w:tc>
      </w:tr>
    </w:tbl>
    <w:p w14:paraId="73CF70A5" w14:textId="77777777" w:rsidR="000227C6" w:rsidRPr="000227C6" w:rsidRDefault="000227C6" w:rsidP="00BF0C95">
      <w:pPr>
        <w:rPr>
          <w:rFonts w:asciiTheme="minorHAnsi" w:hAnsiTheme="minorHAnsi"/>
          <w:szCs w:val="22"/>
          <w:highlight w:val="yellow"/>
        </w:rPr>
      </w:pPr>
    </w:p>
    <w:p w14:paraId="343F1A7E" w14:textId="77777777" w:rsidR="00646D7D" w:rsidRPr="000227C6" w:rsidRDefault="00646D7D" w:rsidP="00646D7D">
      <w:pPr>
        <w:rPr>
          <w:rFonts w:asciiTheme="minorHAnsi" w:hAnsiTheme="minorHAnsi" w:cs="Arial"/>
          <w:szCs w:val="22"/>
        </w:rPr>
      </w:pPr>
      <w:r>
        <w:rPr>
          <w:rFonts w:asciiTheme="minorHAnsi" w:hAnsiTheme="minorHAnsi" w:cs="Arial"/>
          <w:szCs w:val="22"/>
        </w:rPr>
        <w:t>The 2020/21</w:t>
      </w:r>
      <w:r w:rsidRPr="000227C6">
        <w:rPr>
          <w:rFonts w:asciiTheme="minorHAnsi" w:hAnsiTheme="minorHAnsi" w:cs="Arial"/>
          <w:szCs w:val="22"/>
        </w:rPr>
        <w:t xml:space="preserve"> work programme seeks to build upon progress made to date and the maturing approach to regional planning, with the following summarising the specialty work programmes.</w:t>
      </w:r>
    </w:p>
    <w:p w14:paraId="6D25AFF1" w14:textId="77777777" w:rsidR="000227C6" w:rsidRPr="000227C6" w:rsidRDefault="000227C6" w:rsidP="00BF0C95">
      <w:pPr>
        <w:rPr>
          <w:rFonts w:asciiTheme="minorHAnsi" w:hAnsiTheme="minorHAnsi"/>
          <w:szCs w:val="22"/>
          <w:highlight w:val="yellow"/>
        </w:rPr>
      </w:pPr>
    </w:p>
    <w:tbl>
      <w:tblPr>
        <w:tblW w:w="101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3"/>
        <w:gridCol w:w="8505"/>
      </w:tblGrid>
      <w:tr w:rsidR="007C77C9" w:rsidRPr="007C77C9" w14:paraId="5736993F" w14:textId="77777777" w:rsidTr="007C77C9">
        <w:trPr>
          <w:trHeight w:val="351"/>
          <w:tblHeader/>
        </w:trPr>
        <w:tc>
          <w:tcPr>
            <w:tcW w:w="1663" w:type="dxa"/>
            <w:shd w:val="clear" w:color="auto" w:fill="17365D" w:themeFill="text2" w:themeFillShade="BF"/>
          </w:tcPr>
          <w:p w14:paraId="6C7F972A" w14:textId="77777777" w:rsidR="000227C6" w:rsidRPr="00F33761" w:rsidRDefault="000227C6" w:rsidP="00195C09">
            <w:pPr>
              <w:autoSpaceDE w:val="0"/>
              <w:autoSpaceDN w:val="0"/>
              <w:adjustRightInd w:val="0"/>
              <w:jc w:val="left"/>
              <w:rPr>
                <w:rFonts w:asciiTheme="minorHAnsi" w:hAnsiTheme="minorHAnsi" w:cs="Calibri"/>
                <w:color w:val="FFFFFF" w:themeColor="background1"/>
                <w:szCs w:val="22"/>
              </w:rPr>
            </w:pPr>
            <w:r w:rsidRPr="00F33761">
              <w:rPr>
                <w:rFonts w:asciiTheme="minorHAnsi" w:hAnsiTheme="minorHAnsi" w:cs="Calibri"/>
                <w:bCs/>
                <w:color w:val="FFFFFF" w:themeColor="background1"/>
                <w:szCs w:val="22"/>
              </w:rPr>
              <w:t xml:space="preserve">Workstream </w:t>
            </w:r>
          </w:p>
        </w:tc>
        <w:tc>
          <w:tcPr>
            <w:tcW w:w="8505" w:type="dxa"/>
            <w:shd w:val="clear" w:color="auto" w:fill="17365D" w:themeFill="text2" w:themeFillShade="BF"/>
          </w:tcPr>
          <w:p w14:paraId="75D71467" w14:textId="6C502209" w:rsidR="000227C6" w:rsidRPr="007C77C9" w:rsidRDefault="008B534D" w:rsidP="00195C09">
            <w:pPr>
              <w:autoSpaceDE w:val="0"/>
              <w:autoSpaceDN w:val="0"/>
              <w:adjustRightInd w:val="0"/>
              <w:jc w:val="left"/>
              <w:rPr>
                <w:rFonts w:asciiTheme="minorHAnsi" w:hAnsiTheme="minorHAnsi" w:cs="Calibri"/>
                <w:color w:val="FFFFFF" w:themeColor="background1"/>
                <w:szCs w:val="22"/>
              </w:rPr>
            </w:pPr>
            <w:r>
              <w:rPr>
                <w:rFonts w:asciiTheme="minorHAnsi" w:hAnsiTheme="minorHAnsi" w:cs="Calibri"/>
                <w:b/>
                <w:bCs/>
                <w:color w:val="FFFFFF" w:themeColor="background1"/>
                <w:szCs w:val="22"/>
              </w:rPr>
              <w:t>2020/21</w:t>
            </w:r>
            <w:r w:rsidR="000227C6" w:rsidRPr="007C77C9">
              <w:rPr>
                <w:rFonts w:asciiTheme="minorHAnsi" w:hAnsiTheme="minorHAnsi" w:cs="Calibri"/>
                <w:b/>
                <w:bCs/>
                <w:color w:val="FFFFFF" w:themeColor="background1"/>
                <w:szCs w:val="22"/>
              </w:rPr>
              <w:t xml:space="preserve"> Work Programme</w:t>
            </w:r>
          </w:p>
        </w:tc>
      </w:tr>
      <w:tr w:rsidR="000227C6" w:rsidRPr="000227C6" w14:paraId="67C61AD2" w14:textId="77777777" w:rsidTr="007C77C9">
        <w:trPr>
          <w:trHeight w:val="925"/>
        </w:trPr>
        <w:tc>
          <w:tcPr>
            <w:tcW w:w="1663" w:type="dxa"/>
          </w:tcPr>
          <w:p w14:paraId="64A1DA07" w14:textId="793A30B2" w:rsidR="000227C6" w:rsidRPr="00F33761" w:rsidRDefault="005C1EB6" w:rsidP="00195C09">
            <w:pPr>
              <w:autoSpaceDE w:val="0"/>
              <w:autoSpaceDN w:val="0"/>
              <w:adjustRightInd w:val="0"/>
              <w:jc w:val="left"/>
              <w:rPr>
                <w:rFonts w:asciiTheme="minorHAnsi" w:hAnsiTheme="minorHAnsi" w:cs="Calibri"/>
                <w:b/>
                <w:color w:val="000000"/>
                <w:szCs w:val="22"/>
              </w:rPr>
            </w:pPr>
            <w:r>
              <w:rPr>
                <w:rFonts w:asciiTheme="minorHAnsi" w:hAnsiTheme="minorHAnsi" w:cs="Calibri"/>
                <w:b/>
                <w:color w:val="000000"/>
                <w:szCs w:val="22"/>
              </w:rPr>
              <w:t>Emergency Medicine (A&amp;E), A</w:t>
            </w:r>
            <w:r w:rsidR="00F33761">
              <w:rPr>
                <w:rFonts w:asciiTheme="minorHAnsi" w:hAnsiTheme="minorHAnsi" w:cs="Calibri"/>
                <w:b/>
                <w:color w:val="000000"/>
                <w:szCs w:val="22"/>
              </w:rPr>
              <w:t>cute Medicine and Inpatient Paediatrics</w:t>
            </w:r>
          </w:p>
        </w:tc>
        <w:tc>
          <w:tcPr>
            <w:tcW w:w="8505" w:type="dxa"/>
          </w:tcPr>
          <w:p w14:paraId="0AA0DB1B" w14:textId="354A1370" w:rsidR="00646D7D" w:rsidRDefault="00646D7D" w:rsidP="00646D7D">
            <w:pPr>
              <w:pStyle w:val="NormaBullet"/>
              <w:rPr>
                <w:rFonts w:cs="Calibri"/>
                <w:szCs w:val="22"/>
              </w:rPr>
            </w:pPr>
            <w:r>
              <w:t>To continue the established programme of work to implement the remaining requirements of the SWP namely emergency medicine, acute medicine and consultant led inpatient paediatric services</w:t>
            </w:r>
          </w:p>
          <w:p w14:paraId="2BF81839" w14:textId="05F68F92" w:rsidR="00C06B3A" w:rsidRPr="00195C09" w:rsidRDefault="00646D7D" w:rsidP="00C06B3A">
            <w:pPr>
              <w:pStyle w:val="NormaBullet"/>
              <w:rPr>
                <w:rFonts w:asciiTheme="minorHAnsi" w:hAnsiTheme="minorHAnsi" w:cs="Calibri"/>
                <w:szCs w:val="22"/>
              </w:rPr>
            </w:pPr>
            <w:r>
              <w:t>To deliver the recommended services models in partnership with other health boards, ensuring patient flows across the region can be supported as a result of the changes.</w:t>
            </w:r>
          </w:p>
        </w:tc>
      </w:tr>
      <w:tr w:rsidR="000227C6" w:rsidRPr="000227C6" w14:paraId="6D9A9781" w14:textId="77777777" w:rsidTr="007C77C9">
        <w:trPr>
          <w:trHeight w:val="1126"/>
        </w:trPr>
        <w:tc>
          <w:tcPr>
            <w:tcW w:w="1663" w:type="dxa"/>
          </w:tcPr>
          <w:p w14:paraId="35FFDB82" w14:textId="77777777" w:rsidR="000227C6" w:rsidRPr="00E95113" w:rsidRDefault="000227C6" w:rsidP="00195C09">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 xml:space="preserve">Vascular services </w:t>
            </w:r>
          </w:p>
        </w:tc>
        <w:tc>
          <w:tcPr>
            <w:tcW w:w="8505" w:type="dxa"/>
          </w:tcPr>
          <w:p w14:paraId="4EAAA6AB" w14:textId="77777777" w:rsidR="00646D7D" w:rsidRDefault="00646D7D" w:rsidP="00646D7D">
            <w:pPr>
              <w:pStyle w:val="NormaBullet"/>
            </w:pPr>
            <w:r w:rsidRPr="006637B7">
              <w:t>Post implementation review of the Out of Hours Interventional Radiology Service.</w:t>
            </w:r>
          </w:p>
          <w:p w14:paraId="03C8D4B4" w14:textId="77777777" w:rsidR="00646D7D" w:rsidRPr="006637B7" w:rsidRDefault="00646D7D" w:rsidP="00646D7D">
            <w:pPr>
              <w:pStyle w:val="NormaBullet"/>
            </w:pPr>
            <w:r>
              <w:rPr>
                <w:rFonts w:cs="Arial"/>
                <w:color w:val="000000"/>
              </w:rPr>
              <w:t xml:space="preserve">Undertake Public Engagement </w:t>
            </w:r>
            <w:r w:rsidRPr="00A611A7">
              <w:rPr>
                <w:rFonts w:cs="Arial"/>
                <w:color w:val="000000"/>
                <w:highlight w:val="yellow"/>
              </w:rPr>
              <w:t>and consultation</w:t>
            </w:r>
            <w:r>
              <w:rPr>
                <w:rFonts w:cs="Arial"/>
                <w:color w:val="000000"/>
              </w:rPr>
              <w:t xml:space="preserve"> in early 2020</w:t>
            </w:r>
          </w:p>
          <w:p w14:paraId="4A94A40E" w14:textId="13AB8870" w:rsidR="00646D7D" w:rsidRPr="00F6616F" w:rsidRDefault="00D72133" w:rsidP="00F60A35">
            <w:pPr>
              <w:pStyle w:val="ListParagraph"/>
              <w:numPr>
                <w:ilvl w:val="0"/>
                <w:numId w:val="22"/>
              </w:numPr>
              <w:autoSpaceDE w:val="0"/>
              <w:autoSpaceDN w:val="0"/>
              <w:adjustRightInd w:val="0"/>
              <w:ind w:left="357" w:hanging="357"/>
              <w:jc w:val="left"/>
              <w:rPr>
                <w:rFonts w:asciiTheme="minorHAnsi" w:hAnsiTheme="minorHAnsi" w:cs="Calibri"/>
                <w:color w:val="000000"/>
                <w:szCs w:val="22"/>
              </w:rPr>
            </w:pPr>
            <w:r>
              <w:rPr>
                <w:rFonts w:cs="Arial"/>
                <w:color w:val="000000"/>
              </w:rPr>
              <w:t>I</w:t>
            </w:r>
            <w:r w:rsidR="00646D7D">
              <w:rPr>
                <w:rFonts w:cs="Arial"/>
                <w:color w:val="000000"/>
              </w:rPr>
              <w:t xml:space="preserve">mplement from August 2020 subject to successful public engagement </w:t>
            </w:r>
            <w:r w:rsidR="00646D7D" w:rsidRPr="00A611A7">
              <w:rPr>
                <w:rFonts w:cs="Arial"/>
                <w:color w:val="000000"/>
                <w:highlight w:val="yellow"/>
              </w:rPr>
              <w:t>and consultation</w:t>
            </w:r>
            <w:r w:rsidR="00646D7D">
              <w:rPr>
                <w:rFonts w:cs="Arial"/>
                <w:color w:val="000000"/>
              </w:rPr>
              <w:t>.</w:t>
            </w:r>
          </w:p>
          <w:p w14:paraId="6EE1F5AB" w14:textId="044DDF36" w:rsidR="00F33761" w:rsidRPr="00195C09" w:rsidRDefault="00646D7D" w:rsidP="00F60A35">
            <w:pPr>
              <w:pStyle w:val="ListParagraph"/>
              <w:numPr>
                <w:ilvl w:val="0"/>
                <w:numId w:val="22"/>
              </w:numPr>
              <w:autoSpaceDE w:val="0"/>
              <w:autoSpaceDN w:val="0"/>
              <w:adjustRightInd w:val="0"/>
              <w:ind w:left="357" w:hanging="357"/>
              <w:jc w:val="left"/>
              <w:rPr>
                <w:rFonts w:asciiTheme="minorHAnsi" w:hAnsiTheme="minorHAnsi" w:cs="Calibri"/>
                <w:color w:val="000000"/>
                <w:szCs w:val="22"/>
              </w:rPr>
            </w:pPr>
            <w:r>
              <w:rPr>
                <w:rFonts w:cs="Arial"/>
                <w:color w:val="000000"/>
              </w:rPr>
              <w:t>S</w:t>
            </w:r>
            <w:r w:rsidRPr="006637B7">
              <w:rPr>
                <w:rFonts w:cs="Arial"/>
                <w:color w:val="000000"/>
              </w:rPr>
              <w:t xml:space="preserve">ubmission of a capital case for a hybrid theatre at </w:t>
            </w:r>
            <w:r w:rsidR="002F01FB">
              <w:rPr>
                <w:rFonts w:cs="Arial"/>
                <w:color w:val="000000"/>
              </w:rPr>
              <w:t>UHW</w:t>
            </w:r>
            <w:r w:rsidRPr="006637B7">
              <w:rPr>
                <w:rFonts w:cs="Arial"/>
                <w:color w:val="000000"/>
              </w:rPr>
              <w:t xml:space="preserve"> to support centralisation</w:t>
            </w:r>
            <w:r>
              <w:rPr>
                <w:rFonts w:cs="Arial"/>
                <w:color w:val="000000"/>
              </w:rPr>
              <w:t>.</w:t>
            </w:r>
          </w:p>
        </w:tc>
      </w:tr>
      <w:tr w:rsidR="00195C09" w:rsidRPr="000227C6" w14:paraId="395F666E" w14:textId="77777777" w:rsidTr="00055E4B">
        <w:tc>
          <w:tcPr>
            <w:tcW w:w="1663" w:type="dxa"/>
          </w:tcPr>
          <w:p w14:paraId="02249C70" w14:textId="77777777" w:rsidR="00195C09" w:rsidRPr="00E95113" w:rsidRDefault="00195C09" w:rsidP="00195C09">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Diagnostics</w:t>
            </w:r>
          </w:p>
        </w:tc>
        <w:tc>
          <w:tcPr>
            <w:tcW w:w="8505" w:type="dxa"/>
          </w:tcPr>
          <w:p w14:paraId="352C63F0" w14:textId="059F442F" w:rsidR="00646D7D" w:rsidRPr="008B534D" w:rsidRDefault="00646D7D" w:rsidP="00646D7D">
            <w:pPr>
              <w:spacing w:line="259" w:lineRule="auto"/>
              <w:rPr>
                <w:rFonts w:cs="Arial"/>
              </w:rPr>
            </w:pPr>
            <w:r w:rsidRPr="008B534D">
              <w:rPr>
                <w:rFonts w:cs="Arial"/>
              </w:rPr>
              <w:t>In relation to CT and MRI the regional group has:</w:t>
            </w:r>
          </w:p>
          <w:p w14:paraId="0302BD64" w14:textId="17A359F8" w:rsidR="00646D7D" w:rsidRPr="008B534D" w:rsidRDefault="00646D7D" w:rsidP="00F60A35">
            <w:pPr>
              <w:pStyle w:val="ListParagraph"/>
              <w:numPr>
                <w:ilvl w:val="0"/>
                <w:numId w:val="38"/>
              </w:numPr>
              <w:spacing w:line="259" w:lineRule="auto"/>
              <w:ind w:left="357" w:hanging="357"/>
              <w:jc w:val="left"/>
              <w:rPr>
                <w:rFonts w:cs="Arial"/>
              </w:rPr>
            </w:pPr>
            <w:r w:rsidRPr="008B534D">
              <w:rPr>
                <w:rFonts w:cs="Arial"/>
              </w:rPr>
              <w:lastRenderedPageBreak/>
              <w:t xml:space="preserve">Agreed to continue using a standardised approach to </w:t>
            </w:r>
            <w:r w:rsidR="006A0E07">
              <w:rPr>
                <w:rFonts w:cs="Arial"/>
              </w:rPr>
              <w:t>D&amp;C</w:t>
            </w:r>
            <w:r w:rsidRPr="008B534D">
              <w:rPr>
                <w:rFonts w:cs="Arial"/>
              </w:rPr>
              <w:t xml:space="preserve"> planning with the support of the </w:t>
            </w:r>
            <w:r w:rsidR="00D72133">
              <w:rPr>
                <w:rFonts w:cs="Arial"/>
              </w:rPr>
              <w:t>DU</w:t>
            </w:r>
            <w:r w:rsidRPr="008B534D">
              <w:rPr>
                <w:rFonts w:cs="Arial"/>
              </w:rPr>
              <w:t>, to strengthen the planning of the regional work.</w:t>
            </w:r>
          </w:p>
          <w:p w14:paraId="1B285895" w14:textId="22BEF03F" w:rsidR="00646D7D" w:rsidRPr="008B534D" w:rsidRDefault="00646D7D" w:rsidP="00F60A35">
            <w:pPr>
              <w:pStyle w:val="ListParagraph"/>
              <w:numPr>
                <w:ilvl w:val="0"/>
                <w:numId w:val="38"/>
              </w:numPr>
              <w:spacing w:line="259" w:lineRule="auto"/>
              <w:ind w:left="357" w:hanging="357"/>
              <w:jc w:val="left"/>
              <w:rPr>
                <w:rFonts w:cs="Arial"/>
              </w:rPr>
            </w:pPr>
            <w:r w:rsidRPr="008B534D">
              <w:rPr>
                <w:rFonts w:cs="Arial"/>
              </w:rPr>
              <w:t xml:space="preserve">As part of the collaborative approach, spare capacity within the </w:t>
            </w:r>
            <w:r w:rsidR="00D72133">
              <w:rPr>
                <w:rFonts w:cs="Arial"/>
              </w:rPr>
              <w:t>UHBs</w:t>
            </w:r>
            <w:r w:rsidRPr="008B534D">
              <w:rPr>
                <w:rFonts w:cs="Arial"/>
              </w:rPr>
              <w:t xml:space="preserve"> Diagnostic hub will continue to be offered up to partners in the region.  Commissioning arrangements are to be formalised.</w:t>
            </w:r>
          </w:p>
          <w:p w14:paraId="75DB08E5" w14:textId="720ADBBA" w:rsidR="00646D7D" w:rsidRPr="008B534D" w:rsidRDefault="00646D7D" w:rsidP="00F60A35">
            <w:pPr>
              <w:pStyle w:val="ListParagraph"/>
              <w:numPr>
                <w:ilvl w:val="0"/>
                <w:numId w:val="38"/>
              </w:numPr>
              <w:spacing w:line="259" w:lineRule="auto"/>
              <w:ind w:left="357" w:hanging="357"/>
              <w:jc w:val="left"/>
              <w:rPr>
                <w:rFonts w:cs="Arial"/>
              </w:rPr>
            </w:pPr>
            <w:r w:rsidRPr="008B534D">
              <w:rPr>
                <w:rFonts w:cs="Arial"/>
              </w:rPr>
              <w:t xml:space="preserve">All </w:t>
            </w:r>
            <w:r w:rsidR="00055E4B">
              <w:rPr>
                <w:rFonts w:cs="Arial"/>
              </w:rPr>
              <w:t>HBs</w:t>
            </w:r>
            <w:r w:rsidRPr="008B534D">
              <w:rPr>
                <w:rFonts w:cs="Arial"/>
              </w:rPr>
              <w:t xml:space="preserve"> have identified that reporting capacity remains an issue and that all were outsourcing to managing this increasing problem.  The South Central &amp; East Regional Planning &amp; Delivery Forum have requested an assessment across </w:t>
            </w:r>
            <w:r w:rsidR="00055E4B">
              <w:rPr>
                <w:rFonts w:cs="Arial"/>
              </w:rPr>
              <w:t>HBs</w:t>
            </w:r>
            <w:r w:rsidRPr="008B534D">
              <w:rPr>
                <w:rFonts w:cs="Arial"/>
              </w:rPr>
              <w:t xml:space="preserve"> be undertake</w:t>
            </w:r>
            <w:r w:rsidR="00055E4B">
              <w:rPr>
                <w:rFonts w:cs="Arial"/>
              </w:rPr>
              <w:t>n</w:t>
            </w:r>
            <w:r w:rsidRPr="008B534D">
              <w:rPr>
                <w:rFonts w:cs="Arial"/>
              </w:rPr>
              <w:t xml:space="preserve"> to determine the scale of the problem.  Following this exercise a decision will be made as to whether imaging reporting becomes a work stream to be taken forward collaboratively during 2020/21.</w:t>
            </w:r>
          </w:p>
          <w:p w14:paraId="6EF135F2" w14:textId="77777777" w:rsidR="00646D7D" w:rsidRPr="008B534D" w:rsidRDefault="00646D7D" w:rsidP="00646D7D">
            <w:pPr>
              <w:spacing w:line="259" w:lineRule="auto"/>
              <w:rPr>
                <w:rFonts w:cs="Arial"/>
              </w:rPr>
            </w:pPr>
            <w:r w:rsidRPr="008B534D">
              <w:rPr>
                <w:rFonts w:cs="Arial"/>
              </w:rPr>
              <w:t>Endoscopy</w:t>
            </w:r>
          </w:p>
          <w:p w14:paraId="36AF6F63" w14:textId="77777777" w:rsidR="00646D7D" w:rsidRPr="008B534D" w:rsidRDefault="00646D7D" w:rsidP="00646D7D">
            <w:pPr>
              <w:spacing w:line="259" w:lineRule="auto"/>
              <w:rPr>
                <w:rFonts w:cs="Arial"/>
                <w:iCs/>
              </w:rPr>
            </w:pPr>
            <w:r w:rsidRPr="008B534D">
              <w:rPr>
                <w:rFonts w:cs="Arial"/>
                <w:iCs/>
              </w:rPr>
              <w:t>For 2020/21, the regional group will:</w:t>
            </w:r>
          </w:p>
          <w:p w14:paraId="03510727" w14:textId="7120C6ED" w:rsidR="00646D7D" w:rsidRPr="008B534D" w:rsidRDefault="00646D7D" w:rsidP="00F60A35">
            <w:pPr>
              <w:pStyle w:val="ListParagraph"/>
              <w:numPr>
                <w:ilvl w:val="0"/>
                <w:numId w:val="39"/>
              </w:numPr>
              <w:spacing w:line="259" w:lineRule="auto"/>
              <w:ind w:left="357" w:hanging="357"/>
              <w:jc w:val="left"/>
              <w:rPr>
                <w:rFonts w:cs="Arial"/>
                <w:iCs/>
              </w:rPr>
            </w:pPr>
            <w:r w:rsidRPr="008B534D">
              <w:rPr>
                <w:rFonts w:cs="Arial"/>
                <w:iCs/>
              </w:rPr>
              <w:t xml:space="preserve">Utilise the standardised approach to </w:t>
            </w:r>
            <w:r w:rsidR="006A0E07">
              <w:rPr>
                <w:rFonts w:cs="Arial"/>
                <w:iCs/>
              </w:rPr>
              <w:t>D&amp;C</w:t>
            </w:r>
            <w:r w:rsidRPr="008B534D">
              <w:rPr>
                <w:rFonts w:cs="Arial"/>
                <w:iCs/>
              </w:rPr>
              <w:t xml:space="preserve"> planning for endoscopy being developed, with the support of the </w:t>
            </w:r>
            <w:r w:rsidR="00055E4B">
              <w:rPr>
                <w:rFonts w:cs="Arial"/>
                <w:iCs/>
              </w:rPr>
              <w:t>DU</w:t>
            </w:r>
            <w:r w:rsidRPr="008B534D">
              <w:rPr>
                <w:rFonts w:cs="Arial"/>
                <w:iCs/>
              </w:rPr>
              <w:t xml:space="preserve">, within the National Endoscopy Programme Board.  </w:t>
            </w:r>
          </w:p>
          <w:p w14:paraId="568C2301" w14:textId="6B376860" w:rsidR="00646D7D" w:rsidRPr="008B534D" w:rsidRDefault="00646D7D" w:rsidP="00F60A35">
            <w:pPr>
              <w:pStyle w:val="ListParagraph"/>
              <w:numPr>
                <w:ilvl w:val="0"/>
                <w:numId w:val="39"/>
              </w:numPr>
              <w:spacing w:line="259" w:lineRule="auto"/>
              <w:ind w:left="357" w:hanging="357"/>
              <w:jc w:val="left"/>
              <w:rPr>
                <w:rFonts w:cs="Arial"/>
                <w:iCs/>
              </w:rPr>
            </w:pPr>
            <w:r w:rsidRPr="008B534D">
              <w:rPr>
                <w:rFonts w:cs="Arial"/>
                <w:iCs/>
              </w:rPr>
              <w:t xml:space="preserve">Assess </w:t>
            </w:r>
            <w:r w:rsidR="006A0E07">
              <w:rPr>
                <w:rFonts w:cs="Arial"/>
                <w:iCs/>
              </w:rPr>
              <w:t>D&amp;C</w:t>
            </w:r>
            <w:r w:rsidRPr="008B534D">
              <w:rPr>
                <w:rFonts w:cs="Arial"/>
                <w:iCs/>
              </w:rPr>
              <w:t xml:space="preserve"> and explore opportunities for joint working and shared working </w:t>
            </w:r>
            <w:r w:rsidRPr="008B534D">
              <w:rPr>
                <w:rFonts w:cs="Arial"/>
              </w:rPr>
              <w:t>around solutions for meeting any shortfall in capacity.</w:t>
            </w:r>
          </w:p>
          <w:p w14:paraId="5927D447" w14:textId="77777777" w:rsidR="00646D7D" w:rsidRPr="008B534D" w:rsidRDefault="00646D7D" w:rsidP="00646D7D">
            <w:pPr>
              <w:spacing w:line="259" w:lineRule="auto"/>
              <w:rPr>
                <w:rFonts w:cs="Arial"/>
                <w:iCs/>
              </w:rPr>
            </w:pPr>
            <w:r w:rsidRPr="008B534D">
              <w:rPr>
                <w:rFonts w:cs="Arial"/>
                <w:iCs/>
              </w:rPr>
              <w:t>EUS</w:t>
            </w:r>
          </w:p>
          <w:p w14:paraId="68077C63" w14:textId="77777777" w:rsidR="00646D7D" w:rsidRPr="008B534D" w:rsidRDefault="00646D7D" w:rsidP="00F60A35">
            <w:pPr>
              <w:pStyle w:val="ListParagraph"/>
              <w:numPr>
                <w:ilvl w:val="0"/>
                <w:numId w:val="37"/>
              </w:numPr>
              <w:jc w:val="left"/>
              <w:rPr>
                <w:rFonts w:cs="Arial"/>
                <w:iCs/>
              </w:rPr>
            </w:pPr>
            <w:r w:rsidRPr="008B534D">
              <w:rPr>
                <w:rFonts w:cs="Arial"/>
                <w:iCs/>
              </w:rPr>
              <w:t>Continue to progress work to implement Phase 1 of the network EUS model as described between Aneurin Bevan and Cardiff and Vale UHBs.</w:t>
            </w:r>
          </w:p>
          <w:p w14:paraId="023BBE95" w14:textId="77777777" w:rsidR="00646D7D" w:rsidRPr="008B534D" w:rsidRDefault="00646D7D" w:rsidP="00F60A35">
            <w:pPr>
              <w:pStyle w:val="ListParagraph"/>
              <w:numPr>
                <w:ilvl w:val="0"/>
                <w:numId w:val="37"/>
              </w:numPr>
              <w:jc w:val="left"/>
              <w:rPr>
                <w:rFonts w:cs="Arial"/>
                <w:iCs/>
              </w:rPr>
            </w:pPr>
            <w:r w:rsidRPr="008B534D">
              <w:rPr>
                <w:rFonts w:cs="Arial"/>
                <w:iCs/>
              </w:rPr>
              <w:t xml:space="preserve">Continue to establish and implement a training programme across the three UHBs. </w:t>
            </w:r>
          </w:p>
          <w:p w14:paraId="490AFAB9" w14:textId="77777777" w:rsidR="00646D7D" w:rsidRPr="00F6616F" w:rsidRDefault="00646D7D" w:rsidP="00F60A35">
            <w:pPr>
              <w:pStyle w:val="ListParagraph"/>
              <w:numPr>
                <w:ilvl w:val="0"/>
                <w:numId w:val="23"/>
              </w:numPr>
              <w:autoSpaceDE w:val="0"/>
              <w:autoSpaceDN w:val="0"/>
              <w:adjustRightInd w:val="0"/>
              <w:ind w:left="357" w:hanging="357"/>
              <w:jc w:val="left"/>
              <w:rPr>
                <w:rFonts w:asciiTheme="minorHAnsi" w:hAnsiTheme="minorHAnsi" w:cs="Calibri"/>
                <w:szCs w:val="22"/>
              </w:rPr>
            </w:pPr>
            <w:r w:rsidRPr="008B534D">
              <w:rPr>
                <w:rFonts w:cs="Arial"/>
                <w:iCs/>
              </w:rPr>
              <w:t xml:space="preserve">Continue to develop a joint booking system for the EUS service.  </w:t>
            </w:r>
          </w:p>
          <w:p w14:paraId="72E0E934" w14:textId="5196B019" w:rsidR="00195C09" w:rsidRPr="008B534D" w:rsidRDefault="00646D7D" w:rsidP="00F60A35">
            <w:pPr>
              <w:pStyle w:val="ListParagraph"/>
              <w:numPr>
                <w:ilvl w:val="0"/>
                <w:numId w:val="23"/>
              </w:numPr>
              <w:autoSpaceDE w:val="0"/>
              <w:autoSpaceDN w:val="0"/>
              <w:adjustRightInd w:val="0"/>
              <w:ind w:left="357" w:hanging="357"/>
              <w:jc w:val="left"/>
              <w:rPr>
                <w:rFonts w:asciiTheme="minorHAnsi" w:hAnsiTheme="minorHAnsi" w:cs="Calibri"/>
                <w:szCs w:val="22"/>
              </w:rPr>
            </w:pPr>
            <w:r>
              <w:rPr>
                <w:rFonts w:cs="Arial"/>
                <w:iCs/>
              </w:rPr>
              <w:t>By July 2020 develop a business case for the sustainable regional EUS networked model.</w:t>
            </w:r>
          </w:p>
        </w:tc>
      </w:tr>
      <w:tr w:rsidR="00195C09" w:rsidRPr="000227C6" w14:paraId="6B125307" w14:textId="77777777" w:rsidTr="007C77C9">
        <w:trPr>
          <w:trHeight w:val="837"/>
        </w:trPr>
        <w:tc>
          <w:tcPr>
            <w:tcW w:w="1663" w:type="dxa"/>
          </w:tcPr>
          <w:p w14:paraId="1BE94B3A" w14:textId="77777777" w:rsidR="00195C09" w:rsidRPr="00E95113" w:rsidRDefault="00195C09" w:rsidP="00195C09">
            <w:pPr>
              <w:autoSpaceDE w:val="0"/>
              <w:autoSpaceDN w:val="0"/>
              <w:adjustRightInd w:val="0"/>
              <w:jc w:val="left"/>
              <w:rPr>
                <w:rFonts w:asciiTheme="minorHAnsi" w:hAnsiTheme="minorHAnsi" w:cs="Calibri"/>
                <w:b/>
                <w:color w:val="000000"/>
                <w:szCs w:val="22"/>
              </w:rPr>
            </w:pPr>
            <w:r w:rsidRPr="00E95113">
              <w:rPr>
                <w:rFonts w:asciiTheme="minorHAnsi" w:hAnsiTheme="minorHAnsi" w:cs="Arial"/>
                <w:b/>
                <w:szCs w:val="22"/>
              </w:rPr>
              <w:lastRenderedPageBreak/>
              <w:t>Ophthalmology</w:t>
            </w:r>
          </w:p>
        </w:tc>
        <w:tc>
          <w:tcPr>
            <w:tcW w:w="8505" w:type="dxa"/>
          </w:tcPr>
          <w:p w14:paraId="4191801D" w14:textId="486B2568" w:rsidR="00646D7D" w:rsidRPr="00D401CC" w:rsidRDefault="00646D7D" w:rsidP="00646D7D">
            <w:pPr>
              <w:pStyle w:val="NormaBullet"/>
            </w:pPr>
            <w:r w:rsidRPr="00D401CC">
              <w:t>Progress EPR workstream in accordance with agreed milestones and consistent with national programme rollout (to include FBC submission, staff recruitment, equipment procurement and IM&amp;T capability testing.</w:t>
            </w:r>
          </w:p>
          <w:p w14:paraId="5BE49418" w14:textId="1BDA5150" w:rsidR="00195C09" w:rsidRPr="00195C09" w:rsidRDefault="00646D7D" w:rsidP="00055E4B">
            <w:pPr>
              <w:pStyle w:val="NormaBullet"/>
              <w:rPr>
                <w:rFonts w:asciiTheme="minorHAnsi" w:hAnsiTheme="minorHAnsi"/>
                <w:b/>
                <w:szCs w:val="22"/>
              </w:rPr>
            </w:pPr>
            <w:r w:rsidRPr="00D401CC">
              <w:t xml:space="preserve">Secure project management support for regional cataract treatment facility option appraisal, prepare outline business case </w:t>
            </w:r>
            <w:r>
              <w:t xml:space="preserve">informed by </w:t>
            </w:r>
            <w:r w:rsidR="00055E4B">
              <w:t>UHB</w:t>
            </w:r>
            <w:r w:rsidRPr="00D401CC">
              <w:t xml:space="preserve"> ophthalmology projections for demand / capacity / medical staffing. </w:t>
            </w:r>
            <w:r>
              <w:t xml:space="preserve"> Submit OBC to WG by financial year end.</w:t>
            </w:r>
          </w:p>
        </w:tc>
      </w:tr>
    </w:tbl>
    <w:p w14:paraId="61184032" w14:textId="39E6BDDE" w:rsidR="00B63491" w:rsidRPr="001616A4" w:rsidRDefault="00121F97" w:rsidP="00EC4298">
      <w:r w:rsidRPr="00195C09">
        <w:rPr>
          <w:noProof/>
        </w:rPr>
        <w:drawing>
          <wp:anchor distT="0" distB="0" distL="114300" distR="114300" simplePos="0" relativeHeight="252639232" behindDoc="0" locked="0" layoutInCell="1" allowOverlap="1" wp14:anchorId="78F467FB" wp14:editId="13644E52">
            <wp:simplePos x="0" y="0"/>
            <wp:positionH relativeFrom="column">
              <wp:posOffset>5923611</wp:posOffset>
            </wp:positionH>
            <wp:positionV relativeFrom="paragraph">
              <wp:posOffset>100137</wp:posOffset>
            </wp:positionV>
            <wp:extent cx="454025" cy="532130"/>
            <wp:effectExtent l="0" t="0" r="3175" b="1270"/>
            <wp:wrapNone/>
            <wp:docPr id="1866" name="Picture 1866"/>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54025" cy="532130"/>
                    </a:xfrm>
                    <a:prstGeom prst="rect">
                      <a:avLst/>
                    </a:prstGeom>
                  </pic:spPr>
                </pic:pic>
              </a:graphicData>
            </a:graphic>
            <wp14:sizeRelH relativeFrom="margin">
              <wp14:pctWidth>0</wp14:pctWidth>
            </wp14:sizeRelH>
            <wp14:sizeRelV relativeFrom="margin">
              <wp14:pctHeight>0</wp14:pctHeight>
            </wp14:sizeRelV>
          </wp:anchor>
        </w:drawing>
      </w:r>
    </w:p>
    <w:p w14:paraId="6233C1E3" w14:textId="3192D8C5" w:rsidR="00BF0C95" w:rsidRPr="005B44BD" w:rsidRDefault="00BF0C95" w:rsidP="00B63491">
      <w:pPr>
        <w:pStyle w:val="Heading2"/>
        <w:shd w:val="clear" w:color="auto" w:fill="92CDDC" w:themeFill="accent5" w:themeFillTint="99"/>
        <w:rPr>
          <w:szCs w:val="22"/>
        </w:rPr>
      </w:pPr>
      <w:bookmarkStart w:id="107" w:name="_Toc532299682"/>
      <w:bookmarkStart w:id="108" w:name="_Toc532463997"/>
      <w:bookmarkStart w:id="109" w:name="_Toc536195563"/>
      <w:bookmarkStart w:id="110" w:name="_Toc29573948"/>
      <w:r w:rsidRPr="005B44BD">
        <w:rPr>
          <w:szCs w:val="22"/>
        </w:rPr>
        <w:t>Tertiary Services</w:t>
      </w:r>
      <w:bookmarkEnd w:id="107"/>
      <w:bookmarkEnd w:id="108"/>
      <w:bookmarkEnd w:id="109"/>
      <w:bookmarkEnd w:id="110"/>
    </w:p>
    <w:p w14:paraId="55EBAC46" w14:textId="1A121B90" w:rsidR="00697BD6" w:rsidRPr="003A5CA9" w:rsidRDefault="004375A0" w:rsidP="00697BD6">
      <w:pPr>
        <w:rPr>
          <w:rFonts w:asciiTheme="minorHAnsi" w:hAnsiTheme="minorHAnsi"/>
          <w:szCs w:val="22"/>
        </w:rPr>
      </w:pPr>
      <w:bookmarkStart w:id="111" w:name="_Toc441757246"/>
      <w:bookmarkStart w:id="112" w:name="_Toc447195651"/>
      <w:bookmarkStart w:id="113" w:name="_Toc471829997"/>
      <w:bookmarkStart w:id="114" w:name="_Toc473290323"/>
      <w:bookmarkStart w:id="115" w:name="_Toc478738534"/>
      <w:bookmarkStart w:id="116" w:name="_Toc441757245"/>
      <w:r>
        <w:rPr>
          <w:rFonts w:asciiTheme="minorHAnsi" w:hAnsiTheme="minorHAnsi"/>
          <w:szCs w:val="22"/>
        </w:rPr>
        <w:t xml:space="preserve">CTMUHB </w:t>
      </w:r>
      <w:r w:rsidR="00697BD6" w:rsidRPr="003A5CA9">
        <w:rPr>
          <w:rFonts w:asciiTheme="minorHAnsi" w:hAnsiTheme="minorHAnsi"/>
          <w:szCs w:val="22"/>
        </w:rPr>
        <w:t xml:space="preserve">commissions a range of services from neighbouring </w:t>
      </w:r>
      <w:r>
        <w:rPr>
          <w:rFonts w:asciiTheme="minorHAnsi" w:hAnsiTheme="minorHAnsi"/>
          <w:szCs w:val="22"/>
        </w:rPr>
        <w:t>HBs</w:t>
      </w:r>
      <w:r w:rsidR="00697BD6" w:rsidRPr="003A5CA9">
        <w:rPr>
          <w:rFonts w:asciiTheme="minorHAnsi" w:hAnsiTheme="minorHAnsi"/>
          <w:szCs w:val="22"/>
        </w:rPr>
        <w:t xml:space="preserve"> and from specialist centres across both Wales and England</w:t>
      </w:r>
      <w:r w:rsidR="00144B09" w:rsidRPr="003A5CA9">
        <w:rPr>
          <w:rFonts w:asciiTheme="minorHAnsi" w:hAnsiTheme="minorHAnsi"/>
          <w:szCs w:val="22"/>
        </w:rPr>
        <w:t xml:space="preserve">.  </w:t>
      </w:r>
      <w:r w:rsidR="00697BD6" w:rsidRPr="003A5CA9">
        <w:rPr>
          <w:rFonts w:asciiTheme="minorHAnsi" w:hAnsiTheme="minorHAnsi"/>
          <w:szCs w:val="22"/>
        </w:rPr>
        <w:t xml:space="preserve">Whilst most are commissioned through our specialist commissioners including WHSSC and EASC, there are some tertiary and specialised services that remain the commissioning responsibility of </w:t>
      </w:r>
      <w:r w:rsidR="006B09CD" w:rsidRPr="003A5CA9">
        <w:rPr>
          <w:rFonts w:asciiTheme="minorHAnsi" w:hAnsiTheme="minorHAnsi"/>
          <w:szCs w:val="22"/>
        </w:rPr>
        <w:t xml:space="preserve">the </w:t>
      </w:r>
      <w:r>
        <w:rPr>
          <w:rFonts w:asciiTheme="minorHAnsi" w:hAnsiTheme="minorHAnsi"/>
          <w:szCs w:val="22"/>
        </w:rPr>
        <w:t>UHB</w:t>
      </w:r>
      <w:r w:rsidR="00697BD6" w:rsidRPr="003A5CA9">
        <w:rPr>
          <w:rFonts w:asciiTheme="minorHAnsi" w:hAnsiTheme="minorHAnsi"/>
          <w:szCs w:val="22"/>
        </w:rPr>
        <w:t>.</w:t>
      </w:r>
    </w:p>
    <w:p w14:paraId="4D3CCDE0" w14:textId="77777777" w:rsidR="00697BD6" w:rsidRPr="003A5CA9" w:rsidRDefault="00697BD6" w:rsidP="00697BD6">
      <w:pPr>
        <w:rPr>
          <w:rFonts w:asciiTheme="minorHAnsi" w:hAnsiTheme="minorHAnsi"/>
          <w:szCs w:val="22"/>
        </w:rPr>
      </w:pPr>
    </w:p>
    <w:p w14:paraId="30B2D90D" w14:textId="25151886" w:rsidR="00697BD6" w:rsidRPr="003A5CA9" w:rsidRDefault="00697BD6" w:rsidP="00697BD6">
      <w:pPr>
        <w:rPr>
          <w:rFonts w:asciiTheme="minorHAnsi" w:hAnsiTheme="minorHAnsi"/>
          <w:szCs w:val="22"/>
        </w:rPr>
      </w:pPr>
      <w:r w:rsidRPr="003A5CA9">
        <w:rPr>
          <w:rFonts w:asciiTheme="minorHAnsi" w:hAnsiTheme="minorHAnsi"/>
          <w:szCs w:val="22"/>
        </w:rPr>
        <w:t xml:space="preserve">Some of these tertiary services are commissioned on a collaborative basis with other commissioners, such as cancer services from Velindre NHS Trust where a Velindre Collective </w:t>
      </w:r>
      <w:r w:rsidR="006B09CD" w:rsidRPr="003A5CA9">
        <w:rPr>
          <w:rFonts w:asciiTheme="minorHAnsi" w:hAnsiTheme="minorHAnsi"/>
          <w:szCs w:val="22"/>
        </w:rPr>
        <w:t>C</w:t>
      </w:r>
      <w:r w:rsidRPr="003A5CA9">
        <w:rPr>
          <w:rFonts w:asciiTheme="minorHAnsi" w:hAnsiTheme="minorHAnsi"/>
          <w:szCs w:val="22"/>
        </w:rPr>
        <w:t xml:space="preserve">ommissioning </w:t>
      </w:r>
      <w:r w:rsidR="006B09CD" w:rsidRPr="003A5CA9">
        <w:rPr>
          <w:rFonts w:asciiTheme="minorHAnsi" w:hAnsiTheme="minorHAnsi"/>
          <w:szCs w:val="22"/>
        </w:rPr>
        <w:t>G</w:t>
      </w:r>
      <w:r w:rsidRPr="003A5CA9">
        <w:rPr>
          <w:rFonts w:asciiTheme="minorHAnsi" w:hAnsiTheme="minorHAnsi"/>
          <w:szCs w:val="22"/>
        </w:rPr>
        <w:t>roup has been established to ensure a consistent commissioning approach from all commissioner</w:t>
      </w:r>
      <w:r w:rsidR="006B09CD" w:rsidRPr="003A5CA9">
        <w:rPr>
          <w:rFonts w:asciiTheme="minorHAnsi" w:hAnsiTheme="minorHAnsi"/>
          <w:szCs w:val="22"/>
        </w:rPr>
        <w:t>s</w:t>
      </w:r>
      <w:r w:rsidRPr="003A5CA9">
        <w:rPr>
          <w:rFonts w:asciiTheme="minorHAnsi" w:hAnsiTheme="minorHAnsi"/>
          <w:szCs w:val="22"/>
        </w:rPr>
        <w:t>.</w:t>
      </w:r>
    </w:p>
    <w:p w14:paraId="583D96EC" w14:textId="77777777" w:rsidR="00697BD6" w:rsidRPr="003A5CA9" w:rsidRDefault="00697BD6" w:rsidP="00697BD6">
      <w:pPr>
        <w:rPr>
          <w:rFonts w:asciiTheme="minorHAnsi" w:hAnsiTheme="minorHAnsi"/>
          <w:szCs w:val="22"/>
        </w:rPr>
      </w:pPr>
    </w:p>
    <w:p w14:paraId="4DD3B559" w14:textId="6CBA4585" w:rsidR="00697BD6" w:rsidRDefault="00697BD6" w:rsidP="00697BD6">
      <w:pPr>
        <w:rPr>
          <w:rFonts w:asciiTheme="minorHAnsi" w:hAnsiTheme="minorHAnsi"/>
          <w:szCs w:val="22"/>
        </w:rPr>
      </w:pPr>
      <w:r w:rsidRPr="003A5CA9">
        <w:rPr>
          <w:rFonts w:asciiTheme="minorHAnsi" w:hAnsiTheme="minorHAnsi"/>
          <w:szCs w:val="22"/>
        </w:rPr>
        <w:t>For other tertiary services within NHS Wales th</w:t>
      </w:r>
      <w:r w:rsidR="006B09CD" w:rsidRPr="003A5CA9">
        <w:rPr>
          <w:rFonts w:asciiTheme="minorHAnsi" w:hAnsiTheme="minorHAnsi"/>
          <w:szCs w:val="22"/>
        </w:rPr>
        <w:t>e</w:t>
      </w:r>
      <w:r w:rsidRPr="003A5CA9">
        <w:rPr>
          <w:rFonts w:asciiTheme="minorHAnsi" w:hAnsiTheme="minorHAnsi"/>
          <w:szCs w:val="22"/>
        </w:rPr>
        <w:t xml:space="preserve"> </w:t>
      </w:r>
      <w:r w:rsidR="004375A0">
        <w:rPr>
          <w:rFonts w:asciiTheme="minorHAnsi" w:hAnsiTheme="minorHAnsi"/>
          <w:szCs w:val="22"/>
        </w:rPr>
        <w:t>UHB</w:t>
      </w:r>
      <w:r w:rsidRPr="003A5CA9">
        <w:rPr>
          <w:rFonts w:asciiTheme="minorHAnsi" w:hAnsiTheme="minorHAnsi"/>
          <w:szCs w:val="22"/>
        </w:rPr>
        <w:t xml:space="preserve"> has commissioning responsibility for, these are commissioned from both Wales, through contractual arrangements and usually from services in England on an individual patient basis.  These services are commissioned on patient need.</w:t>
      </w:r>
    </w:p>
    <w:p w14:paraId="1B34EEFC" w14:textId="05E50DA4" w:rsidR="00C96784" w:rsidRPr="005B44BD" w:rsidRDefault="007013D7" w:rsidP="007013D7">
      <w:pPr>
        <w:pStyle w:val="Heading2"/>
        <w:rPr>
          <w:szCs w:val="22"/>
        </w:rPr>
      </w:pPr>
      <w:bookmarkStart w:id="117" w:name="_Toc536195564"/>
      <w:bookmarkStart w:id="118" w:name="_Toc29573949"/>
      <w:bookmarkStart w:id="119" w:name="_Toc532299683"/>
      <w:bookmarkStart w:id="120" w:name="_Toc532463998"/>
      <w:r w:rsidRPr="005B44BD">
        <w:rPr>
          <w:szCs w:val="22"/>
        </w:rPr>
        <w:t>Efficiency Productivity and Value</w:t>
      </w:r>
      <w:bookmarkEnd w:id="117"/>
      <w:bookmarkEnd w:id="118"/>
      <w:r w:rsidRPr="005B44BD">
        <w:rPr>
          <w:szCs w:val="22"/>
        </w:rPr>
        <w:t xml:space="preserve"> </w:t>
      </w:r>
      <w:bookmarkEnd w:id="119"/>
      <w:bookmarkEnd w:id="120"/>
    </w:p>
    <w:p w14:paraId="271E8ADF" w14:textId="6AF575D3" w:rsidR="005D2E2A" w:rsidRPr="005D2E2A" w:rsidRDefault="005D2E2A" w:rsidP="005D2E2A">
      <w:pPr>
        <w:rPr>
          <w:rFonts w:asciiTheme="minorHAnsi" w:hAnsiTheme="minorHAnsi"/>
          <w:szCs w:val="22"/>
        </w:rPr>
      </w:pPr>
      <w:bookmarkStart w:id="121" w:name="_Toc532299684"/>
      <w:bookmarkStart w:id="122" w:name="_Toc532464005"/>
      <w:r w:rsidRPr="005D2E2A">
        <w:rPr>
          <w:rFonts w:asciiTheme="minorHAnsi" w:hAnsiTheme="minorHAnsi"/>
          <w:szCs w:val="22"/>
        </w:rPr>
        <w:t>EPV is a coordinated programme of improvement projects which forms one of the key pillars of CTM’s improvement agenda to drive service and quality improvement throughout the organisation.   The programme underpins the strategic objectives of the organisation and incorporates both financial and non-financial efficiency</w:t>
      </w:r>
      <w:r w:rsidR="00655E88" w:rsidRPr="005D2E2A">
        <w:rPr>
          <w:rFonts w:asciiTheme="minorHAnsi" w:hAnsiTheme="minorHAnsi"/>
          <w:szCs w:val="22"/>
        </w:rPr>
        <w:t>, improvement</w:t>
      </w:r>
      <w:r w:rsidRPr="005D2E2A">
        <w:rPr>
          <w:rFonts w:asciiTheme="minorHAnsi" w:hAnsiTheme="minorHAnsi"/>
          <w:szCs w:val="22"/>
        </w:rPr>
        <w:t xml:space="preserve"> and values based initiatives. </w:t>
      </w:r>
    </w:p>
    <w:p w14:paraId="59C24D86" w14:textId="77777777" w:rsidR="005D2E2A" w:rsidRPr="005D2E2A" w:rsidRDefault="005D2E2A" w:rsidP="005D2E2A">
      <w:pPr>
        <w:rPr>
          <w:rFonts w:asciiTheme="minorHAnsi" w:hAnsiTheme="minorHAnsi"/>
          <w:szCs w:val="22"/>
        </w:rPr>
      </w:pPr>
    </w:p>
    <w:p w14:paraId="0E24F695" w14:textId="33DE723E" w:rsidR="005D2E2A" w:rsidRPr="005D2E2A" w:rsidRDefault="005D2E2A" w:rsidP="005D2E2A">
      <w:pPr>
        <w:rPr>
          <w:rFonts w:asciiTheme="minorHAnsi" w:hAnsiTheme="minorHAnsi"/>
          <w:szCs w:val="22"/>
        </w:rPr>
      </w:pPr>
      <w:r w:rsidRPr="005D2E2A">
        <w:rPr>
          <w:rFonts w:asciiTheme="minorHAnsi" w:hAnsiTheme="minorHAnsi"/>
          <w:szCs w:val="22"/>
        </w:rPr>
        <w:lastRenderedPageBreak/>
        <w:t>The programme was developed and prioritised by individual directorates and executive cross cutting leads ensuring buy-in for the initiatives, improving the success and sustainability of implementation and outcomes</w:t>
      </w:r>
      <w:r w:rsidR="00655E88">
        <w:rPr>
          <w:rFonts w:asciiTheme="minorHAnsi" w:hAnsiTheme="minorHAnsi"/>
          <w:szCs w:val="22"/>
        </w:rPr>
        <w:t>,</w:t>
      </w:r>
      <w:r w:rsidR="00655E88" w:rsidRPr="005D2E2A">
        <w:rPr>
          <w:rFonts w:asciiTheme="minorHAnsi" w:hAnsiTheme="minorHAnsi"/>
          <w:szCs w:val="22"/>
        </w:rPr>
        <w:t xml:space="preserve"> and</w:t>
      </w:r>
      <w:r w:rsidRPr="005D2E2A">
        <w:rPr>
          <w:rFonts w:asciiTheme="minorHAnsi" w:hAnsiTheme="minorHAnsi"/>
          <w:szCs w:val="22"/>
        </w:rPr>
        <w:t xml:space="preserve"> targeting work on improvements where there is the largest opportunity.</w:t>
      </w:r>
    </w:p>
    <w:p w14:paraId="3B1470FF" w14:textId="77777777" w:rsidR="005D2E2A" w:rsidRPr="005D2E2A" w:rsidRDefault="005D2E2A" w:rsidP="005D2E2A">
      <w:pPr>
        <w:rPr>
          <w:rFonts w:asciiTheme="minorHAnsi" w:hAnsiTheme="minorHAnsi"/>
          <w:szCs w:val="22"/>
        </w:rPr>
      </w:pPr>
    </w:p>
    <w:p w14:paraId="6504EE72" w14:textId="0BF123D1" w:rsidR="005D2E2A" w:rsidRDefault="004375A0" w:rsidP="005D2E2A">
      <w:pPr>
        <w:rPr>
          <w:rFonts w:asciiTheme="minorHAnsi" w:hAnsiTheme="minorHAnsi"/>
          <w:szCs w:val="22"/>
        </w:rPr>
      </w:pPr>
      <w:r w:rsidRPr="005D2E2A">
        <w:rPr>
          <w:rFonts w:asciiTheme="minorHAnsi" w:hAnsiTheme="minorHAnsi"/>
          <w:noProof/>
          <w:szCs w:val="22"/>
        </w:rPr>
        <w:drawing>
          <wp:anchor distT="0" distB="0" distL="114300" distR="114300" simplePos="0" relativeHeight="252925952" behindDoc="1" locked="0" layoutInCell="1" allowOverlap="1" wp14:anchorId="2BB0B82C" wp14:editId="5D00EB71">
            <wp:simplePos x="0" y="0"/>
            <wp:positionH relativeFrom="column">
              <wp:posOffset>2064385</wp:posOffset>
            </wp:positionH>
            <wp:positionV relativeFrom="paragraph">
              <wp:posOffset>45085</wp:posOffset>
            </wp:positionV>
            <wp:extent cx="4506595" cy="3005334"/>
            <wp:effectExtent l="0" t="0" r="8255" b="5080"/>
            <wp:wrapTight wrapText="bothSides">
              <wp:wrapPolygon edited="0">
                <wp:start x="183" y="0"/>
                <wp:lineTo x="0" y="411"/>
                <wp:lineTo x="0" y="21089"/>
                <wp:lineTo x="183" y="21500"/>
                <wp:lineTo x="7487" y="21500"/>
                <wp:lineTo x="21548" y="20952"/>
                <wp:lineTo x="21548" y="7806"/>
                <wp:lineTo x="7761" y="6573"/>
                <wp:lineTo x="21548" y="6436"/>
                <wp:lineTo x="21548" y="548"/>
                <wp:lineTo x="7487" y="0"/>
                <wp:lineTo x="183"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506595" cy="3005334"/>
                    </a:xfrm>
                    <a:prstGeom prst="rect">
                      <a:avLst/>
                    </a:prstGeom>
                    <a:noFill/>
                  </pic:spPr>
                </pic:pic>
              </a:graphicData>
            </a:graphic>
          </wp:anchor>
        </w:drawing>
      </w:r>
      <w:r w:rsidR="005D2E2A" w:rsidRPr="005D2E2A">
        <w:rPr>
          <w:rFonts w:asciiTheme="minorHAnsi" w:hAnsiTheme="minorHAnsi"/>
          <w:szCs w:val="22"/>
        </w:rPr>
        <w:t xml:space="preserve">A prioritised programme of improvement projects have been developed from across the whole CTM organisation.  These initiatives cover a wide range of areas including pathway/service redesign, productivity, workforce, non-pay management, </w:t>
      </w:r>
      <w:r w:rsidR="006F7ED5">
        <w:rPr>
          <w:rFonts w:asciiTheme="minorHAnsi" w:hAnsiTheme="minorHAnsi"/>
          <w:szCs w:val="22"/>
        </w:rPr>
        <w:t xml:space="preserve">income generation opportunities and </w:t>
      </w:r>
      <w:r w:rsidR="005D2E2A" w:rsidRPr="005D2E2A">
        <w:rPr>
          <w:rFonts w:asciiTheme="minorHAnsi" w:hAnsiTheme="minorHAnsi"/>
          <w:szCs w:val="22"/>
        </w:rPr>
        <w:t>digital and they comprise a mix of both cash releasing and cost avoidance schemes.  It is intended that the programme will be developed on a continual pro-active basis in response to changing organisational requirements and through the existing governance structure.</w:t>
      </w:r>
      <w:r>
        <w:rPr>
          <w:rFonts w:asciiTheme="minorHAnsi" w:hAnsiTheme="minorHAnsi"/>
          <w:szCs w:val="22"/>
        </w:rPr>
        <w:t xml:space="preserve">  </w:t>
      </w:r>
      <w:r w:rsidR="005D2E2A" w:rsidRPr="005D2E2A">
        <w:rPr>
          <w:rFonts w:asciiTheme="minorHAnsi" w:hAnsiTheme="minorHAnsi"/>
          <w:szCs w:val="22"/>
        </w:rPr>
        <w:t>Examples of the project</w:t>
      </w:r>
      <w:r>
        <w:rPr>
          <w:rFonts w:asciiTheme="minorHAnsi" w:hAnsiTheme="minorHAnsi"/>
          <w:szCs w:val="22"/>
        </w:rPr>
        <w:t>s</w:t>
      </w:r>
      <w:r w:rsidR="005D2E2A" w:rsidRPr="005D2E2A">
        <w:rPr>
          <w:rFonts w:asciiTheme="minorHAnsi" w:hAnsiTheme="minorHAnsi"/>
          <w:szCs w:val="22"/>
        </w:rPr>
        <w:t xml:space="preserve"> a</w:t>
      </w:r>
      <w:r>
        <w:rPr>
          <w:rFonts w:asciiTheme="minorHAnsi" w:hAnsiTheme="minorHAnsi"/>
          <w:szCs w:val="22"/>
        </w:rPr>
        <w:t>re detailed in this diagram</w:t>
      </w:r>
      <w:r w:rsidR="005D2E2A" w:rsidRPr="005D2E2A">
        <w:rPr>
          <w:rFonts w:asciiTheme="minorHAnsi" w:hAnsiTheme="minorHAnsi"/>
          <w:szCs w:val="22"/>
        </w:rPr>
        <w:t>.</w:t>
      </w:r>
    </w:p>
    <w:p w14:paraId="2D9BF049" w14:textId="77777777" w:rsidR="004A45D6" w:rsidRPr="005D2E2A" w:rsidRDefault="004A45D6" w:rsidP="005D2E2A">
      <w:pPr>
        <w:rPr>
          <w:rFonts w:asciiTheme="minorHAnsi" w:hAnsiTheme="minorHAnsi"/>
          <w:szCs w:val="22"/>
        </w:rPr>
      </w:pPr>
    </w:p>
    <w:p w14:paraId="299BF17A" w14:textId="69C57D8A" w:rsidR="005D2E2A" w:rsidRPr="005D2E2A" w:rsidRDefault="005D2E2A" w:rsidP="005D2E2A">
      <w:pPr>
        <w:rPr>
          <w:rFonts w:asciiTheme="minorHAnsi" w:hAnsiTheme="minorHAnsi"/>
          <w:szCs w:val="22"/>
        </w:rPr>
      </w:pPr>
      <w:r w:rsidRPr="005D2E2A">
        <w:rPr>
          <w:rFonts w:asciiTheme="minorHAnsi" w:hAnsiTheme="minorHAnsi"/>
          <w:szCs w:val="22"/>
        </w:rPr>
        <w:t>Estimates of the resources to develop and deliver the EPV programme are included within the financial plan.</w:t>
      </w:r>
      <w:r w:rsidR="004A45D6">
        <w:rPr>
          <w:rFonts w:asciiTheme="minorHAnsi" w:hAnsiTheme="minorHAnsi"/>
          <w:szCs w:val="22"/>
        </w:rPr>
        <w:t xml:space="preserve">  Digital solutions are also integral to a number of these projects.</w:t>
      </w:r>
    </w:p>
    <w:p w14:paraId="2769BF44" w14:textId="77777777" w:rsidR="002E168F" w:rsidRDefault="002E168F" w:rsidP="005D2E2A">
      <w:pPr>
        <w:rPr>
          <w:rFonts w:asciiTheme="minorHAnsi" w:hAnsiTheme="minorHAnsi"/>
          <w:szCs w:val="22"/>
        </w:rPr>
      </w:pPr>
    </w:p>
    <w:p w14:paraId="2C16F43F" w14:textId="609F1AD8" w:rsidR="005D2E2A" w:rsidRPr="005D2E2A" w:rsidRDefault="005D2E2A" w:rsidP="005D2E2A">
      <w:pPr>
        <w:rPr>
          <w:rFonts w:asciiTheme="minorHAnsi" w:hAnsiTheme="minorHAnsi"/>
          <w:szCs w:val="22"/>
        </w:rPr>
      </w:pPr>
      <w:r w:rsidRPr="005D2E2A">
        <w:rPr>
          <w:rFonts w:asciiTheme="minorHAnsi" w:hAnsiTheme="minorHAnsi"/>
          <w:szCs w:val="22"/>
        </w:rPr>
        <w:t>As in</w:t>
      </w:r>
      <w:r>
        <w:rPr>
          <w:rFonts w:asciiTheme="minorHAnsi" w:hAnsiTheme="minorHAnsi"/>
          <w:szCs w:val="22"/>
        </w:rPr>
        <w:t xml:space="preserve"> the </w:t>
      </w:r>
      <w:r w:rsidRPr="005D2E2A">
        <w:rPr>
          <w:rFonts w:asciiTheme="minorHAnsi" w:hAnsiTheme="minorHAnsi"/>
          <w:szCs w:val="22"/>
        </w:rPr>
        <w:t>2019/20</w:t>
      </w:r>
      <w:r>
        <w:rPr>
          <w:rFonts w:asciiTheme="minorHAnsi" w:hAnsiTheme="minorHAnsi"/>
          <w:szCs w:val="22"/>
        </w:rPr>
        <w:t xml:space="preserve"> plan</w:t>
      </w:r>
      <w:r w:rsidRPr="005D2E2A">
        <w:rPr>
          <w:rFonts w:asciiTheme="minorHAnsi" w:hAnsiTheme="minorHAnsi"/>
          <w:szCs w:val="22"/>
        </w:rPr>
        <w:t>, the ownership and accountability for the development and delivery of the projects will be at directorate/locality level, with only a small number of cross cutting schemes m</w:t>
      </w:r>
      <w:r w:rsidR="002E168F">
        <w:rPr>
          <w:rFonts w:asciiTheme="minorHAnsi" w:hAnsiTheme="minorHAnsi"/>
          <w:szCs w:val="22"/>
        </w:rPr>
        <w:t>anaged outside this structure.</w:t>
      </w:r>
    </w:p>
    <w:p w14:paraId="61B1C0F5" w14:textId="77777777" w:rsidR="006F7ED5" w:rsidRDefault="006F7ED5" w:rsidP="005D2E2A">
      <w:pPr>
        <w:rPr>
          <w:rFonts w:asciiTheme="minorHAnsi" w:hAnsiTheme="minorHAnsi"/>
          <w:szCs w:val="22"/>
        </w:rPr>
      </w:pPr>
    </w:p>
    <w:p w14:paraId="61EDB2F9" w14:textId="11967866" w:rsidR="005D2E2A" w:rsidRDefault="005D2E2A" w:rsidP="005D2E2A">
      <w:pPr>
        <w:rPr>
          <w:rFonts w:asciiTheme="minorHAnsi" w:hAnsiTheme="minorHAnsi"/>
          <w:szCs w:val="22"/>
        </w:rPr>
      </w:pPr>
      <w:r w:rsidRPr="005D2E2A">
        <w:rPr>
          <w:rFonts w:asciiTheme="minorHAnsi" w:hAnsiTheme="minorHAnsi"/>
          <w:szCs w:val="22"/>
        </w:rPr>
        <w:t xml:space="preserve">The </w:t>
      </w:r>
      <w:r w:rsidR="00666B2D">
        <w:rPr>
          <w:rFonts w:asciiTheme="minorHAnsi" w:hAnsiTheme="minorHAnsi"/>
          <w:szCs w:val="22"/>
        </w:rPr>
        <w:t>c</w:t>
      </w:r>
      <w:r w:rsidRPr="005D2E2A">
        <w:rPr>
          <w:rFonts w:asciiTheme="minorHAnsi" w:hAnsiTheme="minorHAnsi"/>
          <w:szCs w:val="22"/>
        </w:rPr>
        <w:t>linically and operationally led programme will be supported by a common programme and project approach, provided by the organisations Pro</w:t>
      </w:r>
      <w:r w:rsidR="00666B2D">
        <w:rPr>
          <w:rFonts w:asciiTheme="minorHAnsi" w:hAnsiTheme="minorHAnsi"/>
          <w:szCs w:val="22"/>
        </w:rPr>
        <w:t>gramme Management Office (PMO),</w:t>
      </w:r>
      <w:r w:rsidRPr="005D2E2A">
        <w:rPr>
          <w:rFonts w:asciiTheme="minorHAnsi" w:hAnsiTheme="minorHAnsi"/>
          <w:szCs w:val="22"/>
        </w:rPr>
        <w:t xml:space="preserve"> and will adopt a </w:t>
      </w:r>
      <w:r w:rsidR="00666B2D">
        <w:rPr>
          <w:rFonts w:asciiTheme="minorHAnsi" w:hAnsiTheme="minorHAnsi"/>
          <w:szCs w:val="22"/>
        </w:rPr>
        <w:t>MDT</w:t>
      </w:r>
      <w:r w:rsidRPr="005D2E2A">
        <w:rPr>
          <w:rFonts w:asciiTheme="minorHAnsi" w:hAnsiTheme="minorHAnsi"/>
          <w:szCs w:val="22"/>
        </w:rPr>
        <w:t xml:space="preserve"> model </w:t>
      </w:r>
      <w:r w:rsidR="00666B2D">
        <w:rPr>
          <w:rFonts w:asciiTheme="minorHAnsi" w:hAnsiTheme="minorHAnsi"/>
          <w:szCs w:val="22"/>
        </w:rPr>
        <w:t>including enabling functions drawn from</w:t>
      </w:r>
      <w:r w:rsidRPr="005D2E2A">
        <w:rPr>
          <w:rFonts w:asciiTheme="minorHAnsi" w:hAnsiTheme="minorHAnsi"/>
          <w:szCs w:val="22"/>
        </w:rPr>
        <w:t xml:space="preserve"> Finance, Planning, Informatics, </w:t>
      </w:r>
      <w:r w:rsidR="002E168F">
        <w:rPr>
          <w:rFonts w:asciiTheme="minorHAnsi" w:hAnsiTheme="minorHAnsi"/>
          <w:szCs w:val="22"/>
        </w:rPr>
        <w:t>C</w:t>
      </w:r>
      <w:r w:rsidRPr="005D2E2A">
        <w:rPr>
          <w:rFonts w:asciiTheme="minorHAnsi" w:hAnsiTheme="minorHAnsi"/>
          <w:szCs w:val="22"/>
        </w:rPr>
        <w:t xml:space="preserve">ommunications, ICT, </w:t>
      </w:r>
      <w:r w:rsidR="002E168F">
        <w:rPr>
          <w:rFonts w:asciiTheme="minorHAnsi" w:hAnsiTheme="minorHAnsi"/>
          <w:szCs w:val="22"/>
        </w:rPr>
        <w:t>P</w:t>
      </w:r>
      <w:r w:rsidRPr="005D2E2A">
        <w:rPr>
          <w:rFonts w:asciiTheme="minorHAnsi" w:hAnsiTheme="minorHAnsi"/>
          <w:szCs w:val="22"/>
        </w:rPr>
        <w:t xml:space="preserve">rocurement,  </w:t>
      </w:r>
      <w:r w:rsidR="002E168F">
        <w:rPr>
          <w:rFonts w:asciiTheme="minorHAnsi" w:hAnsiTheme="minorHAnsi"/>
          <w:szCs w:val="22"/>
        </w:rPr>
        <w:t>I</w:t>
      </w:r>
      <w:r w:rsidRPr="005D2E2A">
        <w:rPr>
          <w:rFonts w:asciiTheme="minorHAnsi" w:hAnsiTheme="minorHAnsi"/>
          <w:szCs w:val="22"/>
        </w:rPr>
        <w:t xml:space="preserve">nnovation, </w:t>
      </w:r>
      <w:r w:rsidR="002E168F">
        <w:rPr>
          <w:rFonts w:asciiTheme="minorHAnsi" w:hAnsiTheme="minorHAnsi"/>
          <w:szCs w:val="22"/>
        </w:rPr>
        <w:t>W</w:t>
      </w:r>
      <w:r w:rsidRPr="005D2E2A">
        <w:rPr>
          <w:rFonts w:asciiTheme="minorHAnsi" w:hAnsiTheme="minorHAnsi"/>
          <w:szCs w:val="22"/>
        </w:rPr>
        <w:t>orkforce and R&amp;D.</w:t>
      </w:r>
      <w:r w:rsidR="002E168F">
        <w:rPr>
          <w:rFonts w:asciiTheme="minorHAnsi" w:hAnsiTheme="minorHAnsi"/>
          <w:szCs w:val="22"/>
        </w:rPr>
        <w:t xml:space="preserve"> </w:t>
      </w:r>
      <w:r w:rsidRPr="005D2E2A">
        <w:rPr>
          <w:rFonts w:asciiTheme="minorHAnsi" w:hAnsiTheme="minorHAnsi"/>
          <w:szCs w:val="22"/>
        </w:rPr>
        <w:t xml:space="preserve"> This represents how the CTM Improvement approach will effectively support and del</w:t>
      </w:r>
      <w:r>
        <w:rPr>
          <w:rFonts w:asciiTheme="minorHAnsi" w:hAnsiTheme="minorHAnsi"/>
          <w:szCs w:val="22"/>
        </w:rPr>
        <w:t xml:space="preserve">iver </w:t>
      </w:r>
      <w:r w:rsidRPr="005D2E2A">
        <w:rPr>
          <w:rFonts w:asciiTheme="minorHAnsi" w:hAnsiTheme="minorHAnsi"/>
          <w:szCs w:val="22"/>
        </w:rPr>
        <w:t>the key organisational priorities.  This will ensure the optimisation of scarce resources, provide</w:t>
      </w:r>
      <w:r>
        <w:rPr>
          <w:rFonts w:asciiTheme="minorHAnsi" w:hAnsiTheme="minorHAnsi"/>
          <w:szCs w:val="22"/>
        </w:rPr>
        <w:t xml:space="preserve"> greater control over delivery </w:t>
      </w:r>
      <w:r w:rsidRPr="005D2E2A">
        <w:rPr>
          <w:rFonts w:asciiTheme="minorHAnsi" w:hAnsiTheme="minorHAnsi"/>
          <w:szCs w:val="22"/>
        </w:rPr>
        <w:t>and improve outcomes. </w:t>
      </w:r>
    </w:p>
    <w:p w14:paraId="55884452" w14:textId="77777777" w:rsidR="005D2E2A" w:rsidRDefault="005D2E2A" w:rsidP="005D2E2A">
      <w:pPr>
        <w:rPr>
          <w:rFonts w:asciiTheme="minorHAnsi" w:hAnsiTheme="minorHAnsi"/>
          <w:szCs w:val="22"/>
        </w:rPr>
      </w:pPr>
    </w:p>
    <w:p w14:paraId="4A222E67" w14:textId="76F7EC92" w:rsidR="005D2E2A" w:rsidRPr="005D2E2A" w:rsidRDefault="005D2E2A" w:rsidP="005D2E2A">
      <w:pPr>
        <w:rPr>
          <w:rFonts w:asciiTheme="minorHAnsi" w:hAnsiTheme="minorHAnsi"/>
          <w:szCs w:val="22"/>
        </w:rPr>
      </w:pPr>
      <w:r w:rsidRPr="005D2E2A">
        <w:rPr>
          <w:rFonts w:asciiTheme="minorHAnsi" w:hAnsiTheme="minorHAnsi"/>
          <w:szCs w:val="22"/>
        </w:rPr>
        <w:t>The following table summarises the current programme by category and value.</w:t>
      </w:r>
    </w:p>
    <w:p w14:paraId="1C5AFAD7" w14:textId="0264CE4B" w:rsidR="005D2E2A" w:rsidRPr="005D2E2A" w:rsidRDefault="005D2E2A" w:rsidP="005D2E2A">
      <w:pPr>
        <w:rPr>
          <w:rFonts w:asciiTheme="minorHAnsi" w:hAnsiTheme="minorHAnsi"/>
          <w:szCs w:val="22"/>
        </w:rPr>
      </w:pPr>
      <w:r w:rsidRPr="005D2E2A">
        <w:rPr>
          <w:noProof/>
        </w:rPr>
        <w:drawing>
          <wp:anchor distT="0" distB="0" distL="114300" distR="114300" simplePos="0" relativeHeight="252915712" behindDoc="0" locked="0" layoutInCell="1" allowOverlap="1" wp14:anchorId="693C8026" wp14:editId="7E9AE6D3">
            <wp:simplePos x="0" y="0"/>
            <wp:positionH relativeFrom="margin">
              <wp:posOffset>64135</wp:posOffset>
            </wp:positionH>
            <wp:positionV relativeFrom="paragraph">
              <wp:posOffset>79375</wp:posOffset>
            </wp:positionV>
            <wp:extent cx="4298950" cy="2232025"/>
            <wp:effectExtent l="0" t="0" r="6350" b="0"/>
            <wp:wrapThrough wrapText="bothSides">
              <wp:wrapPolygon edited="0">
                <wp:start x="0" y="0"/>
                <wp:lineTo x="0" y="21385"/>
                <wp:lineTo x="21536" y="21385"/>
                <wp:lineTo x="21536" y="0"/>
                <wp:lineTo x="0" y="0"/>
              </wp:wrapPolygon>
            </wp:wrapThrough>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14:sizeRelH relativeFrom="margin">
              <wp14:pctWidth>0</wp14:pctWidth>
            </wp14:sizeRelH>
            <wp14:sizeRelV relativeFrom="margin">
              <wp14:pctHeight>0</wp14:pctHeight>
            </wp14:sizeRelV>
          </wp:anchor>
        </w:drawing>
      </w:r>
    </w:p>
    <w:p w14:paraId="19BE4A26" w14:textId="7DBECEC8" w:rsidR="005D2E2A" w:rsidRDefault="005D2E2A" w:rsidP="005D2E2A">
      <w:pPr>
        <w:rPr>
          <w:rFonts w:asciiTheme="minorHAnsi" w:hAnsiTheme="minorHAnsi"/>
          <w:szCs w:val="22"/>
        </w:rPr>
      </w:pPr>
    </w:p>
    <w:p w14:paraId="1C0F2959" w14:textId="77777777" w:rsidR="00A040A1" w:rsidRPr="005D2E2A" w:rsidRDefault="00A040A1" w:rsidP="005D2E2A">
      <w:pPr>
        <w:rPr>
          <w:rFonts w:asciiTheme="minorHAnsi" w:hAnsiTheme="minorHAnsi"/>
          <w:szCs w:val="22"/>
        </w:rPr>
      </w:pPr>
    </w:p>
    <w:p w14:paraId="342F4BED" w14:textId="7001F3C8" w:rsidR="005D2E2A" w:rsidRPr="005D2E2A" w:rsidRDefault="005D2E2A" w:rsidP="005D2E2A">
      <w:pPr>
        <w:rPr>
          <w:noProof/>
        </w:rPr>
      </w:pPr>
    </w:p>
    <w:p w14:paraId="15809ED0" w14:textId="665D4AD8" w:rsidR="005D2E2A" w:rsidRPr="005D2E2A" w:rsidRDefault="005D2E2A" w:rsidP="005D2E2A">
      <w:pPr>
        <w:rPr>
          <w:noProof/>
        </w:rPr>
      </w:pPr>
    </w:p>
    <w:p w14:paraId="025951A1" w14:textId="45216F15" w:rsidR="005D2E2A" w:rsidRPr="005D2E2A" w:rsidRDefault="005D2E2A" w:rsidP="005D2E2A">
      <w:pPr>
        <w:rPr>
          <w:rFonts w:asciiTheme="minorHAnsi" w:hAnsiTheme="minorHAnsi"/>
          <w:szCs w:val="22"/>
        </w:rPr>
      </w:pPr>
    </w:p>
    <w:p w14:paraId="379D4C94" w14:textId="35DF9FD1" w:rsidR="005D2E2A" w:rsidRPr="005D2E2A" w:rsidRDefault="005D2E2A" w:rsidP="005D2E2A">
      <w:pPr>
        <w:pStyle w:val="ListParagraph"/>
        <w:spacing w:after="160" w:line="259" w:lineRule="auto"/>
        <w:ind w:left="426"/>
        <w:jc w:val="left"/>
        <w:rPr>
          <w:rFonts w:asciiTheme="minorHAnsi" w:hAnsiTheme="minorHAnsi"/>
          <w:szCs w:val="22"/>
        </w:rPr>
      </w:pPr>
    </w:p>
    <w:p w14:paraId="0E118E73" w14:textId="43DFA23A" w:rsidR="00F33761" w:rsidRDefault="00F33761" w:rsidP="00F33761">
      <w:pPr>
        <w:rPr>
          <w:rFonts w:asciiTheme="minorHAnsi" w:hAnsiTheme="minorHAnsi"/>
          <w:szCs w:val="22"/>
        </w:rPr>
      </w:pPr>
    </w:p>
    <w:p w14:paraId="53277DA0" w14:textId="77777777" w:rsidR="005D2E2A" w:rsidRDefault="005D2E2A" w:rsidP="00F33761">
      <w:pPr>
        <w:rPr>
          <w:rFonts w:asciiTheme="minorHAnsi" w:hAnsiTheme="minorHAnsi"/>
          <w:szCs w:val="22"/>
        </w:rPr>
      </w:pPr>
    </w:p>
    <w:p w14:paraId="456A239D" w14:textId="77777777" w:rsidR="005D2E2A" w:rsidRDefault="005D2E2A" w:rsidP="00F33761">
      <w:pPr>
        <w:rPr>
          <w:rFonts w:asciiTheme="minorHAnsi" w:hAnsiTheme="minorHAnsi"/>
          <w:szCs w:val="22"/>
        </w:rPr>
      </w:pPr>
    </w:p>
    <w:p w14:paraId="13E517E1" w14:textId="77777777" w:rsidR="005D2E2A" w:rsidRDefault="005D2E2A" w:rsidP="00F33761">
      <w:pPr>
        <w:rPr>
          <w:rFonts w:asciiTheme="minorHAnsi" w:hAnsiTheme="minorHAnsi"/>
          <w:szCs w:val="22"/>
        </w:rPr>
      </w:pPr>
    </w:p>
    <w:p w14:paraId="56D1BE0C" w14:textId="77777777" w:rsidR="005D2E2A" w:rsidRDefault="005D2E2A" w:rsidP="00F33761">
      <w:pPr>
        <w:rPr>
          <w:rFonts w:asciiTheme="minorHAnsi" w:hAnsiTheme="minorHAnsi"/>
          <w:szCs w:val="22"/>
        </w:rPr>
      </w:pPr>
    </w:p>
    <w:p w14:paraId="4774ABC0" w14:textId="77777777" w:rsidR="005D2E2A" w:rsidRPr="005D2E2A" w:rsidRDefault="005D2E2A" w:rsidP="00F33761">
      <w:pPr>
        <w:rPr>
          <w:rFonts w:asciiTheme="minorHAnsi" w:hAnsiTheme="minorHAnsi"/>
          <w:szCs w:val="22"/>
        </w:rPr>
      </w:pPr>
    </w:p>
    <w:p w14:paraId="68254FBB" w14:textId="58441E0A" w:rsidR="00B41171" w:rsidRPr="005B44BD" w:rsidRDefault="00B41171" w:rsidP="009F54B8">
      <w:pPr>
        <w:pStyle w:val="Heading2"/>
        <w:rPr>
          <w:rFonts w:asciiTheme="minorHAnsi" w:hAnsiTheme="minorHAnsi"/>
          <w:iCs w:val="0"/>
          <w:szCs w:val="22"/>
        </w:rPr>
      </w:pPr>
      <w:bookmarkStart w:id="123" w:name="_Toc536195565"/>
      <w:bookmarkStart w:id="124" w:name="_Toc29573950"/>
      <w:r w:rsidRPr="005B44BD">
        <w:rPr>
          <w:rFonts w:asciiTheme="minorHAnsi" w:hAnsiTheme="minorHAnsi"/>
          <w:iCs w:val="0"/>
          <w:szCs w:val="22"/>
        </w:rPr>
        <w:lastRenderedPageBreak/>
        <w:t>Performance and Information</w:t>
      </w:r>
      <w:bookmarkEnd w:id="111"/>
      <w:bookmarkEnd w:id="112"/>
      <w:bookmarkEnd w:id="113"/>
      <w:bookmarkEnd w:id="114"/>
      <w:bookmarkEnd w:id="115"/>
      <w:bookmarkEnd w:id="121"/>
      <w:bookmarkEnd w:id="122"/>
      <w:bookmarkEnd w:id="123"/>
      <w:bookmarkEnd w:id="124"/>
    </w:p>
    <w:p w14:paraId="6D258044" w14:textId="77777777" w:rsidR="00DA2A95" w:rsidRPr="005B44BD" w:rsidRDefault="00DA2A95" w:rsidP="00DA2A95">
      <w:pPr>
        <w:pStyle w:val="Heading3"/>
        <w:rPr>
          <w:szCs w:val="22"/>
        </w:rPr>
      </w:pPr>
      <w:bookmarkStart w:id="125" w:name="_Toc473290327"/>
      <w:bookmarkStart w:id="126" w:name="_Toc441757247"/>
      <w:bookmarkStart w:id="127" w:name="_Toc447195652"/>
      <w:bookmarkStart w:id="128" w:name="_Toc471830002"/>
      <w:bookmarkStart w:id="129" w:name="_Toc473290328"/>
      <w:bookmarkStart w:id="130" w:name="_Toc478738535"/>
      <w:r w:rsidRPr="005B44BD">
        <w:rPr>
          <w:szCs w:val="22"/>
        </w:rPr>
        <w:t xml:space="preserve">Performance </w:t>
      </w:r>
    </w:p>
    <w:p w14:paraId="3008BF05" w14:textId="77777777" w:rsidR="001023D0" w:rsidRDefault="001023D0" w:rsidP="001023D0">
      <w:pPr>
        <w:rPr>
          <w:rFonts w:cs="Times New Roman"/>
          <w:szCs w:val="22"/>
        </w:rPr>
      </w:pPr>
      <w:r>
        <w:t>Whilst the 36 week target for RTT times was met for CTMUHB at the end of March 2019, with the Bridgend figure of 844 slightly above the position profiled by ABMU, the events of this year has put us in a very different position on a number of key target areas, with RTT performance in particular decreasing significantly.  There were 367 patients out of the 844 that were waiting in excess of 52 weeks.  The combined 26 week compliance for March 2019 was 89.7%, with the compliance at Cwm Taf being 91.6%.  Both the 8 week diagnostic target and 14 week therapy target were met in Bridgend, with Cwm Taf achieving the therapy target, but having 27 patients waiting over 8 weeks for diagnostic intervention.</w:t>
      </w:r>
    </w:p>
    <w:p w14:paraId="5A94FEFA" w14:textId="77777777" w:rsidR="001023D0" w:rsidRDefault="001023D0" w:rsidP="001023D0"/>
    <w:p w14:paraId="2106A6B2" w14:textId="77777777" w:rsidR="001023D0" w:rsidRDefault="001023D0" w:rsidP="001023D0">
      <w:r>
        <w:t>However, the events that have occurred have highlighted the fragility of both the extant solutions to elective waiting time targets, as well as the staffing capacity in place to mitigate risks in the delivery of unscheduled care.  The implications of HMRC initiated changes has significantly reduced the number of consultants prepared to backfill theatre sessions to deliver extra activity changes and undertake waiting list initiative activity.  Only recently, the only substantive A&amp;E consultant at RGH handed in their notice, increasing further the urgent need to review the delivery of unscheduled care within the UHB.  As has been the case for a number of years, the most significant cost pressure faced by the UHB is the scale of agency/locum expenditure.</w:t>
      </w:r>
    </w:p>
    <w:p w14:paraId="1735C765" w14:textId="77777777" w:rsidR="001023D0" w:rsidRDefault="001023D0" w:rsidP="001023D0"/>
    <w:p w14:paraId="052F212C" w14:textId="77777777" w:rsidR="001023D0" w:rsidRDefault="001023D0" w:rsidP="001023D0">
      <w:r>
        <w:t>Staffing challenges also exist in Radiology, where demand outstrips capacity in areas such as Non-Obstetric Ultrasound on a monthly basis, where additional clinical sessions continue to be the extant solution.  Whilst there is a balanced approach in Ultrasound services across Obstetrics, cancer, consultant and GP referrals, the substantive staff can deliver only so much per month and this is before we see the impact from the implementation of the Single Cancer Pathway.  It remains the case however that the fragility of the Urology service continues to adversely affect the UHBs overall compliance against the Cancer targets, in addition to the afore-mentioned Radiology challenges.</w:t>
      </w:r>
    </w:p>
    <w:p w14:paraId="7C18404A" w14:textId="77777777" w:rsidR="001023D0" w:rsidRDefault="001023D0" w:rsidP="001023D0"/>
    <w:p w14:paraId="496756A3" w14:textId="77777777" w:rsidR="001023D0" w:rsidRDefault="001023D0" w:rsidP="001023D0">
      <w:r>
        <w:t>Data governance issues have now been exposed and as a consequence, the UHB has established a group to ensure a sustainable response to interventions that will focus on the following three areas: Harm Review, Compliance and Training.  In addition, a revised Standard Operating Procedure for Waiting List Management has been issued and a transparent daily reporting process that shows all patients waiting for all elective services, regardless of their official WG reporting status has been operational since November.  This work continues to be supported by the DU.</w:t>
      </w:r>
    </w:p>
    <w:p w14:paraId="1C737984" w14:textId="77777777" w:rsidR="001023D0" w:rsidRDefault="001023D0" w:rsidP="001023D0"/>
    <w:p w14:paraId="15098FAD" w14:textId="77777777" w:rsidR="001023D0" w:rsidRDefault="001023D0" w:rsidP="001023D0">
      <w:r>
        <w:t>There have been numerous delays to realising robust and reliable data flows from SBUHB, in light of the fact that Bridgend hospitals continue to use their Patient Administration System.  A daily flow of waiting list has now been delivered, but not in a timely manner that allows a consistent approach to waiting list management across the UHB.  In addition, there are a number of other data flows needing to be established.  This is hampering the UHBs ability to deliver across the organisation as a whole.</w:t>
      </w:r>
    </w:p>
    <w:p w14:paraId="2AD9A7B5" w14:textId="77777777" w:rsidR="001023D0" w:rsidRDefault="001023D0" w:rsidP="001023D0"/>
    <w:p w14:paraId="7B0385A5" w14:textId="77777777" w:rsidR="001023D0" w:rsidRDefault="001023D0" w:rsidP="001023D0">
      <w:r>
        <w:t xml:space="preserve">The table in </w:t>
      </w:r>
      <w:r>
        <w:rPr>
          <w:b/>
          <w:bCs/>
        </w:rPr>
        <w:t>Annex C1</w:t>
      </w:r>
      <w:r>
        <w:t xml:space="preserve"> shows the profiled performance that we will be aiming for as a UHB over the next 12 months, as we strive for improvement in our service provision.  These are based on what continue to be outturn projections for March 2020.  Significant strides have been made on development of performance data in recent years and the Integrated Performance Dashboard continues to be developed to incorporate data covering the whole of CTMUHB.</w:t>
      </w:r>
    </w:p>
    <w:p w14:paraId="512B024D" w14:textId="77777777" w:rsidR="001023D0" w:rsidRDefault="001023D0" w:rsidP="001023D0"/>
    <w:p w14:paraId="50E14AE9" w14:textId="3F162025" w:rsidR="00DA2A95" w:rsidRPr="00B3025B" w:rsidRDefault="001023D0" w:rsidP="00DA2A95">
      <w:pPr>
        <w:rPr>
          <w:rFonts w:asciiTheme="minorHAnsi" w:hAnsiTheme="minorHAnsi"/>
          <w:szCs w:val="22"/>
        </w:rPr>
      </w:pPr>
      <w:r>
        <w:t>Our ambition continues to be to have balanced D&amp;C plans where demand is met from internal core capacity, a component of which is provided on a Regional basis.  The organisation will however continue to make use of outsourcing opportunities where internal solutions to D&amp;C gaps is not enough to meet the demand, though clearly given the fragility of long standing capacity solutions, a more sustainable approach has to be developed for the future.</w:t>
      </w:r>
    </w:p>
    <w:p w14:paraId="6E03B1A5" w14:textId="77777777" w:rsidR="00DA2A95" w:rsidRPr="005B44BD" w:rsidRDefault="00DA2A95" w:rsidP="00DA2A95">
      <w:pPr>
        <w:pStyle w:val="Heading3"/>
        <w:rPr>
          <w:szCs w:val="22"/>
        </w:rPr>
      </w:pPr>
      <w:r w:rsidRPr="005B44BD">
        <w:rPr>
          <w:szCs w:val="22"/>
        </w:rPr>
        <w:lastRenderedPageBreak/>
        <w:t>Demand and Capacity Profiles</w:t>
      </w:r>
    </w:p>
    <w:p w14:paraId="1EC30174" w14:textId="1FD8B83A" w:rsidR="00DA2A95" w:rsidRDefault="00DA2A95" w:rsidP="00DA2A95">
      <w:pPr>
        <w:rPr>
          <w:rFonts w:asciiTheme="minorHAnsi" w:hAnsiTheme="minorHAnsi"/>
          <w:szCs w:val="22"/>
        </w:rPr>
      </w:pPr>
      <w:r>
        <w:rPr>
          <w:rFonts w:asciiTheme="minorHAnsi" w:hAnsiTheme="minorHAnsi"/>
          <w:szCs w:val="22"/>
        </w:rPr>
        <w:t xml:space="preserve">This year we are adopting the same consistent approach to </w:t>
      </w:r>
      <w:r w:rsidR="006A0E07">
        <w:rPr>
          <w:rFonts w:asciiTheme="minorHAnsi" w:hAnsiTheme="minorHAnsi"/>
          <w:szCs w:val="22"/>
        </w:rPr>
        <w:t>D&amp;C</w:t>
      </w:r>
      <w:r>
        <w:rPr>
          <w:rFonts w:asciiTheme="minorHAnsi" w:hAnsiTheme="minorHAnsi"/>
          <w:szCs w:val="22"/>
        </w:rPr>
        <w:t xml:space="preserve"> across all hospitals, making use of data from the Swansea Bay </w:t>
      </w:r>
      <w:r w:rsidR="00026E19">
        <w:rPr>
          <w:rFonts w:asciiTheme="minorHAnsi" w:hAnsiTheme="minorHAnsi"/>
          <w:szCs w:val="22"/>
        </w:rPr>
        <w:t>Welsh Patient Administration System (</w:t>
      </w:r>
      <w:r>
        <w:rPr>
          <w:rFonts w:asciiTheme="minorHAnsi" w:hAnsiTheme="minorHAnsi"/>
          <w:szCs w:val="22"/>
        </w:rPr>
        <w:t>WPAS</w:t>
      </w:r>
      <w:r w:rsidR="00026E19">
        <w:rPr>
          <w:rFonts w:asciiTheme="minorHAnsi" w:hAnsiTheme="minorHAnsi"/>
          <w:szCs w:val="22"/>
        </w:rPr>
        <w:t>)</w:t>
      </w:r>
      <w:r>
        <w:rPr>
          <w:rFonts w:asciiTheme="minorHAnsi" w:hAnsiTheme="minorHAnsi"/>
          <w:szCs w:val="22"/>
        </w:rPr>
        <w:t xml:space="preserve"> for </w:t>
      </w:r>
      <w:r w:rsidR="00E32360">
        <w:rPr>
          <w:rFonts w:asciiTheme="minorHAnsi" w:hAnsiTheme="minorHAnsi"/>
          <w:szCs w:val="22"/>
        </w:rPr>
        <w:t>POWH</w:t>
      </w:r>
      <w:r>
        <w:rPr>
          <w:rFonts w:asciiTheme="minorHAnsi" w:hAnsiTheme="minorHAnsi"/>
          <w:szCs w:val="22"/>
        </w:rPr>
        <w:t xml:space="preserve">.  This continues to be a challenge, given that a robust data flow has yet to be established. </w:t>
      </w:r>
      <w:r w:rsidR="00273B7E">
        <w:rPr>
          <w:rFonts w:asciiTheme="minorHAnsi" w:hAnsiTheme="minorHAnsi"/>
          <w:szCs w:val="22"/>
        </w:rPr>
        <w:t xml:space="preserve"> </w:t>
      </w:r>
      <w:r>
        <w:rPr>
          <w:rFonts w:asciiTheme="minorHAnsi" w:hAnsiTheme="minorHAnsi"/>
          <w:szCs w:val="22"/>
        </w:rPr>
        <w:t>Our approach has been enhanced this year, though crucially it continues to have a direct link between activity and job planning.  The latest iteration of our models include:</w:t>
      </w:r>
    </w:p>
    <w:p w14:paraId="49F1EA1B" w14:textId="77777777" w:rsidR="00DA2A95" w:rsidRDefault="00DA2A95" w:rsidP="00F60A35">
      <w:pPr>
        <w:pStyle w:val="ListParagraph"/>
        <w:numPr>
          <w:ilvl w:val="0"/>
          <w:numId w:val="41"/>
        </w:numPr>
        <w:ind w:left="720"/>
        <w:rPr>
          <w:rFonts w:asciiTheme="minorHAnsi" w:hAnsiTheme="minorHAnsi"/>
          <w:szCs w:val="22"/>
        </w:rPr>
      </w:pPr>
      <w:r>
        <w:rPr>
          <w:rFonts w:asciiTheme="minorHAnsi" w:hAnsiTheme="minorHAnsi"/>
          <w:szCs w:val="22"/>
        </w:rPr>
        <w:t xml:space="preserve">Outpatient </w:t>
      </w:r>
      <w:r w:rsidRPr="00322E8C">
        <w:rPr>
          <w:rFonts w:asciiTheme="minorHAnsi" w:hAnsiTheme="minorHAnsi"/>
          <w:szCs w:val="22"/>
        </w:rPr>
        <w:t xml:space="preserve">and Theatre </w:t>
      </w:r>
      <w:r>
        <w:rPr>
          <w:rFonts w:asciiTheme="minorHAnsi" w:hAnsiTheme="minorHAnsi"/>
          <w:szCs w:val="22"/>
        </w:rPr>
        <w:t>elements</w:t>
      </w:r>
      <w:r w:rsidRPr="00322E8C">
        <w:rPr>
          <w:rFonts w:asciiTheme="minorHAnsi" w:hAnsiTheme="minorHAnsi"/>
          <w:szCs w:val="22"/>
        </w:rPr>
        <w:t xml:space="preserve"> have been </w:t>
      </w:r>
      <w:r>
        <w:rPr>
          <w:rFonts w:asciiTheme="minorHAnsi" w:hAnsiTheme="minorHAnsi"/>
          <w:szCs w:val="22"/>
        </w:rPr>
        <w:t xml:space="preserve">integrated </w:t>
      </w:r>
      <w:r w:rsidRPr="00322E8C">
        <w:rPr>
          <w:rFonts w:asciiTheme="minorHAnsi" w:hAnsiTheme="minorHAnsi"/>
          <w:szCs w:val="22"/>
        </w:rPr>
        <w:t>into a single model</w:t>
      </w:r>
    </w:p>
    <w:p w14:paraId="60AEE1CD" w14:textId="77777777" w:rsidR="00DA2A95" w:rsidRDefault="00DA2A95" w:rsidP="00F60A35">
      <w:pPr>
        <w:pStyle w:val="ListParagraph"/>
        <w:numPr>
          <w:ilvl w:val="0"/>
          <w:numId w:val="41"/>
        </w:numPr>
        <w:ind w:left="720"/>
        <w:rPr>
          <w:rFonts w:asciiTheme="minorHAnsi" w:hAnsiTheme="minorHAnsi"/>
          <w:szCs w:val="22"/>
        </w:rPr>
      </w:pPr>
      <w:r w:rsidRPr="00322E8C">
        <w:rPr>
          <w:rFonts w:asciiTheme="minorHAnsi" w:hAnsiTheme="minorHAnsi"/>
          <w:szCs w:val="22"/>
        </w:rPr>
        <w:t>Each Speciality has individual plans for</w:t>
      </w:r>
      <w:r>
        <w:rPr>
          <w:rFonts w:asciiTheme="minorHAnsi" w:hAnsiTheme="minorHAnsi"/>
          <w:szCs w:val="22"/>
        </w:rPr>
        <w:t xml:space="preserve"> hospital sites and s</w:t>
      </w:r>
      <w:r w:rsidRPr="00322E8C">
        <w:rPr>
          <w:rFonts w:asciiTheme="minorHAnsi" w:hAnsiTheme="minorHAnsi"/>
          <w:szCs w:val="22"/>
        </w:rPr>
        <w:t>ervices</w:t>
      </w:r>
    </w:p>
    <w:p w14:paraId="30196711" w14:textId="77777777" w:rsidR="00DA2A95" w:rsidRDefault="00DA2A95" w:rsidP="00F60A35">
      <w:pPr>
        <w:pStyle w:val="ListParagraph"/>
        <w:numPr>
          <w:ilvl w:val="0"/>
          <w:numId w:val="41"/>
        </w:numPr>
        <w:ind w:left="720"/>
        <w:rPr>
          <w:rFonts w:asciiTheme="minorHAnsi" w:hAnsiTheme="minorHAnsi"/>
          <w:szCs w:val="22"/>
        </w:rPr>
      </w:pPr>
      <w:r w:rsidRPr="00322E8C">
        <w:rPr>
          <w:rFonts w:asciiTheme="minorHAnsi" w:hAnsiTheme="minorHAnsi"/>
          <w:szCs w:val="22"/>
        </w:rPr>
        <w:t xml:space="preserve">Theatre Demand is calculated as a function of conversion from OP instead of the derived demand used in </w:t>
      </w:r>
      <w:r>
        <w:rPr>
          <w:rFonts w:asciiTheme="minorHAnsi" w:hAnsiTheme="minorHAnsi"/>
          <w:szCs w:val="22"/>
        </w:rPr>
        <w:t>earlier iterations</w:t>
      </w:r>
      <w:r w:rsidRPr="00322E8C">
        <w:rPr>
          <w:rFonts w:asciiTheme="minorHAnsi" w:hAnsiTheme="minorHAnsi"/>
          <w:szCs w:val="22"/>
        </w:rPr>
        <w:t>.</w:t>
      </w:r>
    </w:p>
    <w:p w14:paraId="5993B8BD" w14:textId="77777777" w:rsidR="00DA2A95" w:rsidRDefault="00DA2A95" w:rsidP="00F60A35">
      <w:pPr>
        <w:pStyle w:val="ListParagraph"/>
        <w:numPr>
          <w:ilvl w:val="0"/>
          <w:numId w:val="41"/>
        </w:numPr>
        <w:ind w:left="720"/>
        <w:rPr>
          <w:rFonts w:asciiTheme="minorHAnsi" w:hAnsiTheme="minorHAnsi"/>
          <w:szCs w:val="22"/>
        </w:rPr>
      </w:pPr>
      <w:r>
        <w:rPr>
          <w:rFonts w:asciiTheme="minorHAnsi" w:hAnsiTheme="minorHAnsi"/>
          <w:szCs w:val="22"/>
        </w:rPr>
        <w:t xml:space="preserve">A section has been added </w:t>
      </w:r>
      <w:r w:rsidRPr="00322E8C">
        <w:rPr>
          <w:rFonts w:asciiTheme="minorHAnsi" w:hAnsiTheme="minorHAnsi"/>
          <w:szCs w:val="22"/>
        </w:rPr>
        <w:t>to allow for backlog reduction and additional FUNB work</w:t>
      </w:r>
      <w:r>
        <w:rPr>
          <w:rFonts w:asciiTheme="minorHAnsi" w:hAnsiTheme="minorHAnsi"/>
          <w:szCs w:val="22"/>
        </w:rPr>
        <w:t xml:space="preserve"> in order to allow Directorates to </w:t>
      </w:r>
      <w:r w:rsidRPr="00322E8C">
        <w:rPr>
          <w:rFonts w:asciiTheme="minorHAnsi" w:hAnsiTheme="minorHAnsi"/>
          <w:szCs w:val="22"/>
        </w:rPr>
        <w:t xml:space="preserve">add in the additional demand that these areas may generate </w:t>
      </w:r>
      <w:r>
        <w:rPr>
          <w:rFonts w:asciiTheme="minorHAnsi" w:hAnsiTheme="minorHAnsi"/>
          <w:szCs w:val="22"/>
        </w:rPr>
        <w:t>through specific initiatives</w:t>
      </w:r>
    </w:p>
    <w:p w14:paraId="1D49C626" w14:textId="285B2FBA" w:rsidR="00A4414D" w:rsidRPr="00BF4C11" w:rsidRDefault="00DA2A95" w:rsidP="00F60A35">
      <w:pPr>
        <w:pStyle w:val="ListParagraph"/>
        <w:numPr>
          <w:ilvl w:val="0"/>
          <w:numId w:val="41"/>
        </w:numPr>
        <w:ind w:left="720"/>
        <w:rPr>
          <w:rFonts w:asciiTheme="minorHAnsi" w:hAnsiTheme="minorHAnsi"/>
          <w:szCs w:val="22"/>
        </w:rPr>
      </w:pPr>
      <w:r>
        <w:rPr>
          <w:rFonts w:asciiTheme="minorHAnsi" w:hAnsiTheme="minorHAnsi"/>
          <w:szCs w:val="22"/>
        </w:rPr>
        <w:t>Additional summary functionality to facilitate scrutiny and assessment of plans</w:t>
      </w:r>
    </w:p>
    <w:p w14:paraId="06F93249" w14:textId="4772C95B" w:rsidR="00AB1969" w:rsidRPr="005B44BD" w:rsidRDefault="00E1248C" w:rsidP="00E1248C">
      <w:pPr>
        <w:pStyle w:val="Heading2"/>
        <w:rPr>
          <w:szCs w:val="22"/>
        </w:rPr>
      </w:pPr>
      <w:bookmarkStart w:id="131" w:name="_Toc441757248"/>
      <w:bookmarkStart w:id="132" w:name="_Toc447195653"/>
      <w:bookmarkStart w:id="133" w:name="_Toc471830032"/>
      <w:bookmarkStart w:id="134" w:name="_Toc473290357"/>
      <w:bookmarkStart w:id="135" w:name="_Toc478738537"/>
      <w:bookmarkStart w:id="136" w:name="_Toc532299685"/>
      <w:bookmarkStart w:id="137" w:name="_Toc532464009"/>
      <w:bookmarkStart w:id="138" w:name="_Toc536195566"/>
      <w:bookmarkStart w:id="139" w:name="_Toc29573951"/>
      <w:bookmarkEnd w:id="116"/>
      <w:bookmarkEnd w:id="125"/>
      <w:bookmarkEnd w:id="126"/>
      <w:bookmarkEnd w:id="127"/>
      <w:bookmarkEnd w:id="128"/>
      <w:bookmarkEnd w:id="129"/>
      <w:bookmarkEnd w:id="130"/>
      <w:r w:rsidRPr="005B44BD">
        <w:rPr>
          <w:rFonts w:asciiTheme="minorHAnsi" w:hAnsiTheme="minorHAnsi"/>
          <w:szCs w:val="22"/>
        </w:rPr>
        <w:t>E</w:t>
      </w:r>
      <w:r w:rsidR="00AB1969" w:rsidRPr="005B44BD">
        <w:rPr>
          <w:szCs w:val="22"/>
        </w:rPr>
        <w:t xml:space="preserve">nsuring Integration with Our </w:t>
      </w:r>
      <w:r w:rsidR="005472C7" w:rsidRPr="005B44BD">
        <w:rPr>
          <w:szCs w:val="22"/>
        </w:rPr>
        <w:t xml:space="preserve">Partners’ </w:t>
      </w:r>
      <w:r w:rsidR="00AB1969" w:rsidRPr="005B44BD">
        <w:rPr>
          <w:szCs w:val="22"/>
        </w:rPr>
        <w:t>Plans</w:t>
      </w:r>
      <w:bookmarkEnd w:id="131"/>
      <w:bookmarkEnd w:id="132"/>
      <w:bookmarkEnd w:id="133"/>
      <w:bookmarkEnd w:id="134"/>
      <w:bookmarkEnd w:id="135"/>
      <w:bookmarkEnd w:id="136"/>
      <w:bookmarkEnd w:id="137"/>
      <w:bookmarkEnd w:id="138"/>
      <w:bookmarkEnd w:id="139"/>
      <w:r w:rsidR="00AB1969" w:rsidRPr="005B44BD">
        <w:rPr>
          <w:szCs w:val="22"/>
        </w:rPr>
        <w:t xml:space="preserve"> </w:t>
      </w:r>
    </w:p>
    <w:p w14:paraId="2E7AE204" w14:textId="5F5BA3BE" w:rsidR="0006267A" w:rsidRPr="005913B0" w:rsidRDefault="0006267A" w:rsidP="0006267A">
      <w:pPr>
        <w:rPr>
          <w:color w:val="000000" w:themeColor="text1"/>
          <w:szCs w:val="22"/>
        </w:rPr>
      </w:pPr>
      <w:r w:rsidRPr="005913B0">
        <w:rPr>
          <w:color w:val="000000" w:themeColor="text1"/>
          <w:szCs w:val="22"/>
        </w:rPr>
        <w:t xml:space="preserve">In developing our Plan, we </w:t>
      </w:r>
      <w:r w:rsidR="00FD79F9" w:rsidRPr="005913B0">
        <w:rPr>
          <w:color w:val="000000" w:themeColor="text1"/>
          <w:szCs w:val="22"/>
        </w:rPr>
        <w:t xml:space="preserve">are </w:t>
      </w:r>
      <w:r w:rsidRPr="005913B0">
        <w:rPr>
          <w:color w:val="000000" w:themeColor="text1"/>
          <w:szCs w:val="22"/>
        </w:rPr>
        <w:t xml:space="preserve">mindful of ensuring these </w:t>
      </w:r>
      <w:r w:rsidR="00FA3A1E" w:rsidRPr="005913B0">
        <w:rPr>
          <w:color w:val="000000" w:themeColor="text1"/>
          <w:szCs w:val="22"/>
        </w:rPr>
        <w:t>integrate effectively with the</w:t>
      </w:r>
      <w:r w:rsidRPr="005913B0">
        <w:rPr>
          <w:color w:val="000000" w:themeColor="text1"/>
          <w:szCs w:val="22"/>
        </w:rPr>
        <w:t xml:space="preserve"> s</w:t>
      </w:r>
      <w:r w:rsidR="00064505" w:rsidRPr="005913B0">
        <w:rPr>
          <w:color w:val="000000" w:themeColor="text1"/>
          <w:szCs w:val="22"/>
        </w:rPr>
        <w:t>trategic plans of our partners</w:t>
      </w:r>
      <w:r w:rsidR="00CB03EC" w:rsidRPr="005913B0">
        <w:rPr>
          <w:color w:val="000000" w:themeColor="text1"/>
          <w:szCs w:val="22"/>
        </w:rPr>
        <w:t xml:space="preserve">.  </w:t>
      </w:r>
      <w:r w:rsidR="001E201E" w:rsidRPr="005913B0">
        <w:rPr>
          <w:color w:val="000000" w:themeColor="text1"/>
          <w:szCs w:val="22"/>
        </w:rPr>
        <w:t>We</w:t>
      </w:r>
      <w:r w:rsidRPr="005913B0">
        <w:rPr>
          <w:color w:val="000000" w:themeColor="text1"/>
          <w:szCs w:val="22"/>
        </w:rPr>
        <w:t xml:space="preserve"> have actively shared our emergent </w:t>
      </w:r>
      <w:r w:rsidR="00FC4E16" w:rsidRPr="005913B0">
        <w:rPr>
          <w:color w:val="000000" w:themeColor="text1"/>
          <w:szCs w:val="22"/>
        </w:rPr>
        <w:t>planning priorities with our partners</w:t>
      </w:r>
      <w:r w:rsidR="001E201E" w:rsidRPr="005913B0">
        <w:rPr>
          <w:color w:val="000000" w:themeColor="text1"/>
          <w:szCs w:val="22"/>
        </w:rPr>
        <w:t xml:space="preserve">, which </w:t>
      </w:r>
      <w:r w:rsidR="00FC4E16" w:rsidRPr="005913B0">
        <w:rPr>
          <w:color w:val="000000" w:themeColor="text1"/>
          <w:szCs w:val="22"/>
        </w:rPr>
        <w:t xml:space="preserve">has been undertaken through discussion and </w:t>
      </w:r>
      <w:r w:rsidR="001E201E" w:rsidRPr="005913B0">
        <w:rPr>
          <w:color w:val="000000" w:themeColor="text1"/>
          <w:szCs w:val="22"/>
        </w:rPr>
        <w:t>correspondence</w:t>
      </w:r>
      <w:r w:rsidR="00FC4E16" w:rsidRPr="005913B0">
        <w:rPr>
          <w:color w:val="000000" w:themeColor="text1"/>
          <w:szCs w:val="22"/>
        </w:rPr>
        <w:t>.</w:t>
      </w:r>
      <w:r w:rsidR="00B57A37" w:rsidRPr="005913B0">
        <w:rPr>
          <w:color w:val="000000" w:themeColor="text1"/>
          <w:szCs w:val="22"/>
        </w:rPr>
        <w:t xml:space="preserve">  </w:t>
      </w:r>
      <w:r w:rsidRPr="005913B0">
        <w:rPr>
          <w:color w:val="000000" w:themeColor="text1"/>
          <w:szCs w:val="22"/>
        </w:rPr>
        <w:t>The following provides a short summary of some of the key areas of interface</w:t>
      </w:r>
      <w:r w:rsidR="00FD79F9" w:rsidRPr="005913B0">
        <w:rPr>
          <w:color w:val="000000" w:themeColor="text1"/>
          <w:szCs w:val="22"/>
        </w:rPr>
        <w:t xml:space="preserve"> with NHS Partners</w:t>
      </w:r>
      <w:r w:rsidRPr="005913B0">
        <w:rPr>
          <w:color w:val="000000" w:themeColor="text1"/>
          <w:szCs w:val="22"/>
        </w:rPr>
        <w:t>.</w:t>
      </w:r>
    </w:p>
    <w:p w14:paraId="408DE882" w14:textId="50C80995" w:rsidR="0006267A" w:rsidRPr="005B44BD" w:rsidRDefault="0006267A" w:rsidP="00264363">
      <w:pPr>
        <w:pStyle w:val="Heading3"/>
        <w:rPr>
          <w:szCs w:val="22"/>
        </w:rPr>
      </w:pPr>
      <w:bookmarkStart w:id="140" w:name="_Toc471830033"/>
      <w:bookmarkStart w:id="141" w:name="_Toc473290358"/>
      <w:bookmarkStart w:id="142" w:name="_Toc532464010"/>
      <w:r w:rsidRPr="005B44BD">
        <w:rPr>
          <w:szCs w:val="22"/>
        </w:rPr>
        <w:t xml:space="preserve">Velindre </w:t>
      </w:r>
      <w:r w:rsidR="00E334A5">
        <w:rPr>
          <w:szCs w:val="22"/>
        </w:rPr>
        <w:t xml:space="preserve">University </w:t>
      </w:r>
      <w:r w:rsidRPr="005B44BD">
        <w:rPr>
          <w:szCs w:val="22"/>
        </w:rPr>
        <w:t>NHS Trust</w:t>
      </w:r>
      <w:bookmarkEnd w:id="140"/>
      <w:bookmarkEnd w:id="141"/>
      <w:bookmarkEnd w:id="142"/>
    </w:p>
    <w:p w14:paraId="78B48252" w14:textId="7C457DB5" w:rsidR="006D43E6" w:rsidRPr="00E334A5" w:rsidRDefault="006D43E6" w:rsidP="006D43E6">
      <w:pPr>
        <w:rPr>
          <w:rFonts w:asciiTheme="minorHAnsi" w:hAnsiTheme="minorHAnsi"/>
          <w:color w:val="943634" w:themeColor="accent2" w:themeShade="BF"/>
          <w:szCs w:val="22"/>
        </w:rPr>
      </w:pPr>
      <w:r w:rsidRPr="002627D6">
        <w:rPr>
          <w:rFonts w:asciiTheme="minorHAnsi" w:hAnsiTheme="minorHAnsi"/>
          <w:szCs w:val="22"/>
        </w:rPr>
        <w:t>The Welsh Blood Service</w:t>
      </w:r>
      <w:r w:rsidR="00722624">
        <w:rPr>
          <w:rFonts w:asciiTheme="minorHAnsi" w:hAnsiTheme="minorHAnsi"/>
          <w:szCs w:val="22"/>
        </w:rPr>
        <w:t xml:space="preserve">, hosted by Velindre, </w:t>
      </w:r>
      <w:r w:rsidRPr="002627D6">
        <w:rPr>
          <w:rFonts w:asciiTheme="minorHAnsi" w:hAnsiTheme="minorHAnsi"/>
          <w:szCs w:val="22"/>
        </w:rPr>
        <w:t xml:space="preserve"> plays a fundamental role in the delivery of health care.  The service works to provide blood services, which allow patients to improve the quality of their life, and saves the lives of many people every year.</w:t>
      </w:r>
      <w:r w:rsidR="00AB0CA2" w:rsidRPr="002627D6">
        <w:rPr>
          <w:rFonts w:asciiTheme="minorHAnsi" w:hAnsiTheme="minorHAnsi"/>
          <w:szCs w:val="22"/>
        </w:rPr>
        <w:t xml:space="preserve">  Through the national </w:t>
      </w:r>
      <w:r w:rsidR="00722624">
        <w:rPr>
          <w:rStyle w:val="Hyperlink"/>
          <w:rFonts w:asciiTheme="minorHAnsi" w:hAnsiTheme="minorHAnsi" w:cs="Tahoma"/>
          <w:color w:val="auto"/>
          <w:szCs w:val="22"/>
        </w:rPr>
        <w:t xml:space="preserve"> </w:t>
      </w:r>
      <w:hyperlink r:id="rId78" w:history="1">
        <w:r w:rsidR="00722624" w:rsidRPr="00722624">
          <w:rPr>
            <w:rStyle w:val="Hyperlink"/>
            <w:rFonts w:asciiTheme="minorHAnsi" w:hAnsiTheme="minorHAnsi" w:cs="Tahoma"/>
            <w:szCs w:val="22"/>
          </w:rPr>
          <w:t>Blood Health Plan</w:t>
        </w:r>
      </w:hyperlink>
      <w:r w:rsidR="00B57A37" w:rsidRPr="002627D6">
        <w:rPr>
          <w:rFonts w:asciiTheme="minorHAnsi" w:hAnsiTheme="minorHAnsi"/>
          <w:szCs w:val="22"/>
        </w:rPr>
        <w:t xml:space="preserve">, </w:t>
      </w:r>
      <w:r w:rsidR="00722624">
        <w:rPr>
          <w:szCs w:val="22"/>
        </w:rPr>
        <w:t>WBS</w:t>
      </w:r>
      <w:r w:rsidR="00722624" w:rsidRPr="002627D6">
        <w:rPr>
          <w:szCs w:val="22"/>
        </w:rPr>
        <w:t xml:space="preserve"> </w:t>
      </w:r>
      <w:r w:rsidR="00B57A37" w:rsidRPr="002627D6">
        <w:rPr>
          <w:szCs w:val="22"/>
        </w:rPr>
        <w:t xml:space="preserve">are focusing activity on using tools to make appropriate use of type O negative blood and reduce errors in the </w:t>
      </w:r>
      <w:r w:rsidR="00C577D1" w:rsidRPr="002627D6">
        <w:rPr>
          <w:szCs w:val="22"/>
        </w:rPr>
        <w:t>mis</w:t>
      </w:r>
      <w:r w:rsidR="00B57A37" w:rsidRPr="002627D6">
        <w:rPr>
          <w:szCs w:val="22"/>
        </w:rPr>
        <w:t>-identification of patients to improve transfusion practice.</w:t>
      </w:r>
      <w:r w:rsidR="00E334A5">
        <w:rPr>
          <w:szCs w:val="22"/>
        </w:rPr>
        <w:t xml:space="preserve"> </w:t>
      </w:r>
    </w:p>
    <w:p w14:paraId="3FF86DBD" w14:textId="77777777" w:rsidR="006D43E6" w:rsidRPr="00CA53D6" w:rsidRDefault="006D43E6" w:rsidP="006D43E6">
      <w:pPr>
        <w:rPr>
          <w:rFonts w:asciiTheme="minorHAnsi" w:hAnsiTheme="minorHAnsi"/>
          <w:szCs w:val="22"/>
        </w:rPr>
      </w:pPr>
    </w:p>
    <w:p w14:paraId="799B764B" w14:textId="0226B160" w:rsidR="00E334A5" w:rsidRPr="00E334A5" w:rsidRDefault="006D43E6" w:rsidP="00E334A5">
      <w:pPr>
        <w:rPr>
          <w:rFonts w:asciiTheme="minorHAnsi" w:hAnsiTheme="minorHAnsi"/>
          <w:szCs w:val="22"/>
        </w:rPr>
      </w:pPr>
      <w:r w:rsidRPr="00CA53D6">
        <w:rPr>
          <w:rFonts w:asciiTheme="minorHAnsi" w:hAnsiTheme="minorHAnsi"/>
          <w:szCs w:val="22"/>
        </w:rPr>
        <w:t>The Velindre Cancer Centre is a specialised treatment, teaching, research and development centre for non-surgical oncology and treats a number of our patients with chemotherapy, systemic anticancer treatments, radiotherapy and related treatments, together with caring for some patients with specialist palliative care needs</w:t>
      </w:r>
      <w:r w:rsidR="00803379" w:rsidRPr="00CA53D6">
        <w:rPr>
          <w:rFonts w:asciiTheme="minorHAnsi" w:hAnsiTheme="minorHAnsi"/>
          <w:szCs w:val="22"/>
        </w:rPr>
        <w:t xml:space="preserve">.  </w:t>
      </w:r>
      <w:r w:rsidR="00B57A37" w:rsidRPr="00CA53D6">
        <w:rPr>
          <w:rFonts w:asciiTheme="minorHAnsi" w:hAnsiTheme="minorHAnsi"/>
          <w:szCs w:val="22"/>
        </w:rPr>
        <w:t>Along with other commissioners, we have agreed to financially support Velindre to develop and implement plans to bring about change and transformation to the way cancer services are delivered.</w:t>
      </w:r>
      <w:r w:rsidR="00CA53D6" w:rsidRPr="00CA53D6">
        <w:rPr>
          <w:rFonts w:asciiTheme="minorHAnsi" w:hAnsiTheme="minorHAnsi"/>
          <w:szCs w:val="22"/>
        </w:rPr>
        <w:t xml:space="preserve"> </w:t>
      </w:r>
      <w:r w:rsidR="00E334A5" w:rsidRPr="00E334A5">
        <w:rPr>
          <w:rFonts w:asciiTheme="minorHAnsi" w:hAnsiTheme="minorHAnsi"/>
          <w:szCs w:val="22"/>
        </w:rPr>
        <w:t>Velindre University NHS Trust have identified a 3 stage approach to their IMTP development:</w:t>
      </w:r>
    </w:p>
    <w:p w14:paraId="5C1610A8" w14:textId="77777777" w:rsidR="00E334A5" w:rsidRPr="00E334A5" w:rsidRDefault="00E334A5" w:rsidP="00F60A35">
      <w:pPr>
        <w:pStyle w:val="ListParagraph"/>
        <w:numPr>
          <w:ilvl w:val="0"/>
          <w:numId w:val="79"/>
        </w:numPr>
        <w:ind w:left="357" w:hanging="357"/>
        <w:rPr>
          <w:rFonts w:asciiTheme="minorHAnsi" w:hAnsiTheme="minorHAnsi"/>
          <w:szCs w:val="22"/>
        </w:rPr>
      </w:pPr>
      <w:r w:rsidRPr="00E334A5">
        <w:rPr>
          <w:rFonts w:asciiTheme="minorHAnsi" w:hAnsiTheme="minorHAnsi"/>
          <w:szCs w:val="22"/>
        </w:rPr>
        <w:t>Core Business ( SACT, Radiotherapy, Outpatients &amp; Inpatients) within Existing resources</w:t>
      </w:r>
    </w:p>
    <w:p w14:paraId="5589EF25" w14:textId="77777777" w:rsidR="00E334A5" w:rsidRPr="00E334A5" w:rsidRDefault="00E334A5" w:rsidP="00F60A35">
      <w:pPr>
        <w:pStyle w:val="ListParagraph"/>
        <w:numPr>
          <w:ilvl w:val="0"/>
          <w:numId w:val="79"/>
        </w:numPr>
        <w:ind w:left="357" w:hanging="357"/>
        <w:rPr>
          <w:rFonts w:asciiTheme="minorHAnsi" w:hAnsiTheme="minorHAnsi"/>
          <w:szCs w:val="22"/>
        </w:rPr>
      </w:pPr>
      <w:r w:rsidRPr="00E334A5">
        <w:rPr>
          <w:rFonts w:asciiTheme="minorHAnsi" w:hAnsiTheme="minorHAnsi"/>
          <w:szCs w:val="22"/>
        </w:rPr>
        <w:t>Service Development through efficiency gains and</w:t>
      </w:r>
    </w:p>
    <w:p w14:paraId="27A850C9" w14:textId="77777777" w:rsidR="00E334A5" w:rsidRPr="00E334A5" w:rsidRDefault="00E334A5" w:rsidP="00F60A35">
      <w:pPr>
        <w:pStyle w:val="ListParagraph"/>
        <w:numPr>
          <w:ilvl w:val="0"/>
          <w:numId w:val="79"/>
        </w:numPr>
        <w:ind w:left="357" w:hanging="357"/>
        <w:rPr>
          <w:rFonts w:asciiTheme="minorHAnsi" w:hAnsiTheme="minorHAnsi"/>
          <w:szCs w:val="22"/>
        </w:rPr>
      </w:pPr>
      <w:r w:rsidRPr="00E334A5">
        <w:rPr>
          <w:rFonts w:asciiTheme="minorHAnsi" w:hAnsiTheme="minorHAnsi"/>
          <w:szCs w:val="22"/>
        </w:rPr>
        <w:t>Development through new commissioner investment</w:t>
      </w:r>
    </w:p>
    <w:p w14:paraId="7F2FE989" w14:textId="77777777" w:rsidR="00E334A5" w:rsidRPr="00E334A5" w:rsidRDefault="00E334A5" w:rsidP="00E334A5">
      <w:pPr>
        <w:rPr>
          <w:rFonts w:asciiTheme="minorHAnsi" w:hAnsiTheme="minorHAnsi"/>
          <w:szCs w:val="22"/>
        </w:rPr>
      </w:pPr>
    </w:p>
    <w:p w14:paraId="13C25338" w14:textId="43F8FB6A" w:rsidR="00E334A5" w:rsidRPr="00E334A5" w:rsidRDefault="00E334A5" w:rsidP="00E334A5">
      <w:pPr>
        <w:rPr>
          <w:rFonts w:asciiTheme="minorHAnsi" w:hAnsiTheme="minorHAnsi"/>
          <w:szCs w:val="22"/>
        </w:rPr>
      </w:pPr>
      <w:r w:rsidRPr="00E334A5">
        <w:rPr>
          <w:rFonts w:asciiTheme="minorHAnsi" w:hAnsiTheme="minorHAnsi"/>
          <w:szCs w:val="22"/>
        </w:rPr>
        <w:t>Core business for 2020/21 will be supported with the introduction of a new contracting model to ensure appropriate funding for services provided.</w:t>
      </w:r>
      <w:r>
        <w:rPr>
          <w:rFonts w:asciiTheme="minorHAnsi" w:hAnsiTheme="minorHAnsi"/>
          <w:szCs w:val="22"/>
        </w:rPr>
        <w:t xml:space="preserve">  </w:t>
      </w:r>
      <w:r w:rsidRPr="00E334A5">
        <w:rPr>
          <w:rFonts w:asciiTheme="minorHAnsi" w:hAnsiTheme="minorHAnsi"/>
          <w:szCs w:val="22"/>
        </w:rPr>
        <w:t>The core business will also require enhancement to take account of the level of growth expected in NICE and high cost drugs, especially immunotherapy treatment as well as core services such as radiology.</w:t>
      </w:r>
    </w:p>
    <w:p w14:paraId="20FF45F1" w14:textId="77777777" w:rsidR="00E334A5" w:rsidRPr="00E334A5" w:rsidRDefault="00E334A5" w:rsidP="00E334A5">
      <w:pPr>
        <w:rPr>
          <w:rFonts w:asciiTheme="minorHAnsi" w:hAnsiTheme="minorHAnsi"/>
          <w:szCs w:val="22"/>
        </w:rPr>
      </w:pPr>
    </w:p>
    <w:p w14:paraId="7C2AFAAD" w14:textId="77777777" w:rsidR="00E334A5" w:rsidRPr="00E334A5" w:rsidRDefault="00E334A5" w:rsidP="00E334A5">
      <w:pPr>
        <w:rPr>
          <w:rFonts w:asciiTheme="minorHAnsi" w:hAnsiTheme="minorHAnsi"/>
          <w:szCs w:val="22"/>
        </w:rPr>
      </w:pPr>
      <w:r w:rsidRPr="00E334A5">
        <w:rPr>
          <w:rFonts w:asciiTheme="minorHAnsi" w:hAnsiTheme="minorHAnsi"/>
          <w:szCs w:val="22"/>
        </w:rPr>
        <w:t>Service developments through efficiency gains will support the introduction of some new developments, especially new radiotherapy techniques, but many of these new techniques will require new investment.</w:t>
      </w:r>
    </w:p>
    <w:p w14:paraId="17DFADAB" w14:textId="77777777" w:rsidR="00E334A5" w:rsidRPr="00E334A5" w:rsidRDefault="00E334A5" w:rsidP="00E334A5">
      <w:pPr>
        <w:rPr>
          <w:rFonts w:asciiTheme="minorHAnsi" w:hAnsiTheme="minorHAnsi"/>
          <w:szCs w:val="22"/>
        </w:rPr>
      </w:pPr>
    </w:p>
    <w:p w14:paraId="7B164578" w14:textId="77777777" w:rsidR="00E334A5" w:rsidRPr="00E334A5" w:rsidRDefault="00E334A5" w:rsidP="00E334A5">
      <w:pPr>
        <w:rPr>
          <w:rFonts w:asciiTheme="minorHAnsi" w:hAnsiTheme="minorHAnsi"/>
          <w:szCs w:val="22"/>
        </w:rPr>
      </w:pPr>
      <w:r w:rsidRPr="00E334A5">
        <w:rPr>
          <w:rFonts w:asciiTheme="minorHAnsi" w:hAnsiTheme="minorHAnsi"/>
          <w:szCs w:val="22"/>
        </w:rPr>
        <w:t>Velindre University NHS Trust has also identified a range of new developments for investment for 2020/21 but given the level of investment required to meet core business, further work will be required before finalising the IMTP to understand the prioritisation of these developments before any investment decisions can be made.</w:t>
      </w:r>
    </w:p>
    <w:p w14:paraId="0A3D9B86" w14:textId="77777777" w:rsidR="006D43E6" w:rsidRPr="00CA53D6" w:rsidRDefault="006D43E6" w:rsidP="006D43E6">
      <w:pPr>
        <w:rPr>
          <w:rFonts w:asciiTheme="minorHAnsi" w:hAnsiTheme="minorHAnsi"/>
          <w:szCs w:val="22"/>
        </w:rPr>
      </w:pPr>
    </w:p>
    <w:p w14:paraId="63A4F8DC" w14:textId="527887F5" w:rsidR="006D43E6" w:rsidRPr="00CA53D6" w:rsidRDefault="006D43E6" w:rsidP="006D43E6">
      <w:pPr>
        <w:rPr>
          <w:rFonts w:asciiTheme="minorHAnsi" w:hAnsiTheme="minorHAnsi"/>
          <w:szCs w:val="22"/>
        </w:rPr>
      </w:pPr>
      <w:r w:rsidRPr="00E334A5">
        <w:rPr>
          <w:rFonts w:asciiTheme="minorHAnsi" w:hAnsiTheme="minorHAnsi"/>
          <w:szCs w:val="22"/>
        </w:rPr>
        <w:t>The Health Board continues to work collaboratively with Velindre NHS Trust on the Transforming Cancer Services (TCS) Programme Business Case, which was</w:t>
      </w:r>
      <w:r w:rsidRPr="00CA53D6">
        <w:rPr>
          <w:rFonts w:asciiTheme="minorHAnsi" w:hAnsiTheme="minorHAnsi"/>
          <w:szCs w:val="22"/>
        </w:rPr>
        <w:t xml:space="preserve"> approved by </w:t>
      </w:r>
      <w:r w:rsidR="003319EB">
        <w:rPr>
          <w:rFonts w:asciiTheme="minorHAnsi" w:hAnsiTheme="minorHAnsi"/>
          <w:szCs w:val="22"/>
        </w:rPr>
        <w:t xml:space="preserve">the </w:t>
      </w:r>
      <w:r w:rsidR="00584C85" w:rsidRPr="00CA53D6">
        <w:rPr>
          <w:rFonts w:asciiTheme="minorHAnsi" w:hAnsiTheme="minorHAnsi"/>
          <w:szCs w:val="22"/>
        </w:rPr>
        <w:t>Health</w:t>
      </w:r>
      <w:r w:rsidR="00C11306" w:rsidRPr="00CA53D6">
        <w:rPr>
          <w:rFonts w:asciiTheme="minorHAnsi" w:hAnsiTheme="minorHAnsi"/>
          <w:szCs w:val="22"/>
        </w:rPr>
        <w:t xml:space="preserve"> B</w:t>
      </w:r>
      <w:r w:rsidR="00584C85" w:rsidRPr="00CA53D6">
        <w:rPr>
          <w:rFonts w:asciiTheme="minorHAnsi" w:hAnsiTheme="minorHAnsi"/>
          <w:szCs w:val="22"/>
        </w:rPr>
        <w:t>oard</w:t>
      </w:r>
      <w:r w:rsidRPr="00CA53D6">
        <w:rPr>
          <w:rFonts w:asciiTheme="minorHAnsi" w:hAnsiTheme="minorHAnsi"/>
          <w:szCs w:val="22"/>
        </w:rPr>
        <w:t xml:space="preserve"> in March 2018.  The </w:t>
      </w:r>
      <w:r w:rsidR="00DD7573">
        <w:rPr>
          <w:rFonts w:asciiTheme="minorHAnsi" w:hAnsiTheme="minorHAnsi"/>
          <w:szCs w:val="22"/>
        </w:rPr>
        <w:t>UHB</w:t>
      </w:r>
      <w:r w:rsidRPr="00CA53D6">
        <w:rPr>
          <w:rFonts w:asciiTheme="minorHAnsi" w:hAnsiTheme="minorHAnsi"/>
          <w:szCs w:val="22"/>
        </w:rPr>
        <w:t xml:space="preserve"> commissioning and finance teams are working closely with their Velindre counterparts to ensure that business cases provided value, however cancer services provided through the new centre are likely to be a cost pressure </w:t>
      </w:r>
      <w:r w:rsidRPr="00CA53D6">
        <w:rPr>
          <w:rFonts w:asciiTheme="minorHAnsi" w:hAnsiTheme="minorHAnsi"/>
          <w:szCs w:val="22"/>
        </w:rPr>
        <w:lastRenderedPageBreak/>
        <w:t xml:space="preserve">for </w:t>
      </w:r>
      <w:r w:rsidR="00DD7573">
        <w:rPr>
          <w:rFonts w:asciiTheme="minorHAnsi" w:hAnsiTheme="minorHAnsi"/>
          <w:szCs w:val="22"/>
        </w:rPr>
        <w:t>the UHB</w:t>
      </w:r>
      <w:r w:rsidRPr="00CA53D6">
        <w:rPr>
          <w:rFonts w:asciiTheme="minorHAnsi" w:hAnsiTheme="minorHAnsi"/>
          <w:szCs w:val="22"/>
        </w:rPr>
        <w:t>.</w:t>
      </w:r>
      <w:r w:rsidR="003319EB">
        <w:rPr>
          <w:rFonts w:asciiTheme="minorHAnsi" w:hAnsiTheme="minorHAnsi"/>
          <w:szCs w:val="22"/>
        </w:rPr>
        <w:t xml:space="preserve">  </w:t>
      </w:r>
      <w:r w:rsidR="00E334A5" w:rsidRPr="00E334A5">
        <w:rPr>
          <w:rFonts w:asciiTheme="minorHAnsi" w:hAnsiTheme="minorHAnsi"/>
          <w:szCs w:val="22"/>
        </w:rPr>
        <w:t xml:space="preserve">During 2020/21 it is anticipated that the </w:t>
      </w:r>
      <w:r w:rsidR="00DD7573">
        <w:rPr>
          <w:rFonts w:asciiTheme="minorHAnsi" w:hAnsiTheme="minorHAnsi"/>
          <w:szCs w:val="22"/>
        </w:rPr>
        <w:t>UHB</w:t>
      </w:r>
      <w:r w:rsidR="00E334A5" w:rsidRPr="00E334A5">
        <w:rPr>
          <w:rFonts w:asciiTheme="minorHAnsi" w:hAnsiTheme="minorHAnsi"/>
          <w:szCs w:val="22"/>
        </w:rPr>
        <w:t xml:space="preserve"> will work collaboratively with Velindre to look at developing a model for delivering Acute Oncology between Velindre and the</w:t>
      </w:r>
      <w:r w:rsidR="00DD7573">
        <w:rPr>
          <w:rFonts w:asciiTheme="minorHAnsi" w:hAnsiTheme="minorHAnsi"/>
          <w:szCs w:val="22"/>
        </w:rPr>
        <w:t xml:space="preserve"> UHB</w:t>
      </w:r>
      <w:r w:rsidR="00E334A5" w:rsidRPr="00E334A5">
        <w:rPr>
          <w:rFonts w:asciiTheme="minorHAnsi" w:hAnsiTheme="minorHAnsi"/>
          <w:szCs w:val="22"/>
        </w:rPr>
        <w:t>, support</w:t>
      </w:r>
      <w:r w:rsidR="00DD7573">
        <w:rPr>
          <w:rFonts w:asciiTheme="minorHAnsi" w:hAnsiTheme="minorHAnsi"/>
          <w:szCs w:val="22"/>
        </w:rPr>
        <w:t>ing</w:t>
      </w:r>
      <w:r w:rsidR="00E334A5" w:rsidRPr="00E334A5">
        <w:rPr>
          <w:rFonts w:asciiTheme="minorHAnsi" w:hAnsiTheme="minorHAnsi"/>
          <w:szCs w:val="22"/>
        </w:rPr>
        <w:t xml:space="preserve"> the TCS work.</w:t>
      </w:r>
    </w:p>
    <w:p w14:paraId="4AEBF3F3" w14:textId="46732FAF" w:rsidR="006D43E6" w:rsidRPr="005B44BD" w:rsidRDefault="006D43E6" w:rsidP="006D43E6">
      <w:pPr>
        <w:pStyle w:val="Heading3"/>
        <w:rPr>
          <w:szCs w:val="22"/>
        </w:rPr>
      </w:pPr>
      <w:bookmarkStart w:id="143" w:name="_Toc471830034"/>
      <w:bookmarkStart w:id="144" w:name="_Toc473290359"/>
      <w:bookmarkStart w:id="145" w:name="_Toc532464011"/>
      <w:r w:rsidRPr="005B44BD">
        <w:rPr>
          <w:szCs w:val="22"/>
        </w:rPr>
        <w:t>Welsh Health Specialised Services Committee</w:t>
      </w:r>
      <w:bookmarkEnd w:id="143"/>
      <w:bookmarkEnd w:id="144"/>
      <w:bookmarkEnd w:id="145"/>
    </w:p>
    <w:p w14:paraId="24A8F6A7" w14:textId="5B340DAE" w:rsidR="002E49D4" w:rsidRPr="00162957" w:rsidRDefault="002E49D4" w:rsidP="002E49D4">
      <w:pPr>
        <w:rPr>
          <w:rFonts w:asciiTheme="minorHAnsi" w:hAnsiTheme="minorHAnsi"/>
          <w:szCs w:val="22"/>
        </w:rPr>
      </w:pPr>
      <w:bookmarkStart w:id="146" w:name="_Toc471830035"/>
      <w:bookmarkStart w:id="147" w:name="_Toc473290360"/>
      <w:bookmarkStart w:id="148" w:name="_Toc532464012"/>
      <w:r w:rsidRPr="00162957">
        <w:rPr>
          <w:rFonts w:asciiTheme="minorHAnsi" w:hAnsiTheme="minorHAnsi"/>
          <w:szCs w:val="22"/>
        </w:rPr>
        <w:t xml:space="preserve">Hosted by </w:t>
      </w:r>
      <w:r w:rsidR="003F6D41">
        <w:rPr>
          <w:rFonts w:asciiTheme="minorHAnsi" w:hAnsiTheme="minorHAnsi"/>
          <w:szCs w:val="22"/>
        </w:rPr>
        <w:t>CTMUHB</w:t>
      </w:r>
      <w:r w:rsidRPr="00162957">
        <w:rPr>
          <w:rFonts w:asciiTheme="minorHAnsi" w:hAnsiTheme="minorHAnsi"/>
          <w:szCs w:val="22"/>
        </w:rPr>
        <w:t xml:space="preserve">, WHSSC is a joint committee made up of the seven </w:t>
      </w:r>
      <w:r w:rsidR="00A5277E">
        <w:rPr>
          <w:rFonts w:asciiTheme="minorHAnsi" w:hAnsiTheme="minorHAnsi"/>
          <w:szCs w:val="22"/>
        </w:rPr>
        <w:t xml:space="preserve">UHBs </w:t>
      </w:r>
      <w:r w:rsidRPr="00162957">
        <w:rPr>
          <w:rFonts w:asciiTheme="minorHAnsi" w:hAnsiTheme="minorHAnsi"/>
          <w:szCs w:val="22"/>
        </w:rPr>
        <w:t xml:space="preserve">in Wales and is responsible for planning specialised and tertiary services on our behalf.  The </w:t>
      </w:r>
      <w:r w:rsidR="00A5277E">
        <w:rPr>
          <w:rFonts w:asciiTheme="minorHAnsi" w:hAnsiTheme="minorHAnsi"/>
          <w:szCs w:val="22"/>
        </w:rPr>
        <w:t xml:space="preserve">UHB </w:t>
      </w:r>
      <w:r w:rsidRPr="00162957">
        <w:rPr>
          <w:rFonts w:asciiTheme="minorHAnsi" w:hAnsiTheme="minorHAnsi"/>
          <w:szCs w:val="22"/>
        </w:rPr>
        <w:t>is involved in dedicated discussions on the development of the Commissioning Plan for Specialised Services for Wales 2020-23.  The key priorities for WHSSC’s six programme areas are set out in the following work programmes: Mental Health; Cancer and Blood; Cardiothoracic; Neurosciences and Complex Conditions; Renal; and Women and Children.</w:t>
      </w:r>
    </w:p>
    <w:p w14:paraId="010B3AEA" w14:textId="77777777" w:rsidR="002E49D4" w:rsidRPr="00162957" w:rsidRDefault="002E49D4" w:rsidP="002E49D4">
      <w:pPr>
        <w:rPr>
          <w:rFonts w:asciiTheme="minorHAnsi" w:hAnsiTheme="minorHAnsi"/>
          <w:szCs w:val="22"/>
        </w:rPr>
      </w:pPr>
    </w:p>
    <w:p w14:paraId="26DFD91C" w14:textId="3733D859" w:rsidR="002E49D4" w:rsidRPr="00162957" w:rsidRDefault="002E49D4" w:rsidP="002E49D4">
      <w:pPr>
        <w:rPr>
          <w:rFonts w:asciiTheme="minorHAnsi" w:hAnsiTheme="minorHAnsi"/>
          <w:szCs w:val="22"/>
        </w:rPr>
      </w:pPr>
      <w:r w:rsidRPr="00162957">
        <w:rPr>
          <w:rFonts w:asciiTheme="minorHAnsi" w:hAnsiTheme="minorHAnsi"/>
          <w:szCs w:val="22"/>
        </w:rPr>
        <w:t xml:space="preserve">2020/23 will present a major challenge to the </w:t>
      </w:r>
      <w:r w:rsidR="00A5277E">
        <w:rPr>
          <w:rFonts w:asciiTheme="minorHAnsi" w:hAnsiTheme="minorHAnsi"/>
          <w:szCs w:val="22"/>
        </w:rPr>
        <w:t xml:space="preserve">UHB </w:t>
      </w:r>
      <w:r w:rsidRPr="00162957">
        <w:rPr>
          <w:rFonts w:asciiTheme="minorHAnsi" w:hAnsiTheme="minorHAnsi"/>
          <w:szCs w:val="22"/>
        </w:rPr>
        <w:t>with emerging new treatment such as</w:t>
      </w:r>
      <w:r w:rsidR="004D311C">
        <w:rPr>
          <w:rFonts w:asciiTheme="minorHAnsi" w:hAnsiTheme="minorHAnsi"/>
          <w:szCs w:val="22"/>
        </w:rPr>
        <w:t xml:space="preserve"> </w:t>
      </w:r>
      <w:r w:rsidR="004D311C" w:rsidRPr="00162957">
        <w:rPr>
          <w:rFonts w:asciiTheme="minorHAnsi" w:hAnsiTheme="minorHAnsi"/>
          <w:szCs w:val="22"/>
        </w:rPr>
        <w:t xml:space="preserve">Advanced </w:t>
      </w:r>
      <w:r w:rsidR="00A5277E">
        <w:rPr>
          <w:rFonts w:asciiTheme="minorHAnsi" w:hAnsiTheme="minorHAnsi"/>
          <w:szCs w:val="22"/>
        </w:rPr>
        <w:t>T</w:t>
      </w:r>
      <w:r w:rsidR="004D311C" w:rsidRPr="00162957">
        <w:rPr>
          <w:rFonts w:asciiTheme="minorHAnsi" w:hAnsiTheme="minorHAnsi"/>
          <w:szCs w:val="22"/>
        </w:rPr>
        <w:t>herapeutic</w:t>
      </w:r>
      <w:r w:rsidR="004D311C">
        <w:rPr>
          <w:rFonts w:asciiTheme="minorHAnsi" w:hAnsiTheme="minorHAnsi"/>
          <w:szCs w:val="22"/>
        </w:rPr>
        <w:t xml:space="preserve"> </w:t>
      </w:r>
      <w:r w:rsidR="00A5277E">
        <w:rPr>
          <w:rFonts w:asciiTheme="minorHAnsi" w:hAnsiTheme="minorHAnsi"/>
          <w:szCs w:val="22"/>
        </w:rPr>
        <w:t>M</w:t>
      </w:r>
      <w:r w:rsidR="004D311C">
        <w:rPr>
          <w:rFonts w:asciiTheme="minorHAnsi" w:hAnsiTheme="minorHAnsi"/>
          <w:szCs w:val="22"/>
        </w:rPr>
        <w:t xml:space="preserve">edicinal </w:t>
      </w:r>
      <w:r w:rsidR="00A5277E">
        <w:rPr>
          <w:rFonts w:asciiTheme="minorHAnsi" w:hAnsiTheme="minorHAnsi"/>
          <w:szCs w:val="22"/>
        </w:rPr>
        <w:t>P</w:t>
      </w:r>
      <w:r w:rsidR="004D311C">
        <w:rPr>
          <w:rFonts w:asciiTheme="minorHAnsi" w:hAnsiTheme="minorHAnsi"/>
          <w:szCs w:val="22"/>
        </w:rPr>
        <w:t>roducts (</w:t>
      </w:r>
      <w:r w:rsidRPr="00162957">
        <w:rPr>
          <w:rFonts w:asciiTheme="minorHAnsi" w:hAnsiTheme="minorHAnsi"/>
          <w:szCs w:val="22"/>
        </w:rPr>
        <w:t>ATMP</w:t>
      </w:r>
      <w:r w:rsidR="004D311C">
        <w:rPr>
          <w:rFonts w:asciiTheme="minorHAnsi" w:hAnsiTheme="minorHAnsi"/>
          <w:szCs w:val="22"/>
        </w:rPr>
        <w:t>).</w:t>
      </w:r>
      <w:r w:rsidR="00A5277E">
        <w:rPr>
          <w:rFonts w:asciiTheme="minorHAnsi" w:hAnsiTheme="minorHAnsi"/>
          <w:szCs w:val="22"/>
        </w:rPr>
        <w:t xml:space="preserve"> </w:t>
      </w:r>
      <w:r w:rsidR="004D311C">
        <w:rPr>
          <w:rFonts w:asciiTheme="minorHAnsi" w:hAnsiTheme="minorHAnsi"/>
          <w:szCs w:val="22"/>
        </w:rPr>
        <w:t xml:space="preserve"> </w:t>
      </w:r>
      <w:r w:rsidRPr="00162957">
        <w:rPr>
          <w:rFonts w:asciiTheme="minorHAnsi" w:hAnsiTheme="minorHAnsi"/>
          <w:szCs w:val="22"/>
        </w:rPr>
        <w:t xml:space="preserve">ATMP’s such as cell and gene therapies, are set to transform current care pathways with revolutionary treatments that repair, replace, regenerate and re-engineer genes, cells and tissues to improve </w:t>
      </w:r>
      <w:r w:rsidR="00535273">
        <w:rPr>
          <w:rFonts w:asciiTheme="minorHAnsi" w:hAnsiTheme="minorHAnsi"/>
          <w:szCs w:val="22"/>
        </w:rPr>
        <w:t>current, or even restore normal</w:t>
      </w:r>
      <w:r w:rsidRPr="00162957">
        <w:rPr>
          <w:rFonts w:asciiTheme="minorHAnsi" w:hAnsiTheme="minorHAnsi"/>
          <w:szCs w:val="22"/>
        </w:rPr>
        <w:t xml:space="preserve"> function; potentially offering durable and curative outcomes where unmet medical need exists. </w:t>
      </w:r>
      <w:r w:rsidR="00A5277E">
        <w:rPr>
          <w:rFonts w:asciiTheme="minorHAnsi" w:hAnsiTheme="minorHAnsi"/>
          <w:szCs w:val="22"/>
        </w:rPr>
        <w:t xml:space="preserve"> </w:t>
      </w:r>
      <w:r w:rsidRPr="00162957">
        <w:rPr>
          <w:rFonts w:asciiTheme="minorHAnsi" w:hAnsiTheme="minorHAnsi"/>
          <w:szCs w:val="22"/>
        </w:rPr>
        <w:t xml:space="preserve">The first of these treatments were commissioned in 2019/20 and are expected to rapidly be approved by NICE for use in NHS Wales over the next few years.  Whilst potentially life changing for the small groups of patients that will benefit from them, the resource implications are a major challenge. </w:t>
      </w:r>
      <w:r w:rsidR="00A5277E">
        <w:rPr>
          <w:rFonts w:asciiTheme="minorHAnsi" w:hAnsiTheme="minorHAnsi"/>
          <w:szCs w:val="22"/>
        </w:rPr>
        <w:t xml:space="preserve"> </w:t>
      </w:r>
      <w:r w:rsidRPr="00162957">
        <w:rPr>
          <w:rFonts w:asciiTheme="minorHAnsi" w:hAnsiTheme="minorHAnsi"/>
          <w:szCs w:val="22"/>
        </w:rPr>
        <w:t xml:space="preserve">The </w:t>
      </w:r>
      <w:r w:rsidR="00A5277E">
        <w:rPr>
          <w:rFonts w:asciiTheme="minorHAnsi" w:hAnsiTheme="minorHAnsi"/>
          <w:szCs w:val="22"/>
        </w:rPr>
        <w:t xml:space="preserve">UHB </w:t>
      </w:r>
      <w:r w:rsidRPr="00162957">
        <w:rPr>
          <w:rFonts w:asciiTheme="minorHAnsi" w:hAnsiTheme="minorHAnsi"/>
          <w:szCs w:val="22"/>
        </w:rPr>
        <w:t>is committed to fund the introduction of ATMPs as they are statutory due to being NICE approved.</w:t>
      </w:r>
    </w:p>
    <w:p w14:paraId="7498C031" w14:textId="77777777" w:rsidR="002E49D4" w:rsidRPr="00162957" w:rsidRDefault="002E49D4" w:rsidP="002E49D4">
      <w:pPr>
        <w:rPr>
          <w:rFonts w:asciiTheme="minorHAnsi" w:hAnsiTheme="minorHAnsi"/>
          <w:szCs w:val="22"/>
        </w:rPr>
      </w:pPr>
    </w:p>
    <w:p w14:paraId="231205E9" w14:textId="2D331A65" w:rsidR="002E49D4" w:rsidRDefault="002E49D4" w:rsidP="002E49D4">
      <w:pPr>
        <w:rPr>
          <w:rFonts w:asciiTheme="minorHAnsi" w:hAnsiTheme="minorHAnsi"/>
          <w:szCs w:val="22"/>
        </w:rPr>
      </w:pPr>
      <w:r w:rsidRPr="00162957">
        <w:rPr>
          <w:rFonts w:asciiTheme="minorHAnsi" w:hAnsiTheme="minorHAnsi"/>
          <w:szCs w:val="22"/>
        </w:rPr>
        <w:t>The commissioning of the Major Trauma network by WHSSC is also a key priority for 2020/23 and has been prioritised for investment by the</w:t>
      </w:r>
      <w:r w:rsidR="00A5277E">
        <w:rPr>
          <w:rFonts w:asciiTheme="minorHAnsi" w:hAnsiTheme="minorHAnsi"/>
          <w:szCs w:val="22"/>
        </w:rPr>
        <w:t xml:space="preserve"> UHB</w:t>
      </w:r>
      <w:r w:rsidRPr="00162957">
        <w:rPr>
          <w:rFonts w:asciiTheme="minorHAnsi" w:hAnsiTheme="minorHAnsi"/>
          <w:szCs w:val="22"/>
        </w:rPr>
        <w:t xml:space="preserve">. </w:t>
      </w:r>
    </w:p>
    <w:p w14:paraId="05797F4F" w14:textId="77777777" w:rsidR="002E49D4" w:rsidRDefault="002E49D4" w:rsidP="002E49D4">
      <w:pPr>
        <w:rPr>
          <w:rFonts w:asciiTheme="minorHAnsi" w:hAnsiTheme="minorHAnsi"/>
          <w:szCs w:val="22"/>
        </w:rPr>
      </w:pPr>
    </w:p>
    <w:p w14:paraId="234D4B01" w14:textId="1E8E1EE3" w:rsidR="002E49D4" w:rsidRPr="00162957" w:rsidRDefault="002E49D4" w:rsidP="002E49D4">
      <w:pPr>
        <w:rPr>
          <w:rFonts w:asciiTheme="minorHAnsi" w:hAnsiTheme="minorHAnsi"/>
          <w:szCs w:val="22"/>
        </w:rPr>
      </w:pPr>
      <w:r w:rsidRPr="00162957">
        <w:rPr>
          <w:rFonts w:asciiTheme="minorHAnsi" w:hAnsiTheme="minorHAnsi"/>
          <w:szCs w:val="22"/>
        </w:rPr>
        <w:t>Other key</w:t>
      </w:r>
      <w:r>
        <w:rPr>
          <w:rFonts w:asciiTheme="minorHAnsi" w:hAnsiTheme="minorHAnsi"/>
          <w:szCs w:val="22"/>
        </w:rPr>
        <w:t xml:space="preserve"> strategic Priorities include supporting investment in expanding and developing Cystic Fibrosis services, Mental Health Services and Thrombectomy.  In addition,</w:t>
      </w:r>
      <w:r w:rsidRPr="00162957">
        <w:rPr>
          <w:rFonts w:asciiTheme="minorHAnsi" w:hAnsiTheme="minorHAnsi"/>
          <w:szCs w:val="22"/>
        </w:rPr>
        <w:t xml:space="preserve"> </w:t>
      </w:r>
      <w:r>
        <w:rPr>
          <w:rFonts w:asciiTheme="minorHAnsi" w:hAnsiTheme="minorHAnsi"/>
          <w:szCs w:val="22"/>
        </w:rPr>
        <w:t xml:space="preserve">other </w:t>
      </w:r>
      <w:r w:rsidRPr="00162957">
        <w:rPr>
          <w:rFonts w:asciiTheme="minorHAnsi" w:hAnsiTheme="minorHAnsi"/>
          <w:szCs w:val="22"/>
        </w:rPr>
        <w:t>areas prioritised</w:t>
      </w:r>
      <w:r>
        <w:rPr>
          <w:rFonts w:asciiTheme="minorHAnsi" w:hAnsiTheme="minorHAnsi"/>
          <w:szCs w:val="22"/>
        </w:rPr>
        <w:t xml:space="preserve"> for investment</w:t>
      </w:r>
      <w:r w:rsidRPr="00162957">
        <w:rPr>
          <w:rFonts w:asciiTheme="minorHAnsi" w:hAnsiTheme="minorHAnsi"/>
          <w:szCs w:val="22"/>
        </w:rPr>
        <w:t xml:space="preserve"> include:</w:t>
      </w:r>
    </w:p>
    <w:p w14:paraId="674337B5" w14:textId="77777777" w:rsidR="002E49D4" w:rsidRPr="00EE49D9" w:rsidRDefault="002E49D4" w:rsidP="005F65CD">
      <w:pPr>
        <w:pStyle w:val="ListParagraph"/>
        <w:numPr>
          <w:ilvl w:val="0"/>
          <w:numId w:val="99"/>
        </w:numPr>
        <w:rPr>
          <w:rFonts w:asciiTheme="minorHAnsi" w:hAnsiTheme="minorHAnsi"/>
          <w:szCs w:val="22"/>
        </w:rPr>
      </w:pPr>
      <w:r w:rsidRPr="00EE49D9">
        <w:rPr>
          <w:rFonts w:asciiTheme="minorHAnsi" w:hAnsiTheme="minorHAnsi"/>
          <w:szCs w:val="22"/>
        </w:rPr>
        <w:t>Expanding the indications for PET scanning</w:t>
      </w:r>
    </w:p>
    <w:p w14:paraId="18BD0C7F" w14:textId="77777777" w:rsidR="002E49D4" w:rsidRPr="00EE49D9" w:rsidRDefault="002E49D4" w:rsidP="005F65CD">
      <w:pPr>
        <w:pStyle w:val="ListParagraph"/>
        <w:numPr>
          <w:ilvl w:val="0"/>
          <w:numId w:val="99"/>
        </w:numPr>
        <w:rPr>
          <w:rFonts w:asciiTheme="minorHAnsi" w:hAnsiTheme="minorHAnsi"/>
          <w:szCs w:val="22"/>
        </w:rPr>
      </w:pPr>
      <w:r w:rsidRPr="00EE49D9">
        <w:rPr>
          <w:rFonts w:asciiTheme="minorHAnsi" w:hAnsiTheme="minorHAnsi"/>
          <w:szCs w:val="22"/>
        </w:rPr>
        <w:t>Prolonged Disorder of Consciousness (PDOC)</w:t>
      </w:r>
    </w:p>
    <w:p w14:paraId="279533A3" w14:textId="77777777" w:rsidR="002E49D4" w:rsidRPr="00EE49D9" w:rsidRDefault="002E49D4" w:rsidP="005F65CD">
      <w:pPr>
        <w:pStyle w:val="ListParagraph"/>
        <w:numPr>
          <w:ilvl w:val="0"/>
          <w:numId w:val="99"/>
        </w:numPr>
        <w:rPr>
          <w:rFonts w:asciiTheme="minorHAnsi" w:hAnsiTheme="minorHAnsi"/>
          <w:szCs w:val="22"/>
        </w:rPr>
      </w:pPr>
      <w:r w:rsidRPr="00EE49D9">
        <w:rPr>
          <w:rFonts w:asciiTheme="minorHAnsi" w:hAnsiTheme="minorHAnsi"/>
          <w:szCs w:val="22"/>
        </w:rPr>
        <w:t>Fetal Medicine</w:t>
      </w:r>
    </w:p>
    <w:p w14:paraId="21EAC357" w14:textId="77777777" w:rsidR="002E49D4" w:rsidRPr="006542BD" w:rsidRDefault="002E49D4" w:rsidP="005F65CD">
      <w:pPr>
        <w:pStyle w:val="ListParagraph"/>
        <w:numPr>
          <w:ilvl w:val="0"/>
          <w:numId w:val="99"/>
        </w:numPr>
        <w:rPr>
          <w:rFonts w:asciiTheme="minorHAnsi" w:hAnsiTheme="minorHAnsi"/>
          <w:szCs w:val="22"/>
        </w:rPr>
      </w:pPr>
      <w:r w:rsidRPr="006542BD">
        <w:rPr>
          <w:rFonts w:asciiTheme="minorHAnsi" w:hAnsiTheme="minorHAnsi"/>
          <w:szCs w:val="22"/>
        </w:rPr>
        <w:t>Inherited Metabolic Disease (Adult)</w:t>
      </w:r>
    </w:p>
    <w:p w14:paraId="4654B340" w14:textId="77777777" w:rsidR="002E49D4" w:rsidRPr="00EE49D9" w:rsidRDefault="002E49D4" w:rsidP="005F65CD">
      <w:pPr>
        <w:pStyle w:val="ListParagraph"/>
        <w:numPr>
          <w:ilvl w:val="0"/>
          <w:numId w:val="99"/>
        </w:numPr>
        <w:rPr>
          <w:rFonts w:asciiTheme="minorHAnsi" w:hAnsiTheme="minorHAnsi" w:cs="Arial"/>
          <w:szCs w:val="22"/>
        </w:rPr>
      </w:pPr>
      <w:r w:rsidRPr="00EE49D9">
        <w:rPr>
          <w:rFonts w:asciiTheme="minorHAnsi" w:hAnsiTheme="minorHAnsi" w:cs="Arial"/>
          <w:szCs w:val="22"/>
        </w:rPr>
        <w:t>Neuroendocrine Tumours (NETs) Phase 2</w:t>
      </w:r>
    </w:p>
    <w:p w14:paraId="3A6D8580" w14:textId="77777777" w:rsidR="002E49D4" w:rsidRPr="006542BD" w:rsidRDefault="002E49D4" w:rsidP="005F65CD">
      <w:pPr>
        <w:pStyle w:val="ListParagraph"/>
        <w:numPr>
          <w:ilvl w:val="0"/>
          <w:numId w:val="99"/>
        </w:numPr>
        <w:rPr>
          <w:rFonts w:asciiTheme="minorHAnsi" w:hAnsiTheme="minorHAnsi"/>
          <w:szCs w:val="22"/>
        </w:rPr>
      </w:pPr>
      <w:r w:rsidRPr="00EE49D9">
        <w:rPr>
          <w:rFonts w:asciiTheme="minorHAnsi" w:hAnsiTheme="minorHAnsi" w:cs="Arial"/>
          <w:szCs w:val="22"/>
        </w:rPr>
        <w:t>Paediatric Cardiology Standards</w:t>
      </w:r>
    </w:p>
    <w:p w14:paraId="16A764E1" w14:textId="77777777" w:rsidR="002E49D4" w:rsidRPr="00EE49D9" w:rsidRDefault="002E49D4" w:rsidP="005F65CD">
      <w:pPr>
        <w:pStyle w:val="ListParagraph"/>
        <w:numPr>
          <w:ilvl w:val="0"/>
          <w:numId w:val="99"/>
        </w:numPr>
        <w:rPr>
          <w:rFonts w:asciiTheme="minorHAnsi" w:hAnsiTheme="minorHAnsi" w:cs="Arial"/>
          <w:szCs w:val="22"/>
        </w:rPr>
      </w:pPr>
      <w:r w:rsidRPr="00EE49D9">
        <w:rPr>
          <w:rFonts w:asciiTheme="minorHAnsi" w:hAnsiTheme="minorHAnsi" w:cs="Arial"/>
          <w:szCs w:val="22"/>
        </w:rPr>
        <w:t>Hereditary Anaemias</w:t>
      </w:r>
    </w:p>
    <w:p w14:paraId="2ED5DC5D" w14:textId="77777777" w:rsidR="002E49D4" w:rsidRPr="00EE49D9" w:rsidRDefault="002E49D4" w:rsidP="005F65CD">
      <w:pPr>
        <w:pStyle w:val="ListParagraph"/>
        <w:numPr>
          <w:ilvl w:val="0"/>
          <w:numId w:val="99"/>
        </w:numPr>
        <w:rPr>
          <w:rFonts w:asciiTheme="minorHAnsi" w:hAnsiTheme="minorHAnsi" w:cs="Arial"/>
          <w:szCs w:val="22"/>
        </w:rPr>
      </w:pPr>
      <w:r w:rsidRPr="00EE49D9">
        <w:rPr>
          <w:rFonts w:asciiTheme="minorHAnsi" w:hAnsiTheme="minorHAnsi" w:cs="Arial"/>
          <w:szCs w:val="22"/>
        </w:rPr>
        <w:t xml:space="preserve">Percutaneous mitral valve leaflet repair  </w:t>
      </w:r>
    </w:p>
    <w:p w14:paraId="5D73A058" w14:textId="77777777" w:rsidR="002E49D4" w:rsidRPr="00EE49D9" w:rsidRDefault="002E49D4" w:rsidP="005F65CD">
      <w:pPr>
        <w:pStyle w:val="ListParagraph"/>
        <w:numPr>
          <w:ilvl w:val="0"/>
          <w:numId w:val="99"/>
        </w:numPr>
        <w:rPr>
          <w:rFonts w:asciiTheme="minorHAnsi" w:hAnsiTheme="minorHAnsi" w:cs="Arial"/>
          <w:szCs w:val="22"/>
        </w:rPr>
      </w:pPr>
      <w:r w:rsidRPr="00EE49D9">
        <w:rPr>
          <w:rFonts w:asciiTheme="minorHAnsi" w:hAnsiTheme="minorHAnsi" w:cs="Arial"/>
          <w:szCs w:val="22"/>
        </w:rPr>
        <w:t xml:space="preserve">Temozolomide for adjuvant treatment  </w:t>
      </w:r>
    </w:p>
    <w:p w14:paraId="37DB3187" w14:textId="77777777" w:rsidR="002E49D4" w:rsidRPr="00EE49D9" w:rsidRDefault="002E49D4" w:rsidP="005F65CD">
      <w:pPr>
        <w:pStyle w:val="ListParagraph"/>
        <w:numPr>
          <w:ilvl w:val="0"/>
          <w:numId w:val="99"/>
        </w:numPr>
        <w:rPr>
          <w:rFonts w:asciiTheme="minorHAnsi" w:hAnsiTheme="minorHAnsi" w:cs="Arial"/>
          <w:szCs w:val="22"/>
        </w:rPr>
      </w:pPr>
      <w:r w:rsidRPr="00EE49D9">
        <w:rPr>
          <w:rFonts w:asciiTheme="minorHAnsi" w:hAnsiTheme="minorHAnsi" w:cs="Arial"/>
          <w:szCs w:val="22"/>
        </w:rPr>
        <w:t>Allogeneic haematopoietic stem cell transplant for primary immunodeficiencies</w:t>
      </w:r>
    </w:p>
    <w:p w14:paraId="6F07CE8C" w14:textId="77777777" w:rsidR="002E49D4" w:rsidRPr="006542BD" w:rsidRDefault="002E49D4" w:rsidP="005F65CD">
      <w:pPr>
        <w:pStyle w:val="ListParagraph"/>
        <w:numPr>
          <w:ilvl w:val="0"/>
          <w:numId w:val="99"/>
        </w:numPr>
        <w:rPr>
          <w:rFonts w:asciiTheme="minorHAnsi" w:hAnsiTheme="minorHAnsi"/>
          <w:szCs w:val="22"/>
        </w:rPr>
      </w:pPr>
      <w:r w:rsidRPr="00EE49D9">
        <w:rPr>
          <w:rFonts w:asciiTheme="minorHAnsi" w:hAnsiTheme="minorHAnsi" w:cs="Arial"/>
          <w:color w:val="000000"/>
          <w:szCs w:val="22"/>
        </w:rPr>
        <w:t>Canakinumab for periodic fever syndromes: TRAPS, HIDS/MKD and FMF (ages 2 and older)</w:t>
      </w:r>
    </w:p>
    <w:p w14:paraId="198BCE24" w14:textId="77777777" w:rsidR="002E49D4" w:rsidRPr="00EE49D9" w:rsidRDefault="002E49D4" w:rsidP="005F65CD">
      <w:pPr>
        <w:pStyle w:val="ListParagraph"/>
        <w:numPr>
          <w:ilvl w:val="0"/>
          <w:numId w:val="99"/>
        </w:numPr>
        <w:rPr>
          <w:rFonts w:asciiTheme="minorHAnsi" w:hAnsiTheme="minorHAnsi" w:cs="Arial"/>
          <w:szCs w:val="22"/>
        </w:rPr>
      </w:pPr>
      <w:r w:rsidRPr="00EE49D9">
        <w:rPr>
          <w:rFonts w:asciiTheme="minorHAnsi" w:hAnsiTheme="minorHAnsi" w:cs="Arial"/>
          <w:szCs w:val="22"/>
        </w:rPr>
        <w:t>Lung volume reduction by surgery or endobronchial valve for severe emphysema in adults</w:t>
      </w:r>
    </w:p>
    <w:p w14:paraId="23700988" w14:textId="77777777" w:rsidR="002E49D4" w:rsidRPr="006542BD" w:rsidRDefault="002E49D4" w:rsidP="005F65CD">
      <w:pPr>
        <w:pStyle w:val="ListParagraph"/>
        <w:numPr>
          <w:ilvl w:val="0"/>
          <w:numId w:val="99"/>
        </w:numPr>
        <w:rPr>
          <w:rFonts w:asciiTheme="minorHAnsi" w:hAnsiTheme="minorHAnsi"/>
          <w:szCs w:val="22"/>
        </w:rPr>
      </w:pPr>
      <w:r w:rsidRPr="00EE49D9">
        <w:rPr>
          <w:rFonts w:asciiTheme="minorHAnsi" w:hAnsiTheme="minorHAnsi" w:cs="Arial"/>
          <w:szCs w:val="22"/>
        </w:rPr>
        <w:t xml:space="preserve">(HIPEC) for the treatment of peritoneal carcinomatosis (PC)  </w:t>
      </w:r>
    </w:p>
    <w:p w14:paraId="1C2A60B4" w14:textId="77777777" w:rsidR="002E49D4" w:rsidRPr="006542BD" w:rsidRDefault="002E49D4" w:rsidP="002E49D4">
      <w:pPr>
        <w:rPr>
          <w:rFonts w:asciiTheme="minorHAnsi" w:hAnsiTheme="minorHAnsi"/>
          <w:szCs w:val="22"/>
        </w:rPr>
      </w:pPr>
    </w:p>
    <w:p w14:paraId="52A00F77" w14:textId="1053EFD8" w:rsidR="002E49D4" w:rsidRPr="00162957" w:rsidRDefault="002E49D4" w:rsidP="002E49D4">
      <w:pPr>
        <w:rPr>
          <w:rFonts w:asciiTheme="minorHAnsi" w:hAnsiTheme="minorHAnsi"/>
          <w:szCs w:val="22"/>
        </w:rPr>
      </w:pPr>
      <w:r>
        <w:rPr>
          <w:rFonts w:asciiTheme="minorHAnsi" w:hAnsiTheme="minorHAnsi"/>
          <w:szCs w:val="22"/>
        </w:rPr>
        <w:t xml:space="preserve">The </w:t>
      </w:r>
      <w:r w:rsidR="00682B93">
        <w:rPr>
          <w:rFonts w:asciiTheme="minorHAnsi" w:hAnsiTheme="minorHAnsi"/>
          <w:szCs w:val="22"/>
        </w:rPr>
        <w:t>UHB</w:t>
      </w:r>
      <w:r>
        <w:rPr>
          <w:rFonts w:asciiTheme="minorHAnsi" w:hAnsiTheme="minorHAnsi"/>
          <w:szCs w:val="22"/>
        </w:rPr>
        <w:t xml:space="preserve"> will continue to support the work of WHSSC to increase equitable access to services using the analytical and information reports from the MAIR system, which identifies patter</w:t>
      </w:r>
      <w:r w:rsidR="00A21B36">
        <w:rPr>
          <w:rFonts w:asciiTheme="minorHAnsi" w:hAnsiTheme="minorHAnsi"/>
          <w:szCs w:val="22"/>
        </w:rPr>
        <w:t>n</w:t>
      </w:r>
      <w:r>
        <w:rPr>
          <w:rFonts w:asciiTheme="minorHAnsi" w:hAnsiTheme="minorHAnsi"/>
          <w:szCs w:val="22"/>
        </w:rPr>
        <w:t>s of differential access to services which</w:t>
      </w:r>
      <w:r w:rsidR="00446E5C">
        <w:rPr>
          <w:rFonts w:asciiTheme="minorHAnsi" w:hAnsiTheme="minorHAnsi"/>
          <w:szCs w:val="22"/>
        </w:rPr>
        <w:t>,</w:t>
      </w:r>
      <w:r>
        <w:rPr>
          <w:rFonts w:asciiTheme="minorHAnsi" w:hAnsiTheme="minorHAnsi"/>
          <w:szCs w:val="22"/>
        </w:rPr>
        <w:t xml:space="preserve"> together with the newly introduced Referral management system, should ensure appropriate use of specialised services. </w:t>
      </w:r>
      <w:r w:rsidR="00682B93">
        <w:rPr>
          <w:rFonts w:asciiTheme="minorHAnsi" w:hAnsiTheme="minorHAnsi"/>
          <w:szCs w:val="22"/>
        </w:rPr>
        <w:t xml:space="preserve"> </w:t>
      </w:r>
      <w:r>
        <w:rPr>
          <w:rFonts w:asciiTheme="minorHAnsi" w:hAnsiTheme="minorHAnsi"/>
          <w:szCs w:val="22"/>
        </w:rPr>
        <w:t xml:space="preserve">In addition, the </w:t>
      </w:r>
      <w:r w:rsidR="00682B93">
        <w:rPr>
          <w:rFonts w:asciiTheme="minorHAnsi" w:hAnsiTheme="minorHAnsi"/>
          <w:szCs w:val="22"/>
        </w:rPr>
        <w:t>UHB</w:t>
      </w:r>
      <w:r>
        <w:rPr>
          <w:rFonts w:asciiTheme="minorHAnsi" w:hAnsiTheme="minorHAnsi"/>
          <w:szCs w:val="22"/>
        </w:rPr>
        <w:t xml:space="preserve"> will support WHSSCs Quality Assurance Framework, to ensure patient centred safe services are delivered.</w:t>
      </w:r>
    </w:p>
    <w:p w14:paraId="4088EBB8" w14:textId="77777777" w:rsidR="002E49D4" w:rsidRDefault="002E49D4" w:rsidP="002E49D4"/>
    <w:p w14:paraId="5FC7BD5F" w14:textId="243C3CB5" w:rsidR="002E49D4" w:rsidRDefault="002E49D4" w:rsidP="002E49D4">
      <w:r w:rsidRPr="00162957">
        <w:rPr>
          <w:rFonts w:asciiTheme="minorHAnsi" w:hAnsiTheme="minorHAnsi"/>
          <w:szCs w:val="22"/>
        </w:rPr>
        <w:t xml:space="preserve">The </w:t>
      </w:r>
      <w:r w:rsidR="00682B93">
        <w:rPr>
          <w:rFonts w:asciiTheme="minorHAnsi" w:hAnsiTheme="minorHAnsi"/>
          <w:szCs w:val="22"/>
        </w:rPr>
        <w:t xml:space="preserve">UHB </w:t>
      </w:r>
      <w:r w:rsidRPr="00162957">
        <w:rPr>
          <w:rFonts w:asciiTheme="minorHAnsi" w:hAnsiTheme="minorHAnsi"/>
          <w:szCs w:val="22"/>
        </w:rPr>
        <w:t>will continue to work with WHSSC to deliver the priorities for the WHSSC agenda and to look at further opportunities to improve the management of pathways between secondary care and tertiary services</w:t>
      </w:r>
      <w:r w:rsidR="00682B93">
        <w:rPr>
          <w:rFonts w:asciiTheme="minorHAnsi" w:hAnsiTheme="minorHAnsi"/>
          <w:szCs w:val="22"/>
        </w:rPr>
        <w:t>.</w:t>
      </w:r>
    </w:p>
    <w:p w14:paraId="0D166CF7" w14:textId="7D131D71" w:rsidR="006D43E6" w:rsidRPr="007350A0" w:rsidRDefault="006D43E6" w:rsidP="009B2A9B">
      <w:pPr>
        <w:pStyle w:val="Heading3"/>
        <w:rPr>
          <w:szCs w:val="22"/>
        </w:rPr>
      </w:pPr>
      <w:r w:rsidRPr="007350A0">
        <w:rPr>
          <w:szCs w:val="22"/>
        </w:rPr>
        <w:lastRenderedPageBreak/>
        <w:t xml:space="preserve">Emergency Ambulance Services </w:t>
      </w:r>
      <w:r w:rsidR="005717DF" w:rsidRPr="007350A0">
        <w:rPr>
          <w:szCs w:val="22"/>
        </w:rPr>
        <w:t>Committee</w:t>
      </w:r>
      <w:r w:rsidRPr="007350A0">
        <w:rPr>
          <w:szCs w:val="22"/>
        </w:rPr>
        <w:t xml:space="preserve"> (EASC) and Welsh Ambulance Services Trust</w:t>
      </w:r>
      <w:bookmarkEnd w:id="146"/>
      <w:bookmarkEnd w:id="147"/>
      <w:r w:rsidRPr="007350A0">
        <w:rPr>
          <w:szCs w:val="22"/>
        </w:rPr>
        <w:t xml:space="preserve"> (WAST)</w:t>
      </w:r>
      <w:bookmarkEnd w:id="148"/>
    </w:p>
    <w:p w14:paraId="4460061E" w14:textId="6693193A" w:rsidR="00FE46F1" w:rsidRPr="007350A0" w:rsidRDefault="007350A0" w:rsidP="00FE46F1">
      <w:pPr>
        <w:rPr>
          <w:rFonts w:cs="Calibri"/>
          <w:szCs w:val="22"/>
        </w:rPr>
      </w:pPr>
      <w:r w:rsidRPr="007350A0">
        <w:rPr>
          <w:noProof/>
        </w:rPr>
        <w:drawing>
          <wp:anchor distT="0" distB="0" distL="114300" distR="114300" simplePos="0" relativeHeight="252884992" behindDoc="1" locked="0" layoutInCell="1" allowOverlap="1" wp14:anchorId="0416856A" wp14:editId="3B960EAF">
            <wp:simplePos x="0" y="0"/>
            <wp:positionH relativeFrom="margin">
              <wp:align>right</wp:align>
            </wp:positionH>
            <wp:positionV relativeFrom="paragraph">
              <wp:posOffset>41275</wp:posOffset>
            </wp:positionV>
            <wp:extent cx="3381375" cy="2153920"/>
            <wp:effectExtent l="0" t="0" r="9525" b="0"/>
            <wp:wrapTight wrapText="bothSides">
              <wp:wrapPolygon edited="0">
                <wp:start x="0" y="0"/>
                <wp:lineTo x="0" y="21396"/>
                <wp:lineTo x="21539" y="21396"/>
                <wp:lineTo x="21539" y="0"/>
                <wp:lineTo x="0" y="0"/>
              </wp:wrapPolygon>
            </wp:wrapTight>
            <wp:docPr id="1799" name="Picture 1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381375" cy="2153920"/>
                    </a:xfrm>
                    <a:prstGeom prst="rect">
                      <a:avLst/>
                    </a:prstGeom>
                    <a:noFill/>
                  </pic:spPr>
                </pic:pic>
              </a:graphicData>
            </a:graphic>
          </wp:anchor>
        </w:drawing>
      </w:r>
      <w:r w:rsidR="00FF28E8" w:rsidRPr="007350A0">
        <w:rPr>
          <w:rFonts w:cs="Calibri"/>
          <w:szCs w:val="22"/>
        </w:rPr>
        <w:t>Hosted by</w:t>
      </w:r>
      <w:r w:rsidR="00682B93">
        <w:rPr>
          <w:rFonts w:cs="Calibri"/>
          <w:szCs w:val="22"/>
        </w:rPr>
        <w:t xml:space="preserve"> CTMUHB</w:t>
      </w:r>
      <w:r w:rsidR="00FF28E8" w:rsidRPr="007350A0">
        <w:rPr>
          <w:rFonts w:cs="Calibri"/>
          <w:szCs w:val="22"/>
        </w:rPr>
        <w:t xml:space="preserve">, </w:t>
      </w:r>
      <w:r w:rsidR="005717DF" w:rsidRPr="007350A0">
        <w:rPr>
          <w:rFonts w:cs="Calibri"/>
          <w:szCs w:val="22"/>
        </w:rPr>
        <w:t>EASC i</w:t>
      </w:r>
      <w:r w:rsidR="00FE46F1" w:rsidRPr="007350A0">
        <w:rPr>
          <w:rFonts w:cs="Calibri"/>
          <w:szCs w:val="22"/>
        </w:rPr>
        <w:t xml:space="preserve">s a joint-committee </w:t>
      </w:r>
      <w:r w:rsidR="00FF28E8" w:rsidRPr="007350A0">
        <w:rPr>
          <w:rFonts w:cs="Calibri"/>
          <w:szCs w:val="22"/>
        </w:rPr>
        <w:t xml:space="preserve">made up of the seven </w:t>
      </w:r>
      <w:r w:rsidR="00682B93">
        <w:rPr>
          <w:rFonts w:cs="Calibri"/>
          <w:szCs w:val="22"/>
        </w:rPr>
        <w:t xml:space="preserve">HBs </w:t>
      </w:r>
      <w:r w:rsidR="00FF28E8" w:rsidRPr="007350A0">
        <w:rPr>
          <w:rFonts w:cs="Calibri"/>
          <w:szCs w:val="22"/>
        </w:rPr>
        <w:t xml:space="preserve">in Wales and is responsible for commissioning on our behalf </w:t>
      </w:r>
      <w:r w:rsidR="00FE46F1" w:rsidRPr="007350A0">
        <w:rPr>
          <w:rFonts w:cs="Calibri"/>
          <w:szCs w:val="22"/>
        </w:rPr>
        <w:t>the following services:</w:t>
      </w:r>
    </w:p>
    <w:p w14:paraId="32D794FA" w14:textId="31FD4255" w:rsidR="00FE46F1" w:rsidRPr="007350A0" w:rsidRDefault="00FE46F1" w:rsidP="00F60A35">
      <w:pPr>
        <w:pStyle w:val="ListParagraph"/>
        <w:numPr>
          <w:ilvl w:val="0"/>
          <w:numId w:val="16"/>
        </w:numPr>
        <w:jc w:val="left"/>
        <w:rPr>
          <w:rFonts w:cs="Calibri"/>
          <w:szCs w:val="22"/>
        </w:rPr>
      </w:pPr>
      <w:r w:rsidRPr="007350A0">
        <w:rPr>
          <w:rFonts w:cs="Calibri"/>
          <w:szCs w:val="22"/>
        </w:rPr>
        <w:t xml:space="preserve">Emergency </w:t>
      </w:r>
      <w:r w:rsidR="00FF28E8" w:rsidRPr="007350A0">
        <w:rPr>
          <w:rFonts w:cs="Calibri"/>
          <w:szCs w:val="22"/>
        </w:rPr>
        <w:t>Ambulance Services</w:t>
      </w:r>
      <w:r w:rsidR="00121F97" w:rsidRPr="007350A0">
        <w:rPr>
          <w:rFonts w:cs="Calibri"/>
          <w:szCs w:val="22"/>
        </w:rPr>
        <w:t>.</w:t>
      </w:r>
    </w:p>
    <w:p w14:paraId="179B1767" w14:textId="5ECCB531" w:rsidR="00FE46F1" w:rsidRPr="007350A0" w:rsidRDefault="00FE46F1" w:rsidP="00F60A35">
      <w:pPr>
        <w:pStyle w:val="ListParagraph"/>
        <w:numPr>
          <w:ilvl w:val="0"/>
          <w:numId w:val="16"/>
        </w:numPr>
        <w:jc w:val="left"/>
        <w:rPr>
          <w:rFonts w:cs="Calibri"/>
          <w:szCs w:val="22"/>
        </w:rPr>
      </w:pPr>
      <w:r w:rsidRPr="007350A0">
        <w:rPr>
          <w:rFonts w:cs="Calibri"/>
          <w:szCs w:val="22"/>
        </w:rPr>
        <w:t>Non-Emergency Pat</w:t>
      </w:r>
      <w:r w:rsidR="00121F97" w:rsidRPr="007350A0">
        <w:rPr>
          <w:rFonts w:cs="Calibri"/>
          <w:szCs w:val="22"/>
        </w:rPr>
        <w:t>ient Transport Services (NEPTS).</w:t>
      </w:r>
    </w:p>
    <w:p w14:paraId="5B361211" w14:textId="6C2836CE" w:rsidR="00FE46F1" w:rsidRPr="007350A0" w:rsidRDefault="00FE46F1" w:rsidP="00F60A35">
      <w:pPr>
        <w:pStyle w:val="ListParagraph"/>
        <w:numPr>
          <w:ilvl w:val="0"/>
          <w:numId w:val="16"/>
        </w:numPr>
        <w:jc w:val="left"/>
        <w:rPr>
          <w:rFonts w:cs="Calibri"/>
          <w:szCs w:val="22"/>
        </w:rPr>
      </w:pPr>
      <w:r w:rsidRPr="007350A0">
        <w:rPr>
          <w:rFonts w:cs="Calibri"/>
          <w:szCs w:val="22"/>
        </w:rPr>
        <w:t xml:space="preserve">Emergency Medical Retrieval and </w:t>
      </w:r>
      <w:r w:rsidR="00FF28E8" w:rsidRPr="007350A0">
        <w:rPr>
          <w:rFonts w:cs="Calibri"/>
          <w:szCs w:val="22"/>
        </w:rPr>
        <w:t>Transfer</w:t>
      </w:r>
      <w:r w:rsidRPr="007350A0">
        <w:rPr>
          <w:rFonts w:cs="Calibri"/>
          <w:szCs w:val="22"/>
        </w:rPr>
        <w:t xml:space="preserve"> </w:t>
      </w:r>
      <w:r w:rsidR="00803379" w:rsidRPr="007350A0">
        <w:rPr>
          <w:rFonts w:cs="Calibri"/>
          <w:szCs w:val="22"/>
        </w:rPr>
        <w:t>Services (</w:t>
      </w:r>
      <w:r w:rsidRPr="007350A0">
        <w:rPr>
          <w:rFonts w:cs="Calibri"/>
          <w:szCs w:val="22"/>
        </w:rPr>
        <w:t>EMRTS)</w:t>
      </w:r>
      <w:r w:rsidR="00121F97" w:rsidRPr="007350A0">
        <w:rPr>
          <w:rFonts w:cs="Calibri"/>
          <w:szCs w:val="22"/>
        </w:rPr>
        <w:t>.</w:t>
      </w:r>
      <w:r w:rsidR="007350A0" w:rsidRPr="007350A0">
        <w:rPr>
          <w:noProof/>
        </w:rPr>
        <w:t xml:space="preserve"> </w:t>
      </w:r>
    </w:p>
    <w:p w14:paraId="53B4E60B" w14:textId="5718C30A" w:rsidR="00FE46F1" w:rsidRPr="007350A0" w:rsidRDefault="00FE46F1" w:rsidP="006D43E6">
      <w:pPr>
        <w:rPr>
          <w:rFonts w:asciiTheme="minorHAnsi" w:hAnsiTheme="minorHAnsi"/>
          <w:szCs w:val="22"/>
          <w:lang w:eastAsia="en-US"/>
        </w:rPr>
      </w:pPr>
    </w:p>
    <w:p w14:paraId="431F3C5B" w14:textId="0FC082A3" w:rsidR="006D43E6" w:rsidRPr="007350A0" w:rsidRDefault="00FE46F1" w:rsidP="006D43E6">
      <w:pPr>
        <w:rPr>
          <w:rFonts w:asciiTheme="minorHAnsi" w:hAnsiTheme="minorHAnsi"/>
          <w:b/>
          <w:szCs w:val="22"/>
          <w:lang w:eastAsia="en-US"/>
        </w:rPr>
      </w:pPr>
      <w:r w:rsidRPr="007350A0">
        <w:rPr>
          <w:rFonts w:cs="Calibri"/>
          <w:szCs w:val="22"/>
        </w:rPr>
        <w:t xml:space="preserve">The </w:t>
      </w:r>
      <w:r w:rsidRPr="007350A0">
        <w:rPr>
          <w:rFonts w:cs="Calibri"/>
          <w:bCs/>
          <w:szCs w:val="22"/>
        </w:rPr>
        <w:t>National Collaborative Commissioning Unit</w:t>
      </w:r>
      <w:r w:rsidRPr="007350A0">
        <w:rPr>
          <w:rFonts w:cs="Calibri"/>
          <w:szCs w:val="22"/>
        </w:rPr>
        <w:t xml:space="preserve"> on behalf of EASC develops Commissioning Intentions for EMS and NEPTS</w:t>
      </w:r>
      <w:r w:rsidR="007350A0" w:rsidRPr="007350A0">
        <w:rPr>
          <w:rFonts w:asciiTheme="minorHAnsi" w:hAnsiTheme="minorHAnsi"/>
          <w:szCs w:val="22"/>
          <w:lang w:eastAsia="en-US"/>
        </w:rPr>
        <w:t>.  The 2020-23</w:t>
      </w:r>
      <w:r w:rsidRPr="007350A0">
        <w:rPr>
          <w:rFonts w:asciiTheme="minorHAnsi" w:hAnsiTheme="minorHAnsi"/>
          <w:szCs w:val="22"/>
          <w:lang w:eastAsia="en-US"/>
        </w:rPr>
        <w:t xml:space="preserve"> </w:t>
      </w:r>
      <w:r w:rsidR="006D43E6" w:rsidRPr="007350A0">
        <w:rPr>
          <w:rFonts w:asciiTheme="minorHAnsi" w:hAnsiTheme="minorHAnsi"/>
          <w:szCs w:val="22"/>
          <w:lang w:eastAsia="en-US"/>
        </w:rPr>
        <w:t>Com</w:t>
      </w:r>
      <w:r w:rsidR="006D43E6" w:rsidRPr="007350A0">
        <w:rPr>
          <w:rFonts w:asciiTheme="minorHAnsi" w:hAnsiTheme="minorHAnsi"/>
          <w:szCs w:val="22"/>
        </w:rPr>
        <w:t>missionin</w:t>
      </w:r>
      <w:r w:rsidR="00850CCB" w:rsidRPr="007350A0">
        <w:rPr>
          <w:rFonts w:asciiTheme="minorHAnsi" w:hAnsiTheme="minorHAnsi"/>
          <w:szCs w:val="22"/>
          <w:lang w:eastAsia="en-US"/>
        </w:rPr>
        <w:t xml:space="preserve">g </w:t>
      </w:r>
      <w:r w:rsidR="006A5EAB" w:rsidRPr="007350A0">
        <w:rPr>
          <w:rFonts w:asciiTheme="minorHAnsi" w:hAnsiTheme="minorHAnsi"/>
          <w:szCs w:val="22"/>
          <w:lang w:eastAsia="en-US"/>
        </w:rPr>
        <w:t xml:space="preserve">intentions </w:t>
      </w:r>
      <w:r w:rsidR="00850CCB" w:rsidRPr="007350A0">
        <w:rPr>
          <w:rFonts w:asciiTheme="minorHAnsi" w:hAnsiTheme="minorHAnsi"/>
          <w:szCs w:val="22"/>
          <w:lang w:eastAsia="en-US"/>
        </w:rPr>
        <w:t xml:space="preserve">can be found in </w:t>
      </w:r>
      <w:r w:rsidR="00850CCB" w:rsidRPr="00724076">
        <w:rPr>
          <w:rFonts w:asciiTheme="minorHAnsi" w:hAnsiTheme="minorHAnsi"/>
          <w:b/>
          <w:szCs w:val="22"/>
          <w:lang w:eastAsia="en-US"/>
        </w:rPr>
        <w:t xml:space="preserve">Annex </w:t>
      </w:r>
      <w:r w:rsidR="005C3AAA">
        <w:rPr>
          <w:rFonts w:asciiTheme="minorHAnsi" w:hAnsiTheme="minorHAnsi"/>
          <w:b/>
          <w:szCs w:val="22"/>
          <w:lang w:eastAsia="en-US"/>
        </w:rPr>
        <w:t>3</w:t>
      </w:r>
      <w:r w:rsidR="00850CCB" w:rsidRPr="007350A0">
        <w:rPr>
          <w:rFonts w:asciiTheme="minorHAnsi" w:hAnsiTheme="minorHAnsi"/>
          <w:szCs w:val="22"/>
          <w:lang w:eastAsia="en-US"/>
        </w:rPr>
        <w:t>.</w:t>
      </w:r>
      <w:r w:rsidR="00762C81" w:rsidRPr="007350A0">
        <w:rPr>
          <w:rFonts w:asciiTheme="minorHAnsi" w:hAnsiTheme="minorHAnsi"/>
          <w:szCs w:val="22"/>
          <w:lang w:eastAsia="en-US"/>
        </w:rPr>
        <w:t xml:space="preserve">  </w:t>
      </w:r>
      <w:r w:rsidR="006D43E6" w:rsidRPr="007350A0">
        <w:rPr>
          <w:rFonts w:asciiTheme="minorHAnsi" w:hAnsiTheme="minorHAnsi"/>
          <w:szCs w:val="22"/>
        </w:rPr>
        <w:t xml:space="preserve">In order to align commissioning intentions with the Plan, the following process </w:t>
      </w:r>
      <w:r w:rsidR="004B20C1" w:rsidRPr="007350A0">
        <w:rPr>
          <w:rFonts w:asciiTheme="minorHAnsi" w:hAnsiTheme="minorHAnsi"/>
          <w:szCs w:val="22"/>
        </w:rPr>
        <w:t xml:space="preserve">illustrated on the right is </w:t>
      </w:r>
      <w:r w:rsidR="006D43E6" w:rsidRPr="007350A0">
        <w:rPr>
          <w:rFonts w:asciiTheme="minorHAnsi" w:hAnsiTheme="minorHAnsi"/>
          <w:szCs w:val="22"/>
        </w:rPr>
        <w:t>followed.</w:t>
      </w:r>
    </w:p>
    <w:p w14:paraId="654AD584" w14:textId="7F071E03" w:rsidR="007D5BE2" w:rsidRPr="007350A0" w:rsidRDefault="007D5BE2" w:rsidP="00FE46F1">
      <w:pPr>
        <w:rPr>
          <w:rFonts w:asciiTheme="minorHAnsi" w:hAnsiTheme="minorHAnsi"/>
          <w:b/>
          <w:szCs w:val="22"/>
        </w:rPr>
      </w:pPr>
    </w:p>
    <w:p w14:paraId="0DDC8050" w14:textId="07197205" w:rsidR="00FD79F9" w:rsidRPr="007350A0" w:rsidRDefault="00FF28E8" w:rsidP="006D43E6">
      <w:pPr>
        <w:rPr>
          <w:rFonts w:asciiTheme="minorHAnsi" w:hAnsiTheme="minorHAnsi"/>
          <w:szCs w:val="22"/>
        </w:rPr>
      </w:pPr>
      <w:r w:rsidRPr="007350A0">
        <w:rPr>
          <w:rFonts w:cs="Calibri"/>
          <w:szCs w:val="22"/>
        </w:rPr>
        <w:t>WAST is commissioned to deliver ambulance services</w:t>
      </w:r>
      <w:r w:rsidR="005043C3" w:rsidRPr="007350A0">
        <w:rPr>
          <w:rFonts w:cs="Calibri"/>
          <w:szCs w:val="22"/>
        </w:rPr>
        <w:t xml:space="preserve"> and</w:t>
      </w:r>
      <w:r w:rsidRPr="007350A0">
        <w:rPr>
          <w:rFonts w:cs="Calibri"/>
          <w:szCs w:val="22"/>
        </w:rPr>
        <w:t xml:space="preserve"> </w:t>
      </w:r>
      <w:r w:rsidR="005717DF" w:rsidRPr="007350A0">
        <w:rPr>
          <w:rFonts w:cs="Calibri"/>
          <w:szCs w:val="22"/>
        </w:rPr>
        <w:t>the relevant joint Health Board and WAST priority schemes for 20</w:t>
      </w:r>
      <w:r w:rsidR="007350A0" w:rsidRPr="007350A0">
        <w:rPr>
          <w:rFonts w:cs="Calibri"/>
          <w:szCs w:val="22"/>
        </w:rPr>
        <w:t>20</w:t>
      </w:r>
      <w:r w:rsidR="005717DF" w:rsidRPr="007350A0">
        <w:rPr>
          <w:rFonts w:cs="Calibri"/>
          <w:szCs w:val="22"/>
        </w:rPr>
        <w:t>/2</w:t>
      </w:r>
      <w:r w:rsidR="007350A0" w:rsidRPr="007350A0">
        <w:rPr>
          <w:rFonts w:cs="Calibri"/>
          <w:szCs w:val="22"/>
        </w:rPr>
        <w:t>1</w:t>
      </w:r>
      <w:r w:rsidRPr="007350A0">
        <w:rPr>
          <w:rFonts w:asciiTheme="minorHAnsi" w:hAnsiTheme="minorHAnsi"/>
          <w:szCs w:val="22"/>
          <w:lang w:eastAsia="en-US"/>
        </w:rPr>
        <w:t xml:space="preserve"> can be found in </w:t>
      </w:r>
      <w:r w:rsidR="001E4399" w:rsidRPr="00724076">
        <w:rPr>
          <w:rFonts w:asciiTheme="minorHAnsi" w:hAnsiTheme="minorHAnsi"/>
          <w:b/>
          <w:szCs w:val="22"/>
        </w:rPr>
        <w:t xml:space="preserve">Annex </w:t>
      </w:r>
      <w:r w:rsidR="005C3AAA">
        <w:rPr>
          <w:rFonts w:asciiTheme="minorHAnsi" w:hAnsiTheme="minorHAnsi"/>
          <w:b/>
          <w:szCs w:val="22"/>
        </w:rPr>
        <w:t>4</w:t>
      </w:r>
      <w:r w:rsidR="00FE46F1" w:rsidRPr="007350A0">
        <w:rPr>
          <w:rFonts w:asciiTheme="minorHAnsi" w:hAnsiTheme="minorHAnsi"/>
          <w:szCs w:val="22"/>
        </w:rPr>
        <w:t>.</w:t>
      </w:r>
    </w:p>
    <w:p w14:paraId="0F4E84FF" w14:textId="22D443CA" w:rsidR="00FD79F9" w:rsidRPr="005B44BD" w:rsidRDefault="00FD79F9" w:rsidP="00FD79F9">
      <w:pPr>
        <w:pStyle w:val="Heading3"/>
        <w:rPr>
          <w:szCs w:val="22"/>
        </w:rPr>
      </w:pPr>
      <w:r w:rsidRPr="005B44BD">
        <w:rPr>
          <w:szCs w:val="22"/>
        </w:rPr>
        <w:t>NHS Wales Shared Services Partnership</w:t>
      </w:r>
    </w:p>
    <w:p w14:paraId="5247338C" w14:textId="77777777" w:rsidR="008E3CA4" w:rsidRPr="00762C81" w:rsidRDefault="008E3CA4" w:rsidP="008E3CA4">
      <w:pPr>
        <w:rPr>
          <w:rFonts w:asciiTheme="minorHAnsi" w:hAnsiTheme="minorHAnsi"/>
          <w:szCs w:val="22"/>
        </w:rPr>
      </w:pPr>
      <w:r w:rsidRPr="005B44BD">
        <w:rPr>
          <w:szCs w:val="22"/>
        </w:rPr>
        <w:t xml:space="preserve">Shared Services provide an invaluable role in supporting our work with 95% of NHS Wales expenditure processed through shared services systems and processes.  Shared Services support is helping the organisation to maximise every pound spent though supporting work </w:t>
      </w:r>
      <w:r w:rsidRPr="005B44BD">
        <w:rPr>
          <w:rFonts w:asciiTheme="minorHAnsi" w:hAnsiTheme="minorHAnsi"/>
          <w:szCs w:val="22"/>
        </w:rPr>
        <w:t xml:space="preserve">on value based procurement and ensuring effective contracting models are in place with our contracted services in primary care.  </w:t>
      </w:r>
      <w:r w:rsidRPr="005B44BD">
        <w:rPr>
          <w:rFonts w:asciiTheme="minorHAnsi" w:hAnsiTheme="minorHAnsi" w:cs="Calibri"/>
          <w:color w:val="000000"/>
          <w:szCs w:val="22"/>
        </w:rPr>
        <w:t>As set out in the P</w:t>
      </w:r>
      <w:r w:rsidRPr="00762C81">
        <w:rPr>
          <w:rFonts w:asciiTheme="minorHAnsi" w:hAnsiTheme="minorHAnsi" w:cs="Calibri"/>
          <w:color w:val="000000"/>
          <w:szCs w:val="22"/>
        </w:rPr>
        <w:t xml:space="preserve">lan, recruitment and retention of staff is a key enabler for our plans.  Maximising Hire to Retire and the agility of our Electronic Staff Record is crucial to be able to respond as staffing pressures emerge. </w:t>
      </w:r>
    </w:p>
    <w:p w14:paraId="10915389" w14:textId="77777777" w:rsidR="008E3CA4" w:rsidRPr="005B44BD" w:rsidRDefault="008E3CA4" w:rsidP="008E3CA4">
      <w:pPr>
        <w:autoSpaceDE w:val="0"/>
        <w:autoSpaceDN w:val="0"/>
        <w:adjustRightInd w:val="0"/>
        <w:jc w:val="left"/>
        <w:rPr>
          <w:rFonts w:asciiTheme="minorHAnsi" w:hAnsiTheme="minorHAnsi" w:cs="Calibri"/>
          <w:color w:val="000000"/>
          <w:szCs w:val="22"/>
        </w:rPr>
      </w:pPr>
    </w:p>
    <w:p w14:paraId="323E61CC" w14:textId="2866CBBB" w:rsidR="008E3CA4" w:rsidRPr="00762C81" w:rsidRDefault="008E3CA4" w:rsidP="00B223DD">
      <w:pPr>
        <w:autoSpaceDE w:val="0"/>
        <w:autoSpaceDN w:val="0"/>
        <w:adjustRightInd w:val="0"/>
        <w:rPr>
          <w:rFonts w:asciiTheme="minorHAnsi" w:hAnsiTheme="minorHAnsi" w:cs="Calibri"/>
          <w:color w:val="000000"/>
          <w:szCs w:val="22"/>
        </w:rPr>
      </w:pPr>
      <w:r w:rsidRPr="00762C81">
        <w:rPr>
          <w:rFonts w:asciiTheme="minorHAnsi" w:hAnsiTheme="minorHAnsi" w:cs="Calibri"/>
          <w:color w:val="000000"/>
          <w:szCs w:val="22"/>
        </w:rPr>
        <w:t xml:space="preserve">Shared Services plays an important role in unsung areas which support service sustainability and </w:t>
      </w:r>
      <w:r w:rsidR="00B223DD">
        <w:rPr>
          <w:rFonts w:asciiTheme="minorHAnsi" w:hAnsiTheme="minorHAnsi" w:cs="Calibri"/>
          <w:color w:val="000000"/>
          <w:szCs w:val="22"/>
        </w:rPr>
        <w:t>t</w:t>
      </w:r>
      <w:r w:rsidRPr="00762C81">
        <w:rPr>
          <w:rFonts w:asciiTheme="minorHAnsi" w:hAnsiTheme="minorHAnsi" w:cs="Calibri"/>
          <w:color w:val="000000"/>
          <w:szCs w:val="22"/>
        </w:rPr>
        <w:t xml:space="preserve">ransformation.  We will continue to work with the service in areas such as: </w:t>
      </w:r>
    </w:p>
    <w:p w14:paraId="1E3A9D56" w14:textId="77777777" w:rsidR="008E3CA4" w:rsidRPr="005B44BD" w:rsidRDefault="008E3CA4" w:rsidP="00B223DD">
      <w:pPr>
        <w:pStyle w:val="ListParagraph"/>
        <w:numPr>
          <w:ilvl w:val="0"/>
          <w:numId w:val="9"/>
        </w:numPr>
        <w:autoSpaceDE w:val="0"/>
        <w:autoSpaceDN w:val="0"/>
        <w:adjustRightInd w:val="0"/>
        <w:spacing w:after="18"/>
        <w:ind w:left="357" w:hanging="357"/>
        <w:rPr>
          <w:rFonts w:asciiTheme="minorHAnsi" w:hAnsiTheme="minorHAnsi" w:cs="Calibri"/>
          <w:color w:val="000000"/>
          <w:szCs w:val="22"/>
        </w:rPr>
      </w:pPr>
      <w:r w:rsidRPr="005B44BD">
        <w:rPr>
          <w:rFonts w:asciiTheme="minorHAnsi" w:hAnsiTheme="minorHAnsi" w:cs="Calibri"/>
          <w:color w:val="000000"/>
          <w:szCs w:val="22"/>
        </w:rPr>
        <w:t xml:space="preserve">Scan and Store Service are creating capacity in GP surgeries to meet population growth. </w:t>
      </w:r>
    </w:p>
    <w:p w14:paraId="49B2B7FF" w14:textId="77777777" w:rsidR="008E3CA4" w:rsidRPr="005B44BD" w:rsidRDefault="008E3CA4" w:rsidP="00B223DD">
      <w:pPr>
        <w:pStyle w:val="ListParagraph"/>
        <w:numPr>
          <w:ilvl w:val="0"/>
          <w:numId w:val="9"/>
        </w:numPr>
        <w:autoSpaceDE w:val="0"/>
        <w:autoSpaceDN w:val="0"/>
        <w:adjustRightInd w:val="0"/>
        <w:spacing w:after="18"/>
        <w:ind w:left="357" w:hanging="357"/>
        <w:rPr>
          <w:rFonts w:asciiTheme="minorHAnsi" w:hAnsiTheme="minorHAnsi" w:cs="Calibri"/>
          <w:color w:val="000000"/>
          <w:szCs w:val="22"/>
        </w:rPr>
      </w:pPr>
      <w:r w:rsidRPr="005B44BD">
        <w:rPr>
          <w:rFonts w:asciiTheme="minorHAnsi" w:hAnsiTheme="minorHAnsi" w:cs="Calibri"/>
          <w:color w:val="000000"/>
          <w:szCs w:val="22"/>
        </w:rPr>
        <w:t xml:space="preserve">Developing contracting models that allow for greater collaboration and sharing of premises across multiple public, private and third sector partners. </w:t>
      </w:r>
    </w:p>
    <w:p w14:paraId="68497D9D" w14:textId="77777777" w:rsidR="008E3CA4" w:rsidRPr="005B44BD" w:rsidRDefault="008E3CA4" w:rsidP="00B223DD">
      <w:pPr>
        <w:pStyle w:val="ListParagraph"/>
        <w:numPr>
          <w:ilvl w:val="0"/>
          <w:numId w:val="9"/>
        </w:numPr>
        <w:autoSpaceDE w:val="0"/>
        <w:autoSpaceDN w:val="0"/>
        <w:adjustRightInd w:val="0"/>
        <w:ind w:left="357" w:hanging="357"/>
        <w:rPr>
          <w:rFonts w:asciiTheme="minorHAnsi" w:hAnsiTheme="minorHAnsi" w:cs="Calibri"/>
          <w:color w:val="000000"/>
          <w:szCs w:val="22"/>
        </w:rPr>
      </w:pPr>
      <w:r w:rsidRPr="005B44BD">
        <w:rPr>
          <w:rFonts w:asciiTheme="minorHAnsi" w:hAnsiTheme="minorHAnsi" w:cs="Calibri"/>
          <w:color w:val="000000"/>
          <w:szCs w:val="22"/>
        </w:rPr>
        <w:t>Delivering an effective laundry service, supporting the smooth and efficient running of hospital services.</w:t>
      </w:r>
    </w:p>
    <w:p w14:paraId="354C7400" w14:textId="4176B4BF" w:rsidR="00762C81" w:rsidRPr="00BF4C11" w:rsidRDefault="00762C81" w:rsidP="00B223DD">
      <w:pPr>
        <w:pStyle w:val="Heading3"/>
        <w:rPr>
          <w:szCs w:val="22"/>
        </w:rPr>
      </w:pPr>
      <w:r w:rsidRPr="00BF4C11">
        <w:rPr>
          <w:rFonts w:cs="Calibri"/>
          <w:szCs w:val="22"/>
        </w:rPr>
        <w:t xml:space="preserve">Health Education and Improvement Wales </w:t>
      </w:r>
    </w:p>
    <w:p w14:paraId="0067FA99" w14:textId="59FD4339" w:rsidR="00FC7D1E" w:rsidRPr="00BF4C11" w:rsidRDefault="00762C81" w:rsidP="00B223DD">
      <w:pPr>
        <w:autoSpaceDE w:val="0"/>
        <w:autoSpaceDN w:val="0"/>
        <w:adjustRightInd w:val="0"/>
        <w:rPr>
          <w:rFonts w:cs="Calibri"/>
          <w:szCs w:val="22"/>
        </w:rPr>
      </w:pPr>
      <w:r w:rsidRPr="00BF4C11">
        <w:rPr>
          <w:rFonts w:cs="Calibri"/>
          <w:szCs w:val="22"/>
        </w:rPr>
        <w:t>The Health Board is work</w:t>
      </w:r>
      <w:r w:rsidR="00AB07C5" w:rsidRPr="00BF4C11">
        <w:rPr>
          <w:rFonts w:cs="Calibri"/>
          <w:szCs w:val="22"/>
        </w:rPr>
        <w:t>ing</w:t>
      </w:r>
      <w:r w:rsidRPr="00BF4C11">
        <w:rPr>
          <w:rFonts w:cs="Calibri"/>
          <w:szCs w:val="22"/>
        </w:rPr>
        <w:t xml:space="preserve"> in partnership with Health Education and Improvement Wales (HEIW)</w:t>
      </w:r>
      <w:r w:rsidR="00803379" w:rsidRPr="00BF4C11">
        <w:rPr>
          <w:rFonts w:cs="Calibri"/>
          <w:szCs w:val="22"/>
        </w:rPr>
        <w:t xml:space="preserve">.  </w:t>
      </w:r>
      <w:r w:rsidRPr="00BF4C11">
        <w:rPr>
          <w:rFonts w:cs="Calibri"/>
          <w:szCs w:val="22"/>
        </w:rPr>
        <w:t>Through planning discussions we have already provided the opportunity to share our agendas, priorities, plans and challenges</w:t>
      </w:r>
      <w:r w:rsidR="00803379" w:rsidRPr="00BF4C11">
        <w:rPr>
          <w:rFonts w:cs="Calibri"/>
          <w:szCs w:val="22"/>
        </w:rPr>
        <w:t xml:space="preserve">.  </w:t>
      </w:r>
      <w:r w:rsidRPr="00BF4C11">
        <w:rPr>
          <w:rFonts w:cs="Calibri"/>
          <w:szCs w:val="22"/>
        </w:rPr>
        <w:t xml:space="preserve">We </w:t>
      </w:r>
      <w:r w:rsidR="002765E5">
        <w:rPr>
          <w:rFonts w:cs="Calibri"/>
          <w:szCs w:val="22"/>
        </w:rPr>
        <w:t xml:space="preserve"> are</w:t>
      </w:r>
      <w:r w:rsidRPr="00BF4C11">
        <w:rPr>
          <w:rFonts w:cs="Calibri"/>
          <w:szCs w:val="22"/>
        </w:rPr>
        <w:t xml:space="preserve"> particularly pleased to work closely with the organisation as it develops and integrates workforce planning and leadership and succession planning into its core objectives.</w:t>
      </w:r>
    </w:p>
    <w:p w14:paraId="32FE54C1" w14:textId="77777777" w:rsidR="00FC7D1E" w:rsidRDefault="00FC7D1E">
      <w:pPr>
        <w:jc w:val="left"/>
        <w:rPr>
          <w:rFonts w:cs="Calibri"/>
          <w:color w:val="943634" w:themeColor="accent2" w:themeShade="BF"/>
          <w:szCs w:val="22"/>
        </w:rPr>
      </w:pPr>
      <w:r>
        <w:rPr>
          <w:rFonts w:cs="Calibri"/>
          <w:color w:val="943634" w:themeColor="accent2" w:themeShade="BF"/>
          <w:szCs w:val="22"/>
        </w:rPr>
        <w:br w:type="page"/>
      </w:r>
    </w:p>
    <w:p w14:paraId="1F93C0D2" w14:textId="4728F6A9" w:rsidR="00AB0E46" w:rsidRPr="00404AD9" w:rsidRDefault="00AB0E46" w:rsidP="00BD26EA">
      <w:pPr>
        <w:pStyle w:val="Heading1"/>
        <w:rPr>
          <w:szCs w:val="26"/>
        </w:rPr>
      </w:pPr>
      <w:bookmarkStart w:id="149" w:name="_Toc441757283"/>
      <w:bookmarkStart w:id="150" w:name="_Toc447195688"/>
      <w:bookmarkStart w:id="151" w:name="_Toc471830036"/>
      <w:bookmarkStart w:id="152" w:name="_Toc473290361"/>
      <w:bookmarkStart w:id="153" w:name="_Toc478738538"/>
      <w:bookmarkStart w:id="154" w:name="_Toc532299686"/>
      <w:bookmarkStart w:id="155" w:name="_Toc532464013"/>
      <w:bookmarkStart w:id="156" w:name="_Toc536195567"/>
      <w:bookmarkStart w:id="157" w:name="_Toc29573952"/>
      <w:r w:rsidRPr="00404AD9">
        <w:rPr>
          <w:szCs w:val="26"/>
        </w:rPr>
        <w:lastRenderedPageBreak/>
        <w:t>WORKFORCE AND ORGANISATIONAL DEVELOPMENT</w:t>
      </w:r>
      <w:bookmarkEnd w:id="149"/>
      <w:bookmarkEnd w:id="150"/>
      <w:bookmarkEnd w:id="151"/>
      <w:bookmarkEnd w:id="152"/>
      <w:bookmarkEnd w:id="153"/>
      <w:bookmarkEnd w:id="154"/>
      <w:bookmarkEnd w:id="155"/>
      <w:bookmarkEnd w:id="156"/>
      <w:bookmarkEnd w:id="157"/>
    </w:p>
    <w:p w14:paraId="37637730" w14:textId="12F78C0D" w:rsidR="00DD623D" w:rsidRDefault="002765E5" w:rsidP="00DD623D">
      <w:pPr>
        <w:rPr>
          <w:rFonts w:cstheme="minorHAnsi"/>
        </w:rPr>
      </w:pPr>
      <w:r>
        <w:rPr>
          <w:rFonts w:cstheme="minorHAnsi"/>
        </w:rPr>
        <w:t xml:space="preserve">Since the boundary change the </w:t>
      </w:r>
      <w:r w:rsidR="00DD623D" w:rsidRPr="0033013E">
        <w:rPr>
          <w:rFonts w:cstheme="minorHAnsi"/>
        </w:rPr>
        <w:t xml:space="preserve"> </w:t>
      </w:r>
      <w:r w:rsidR="001315D2">
        <w:rPr>
          <w:rFonts w:cstheme="minorHAnsi"/>
        </w:rPr>
        <w:t xml:space="preserve">new organisation’s </w:t>
      </w:r>
      <w:r w:rsidR="00DD623D" w:rsidRPr="0033013E">
        <w:rPr>
          <w:rFonts w:cstheme="minorHAnsi"/>
        </w:rPr>
        <w:t>workforce has seen a signifi</w:t>
      </w:r>
      <w:r w:rsidR="00DD623D">
        <w:rPr>
          <w:rFonts w:cstheme="minorHAnsi"/>
        </w:rPr>
        <w:t>cant growth to</w:t>
      </w:r>
      <w:r w:rsidR="00DD623D" w:rsidRPr="0033013E">
        <w:rPr>
          <w:rFonts w:cstheme="minorHAnsi"/>
        </w:rPr>
        <w:t xml:space="preserve"> approximately 1</w:t>
      </w:r>
      <w:r w:rsidR="00DD623D">
        <w:rPr>
          <w:rFonts w:cstheme="minorHAnsi"/>
        </w:rPr>
        <w:t>2</w:t>
      </w:r>
      <w:r w:rsidR="00DD623D" w:rsidRPr="0033013E">
        <w:rPr>
          <w:rFonts w:cstheme="minorHAnsi"/>
        </w:rPr>
        <w:t>,</w:t>
      </w:r>
      <w:r w:rsidR="00DD623D">
        <w:rPr>
          <w:rFonts w:cstheme="minorHAnsi"/>
        </w:rPr>
        <w:t>0</w:t>
      </w:r>
      <w:r w:rsidR="00187CDF">
        <w:rPr>
          <w:rFonts w:cstheme="minorHAnsi"/>
        </w:rPr>
        <w:t>0</w:t>
      </w:r>
      <w:r w:rsidR="00DD623D">
        <w:rPr>
          <w:rFonts w:cstheme="minorHAnsi"/>
        </w:rPr>
        <w:t>0</w:t>
      </w:r>
      <w:r w:rsidR="00DD623D" w:rsidRPr="0033013E">
        <w:rPr>
          <w:rFonts w:cstheme="minorHAnsi"/>
        </w:rPr>
        <w:t xml:space="preserve"> head count and 10,</w:t>
      </w:r>
      <w:r w:rsidR="00DD623D">
        <w:rPr>
          <w:rFonts w:cstheme="minorHAnsi"/>
        </w:rPr>
        <w:t>500</w:t>
      </w:r>
      <w:r w:rsidR="00DD623D" w:rsidRPr="0033013E">
        <w:rPr>
          <w:rFonts w:cstheme="minorHAnsi"/>
        </w:rPr>
        <w:t xml:space="preserve"> WTE at </w:t>
      </w:r>
      <w:r w:rsidR="00DD623D">
        <w:rPr>
          <w:rFonts w:cstheme="minorHAnsi"/>
        </w:rPr>
        <w:t>December</w:t>
      </w:r>
      <w:r w:rsidR="00DD623D" w:rsidRPr="0033013E">
        <w:rPr>
          <w:rFonts w:cstheme="minorHAnsi"/>
        </w:rPr>
        <w:t xml:space="preserve"> 2019.  The geographic area and population we serve has also increased</w:t>
      </w:r>
      <w:r w:rsidR="001315D2">
        <w:rPr>
          <w:rFonts w:cstheme="minorHAnsi"/>
        </w:rPr>
        <w:t xml:space="preserve"> w</w:t>
      </w:r>
      <w:r w:rsidR="00DD623D" w:rsidRPr="0033013E">
        <w:rPr>
          <w:rFonts w:cstheme="minorHAnsi"/>
        </w:rPr>
        <w:t>ith 3 District General Hospital</w:t>
      </w:r>
      <w:r w:rsidR="004017C4">
        <w:rPr>
          <w:rFonts w:cstheme="minorHAnsi"/>
        </w:rPr>
        <w:t>s</w:t>
      </w:r>
      <w:r w:rsidR="00DD623D" w:rsidRPr="0033013E">
        <w:rPr>
          <w:rFonts w:cstheme="minorHAnsi"/>
        </w:rPr>
        <w:t xml:space="preserve"> and growth in primary </w:t>
      </w:r>
      <w:r w:rsidR="00DD623D">
        <w:rPr>
          <w:rFonts w:cstheme="minorHAnsi"/>
        </w:rPr>
        <w:t xml:space="preserve">and community </w:t>
      </w:r>
      <w:r w:rsidR="00DD623D" w:rsidRPr="0033013E">
        <w:rPr>
          <w:rFonts w:cstheme="minorHAnsi"/>
        </w:rPr>
        <w:t>c</w:t>
      </w:r>
      <w:r w:rsidR="00DD623D">
        <w:rPr>
          <w:rFonts w:cstheme="minorHAnsi"/>
        </w:rPr>
        <w:t>are provision and partnerships.</w:t>
      </w:r>
    </w:p>
    <w:p w14:paraId="7D26AB85" w14:textId="77777777" w:rsidR="00DD623D" w:rsidRPr="0033013E" w:rsidRDefault="00DD623D" w:rsidP="00DD623D">
      <w:pPr>
        <w:rPr>
          <w:rFonts w:cstheme="minorHAnsi"/>
        </w:rPr>
      </w:pPr>
    </w:p>
    <w:p w14:paraId="6785DA0A" w14:textId="2C33E51A" w:rsidR="00FC7D1E" w:rsidRPr="005E5CB8" w:rsidRDefault="00DD623D" w:rsidP="00DD623D">
      <w:pPr>
        <w:autoSpaceDE w:val="0"/>
        <w:autoSpaceDN w:val="0"/>
        <w:adjustRightInd w:val="0"/>
        <w:rPr>
          <w:rFonts w:asciiTheme="minorHAnsi" w:hAnsiTheme="minorHAnsi" w:cstheme="minorHAnsi"/>
          <w:szCs w:val="22"/>
        </w:rPr>
      </w:pPr>
      <w:r w:rsidRPr="0033013E">
        <w:rPr>
          <w:rFonts w:cstheme="minorHAnsi"/>
        </w:rPr>
        <w:t xml:space="preserve">The establishment of a Workforce and Organisation Development plan for </w:t>
      </w:r>
      <w:r w:rsidR="000774E1">
        <w:rPr>
          <w:rFonts w:cstheme="minorHAnsi"/>
        </w:rPr>
        <w:t>the Health Board</w:t>
      </w:r>
      <w:r w:rsidRPr="0033013E">
        <w:rPr>
          <w:rFonts w:cstheme="minorHAnsi"/>
        </w:rPr>
        <w:t xml:space="preserve"> which supports a focus on patient safety and quality of patient care is critically important.  The scale of the challenges and the context for the development of this plan include the Royal College</w:t>
      </w:r>
      <w:r>
        <w:rPr>
          <w:rFonts w:cstheme="minorHAnsi"/>
        </w:rPr>
        <w:t>s’ R</w:t>
      </w:r>
      <w:r w:rsidRPr="0033013E">
        <w:rPr>
          <w:rFonts w:cstheme="minorHAnsi"/>
        </w:rPr>
        <w:t>eview of Maternity Services, Targeted Intervention,</w:t>
      </w:r>
      <w:r>
        <w:rPr>
          <w:rFonts w:cstheme="minorHAnsi"/>
        </w:rPr>
        <w:t xml:space="preserve"> the </w:t>
      </w:r>
      <w:r w:rsidR="0033463A">
        <w:rPr>
          <w:rFonts w:cstheme="minorHAnsi"/>
        </w:rPr>
        <w:t>WAO</w:t>
      </w:r>
      <w:r>
        <w:rPr>
          <w:rFonts w:cstheme="minorHAnsi"/>
        </w:rPr>
        <w:t xml:space="preserve"> and Health and Care Inspectorate Wales Report,</w:t>
      </w:r>
      <w:r w:rsidRPr="0033013E">
        <w:rPr>
          <w:rFonts w:cstheme="minorHAnsi"/>
        </w:rPr>
        <w:t xml:space="preserve"> the Bridgend boundary change, the impl</w:t>
      </w:r>
      <w:r>
        <w:rPr>
          <w:rFonts w:cstheme="minorHAnsi"/>
        </w:rPr>
        <w:t>ementation of a new Operating Model</w:t>
      </w:r>
      <w:r w:rsidRPr="0033013E">
        <w:rPr>
          <w:rFonts w:cstheme="minorHAnsi"/>
        </w:rPr>
        <w:t xml:space="preserve"> and the develop</w:t>
      </w:r>
      <w:r>
        <w:rPr>
          <w:rFonts w:cstheme="minorHAnsi"/>
        </w:rPr>
        <w:t>ment of an</w:t>
      </w:r>
      <w:r w:rsidRPr="0033013E">
        <w:rPr>
          <w:rFonts w:cstheme="minorHAnsi"/>
        </w:rPr>
        <w:t xml:space="preserve"> </w:t>
      </w:r>
      <w:r>
        <w:rPr>
          <w:rFonts w:cstheme="minorHAnsi"/>
        </w:rPr>
        <w:t>Integrated Health &amp; Care</w:t>
      </w:r>
      <w:r w:rsidRPr="0033013E">
        <w:rPr>
          <w:rFonts w:cstheme="minorHAnsi"/>
        </w:rPr>
        <w:t xml:space="preserve"> Strategy.  In addition, the plan reflects the quadruple a</w:t>
      </w:r>
      <w:r>
        <w:rPr>
          <w:rFonts w:cstheme="minorHAnsi"/>
        </w:rPr>
        <w:t>im contained within</w:t>
      </w:r>
      <w:r w:rsidRPr="0033013E">
        <w:rPr>
          <w:rFonts w:cstheme="minorHAnsi"/>
        </w:rPr>
        <w:t xml:space="preserve"> </w:t>
      </w:r>
      <w:r>
        <w:rPr>
          <w:rFonts w:cstheme="minorHAnsi"/>
        </w:rPr>
        <w:t>“</w:t>
      </w:r>
      <w:r w:rsidRPr="0033013E">
        <w:rPr>
          <w:rFonts w:cstheme="minorHAnsi"/>
        </w:rPr>
        <w:t>A Healthier Wales</w:t>
      </w:r>
      <w:r>
        <w:rPr>
          <w:rFonts w:cstheme="minorHAnsi"/>
        </w:rPr>
        <w:t>”</w:t>
      </w:r>
      <w:r w:rsidR="00FC7D1E" w:rsidRPr="005E5CB8">
        <w:rPr>
          <w:rFonts w:asciiTheme="minorHAnsi" w:hAnsiTheme="minorHAnsi" w:cstheme="minorHAnsi"/>
          <w:szCs w:val="22"/>
        </w:rPr>
        <w:t>:</w:t>
      </w:r>
    </w:p>
    <w:p w14:paraId="3E3302AF" w14:textId="765F2AFC" w:rsidR="00D852F5" w:rsidRDefault="002F7071" w:rsidP="00D852F5">
      <w:pPr>
        <w:autoSpaceDE w:val="0"/>
        <w:autoSpaceDN w:val="0"/>
        <w:adjustRightInd w:val="0"/>
        <w:rPr>
          <w:sz w:val="24"/>
        </w:rPr>
      </w:pPr>
      <w:r w:rsidRPr="005E5CB8">
        <w:rPr>
          <w:rFonts w:asciiTheme="minorHAnsi" w:hAnsiTheme="minorHAnsi" w:cstheme="minorHAnsi"/>
          <w:bCs/>
          <w:noProof/>
          <w:szCs w:val="22"/>
        </w:rPr>
        <w:drawing>
          <wp:anchor distT="0" distB="0" distL="114300" distR="114300" simplePos="0" relativeHeight="252851200" behindDoc="1" locked="0" layoutInCell="1" allowOverlap="1" wp14:anchorId="692E4E91" wp14:editId="2B1E4519">
            <wp:simplePos x="0" y="0"/>
            <wp:positionH relativeFrom="margin">
              <wp:posOffset>4998720</wp:posOffset>
            </wp:positionH>
            <wp:positionV relativeFrom="topMargin">
              <wp:posOffset>3388360</wp:posOffset>
            </wp:positionV>
            <wp:extent cx="647700" cy="691515"/>
            <wp:effectExtent l="152400" t="133350" r="57150" b="127635"/>
            <wp:wrapTight wrapText="bothSides">
              <wp:wrapPolygon edited="0">
                <wp:start x="-1494" y="949"/>
                <wp:lineTo x="-7781" y="5964"/>
                <wp:lineTo x="-1191" y="13213"/>
                <wp:lineTo x="-5061" y="16299"/>
                <wp:lineTo x="294" y="22189"/>
                <wp:lineTo x="19656" y="22377"/>
                <wp:lineTo x="22074" y="20448"/>
                <wp:lineTo x="22630" y="19223"/>
                <wp:lineTo x="22328" y="6959"/>
                <wp:lineTo x="16633" y="-222"/>
                <wp:lineTo x="16221" y="-675"/>
                <wp:lineTo x="925" y="-980"/>
                <wp:lineTo x="-1494" y="949"/>
              </wp:wrapPolygon>
            </wp:wrapTight>
            <wp:docPr id="6" name="Picture 4"/>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a:blip r:embed="rId80" cstate="print">
                      <a:extLst>
                        <a:ext uri="{28A0092B-C50C-407E-A947-70E740481C1C}">
                          <a14:useLocalDpi xmlns:a14="http://schemas.microsoft.com/office/drawing/2010/main" val="0"/>
                        </a:ext>
                      </a:extLst>
                    </a:blip>
                    <a:stretch>
                      <a:fillRect/>
                    </a:stretch>
                  </pic:blipFill>
                  <pic:spPr>
                    <a:xfrm rot="2424949">
                      <a:off x="0" y="0"/>
                      <a:ext cx="647700" cy="691515"/>
                    </a:xfrm>
                    <a:prstGeom prst="rect">
                      <a:avLst/>
                    </a:prstGeom>
                  </pic:spPr>
                </pic:pic>
              </a:graphicData>
            </a:graphic>
            <wp14:sizeRelH relativeFrom="margin">
              <wp14:pctWidth>0</wp14:pctWidth>
            </wp14:sizeRelH>
            <wp14:sizeRelV relativeFrom="margin">
              <wp14:pctHeight>0</wp14:pctHeight>
            </wp14:sizeRelV>
          </wp:anchor>
        </w:drawing>
      </w:r>
    </w:p>
    <w:p w14:paraId="45FACF70" w14:textId="4CF1E15A" w:rsidR="00D852F5" w:rsidRDefault="00D852F5" w:rsidP="00F60A35">
      <w:pPr>
        <w:pStyle w:val="ListParagraph"/>
        <w:numPr>
          <w:ilvl w:val="0"/>
          <w:numId w:val="49"/>
        </w:numPr>
        <w:autoSpaceDE w:val="0"/>
        <w:autoSpaceDN w:val="0"/>
        <w:adjustRightInd w:val="0"/>
        <w:ind w:left="357" w:hanging="357"/>
        <w:rPr>
          <w:sz w:val="24"/>
        </w:rPr>
      </w:pPr>
      <w:r>
        <w:rPr>
          <w:sz w:val="24"/>
        </w:rPr>
        <w:t>Improve population health and wellbeing;</w:t>
      </w:r>
    </w:p>
    <w:p w14:paraId="41F4C9B0" w14:textId="4E398C21" w:rsidR="00D852F5" w:rsidRDefault="00D852F5" w:rsidP="00F60A35">
      <w:pPr>
        <w:pStyle w:val="ListParagraph"/>
        <w:numPr>
          <w:ilvl w:val="0"/>
          <w:numId w:val="49"/>
        </w:numPr>
        <w:autoSpaceDE w:val="0"/>
        <w:autoSpaceDN w:val="0"/>
        <w:adjustRightInd w:val="0"/>
        <w:ind w:left="357" w:hanging="357"/>
        <w:rPr>
          <w:sz w:val="24"/>
        </w:rPr>
      </w:pPr>
      <w:r>
        <w:rPr>
          <w:sz w:val="24"/>
        </w:rPr>
        <w:t>Better quality and more assessable health and social services;</w:t>
      </w:r>
    </w:p>
    <w:p w14:paraId="66EA4225" w14:textId="1A83F751" w:rsidR="00D852F5" w:rsidRDefault="00D852F5" w:rsidP="00F60A35">
      <w:pPr>
        <w:pStyle w:val="ListParagraph"/>
        <w:numPr>
          <w:ilvl w:val="0"/>
          <w:numId w:val="49"/>
        </w:numPr>
        <w:autoSpaceDE w:val="0"/>
        <w:autoSpaceDN w:val="0"/>
        <w:adjustRightInd w:val="0"/>
        <w:ind w:left="357" w:hanging="357"/>
        <w:rPr>
          <w:sz w:val="24"/>
        </w:rPr>
      </w:pPr>
      <w:r>
        <w:rPr>
          <w:sz w:val="24"/>
        </w:rPr>
        <w:t>Higher value health and social care; and</w:t>
      </w:r>
    </w:p>
    <w:p w14:paraId="43F88425" w14:textId="77777777" w:rsidR="00D852F5" w:rsidRPr="00942072" w:rsidRDefault="00D852F5" w:rsidP="00F60A35">
      <w:pPr>
        <w:pStyle w:val="ListParagraph"/>
        <w:numPr>
          <w:ilvl w:val="0"/>
          <w:numId w:val="49"/>
        </w:numPr>
        <w:autoSpaceDE w:val="0"/>
        <w:autoSpaceDN w:val="0"/>
        <w:adjustRightInd w:val="0"/>
        <w:ind w:left="357" w:hanging="357"/>
        <w:rPr>
          <w:sz w:val="24"/>
        </w:rPr>
      </w:pPr>
      <w:r>
        <w:rPr>
          <w:sz w:val="24"/>
        </w:rPr>
        <w:t>A motivated and sustainable health &amp; social care workforce.</w:t>
      </w:r>
    </w:p>
    <w:p w14:paraId="2FF25F33" w14:textId="77777777" w:rsidR="00D852F5" w:rsidRDefault="00D852F5" w:rsidP="00D852F5">
      <w:pPr>
        <w:autoSpaceDE w:val="0"/>
        <w:autoSpaceDN w:val="0"/>
        <w:adjustRightInd w:val="0"/>
        <w:rPr>
          <w:sz w:val="24"/>
        </w:rPr>
      </w:pPr>
    </w:p>
    <w:p w14:paraId="7160193C" w14:textId="4C3D779A" w:rsidR="00DD623D" w:rsidRPr="00DD623D" w:rsidRDefault="00DD623D" w:rsidP="00DD623D">
      <w:pPr>
        <w:rPr>
          <w:rFonts w:cstheme="minorHAnsi"/>
          <w:i/>
        </w:rPr>
      </w:pPr>
      <w:r w:rsidRPr="0033013E">
        <w:rPr>
          <w:rFonts w:cstheme="minorHAnsi"/>
        </w:rPr>
        <w:t xml:space="preserve">All of these elements require significant culture change which is reflected in leadership at all levels of the </w:t>
      </w:r>
      <w:r w:rsidRPr="00D9756F">
        <w:rPr>
          <w:rFonts w:cstheme="minorHAnsi"/>
        </w:rPr>
        <w:t>organisation.</w:t>
      </w:r>
      <w:r w:rsidR="00315F54" w:rsidRPr="00D9756F">
        <w:rPr>
          <w:rFonts w:cstheme="minorHAnsi"/>
        </w:rPr>
        <w:t xml:space="preserve"> </w:t>
      </w:r>
      <w:r w:rsidRPr="00D9756F">
        <w:rPr>
          <w:rFonts w:cstheme="minorHAnsi"/>
        </w:rPr>
        <w:t xml:space="preserve"> </w:t>
      </w:r>
      <w:r w:rsidR="00315F54" w:rsidRPr="00D9756F">
        <w:rPr>
          <w:rFonts w:cstheme="minorHAnsi"/>
        </w:rPr>
        <w:t xml:space="preserve">Ensuring alignment to ‘The NHS Patient Safety Strategy’ of improving patient safety, building on the foundations of a safer culture and safer systems.  </w:t>
      </w:r>
      <w:r w:rsidRPr="00D9756F">
        <w:rPr>
          <w:rFonts w:cstheme="minorHAnsi"/>
        </w:rPr>
        <w:t>There is a need to embed the newly developed Operating Model and to ensure that there are simple, transparent and robust systems</w:t>
      </w:r>
      <w:r w:rsidRPr="0033013E">
        <w:rPr>
          <w:rFonts w:cstheme="minorHAnsi"/>
        </w:rPr>
        <w:t xml:space="preserve"> and structures in place.  The model below illustrates the </w:t>
      </w:r>
      <w:r w:rsidRPr="00DD623D">
        <w:rPr>
          <w:rFonts w:cstheme="minorHAnsi"/>
        </w:rPr>
        <w:t>Workforce and Organisational Development plan for</w:t>
      </w:r>
      <w:r w:rsidR="000774E1">
        <w:rPr>
          <w:rFonts w:cstheme="minorHAnsi"/>
        </w:rPr>
        <w:t xml:space="preserve"> the Health Board</w:t>
      </w:r>
      <w:r w:rsidRPr="00DD623D">
        <w:rPr>
          <w:rFonts w:cstheme="minorHAnsi"/>
        </w:rPr>
        <w:t xml:space="preserve"> which will be achieved with a clear progressive organisation development plan supported by aligned and integrated workforce processes and interventions.</w:t>
      </w:r>
    </w:p>
    <w:p w14:paraId="798D5C86" w14:textId="77777777" w:rsidR="00FC7D1E" w:rsidRPr="00DD623D" w:rsidRDefault="00FC7D1E" w:rsidP="00FC7D1E">
      <w:pPr>
        <w:rPr>
          <w:rFonts w:asciiTheme="minorHAnsi" w:hAnsiTheme="minorHAnsi" w:cstheme="minorHAnsi"/>
          <w:b/>
          <w:szCs w:val="22"/>
        </w:rPr>
      </w:pPr>
    </w:p>
    <w:p w14:paraId="73797BC4" w14:textId="3EF492C8" w:rsidR="00D852F5" w:rsidRPr="00DD623D" w:rsidRDefault="00D852F5" w:rsidP="00FC7D1E">
      <w:pPr>
        <w:jc w:val="center"/>
        <w:rPr>
          <w:i/>
          <w:sz w:val="24"/>
        </w:rPr>
      </w:pPr>
      <w:r w:rsidRPr="00DD623D">
        <w:rPr>
          <w:b/>
          <w:noProof/>
        </w:rPr>
        <w:drawing>
          <wp:inline distT="0" distB="0" distL="0" distR="0" wp14:anchorId="47C25243" wp14:editId="0FC49D84">
            <wp:extent cx="6370723" cy="3360717"/>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6419250" cy="3386316"/>
                    </a:xfrm>
                    <a:prstGeom prst="rect">
                      <a:avLst/>
                    </a:prstGeom>
                  </pic:spPr>
                </pic:pic>
              </a:graphicData>
            </a:graphic>
          </wp:inline>
        </w:drawing>
      </w:r>
    </w:p>
    <w:p w14:paraId="4C757A06" w14:textId="152002AE" w:rsidR="00DD623D" w:rsidRPr="00DD623D" w:rsidRDefault="00DD623D" w:rsidP="00DD623D">
      <w:pPr>
        <w:spacing w:before="240"/>
        <w:rPr>
          <w:rFonts w:cstheme="minorHAnsi"/>
        </w:rPr>
      </w:pPr>
      <w:r w:rsidRPr="00DD623D">
        <w:rPr>
          <w:rFonts w:cstheme="minorHAnsi"/>
          <w:bCs/>
        </w:rPr>
        <w:t xml:space="preserve">The overall aim will be to support </w:t>
      </w:r>
      <w:r w:rsidR="00315F54">
        <w:rPr>
          <w:rFonts w:cstheme="minorHAnsi"/>
          <w:bCs/>
        </w:rPr>
        <w:t>‘</w:t>
      </w:r>
      <w:r w:rsidRPr="00DD623D">
        <w:rPr>
          <w:rFonts w:cstheme="minorHAnsi"/>
          <w:bCs/>
        </w:rPr>
        <w:t>A Healthier Wales</w:t>
      </w:r>
      <w:r w:rsidR="00315F54">
        <w:rPr>
          <w:rFonts w:cstheme="minorHAnsi"/>
          <w:bCs/>
        </w:rPr>
        <w:t>: Our Workforce Strategy for Health and Social Care’</w:t>
      </w:r>
      <w:r w:rsidRPr="00DD623D">
        <w:rPr>
          <w:rFonts w:cstheme="minorHAnsi"/>
          <w:bCs/>
        </w:rPr>
        <w:t xml:space="preserve"> in making CTM a great place to work and helping our staff to</w:t>
      </w:r>
      <w:r w:rsidRPr="00DD623D">
        <w:rPr>
          <w:rFonts w:cstheme="minorHAnsi"/>
        </w:rPr>
        <w:t xml:space="preserve"> work better by fully engaging them, investing in skills and capability and enriching their health and wellbeing at work.  </w:t>
      </w:r>
    </w:p>
    <w:p w14:paraId="5FBDAF17" w14:textId="4FE983E3" w:rsidR="00D852F5" w:rsidRPr="00FC7D1E" w:rsidRDefault="00D852F5" w:rsidP="00D852F5">
      <w:pPr>
        <w:rPr>
          <w:rFonts w:asciiTheme="minorHAnsi" w:hAnsiTheme="minorHAnsi" w:cstheme="minorHAnsi"/>
          <w:szCs w:val="22"/>
        </w:rPr>
      </w:pPr>
    </w:p>
    <w:p w14:paraId="0D60D661" w14:textId="3290D6CE" w:rsidR="00FC7D1E" w:rsidRPr="005B44BD" w:rsidRDefault="00FC7D1E" w:rsidP="00FC7D1E">
      <w:pPr>
        <w:pStyle w:val="Heading2"/>
      </w:pPr>
      <w:bookmarkStart w:id="158" w:name="_Toc29573953"/>
      <w:r>
        <w:lastRenderedPageBreak/>
        <w:t>Organisation Development</w:t>
      </w:r>
      <w:bookmarkEnd w:id="158"/>
    </w:p>
    <w:p w14:paraId="195ABED7" w14:textId="77131DA8" w:rsidR="00CA53D6" w:rsidRDefault="00800207" w:rsidP="00800207">
      <w:pPr>
        <w:rPr>
          <w:rFonts w:asciiTheme="minorHAnsi" w:hAnsiTheme="minorHAnsi" w:cstheme="minorHAnsi"/>
          <w:szCs w:val="22"/>
        </w:rPr>
      </w:pPr>
      <w:r w:rsidRPr="005E5CB8">
        <w:rPr>
          <w:rFonts w:asciiTheme="minorHAnsi" w:hAnsiTheme="minorHAnsi" w:cstheme="minorHAnsi"/>
          <w:noProof/>
          <w:szCs w:val="22"/>
        </w:rPr>
        <w:drawing>
          <wp:anchor distT="0" distB="0" distL="114300" distR="114300" simplePos="0" relativeHeight="252853248" behindDoc="0" locked="0" layoutInCell="1" allowOverlap="1" wp14:anchorId="0FF0D587" wp14:editId="5EE202D1">
            <wp:simplePos x="0" y="0"/>
            <wp:positionH relativeFrom="margin">
              <wp:align>left</wp:align>
            </wp:positionH>
            <wp:positionV relativeFrom="paragraph">
              <wp:posOffset>49530</wp:posOffset>
            </wp:positionV>
            <wp:extent cx="1688465" cy="1567180"/>
            <wp:effectExtent l="0" t="0" r="6985" b="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extLst>
                        <a:ext uri="{28A0092B-C50C-407E-A947-70E740481C1C}">
                          <a14:useLocalDpi xmlns:a14="http://schemas.microsoft.com/office/drawing/2010/main" val="0"/>
                        </a:ext>
                      </a:extLst>
                    </a:blip>
                    <a:stretch>
                      <a:fillRect/>
                    </a:stretch>
                  </pic:blipFill>
                  <pic:spPr>
                    <a:xfrm>
                      <a:off x="0" y="0"/>
                      <a:ext cx="1688465" cy="1567180"/>
                    </a:xfrm>
                    <a:prstGeom prst="rect">
                      <a:avLst/>
                    </a:prstGeom>
                  </pic:spPr>
                </pic:pic>
              </a:graphicData>
            </a:graphic>
            <wp14:sizeRelH relativeFrom="margin">
              <wp14:pctWidth>0</wp14:pctWidth>
            </wp14:sizeRelH>
            <wp14:sizeRelV relativeFrom="margin">
              <wp14:pctHeight>0</wp14:pctHeight>
            </wp14:sizeRelV>
          </wp:anchor>
        </w:drawing>
      </w:r>
      <w:r w:rsidR="00DD623D" w:rsidRPr="00DD623D">
        <w:rPr>
          <w:rFonts w:cstheme="minorHAnsi"/>
        </w:rPr>
        <w:t xml:space="preserve"> </w:t>
      </w:r>
      <w:r w:rsidR="00DD623D" w:rsidRPr="0033013E">
        <w:rPr>
          <w:rFonts w:cstheme="minorHAnsi"/>
        </w:rPr>
        <w:t>The OD plan will facilitate the rebuilding of trust and confidence in the organisation and will build a foundation of shared values and behaviours across the organisations owned and modelled from the top, an ongoing programme of leadership development supporting the development of a culture of empowerment and improvement and a</w:t>
      </w:r>
      <w:r w:rsidR="00DD623D">
        <w:rPr>
          <w:rFonts w:cstheme="minorHAnsi"/>
        </w:rPr>
        <w:t>n</w:t>
      </w:r>
      <w:r w:rsidR="00DD623D" w:rsidRPr="0033013E">
        <w:rPr>
          <w:rFonts w:cstheme="minorHAnsi"/>
        </w:rPr>
        <w:t xml:space="preserve"> engaged</w:t>
      </w:r>
      <w:r w:rsidR="00DD623D">
        <w:rPr>
          <w:rFonts w:cstheme="minorHAnsi"/>
        </w:rPr>
        <w:t>,</w:t>
      </w:r>
      <w:r w:rsidR="00DD623D" w:rsidRPr="0033013E">
        <w:rPr>
          <w:rFonts w:cstheme="minorHAnsi"/>
        </w:rPr>
        <w:t xml:space="preserve"> sustainable workforce.   The OD plan aims to ensure that the “golden threads” of “open, transparent, </w:t>
      </w:r>
      <w:r w:rsidR="00DD623D">
        <w:rPr>
          <w:rFonts w:cstheme="minorHAnsi"/>
        </w:rPr>
        <w:t>engaging, involving, clinically-</w:t>
      </w:r>
      <w:r w:rsidR="00DD623D" w:rsidRPr="0033013E">
        <w:rPr>
          <w:rFonts w:cstheme="minorHAnsi"/>
        </w:rPr>
        <w:t>led and managerially supported are reflected in all of the key milestones of the plan.  Programmes of work will focus on clear outcomes which lead to an organisation which is able to respond and learn, understand and build on strengths, support improvement and de-e</w:t>
      </w:r>
      <w:r w:rsidR="00DD623D">
        <w:rPr>
          <w:rFonts w:cstheme="minorHAnsi"/>
        </w:rPr>
        <w:t>scalation.</w:t>
      </w:r>
      <w:r>
        <w:rPr>
          <w:rFonts w:asciiTheme="minorHAnsi" w:hAnsiTheme="minorHAnsi" w:cstheme="minorHAnsi"/>
          <w:szCs w:val="22"/>
        </w:rPr>
        <w:t xml:space="preserve">  </w:t>
      </w:r>
      <w:r w:rsidRPr="005E5CB8">
        <w:rPr>
          <w:rFonts w:asciiTheme="minorHAnsi" w:hAnsiTheme="minorHAnsi" w:cstheme="minorHAnsi"/>
          <w:szCs w:val="22"/>
        </w:rPr>
        <w:t>The key organisation development milestones and actions are therefore as follows:</w:t>
      </w:r>
    </w:p>
    <w:p w14:paraId="0739C35C" w14:textId="3C99AAC2" w:rsidR="00A15FA3" w:rsidRPr="005B44BD" w:rsidRDefault="00A15FA3" w:rsidP="00A15FA3">
      <w:pPr>
        <w:pStyle w:val="Heading3"/>
      </w:pPr>
      <w:r>
        <w:t>Developing Values and Behaviours</w:t>
      </w:r>
    </w:p>
    <w:p w14:paraId="43857FEB" w14:textId="5DECFA71" w:rsidR="00A15FA3" w:rsidRPr="005E5CB8" w:rsidRDefault="00DD623D" w:rsidP="00A15FA3">
      <w:pPr>
        <w:rPr>
          <w:rFonts w:asciiTheme="minorHAnsi" w:hAnsiTheme="minorHAnsi" w:cstheme="minorHAnsi"/>
          <w:szCs w:val="22"/>
        </w:rPr>
      </w:pPr>
      <w:r w:rsidRPr="0033013E">
        <w:rPr>
          <w:rFonts w:cstheme="minorHAnsi"/>
        </w:rPr>
        <w:t xml:space="preserve">Work commenced in November 2019 involving staff and </w:t>
      </w:r>
      <w:r w:rsidRPr="00DD623D">
        <w:rPr>
          <w:rFonts w:cstheme="minorHAnsi"/>
        </w:rPr>
        <w:t>patients -</w:t>
      </w:r>
      <w:r w:rsidRPr="00DD623D">
        <w:rPr>
          <w:rFonts w:cstheme="minorHAnsi"/>
          <w:bCs/>
        </w:rPr>
        <w:t>'Let's Talk Culture'</w:t>
      </w:r>
      <w:r w:rsidRPr="00DD623D">
        <w:rPr>
          <w:rFonts w:cstheme="minorHAnsi"/>
        </w:rPr>
        <w:t xml:space="preserve"> and</w:t>
      </w:r>
      <w:r w:rsidRPr="0033013E">
        <w:rPr>
          <w:rFonts w:cstheme="minorHAnsi"/>
        </w:rPr>
        <w:t xml:space="preserve"> a series of 'In Your Shoes' and 'In Our Shoes' workshops across the health board.  The aim is to</w:t>
      </w:r>
      <w:r w:rsidR="00A15FA3" w:rsidRPr="005E5CB8">
        <w:rPr>
          <w:rFonts w:asciiTheme="minorHAnsi" w:hAnsiTheme="minorHAnsi" w:cstheme="minorHAnsi"/>
          <w:szCs w:val="22"/>
        </w:rPr>
        <w:t>:</w:t>
      </w:r>
    </w:p>
    <w:p w14:paraId="73894152" w14:textId="77777777" w:rsidR="00A15FA3" w:rsidRPr="005E5CB8" w:rsidRDefault="00A15FA3" w:rsidP="00A15FA3">
      <w:pPr>
        <w:pStyle w:val="NormaBullet"/>
      </w:pPr>
      <w:r w:rsidRPr="005E5CB8">
        <w:t>Bring together the best of the former Cwm Taf and Bridgend;</w:t>
      </w:r>
    </w:p>
    <w:p w14:paraId="739BD6A7" w14:textId="77777777" w:rsidR="00A15FA3" w:rsidRPr="005E5CB8" w:rsidRDefault="00A15FA3" w:rsidP="00A15FA3">
      <w:pPr>
        <w:pStyle w:val="NormaBullet"/>
      </w:pPr>
      <w:r w:rsidRPr="005E5CB8">
        <w:t>Create a compelling, shared cultural narrative;</w:t>
      </w:r>
    </w:p>
    <w:p w14:paraId="3C86CC37" w14:textId="0B0C6FA8" w:rsidR="00A15FA3" w:rsidRPr="005E5CB8" w:rsidRDefault="00A15FA3" w:rsidP="00A15FA3">
      <w:pPr>
        <w:pStyle w:val="NormaBullet"/>
      </w:pPr>
      <w:r w:rsidRPr="005E5CB8">
        <w:t>Develop our values and behaviours to inform o</w:t>
      </w:r>
      <w:r>
        <w:t>ur decision-making</w:t>
      </w:r>
    </w:p>
    <w:p w14:paraId="52F63239" w14:textId="77777777" w:rsidR="00DD623D" w:rsidRPr="0033013E" w:rsidRDefault="00DD623D" w:rsidP="00DD623D">
      <w:pPr>
        <w:tabs>
          <w:tab w:val="num" w:pos="720"/>
        </w:tabs>
        <w:spacing w:before="240"/>
        <w:rPr>
          <w:rFonts w:cstheme="minorHAnsi"/>
        </w:rPr>
      </w:pPr>
      <w:r w:rsidRPr="0033013E">
        <w:rPr>
          <w:rFonts w:cstheme="minorHAnsi"/>
        </w:rPr>
        <w:t xml:space="preserve">Together we plan to co-create our culture, involving significant numbers of staff and patients in big, creative, listening workshops alongside a major culture survey that will underpin this work. Then to translate values into behaviours that patients and staff do / don’t want to see, with a climate that makes it easier to appreciate and speak up, as well as to tackle poor behaviours and encourage positive ones. </w:t>
      </w:r>
    </w:p>
    <w:p w14:paraId="02F7817D" w14:textId="460F61DB" w:rsidR="00D852F5" w:rsidRPr="00800207" w:rsidRDefault="00D852F5" w:rsidP="00A15FA3">
      <w:pPr>
        <w:pStyle w:val="Heading3"/>
      </w:pPr>
      <w:r w:rsidRPr="00800207">
        <w:t>Embedding the Operating Model</w:t>
      </w:r>
    </w:p>
    <w:p w14:paraId="47A32EE2" w14:textId="7FB08213" w:rsidR="00A15FA3" w:rsidRPr="005E5CB8" w:rsidRDefault="00905A9D" w:rsidP="00A15FA3">
      <w:pPr>
        <w:rPr>
          <w:rFonts w:asciiTheme="minorHAnsi" w:hAnsiTheme="minorHAnsi" w:cstheme="minorHAnsi"/>
          <w:szCs w:val="22"/>
        </w:rPr>
      </w:pPr>
      <w:r w:rsidRPr="0033013E">
        <w:rPr>
          <w:rFonts w:cstheme="minorHAnsi"/>
        </w:rPr>
        <w:t>The vision of the new operating model is to empower staff and transparent, distributed decision making closer to service delivery, open culture, enhanced leadership, clinically led services, integration and collaboration, clear accountabilities, enhanced team and individual performance. The baseline for measuring the impact of the operating model will be provided by the culture survey referred to above.</w:t>
      </w:r>
    </w:p>
    <w:p w14:paraId="7878D291" w14:textId="7E0C67C4" w:rsidR="00D852F5" w:rsidRPr="00800207" w:rsidRDefault="00D852F5" w:rsidP="00A15FA3">
      <w:pPr>
        <w:pStyle w:val="Heading3"/>
      </w:pPr>
      <w:r w:rsidRPr="00800207">
        <w:t xml:space="preserve">Leadership Plan </w:t>
      </w:r>
    </w:p>
    <w:p w14:paraId="44CBEF8E" w14:textId="631C7039" w:rsidR="00A15FA3" w:rsidRPr="005E5CB8" w:rsidRDefault="00905A9D" w:rsidP="00A15FA3">
      <w:pPr>
        <w:autoSpaceDE w:val="0"/>
        <w:autoSpaceDN w:val="0"/>
        <w:rPr>
          <w:rFonts w:asciiTheme="minorHAnsi" w:eastAsiaTheme="minorEastAsia" w:hAnsiTheme="minorHAnsi" w:cstheme="minorHAnsi"/>
          <w:kern w:val="24"/>
          <w:szCs w:val="22"/>
        </w:rPr>
      </w:pPr>
      <w:r w:rsidRPr="0033013E">
        <w:rPr>
          <w:rFonts w:eastAsiaTheme="minorEastAsia" w:cstheme="minorHAnsi"/>
          <w:kern w:val="24"/>
        </w:rPr>
        <w:t xml:space="preserve">A </w:t>
      </w:r>
      <w:r w:rsidRPr="0033013E">
        <w:rPr>
          <w:rFonts w:cstheme="minorHAnsi"/>
        </w:rPr>
        <w:t xml:space="preserve">Healthier Wales recognises that “Dynamic leadership will be needed to instigate change, empower others and lead by example, as well as to create the conditions for continuous innovation and improvement to drive up the quality and value of services”.  </w:t>
      </w:r>
      <w:r w:rsidRPr="0033013E">
        <w:rPr>
          <w:rFonts w:eastAsiaTheme="minorEastAsia" w:cstheme="minorHAnsi"/>
          <w:kern w:val="24"/>
        </w:rPr>
        <w:t>Whilst the RCOG</w:t>
      </w:r>
      <w:r w:rsidR="004138C9">
        <w:rPr>
          <w:rFonts w:eastAsiaTheme="minorEastAsia" w:cstheme="minorHAnsi"/>
          <w:kern w:val="24"/>
        </w:rPr>
        <w:t xml:space="preserve"> </w:t>
      </w:r>
      <w:r w:rsidRPr="0033013E">
        <w:rPr>
          <w:rFonts w:eastAsiaTheme="minorEastAsia" w:cstheme="minorHAnsi"/>
          <w:kern w:val="24"/>
        </w:rPr>
        <w:t>report was specific to Maternity Services it also identified overall failings in culture and leadership and Targeted Interventions have therefore prioritised development work in a number of areas.  The Staff Survey also highlighted a need to focus on leadership development.  Much of following work has already commenced and will be continued as an urgent priority</w:t>
      </w:r>
      <w:r w:rsidR="00A15FA3" w:rsidRPr="005E5CB8">
        <w:rPr>
          <w:rFonts w:asciiTheme="minorHAnsi" w:eastAsiaTheme="minorEastAsia" w:hAnsiTheme="minorHAnsi" w:cstheme="minorHAnsi"/>
          <w:kern w:val="24"/>
          <w:szCs w:val="22"/>
        </w:rPr>
        <w:t xml:space="preserve">:   </w:t>
      </w:r>
    </w:p>
    <w:p w14:paraId="17D8CBB2" w14:textId="77777777" w:rsidR="00D852F5" w:rsidRPr="00800207" w:rsidRDefault="00D852F5" w:rsidP="00D852F5">
      <w:pPr>
        <w:autoSpaceDE w:val="0"/>
        <w:autoSpaceDN w:val="0"/>
        <w:rPr>
          <w:rFonts w:eastAsiaTheme="minorEastAsia" w:cstheme="minorHAnsi"/>
          <w:b/>
          <w:i/>
          <w:kern w:val="24"/>
          <w:szCs w:val="22"/>
        </w:rPr>
      </w:pPr>
    </w:p>
    <w:p w14:paraId="54991C2F" w14:textId="2EE30BCB" w:rsidR="00A15FA3" w:rsidRPr="00905A9D" w:rsidRDefault="00D852F5" w:rsidP="00A15FA3">
      <w:pPr>
        <w:pStyle w:val="NormaBullet"/>
      </w:pPr>
      <w:r w:rsidRPr="00A15FA3">
        <w:rPr>
          <w:rFonts w:eastAsiaTheme="minorEastAsia"/>
          <w:b/>
          <w:kern w:val="24"/>
        </w:rPr>
        <w:t>Maternity Services</w:t>
      </w:r>
      <w:r w:rsidRPr="00A15FA3">
        <w:rPr>
          <w:rFonts w:eastAsiaTheme="minorEastAsia"/>
          <w:b/>
          <w:i/>
          <w:kern w:val="24"/>
        </w:rPr>
        <w:t xml:space="preserve">.  </w:t>
      </w:r>
      <w:r w:rsidR="00905A9D" w:rsidRPr="0033013E">
        <w:rPr>
          <w:rFonts w:cstheme="minorHAnsi"/>
        </w:rPr>
        <w:t>A procurement process for Maternity Services relating to effective team relationships and the culture and behaviours that shape those relationships commenced in August 2019, with development of a project specification with clear deliverables, which was circulated to all providers on the National ‘Behavioural Insights (RM6004)’ Framework. This process closed with no suitable providers being appointed. The Health Board subsequently approached Roffey Park and Mindset Practice to determine whether they could meet the requirement of the project specification. Both have submitted proposals working in partnership to deliver a leadership &amp; development programme for Consultants and Senior Midwifery Teams, as well as Band 7 Midwifery staff. Following this a workshop will take place for all staff based around delivering a safety culture and supporting staff to take personal responsibility for professional behaviours. Proposals were submitted on 10</w:t>
      </w:r>
      <w:r w:rsidR="00905A9D" w:rsidRPr="0033013E">
        <w:rPr>
          <w:rFonts w:cstheme="minorHAnsi"/>
          <w:vertAlign w:val="superscript"/>
        </w:rPr>
        <w:t>th</w:t>
      </w:r>
      <w:r w:rsidR="00905A9D" w:rsidRPr="0033013E">
        <w:rPr>
          <w:rFonts w:cstheme="minorHAnsi"/>
        </w:rPr>
        <w:t xml:space="preserve"> October 2019, and the lengthy procurement process concluded on 18</w:t>
      </w:r>
      <w:r w:rsidR="00905A9D" w:rsidRPr="0033013E">
        <w:rPr>
          <w:rFonts w:cstheme="minorHAnsi"/>
          <w:vertAlign w:val="superscript"/>
        </w:rPr>
        <w:t>th</w:t>
      </w:r>
      <w:r w:rsidR="00905A9D" w:rsidRPr="0033013E">
        <w:rPr>
          <w:rFonts w:cstheme="minorHAnsi"/>
        </w:rPr>
        <w:t xml:space="preserve"> October 2019. </w:t>
      </w:r>
      <w:r w:rsidR="00905A9D" w:rsidRPr="00A611A7">
        <w:rPr>
          <w:rFonts w:cstheme="minorHAnsi"/>
          <w:highlight w:val="yellow"/>
        </w:rPr>
        <w:t>Work will commence at pace during November 2019</w:t>
      </w:r>
      <w:r w:rsidR="00905A9D" w:rsidRPr="0033013E">
        <w:rPr>
          <w:rFonts w:cstheme="minorHAnsi"/>
        </w:rPr>
        <w:t xml:space="preserve"> with the Consultant Body and Senior Midwifery team</w:t>
      </w:r>
      <w:r w:rsidR="00905A9D" w:rsidRPr="00905A9D">
        <w:rPr>
          <w:rFonts w:cstheme="minorHAnsi"/>
        </w:rPr>
        <w:t>, which will continue to be monitored and supported via the Independent Panel, and Maternity Improvement Board.</w:t>
      </w:r>
    </w:p>
    <w:p w14:paraId="1F1888CD" w14:textId="77777777" w:rsidR="00A15FA3" w:rsidRPr="00905A9D" w:rsidRDefault="00D852F5" w:rsidP="00A15FA3">
      <w:pPr>
        <w:pStyle w:val="NormaBullet"/>
      </w:pPr>
      <w:r w:rsidRPr="00905A9D">
        <w:rPr>
          <w:rFonts w:eastAsiaTheme="minorEastAsia" w:cstheme="minorHAnsi"/>
          <w:b/>
          <w:kern w:val="24"/>
          <w:szCs w:val="22"/>
        </w:rPr>
        <w:lastRenderedPageBreak/>
        <w:t>Board Development</w:t>
      </w:r>
      <w:r w:rsidRPr="00905A9D">
        <w:rPr>
          <w:rFonts w:eastAsiaTheme="minorEastAsia" w:cstheme="minorHAnsi"/>
          <w:kern w:val="24"/>
          <w:szCs w:val="22"/>
        </w:rPr>
        <w:t>.  A programme of Board development has been commissioned from Deloitte as part of the Targeted inventio</w:t>
      </w:r>
      <w:r w:rsidR="00A15FA3" w:rsidRPr="00905A9D">
        <w:rPr>
          <w:rFonts w:eastAsiaTheme="minorEastAsia" w:cstheme="minorHAnsi"/>
          <w:kern w:val="24"/>
          <w:szCs w:val="22"/>
        </w:rPr>
        <w:t>n support for the Health Board.</w:t>
      </w:r>
    </w:p>
    <w:p w14:paraId="0CAAACB6" w14:textId="5AB447AF" w:rsidR="00A15FA3" w:rsidRPr="00101EB9" w:rsidRDefault="00A15FA3" w:rsidP="00A15FA3">
      <w:pPr>
        <w:pStyle w:val="NormaBullet"/>
        <w:rPr>
          <w:highlight w:val="yellow"/>
        </w:rPr>
      </w:pPr>
      <w:r w:rsidRPr="005E5CB8">
        <w:rPr>
          <w:rFonts w:asciiTheme="minorHAnsi" w:eastAsiaTheme="minorEastAsia" w:hAnsiTheme="minorHAnsi" w:cstheme="minorHAnsi"/>
          <w:b/>
          <w:kern w:val="24"/>
          <w:szCs w:val="22"/>
        </w:rPr>
        <w:t>Executive Development</w:t>
      </w:r>
      <w:r w:rsidRPr="005E5CB8">
        <w:rPr>
          <w:rFonts w:asciiTheme="minorHAnsi" w:eastAsiaTheme="minorEastAsia" w:hAnsiTheme="minorHAnsi" w:cstheme="minorHAnsi"/>
          <w:kern w:val="24"/>
          <w:szCs w:val="22"/>
        </w:rPr>
        <w:t xml:space="preserve">. </w:t>
      </w:r>
      <w:r w:rsidR="00905A9D" w:rsidRPr="0033013E">
        <w:rPr>
          <w:rFonts w:cstheme="minorHAnsi"/>
        </w:rPr>
        <w:t xml:space="preserve">Following the release of the </w:t>
      </w:r>
      <w:r w:rsidR="00905A9D" w:rsidRPr="0033013E">
        <w:rPr>
          <w:rFonts w:cstheme="minorHAnsi"/>
          <w:lang w:val="en-US"/>
        </w:rPr>
        <w:t xml:space="preserve">RCOG </w:t>
      </w:r>
      <w:r w:rsidR="00905A9D" w:rsidRPr="0033013E">
        <w:rPr>
          <w:rFonts w:cstheme="minorHAnsi"/>
        </w:rPr>
        <w:t xml:space="preserve">report into Maternity services, Lifetree, an external OD consultancy, have been instructed by the Health Board to work with the Executive Team. The Executive Team is responsible for leading the new Health Board through its transformation, so it is vital that they are given the opportunity to reflect on the issues raised within the RCOG report, take ownership of the challenges and develop a positive way forward. A key enabler for this work will be the ability to establish a leadership culture that is both positive and supportive as well as open and challenging across the organisation – with a focus on quality above all. </w:t>
      </w:r>
      <w:r w:rsidR="00905A9D" w:rsidRPr="00101EB9">
        <w:rPr>
          <w:rFonts w:cstheme="minorHAnsi"/>
        </w:rPr>
        <w:t>An initial session was delivered with the Executive Team in August 2019,</w:t>
      </w:r>
      <w:r w:rsidR="00101EB9" w:rsidRPr="00101EB9">
        <w:rPr>
          <w:rFonts w:cstheme="minorHAnsi"/>
        </w:rPr>
        <w:t xml:space="preserve"> and subsequent sessions commenced in</w:t>
      </w:r>
      <w:r w:rsidR="00905A9D" w:rsidRPr="00101EB9">
        <w:rPr>
          <w:rFonts w:cstheme="minorHAnsi"/>
        </w:rPr>
        <w:t xml:space="preserve"> </w:t>
      </w:r>
      <w:r w:rsidR="00101EB9" w:rsidRPr="00101EB9">
        <w:rPr>
          <w:rFonts w:cstheme="minorHAnsi"/>
        </w:rPr>
        <w:t xml:space="preserve">October 2019, December 2019 with sessions </w:t>
      </w:r>
      <w:r w:rsidR="00905A9D" w:rsidRPr="00101EB9">
        <w:rPr>
          <w:rFonts w:cstheme="minorHAnsi"/>
        </w:rPr>
        <w:t>concluding in February 2020.</w:t>
      </w:r>
    </w:p>
    <w:p w14:paraId="06A56879" w14:textId="5F2BA8E2" w:rsidR="00D852F5" w:rsidRPr="00A15FA3" w:rsidRDefault="00D852F5" w:rsidP="00A15FA3">
      <w:pPr>
        <w:pStyle w:val="NormaBullet"/>
      </w:pPr>
      <w:r w:rsidRPr="00A15FA3">
        <w:rPr>
          <w:rFonts w:eastAsiaTheme="minorEastAsia" w:cstheme="minorHAnsi"/>
          <w:b/>
          <w:kern w:val="24"/>
          <w:szCs w:val="22"/>
        </w:rPr>
        <w:t xml:space="preserve">Senior Leadership and Management Development. </w:t>
      </w:r>
      <w:r w:rsidRPr="00A15FA3">
        <w:rPr>
          <w:rFonts w:eastAsiaTheme="minorEastAsia" w:cstheme="minorHAnsi"/>
          <w:kern w:val="24"/>
          <w:szCs w:val="22"/>
        </w:rPr>
        <w:t xml:space="preserve"> This will be addressed in two phases:</w:t>
      </w:r>
    </w:p>
    <w:p w14:paraId="12A59053" w14:textId="25AB9141" w:rsidR="00D852F5" w:rsidRPr="00800207" w:rsidRDefault="00905A9D" w:rsidP="007111FC">
      <w:pPr>
        <w:pStyle w:val="NormaBullet"/>
        <w:numPr>
          <w:ilvl w:val="1"/>
          <w:numId w:val="4"/>
        </w:numPr>
        <w:ind w:left="709"/>
      </w:pPr>
      <w:r w:rsidRPr="0033013E">
        <w:rPr>
          <w:rFonts w:eastAsiaTheme="minorEastAsia" w:cstheme="minorHAnsi"/>
          <w:kern w:val="24"/>
        </w:rPr>
        <w:t>Delivery of immediate leadership development interventions based on the best of existing programmes to support the new Operating Model and a distributed leadership approach.  This will include investing in building core (basic management development skills and capability</w:t>
      </w:r>
      <w:r w:rsidR="00CE66BF">
        <w:rPr>
          <w:rFonts w:eastAsiaTheme="minorEastAsia" w:cstheme="minorHAnsi"/>
          <w:kern w:val="24"/>
        </w:rPr>
        <w:t>)</w:t>
      </w:r>
      <w:r>
        <w:rPr>
          <w:rFonts w:eastAsiaTheme="minorEastAsia" w:cstheme="minorHAnsi"/>
          <w:kern w:val="24"/>
        </w:rPr>
        <w:t>.</w:t>
      </w:r>
    </w:p>
    <w:p w14:paraId="749E73A0" w14:textId="56E29FFB" w:rsidR="00D852F5" w:rsidRPr="00800207" w:rsidRDefault="00905A9D" w:rsidP="007111FC">
      <w:pPr>
        <w:pStyle w:val="NormaBullet"/>
        <w:numPr>
          <w:ilvl w:val="1"/>
          <w:numId w:val="4"/>
        </w:numPr>
        <w:ind w:left="709"/>
      </w:pPr>
      <w:r w:rsidRPr="0033013E">
        <w:rPr>
          <w:rFonts w:eastAsiaTheme="minorEastAsia" w:cstheme="minorHAnsi"/>
          <w:kern w:val="24"/>
        </w:rPr>
        <w:t xml:space="preserve">Assessment of leadership capacity and capability to develop a new leadership offering based on the reviewed Values and Behaviours work to </w:t>
      </w:r>
      <w:r w:rsidRPr="0033013E">
        <w:rPr>
          <w:rFonts w:cstheme="minorHAnsi"/>
          <w:bCs/>
        </w:rPr>
        <w:t>support clinically led services focused on</w:t>
      </w:r>
      <w:r w:rsidRPr="0033013E">
        <w:rPr>
          <w:rFonts w:cstheme="minorHAnsi"/>
        </w:rPr>
        <w:t xml:space="preserve"> quality and safety</w:t>
      </w:r>
      <w:r w:rsidR="00A15FA3">
        <w:t>.</w:t>
      </w:r>
    </w:p>
    <w:p w14:paraId="4BBA336F" w14:textId="77777777" w:rsidR="00D852F5" w:rsidRPr="00800207" w:rsidRDefault="00D852F5" w:rsidP="00A15FA3">
      <w:pPr>
        <w:pStyle w:val="Heading3"/>
      </w:pPr>
      <w:r w:rsidRPr="00800207">
        <w:t xml:space="preserve"> Empowerment and Improvement Culture</w:t>
      </w:r>
    </w:p>
    <w:p w14:paraId="6E8E2ED1" w14:textId="42415414" w:rsidR="00A15FA3" w:rsidRDefault="00905A9D" w:rsidP="00A15FA3">
      <w:pPr>
        <w:autoSpaceDE w:val="0"/>
        <w:autoSpaceDN w:val="0"/>
        <w:rPr>
          <w:rFonts w:asciiTheme="minorHAnsi" w:hAnsiTheme="minorHAnsi" w:cstheme="minorHAnsi"/>
          <w:szCs w:val="22"/>
        </w:rPr>
      </w:pPr>
      <w:r w:rsidRPr="0033013E">
        <w:rPr>
          <w:rFonts w:cstheme="minorHAnsi"/>
        </w:rPr>
        <w:t>Empower people, taking decision making closer to those delivering the service and inc</w:t>
      </w:r>
      <w:r>
        <w:rPr>
          <w:rFonts w:cstheme="minorHAnsi"/>
        </w:rPr>
        <w:t xml:space="preserve">reasing service level autonomy. </w:t>
      </w:r>
      <w:r w:rsidRPr="0033013E">
        <w:rPr>
          <w:rFonts w:cstheme="minorHAnsi"/>
        </w:rPr>
        <w:t xml:space="preserve"> In both the organisation design and underpinned by values and be</w:t>
      </w:r>
      <w:r>
        <w:rPr>
          <w:rFonts w:cstheme="minorHAnsi"/>
        </w:rPr>
        <w:t xml:space="preserve">haviours modelled from the top. </w:t>
      </w:r>
      <w:r w:rsidRPr="0033013E">
        <w:rPr>
          <w:rFonts w:cstheme="minorHAnsi"/>
        </w:rPr>
        <w:t xml:space="preserve"> Linked across to leadership development.  One of the overall aims of the cultural change that is desired – focus on “improvement as the beating heart of the organisation, enabled by proactive data insights and skills development</w:t>
      </w:r>
      <w:r w:rsidR="00A15FA3">
        <w:rPr>
          <w:rFonts w:asciiTheme="minorHAnsi" w:hAnsiTheme="minorHAnsi" w:cstheme="minorHAnsi"/>
          <w:szCs w:val="22"/>
        </w:rPr>
        <w:t>”.</w:t>
      </w:r>
    </w:p>
    <w:p w14:paraId="4F662FCA" w14:textId="528BE413" w:rsidR="00D852F5" w:rsidRPr="00800207" w:rsidRDefault="00D852F5" w:rsidP="00A15FA3">
      <w:pPr>
        <w:pStyle w:val="Heading3"/>
      </w:pPr>
      <w:r w:rsidRPr="00800207">
        <w:t>Building Sustainable and Engaged Workforce</w:t>
      </w:r>
    </w:p>
    <w:p w14:paraId="44D4E5DB" w14:textId="499F0D45" w:rsidR="00905A9D" w:rsidRPr="00905A9D" w:rsidRDefault="00905A9D" w:rsidP="00905A9D">
      <w:pPr>
        <w:autoSpaceDE w:val="0"/>
        <w:autoSpaceDN w:val="0"/>
        <w:spacing w:before="240"/>
        <w:rPr>
          <w:rFonts w:cstheme="minorHAnsi"/>
        </w:rPr>
      </w:pPr>
      <w:r w:rsidRPr="00905A9D">
        <w:rPr>
          <w:rFonts w:cstheme="minorHAnsi"/>
        </w:rPr>
        <w:t>The overall aim is to develop and support excellent consistent clinical standards and professional practice providing the best quality and outcomes.</w:t>
      </w:r>
      <w:r w:rsidR="00FF4204">
        <w:rPr>
          <w:rFonts w:cstheme="minorHAnsi"/>
        </w:rPr>
        <w:t xml:space="preserve"> </w:t>
      </w:r>
      <w:r w:rsidRPr="00905A9D">
        <w:rPr>
          <w:rFonts w:cstheme="minorHAnsi"/>
        </w:rPr>
        <w:t>To improve the employee experience across the whole Health Board, taking into account concerns raised in the independent review into maternity service, target intervention and the ‘quadruple aim’ to ‘</w:t>
      </w:r>
      <w:r w:rsidRPr="00905A9D">
        <w:rPr>
          <w:rFonts w:cstheme="minorHAnsi"/>
          <w:i/>
        </w:rPr>
        <w:t>enrich the wellbeing, capability and engagement of the health and social care workforce</w:t>
      </w:r>
      <w:r w:rsidRPr="00905A9D">
        <w:rPr>
          <w:rFonts w:cstheme="minorHAnsi"/>
        </w:rPr>
        <w:t xml:space="preserve">’. The health Board has developed a framework for improving employee experience.   </w:t>
      </w:r>
    </w:p>
    <w:p w14:paraId="3682E1F1" w14:textId="77777777" w:rsidR="00905A9D" w:rsidRPr="00905A9D" w:rsidRDefault="00905A9D" w:rsidP="00905A9D">
      <w:pPr>
        <w:rPr>
          <w:rFonts w:cstheme="minorHAnsi"/>
        </w:rPr>
      </w:pPr>
    </w:p>
    <w:p w14:paraId="5622BD28" w14:textId="65EF4C43" w:rsidR="00905A9D" w:rsidRPr="00905A9D" w:rsidRDefault="00905A9D" w:rsidP="00905A9D">
      <w:pPr>
        <w:rPr>
          <w:rFonts w:cstheme="minorHAnsi"/>
        </w:rPr>
      </w:pPr>
      <w:r w:rsidRPr="00905A9D">
        <w:rPr>
          <w:rFonts w:cstheme="minorHAnsi"/>
        </w:rPr>
        <w:t>The framework looks at the whole employee journey which broadly speaking is broken down to, attract, recruit, on-board, develop, retain and depart. These stages can be used to define the most critical stages that have the most influence on an employee's perception. Following this framework provides a clear and structured approach to improving Employee Experience:</w:t>
      </w:r>
    </w:p>
    <w:p w14:paraId="0DBF82DF" w14:textId="284D898C" w:rsidR="00905A9D" w:rsidRPr="00905A9D" w:rsidRDefault="00905A9D" w:rsidP="00905A9D">
      <w:pPr>
        <w:rPr>
          <w:rFonts w:cstheme="minorHAnsi"/>
        </w:rPr>
      </w:pPr>
      <w:r w:rsidRPr="00905A9D">
        <w:rPr>
          <w:rFonts w:ascii="Verdana" w:hAnsi="Verdana" w:cs="Arial"/>
          <w:noProof/>
          <w:sz w:val="24"/>
        </w:rPr>
        <w:drawing>
          <wp:anchor distT="0" distB="0" distL="114300" distR="114300" simplePos="0" relativeHeight="252868608" behindDoc="1" locked="0" layoutInCell="1" allowOverlap="1" wp14:anchorId="6E5EE8E9" wp14:editId="20B58DE2">
            <wp:simplePos x="0" y="0"/>
            <wp:positionH relativeFrom="margin">
              <wp:posOffset>2959735</wp:posOffset>
            </wp:positionH>
            <wp:positionV relativeFrom="paragraph">
              <wp:posOffset>17780</wp:posOffset>
            </wp:positionV>
            <wp:extent cx="3563620" cy="2872105"/>
            <wp:effectExtent l="0" t="0" r="0" b="444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Ex_jouney and cross cutting themes.jpg"/>
                    <pic:cNvPicPr/>
                  </pic:nvPicPr>
                  <pic:blipFill>
                    <a:blip r:embed="rId83">
                      <a:extLst>
                        <a:ext uri="{28A0092B-C50C-407E-A947-70E740481C1C}">
                          <a14:useLocalDpi xmlns:a14="http://schemas.microsoft.com/office/drawing/2010/main" val="0"/>
                        </a:ext>
                      </a:extLst>
                    </a:blip>
                    <a:stretch>
                      <a:fillRect/>
                    </a:stretch>
                  </pic:blipFill>
                  <pic:spPr>
                    <a:xfrm>
                      <a:off x="0" y="0"/>
                      <a:ext cx="3563620" cy="2872105"/>
                    </a:xfrm>
                    <a:prstGeom prst="rect">
                      <a:avLst/>
                    </a:prstGeom>
                  </pic:spPr>
                </pic:pic>
              </a:graphicData>
            </a:graphic>
            <wp14:sizeRelH relativeFrom="margin">
              <wp14:pctWidth>0</wp14:pctWidth>
            </wp14:sizeRelH>
            <wp14:sizeRelV relativeFrom="margin">
              <wp14:pctHeight>0</wp14:pctHeight>
            </wp14:sizeRelV>
          </wp:anchor>
        </w:drawing>
      </w:r>
    </w:p>
    <w:p w14:paraId="070C689A" w14:textId="455B3EB4" w:rsidR="00905A9D" w:rsidRPr="00905A9D" w:rsidRDefault="00905A9D" w:rsidP="00F60A35">
      <w:pPr>
        <w:numPr>
          <w:ilvl w:val="0"/>
          <w:numId w:val="84"/>
        </w:numPr>
        <w:autoSpaceDE w:val="0"/>
        <w:autoSpaceDN w:val="0"/>
        <w:adjustRightInd w:val="0"/>
        <w:ind w:left="357" w:hanging="357"/>
        <w:rPr>
          <w:rFonts w:eastAsia="Calibri" w:cstheme="minorHAnsi"/>
        </w:rPr>
      </w:pPr>
      <w:r w:rsidRPr="00905A9D">
        <w:rPr>
          <w:rFonts w:eastAsia="Calibri" w:cstheme="minorHAnsi"/>
          <w:b/>
        </w:rPr>
        <w:t>Employee Experience Steering Group</w:t>
      </w:r>
      <w:r w:rsidRPr="00905A9D">
        <w:rPr>
          <w:rFonts w:eastAsia="Calibri" w:cstheme="minorHAnsi"/>
        </w:rPr>
        <w:t xml:space="preserve">, chaired by an Independent Board Member, the Employee Experience Steering Group’s role is to provide strategic direction and ensure the outcomes of any activity contribute to an improved Employee Experience. </w:t>
      </w:r>
    </w:p>
    <w:p w14:paraId="02158948" w14:textId="6758D033" w:rsidR="00905A9D" w:rsidRPr="00905A9D" w:rsidRDefault="00905A9D" w:rsidP="00F60A35">
      <w:pPr>
        <w:numPr>
          <w:ilvl w:val="0"/>
          <w:numId w:val="84"/>
        </w:numPr>
        <w:spacing w:after="160"/>
        <w:ind w:left="357" w:hanging="357"/>
        <w:contextualSpacing/>
        <w:rPr>
          <w:rFonts w:cstheme="minorHAnsi"/>
        </w:rPr>
      </w:pPr>
      <w:r w:rsidRPr="00905A9D">
        <w:rPr>
          <w:rFonts w:cstheme="minorHAnsi"/>
          <w:b/>
        </w:rPr>
        <w:t>Employee Experience Activity Group</w:t>
      </w:r>
      <w:r w:rsidRPr="00905A9D">
        <w:rPr>
          <w:rFonts w:cstheme="minorHAnsi"/>
        </w:rPr>
        <w:t xml:space="preserve">, chaired by the Assistant Director of Employee Experience and Wellbeing, the Activity Group will be accountable for the delivery of any activity which contributes to an improved Employee Experience. </w:t>
      </w:r>
    </w:p>
    <w:p w14:paraId="0F403E84" w14:textId="475F10F8" w:rsidR="00905A9D" w:rsidRPr="00905A9D" w:rsidRDefault="00905A9D" w:rsidP="00F60A35">
      <w:pPr>
        <w:numPr>
          <w:ilvl w:val="0"/>
          <w:numId w:val="83"/>
        </w:numPr>
        <w:autoSpaceDE w:val="0"/>
        <w:autoSpaceDN w:val="0"/>
        <w:adjustRightInd w:val="0"/>
        <w:ind w:left="357" w:hanging="357"/>
        <w:rPr>
          <w:rFonts w:cstheme="minorHAnsi"/>
        </w:rPr>
      </w:pPr>
      <w:r w:rsidRPr="00905A9D">
        <w:rPr>
          <w:rFonts w:cstheme="minorHAnsi"/>
          <w:b/>
        </w:rPr>
        <w:t xml:space="preserve">Employee Experience </w:t>
      </w:r>
      <w:r w:rsidR="00614BBE">
        <w:rPr>
          <w:rFonts w:cstheme="minorHAnsi"/>
          <w:b/>
        </w:rPr>
        <w:t>Workstreams</w:t>
      </w:r>
      <w:r w:rsidRPr="00905A9D">
        <w:rPr>
          <w:rFonts w:cstheme="minorHAnsi"/>
        </w:rPr>
        <w:t xml:space="preserve">, led by appropriate accountable leads (to be </w:t>
      </w:r>
      <w:r w:rsidRPr="00905A9D">
        <w:rPr>
          <w:rFonts w:cstheme="minorHAnsi"/>
        </w:rPr>
        <w:lastRenderedPageBreak/>
        <w:t xml:space="preserve">identified), the </w:t>
      </w:r>
      <w:r w:rsidR="00614BBE">
        <w:rPr>
          <w:rFonts w:cstheme="minorHAnsi"/>
        </w:rPr>
        <w:t>workstreams</w:t>
      </w:r>
      <w:r w:rsidRPr="00905A9D">
        <w:rPr>
          <w:rFonts w:cstheme="minorHAnsi"/>
        </w:rPr>
        <w:t xml:space="preserve"> will mirror the most critical stages of the employee journey (Attract, Recruit, On-board, Develop, Retain, Depart).</w:t>
      </w:r>
    </w:p>
    <w:p w14:paraId="2EAAF9A4" w14:textId="7B747339" w:rsidR="00905A9D" w:rsidRPr="00905A9D" w:rsidRDefault="00905A9D" w:rsidP="00905A9D">
      <w:pPr>
        <w:autoSpaceDE w:val="0"/>
        <w:autoSpaceDN w:val="0"/>
        <w:adjustRightInd w:val="0"/>
        <w:rPr>
          <w:rFonts w:ascii="Verdana" w:hAnsi="Verdana" w:cs="Arial"/>
          <w:sz w:val="24"/>
        </w:rPr>
      </w:pPr>
    </w:p>
    <w:p w14:paraId="7037CF15" w14:textId="52465072" w:rsidR="00905A9D" w:rsidRPr="00905A9D" w:rsidRDefault="00905A9D" w:rsidP="00905A9D">
      <w:pPr>
        <w:rPr>
          <w:rFonts w:cs="Arial"/>
        </w:rPr>
      </w:pPr>
      <w:r w:rsidRPr="00905A9D">
        <w:rPr>
          <w:rFonts w:cs="Arial"/>
        </w:rPr>
        <w:t xml:space="preserve">The </w:t>
      </w:r>
      <w:r w:rsidR="002271F0">
        <w:rPr>
          <w:rFonts w:cs="Arial"/>
        </w:rPr>
        <w:t>CTM PSB</w:t>
      </w:r>
      <w:r w:rsidRPr="00905A9D">
        <w:rPr>
          <w:rFonts w:cs="Arial"/>
        </w:rPr>
        <w:t xml:space="preserve"> has a joint workforce development project group, which is now part of the ‘Strong Economy’ work stream.</w:t>
      </w:r>
      <w:r w:rsidR="002271F0">
        <w:rPr>
          <w:rFonts w:cs="Arial"/>
        </w:rPr>
        <w:t xml:space="preserve"> </w:t>
      </w:r>
      <w:r w:rsidRPr="00905A9D">
        <w:rPr>
          <w:rFonts w:cs="Arial"/>
        </w:rPr>
        <w:t xml:space="preserve"> Along with </w:t>
      </w:r>
      <w:r w:rsidR="000774E1">
        <w:rPr>
          <w:rFonts w:cs="Arial"/>
        </w:rPr>
        <w:t>the Health Boards</w:t>
      </w:r>
      <w:r w:rsidRPr="00905A9D">
        <w:rPr>
          <w:rFonts w:cs="Arial"/>
        </w:rPr>
        <w:t xml:space="preserve"> partner organisations, the aim is to collectively ensure we have a skilled and sustainable public services workforce for the future and there is </w:t>
      </w:r>
      <w:r w:rsidR="005C6355">
        <w:rPr>
          <w:rFonts w:cs="Arial"/>
        </w:rPr>
        <w:t xml:space="preserve">a </w:t>
      </w:r>
      <w:r w:rsidRPr="00905A9D">
        <w:rPr>
          <w:rFonts w:cs="Arial"/>
        </w:rPr>
        <w:t xml:space="preserve">programme plan underpinned by the principles and goals contained within the Social Services and Well-Being (Wales) and Well-Being of Future Generations Acts. </w:t>
      </w:r>
      <w:r w:rsidR="00822337">
        <w:rPr>
          <w:rFonts w:cs="Arial"/>
        </w:rPr>
        <w:t>The work stream is due to launch</w:t>
      </w:r>
      <w:r w:rsidRPr="00905A9D">
        <w:rPr>
          <w:rFonts w:cs="Arial"/>
        </w:rPr>
        <w:t xml:space="preserve"> its Employability Pledge in February 2020.  Opportunities partners may provide include:</w:t>
      </w:r>
    </w:p>
    <w:p w14:paraId="281055E9" w14:textId="77777777" w:rsidR="00905A9D" w:rsidRPr="00905A9D" w:rsidRDefault="00905A9D" w:rsidP="00F60A35">
      <w:pPr>
        <w:pStyle w:val="ListParagraph"/>
        <w:numPr>
          <w:ilvl w:val="0"/>
          <w:numId w:val="83"/>
        </w:numPr>
        <w:spacing w:after="160" w:line="259" w:lineRule="auto"/>
        <w:ind w:left="357" w:hanging="357"/>
        <w:rPr>
          <w:rFonts w:cs="Arial"/>
        </w:rPr>
      </w:pPr>
      <w:r w:rsidRPr="00905A9D">
        <w:rPr>
          <w:rFonts w:cs="Arial"/>
        </w:rPr>
        <w:t>Apprenticeships</w:t>
      </w:r>
    </w:p>
    <w:p w14:paraId="15BC9A19" w14:textId="77777777" w:rsidR="00905A9D" w:rsidRPr="00905A9D" w:rsidRDefault="00905A9D" w:rsidP="00F60A35">
      <w:pPr>
        <w:pStyle w:val="ListParagraph"/>
        <w:numPr>
          <w:ilvl w:val="0"/>
          <w:numId w:val="83"/>
        </w:numPr>
        <w:spacing w:after="160" w:line="259" w:lineRule="auto"/>
        <w:ind w:left="357" w:hanging="357"/>
        <w:rPr>
          <w:rFonts w:cs="Arial"/>
        </w:rPr>
      </w:pPr>
      <w:r w:rsidRPr="00905A9D">
        <w:rPr>
          <w:rFonts w:cs="Arial"/>
        </w:rPr>
        <w:t>Work experience placements</w:t>
      </w:r>
    </w:p>
    <w:p w14:paraId="7F706B5F" w14:textId="77777777" w:rsidR="00905A9D" w:rsidRPr="00905A9D" w:rsidRDefault="00905A9D" w:rsidP="00F60A35">
      <w:pPr>
        <w:pStyle w:val="ListParagraph"/>
        <w:numPr>
          <w:ilvl w:val="0"/>
          <w:numId w:val="83"/>
        </w:numPr>
        <w:spacing w:after="160" w:line="259" w:lineRule="auto"/>
        <w:ind w:left="357" w:hanging="357"/>
        <w:rPr>
          <w:rFonts w:cs="Arial"/>
        </w:rPr>
      </w:pPr>
      <w:r w:rsidRPr="00905A9D">
        <w:rPr>
          <w:rFonts w:cs="Arial"/>
        </w:rPr>
        <w:t>Employability programme</w:t>
      </w:r>
    </w:p>
    <w:p w14:paraId="16D427DB" w14:textId="77777777" w:rsidR="00905A9D" w:rsidRPr="00905A9D" w:rsidRDefault="00905A9D" w:rsidP="00F60A35">
      <w:pPr>
        <w:pStyle w:val="ListParagraph"/>
        <w:numPr>
          <w:ilvl w:val="0"/>
          <w:numId w:val="83"/>
        </w:numPr>
        <w:spacing w:after="160" w:line="259" w:lineRule="auto"/>
        <w:ind w:left="357" w:hanging="357"/>
        <w:rPr>
          <w:rFonts w:cs="Arial"/>
        </w:rPr>
      </w:pPr>
      <w:r w:rsidRPr="00905A9D">
        <w:rPr>
          <w:rFonts w:cs="Arial"/>
        </w:rPr>
        <w:t>Volunteering opportunities</w:t>
      </w:r>
    </w:p>
    <w:p w14:paraId="6409B846" w14:textId="77777777" w:rsidR="00905A9D" w:rsidRPr="00905A9D" w:rsidRDefault="00905A9D" w:rsidP="00F60A35">
      <w:pPr>
        <w:pStyle w:val="ListParagraph"/>
        <w:numPr>
          <w:ilvl w:val="0"/>
          <w:numId w:val="83"/>
        </w:numPr>
        <w:spacing w:after="160" w:line="259" w:lineRule="auto"/>
        <w:ind w:left="357" w:hanging="357"/>
        <w:rPr>
          <w:rFonts w:cs="Arial"/>
        </w:rPr>
      </w:pPr>
      <w:r w:rsidRPr="00905A9D">
        <w:rPr>
          <w:rFonts w:cs="Arial"/>
        </w:rPr>
        <w:t xml:space="preserve">Work with schools, colleges and Universities </w:t>
      </w:r>
    </w:p>
    <w:p w14:paraId="63EF4CB7" w14:textId="3D1A5226" w:rsidR="00905A9D" w:rsidRPr="0033013E" w:rsidRDefault="00905A9D" w:rsidP="00905A9D">
      <w:pPr>
        <w:spacing w:before="240"/>
        <w:rPr>
          <w:rFonts w:cstheme="minorHAnsi"/>
        </w:rPr>
      </w:pPr>
      <w:r w:rsidRPr="0033013E">
        <w:rPr>
          <w:rFonts w:cstheme="minorHAnsi"/>
        </w:rPr>
        <w:t>Each of these area</w:t>
      </w:r>
      <w:r w:rsidR="00E50327">
        <w:rPr>
          <w:rFonts w:cstheme="minorHAnsi"/>
        </w:rPr>
        <w:t>s</w:t>
      </w:r>
      <w:r w:rsidRPr="0033013E">
        <w:rPr>
          <w:rFonts w:cstheme="minorHAnsi"/>
        </w:rPr>
        <w:t xml:space="preserve"> of focus will be ongoing over the duration of the IMTP and will continuously develop </w:t>
      </w:r>
      <w:r>
        <w:rPr>
          <w:rFonts w:cstheme="minorHAnsi"/>
        </w:rPr>
        <w:t xml:space="preserve">and </w:t>
      </w:r>
      <w:r w:rsidRPr="0033013E">
        <w:rPr>
          <w:rFonts w:cstheme="minorHAnsi"/>
        </w:rPr>
        <w:t xml:space="preserve">support the growth and sustainability of </w:t>
      </w:r>
      <w:r w:rsidR="002271F0">
        <w:rPr>
          <w:rFonts w:cstheme="minorHAnsi"/>
        </w:rPr>
        <w:t>the Health Board</w:t>
      </w:r>
      <w:r w:rsidRPr="0033013E">
        <w:rPr>
          <w:rFonts w:cstheme="minorHAnsi"/>
        </w:rPr>
        <w:t>.</w:t>
      </w:r>
    </w:p>
    <w:p w14:paraId="34321552" w14:textId="2415F80F" w:rsidR="00A15FA3" w:rsidRPr="005E5CB8" w:rsidRDefault="00A15FA3" w:rsidP="00A15FA3">
      <w:pPr>
        <w:autoSpaceDE w:val="0"/>
        <w:autoSpaceDN w:val="0"/>
        <w:rPr>
          <w:rFonts w:asciiTheme="minorHAnsi" w:hAnsiTheme="minorHAnsi" w:cstheme="minorHAnsi"/>
          <w:szCs w:val="22"/>
        </w:rPr>
      </w:pPr>
    </w:p>
    <w:p w14:paraId="67CA17E4" w14:textId="4B4824DF" w:rsidR="00D852F5" w:rsidRPr="00800207" w:rsidRDefault="00A15FA3" w:rsidP="00D852F5">
      <w:pPr>
        <w:ind w:left="360"/>
        <w:rPr>
          <w:rFonts w:cstheme="minorHAnsi"/>
          <w:szCs w:val="22"/>
        </w:rPr>
      </w:pPr>
      <w:r w:rsidRPr="00800207">
        <w:rPr>
          <w:noProof/>
          <w:szCs w:val="22"/>
        </w:rPr>
        <mc:AlternateContent>
          <mc:Choice Requires="wps">
            <w:drawing>
              <wp:anchor distT="0" distB="0" distL="114300" distR="114300" simplePos="0" relativeHeight="252801024" behindDoc="0" locked="0" layoutInCell="1" allowOverlap="1" wp14:anchorId="23C1F1A5" wp14:editId="164ED236">
                <wp:simplePos x="0" y="0"/>
                <wp:positionH relativeFrom="margin">
                  <wp:posOffset>1621501</wp:posOffset>
                </wp:positionH>
                <wp:positionV relativeFrom="paragraph">
                  <wp:posOffset>96611</wp:posOffset>
                </wp:positionV>
                <wp:extent cx="4305300" cy="813269"/>
                <wp:effectExtent l="0" t="0" r="19050" b="25400"/>
                <wp:wrapNone/>
                <wp:docPr id="27" name="Text Box 27"/>
                <wp:cNvGraphicFramePr/>
                <a:graphic xmlns:a="http://schemas.openxmlformats.org/drawingml/2006/main">
                  <a:graphicData uri="http://schemas.microsoft.com/office/word/2010/wordprocessingShape">
                    <wps:wsp>
                      <wps:cNvSpPr txBox="1"/>
                      <wps:spPr>
                        <a:xfrm>
                          <a:off x="0" y="0"/>
                          <a:ext cx="4305300" cy="813269"/>
                        </a:xfrm>
                        <a:prstGeom prst="rect">
                          <a:avLst/>
                        </a:prstGeom>
                        <a:solidFill>
                          <a:sysClr val="window" lastClr="FFFFFF"/>
                        </a:solidFill>
                        <a:ln w="6350">
                          <a:solidFill>
                            <a:prstClr val="black"/>
                          </a:solidFill>
                        </a:ln>
                        <a:effectLst/>
                      </wps:spPr>
                      <wps:txbx>
                        <w:txbxContent>
                          <w:p w14:paraId="0F0A6B8C" w14:textId="77777777" w:rsidR="00883972" w:rsidRPr="005D3F61" w:rsidRDefault="00883972" w:rsidP="00D852F5">
                            <w:pPr>
                              <w:rPr>
                                <w:rFonts w:cstheme="minorHAnsi"/>
                              </w:rPr>
                            </w:pPr>
                            <w:r w:rsidRPr="005D3F61">
                              <w:t>We will have increased the organisation Engagement index score, improved the experience of staff appraisal, the e</w:t>
                            </w:r>
                            <w:r w:rsidRPr="005D3F61">
                              <w:rPr>
                                <w:rFonts w:cstheme="minorHAnsi"/>
                              </w:rPr>
                              <w:t>ffectiveness of team working (i.e. innovative teams), and experience of leadership. Measured by staff survey.</w:t>
                            </w:r>
                          </w:p>
                          <w:p w14:paraId="1DCCA072" w14:textId="77777777" w:rsidR="00883972" w:rsidRPr="005D3F61" w:rsidRDefault="00883972" w:rsidP="00D852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C1F1A5" id="Text Box 27" o:spid="_x0000_s1031" type="#_x0000_t202" style="position:absolute;left:0;text-align:left;margin-left:127.7pt;margin-top:7.6pt;width:339pt;height:64.05pt;z-index:252801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" fillcolor="window" strokeweight=".5pt">
                <v:textbox>
                  <w:txbxContent>
                    <w:p w14:paraId="0F0A6B8C" w14:textId="77777777" w:rsidR="00883972" w:rsidRPr="005D3F61" w:rsidRDefault="00883972" w:rsidP="00D852F5">
                      <w:pPr>
                        <w:rPr>
                          <w:rFonts w:cstheme="minorHAnsi"/>
                        </w:rPr>
                      </w:pPr>
                      <w:r w:rsidRPr="005D3F61">
                        <w:t>We will have increased the organisation Engagement index score, improved the experience of staff appraisal, the e</w:t>
                      </w:r>
                      <w:r w:rsidRPr="005D3F61">
                        <w:rPr>
                          <w:rFonts w:cstheme="minorHAnsi"/>
                        </w:rPr>
                        <w:t>ffectiveness of team working (i.e. innovative teams), and experience of leadership. Measured by staff survey.</w:t>
                      </w:r>
                    </w:p>
                    <w:p w14:paraId="1DCCA072" w14:textId="77777777" w:rsidR="00883972" w:rsidRPr="005D3F61" w:rsidRDefault="00883972" w:rsidP="00D852F5"/>
                  </w:txbxContent>
                </v:textbox>
                <w10:wrap anchorx="margin"/>
              </v:shape>
            </w:pict>
          </mc:Fallback>
        </mc:AlternateContent>
      </w:r>
      <w:r w:rsidR="00D852F5" w:rsidRPr="00800207">
        <w:rPr>
          <w:noProof/>
          <w:szCs w:val="22"/>
        </w:rPr>
        <w:drawing>
          <wp:inline distT="0" distB="0" distL="0" distR="0" wp14:anchorId="1BED94CE" wp14:editId="047270C4">
            <wp:extent cx="5727065" cy="897545"/>
            <wp:effectExtent l="76200" t="57150" r="102235" b="112395"/>
            <wp:docPr id="48" name="Diagram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14:paraId="53C40EDB" w14:textId="6E2ABA3E" w:rsidR="00D852F5" w:rsidRPr="00800207" w:rsidRDefault="00D852F5" w:rsidP="00536402">
      <w:pPr>
        <w:pStyle w:val="Heading2"/>
      </w:pPr>
      <w:bookmarkStart w:id="159" w:name="_Toc29573954"/>
      <w:r w:rsidRPr="00800207">
        <w:t>Workforce Sustainability</w:t>
      </w:r>
      <w:bookmarkEnd w:id="159"/>
    </w:p>
    <w:p w14:paraId="35CEBEEA" w14:textId="5F40D2C8" w:rsidR="00A15FA3" w:rsidRPr="00A15FA3" w:rsidRDefault="00905A9D" w:rsidP="00D852F5">
      <w:pPr>
        <w:rPr>
          <w:rFonts w:asciiTheme="minorHAnsi" w:hAnsiTheme="minorHAnsi" w:cstheme="minorHAnsi"/>
          <w:szCs w:val="22"/>
        </w:rPr>
      </w:pPr>
      <w:r w:rsidRPr="0033013E">
        <w:rPr>
          <w:rFonts w:cstheme="minorHAnsi"/>
          <w:noProof/>
        </w:rPr>
        <w:drawing>
          <wp:anchor distT="0" distB="0" distL="114300" distR="114300" simplePos="0" relativeHeight="252870656" behindDoc="0" locked="0" layoutInCell="1" allowOverlap="1" wp14:anchorId="2052A0DF" wp14:editId="6F811143">
            <wp:simplePos x="0" y="0"/>
            <wp:positionH relativeFrom="margin">
              <wp:align>left</wp:align>
            </wp:positionH>
            <wp:positionV relativeFrom="paragraph">
              <wp:posOffset>23495</wp:posOffset>
            </wp:positionV>
            <wp:extent cx="817880" cy="762000"/>
            <wp:effectExtent l="0" t="0" r="127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817880" cy="762000"/>
                    </a:xfrm>
                    <a:prstGeom prst="rect">
                      <a:avLst/>
                    </a:prstGeom>
                  </pic:spPr>
                </pic:pic>
              </a:graphicData>
            </a:graphic>
          </wp:anchor>
        </w:drawing>
      </w:r>
      <w:r w:rsidRPr="0033013E">
        <w:rPr>
          <w:rFonts w:cstheme="minorHAnsi"/>
        </w:rPr>
        <w:t>Maximising the efficiency and productivity contribution of the workforce is a key component of our workforce plan.  The priorities include ensuring our operational and management systems/processes are robust to facilitate the effective management and deployment of our staff.  Where practical we will utilise e-employment systems to minimise waste.  There will continue to be workforce productivity cross cutting work programmes to oversee a range of activities that will support efficiency, productivity, service improvement and release savings from the pay bill</w:t>
      </w:r>
      <w:r w:rsidR="000F5DB8">
        <w:rPr>
          <w:rFonts w:cstheme="minorHAnsi"/>
        </w:rPr>
        <w:t xml:space="preserve"> which supports the overall vision of ‘A Healthier Wales: Our Workforce Strategy for Health and Social Care’</w:t>
      </w:r>
      <w:r w:rsidR="00A15FA3" w:rsidRPr="005E5CB8">
        <w:rPr>
          <w:rFonts w:asciiTheme="minorHAnsi" w:hAnsiTheme="minorHAnsi" w:cstheme="minorHAnsi"/>
          <w:szCs w:val="22"/>
        </w:rPr>
        <w:t>.</w:t>
      </w:r>
      <w:r w:rsidRPr="00905A9D">
        <w:rPr>
          <w:rFonts w:cstheme="minorHAnsi"/>
          <w:noProof/>
        </w:rPr>
        <w:t xml:space="preserve"> </w:t>
      </w:r>
    </w:p>
    <w:p w14:paraId="6DAFA807" w14:textId="2ABA0EEC" w:rsidR="00D852F5" w:rsidRPr="00800207" w:rsidRDefault="00D852F5" w:rsidP="00A15FA3">
      <w:pPr>
        <w:pStyle w:val="Heading3"/>
      </w:pPr>
      <w:r w:rsidRPr="00800207">
        <w:t xml:space="preserve">Current Position </w:t>
      </w:r>
    </w:p>
    <w:p w14:paraId="34638D91" w14:textId="374DA9FE" w:rsidR="00905A9D" w:rsidRPr="0033013E" w:rsidRDefault="00905A9D" w:rsidP="00F60A35">
      <w:pPr>
        <w:pStyle w:val="ListParagraph"/>
        <w:numPr>
          <w:ilvl w:val="0"/>
          <w:numId w:val="48"/>
        </w:numPr>
        <w:spacing w:before="240" w:after="160"/>
        <w:ind w:left="357" w:hanging="357"/>
        <w:jc w:val="left"/>
        <w:rPr>
          <w:rFonts w:cstheme="minorHAnsi"/>
          <w:b/>
        </w:rPr>
      </w:pPr>
      <w:r w:rsidRPr="0033013E">
        <w:rPr>
          <w:rFonts w:cstheme="minorHAnsi"/>
        </w:rPr>
        <w:t xml:space="preserve">Since becoming </w:t>
      </w:r>
      <w:r w:rsidR="00B76DA9">
        <w:rPr>
          <w:rFonts w:cstheme="minorHAnsi"/>
        </w:rPr>
        <w:t>CTMUHB</w:t>
      </w:r>
      <w:r w:rsidRPr="0033013E">
        <w:rPr>
          <w:rFonts w:cstheme="minorHAnsi"/>
        </w:rPr>
        <w:t xml:space="preserve"> on 1st April 2019, the workforce has seen a considerable increase of approximately 3089 WTE, talking the organisation to </w:t>
      </w:r>
      <w:r w:rsidR="004D1F9F">
        <w:rPr>
          <w:rFonts w:cstheme="minorHAnsi"/>
        </w:rPr>
        <w:t>approximately 10,500</w:t>
      </w:r>
      <w:r w:rsidRPr="0033013E">
        <w:rPr>
          <w:rFonts w:cstheme="minorHAnsi"/>
        </w:rPr>
        <w:t xml:space="preserve"> WTE as at </w:t>
      </w:r>
      <w:r w:rsidR="004D1F9F">
        <w:rPr>
          <w:rFonts w:cstheme="minorHAnsi"/>
        </w:rPr>
        <w:t xml:space="preserve">December </w:t>
      </w:r>
      <w:r w:rsidRPr="0033013E">
        <w:rPr>
          <w:rFonts w:cstheme="minorHAnsi"/>
        </w:rPr>
        <w:t>2019.</w:t>
      </w:r>
    </w:p>
    <w:p w14:paraId="6A3AD275" w14:textId="77777777" w:rsidR="00905A9D" w:rsidRPr="0033013E" w:rsidRDefault="00905A9D" w:rsidP="00F60A35">
      <w:pPr>
        <w:pStyle w:val="ListParagraph"/>
        <w:numPr>
          <w:ilvl w:val="0"/>
          <w:numId w:val="48"/>
        </w:numPr>
        <w:spacing w:before="240" w:after="160"/>
        <w:ind w:left="357" w:hanging="357"/>
        <w:jc w:val="left"/>
        <w:rPr>
          <w:rFonts w:cstheme="minorHAnsi"/>
          <w:b/>
        </w:rPr>
      </w:pPr>
      <w:r w:rsidRPr="0033013E">
        <w:rPr>
          <w:rFonts w:cstheme="minorHAnsi"/>
        </w:rPr>
        <w:t>We have seen a decrease in year of our staff turnover rates, however there is recognition of gaps in the data so need to use caution when interpreting the data.</w:t>
      </w:r>
    </w:p>
    <w:p w14:paraId="6DA8CA16" w14:textId="77777777" w:rsidR="00905A9D" w:rsidRPr="0033013E" w:rsidRDefault="00905A9D" w:rsidP="00F60A35">
      <w:pPr>
        <w:pStyle w:val="ListParagraph"/>
        <w:numPr>
          <w:ilvl w:val="0"/>
          <w:numId w:val="48"/>
        </w:numPr>
        <w:spacing w:before="240" w:after="160"/>
        <w:ind w:left="357" w:hanging="357"/>
        <w:jc w:val="left"/>
        <w:rPr>
          <w:rFonts w:cstheme="minorHAnsi"/>
          <w:b/>
        </w:rPr>
      </w:pPr>
      <w:r w:rsidRPr="0033013E">
        <w:rPr>
          <w:rFonts w:cstheme="minorHAnsi"/>
        </w:rPr>
        <w:t>We continue to have a concerning age profile with Estates &amp; Ancillary still remaining high but we have seen a reduction of 2.45% with the addition of Bridgend.</w:t>
      </w:r>
    </w:p>
    <w:p w14:paraId="7F5DAA4B" w14:textId="49FCC00B" w:rsidR="00905A9D" w:rsidRPr="0098400E" w:rsidRDefault="00905A9D" w:rsidP="00F60A35">
      <w:pPr>
        <w:pStyle w:val="ListParagraph"/>
        <w:numPr>
          <w:ilvl w:val="0"/>
          <w:numId w:val="48"/>
        </w:numPr>
        <w:spacing w:before="240" w:after="160"/>
        <w:ind w:left="357" w:hanging="357"/>
        <w:rPr>
          <w:rFonts w:cstheme="minorHAnsi"/>
          <w:b/>
        </w:rPr>
      </w:pPr>
      <w:r w:rsidRPr="0033013E">
        <w:rPr>
          <w:rFonts w:cstheme="minorHAnsi"/>
        </w:rPr>
        <w:t>Recruitment challenges within a variety of professions for example, medical hard to fill post are GPs and Consultants in Emergency Medicine, Histopathology, Urology, Breast Surgery, CAMHS and Paediatrics Recruitment of SAS. Significant pressure remains on the nursing workforce</w:t>
      </w:r>
      <w:r w:rsidR="00B26073">
        <w:rPr>
          <w:rFonts w:cstheme="minorHAnsi"/>
        </w:rPr>
        <w:t xml:space="preserve"> and we continue to build links</w:t>
      </w:r>
      <w:r w:rsidRPr="0033013E">
        <w:rPr>
          <w:rFonts w:cstheme="minorHAnsi"/>
        </w:rPr>
        <w:t xml:space="preserve"> with Universities </w:t>
      </w:r>
    </w:p>
    <w:p w14:paraId="6F1D84DD" w14:textId="51E88E4B" w:rsidR="00FB5900" w:rsidRPr="0033013E" w:rsidRDefault="0098400E" w:rsidP="00F60A35">
      <w:pPr>
        <w:pStyle w:val="ListParagraph"/>
        <w:numPr>
          <w:ilvl w:val="0"/>
          <w:numId w:val="48"/>
        </w:numPr>
        <w:spacing w:before="240" w:after="160"/>
        <w:ind w:left="357" w:hanging="357"/>
        <w:rPr>
          <w:rFonts w:cstheme="minorHAnsi"/>
          <w:b/>
        </w:rPr>
      </w:pPr>
      <w:r>
        <w:rPr>
          <w:rFonts w:cstheme="minorHAnsi"/>
        </w:rPr>
        <w:t>The premium workforce costs resulting from our recruitment and retention challenges are a key driver of the UHB’s financial position</w:t>
      </w:r>
    </w:p>
    <w:p w14:paraId="475B0CA3" w14:textId="4B59AC81" w:rsidR="00905A9D" w:rsidRPr="0033013E" w:rsidRDefault="000774E1" w:rsidP="00F60A35">
      <w:pPr>
        <w:pStyle w:val="ListParagraph"/>
        <w:numPr>
          <w:ilvl w:val="0"/>
          <w:numId w:val="48"/>
        </w:numPr>
        <w:spacing w:before="240" w:after="160"/>
        <w:ind w:left="357" w:hanging="357"/>
        <w:rPr>
          <w:rFonts w:cstheme="minorHAnsi"/>
          <w:b/>
        </w:rPr>
      </w:pPr>
      <w:r>
        <w:rPr>
          <w:rFonts w:cstheme="minorHAnsi"/>
        </w:rPr>
        <w:t>Health Board</w:t>
      </w:r>
      <w:r w:rsidRPr="0033013E">
        <w:rPr>
          <w:rFonts w:cstheme="minorHAnsi"/>
        </w:rPr>
        <w:t xml:space="preserve"> </w:t>
      </w:r>
      <w:r w:rsidR="00905A9D" w:rsidRPr="0033013E">
        <w:rPr>
          <w:rFonts w:cstheme="minorHAnsi"/>
        </w:rPr>
        <w:t xml:space="preserve">escalation was increased to target intervention and maternity was put into special measures.  </w:t>
      </w:r>
    </w:p>
    <w:p w14:paraId="280A7C67" w14:textId="77777777" w:rsidR="00D852F5" w:rsidRPr="00B8625F" w:rsidRDefault="00D852F5" w:rsidP="00832B80">
      <w:pPr>
        <w:pStyle w:val="Heading3"/>
      </w:pPr>
      <w:r w:rsidRPr="00800207">
        <w:t>Workforce Financial Assumptions:</w:t>
      </w:r>
    </w:p>
    <w:p w14:paraId="3DA1233C" w14:textId="48141CB0" w:rsidR="00832B80" w:rsidRPr="00B8625F" w:rsidRDefault="00B8625F" w:rsidP="00832B80">
      <w:pPr>
        <w:rPr>
          <w:rFonts w:asciiTheme="minorHAnsi" w:hAnsiTheme="minorHAnsi" w:cstheme="minorHAnsi"/>
          <w:szCs w:val="22"/>
        </w:rPr>
      </w:pPr>
      <w:r w:rsidRPr="00B8625F">
        <w:rPr>
          <w:rFonts w:asciiTheme="minorHAnsi" w:hAnsiTheme="minorHAnsi" w:cstheme="minorHAnsi"/>
          <w:szCs w:val="22"/>
        </w:rPr>
        <w:t>The assessment of the impact of our plan on workforce is summarised below:</w:t>
      </w:r>
    </w:p>
    <w:p w14:paraId="579066F1" w14:textId="77777777" w:rsidR="00D852F5" w:rsidRPr="00B8625F" w:rsidRDefault="00D852F5" w:rsidP="00D852F5">
      <w:pPr>
        <w:rPr>
          <w:rFonts w:cs="Times New Roman"/>
          <w:b/>
          <w:szCs w:val="22"/>
        </w:rPr>
      </w:pPr>
    </w:p>
    <w:tbl>
      <w:tblPr>
        <w:tblStyle w:val="TableGrid"/>
        <w:tblW w:w="0" w:type="auto"/>
        <w:tblLook w:val="04A0" w:firstRow="1" w:lastRow="0" w:firstColumn="1" w:lastColumn="0" w:noHBand="0" w:noVBand="1"/>
      </w:tblPr>
      <w:tblGrid>
        <w:gridCol w:w="4673"/>
        <w:gridCol w:w="1765"/>
        <w:gridCol w:w="1765"/>
        <w:gridCol w:w="1765"/>
      </w:tblGrid>
      <w:tr w:rsidR="00B8625F" w:rsidRPr="00B8625F" w14:paraId="020A456A" w14:textId="77777777" w:rsidTr="00BC26BA">
        <w:tc>
          <w:tcPr>
            <w:tcW w:w="4673" w:type="dxa"/>
            <w:shd w:val="clear" w:color="auto" w:fill="DBE5F1" w:themeFill="accent1" w:themeFillTint="33"/>
          </w:tcPr>
          <w:p w14:paraId="52891210" w14:textId="17962D5F" w:rsidR="00BC26BA" w:rsidRPr="00B8625F" w:rsidRDefault="00BC26BA" w:rsidP="00D852F5">
            <w:pPr>
              <w:rPr>
                <w:rFonts w:cs="Times New Roman"/>
                <w:b/>
                <w:sz w:val="22"/>
                <w:szCs w:val="22"/>
              </w:rPr>
            </w:pPr>
            <w:r w:rsidRPr="00B8625F">
              <w:rPr>
                <w:rFonts w:cs="Times New Roman"/>
                <w:b/>
                <w:sz w:val="22"/>
                <w:szCs w:val="22"/>
              </w:rPr>
              <w:t>Workforce Plan 2020/21 – 2022/23</w:t>
            </w:r>
          </w:p>
        </w:tc>
        <w:tc>
          <w:tcPr>
            <w:tcW w:w="1765" w:type="dxa"/>
            <w:shd w:val="clear" w:color="auto" w:fill="DBE5F1" w:themeFill="accent1" w:themeFillTint="33"/>
          </w:tcPr>
          <w:p w14:paraId="6F86DC02" w14:textId="775764B5" w:rsidR="00BC26BA" w:rsidRPr="00B8625F" w:rsidRDefault="00BC26BA" w:rsidP="00BC26BA">
            <w:pPr>
              <w:jc w:val="center"/>
              <w:rPr>
                <w:rFonts w:cs="Times New Roman"/>
                <w:b/>
                <w:sz w:val="22"/>
                <w:szCs w:val="22"/>
              </w:rPr>
            </w:pPr>
            <w:r w:rsidRPr="00B8625F">
              <w:rPr>
                <w:rFonts w:cs="Times New Roman"/>
                <w:b/>
                <w:sz w:val="22"/>
                <w:szCs w:val="22"/>
              </w:rPr>
              <w:t>Savings</w:t>
            </w:r>
          </w:p>
        </w:tc>
        <w:tc>
          <w:tcPr>
            <w:tcW w:w="1765" w:type="dxa"/>
            <w:shd w:val="clear" w:color="auto" w:fill="DBE5F1" w:themeFill="accent1" w:themeFillTint="33"/>
          </w:tcPr>
          <w:p w14:paraId="23B31DA8" w14:textId="6EBF73BB" w:rsidR="00BC26BA" w:rsidRPr="00B8625F" w:rsidRDefault="00BC26BA" w:rsidP="00BC26BA">
            <w:pPr>
              <w:jc w:val="center"/>
              <w:rPr>
                <w:rFonts w:cs="Times New Roman"/>
                <w:b/>
                <w:sz w:val="22"/>
                <w:szCs w:val="22"/>
              </w:rPr>
            </w:pPr>
            <w:r w:rsidRPr="00B8625F">
              <w:rPr>
                <w:rFonts w:cs="Times New Roman"/>
                <w:b/>
                <w:sz w:val="22"/>
                <w:szCs w:val="22"/>
              </w:rPr>
              <w:t>Investments &amp; Cost Pressures</w:t>
            </w:r>
          </w:p>
        </w:tc>
        <w:tc>
          <w:tcPr>
            <w:tcW w:w="1765" w:type="dxa"/>
            <w:shd w:val="clear" w:color="auto" w:fill="DBE5F1" w:themeFill="accent1" w:themeFillTint="33"/>
          </w:tcPr>
          <w:p w14:paraId="29858349" w14:textId="41C7B010" w:rsidR="00BC26BA" w:rsidRPr="00B8625F" w:rsidRDefault="00BC26BA" w:rsidP="00BC26BA">
            <w:pPr>
              <w:jc w:val="center"/>
              <w:rPr>
                <w:rFonts w:cs="Times New Roman"/>
                <w:b/>
                <w:sz w:val="22"/>
                <w:szCs w:val="22"/>
              </w:rPr>
            </w:pPr>
            <w:r w:rsidRPr="00B8625F">
              <w:rPr>
                <w:rFonts w:cs="Times New Roman"/>
                <w:b/>
                <w:sz w:val="22"/>
                <w:szCs w:val="22"/>
              </w:rPr>
              <w:t>Net</w:t>
            </w:r>
          </w:p>
        </w:tc>
      </w:tr>
      <w:tr w:rsidR="00B8625F" w:rsidRPr="00B8625F" w14:paraId="2A712782" w14:textId="77777777" w:rsidTr="00BC26BA">
        <w:tc>
          <w:tcPr>
            <w:tcW w:w="4673" w:type="dxa"/>
          </w:tcPr>
          <w:p w14:paraId="5F15A855" w14:textId="24BA3BA4" w:rsidR="00BC26BA" w:rsidRPr="00B8625F" w:rsidRDefault="00BC26BA" w:rsidP="00D852F5">
            <w:pPr>
              <w:rPr>
                <w:rFonts w:cs="Times New Roman"/>
                <w:sz w:val="22"/>
                <w:szCs w:val="22"/>
              </w:rPr>
            </w:pPr>
            <w:r w:rsidRPr="00B8625F">
              <w:rPr>
                <w:rFonts w:cs="Times New Roman"/>
                <w:sz w:val="22"/>
                <w:szCs w:val="22"/>
              </w:rPr>
              <w:t>2020/21</w:t>
            </w:r>
          </w:p>
        </w:tc>
        <w:tc>
          <w:tcPr>
            <w:tcW w:w="1765" w:type="dxa"/>
          </w:tcPr>
          <w:p w14:paraId="5CE7A0E4" w14:textId="178ED6A7" w:rsidR="00BC26BA" w:rsidRPr="00B8625F" w:rsidRDefault="00BC26BA" w:rsidP="00BC26BA">
            <w:pPr>
              <w:jc w:val="center"/>
              <w:rPr>
                <w:rFonts w:cs="Times New Roman"/>
                <w:sz w:val="22"/>
                <w:szCs w:val="22"/>
              </w:rPr>
            </w:pPr>
            <w:r w:rsidRPr="00B8625F">
              <w:rPr>
                <w:rFonts w:cs="Times New Roman"/>
                <w:sz w:val="22"/>
                <w:szCs w:val="22"/>
              </w:rPr>
              <w:t>235</w:t>
            </w:r>
          </w:p>
        </w:tc>
        <w:tc>
          <w:tcPr>
            <w:tcW w:w="1765" w:type="dxa"/>
          </w:tcPr>
          <w:p w14:paraId="3D143DC5" w14:textId="5DCD7080" w:rsidR="00BC26BA" w:rsidRPr="00B8625F" w:rsidRDefault="00BC26BA" w:rsidP="00BC26BA">
            <w:pPr>
              <w:jc w:val="center"/>
              <w:rPr>
                <w:rFonts w:cs="Times New Roman"/>
                <w:sz w:val="22"/>
                <w:szCs w:val="22"/>
              </w:rPr>
            </w:pPr>
            <w:r w:rsidRPr="00B8625F">
              <w:rPr>
                <w:rFonts w:cs="Times New Roman"/>
                <w:sz w:val="22"/>
                <w:szCs w:val="22"/>
              </w:rPr>
              <w:t>253</w:t>
            </w:r>
          </w:p>
        </w:tc>
        <w:tc>
          <w:tcPr>
            <w:tcW w:w="1765" w:type="dxa"/>
          </w:tcPr>
          <w:p w14:paraId="4C927A78" w14:textId="2D61C24E" w:rsidR="00BC26BA" w:rsidRPr="00B8625F" w:rsidRDefault="00BC26BA" w:rsidP="00BC26BA">
            <w:pPr>
              <w:jc w:val="center"/>
              <w:rPr>
                <w:rFonts w:cs="Times New Roman"/>
                <w:sz w:val="22"/>
                <w:szCs w:val="22"/>
              </w:rPr>
            </w:pPr>
            <w:r w:rsidRPr="00B8625F">
              <w:rPr>
                <w:rFonts w:cs="Times New Roman"/>
                <w:sz w:val="22"/>
                <w:szCs w:val="22"/>
              </w:rPr>
              <w:t>17</w:t>
            </w:r>
          </w:p>
        </w:tc>
      </w:tr>
      <w:tr w:rsidR="00B8625F" w:rsidRPr="00B8625F" w14:paraId="05EB3DAD" w14:textId="77777777" w:rsidTr="00BC26BA">
        <w:tc>
          <w:tcPr>
            <w:tcW w:w="4673" w:type="dxa"/>
          </w:tcPr>
          <w:p w14:paraId="52057EDE" w14:textId="1A680214" w:rsidR="00BC26BA" w:rsidRPr="00B8625F" w:rsidRDefault="00BC26BA" w:rsidP="00D852F5">
            <w:pPr>
              <w:rPr>
                <w:rFonts w:cs="Times New Roman"/>
                <w:sz w:val="22"/>
                <w:szCs w:val="22"/>
              </w:rPr>
            </w:pPr>
            <w:r w:rsidRPr="00B8625F">
              <w:rPr>
                <w:rFonts w:cs="Times New Roman"/>
                <w:sz w:val="22"/>
                <w:szCs w:val="22"/>
              </w:rPr>
              <w:t>2021/22</w:t>
            </w:r>
          </w:p>
        </w:tc>
        <w:tc>
          <w:tcPr>
            <w:tcW w:w="1765" w:type="dxa"/>
          </w:tcPr>
          <w:p w14:paraId="37E0DFEB" w14:textId="232487A5" w:rsidR="00BC26BA" w:rsidRPr="00B8625F" w:rsidRDefault="00BC26BA" w:rsidP="00BC26BA">
            <w:pPr>
              <w:jc w:val="center"/>
              <w:rPr>
                <w:rFonts w:cs="Times New Roman"/>
                <w:sz w:val="22"/>
                <w:szCs w:val="22"/>
              </w:rPr>
            </w:pPr>
            <w:r w:rsidRPr="00B8625F">
              <w:rPr>
                <w:rFonts w:cs="Times New Roman"/>
                <w:sz w:val="22"/>
                <w:szCs w:val="22"/>
              </w:rPr>
              <w:t>265</w:t>
            </w:r>
          </w:p>
        </w:tc>
        <w:tc>
          <w:tcPr>
            <w:tcW w:w="1765" w:type="dxa"/>
          </w:tcPr>
          <w:p w14:paraId="48FB08F8" w14:textId="4B747844" w:rsidR="00BC26BA" w:rsidRPr="00B8625F" w:rsidRDefault="00BC26BA" w:rsidP="00BC26BA">
            <w:pPr>
              <w:jc w:val="center"/>
              <w:rPr>
                <w:rFonts w:cs="Times New Roman"/>
                <w:sz w:val="22"/>
                <w:szCs w:val="22"/>
              </w:rPr>
            </w:pPr>
            <w:r w:rsidRPr="00B8625F">
              <w:rPr>
                <w:rFonts w:cs="Times New Roman"/>
                <w:sz w:val="22"/>
                <w:szCs w:val="22"/>
              </w:rPr>
              <w:t>196</w:t>
            </w:r>
          </w:p>
        </w:tc>
        <w:tc>
          <w:tcPr>
            <w:tcW w:w="1765" w:type="dxa"/>
          </w:tcPr>
          <w:p w14:paraId="619400B0" w14:textId="4E36B2CD" w:rsidR="00BC26BA" w:rsidRPr="00B8625F" w:rsidRDefault="00BC26BA" w:rsidP="00BC26BA">
            <w:pPr>
              <w:jc w:val="center"/>
              <w:rPr>
                <w:rFonts w:cs="Times New Roman"/>
                <w:sz w:val="22"/>
                <w:szCs w:val="22"/>
              </w:rPr>
            </w:pPr>
            <w:r w:rsidRPr="00B8625F">
              <w:rPr>
                <w:rFonts w:cs="Times New Roman"/>
                <w:sz w:val="22"/>
                <w:szCs w:val="22"/>
              </w:rPr>
              <w:t>-69</w:t>
            </w:r>
          </w:p>
        </w:tc>
      </w:tr>
      <w:tr w:rsidR="00B8625F" w:rsidRPr="00B8625F" w14:paraId="0BD78DB7" w14:textId="77777777" w:rsidTr="00BC26BA">
        <w:tc>
          <w:tcPr>
            <w:tcW w:w="4673" w:type="dxa"/>
          </w:tcPr>
          <w:p w14:paraId="09773A64" w14:textId="6764592E" w:rsidR="00BC26BA" w:rsidRPr="00B8625F" w:rsidRDefault="00BC26BA" w:rsidP="00D852F5">
            <w:pPr>
              <w:rPr>
                <w:rFonts w:cs="Times New Roman"/>
                <w:sz w:val="22"/>
                <w:szCs w:val="22"/>
              </w:rPr>
            </w:pPr>
            <w:r w:rsidRPr="00B8625F">
              <w:rPr>
                <w:rFonts w:cs="Times New Roman"/>
                <w:sz w:val="22"/>
                <w:szCs w:val="22"/>
              </w:rPr>
              <w:t>2022/23</w:t>
            </w:r>
          </w:p>
        </w:tc>
        <w:tc>
          <w:tcPr>
            <w:tcW w:w="1765" w:type="dxa"/>
          </w:tcPr>
          <w:p w14:paraId="3E07B956" w14:textId="0FBE204B" w:rsidR="00BC26BA" w:rsidRPr="00B8625F" w:rsidRDefault="00BC26BA" w:rsidP="00BC26BA">
            <w:pPr>
              <w:jc w:val="center"/>
              <w:rPr>
                <w:rFonts w:cs="Times New Roman"/>
                <w:sz w:val="22"/>
                <w:szCs w:val="22"/>
              </w:rPr>
            </w:pPr>
            <w:r w:rsidRPr="00B8625F">
              <w:rPr>
                <w:rFonts w:cs="Times New Roman"/>
                <w:sz w:val="22"/>
                <w:szCs w:val="22"/>
              </w:rPr>
              <w:t>208</w:t>
            </w:r>
          </w:p>
        </w:tc>
        <w:tc>
          <w:tcPr>
            <w:tcW w:w="1765" w:type="dxa"/>
          </w:tcPr>
          <w:p w14:paraId="495DFC1F" w14:textId="0BE983EA" w:rsidR="00BC26BA" w:rsidRPr="00B8625F" w:rsidRDefault="00BC26BA" w:rsidP="00BC26BA">
            <w:pPr>
              <w:jc w:val="center"/>
              <w:rPr>
                <w:rFonts w:cs="Times New Roman"/>
                <w:sz w:val="22"/>
                <w:szCs w:val="22"/>
              </w:rPr>
            </w:pPr>
            <w:r w:rsidRPr="00B8625F">
              <w:rPr>
                <w:rFonts w:cs="Times New Roman"/>
                <w:sz w:val="22"/>
                <w:szCs w:val="22"/>
              </w:rPr>
              <w:t>154</w:t>
            </w:r>
          </w:p>
        </w:tc>
        <w:tc>
          <w:tcPr>
            <w:tcW w:w="1765" w:type="dxa"/>
          </w:tcPr>
          <w:p w14:paraId="359E0FF9" w14:textId="187650FF" w:rsidR="00BC26BA" w:rsidRPr="00B8625F" w:rsidRDefault="00BC26BA" w:rsidP="00BC26BA">
            <w:pPr>
              <w:jc w:val="center"/>
              <w:rPr>
                <w:rFonts w:cs="Times New Roman"/>
                <w:sz w:val="22"/>
                <w:szCs w:val="22"/>
              </w:rPr>
            </w:pPr>
            <w:r w:rsidRPr="00B8625F">
              <w:rPr>
                <w:rFonts w:cs="Times New Roman"/>
                <w:sz w:val="22"/>
                <w:szCs w:val="22"/>
              </w:rPr>
              <w:t>-54</w:t>
            </w:r>
          </w:p>
        </w:tc>
      </w:tr>
      <w:tr w:rsidR="00BC26BA" w:rsidRPr="00B8625F" w14:paraId="731299E0" w14:textId="77777777" w:rsidTr="00BC26BA">
        <w:tc>
          <w:tcPr>
            <w:tcW w:w="4673" w:type="dxa"/>
          </w:tcPr>
          <w:p w14:paraId="00791FE7" w14:textId="2BA6211C" w:rsidR="00BC26BA" w:rsidRPr="00B8625F" w:rsidRDefault="00BC26BA" w:rsidP="00D852F5">
            <w:pPr>
              <w:rPr>
                <w:rFonts w:cs="Times New Roman"/>
                <w:sz w:val="22"/>
                <w:szCs w:val="22"/>
              </w:rPr>
            </w:pPr>
            <w:r w:rsidRPr="00B8625F">
              <w:rPr>
                <w:rFonts w:cs="Times New Roman"/>
                <w:sz w:val="22"/>
                <w:szCs w:val="22"/>
              </w:rPr>
              <w:t>Total</w:t>
            </w:r>
          </w:p>
        </w:tc>
        <w:tc>
          <w:tcPr>
            <w:tcW w:w="1765" w:type="dxa"/>
          </w:tcPr>
          <w:p w14:paraId="41C9A1BB" w14:textId="1F50F708" w:rsidR="00BC26BA" w:rsidRPr="00B8625F" w:rsidRDefault="00BC26BA" w:rsidP="00BC26BA">
            <w:pPr>
              <w:jc w:val="center"/>
              <w:rPr>
                <w:rFonts w:cs="Times New Roman"/>
                <w:sz w:val="22"/>
                <w:szCs w:val="22"/>
              </w:rPr>
            </w:pPr>
            <w:r w:rsidRPr="00B8625F">
              <w:rPr>
                <w:rFonts w:cs="Times New Roman"/>
                <w:sz w:val="22"/>
                <w:szCs w:val="22"/>
              </w:rPr>
              <w:t>708</w:t>
            </w:r>
          </w:p>
        </w:tc>
        <w:tc>
          <w:tcPr>
            <w:tcW w:w="1765" w:type="dxa"/>
          </w:tcPr>
          <w:p w14:paraId="6F4E6158" w14:textId="0021A8CE" w:rsidR="00BC26BA" w:rsidRPr="00B8625F" w:rsidRDefault="00BC26BA" w:rsidP="00BC26BA">
            <w:pPr>
              <w:jc w:val="center"/>
              <w:rPr>
                <w:rFonts w:cs="Times New Roman"/>
                <w:sz w:val="22"/>
                <w:szCs w:val="22"/>
              </w:rPr>
            </w:pPr>
            <w:r w:rsidRPr="00B8625F">
              <w:rPr>
                <w:rFonts w:cs="Times New Roman"/>
                <w:sz w:val="22"/>
                <w:szCs w:val="22"/>
              </w:rPr>
              <w:t>602</w:t>
            </w:r>
          </w:p>
        </w:tc>
        <w:tc>
          <w:tcPr>
            <w:tcW w:w="1765" w:type="dxa"/>
          </w:tcPr>
          <w:p w14:paraId="2CF94D2E" w14:textId="26559179" w:rsidR="00BC26BA" w:rsidRPr="00B8625F" w:rsidRDefault="00BC26BA" w:rsidP="00BC26BA">
            <w:pPr>
              <w:jc w:val="center"/>
              <w:rPr>
                <w:rFonts w:cs="Times New Roman"/>
                <w:sz w:val="22"/>
                <w:szCs w:val="22"/>
              </w:rPr>
            </w:pPr>
            <w:r w:rsidRPr="00B8625F">
              <w:rPr>
                <w:rFonts w:cs="Times New Roman"/>
                <w:sz w:val="22"/>
                <w:szCs w:val="22"/>
              </w:rPr>
              <w:t>-106</w:t>
            </w:r>
          </w:p>
        </w:tc>
      </w:tr>
    </w:tbl>
    <w:p w14:paraId="44F8EE26" w14:textId="77777777" w:rsidR="00BC26BA" w:rsidRPr="00B8625F" w:rsidRDefault="00BC26BA" w:rsidP="00D852F5">
      <w:pPr>
        <w:rPr>
          <w:rFonts w:cs="Times New Roman"/>
          <w:b/>
          <w:szCs w:val="22"/>
        </w:rPr>
      </w:pPr>
    </w:p>
    <w:p w14:paraId="4EEA8A6A" w14:textId="77777777" w:rsidR="00D852F5" w:rsidRPr="00B8625F" w:rsidRDefault="00D852F5" w:rsidP="00D852F5">
      <w:pPr>
        <w:rPr>
          <w:rFonts w:cs="Times New Roman"/>
          <w:szCs w:val="22"/>
        </w:rPr>
      </w:pPr>
      <w:r w:rsidRPr="00B8625F">
        <w:rPr>
          <w:rFonts w:cs="Times New Roman"/>
          <w:szCs w:val="22"/>
        </w:rPr>
        <w:t>Further details of the year one impact by staff group and the expected model of workforce reduction is shown in the following table.  The table below reflects this position for both financial and workforce plan movements:</w:t>
      </w:r>
    </w:p>
    <w:p w14:paraId="16CCECD0" w14:textId="77777777" w:rsidR="00D852F5" w:rsidRPr="00B8625F" w:rsidRDefault="00D852F5" w:rsidP="00D852F5">
      <w:pPr>
        <w:rPr>
          <w:rFonts w:cs="Times New Roman"/>
          <w:szCs w:val="22"/>
        </w:rPr>
      </w:pPr>
    </w:p>
    <w:tbl>
      <w:tblPr>
        <w:tblStyle w:val="TableGrid"/>
        <w:tblW w:w="0" w:type="auto"/>
        <w:tblLook w:val="04A0" w:firstRow="1" w:lastRow="0" w:firstColumn="1" w:lastColumn="0" w:noHBand="0" w:noVBand="1"/>
      </w:tblPr>
      <w:tblGrid>
        <w:gridCol w:w="4673"/>
        <w:gridCol w:w="1765"/>
        <w:gridCol w:w="1765"/>
        <w:gridCol w:w="1765"/>
      </w:tblGrid>
      <w:tr w:rsidR="00B8625F" w:rsidRPr="00B8625F" w14:paraId="34F1C7FA" w14:textId="77777777" w:rsidTr="00BC26BA">
        <w:tc>
          <w:tcPr>
            <w:tcW w:w="4673" w:type="dxa"/>
            <w:shd w:val="clear" w:color="auto" w:fill="DBE5F1" w:themeFill="accent1" w:themeFillTint="33"/>
          </w:tcPr>
          <w:p w14:paraId="5CE9A6D3" w14:textId="0AB1E045" w:rsidR="00BC26BA" w:rsidRPr="00B8625F" w:rsidRDefault="00BC26BA" w:rsidP="00BC26BA">
            <w:pPr>
              <w:rPr>
                <w:rFonts w:cs="Times New Roman"/>
                <w:b/>
                <w:sz w:val="22"/>
                <w:szCs w:val="22"/>
              </w:rPr>
            </w:pPr>
            <w:r w:rsidRPr="00B8625F">
              <w:rPr>
                <w:rFonts w:cs="Times New Roman"/>
                <w:b/>
                <w:sz w:val="22"/>
                <w:szCs w:val="22"/>
              </w:rPr>
              <w:t>Workforce Plan 2020/21</w:t>
            </w:r>
          </w:p>
          <w:p w14:paraId="06CB00D0" w14:textId="64F574F5" w:rsidR="00BC26BA" w:rsidRPr="00B8625F" w:rsidRDefault="00BC26BA" w:rsidP="00BC26BA">
            <w:pPr>
              <w:rPr>
                <w:rFonts w:cs="Times New Roman"/>
                <w:b/>
                <w:sz w:val="22"/>
                <w:szCs w:val="22"/>
              </w:rPr>
            </w:pPr>
            <w:r w:rsidRPr="00B8625F">
              <w:rPr>
                <w:rFonts w:cs="Times New Roman"/>
                <w:b/>
                <w:sz w:val="22"/>
                <w:szCs w:val="22"/>
              </w:rPr>
              <w:t>Staff Group</w:t>
            </w:r>
          </w:p>
        </w:tc>
        <w:tc>
          <w:tcPr>
            <w:tcW w:w="1765" w:type="dxa"/>
            <w:shd w:val="clear" w:color="auto" w:fill="DBE5F1" w:themeFill="accent1" w:themeFillTint="33"/>
          </w:tcPr>
          <w:p w14:paraId="34EAD3A6" w14:textId="77777777" w:rsidR="00BC26BA" w:rsidRPr="00B8625F" w:rsidRDefault="00BC26BA" w:rsidP="00BC26BA">
            <w:pPr>
              <w:jc w:val="center"/>
              <w:rPr>
                <w:rFonts w:cs="Times New Roman"/>
                <w:b/>
                <w:sz w:val="22"/>
                <w:szCs w:val="22"/>
              </w:rPr>
            </w:pPr>
            <w:r w:rsidRPr="00B8625F">
              <w:rPr>
                <w:rFonts w:cs="Times New Roman"/>
                <w:b/>
                <w:sz w:val="22"/>
                <w:szCs w:val="22"/>
              </w:rPr>
              <w:t>Savings</w:t>
            </w:r>
          </w:p>
        </w:tc>
        <w:tc>
          <w:tcPr>
            <w:tcW w:w="1765" w:type="dxa"/>
            <w:shd w:val="clear" w:color="auto" w:fill="DBE5F1" w:themeFill="accent1" w:themeFillTint="33"/>
          </w:tcPr>
          <w:p w14:paraId="2FC667F7" w14:textId="77777777" w:rsidR="00BC26BA" w:rsidRPr="00B8625F" w:rsidRDefault="00BC26BA" w:rsidP="00BC26BA">
            <w:pPr>
              <w:jc w:val="center"/>
              <w:rPr>
                <w:rFonts w:cs="Times New Roman"/>
                <w:b/>
                <w:sz w:val="22"/>
                <w:szCs w:val="22"/>
              </w:rPr>
            </w:pPr>
            <w:r w:rsidRPr="00B8625F">
              <w:rPr>
                <w:rFonts w:cs="Times New Roman"/>
                <w:b/>
                <w:sz w:val="22"/>
                <w:szCs w:val="22"/>
              </w:rPr>
              <w:t>Investments &amp; Cost Pressures</w:t>
            </w:r>
          </w:p>
        </w:tc>
        <w:tc>
          <w:tcPr>
            <w:tcW w:w="1765" w:type="dxa"/>
            <w:shd w:val="clear" w:color="auto" w:fill="DBE5F1" w:themeFill="accent1" w:themeFillTint="33"/>
          </w:tcPr>
          <w:p w14:paraId="698F2E58" w14:textId="77777777" w:rsidR="00BC26BA" w:rsidRPr="00B8625F" w:rsidRDefault="00BC26BA" w:rsidP="00BC26BA">
            <w:pPr>
              <w:jc w:val="center"/>
              <w:rPr>
                <w:rFonts w:cs="Times New Roman"/>
                <w:b/>
                <w:sz w:val="22"/>
                <w:szCs w:val="22"/>
              </w:rPr>
            </w:pPr>
            <w:r w:rsidRPr="00B8625F">
              <w:rPr>
                <w:rFonts w:cs="Times New Roman"/>
                <w:b/>
                <w:sz w:val="22"/>
                <w:szCs w:val="22"/>
              </w:rPr>
              <w:t>Net</w:t>
            </w:r>
          </w:p>
        </w:tc>
      </w:tr>
      <w:tr w:rsidR="00B8625F" w:rsidRPr="00B8625F" w14:paraId="2B45E864" w14:textId="77777777" w:rsidTr="00BC26BA">
        <w:tc>
          <w:tcPr>
            <w:tcW w:w="4673" w:type="dxa"/>
          </w:tcPr>
          <w:p w14:paraId="3A918BC6" w14:textId="3794B631" w:rsidR="00BC26BA" w:rsidRPr="00B8625F" w:rsidRDefault="00BC26BA" w:rsidP="00BC26BA">
            <w:pPr>
              <w:rPr>
                <w:rFonts w:cs="Times New Roman"/>
                <w:sz w:val="22"/>
                <w:szCs w:val="22"/>
              </w:rPr>
            </w:pPr>
            <w:r w:rsidRPr="00B8625F">
              <w:rPr>
                <w:rFonts w:cs="Times New Roman"/>
                <w:sz w:val="22"/>
                <w:szCs w:val="22"/>
              </w:rPr>
              <w:t>Board Members</w:t>
            </w:r>
          </w:p>
        </w:tc>
        <w:tc>
          <w:tcPr>
            <w:tcW w:w="1765" w:type="dxa"/>
          </w:tcPr>
          <w:p w14:paraId="7CAC0F7B" w14:textId="5F1E51D0" w:rsidR="00BC26BA" w:rsidRPr="00B8625F" w:rsidRDefault="00BC26BA" w:rsidP="00BC26BA">
            <w:pPr>
              <w:jc w:val="center"/>
              <w:rPr>
                <w:rFonts w:cs="Times New Roman"/>
                <w:sz w:val="22"/>
                <w:szCs w:val="22"/>
              </w:rPr>
            </w:pPr>
            <w:r w:rsidRPr="00B8625F">
              <w:rPr>
                <w:rFonts w:cs="Times New Roman"/>
                <w:sz w:val="22"/>
                <w:szCs w:val="22"/>
              </w:rPr>
              <w:t>0</w:t>
            </w:r>
          </w:p>
        </w:tc>
        <w:tc>
          <w:tcPr>
            <w:tcW w:w="1765" w:type="dxa"/>
          </w:tcPr>
          <w:p w14:paraId="6FDAD8BE" w14:textId="29357480" w:rsidR="00BC26BA" w:rsidRPr="00B8625F" w:rsidRDefault="00BC26BA" w:rsidP="00BC26BA">
            <w:pPr>
              <w:jc w:val="center"/>
              <w:rPr>
                <w:rFonts w:cs="Times New Roman"/>
                <w:sz w:val="22"/>
                <w:szCs w:val="22"/>
              </w:rPr>
            </w:pPr>
            <w:r w:rsidRPr="00B8625F">
              <w:rPr>
                <w:rFonts w:cs="Times New Roman"/>
                <w:sz w:val="22"/>
                <w:szCs w:val="22"/>
              </w:rPr>
              <w:t>0</w:t>
            </w:r>
          </w:p>
        </w:tc>
        <w:tc>
          <w:tcPr>
            <w:tcW w:w="1765" w:type="dxa"/>
          </w:tcPr>
          <w:p w14:paraId="39B9E2FD" w14:textId="02C32779" w:rsidR="00BC26BA" w:rsidRPr="00B8625F" w:rsidRDefault="00BC26BA" w:rsidP="00BC26BA">
            <w:pPr>
              <w:jc w:val="center"/>
              <w:rPr>
                <w:rFonts w:cs="Times New Roman"/>
                <w:sz w:val="22"/>
                <w:szCs w:val="22"/>
              </w:rPr>
            </w:pPr>
            <w:r w:rsidRPr="00B8625F">
              <w:rPr>
                <w:rFonts w:cs="Times New Roman"/>
                <w:sz w:val="22"/>
                <w:szCs w:val="22"/>
              </w:rPr>
              <w:t>0</w:t>
            </w:r>
          </w:p>
        </w:tc>
      </w:tr>
      <w:tr w:rsidR="00BC26BA" w14:paraId="5D1C5C78" w14:textId="77777777" w:rsidTr="00BC26BA">
        <w:tc>
          <w:tcPr>
            <w:tcW w:w="4673" w:type="dxa"/>
          </w:tcPr>
          <w:p w14:paraId="33F10E0F" w14:textId="13CDFFB0" w:rsidR="00BC26BA" w:rsidRPr="00BC26BA" w:rsidRDefault="00BC26BA" w:rsidP="00BC26BA">
            <w:pPr>
              <w:rPr>
                <w:rFonts w:cs="Times New Roman"/>
                <w:sz w:val="22"/>
                <w:szCs w:val="22"/>
              </w:rPr>
            </w:pPr>
            <w:r w:rsidRPr="00BC26BA">
              <w:rPr>
                <w:rFonts w:cs="Times New Roman"/>
                <w:sz w:val="22"/>
                <w:szCs w:val="22"/>
              </w:rPr>
              <w:t>Medical and Dental</w:t>
            </w:r>
          </w:p>
        </w:tc>
        <w:tc>
          <w:tcPr>
            <w:tcW w:w="1765" w:type="dxa"/>
          </w:tcPr>
          <w:p w14:paraId="41B52519" w14:textId="60D6B54A" w:rsidR="00BC26BA" w:rsidRPr="00BC26BA" w:rsidRDefault="00BC26BA" w:rsidP="00BC26BA">
            <w:pPr>
              <w:jc w:val="center"/>
              <w:rPr>
                <w:rFonts w:cs="Times New Roman"/>
                <w:sz w:val="22"/>
                <w:szCs w:val="22"/>
              </w:rPr>
            </w:pPr>
            <w:r w:rsidRPr="00BC26BA">
              <w:rPr>
                <w:rFonts w:cs="Times New Roman"/>
                <w:sz w:val="22"/>
                <w:szCs w:val="22"/>
              </w:rPr>
              <w:t>-13</w:t>
            </w:r>
          </w:p>
        </w:tc>
        <w:tc>
          <w:tcPr>
            <w:tcW w:w="1765" w:type="dxa"/>
          </w:tcPr>
          <w:p w14:paraId="5D5D0D24" w14:textId="1B7E4C0A" w:rsidR="00BC26BA" w:rsidRPr="00BC26BA" w:rsidRDefault="00BC26BA" w:rsidP="00BC26BA">
            <w:pPr>
              <w:jc w:val="center"/>
              <w:rPr>
                <w:rFonts w:cs="Times New Roman"/>
                <w:sz w:val="22"/>
                <w:szCs w:val="22"/>
              </w:rPr>
            </w:pPr>
            <w:r w:rsidRPr="00BC26BA">
              <w:rPr>
                <w:rFonts w:cs="Times New Roman"/>
                <w:sz w:val="22"/>
                <w:szCs w:val="22"/>
              </w:rPr>
              <w:t>25</w:t>
            </w:r>
          </w:p>
        </w:tc>
        <w:tc>
          <w:tcPr>
            <w:tcW w:w="1765" w:type="dxa"/>
          </w:tcPr>
          <w:p w14:paraId="55CE0ED8" w14:textId="165B70F4" w:rsidR="00BC26BA" w:rsidRPr="00BC26BA" w:rsidRDefault="00BC26BA" w:rsidP="00BC26BA">
            <w:pPr>
              <w:jc w:val="center"/>
              <w:rPr>
                <w:rFonts w:cs="Times New Roman"/>
                <w:sz w:val="22"/>
                <w:szCs w:val="22"/>
              </w:rPr>
            </w:pPr>
            <w:r w:rsidRPr="00BC26BA">
              <w:rPr>
                <w:rFonts w:cs="Times New Roman"/>
                <w:sz w:val="22"/>
                <w:szCs w:val="22"/>
              </w:rPr>
              <w:t>12</w:t>
            </w:r>
          </w:p>
        </w:tc>
      </w:tr>
      <w:tr w:rsidR="00BC26BA" w14:paraId="7D24877C" w14:textId="77777777" w:rsidTr="00BC26BA">
        <w:tc>
          <w:tcPr>
            <w:tcW w:w="4673" w:type="dxa"/>
          </w:tcPr>
          <w:p w14:paraId="50D8EF4F" w14:textId="7D6EAB56" w:rsidR="00BC26BA" w:rsidRPr="00BC26BA" w:rsidRDefault="00BC26BA" w:rsidP="00BC26BA">
            <w:pPr>
              <w:rPr>
                <w:rFonts w:cs="Times New Roman"/>
                <w:sz w:val="22"/>
                <w:szCs w:val="22"/>
              </w:rPr>
            </w:pPr>
            <w:r w:rsidRPr="00BC26BA">
              <w:rPr>
                <w:rFonts w:cs="Times New Roman"/>
                <w:sz w:val="22"/>
                <w:szCs w:val="22"/>
              </w:rPr>
              <w:t>Nursing &amp; Midwifery Registered</w:t>
            </w:r>
          </w:p>
        </w:tc>
        <w:tc>
          <w:tcPr>
            <w:tcW w:w="1765" w:type="dxa"/>
          </w:tcPr>
          <w:p w14:paraId="2D61990B" w14:textId="0E77B6E4" w:rsidR="00BC26BA" w:rsidRPr="00BC26BA" w:rsidRDefault="00BC26BA" w:rsidP="00BC26BA">
            <w:pPr>
              <w:jc w:val="center"/>
              <w:rPr>
                <w:rFonts w:cs="Times New Roman"/>
                <w:sz w:val="22"/>
                <w:szCs w:val="22"/>
              </w:rPr>
            </w:pPr>
            <w:r w:rsidRPr="00BC26BA">
              <w:rPr>
                <w:rFonts w:cs="Times New Roman"/>
                <w:sz w:val="22"/>
                <w:szCs w:val="22"/>
              </w:rPr>
              <w:t>-72</w:t>
            </w:r>
          </w:p>
        </w:tc>
        <w:tc>
          <w:tcPr>
            <w:tcW w:w="1765" w:type="dxa"/>
          </w:tcPr>
          <w:p w14:paraId="143911B1" w14:textId="21B004A0" w:rsidR="00BC26BA" w:rsidRPr="00BC26BA" w:rsidRDefault="00BC26BA" w:rsidP="00BC26BA">
            <w:pPr>
              <w:jc w:val="center"/>
              <w:rPr>
                <w:rFonts w:cs="Times New Roman"/>
                <w:sz w:val="22"/>
                <w:szCs w:val="22"/>
              </w:rPr>
            </w:pPr>
            <w:r w:rsidRPr="00BC26BA">
              <w:rPr>
                <w:rFonts w:cs="Times New Roman"/>
                <w:sz w:val="22"/>
                <w:szCs w:val="22"/>
              </w:rPr>
              <w:t>93</w:t>
            </w:r>
          </w:p>
        </w:tc>
        <w:tc>
          <w:tcPr>
            <w:tcW w:w="1765" w:type="dxa"/>
          </w:tcPr>
          <w:p w14:paraId="6C686CD8" w14:textId="78AE1FA6" w:rsidR="00BC26BA" w:rsidRPr="00BC26BA" w:rsidRDefault="00BC26BA" w:rsidP="00BC26BA">
            <w:pPr>
              <w:jc w:val="center"/>
              <w:rPr>
                <w:rFonts w:cs="Times New Roman"/>
                <w:sz w:val="22"/>
                <w:szCs w:val="22"/>
              </w:rPr>
            </w:pPr>
            <w:r w:rsidRPr="00BC26BA">
              <w:rPr>
                <w:rFonts w:cs="Times New Roman"/>
                <w:sz w:val="22"/>
                <w:szCs w:val="22"/>
              </w:rPr>
              <w:t>21</w:t>
            </w:r>
          </w:p>
        </w:tc>
      </w:tr>
      <w:tr w:rsidR="00BC26BA" w14:paraId="49E36883" w14:textId="77777777" w:rsidTr="00BC26BA">
        <w:tc>
          <w:tcPr>
            <w:tcW w:w="4673" w:type="dxa"/>
          </w:tcPr>
          <w:p w14:paraId="0D875D03" w14:textId="4F03369C" w:rsidR="00BC26BA" w:rsidRPr="00BC26BA" w:rsidRDefault="00BC26BA" w:rsidP="00BC26BA">
            <w:pPr>
              <w:rPr>
                <w:rFonts w:cs="Times New Roman"/>
                <w:sz w:val="22"/>
                <w:szCs w:val="22"/>
              </w:rPr>
            </w:pPr>
            <w:r w:rsidRPr="00BC26BA">
              <w:rPr>
                <w:rFonts w:cs="Times New Roman"/>
                <w:sz w:val="22"/>
                <w:szCs w:val="22"/>
              </w:rPr>
              <w:t>Additional Professional, Scientific and Technical</w:t>
            </w:r>
          </w:p>
        </w:tc>
        <w:tc>
          <w:tcPr>
            <w:tcW w:w="1765" w:type="dxa"/>
          </w:tcPr>
          <w:p w14:paraId="1D07EC45" w14:textId="4952DAAF" w:rsidR="00BC26BA" w:rsidRPr="00BC26BA" w:rsidRDefault="00BC26BA" w:rsidP="00BC26BA">
            <w:pPr>
              <w:jc w:val="center"/>
              <w:rPr>
                <w:rFonts w:cs="Times New Roman"/>
                <w:sz w:val="22"/>
                <w:szCs w:val="22"/>
              </w:rPr>
            </w:pPr>
            <w:r w:rsidRPr="00BC26BA">
              <w:rPr>
                <w:rFonts w:cs="Times New Roman"/>
                <w:sz w:val="22"/>
                <w:szCs w:val="22"/>
              </w:rPr>
              <w:t>-2</w:t>
            </w:r>
          </w:p>
        </w:tc>
        <w:tc>
          <w:tcPr>
            <w:tcW w:w="1765" w:type="dxa"/>
          </w:tcPr>
          <w:p w14:paraId="53FFE509" w14:textId="0A9C4784" w:rsidR="00BC26BA" w:rsidRPr="00BC26BA" w:rsidRDefault="00BC26BA" w:rsidP="00BC26BA">
            <w:pPr>
              <w:jc w:val="center"/>
              <w:rPr>
                <w:rFonts w:cs="Times New Roman"/>
                <w:sz w:val="22"/>
                <w:szCs w:val="22"/>
              </w:rPr>
            </w:pPr>
            <w:r w:rsidRPr="00BC26BA">
              <w:rPr>
                <w:rFonts w:cs="Times New Roman"/>
                <w:sz w:val="22"/>
                <w:szCs w:val="22"/>
              </w:rPr>
              <w:t>6</w:t>
            </w:r>
          </w:p>
        </w:tc>
        <w:tc>
          <w:tcPr>
            <w:tcW w:w="1765" w:type="dxa"/>
          </w:tcPr>
          <w:p w14:paraId="1B027F89" w14:textId="2870418F" w:rsidR="00BC26BA" w:rsidRPr="00BC26BA" w:rsidRDefault="00BC26BA" w:rsidP="00BC26BA">
            <w:pPr>
              <w:jc w:val="center"/>
              <w:rPr>
                <w:rFonts w:cs="Times New Roman"/>
                <w:sz w:val="22"/>
                <w:szCs w:val="22"/>
              </w:rPr>
            </w:pPr>
            <w:r w:rsidRPr="00BC26BA">
              <w:rPr>
                <w:rFonts w:cs="Times New Roman"/>
                <w:sz w:val="22"/>
                <w:szCs w:val="22"/>
              </w:rPr>
              <w:t>4</w:t>
            </w:r>
          </w:p>
        </w:tc>
      </w:tr>
      <w:tr w:rsidR="00BC26BA" w14:paraId="56796DB0" w14:textId="77777777" w:rsidTr="00BC26BA">
        <w:tc>
          <w:tcPr>
            <w:tcW w:w="4673" w:type="dxa"/>
          </w:tcPr>
          <w:p w14:paraId="2BD2F3EC" w14:textId="0B71D5ED" w:rsidR="00BC26BA" w:rsidRPr="00BC26BA" w:rsidRDefault="00BC26BA" w:rsidP="00BC26BA">
            <w:pPr>
              <w:rPr>
                <w:rFonts w:cs="Times New Roman"/>
                <w:sz w:val="22"/>
                <w:szCs w:val="22"/>
              </w:rPr>
            </w:pPr>
            <w:r w:rsidRPr="00BC26BA">
              <w:rPr>
                <w:rFonts w:cs="Times New Roman"/>
                <w:sz w:val="22"/>
                <w:szCs w:val="22"/>
              </w:rPr>
              <w:t>Healthcare Scientists</w:t>
            </w:r>
          </w:p>
        </w:tc>
        <w:tc>
          <w:tcPr>
            <w:tcW w:w="1765" w:type="dxa"/>
          </w:tcPr>
          <w:p w14:paraId="56E47F06" w14:textId="2928A889" w:rsidR="00BC26BA" w:rsidRPr="00BC26BA" w:rsidRDefault="00BC26BA" w:rsidP="00BC26BA">
            <w:pPr>
              <w:jc w:val="center"/>
              <w:rPr>
                <w:rFonts w:cs="Times New Roman"/>
                <w:sz w:val="22"/>
                <w:szCs w:val="22"/>
              </w:rPr>
            </w:pPr>
            <w:r w:rsidRPr="00BC26BA">
              <w:rPr>
                <w:rFonts w:cs="Times New Roman"/>
                <w:sz w:val="22"/>
                <w:szCs w:val="22"/>
              </w:rPr>
              <w:t>-5</w:t>
            </w:r>
          </w:p>
        </w:tc>
        <w:tc>
          <w:tcPr>
            <w:tcW w:w="1765" w:type="dxa"/>
          </w:tcPr>
          <w:p w14:paraId="16E9DE4D" w14:textId="17D65588" w:rsidR="00BC26BA" w:rsidRPr="00BC26BA" w:rsidRDefault="00BC26BA" w:rsidP="00BC26BA">
            <w:pPr>
              <w:jc w:val="center"/>
              <w:rPr>
                <w:rFonts w:cs="Times New Roman"/>
                <w:sz w:val="22"/>
                <w:szCs w:val="22"/>
              </w:rPr>
            </w:pPr>
            <w:r w:rsidRPr="00BC26BA">
              <w:rPr>
                <w:rFonts w:cs="Times New Roman"/>
                <w:sz w:val="22"/>
                <w:szCs w:val="22"/>
              </w:rPr>
              <w:t>5</w:t>
            </w:r>
          </w:p>
        </w:tc>
        <w:tc>
          <w:tcPr>
            <w:tcW w:w="1765" w:type="dxa"/>
          </w:tcPr>
          <w:p w14:paraId="2501F0A3" w14:textId="149BFA02" w:rsidR="00BC26BA" w:rsidRPr="00BC26BA" w:rsidRDefault="00BC26BA" w:rsidP="00BC26BA">
            <w:pPr>
              <w:jc w:val="center"/>
              <w:rPr>
                <w:rFonts w:cs="Times New Roman"/>
                <w:sz w:val="22"/>
                <w:szCs w:val="22"/>
              </w:rPr>
            </w:pPr>
            <w:r w:rsidRPr="00BC26BA">
              <w:rPr>
                <w:rFonts w:cs="Times New Roman"/>
                <w:sz w:val="22"/>
                <w:szCs w:val="22"/>
              </w:rPr>
              <w:t>0</w:t>
            </w:r>
          </w:p>
        </w:tc>
      </w:tr>
      <w:tr w:rsidR="00BC26BA" w14:paraId="5BFED274" w14:textId="77777777" w:rsidTr="00BC26BA">
        <w:tc>
          <w:tcPr>
            <w:tcW w:w="4673" w:type="dxa"/>
          </w:tcPr>
          <w:p w14:paraId="09E4EF17" w14:textId="59DC812F" w:rsidR="00BC26BA" w:rsidRPr="00BC26BA" w:rsidRDefault="00BC26BA" w:rsidP="00BC26BA">
            <w:pPr>
              <w:rPr>
                <w:rFonts w:cs="Times New Roman"/>
                <w:sz w:val="22"/>
                <w:szCs w:val="22"/>
              </w:rPr>
            </w:pPr>
            <w:r w:rsidRPr="00BC26BA">
              <w:rPr>
                <w:rFonts w:cs="Times New Roman"/>
                <w:sz w:val="22"/>
                <w:szCs w:val="22"/>
              </w:rPr>
              <w:t>Allied Health Professionals</w:t>
            </w:r>
          </w:p>
        </w:tc>
        <w:tc>
          <w:tcPr>
            <w:tcW w:w="1765" w:type="dxa"/>
          </w:tcPr>
          <w:p w14:paraId="2EB4F3E3" w14:textId="7B54C821" w:rsidR="00BC26BA" w:rsidRPr="00BC26BA" w:rsidRDefault="00BC26BA" w:rsidP="00BC26BA">
            <w:pPr>
              <w:jc w:val="center"/>
              <w:rPr>
                <w:rFonts w:cs="Times New Roman"/>
                <w:sz w:val="22"/>
                <w:szCs w:val="22"/>
              </w:rPr>
            </w:pPr>
            <w:r w:rsidRPr="00BC26BA">
              <w:rPr>
                <w:rFonts w:cs="Times New Roman"/>
                <w:sz w:val="22"/>
                <w:szCs w:val="22"/>
              </w:rPr>
              <w:t>-4</w:t>
            </w:r>
          </w:p>
        </w:tc>
        <w:tc>
          <w:tcPr>
            <w:tcW w:w="1765" w:type="dxa"/>
          </w:tcPr>
          <w:p w14:paraId="6EFD1D95" w14:textId="3EF4E49A" w:rsidR="00BC26BA" w:rsidRPr="00BC26BA" w:rsidRDefault="00BC26BA" w:rsidP="00BC26BA">
            <w:pPr>
              <w:jc w:val="center"/>
              <w:rPr>
                <w:rFonts w:cs="Times New Roman"/>
                <w:sz w:val="22"/>
                <w:szCs w:val="22"/>
              </w:rPr>
            </w:pPr>
            <w:r w:rsidRPr="00BC26BA">
              <w:rPr>
                <w:rFonts w:cs="Times New Roman"/>
                <w:sz w:val="22"/>
                <w:szCs w:val="22"/>
              </w:rPr>
              <w:t>13</w:t>
            </w:r>
          </w:p>
        </w:tc>
        <w:tc>
          <w:tcPr>
            <w:tcW w:w="1765" w:type="dxa"/>
          </w:tcPr>
          <w:p w14:paraId="7F64E053" w14:textId="53F2B5F2" w:rsidR="00BC26BA" w:rsidRPr="00BC26BA" w:rsidRDefault="00BC26BA" w:rsidP="00BC26BA">
            <w:pPr>
              <w:jc w:val="center"/>
              <w:rPr>
                <w:rFonts w:cs="Times New Roman"/>
                <w:sz w:val="22"/>
                <w:szCs w:val="22"/>
              </w:rPr>
            </w:pPr>
            <w:r w:rsidRPr="00BC26BA">
              <w:rPr>
                <w:rFonts w:cs="Times New Roman"/>
                <w:sz w:val="22"/>
                <w:szCs w:val="22"/>
              </w:rPr>
              <w:t>8</w:t>
            </w:r>
          </w:p>
        </w:tc>
      </w:tr>
      <w:tr w:rsidR="00BC26BA" w14:paraId="17840869" w14:textId="77777777" w:rsidTr="00BC26BA">
        <w:tc>
          <w:tcPr>
            <w:tcW w:w="4673" w:type="dxa"/>
          </w:tcPr>
          <w:p w14:paraId="6BEF6C9C" w14:textId="3F4372D2" w:rsidR="00BC26BA" w:rsidRPr="00BC26BA" w:rsidRDefault="00BC26BA" w:rsidP="00BC26BA">
            <w:pPr>
              <w:rPr>
                <w:rFonts w:cs="Times New Roman"/>
                <w:sz w:val="22"/>
                <w:szCs w:val="22"/>
              </w:rPr>
            </w:pPr>
            <w:r w:rsidRPr="00BC26BA">
              <w:rPr>
                <w:rFonts w:cs="Times New Roman"/>
                <w:sz w:val="22"/>
                <w:szCs w:val="22"/>
              </w:rPr>
              <w:t>Additional Clinical Services</w:t>
            </w:r>
          </w:p>
        </w:tc>
        <w:tc>
          <w:tcPr>
            <w:tcW w:w="1765" w:type="dxa"/>
          </w:tcPr>
          <w:p w14:paraId="5B268040" w14:textId="1998B17E" w:rsidR="00BC26BA" w:rsidRPr="00BC26BA" w:rsidRDefault="00BC26BA" w:rsidP="00BC26BA">
            <w:pPr>
              <w:jc w:val="center"/>
              <w:rPr>
                <w:rFonts w:cs="Times New Roman"/>
                <w:sz w:val="22"/>
                <w:szCs w:val="22"/>
              </w:rPr>
            </w:pPr>
            <w:r w:rsidRPr="00BC26BA">
              <w:rPr>
                <w:rFonts w:cs="Times New Roman"/>
                <w:sz w:val="22"/>
                <w:szCs w:val="22"/>
              </w:rPr>
              <w:t>-72</w:t>
            </w:r>
          </w:p>
        </w:tc>
        <w:tc>
          <w:tcPr>
            <w:tcW w:w="1765" w:type="dxa"/>
          </w:tcPr>
          <w:p w14:paraId="6F130086" w14:textId="11DDE207" w:rsidR="00BC26BA" w:rsidRPr="00BC26BA" w:rsidRDefault="00BC26BA" w:rsidP="00BC26BA">
            <w:pPr>
              <w:jc w:val="center"/>
              <w:rPr>
                <w:rFonts w:cs="Times New Roman"/>
                <w:sz w:val="22"/>
                <w:szCs w:val="22"/>
              </w:rPr>
            </w:pPr>
            <w:r w:rsidRPr="00BC26BA">
              <w:rPr>
                <w:rFonts w:cs="Times New Roman"/>
                <w:sz w:val="22"/>
                <w:szCs w:val="22"/>
              </w:rPr>
              <w:t>45</w:t>
            </w:r>
          </w:p>
        </w:tc>
        <w:tc>
          <w:tcPr>
            <w:tcW w:w="1765" w:type="dxa"/>
          </w:tcPr>
          <w:p w14:paraId="4707F663" w14:textId="0834E350" w:rsidR="00BC26BA" w:rsidRPr="00BC26BA" w:rsidRDefault="00BC26BA" w:rsidP="00BC26BA">
            <w:pPr>
              <w:jc w:val="center"/>
              <w:rPr>
                <w:rFonts w:cs="Times New Roman"/>
                <w:sz w:val="22"/>
                <w:szCs w:val="22"/>
              </w:rPr>
            </w:pPr>
            <w:r w:rsidRPr="00BC26BA">
              <w:rPr>
                <w:rFonts w:cs="Times New Roman"/>
                <w:sz w:val="22"/>
                <w:szCs w:val="22"/>
              </w:rPr>
              <w:t>-27</w:t>
            </w:r>
          </w:p>
        </w:tc>
      </w:tr>
      <w:tr w:rsidR="00BC26BA" w14:paraId="3248CF21" w14:textId="77777777" w:rsidTr="00BC26BA">
        <w:tc>
          <w:tcPr>
            <w:tcW w:w="4673" w:type="dxa"/>
          </w:tcPr>
          <w:p w14:paraId="3A9D29CB" w14:textId="2E3EFFBA" w:rsidR="00BC26BA" w:rsidRPr="00BC26BA" w:rsidRDefault="00BC26BA" w:rsidP="00BC26BA">
            <w:pPr>
              <w:rPr>
                <w:rFonts w:cs="Times New Roman"/>
                <w:sz w:val="22"/>
                <w:szCs w:val="22"/>
              </w:rPr>
            </w:pPr>
            <w:r w:rsidRPr="00BC26BA">
              <w:rPr>
                <w:rFonts w:cs="Times New Roman"/>
                <w:sz w:val="22"/>
                <w:szCs w:val="22"/>
              </w:rPr>
              <w:t>Administrative and Clerical (inc Senior managers)</w:t>
            </w:r>
          </w:p>
        </w:tc>
        <w:tc>
          <w:tcPr>
            <w:tcW w:w="1765" w:type="dxa"/>
          </w:tcPr>
          <w:p w14:paraId="3A592FFB" w14:textId="41E55B23" w:rsidR="00BC26BA" w:rsidRPr="00BC26BA" w:rsidRDefault="00BC26BA" w:rsidP="00BC26BA">
            <w:pPr>
              <w:jc w:val="center"/>
              <w:rPr>
                <w:rFonts w:cs="Times New Roman"/>
                <w:sz w:val="22"/>
                <w:szCs w:val="22"/>
              </w:rPr>
            </w:pPr>
            <w:r w:rsidRPr="00BC26BA">
              <w:rPr>
                <w:rFonts w:cs="Times New Roman"/>
                <w:sz w:val="22"/>
                <w:szCs w:val="22"/>
              </w:rPr>
              <w:t>-46</w:t>
            </w:r>
          </w:p>
        </w:tc>
        <w:tc>
          <w:tcPr>
            <w:tcW w:w="1765" w:type="dxa"/>
          </w:tcPr>
          <w:p w14:paraId="0A9284DB" w14:textId="16E61C05" w:rsidR="00BC26BA" w:rsidRPr="00BC26BA" w:rsidRDefault="00BC26BA" w:rsidP="00BC26BA">
            <w:pPr>
              <w:jc w:val="center"/>
              <w:rPr>
                <w:rFonts w:cs="Times New Roman"/>
                <w:sz w:val="22"/>
                <w:szCs w:val="22"/>
              </w:rPr>
            </w:pPr>
            <w:r w:rsidRPr="00BC26BA">
              <w:rPr>
                <w:rFonts w:cs="Times New Roman"/>
                <w:sz w:val="22"/>
                <w:szCs w:val="22"/>
              </w:rPr>
              <w:t>42</w:t>
            </w:r>
          </w:p>
        </w:tc>
        <w:tc>
          <w:tcPr>
            <w:tcW w:w="1765" w:type="dxa"/>
          </w:tcPr>
          <w:p w14:paraId="31FF82C7" w14:textId="14CD982D" w:rsidR="00BC26BA" w:rsidRPr="00BC26BA" w:rsidRDefault="00BC26BA" w:rsidP="00BC26BA">
            <w:pPr>
              <w:jc w:val="center"/>
              <w:rPr>
                <w:rFonts w:cs="Times New Roman"/>
                <w:sz w:val="22"/>
                <w:szCs w:val="22"/>
              </w:rPr>
            </w:pPr>
            <w:r w:rsidRPr="00BC26BA">
              <w:rPr>
                <w:rFonts w:cs="Times New Roman"/>
                <w:sz w:val="22"/>
                <w:szCs w:val="22"/>
              </w:rPr>
              <w:t>-4</w:t>
            </w:r>
          </w:p>
        </w:tc>
      </w:tr>
      <w:tr w:rsidR="00BC26BA" w14:paraId="254E1356" w14:textId="77777777" w:rsidTr="00BC26BA">
        <w:tc>
          <w:tcPr>
            <w:tcW w:w="4673" w:type="dxa"/>
          </w:tcPr>
          <w:p w14:paraId="12BAAD54" w14:textId="3F48A162" w:rsidR="00BC26BA" w:rsidRPr="00BC26BA" w:rsidRDefault="00BC26BA" w:rsidP="00BC26BA">
            <w:pPr>
              <w:rPr>
                <w:rFonts w:cs="Times New Roman"/>
                <w:sz w:val="22"/>
                <w:szCs w:val="22"/>
              </w:rPr>
            </w:pPr>
            <w:r w:rsidRPr="00BC26BA">
              <w:rPr>
                <w:rFonts w:cs="Times New Roman"/>
                <w:sz w:val="22"/>
                <w:szCs w:val="22"/>
              </w:rPr>
              <w:t>Estates and Ancillary</w:t>
            </w:r>
          </w:p>
        </w:tc>
        <w:tc>
          <w:tcPr>
            <w:tcW w:w="1765" w:type="dxa"/>
          </w:tcPr>
          <w:p w14:paraId="1E9837F9" w14:textId="60640FF4" w:rsidR="00BC26BA" w:rsidRPr="00BC26BA" w:rsidRDefault="00BC26BA" w:rsidP="00BC26BA">
            <w:pPr>
              <w:jc w:val="center"/>
              <w:rPr>
                <w:rFonts w:cs="Times New Roman"/>
                <w:sz w:val="22"/>
                <w:szCs w:val="22"/>
              </w:rPr>
            </w:pPr>
            <w:r w:rsidRPr="00BC26BA">
              <w:rPr>
                <w:rFonts w:cs="Times New Roman"/>
                <w:sz w:val="22"/>
                <w:szCs w:val="22"/>
              </w:rPr>
              <w:t>-20</w:t>
            </w:r>
          </w:p>
        </w:tc>
        <w:tc>
          <w:tcPr>
            <w:tcW w:w="1765" w:type="dxa"/>
          </w:tcPr>
          <w:p w14:paraId="50A817BC" w14:textId="79C4FE4C" w:rsidR="00BC26BA" w:rsidRPr="00BC26BA" w:rsidRDefault="00BC26BA" w:rsidP="00BC26BA">
            <w:pPr>
              <w:jc w:val="center"/>
              <w:rPr>
                <w:rFonts w:cs="Times New Roman"/>
                <w:sz w:val="22"/>
                <w:szCs w:val="22"/>
              </w:rPr>
            </w:pPr>
            <w:r w:rsidRPr="00BC26BA">
              <w:rPr>
                <w:rFonts w:cs="Times New Roman"/>
                <w:sz w:val="22"/>
                <w:szCs w:val="22"/>
              </w:rPr>
              <w:t>23</w:t>
            </w:r>
          </w:p>
        </w:tc>
        <w:tc>
          <w:tcPr>
            <w:tcW w:w="1765" w:type="dxa"/>
          </w:tcPr>
          <w:p w14:paraId="5BA35DB0" w14:textId="155C90B7" w:rsidR="00BC26BA" w:rsidRPr="00BC26BA" w:rsidRDefault="00BC26BA" w:rsidP="00BC26BA">
            <w:pPr>
              <w:jc w:val="center"/>
              <w:rPr>
                <w:rFonts w:cs="Times New Roman"/>
                <w:sz w:val="22"/>
                <w:szCs w:val="22"/>
              </w:rPr>
            </w:pPr>
            <w:r w:rsidRPr="00BC26BA">
              <w:rPr>
                <w:rFonts w:cs="Times New Roman"/>
                <w:sz w:val="22"/>
                <w:szCs w:val="22"/>
              </w:rPr>
              <w:t>3</w:t>
            </w:r>
          </w:p>
        </w:tc>
      </w:tr>
      <w:tr w:rsidR="00BC26BA" w14:paraId="74E66EE1" w14:textId="77777777" w:rsidTr="00BC26BA">
        <w:tc>
          <w:tcPr>
            <w:tcW w:w="4673" w:type="dxa"/>
          </w:tcPr>
          <w:p w14:paraId="2E6B3CC8" w14:textId="4738A83F" w:rsidR="00BC26BA" w:rsidRPr="00BC26BA" w:rsidRDefault="00BC26BA" w:rsidP="00BC26BA">
            <w:pPr>
              <w:rPr>
                <w:rFonts w:cs="Times New Roman"/>
                <w:sz w:val="22"/>
                <w:szCs w:val="22"/>
              </w:rPr>
            </w:pPr>
            <w:r w:rsidRPr="00BC26BA">
              <w:rPr>
                <w:rFonts w:cs="Times New Roman"/>
                <w:sz w:val="22"/>
                <w:szCs w:val="22"/>
              </w:rPr>
              <w:t>Students</w:t>
            </w:r>
          </w:p>
        </w:tc>
        <w:tc>
          <w:tcPr>
            <w:tcW w:w="1765" w:type="dxa"/>
          </w:tcPr>
          <w:p w14:paraId="630793B4" w14:textId="639B5220" w:rsidR="00BC26BA" w:rsidRPr="00BC26BA" w:rsidRDefault="00BC26BA" w:rsidP="00BC26BA">
            <w:pPr>
              <w:jc w:val="center"/>
              <w:rPr>
                <w:rFonts w:cs="Times New Roman"/>
                <w:sz w:val="22"/>
                <w:szCs w:val="22"/>
              </w:rPr>
            </w:pPr>
            <w:r w:rsidRPr="00BC26BA">
              <w:rPr>
                <w:rFonts w:cs="Times New Roman"/>
                <w:sz w:val="22"/>
                <w:szCs w:val="22"/>
              </w:rPr>
              <w:t>0</w:t>
            </w:r>
          </w:p>
        </w:tc>
        <w:tc>
          <w:tcPr>
            <w:tcW w:w="1765" w:type="dxa"/>
          </w:tcPr>
          <w:p w14:paraId="34BA526F" w14:textId="58AA7C47" w:rsidR="00BC26BA" w:rsidRPr="00BC26BA" w:rsidRDefault="00BC26BA" w:rsidP="00BC26BA">
            <w:pPr>
              <w:jc w:val="center"/>
              <w:rPr>
                <w:rFonts w:cs="Times New Roman"/>
                <w:sz w:val="22"/>
                <w:szCs w:val="22"/>
              </w:rPr>
            </w:pPr>
            <w:r w:rsidRPr="00BC26BA">
              <w:rPr>
                <w:rFonts w:cs="Times New Roman"/>
                <w:sz w:val="22"/>
                <w:szCs w:val="22"/>
              </w:rPr>
              <w:t>0</w:t>
            </w:r>
          </w:p>
        </w:tc>
        <w:tc>
          <w:tcPr>
            <w:tcW w:w="1765" w:type="dxa"/>
          </w:tcPr>
          <w:p w14:paraId="6AF93155" w14:textId="1F6E83CA" w:rsidR="00BC26BA" w:rsidRPr="00BC26BA" w:rsidRDefault="00BC26BA" w:rsidP="00BC26BA">
            <w:pPr>
              <w:jc w:val="center"/>
              <w:rPr>
                <w:rFonts w:cs="Times New Roman"/>
                <w:sz w:val="22"/>
                <w:szCs w:val="22"/>
              </w:rPr>
            </w:pPr>
            <w:r w:rsidRPr="00BC26BA">
              <w:rPr>
                <w:rFonts w:cs="Times New Roman"/>
                <w:sz w:val="22"/>
                <w:szCs w:val="22"/>
              </w:rPr>
              <w:t>0</w:t>
            </w:r>
          </w:p>
        </w:tc>
      </w:tr>
      <w:tr w:rsidR="00BC26BA" w14:paraId="6FAE7C20" w14:textId="77777777" w:rsidTr="00BC26BA">
        <w:tc>
          <w:tcPr>
            <w:tcW w:w="4673" w:type="dxa"/>
          </w:tcPr>
          <w:p w14:paraId="30FE5F2C" w14:textId="13DCC9F8" w:rsidR="00BC26BA" w:rsidRPr="00BC26BA" w:rsidRDefault="00BC26BA" w:rsidP="00BC26BA">
            <w:pPr>
              <w:rPr>
                <w:rFonts w:cs="Times New Roman"/>
                <w:sz w:val="22"/>
                <w:szCs w:val="22"/>
              </w:rPr>
            </w:pPr>
            <w:r w:rsidRPr="00BC26BA">
              <w:rPr>
                <w:rFonts w:cs="Times New Roman"/>
                <w:sz w:val="22"/>
                <w:szCs w:val="22"/>
              </w:rPr>
              <w:t>Total</w:t>
            </w:r>
          </w:p>
        </w:tc>
        <w:tc>
          <w:tcPr>
            <w:tcW w:w="1765" w:type="dxa"/>
          </w:tcPr>
          <w:p w14:paraId="2995DD4C" w14:textId="183CE9C4" w:rsidR="00BC26BA" w:rsidRPr="00BC26BA" w:rsidRDefault="00BC26BA" w:rsidP="00BC26BA">
            <w:pPr>
              <w:jc w:val="center"/>
              <w:rPr>
                <w:rFonts w:cs="Times New Roman"/>
                <w:sz w:val="22"/>
                <w:szCs w:val="22"/>
              </w:rPr>
            </w:pPr>
            <w:r w:rsidRPr="00BC26BA">
              <w:rPr>
                <w:rFonts w:cs="Times New Roman"/>
                <w:sz w:val="22"/>
                <w:szCs w:val="22"/>
              </w:rPr>
              <w:t>-235</w:t>
            </w:r>
          </w:p>
        </w:tc>
        <w:tc>
          <w:tcPr>
            <w:tcW w:w="1765" w:type="dxa"/>
          </w:tcPr>
          <w:p w14:paraId="75577CEE" w14:textId="73E0C04B" w:rsidR="00BC26BA" w:rsidRPr="00BC26BA" w:rsidRDefault="00BC26BA" w:rsidP="00BC26BA">
            <w:pPr>
              <w:jc w:val="center"/>
              <w:rPr>
                <w:rFonts w:cs="Times New Roman"/>
                <w:sz w:val="22"/>
                <w:szCs w:val="22"/>
              </w:rPr>
            </w:pPr>
            <w:r w:rsidRPr="00BC26BA">
              <w:rPr>
                <w:rFonts w:cs="Times New Roman"/>
                <w:sz w:val="22"/>
                <w:szCs w:val="22"/>
              </w:rPr>
              <w:t>253</w:t>
            </w:r>
          </w:p>
        </w:tc>
        <w:tc>
          <w:tcPr>
            <w:tcW w:w="1765" w:type="dxa"/>
          </w:tcPr>
          <w:p w14:paraId="3860ABE0" w14:textId="103DF103" w:rsidR="00BC26BA" w:rsidRPr="00BC26BA" w:rsidRDefault="00BC26BA" w:rsidP="00BC26BA">
            <w:pPr>
              <w:jc w:val="center"/>
              <w:rPr>
                <w:rFonts w:cs="Times New Roman"/>
                <w:sz w:val="22"/>
                <w:szCs w:val="22"/>
              </w:rPr>
            </w:pPr>
            <w:r w:rsidRPr="00BC26BA">
              <w:rPr>
                <w:rFonts w:cs="Times New Roman"/>
                <w:sz w:val="22"/>
                <w:szCs w:val="22"/>
              </w:rPr>
              <w:t>17</w:t>
            </w:r>
          </w:p>
        </w:tc>
      </w:tr>
    </w:tbl>
    <w:p w14:paraId="6029E890" w14:textId="77777777" w:rsidR="00BC26BA" w:rsidRDefault="00BC26BA" w:rsidP="00D852F5">
      <w:pPr>
        <w:rPr>
          <w:rFonts w:cs="Times New Roman"/>
          <w:color w:val="943634" w:themeColor="accent2" w:themeShade="BF"/>
          <w:szCs w:val="22"/>
        </w:rPr>
      </w:pPr>
    </w:p>
    <w:p w14:paraId="275F94A1" w14:textId="77777777" w:rsidR="00832B80" w:rsidRPr="00832B80" w:rsidRDefault="00832B80" w:rsidP="00832B80">
      <w:pPr>
        <w:rPr>
          <w:rFonts w:asciiTheme="minorHAnsi" w:hAnsiTheme="minorHAnsi" w:cstheme="minorHAnsi"/>
          <w:color w:val="943634" w:themeColor="accent2" w:themeShade="BF"/>
          <w:szCs w:val="22"/>
        </w:rPr>
      </w:pPr>
      <w:r w:rsidRPr="00832B80">
        <w:rPr>
          <w:rFonts w:asciiTheme="minorHAnsi" w:hAnsiTheme="minorHAnsi" w:cstheme="minorHAnsi"/>
          <w:color w:val="943634" w:themeColor="accent2" w:themeShade="BF"/>
          <w:szCs w:val="22"/>
        </w:rPr>
        <w:t xml:space="preserve">It should be noted that the estimated WTE referred to above, does not in all cases mean a real reduction in employed staff.  This WTE reduction will be released through skill mix change, reduce usage of bank staff and efficiencies. </w:t>
      </w:r>
    </w:p>
    <w:p w14:paraId="1C31C056" w14:textId="18817C9F" w:rsidR="00D852F5" w:rsidRPr="00800207" w:rsidRDefault="00D852F5" w:rsidP="00832B80">
      <w:pPr>
        <w:pStyle w:val="Heading3"/>
        <w:rPr>
          <w:u w:val="single"/>
        </w:rPr>
      </w:pPr>
      <w:r w:rsidRPr="00800207">
        <w:t>Efficient and Effective Workforce Processes</w:t>
      </w:r>
    </w:p>
    <w:p w14:paraId="72E89191" w14:textId="6646EAD8" w:rsidR="00CD5F20" w:rsidRPr="00CD5F20" w:rsidRDefault="00CD5F20" w:rsidP="00CD5F20">
      <w:pPr>
        <w:autoSpaceDE w:val="0"/>
        <w:autoSpaceDN w:val="0"/>
        <w:rPr>
          <w:rFonts w:cstheme="minorHAnsi"/>
        </w:rPr>
      </w:pPr>
      <w:r w:rsidRPr="0033013E">
        <w:rPr>
          <w:rFonts w:cstheme="minorHAnsi"/>
        </w:rPr>
        <w:t>Maximising the efficiency and productivity contribution of the workforce is a key component of our workforce plan.  The priorities include ensuring our operational and management policies, processes and systems are robust to facilitate the effective management and deployment of our staff.  Where practical we will review business processes and deploy e-employment systems aiming to minimise waste and drive up productivity.  There continues to be two significant cross cutting work programmes to oversee a range of activities that will support the efficiency programme by driving up productivity, leading to service improvement and ultimately the release of savings.</w:t>
      </w:r>
    </w:p>
    <w:p w14:paraId="5F256C5F" w14:textId="441424D2" w:rsidR="00CD5F20" w:rsidRPr="00800207" w:rsidRDefault="00CD5F20" w:rsidP="00CD5F20">
      <w:pPr>
        <w:pStyle w:val="Heading4"/>
        <w:rPr>
          <w:u w:val="single"/>
        </w:rPr>
      </w:pPr>
      <w:r w:rsidRPr="0033013E">
        <w:rPr>
          <w:rFonts w:eastAsia="Times New Roman" w:cstheme="minorHAnsi"/>
        </w:rPr>
        <w:t>Medical Workforce Efficiency</w:t>
      </w:r>
    </w:p>
    <w:p w14:paraId="1CD82783" w14:textId="6212E0B2" w:rsidR="00CD5F20" w:rsidRPr="0033013E" w:rsidRDefault="00CD5F20" w:rsidP="00CD5F20">
      <w:pPr>
        <w:rPr>
          <w:rFonts w:cstheme="minorHAnsi"/>
        </w:rPr>
      </w:pPr>
      <w:r w:rsidRPr="0033013E">
        <w:rPr>
          <w:rFonts w:cstheme="minorHAnsi"/>
        </w:rPr>
        <w:t>Our medical efficiency programme continues to focus on a range of activities to improve productivity and control utilisa</w:t>
      </w:r>
      <w:r>
        <w:rPr>
          <w:rFonts w:cstheme="minorHAnsi"/>
        </w:rPr>
        <w:t xml:space="preserve">tion of the medical workforce.  </w:t>
      </w:r>
      <w:r w:rsidRPr="0033013E">
        <w:rPr>
          <w:rFonts w:cstheme="minorHAnsi"/>
        </w:rPr>
        <w:t>Activities for 19/20 onwards fall into the following areas:</w:t>
      </w:r>
    </w:p>
    <w:p w14:paraId="13DB22B5" w14:textId="1F6E4E6D" w:rsidR="00CD5F20" w:rsidRPr="0033013E" w:rsidRDefault="00CD5F20" w:rsidP="00F60A35">
      <w:pPr>
        <w:pStyle w:val="ListParagraph"/>
        <w:numPr>
          <w:ilvl w:val="0"/>
          <w:numId w:val="85"/>
        </w:numPr>
        <w:spacing w:after="160"/>
        <w:ind w:left="357" w:hanging="357"/>
        <w:rPr>
          <w:rFonts w:cstheme="minorHAnsi"/>
        </w:rPr>
      </w:pPr>
      <w:r w:rsidRPr="0033013E">
        <w:rPr>
          <w:rFonts w:cstheme="minorHAnsi"/>
        </w:rPr>
        <w:t xml:space="preserve">Planned Medical Productivity savings as a result of Direct Engagement and Negotiated Rates. During this financial year, Executives will assess the risks and benefits of mandating Direct Engagement across the Health Board, in addition to challenge around the sign off and bookings of high cost agency locums.  Finance and Workforce will work through anticipated savings by Directorate based on Locum usage to date. This is built into CRES savings targets identified for each Directorate. </w:t>
      </w:r>
    </w:p>
    <w:p w14:paraId="58CF3CED" w14:textId="55D64DB1" w:rsidR="00CD5F20" w:rsidRPr="0033013E" w:rsidRDefault="00CD5F20" w:rsidP="00F60A35">
      <w:pPr>
        <w:pStyle w:val="ListParagraph"/>
        <w:numPr>
          <w:ilvl w:val="0"/>
          <w:numId w:val="85"/>
        </w:numPr>
        <w:spacing w:after="160"/>
        <w:ind w:left="357" w:hanging="357"/>
        <w:rPr>
          <w:rFonts w:cstheme="minorHAnsi"/>
        </w:rPr>
      </w:pPr>
      <w:r w:rsidRPr="0033013E">
        <w:rPr>
          <w:rFonts w:cstheme="minorHAnsi"/>
          <w:noProof/>
        </w:rPr>
        <w:lastRenderedPageBreak/>
        <w:drawing>
          <wp:anchor distT="0" distB="0" distL="114300" distR="114300" simplePos="0" relativeHeight="252872704" behindDoc="0" locked="0" layoutInCell="1" allowOverlap="1" wp14:anchorId="2B87DA21" wp14:editId="0B631D90">
            <wp:simplePos x="0" y="0"/>
            <wp:positionH relativeFrom="column">
              <wp:posOffset>3609975</wp:posOffset>
            </wp:positionH>
            <wp:positionV relativeFrom="paragraph">
              <wp:posOffset>9525</wp:posOffset>
            </wp:positionV>
            <wp:extent cx="2743200" cy="2520950"/>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extLst>
                        <a:ext uri="{28A0092B-C50C-407E-A947-70E740481C1C}">
                          <a14:useLocalDpi xmlns:a14="http://schemas.microsoft.com/office/drawing/2010/main" val="0"/>
                        </a:ext>
                      </a:extLst>
                    </a:blip>
                    <a:stretch>
                      <a:fillRect/>
                    </a:stretch>
                  </pic:blipFill>
                  <pic:spPr>
                    <a:xfrm>
                      <a:off x="0" y="0"/>
                      <a:ext cx="2743200" cy="2520950"/>
                    </a:xfrm>
                    <a:prstGeom prst="rect">
                      <a:avLst/>
                    </a:prstGeom>
                  </pic:spPr>
                </pic:pic>
              </a:graphicData>
            </a:graphic>
          </wp:anchor>
        </w:drawing>
      </w:r>
      <w:r w:rsidRPr="0033013E">
        <w:rPr>
          <w:rFonts w:cstheme="minorHAnsi"/>
        </w:rPr>
        <w:t>System development and enhancement of E-Rostering to ensure we are making best use of the e-rostering system for medial rostering and planned activities.</w:t>
      </w:r>
    </w:p>
    <w:p w14:paraId="21613704" w14:textId="16E477D8" w:rsidR="00CD5F20" w:rsidRPr="0033013E" w:rsidRDefault="00CD5F20" w:rsidP="00F60A35">
      <w:pPr>
        <w:pStyle w:val="ListParagraph"/>
        <w:numPr>
          <w:ilvl w:val="0"/>
          <w:numId w:val="85"/>
        </w:numPr>
        <w:spacing w:after="160"/>
        <w:ind w:left="357" w:hanging="357"/>
        <w:rPr>
          <w:rFonts w:cstheme="minorHAnsi"/>
        </w:rPr>
      </w:pPr>
      <w:r w:rsidRPr="0033013E">
        <w:rPr>
          <w:rFonts w:cstheme="minorHAnsi"/>
        </w:rPr>
        <w:t>End to end enabled process for internal ADH’s/WLI’s and Medical Locum Bank which is likely to include the development of an internal locum bank e-system.  This will provide greater visibility and reporting on rates across the Health Board, and will streamline the authorisation to payment process which is currently fragmented across the Health Board.</w:t>
      </w:r>
    </w:p>
    <w:p w14:paraId="2DF2B007" w14:textId="683B32F8" w:rsidR="00CD5F20" w:rsidRDefault="00CD5F20" w:rsidP="00F60A35">
      <w:pPr>
        <w:pStyle w:val="ListParagraph"/>
        <w:numPr>
          <w:ilvl w:val="0"/>
          <w:numId w:val="85"/>
        </w:numPr>
        <w:spacing w:after="160"/>
        <w:ind w:left="357" w:hanging="357"/>
        <w:rPr>
          <w:rFonts w:cstheme="minorHAnsi"/>
        </w:rPr>
      </w:pPr>
      <w:r w:rsidRPr="0033013E">
        <w:rPr>
          <w:rFonts w:cstheme="minorHAnsi"/>
        </w:rPr>
        <w:t xml:space="preserve">To provide bottom up analysis of demand/capacity to determine establishments for each speciality. Define and seek agreement on a set of principles and parameters to be employed in medical staff planning and budget management. To include </w:t>
      </w:r>
      <w:r w:rsidR="006A0E07">
        <w:rPr>
          <w:rFonts w:cstheme="minorHAnsi"/>
        </w:rPr>
        <w:t>D&amp;C</w:t>
      </w:r>
      <w:r w:rsidRPr="0033013E">
        <w:rPr>
          <w:rFonts w:cstheme="minorHAnsi"/>
        </w:rPr>
        <w:t xml:space="preserve"> plans setting out the resource (WLI’s), which in turn defines the rostering requirements. Areas to then focus on will include turnover, hard to fill vacancies, sickness</w:t>
      </w:r>
      <w:r w:rsidR="00391AB5">
        <w:rPr>
          <w:rFonts w:cstheme="minorHAnsi"/>
        </w:rPr>
        <w:t>,</w:t>
      </w:r>
      <w:r>
        <w:rPr>
          <w:rFonts w:cstheme="minorHAnsi"/>
        </w:rPr>
        <w:t xml:space="preserve"> maternity, training gaps etc. </w:t>
      </w:r>
    </w:p>
    <w:p w14:paraId="42B4E4D1" w14:textId="37A9F116" w:rsidR="00CD5F20" w:rsidRDefault="00CD5F20" w:rsidP="00F60A35">
      <w:pPr>
        <w:pStyle w:val="ListParagraph"/>
        <w:numPr>
          <w:ilvl w:val="0"/>
          <w:numId w:val="85"/>
        </w:numPr>
        <w:spacing w:after="160"/>
        <w:ind w:left="357" w:hanging="357"/>
        <w:rPr>
          <w:rFonts w:cstheme="minorHAnsi"/>
        </w:rPr>
      </w:pPr>
      <w:r w:rsidRPr="00CD5F20">
        <w:rPr>
          <w:rFonts w:cstheme="minorHAnsi"/>
        </w:rPr>
        <w:t xml:space="preserve">Continuing to working in collaboration on all Wales activities wherever possible through the lead of </w:t>
      </w:r>
      <w:r w:rsidR="00391AB5">
        <w:rPr>
          <w:rFonts w:cstheme="minorHAnsi"/>
        </w:rPr>
        <w:t>WG</w:t>
      </w:r>
      <w:r w:rsidRPr="00CD5F20">
        <w:rPr>
          <w:rFonts w:cstheme="minorHAnsi"/>
        </w:rPr>
        <w:t>, specifically around the purchasing of services (rostering software, managed services, locum provision etc.</w:t>
      </w:r>
    </w:p>
    <w:p w14:paraId="142D3B21" w14:textId="4351430E" w:rsidR="00CD5F20" w:rsidRDefault="00CD5F20" w:rsidP="00F60A35">
      <w:pPr>
        <w:pStyle w:val="ListParagraph"/>
        <w:numPr>
          <w:ilvl w:val="0"/>
          <w:numId w:val="85"/>
        </w:numPr>
        <w:spacing w:after="160"/>
        <w:ind w:left="357" w:hanging="357"/>
        <w:rPr>
          <w:rFonts w:cstheme="minorHAnsi"/>
        </w:rPr>
      </w:pPr>
      <w:r w:rsidRPr="00CD5F20">
        <w:rPr>
          <w:rFonts w:cstheme="minorHAnsi"/>
        </w:rPr>
        <w:t xml:space="preserve">Job planning metrics continue to demonstrate productivity aligned to </w:t>
      </w:r>
      <w:r w:rsidR="006A0E07">
        <w:rPr>
          <w:rFonts w:cstheme="minorHAnsi"/>
        </w:rPr>
        <w:t>D&amp;C</w:t>
      </w:r>
      <w:r w:rsidRPr="00CD5F20">
        <w:rPr>
          <w:rFonts w:cstheme="minorHAnsi"/>
        </w:rPr>
        <w:t xml:space="preserve"> plans and monitor working patterns to drive up productivity and meet the needs of the directorate.  A further review of the job planning materials and training will be relaunched.</w:t>
      </w:r>
    </w:p>
    <w:p w14:paraId="4A22642C" w14:textId="77777777" w:rsidR="00CD5F20" w:rsidRDefault="00CD5F20" w:rsidP="00F60A35">
      <w:pPr>
        <w:pStyle w:val="ListParagraph"/>
        <w:numPr>
          <w:ilvl w:val="0"/>
          <w:numId w:val="85"/>
        </w:numPr>
        <w:spacing w:after="160"/>
        <w:ind w:left="357" w:hanging="357"/>
        <w:rPr>
          <w:rFonts w:cstheme="minorHAnsi"/>
        </w:rPr>
      </w:pPr>
      <w:r w:rsidRPr="00CD5F20">
        <w:rPr>
          <w:rFonts w:cstheme="minorHAnsi"/>
        </w:rPr>
        <w:t>Recruitment can be split into two themes 1) timely transactional processing of approved medical vacancies, and 2) analysis of skill requirements and identifying alternative methods of recruitment.  A strategic approach around hard to fill vacancies will include an overseas campaign and more flexible working arrangements for doctors who decide to take time out from training programmes.</w:t>
      </w:r>
    </w:p>
    <w:p w14:paraId="66A037C1" w14:textId="2469BCFC" w:rsidR="00CD5F20" w:rsidRPr="00CD5F20" w:rsidRDefault="00CD5F20" w:rsidP="00F60A35">
      <w:pPr>
        <w:pStyle w:val="ListParagraph"/>
        <w:numPr>
          <w:ilvl w:val="0"/>
          <w:numId w:val="85"/>
        </w:numPr>
        <w:spacing w:after="160"/>
        <w:ind w:left="357" w:hanging="357"/>
        <w:rPr>
          <w:rFonts w:cstheme="minorHAnsi"/>
        </w:rPr>
      </w:pPr>
      <w:r w:rsidRPr="00CD5F20">
        <w:rPr>
          <w:rFonts w:cstheme="minorHAnsi"/>
        </w:rPr>
        <w:t xml:space="preserve">Alternative skills – Where repeated attempts have been made to recruit doctors with no success, alternative practitioners are being considered.  </w:t>
      </w:r>
    </w:p>
    <w:p w14:paraId="1DD5864D" w14:textId="7998867E" w:rsidR="00CD5F20" w:rsidRPr="00800207" w:rsidRDefault="00CD5F20" w:rsidP="00CD5F20">
      <w:pPr>
        <w:pStyle w:val="Heading4"/>
        <w:rPr>
          <w:u w:val="single"/>
        </w:rPr>
      </w:pPr>
      <w:r w:rsidRPr="0033013E">
        <w:rPr>
          <w:rFonts w:cstheme="minorHAnsi"/>
        </w:rPr>
        <w:t>Nurse Efficiency and Productivity</w:t>
      </w:r>
    </w:p>
    <w:p w14:paraId="5347C3EE" w14:textId="16849D18" w:rsidR="00CD5F20" w:rsidRPr="0033013E" w:rsidRDefault="00CD5F20" w:rsidP="00CD5F20">
      <w:pPr>
        <w:widowControl w:val="0"/>
        <w:spacing w:before="240"/>
        <w:rPr>
          <w:rFonts w:cstheme="minorHAnsi"/>
          <w:lang w:val="en-US"/>
        </w:rPr>
      </w:pPr>
      <w:r w:rsidRPr="0033013E">
        <w:rPr>
          <w:rFonts w:cstheme="minorHAnsi"/>
        </w:rPr>
        <w:t xml:space="preserve">The Nursing Workforce Group </w:t>
      </w:r>
      <w:r w:rsidRPr="0033013E">
        <w:rPr>
          <w:rFonts w:cstheme="minorHAnsi"/>
          <w:lang w:val="en-US"/>
        </w:rPr>
        <w:t>ensures regular and formal dialogue between functions to ensure the Health Board manages and reacts to the challenges facing the Nursing and Midwifery workforce, including support staff.</w:t>
      </w:r>
      <w:r>
        <w:rPr>
          <w:rFonts w:cstheme="minorHAnsi"/>
          <w:lang w:val="en-US"/>
        </w:rPr>
        <w:t xml:space="preserve">  </w:t>
      </w:r>
      <w:r w:rsidRPr="0033013E">
        <w:rPr>
          <w:rFonts w:cstheme="minorHAnsi"/>
          <w:lang w:val="en-US"/>
        </w:rPr>
        <w:t>Likewise it enables the Health Board to monitor compliance with the Nurse Staffing Levels (Wales) Act 2016 and provides opportunities for the group to review and monitor service productivity and operational challenges, particularly the effective retention of the nursing and midwifery workforce.</w:t>
      </w:r>
    </w:p>
    <w:p w14:paraId="033469C4" w14:textId="77777777" w:rsidR="00CD5F20" w:rsidRPr="0033013E" w:rsidRDefault="00CD5F20" w:rsidP="00CD5F20">
      <w:pPr>
        <w:widowControl w:val="0"/>
        <w:tabs>
          <w:tab w:val="left" w:pos="1905"/>
        </w:tabs>
        <w:spacing w:before="240"/>
        <w:rPr>
          <w:rFonts w:cstheme="minorHAnsi"/>
          <w:lang w:val="en-US"/>
        </w:rPr>
      </w:pPr>
      <w:r>
        <w:rPr>
          <w:noProof/>
        </w:rPr>
        <w:drawing>
          <wp:anchor distT="0" distB="0" distL="114300" distR="114300" simplePos="0" relativeHeight="252874752" behindDoc="0" locked="0" layoutInCell="1" allowOverlap="1" wp14:anchorId="2686BA3C" wp14:editId="438D99AF">
            <wp:simplePos x="0" y="0"/>
            <wp:positionH relativeFrom="margin">
              <wp:align>right</wp:align>
            </wp:positionH>
            <wp:positionV relativeFrom="paragraph">
              <wp:posOffset>156845</wp:posOffset>
            </wp:positionV>
            <wp:extent cx="2406650" cy="2565400"/>
            <wp:effectExtent l="0" t="0" r="0" b="635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extLst>
                        <a:ext uri="{28A0092B-C50C-407E-A947-70E740481C1C}">
                          <a14:useLocalDpi xmlns:a14="http://schemas.microsoft.com/office/drawing/2010/main" val="0"/>
                        </a:ext>
                      </a:extLst>
                    </a:blip>
                    <a:stretch>
                      <a:fillRect/>
                    </a:stretch>
                  </pic:blipFill>
                  <pic:spPr>
                    <a:xfrm>
                      <a:off x="0" y="0"/>
                      <a:ext cx="2406650" cy="2565400"/>
                    </a:xfrm>
                    <a:prstGeom prst="rect">
                      <a:avLst/>
                    </a:prstGeom>
                  </pic:spPr>
                </pic:pic>
              </a:graphicData>
            </a:graphic>
            <wp14:sizeRelH relativeFrom="margin">
              <wp14:pctWidth>0</wp14:pctWidth>
            </wp14:sizeRelH>
            <wp14:sizeRelV relativeFrom="margin">
              <wp14:pctHeight>0</wp14:pctHeight>
            </wp14:sizeRelV>
          </wp:anchor>
        </w:drawing>
      </w:r>
      <w:r w:rsidRPr="0033013E">
        <w:rPr>
          <w:rFonts w:cstheme="minorHAnsi"/>
          <w:lang w:val="en-US"/>
        </w:rPr>
        <w:t>Nursing Workforce Group</w:t>
      </w:r>
      <w:r w:rsidRPr="0033013E">
        <w:rPr>
          <w:rFonts w:cstheme="minorHAnsi"/>
          <w:b/>
          <w:i/>
          <w:lang w:val="en-US"/>
        </w:rPr>
        <w:t xml:space="preserve"> </w:t>
      </w:r>
      <w:r w:rsidRPr="0033013E">
        <w:rPr>
          <w:rFonts w:cstheme="minorHAnsi"/>
          <w:lang w:val="en-US"/>
        </w:rPr>
        <w:t xml:space="preserve">shares practice, experience, and opportunities across functions, including, but not limited to, good practices, wellbeing, recruitment, development, efficiency and governance. </w:t>
      </w:r>
    </w:p>
    <w:p w14:paraId="3D73C985" w14:textId="77777777" w:rsidR="00433CDA" w:rsidRDefault="00CD5F20" w:rsidP="00433CDA">
      <w:pPr>
        <w:spacing w:before="240"/>
        <w:rPr>
          <w:rFonts w:cstheme="minorHAnsi"/>
          <w:bCs/>
          <w:iCs/>
          <w:color w:val="000000" w:themeColor="text1"/>
        </w:rPr>
      </w:pPr>
      <w:r w:rsidRPr="0033013E">
        <w:rPr>
          <w:rFonts w:cstheme="minorHAnsi"/>
          <w:bCs/>
          <w:iCs/>
          <w:color w:val="000000" w:themeColor="text1"/>
        </w:rPr>
        <w:t>By April 2020 we anticipate to have 63 nursing graduates commencing their em</w:t>
      </w:r>
      <w:r w:rsidR="00433CDA">
        <w:rPr>
          <w:rFonts w:cstheme="minorHAnsi"/>
          <w:bCs/>
          <w:iCs/>
          <w:color w:val="000000" w:themeColor="text1"/>
        </w:rPr>
        <w:t>ployment with the Health Board.</w:t>
      </w:r>
    </w:p>
    <w:p w14:paraId="07FD40A4" w14:textId="72194522" w:rsidR="00CD5F20" w:rsidRDefault="00CD5F20" w:rsidP="00433CDA">
      <w:pPr>
        <w:spacing w:before="240"/>
        <w:rPr>
          <w:rFonts w:cstheme="minorHAnsi"/>
          <w:bCs/>
          <w:iCs/>
          <w:color w:val="000000" w:themeColor="text1"/>
        </w:rPr>
      </w:pPr>
      <w:r w:rsidRPr="0033013E">
        <w:rPr>
          <w:rFonts w:cstheme="minorHAnsi"/>
          <w:bCs/>
          <w:iCs/>
          <w:color w:val="000000" w:themeColor="text1"/>
        </w:rPr>
        <w:t>Our international recruitment continues.</w:t>
      </w:r>
      <w:r w:rsidR="003349F7">
        <w:rPr>
          <w:rFonts w:cstheme="minorHAnsi"/>
          <w:bCs/>
          <w:iCs/>
          <w:color w:val="000000" w:themeColor="text1"/>
        </w:rPr>
        <w:t xml:space="preserve">  </w:t>
      </w:r>
      <w:r w:rsidRPr="0033013E">
        <w:rPr>
          <w:rFonts w:cstheme="minorHAnsi"/>
          <w:bCs/>
          <w:iCs/>
          <w:color w:val="000000" w:themeColor="text1"/>
        </w:rPr>
        <w:t>Those previously recruited from the Philippines are still with us, and in July 2019 we re-commenced international nurse recruitment, this time focussed on India.  We learnt a number of lessons recruiting from the Philippines, and these have been reflected in to the current exercise.</w:t>
      </w:r>
      <w:r w:rsidR="003349F7">
        <w:rPr>
          <w:rFonts w:cstheme="minorHAnsi"/>
          <w:bCs/>
          <w:iCs/>
          <w:color w:val="000000" w:themeColor="text1"/>
        </w:rPr>
        <w:t xml:space="preserve"> </w:t>
      </w:r>
      <w:r w:rsidRPr="0033013E">
        <w:rPr>
          <w:rFonts w:cstheme="minorHAnsi"/>
          <w:bCs/>
          <w:iCs/>
          <w:color w:val="000000" w:themeColor="text1"/>
        </w:rPr>
        <w:t>  We are confident that the nurses currently being recruited are of excellent calibre, and will be a significant asset to the Health Board</w:t>
      </w:r>
      <w:r w:rsidRPr="00D9756F">
        <w:rPr>
          <w:rFonts w:cstheme="minorHAnsi"/>
          <w:bCs/>
          <w:iCs/>
          <w:color w:val="000000" w:themeColor="text1"/>
        </w:rPr>
        <w:t>.  Arrivals started in September, with cohorts due every month this year except December.</w:t>
      </w:r>
    </w:p>
    <w:p w14:paraId="141CAA42" w14:textId="26742E1C" w:rsidR="00CD5F20" w:rsidRPr="00800207" w:rsidRDefault="00CD5F20" w:rsidP="00CD5F20">
      <w:pPr>
        <w:pStyle w:val="Heading4"/>
        <w:rPr>
          <w:u w:val="single"/>
        </w:rPr>
      </w:pPr>
      <w:r w:rsidRPr="0033013E">
        <w:rPr>
          <w:rFonts w:eastAsia="Times New Roman" w:cstheme="minorHAnsi"/>
        </w:rPr>
        <w:lastRenderedPageBreak/>
        <w:t>Digital Workforce Productivity</w:t>
      </w:r>
    </w:p>
    <w:p w14:paraId="2A4DA857" w14:textId="22614075" w:rsidR="00CD5F20" w:rsidRDefault="006B189A" w:rsidP="00CD5F20">
      <w:pPr>
        <w:autoSpaceDE w:val="0"/>
        <w:autoSpaceDN w:val="0"/>
        <w:adjustRightInd w:val="0"/>
        <w:rPr>
          <w:rFonts w:cstheme="minorHAnsi"/>
        </w:rPr>
      </w:pPr>
      <w:r w:rsidRPr="0033013E">
        <w:rPr>
          <w:rFonts w:cstheme="minorHAnsi"/>
          <w:noProof/>
          <w:color w:val="000000"/>
        </w:rPr>
        <w:drawing>
          <wp:anchor distT="0" distB="0" distL="114300" distR="114300" simplePos="0" relativeHeight="252876800" behindDoc="0" locked="0" layoutInCell="1" allowOverlap="1" wp14:anchorId="224EAAB8" wp14:editId="53E13278">
            <wp:simplePos x="0" y="0"/>
            <wp:positionH relativeFrom="margin">
              <wp:align>left</wp:align>
            </wp:positionH>
            <wp:positionV relativeFrom="paragraph">
              <wp:posOffset>1019810</wp:posOffset>
            </wp:positionV>
            <wp:extent cx="6294120" cy="2095500"/>
            <wp:effectExtent l="0" t="0" r="0" b="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cstate="print">
                      <a:extLst>
                        <a:ext uri="{28A0092B-C50C-407E-A947-70E740481C1C}">
                          <a14:useLocalDpi xmlns:a14="http://schemas.microsoft.com/office/drawing/2010/main" val="0"/>
                        </a:ext>
                      </a:extLst>
                    </a:blip>
                    <a:stretch>
                      <a:fillRect/>
                    </a:stretch>
                  </pic:blipFill>
                  <pic:spPr>
                    <a:xfrm>
                      <a:off x="0" y="0"/>
                      <a:ext cx="6294120" cy="2095500"/>
                    </a:xfrm>
                    <a:prstGeom prst="rect">
                      <a:avLst/>
                    </a:prstGeom>
                  </pic:spPr>
                </pic:pic>
              </a:graphicData>
            </a:graphic>
            <wp14:sizeRelH relativeFrom="margin">
              <wp14:pctWidth>0</wp14:pctWidth>
            </wp14:sizeRelH>
            <wp14:sizeRelV relativeFrom="margin">
              <wp14:pctHeight>0</wp14:pctHeight>
            </wp14:sizeRelV>
          </wp:anchor>
        </w:drawing>
      </w:r>
      <w:r w:rsidR="00CD5F20" w:rsidRPr="0033013E">
        <w:rPr>
          <w:rFonts w:cstheme="minorHAnsi"/>
        </w:rPr>
        <w:t>The heart of the NHS Wales ESR Hire to Retire work programme is digital transformation, with enhancements to the ESR solution focusing on accessibility and usability.</w:t>
      </w:r>
      <w:r w:rsidR="005B4CF2">
        <w:rPr>
          <w:rFonts w:cstheme="minorHAnsi"/>
        </w:rPr>
        <w:t xml:space="preserve"> </w:t>
      </w:r>
      <w:r w:rsidR="00CD5F20" w:rsidRPr="0033013E">
        <w:rPr>
          <w:rFonts w:cstheme="minorHAnsi"/>
        </w:rPr>
        <w:t xml:space="preserve"> In other words maximising the everyday technology people use outside of workplace and inside the workplace.  Digitising workforce transactions through ESR is key to improving efficiencies and reducing waste across the Health Board and continues to be developed in the following areas. </w:t>
      </w:r>
      <w:r w:rsidR="00CD5F20">
        <w:rPr>
          <w:rFonts w:cstheme="minorHAnsi"/>
        </w:rPr>
        <w:t xml:space="preserve"> </w:t>
      </w:r>
      <w:r w:rsidR="00CD5F20" w:rsidRPr="0033013E">
        <w:rPr>
          <w:rFonts w:cstheme="minorHAnsi"/>
        </w:rPr>
        <w:t>The overarching themes are set out below:</w:t>
      </w:r>
    </w:p>
    <w:p w14:paraId="29848834" w14:textId="7A8B95A4" w:rsidR="006B189A" w:rsidRPr="00800207" w:rsidRDefault="006B189A" w:rsidP="006B189A">
      <w:pPr>
        <w:pStyle w:val="Heading4"/>
        <w:rPr>
          <w:u w:val="single"/>
        </w:rPr>
      </w:pPr>
      <w:r>
        <w:rPr>
          <w:rFonts w:eastAsia="Times New Roman" w:cstheme="minorHAnsi"/>
        </w:rPr>
        <w:t>Pathways to Employment</w:t>
      </w:r>
    </w:p>
    <w:p w14:paraId="358D179D" w14:textId="7C47824C" w:rsidR="006B189A" w:rsidRDefault="006B189A" w:rsidP="00CD5F20">
      <w:pPr>
        <w:autoSpaceDE w:val="0"/>
        <w:autoSpaceDN w:val="0"/>
        <w:rPr>
          <w:rFonts w:asciiTheme="minorHAnsi" w:hAnsiTheme="minorHAnsi" w:cstheme="minorHAnsi"/>
          <w:szCs w:val="22"/>
        </w:rPr>
      </w:pPr>
      <w:r>
        <w:rPr>
          <w:rFonts w:cstheme="minorHAnsi"/>
        </w:rPr>
        <w:t xml:space="preserve">The Health Board </w:t>
      </w:r>
      <w:r w:rsidRPr="0033013E">
        <w:rPr>
          <w:rFonts w:cstheme="minorHAnsi"/>
        </w:rPr>
        <w:t>continues to work in partnership with its local authorities, Bridgend, Merthyr Tydfil and Rhondda Cynon Taf to deliver its successful Pathways to Employment scheme which supports local unemployed individuals into paid employment:</w:t>
      </w:r>
    </w:p>
    <w:p w14:paraId="00CFA001" w14:textId="77777777" w:rsidR="006B189A" w:rsidRDefault="006B189A" w:rsidP="00CD5F20">
      <w:pPr>
        <w:autoSpaceDE w:val="0"/>
        <w:autoSpaceDN w:val="0"/>
        <w:rPr>
          <w:rFonts w:asciiTheme="minorHAnsi" w:hAnsiTheme="minorHAnsi" w:cstheme="minorHAnsi"/>
          <w:szCs w:val="22"/>
        </w:rPr>
      </w:pPr>
    </w:p>
    <w:p w14:paraId="5F0F5E49" w14:textId="1CA9D7A0" w:rsidR="006B189A" w:rsidRDefault="006B189A" w:rsidP="00CD5F20">
      <w:pPr>
        <w:autoSpaceDE w:val="0"/>
        <w:autoSpaceDN w:val="0"/>
        <w:rPr>
          <w:rFonts w:asciiTheme="minorHAnsi" w:hAnsiTheme="minorHAnsi" w:cstheme="minorHAnsi"/>
          <w:szCs w:val="22"/>
        </w:rPr>
      </w:pPr>
      <w:r w:rsidRPr="0033013E">
        <w:rPr>
          <w:rFonts w:cstheme="minorHAnsi"/>
          <w:noProof/>
        </w:rPr>
        <w:drawing>
          <wp:inline distT="0" distB="0" distL="0" distR="0" wp14:anchorId="3AC1D198" wp14:editId="2C1BA36F">
            <wp:extent cx="6262679" cy="2600325"/>
            <wp:effectExtent l="0" t="0" r="508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6326377" cy="2626773"/>
                    </a:xfrm>
                    <a:prstGeom prst="rect">
                      <a:avLst/>
                    </a:prstGeom>
                  </pic:spPr>
                </pic:pic>
              </a:graphicData>
            </a:graphic>
          </wp:inline>
        </w:drawing>
      </w:r>
    </w:p>
    <w:p w14:paraId="73791049" w14:textId="07F282BA" w:rsidR="006B189A" w:rsidRDefault="006B189A" w:rsidP="006B189A">
      <w:pPr>
        <w:spacing w:before="240"/>
        <w:rPr>
          <w:rFonts w:cstheme="minorHAnsi"/>
        </w:rPr>
      </w:pPr>
      <w:r w:rsidRPr="0033013E">
        <w:rPr>
          <w:rFonts w:cstheme="minorHAnsi"/>
        </w:rPr>
        <w:t xml:space="preserve">A typical month will average 10 work experience trainees referred to the Health Board for inclusion on its Pathways to Employment programme, where they are provided with the same level of vocational training as that provided to new starters recruited to fill substantive posts as clinical Health Care Support Workers (HCSW). </w:t>
      </w:r>
      <w:r w:rsidR="005B4CF2">
        <w:rPr>
          <w:rFonts w:cstheme="minorHAnsi"/>
        </w:rPr>
        <w:t xml:space="preserve"> </w:t>
      </w:r>
      <w:r w:rsidRPr="0033013E">
        <w:rPr>
          <w:rFonts w:cstheme="minorHAnsi"/>
        </w:rPr>
        <w:t xml:space="preserve">Over the past year 99 members of the local community have progressed through this route and successfully gained paid bank shifts with the </w:t>
      </w:r>
      <w:r>
        <w:rPr>
          <w:rFonts w:cstheme="minorHAnsi"/>
        </w:rPr>
        <w:t xml:space="preserve">Health Board </w:t>
      </w:r>
      <w:r w:rsidRPr="0033013E">
        <w:rPr>
          <w:rFonts w:cstheme="minorHAnsi"/>
        </w:rPr>
        <w:t>and many have progressed further into full employment.</w:t>
      </w:r>
    </w:p>
    <w:p w14:paraId="7927C418" w14:textId="77777777" w:rsidR="006B189A" w:rsidRPr="0033013E" w:rsidRDefault="006B189A" w:rsidP="006B189A">
      <w:pPr>
        <w:spacing w:before="240"/>
        <w:rPr>
          <w:rFonts w:cstheme="minorHAnsi"/>
        </w:rPr>
      </w:pPr>
    </w:p>
    <w:p w14:paraId="6BA10E2D" w14:textId="44C66E1C" w:rsidR="006B189A" w:rsidRDefault="006B189A" w:rsidP="006B189A">
      <w:pPr>
        <w:autoSpaceDE w:val="0"/>
        <w:autoSpaceDN w:val="0"/>
        <w:rPr>
          <w:rFonts w:asciiTheme="minorHAnsi" w:hAnsiTheme="minorHAnsi" w:cstheme="minorHAnsi"/>
          <w:szCs w:val="22"/>
        </w:rPr>
      </w:pPr>
      <w:r w:rsidRPr="0033013E">
        <w:rPr>
          <w:rFonts w:cstheme="minorHAnsi"/>
        </w:rPr>
        <w:t xml:space="preserve">The </w:t>
      </w:r>
      <w:r w:rsidR="00071680">
        <w:rPr>
          <w:rFonts w:cstheme="minorHAnsi"/>
        </w:rPr>
        <w:t>Health Board</w:t>
      </w:r>
      <w:r w:rsidRPr="0033013E">
        <w:rPr>
          <w:rFonts w:cstheme="minorHAnsi"/>
        </w:rPr>
        <w:t xml:space="preserve"> also continues to work with several external organisations, providing ad-hoc bespoke work experience placements designed to meet the ne</w:t>
      </w:r>
      <w:r w:rsidR="005B4CF2">
        <w:rPr>
          <w:rFonts w:cstheme="minorHAnsi"/>
        </w:rPr>
        <w:t>eds of the individual including</w:t>
      </w:r>
      <w:r w:rsidRPr="0033013E">
        <w:rPr>
          <w:rFonts w:cstheme="minorHAnsi"/>
        </w:rPr>
        <w:t xml:space="preserve"> Remploy, supporting adults into paid employment and Llamau, supporting looked after young adults and a variety of local training providers such as People Plus, Tydfil Training, ITEC, Communities 1</w:t>
      </w:r>
      <w:r w:rsidRPr="0033013E">
        <w:rPr>
          <w:rFonts w:cstheme="minorHAnsi"/>
          <w:vertAlign w:val="superscript"/>
        </w:rPr>
        <w:t>st</w:t>
      </w:r>
      <w:r w:rsidRPr="0033013E">
        <w:rPr>
          <w:rFonts w:cstheme="minorHAnsi"/>
        </w:rPr>
        <w:t xml:space="preserve"> &amp; Communities4work.</w:t>
      </w:r>
    </w:p>
    <w:p w14:paraId="383A0228" w14:textId="77777777" w:rsidR="006B189A" w:rsidRDefault="006B189A" w:rsidP="00CD5F20">
      <w:pPr>
        <w:autoSpaceDE w:val="0"/>
        <w:autoSpaceDN w:val="0"/>
        <w:rPr>
          <w:rFonts w:asciiTheme="minorHAnsi" w:hAnsiTheme="minorHAnsi" w:cstheme="minorHAnsi"/>
          <w:szCs w:val="22"/>
        </w:rPr>
      </w:pPr>
    </w:p>
    <w:p w14:paraId="084C5F91" w14:textId="4C5D38E0" w:rsidR="00317070" w:rsidRDefault="00CD5F20" w:rsidP="00317070">
      <w:pPr>
        <w:autoSpaceDE w:val="0"/>
        <w:autoSpaceDN w:val="0"/>
        <w:rPr>
          <w:rFonts w:asciiTheme="minorHAnsi" w:hAnsiTheme="minorHAnsi" w:cstheme="minorHAnsi"/>
          <w:szCs w:val="22"/>
        </w:rPr>
      </w:pPr>
      <w:r w:rsidRPr="005E5CB8">
        <w:rPr>
          <w:rFonts w:asciiTheme="minorHAnsi" w:hAnsiTheme="minorHAnsi" w:cstheme="minorHAnsi"/>
          <w:noProof/>
          <w:szCs w:val="22"/>
          <w:highlight w:val="yellow"/>
        </w:rPr>
        <w:lastRenderedPageBreak/>
        <mc:AlternateContent>
          <mc:Choice Requires="wps">
            <w:drawing>
              <wp:anchor distT="0" distB="0" distL="114300" distR="114300" simplePos="0" relativeHeight="252857344" behindDoc="0" locked="0" layoutInCell="1" allowOverlap="1" wp14:anchorId="6EC2CBAF" wp14:editId="3F46D157">
                <wp:simplePos x="0" y="0"/>
                <wp:positionH relativeFrom="column">
                  <wp:posOffset>1502410</wp:posOffset>
                </wp:positionH>
                <wp:positionV relativeFrom="paragraph">
                  <wp:posOffset>153035</wp:posOffset>
                </wp:positionV>
                <wp:extent cx="4127500" cy="749300"/>
                <wp:effectExtent l="0" t="0" r="25400" b="12700"/>
                <wp:wrapNone/>
                <wp:docPr id="21" name="Text Box 21"/>
                <wp:cNvGraphicFramePr/>
                <a:graphic xmlns:a="http://schemas.openxmlformats.org/drawingml/2006/main">
                  <a:graphicData uri="http://schemas.microsoft.com/office/word/2010/wordprocessingShape">
                    <wps:wsp>
                      <wps:cNvSpPr txBox="1"/>
                      <wps:spPr>
                        <a:xfrm>
                          <a:off x="0" y="0"/>
                          <a:ext cx="4127500" cy="749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2956046" w14:textId="77777777" w:rsidR="00883972" w:rsidRPr="00C11C6D" w:rsidRDefault="00883972" w:rsidP="006B189A">
                            <w:pPr>
                              <w:rPr>
                                <w:i/>
                              </w:rPr>
                            </w:pPr>
                            <w:r w:rsidRPr="00C11C6D">
                              <w:rPr>
                                <w:i/>
                              </w:rPr>
                              <w:t xml:space="preserve">We will have stable </w:t>
                            </w:r>
                            <w:r w:rsidRPr="00C11C6D">
                              <w:rPr>
                                <w:rFonts w:cs="Arial"/>
                                <w:i/>
                                <w:lang w:val="en-US"/>
                              </w:rPr>
                              <w:t>turnover, lower levels of sickness absence, a cost reduction in agency usage, improved KPIs (e-rostering, hire to retire), timely production of rosters, improved productivity and attracting the right skills in a cost effectively and timely manner</w:t>
                            </w:r>
                          </w:p>
                          <w:p w14:paraId="638466A4" w14:textId="6A6E3FE0" w:rsidR="00883972" w:rsidRPr="00317070" w:rsidRDefault="00883972" w:rsidP="00317070">
                            <w:pPr>
                              <w:rPr>
                                <w:color w:val="943634" w:themeColor="accent2" w:themeShade="BF"/>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C2CBAF" id="Text Box 21" o:spid="_x0000_s1032" type="#_x0000_t202" style="position:absolute;left:0;text-align:left;margin-left:118.3pt;margin-top:12.05pt;width:325pt;height:59pt;z-index:25285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" fillcolor="white [3201]" strokeweight=".5pt">
                <v:textbox>
                  <w:txbxContent>
                    <w:p w14:paraId="22956046" w14:textId="77777777" w:rsidR="00883972" w:rsidRPr="00C11C6D" w:rsidRDefault="00883972" w:rsidP="006B189A">
                      <w:pPr>
                        <w:rPr>
                          <w:i/>
                        </w:rPr>
                      </w:pPr>
                      <w:r w:rsidRPr="00C11C6D">
                        <w:rPr>
                          <w:i/>
                        </w:rPr>
                        <w:t xml:space="preserve">We will have stable </w:t>
                      </w:r>
                      <w:r w:rsidRPr="00C11C6D">
                        <w:rPr>
                          <w:rFonts w:cs="Arial"/>
                          <w:i/>
                          <w:lang w:val="en-US"/>
                        </w:rPr>
                        <w:t>turnover, lower levels of sickness absence, a cost reduction in agency usage, improved KPIs (e-rostering, hire to retire), timely production of rosters, improved productivity and attracting the right skills in a cost effectively and timely manner</w:t>
                      </w:r>
                    </w:p>
                    <w:p w14:paraId="638466A4" w14:textId="6A6E3FE0" w:rsidR="00883972" w:rsidRPr="00317070" w:rsidRDefault="00883972" w:rsidP="00317070">
                      <w:pPr>
                        <w:rPr>
                          <w:color w:val="943634" w:themeColor="accent2" w:themeShade="BF"/>
                        </w:rPr>
                      </w:pPr>
                    </w:p>
                  </w:txbxContent>
                </v:textbox>
              </v:shape>
            </w:pict>
          </mc:Fallback>
        </mc:AlternateContent>
      </w:r>
      <w:r w:rsidR="00317070" w:rsidRPr="005E5CB8">
        <w:rPr>
          <w:rFonts w:asciiTheme="minorHAnsi" w:hAnsiTheme="minorHAnsi" w:cstheme="minorHAnsi"/>
          <w:noProof/>
          <w:szCs w:val="22"/>
        </w:rPr>
        <w:drawing>
          <wp:inline distT="0" distB="0" distL="0" distR="0" wp14:anchorId="01EDF2E1" wp14:editId="06863A53">
            <wp:extent cx="5756910" cy="881743"/>
            <wp:effectExtent l="95250" t="57150" r="91440" b="109220"/>
            <wp:docPr id="51" name="Diagram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4" r:lo="rId95" r:qs="rId96" r:cs="rId97"/>
              </a:graphicData>
            </a:graphic>
          </wp:inline>
        </w:drawing>
      </w:r>
    </w:p>
    <w:p w14:paraId="74FAF7F8" w14:textId="51EE3EA4" w:rsidR="00317070" w:rsidRPr="005E5CB8" w:rsidRDefault="00317070" w:rsidP="00536402">
      <w:pPr>
        <w:pStyle w:val="Heading2"/>
      </w:pPr>
      <w:bookmarkStart w:id="160" w:name="_Toc29573955"/>
      <w:r w:rsidRPr="005E5CB8">
        <w:t>Development and Transformation</w:t>
      </w:r>
      <w:bookmarkEnd w:id="160"/>
      <w:r w:rsidRPr="005E5CB8">
        <w:t xml:space="preserve"> </w:t>
      </w:r>
    </w:p>
    <w:p w14:paraId="24BBE2BE" w14:textId="069C1AB3" w:rsidR="00317070" w:rsidRPr="00317070" w:rsidRDefault="00CD5F20" w:rsidP="00CD5F20">
      <w:pPr>
        <w:pStyle w:val="ListParagraph"/>
        <w:autoSpaceDE w:val="0"/>
        <w:autoSpaceDN w:val="0"/>
        <w:ind w:left="840"/>
        <w:rPr>
          <w:color w:val="943634" w:themeColor="accent2" w:themeShade="BF"/>
          <w:szCs w:val="22"/>
        </w:rPr>
      </w:pPr>
      <w:r w:rsidRPr="005E5CB8">
        <w:rPr>
          <w:rFonts w:asciiTheme="minorHAnsi" w:hAnsiTheme="minorHAnsi" w:cstheme="minorHAnsi"/>
          <w:b/>
          <w:noProof/>
          <w:szCs w:val="22"/>
        </w:rPr>
        <w:drawing>
          <wp:anchor distT="0" distB="0" distL="114300" distR="114300" simplePos="0" relativeHeight="252858368" behindDoc="0" locked="0" layoutInCell="1" allowOverlap="1" wp14:anchorId="1AB02369" wp14:editId="044D7792">
            <wp:simplePos x="0" y="0"/>
            <wp:positionH relativeFrom="margin">
              <wp:align>left</wp:align>
            </wp:positionH>
            <wp:positionV relativeFrom="paragraph">
              <wp:posOffset>6350</wp:posOffset>
            </wp:positionV>
            <wp:extent cx="1014730" cy="717550"/>
            <wp:effectExtent l="0" t="0" r="0" b="635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1014730" cy="717550"/>
                    </a:xfrm>
                    <a:prstGeom prst="rect">
                      <a:avLst/>
                    </a:prstGeom>
                  </pic:spPr>
                </pic:pic>
              </a:graphicData>
            </a:graphic>
            <wp14:sizeRelH relativeFrom="margin">
              <wp14:pctWidth>0</wp14:pctWidth>
            </wp14:sizeRelH>
            <wp14:sizeRelV relativeFrom="margin">
              <wp14:pctHeight>0</wp14:pctHeight>
            </wp14:sizeRelV>
          </wp:anchor>
        </w:drawing>
      </w:r>
      <w:r w:rsidR="00536402" w:rsidRPr="005E5CB8">
        <w:rPr>
          <w:rFonts w:asciiTheme="minorHAnsi" w:hAnsiTheme="minorHAnsi" w:cstheme="minorHAnsi"/>
          <w:szCs w:val="22"/>
        </w:rPr>
        <w:t xml:space="preserve">A Healthier Wales: “A key feature of any positive employment offer is the opportunity to learn and to develop and here new, community based models of care provide a real opportunity to re-evaluate education and training and to develop more flexible career pathways. </w:t>
      </w:r>
      <w:r w:rsidR="005B4CF2">
        <w:rPr>
          <w:rFonts w:asciiTheme="minorHAnsi" w:hAnsiTheme="minorHAnsi" w:cstheme="minorHAnsi"/>
          <w:szCs w:val="22"/>
        </w:rPr>
        <w:t xml:space="preserve"> </w:t>
      </w:r>
      <w:r w:rsidR="00536402" w:rsidRPr="005E5CB8">
        <w:rPr>
          <w:rFonts w:asciiTheme="minorHAnsi" w:hAnsiTheme="minorHAnsi" w:cstheme="minorHAnsi"/>
          <w:szCs w:val="22"/>
        </w:rPr>
        <w:t>Specific.  Education and training needs will differ for each staff group and profession”</w:t>
      </w:r>
    </w:p>
    <w:p w14:paraId="2F19BF6E" w14:textId="44B98063" w:rsidR="00D852F5" w:rsidRPr="00800207" w:rsidRDefault="00D852F5" w:rsidP="00536402">
      <w:pPr>
        <w:pStyle w:val="Heading3"/>
      </w:pPr>
      <w:r w:rsidRPr="00800207">
        <w:t xml:space="preserve">Skills development </w:t>
      </w:r>
    </w:p>
    <w:p w14:paraId="4B5C8FCA" w14:textId="5986FD3F" w:rsidR="00D852F5" w:rsidRPr="006B189A" w:rsidRDefault="006B189A" w:rsidP="006B189A">
      <w:pPr>
        <w:spacing w:after="160" w:line="259" w:lineRule="auto"/>
        <w:rPr>
          <w:szCs w:val="22"/>
        </w:rPr>
      </w:pPr>
      <w:r w:rsidRPr="006B189A">
        <w:rPr>
          <w:rFonts w:cstheme="minorHAnsi"/>
        </w:rPr>
        <w:t xml:space="preserve">Learning and development approach which supports the overall organisation development direction of building a distributed leadership model, empowering staff with increased autonomy to improve services. </w:t>
      </w:r>
      <w:r w:rsidR="005B4CF2">
        <w:rPr>
          <w:rFonts w:cstheme="minorHAnsi"/>
        </w:rPr>
        <w:t xml:space="preserve"> </w:t>
      </w:r>
      <w:r w:rsidRPr="006B189A">
        <w:rPr>
          <w:rFonts w:cstheme="minorHAnsi"/>
        </w:rPr>
        <w:t>Enhancing team performance through the development of staff skills to improve quality and safety at all levels.  Ensuring maximum return on investment for what the Health Board invests in skills development.  Prioritisation of those skills that have greatest impact on delivery of clinical service strategy and quality improvement.</w:t>
      </w:r>
      <w:r w:rsidR="00AC4040">
        <w:rPr>
          <w:rFonts w:cstheme="minorHAnsi"/>
        </w:rPr>
        <w:t xml:space="preserve">  Ensuring our approach is closely aligned to ‘A Healthier Wales: Our Workforce Strategy for Health and Social Care’.</w:t>
      </w:r>
    </w:p>
    <w:p w14:paraId="39050A48" w14:textId="1D9BA2A7" w:rsidR="00D852F5" w:rsidRPr="00536402" w:rsidRDefault="00536402" w:rsidP="008876B7">
      <w:pPr>
        <w:pStyle w:val="Heading4"/>
      </w:pPr>
      <w:r w:rsidRPr="00536402">
        <w:t>C</w:t>
      </w:r>
      <w:r w:rsidR="00D852F5" w:rsidRPr="00536402">
        <w:t>linical Education - Strategic Professional Education</w:t>
      </w:r>
    </w:p>
    <w:p w14:paraId="377171DF" w14:textId="76D62F69" w:rsidR="00536402" w:rsidRDefault="006B189A" w:rsidP="00536402">
      <w:pPr>
        <w:rPr>
          <w:rFonts w:asciiTheme="minorHAnsi" w:hAnsiTheme="minorHAnsi" w:cstheme="minorHAnsi"/>
          <w:szCs w:val="22"/>
        </w:rPr>
      </w:pPr>
      <w:r w:rsidRPr="0033013E">
        <w:rPr>
          <w:rFonts w:cstheme="minorHAnsi"/>
        </w:rPr>
        <w:t>The focus for Clinical Education over 2020-23 is to establish robust education governance systems and standards through which we will manage and control our educational activity</w:t>
      </w:r>
      <w:r>
        <w:rPr>
          <w:rFonts w:cstheme="minorHAnsi"/>
        </w:rPr>
        <w:t>.  P</w:t>
      </w:r>
      <w:r w:rsidRPr="0033013E">
        <w:rPr>
          <w:rFonts w:cstheme="minorHAnsi"/>
        </w:rPr>
        <w:t>roviding clarity and routes of escalation through to board, demonstrating accountability for continuous improvement of quality and performance and ensuring all our healthcare professional staff are fit for practice and fit for purpose</w:t>
      </w:r>
      <w:r w:rsidR="00536402" w:rsidRPr="005E5CB8">
        <w:rPr>
          <w:rFonts w:asciiTheme="minorHAnsi" w:hAnsiTheme="minorHAnsi" w:cstheme="minorHAnsi"/>
          <w:szCs w:val="22"/>
        </w:rPr>
        <w:t>.</w:t>
      </w:r>
    </w:p>
    <w:p w14:paraId="6FF9A62E" w14:textId="77777777" w:rsidR="006B189A" w:rsidRPr="005E5CB8" w:rsidRDefault="006B189A" w:rsidP="00536402">
      <w:pPr>
        <w:rPr>
          <w:rFonts w:asciiTheme="minorHAnsi" w:hAnsiTheme="minorHAnsi" w:cstheme="minorHAnsi"/>
          <w:szCs w:val="22"/>
        </w:rPr>
      </w:pPr>
    </w:p>
    <w:p w14:paraId="162A5154" w14:textId="4E4F7FC3" w:rsidR="00536402" w:rsidRDefault="005B4CF2" w:rsidP="00536402">
      <w:pPr>
        <w:rPr>
          <w:rFonts w:asciiTheme="minorHAnsi" w:hAnsiTheme="minorHAnsi" w:cstheme="minorHAnsi"/>
          <w:szCs w:val="22"/>
        </w:rPr>
      </w:pPr>
      <w:r>
        <w:rPr>
          <w:rFonts w:cstheme="minorHAnsi"/>
        </w:rPr>
        <w:t>CTM</w:t>
      </w:r>
      <w:r w:rsidR="006B189A" w:rsidRPr="0033013E">
        <w:rPr>
          <w:rFonts w:cstheme="minorHAnsi"/>
        </w:rPr>
        <w:t xml:space="preserve"> has a multi-professional clinical education function bringing together undergraduate and post-graduate education and training for </w:t>
      </w:r>
      <w:r w:rsidR="006B189A">
        <w:rPr>
          <w:rFonts w:cstheme="minorHAnsi"/>
        </w:rPr>
        <w:t>Medical, N</w:t>
      </w:r>
      <w:r w:rsidR="006B189A" w:rsidRPr="0033013E">
        <w:rPr>
          <w:rFonts w:cstheme="minorHAnsi"/>
        </w:rPr>
        <w:t xml:space="preserve">ursing &amp; </w:t>
      </w:r>
      <w:r w:rsidR="006B189A">
        <w:rPr>
          <w:rFonts w:cstheme="minorHAnsi"/>
        </w:rPr>
        <w:t>M</w:t>
      </w:r>
      <w:r w:rsidR="006B189A" w:rsidRPr="0033013E">
        <w:rPr>
          <w:rFonts w:cstheme="minorHAnsi"/>
        </w:rPr>
        <w:t xml:space="preserve">idwifery, </w:t>
      </w:r>
      <w:r w:rsidR="006B189A">
        <w:rPr>
          <w:rFonts w:cstheme="minorHAnsi"/>
        </w:rPr>
        <w:t>A</w:t>
      </w:r>
      <w:r w:rsidR="006B189A" w:rsidRPr="0033013E">
        <w:rPr>
          <w:rFonts w:cstheme="minorHAnsi"/>
        </w:rPr>
        <w:t xml:space="preserve">llied </w:t>
      </w:r>
      <w:r w:rsidR="006B189A">
        <w:rPr>
          <w:rFonts w:cstheme="minorHAnsi"/>
        </w:rPr>
        <w:t>H</w:t>
      </w:r>
      <w:r w:rsidR="006B189A" w:rsidRPr="0033013E">
        <w:rPr>
          <w:rFonts w:cstheme="minorHAnsi"/>
        </w:rPr>
        <w:t xml:space="preserve">ealthcare </w:t>
      </w:r>
      <w:r w:rsidR="006B189A">
        <w:rPr>
          <w:rFonts w:cstheme="minorHAnsi"/>
        </w:rPr>
        <w:t>Professions, Pharmacy and Health Care S</w:t>
      </w:r>
      <w:r w:rsidR="006B189A" w:rsidRPr="0033013E">
        <w:rPr>
          <w:rFonts w:cstheme="minorHAnsi"/>
        </w:rPr>
        <w:t>cientists</w:t>
      </w:r>
      <w:r w:rsidR="00536402" w:rsidRPr="005E5CB8">
        <w:rPr>
          <w:rFonts w:asciiTheme="minorHAnsi" w:hAnsiTheme="minorHAnsi" w:cstheme="minorHAnsi"/>
          <w:szCs w:val="22"/>
        </w:rPr>
        <w:t>.</w:t>
      </w:r>
    </w:p>
    <w:p w14:paraId="57693862" w14:textId="77777777" w:rsidR="006B189A" w:rsidRPr="005B4CF2" w:rsidRDefault="006B189A" w:rsidP="00536402">
      <w:pPr>
        <w:rPr>
          <w:rFonts w:asciiTheme="minorHAnsi" w:hAnsiTheme="minorHAnsi" w:cstheme="minorHAnsi"/>
          <w:szCs w:val="22"/>
        </w:rPr>
      </w:pPr>
    </w:p>
    <w:p w14:paraId="4B35DDCE" w14:textId="5AE531DB" w:rsidR="00536402" w:rsidRPr="005E5CB8" w:rsidRDefault="006B189A" w:rsidP="00536402">
      <w:pPr>
        <w:rPr>
          <w:rFonts w:asciiTheme="minorHAnsi" w:hAnsiTheme="minorHAnsi" w:cstheme="minorHAnsi"/>
          <w:szCs w:val="22"/>
        </w:rPr>
      </w:pPr>
      <w:r w:rsidRPr="0033013E">
        <w:rPr>
          <w:rFonts w:cstheme="minorHAnsi"/>
        </w:rPr>
        <w:t>An Education Governance Board with a named Executive lead for multi-professional education</w:t>
      </w:r>
      <w:r>
        <w:rPr>
          <w:rFonts w:cstheme="minorHAnsi"/>
        </w:rPr>
        <w:t xml:space="preserve"> is being developed</w:t>
      </w:r>
      <w:r w:rsidRPr="0033013E">
        <w:rPr>
          <w:rFonts w:cstheme="minorHAnsi"/>
        </w:rPr>
        <w:t>.</w:t>
      </w:r>
      <w:r w:rsidR="005B4CF2">
        <w:rPr>
          <w:rFonts w:cstheme="minorHAnsi"/>
        </w:rPr>
        <w:t xml:space="preserve"> </w:t>
      </w:r>
      <w:r w:rsidRPr="0033013E">
        <w:rPr>
          <w:rFonts w:cstheme="minorHAnsi"/>
        </w:rPr>
        <w:t xml:space="preserve"> This board will be supported by </w:t>
      </w:r>
      <w:r>
        <w:rPr>
          <w:rFonts w:cstheme="minorHAnsi"/>
        </w:rPr>
        <w:t>undergraduate/</w:t>
      </w:r>
      <w:r w:rsidRPr="0033013E">
        <w:rPr>
          <w:rFonts w:cstheme="minorHAnsi"/>
        </w:rPr>
        <w:t>pre</w:t>
      </w:r>
      <w:r>
        <w:rPr>
          <w:rFonts w:cstheme="minorHAnsi"/>
        </w:rPr>
        <w:t>-registration and postgraduate/</w:t>
      </w:r>
      <w:r w:rsidRPr="0033013E">
        <w:rPr>
          <w:rFonts w:cstheme="minorHAnsi"/>
        </w:rPr>
        <w:t>post-registration &amp; advanced practice education committees</w:t>
      </w:r>
      <w:r>
        <w:rPr>
          <w:rFonts w:cstheme="minorHAnsi"/>
        </w:rPr>
        <w:t>,</w:t>
      </w:r>
      <w:r w:rsidRPr="0033013E">
        <w:rPr>
          <w:rFonts w:cstheme="minorHAnsi"/>
        </w:rPr>
        <w:t xml:space="preserve"> undertaking a quality assurance and risk management approach</w:t>
      </w:r>
      <w:r w:rsidR="00536402" w:rsidRPr="005E5CB8">
        <w:rPr>
          <w:rFonts w:asciiTheme="minorHAnsi" w:hAnsiTheme="minorHAnsi" w:cstheme="minorHAnsi"/>
          <w:szCs w:val="22"/>
        </w:rPr>
        <w:t>.</w:t>
      </w:r>
      <w:r>
        <w:rPr>
          <w:rFonts w:asciiTheme="minorHAnsi" w:hAnsiTheme="minorHAnsi" w:cstheme="minorHAnsi"/>
          <w:szCs w:val="22"/>
        </w:rPr>
        <w:t xml:space="preserve">  </w:t>
      </w:r>
      <w:r w:rsidR="00536402" w:rsidRPr="005E5CB8">
        <w:rPr>
          <w:rFonts w:asciiTheme="minorHAnsi" w:hAnsiTheme="minorHAnsi" w:cstheme="minorHAnsi"/>
          <w:szCs w:val="22"/>
        </w:rPr>
        <w:t>Organisational education and training activity for all</w:t>
      </w:r>
      <w:r>
        <w:rPr>
          <w:rFonts w:asciiTheme="minorHAnsi" w:hAnsiTheme="minorHAnsi" w:cstheme="minorHAnsi"/>
          <w:szCs w:val="22"/>
        </w:rPr>
        <w:t xml:space="preserve"> healthcare professions will be:</w:t>
      </w:r>
    </w:p>
    <w:p w14:paraId="6C8AF396" w14:textId="7C000F96" w:rsidR="00536402" w:rsidRPr="005E5CB8" w:rsidRDefault="00536402" w:rsidP="00536402">
      <w:pPr>
        <w:pStyle w:val="NormaBullet"/>
      </w:pPr>
      <w:r w:rsidRPr="005E5CB8">
        <w:t xml:space="preserve">Mapped to gain clarity on current organisational delivery </w:t>
      </w:r>
      <w:r w:rsidR="006A0E07">
        <w:t>D&amp;C</w:t>
      </w:r>
      <w:r w:rsidR="006B189A">
        <w:t>;</w:t>
      </w:r>
    </w:p>
    <w:p w14:paraId="29AFB3D6" w14:textId="0724BB31" w:rsidR="00536402" w:rsidRPr="005E5CB8" w:rsidRDefault="00536402" w:rsidP="00536402">
      <w:pPr>
        <w:pStyle w:val="NormaBullet"/>
      </w:pPr>
      <w:r w:rsidRPr="005E5CB8">
        <w:t>Evaluated for quality and compliance with regulatory requirements</w:t>
      </w:r>
      <w:r w:rsidR="006B189A">
        <w:t>;</w:t>
      </w:r>
    </w:p>
    <w:p w14:paraId="5492D369" w14:textId="2A3D8396" w:rsidR="00536402" w:rsidRPr="005E5CB8" w:rsidRDefault="00536402" w:rsidP="00536402">
      <w:pPr>
        <w:pStyle w:val="NormaBullet"/>
      </w:pPr>
      <w:r w:rsidRPr="005E5CB8">
        <w:t>Eva</w:t>
      </w:r>
      <w:r w:rsidR="006B189A">
        <w:t>luated for return on investment; and</w:t>
      </w:r>
    </w:p>
    <w:p w14:paraId="1FC5459A" w14:textId="77777777" w:rsidR="00536402" w:rsidRPr="005E5CB8" w:rsidRDefault="00536402" w:rsidP="00536402">
      <w:pPr>
        <w:pStyle w:val="NormaBullet"/>
      </w:pPr>
      <w:r w:rsidRPr="005E5CB8">
        <w:t>Aligned with service development priorities and training needs analysis.</w:t>
      </w:r>
    </w:p>
    <w:p w14:paraId="6E0BF258" w14:textId="77777777" w:rsidR="00536402" w:rsidRPr="005E5CB8" w:rsidRDefault="00536402" w:rsidP="00536402">
      <w:pPr>
        <w:rPr>
          <w:rFonts w:asciiTheme="minorHAnsi" w:hAnsiTheme="minorHAnsi" w:cstheme="minorHAnsi"/>
          <w:szCs w:val="22"/>
        </w:rPr>
      </w:pPr>
    </w:p>
    <w:p w14:paraId="5B5D0C28" w14:textId="67381011" w:rsidR="00536402" w:rsidRDefault="00536402" w:rsidP="00536402">
      <w:pPr>
        <w:rPr>
          <w:rFonts w:asciiTheme="minorHAnsi" w:hAnsiTheme="minorHAnsi" w:cstheme="minorHAnsi"/>
          <w:szCs w:val="22"/>
        </w:rPr>
      </w:pPr>
      <w:r w:rsidRPr="005E5CB8">
        <w:rPr>
          <w:rFonts w:asciiTheme="minorHAnsi" w:hAnsiTheme="minorHAnsi" w:cstheme="minorHAnsi"/>
          <w:szCs w:val="22"/>
        </w:rPr>
        <w:t>We will ensure that education offer</w:t>
      </w:r>
      <w:r w:rsidR="005B4CF2">
        <w:rPr>
          <w:rFonts w:asciiTheme="minorHAnsi" w:hAnsiTheme="minorHAnsi" w:cstheme="minorHAnsi"/>
          <w:szCs w:val="22"/>
        </w:rPr>
        <w:t>ed</w:t>
      </w:r>
      <w:r w:rsidRPr="005E5CB8">
        <w:rPr>
          <w:rFonts w:asciiTheme="minorHAnsi" w:hAnsiTheme="minorHAnsi" w:cstheme="minorHAnsi"/>
          <w:szCs w:val="22"/>
        </w:rPr>
        <w:t xml:space="preserve"> to our current staff is optimised to support and underpin retention, explore ways to increase our capacity to support undergraduate clinical placements and increase multi-professional learning and development at all levels.</w:t>
      </w:r>
    </w:p>
    <w:p w14:paraId="14EDE258" w14:textId="77777777" w:rsidR="006B189A" w:rsidRPr="005E5CB8" w:rsidRDefault="006B189A" w:rsidP="00536402">
      <w:pPr>
        <w:rPr>
          <w:rFonts w:asciiTheme="minorHAnsi" w:hAnsiTheme="minorHAnsi" w:cstheme="minorHAnsi"/>
          <w:szCs w:val="22"/>
        </w:rPr>
      </w:pPr>
    </w:p>
    <w:p w14:paraId="23A53BDE" w14:textId="14DF1ADD" w:rsidR="00536402" w:rsidRDefault="00536402" w:rsidP="00536402">
      <w:pPr>
        <w:rPr>
          <w:rFonts w:asciiTheme="minorHAnsi" w:hAnsiTheme="minorHAnsi" w:cstheme="minorHAnsi"/>
          <w:szCs w:val="22"/>
        </w:rPr>
      </w:pPr>
      <w:r w:rsidRPr="005E5CB8">
        <w:rPr>
          <w:rFonts w:asciiTheme="minorHAnsi" w:hAnsiTheme="minorHAnsi" w:cstheme="minorHAnsi"/>
          <w:szCs w:val="22"/>
        </w:rPr>
        <w:t xml:space="preserve">The </w:t>
      </w:r>
      <w:r w:rsidR="00071680">
        <w:rPr>
          <w:rFonts w:asciiTheme="minorHAnsi" w:hAnsiTheme="minorHAnsi" w:cstheme="minorHAnsi"/>
          <w:szCs w:val="22"/>
        </w:rPr>
        <w:t>Health Board</w:t>
      </w:r>
      <w:r w:rsidRPr="005E5CB8">
        <w:rPr>
          <w:rFonts w:asciiTheme="minorHAnsi" w:hAnsiTheme="minorHAnsi" w:cstheme="minorHAnsi"/>
          <w:szCs w:val="22"/>
        </w:rPr>
        <w:t xml:space="preserve"> has introduced a 6 week development programme for new Consultant and experienced SAS doctors.</w:t>
      </w:r>
      <w:r w:rsidR="005B4CF2">
        <w:rPr>
          <w:rFonts w:asciiTheme="minorHAnsi" w:hAnsiTheme="minorHAnsi" w:cstheme="minorHAnsi"/>
          <w:szCs w:val="22"/>
        </w:rPr>
        <w:t xml:space="preserve"> </w:t>
      </w:r>
      <w:r w:rsidRPr="005E5CB8">
        <w:rPr>
          <w:rFonts w:asciiTheme="minorHAnsi" w:hAnsiTheme="minorHAnsi" w:cstheme="minorHAnsi"/>
          <w:szCs w:val="22"/>
        </w:rPr>
        <w:t xml:space="preserve"> This programme has been co-developed and contains</w:t>
      </w:r>
      <w:r w:rsidR="005B4CF2">
        <w:rPr>
          <w:rFonts w:asciiTheme="minorHAnsi" w:hAnsiTheme="minorHAnsi" w:cstheme="minorHAnsi"/>
          <w:szCs w:val="22"/>
        </w:rPr>
        <w:t>,</w:t>
      </w:r>
      <w:r w:rsidRPr="005E5CB8">
        <w:rPr>
          <w:rFonts w:asciiTheme="minorHAnsi" w:hAnsiTheme="minorHAnsi" w:cstheme="minorHAnsi"/>
          <w:szCs w:val="22"/>
        </w:rPr>
        <w:t xml:space="preserve"> for example</w:t>
      </w:r>
      <w:r w:rsidR="005B4CF2">
        <w:rPr>
          <w:rFonts w:asciiTheme="minorHAnsi" w:hAnsiTheme="minorHAnsi" w:cstheme="minorHAnsi"/>
          <w:szCs w:val="22"/>
        </w:rPr>
        <w:t>,</w:t>
      </w:r>
      <w:r w:rsidRPr="005E5CB8">
        <w:rPr>
          <w:rFonts w:asciiTheme="minorHAnsi" w:hAnsiTheme="minorHAnsi" w:cstheme="minorHAnsi"/>
          <w:szCs w:val="22"/>
        </w:rPr>
        <w:t xml:space="preserve"> quality governance, concerns/complaints and </w:t>
      </w:r>
      <w:r w:rsidRPr="00E334A5">
        <w:rPr>
          <w:rFonts w:asciiTheme="minorHAnsi" w:hAnsiTheme="minorHAnsi" w:cstheme="minorHAnsi"/>
          <w:szCs w:val="22"/>
        </w:rPr>
        <w:t xml:space="preserve">values based health care.  </w:t>
      </w:r>
      <w:r w:rsidRPr="004968E7">
        <w:rPr>
          <w:rFonts w:asciiTheme="minorHAnsi" w:hAnsiTheme="minorHAnsi" w:cstheme="minorHAnsi"/>
          <w:szCs w:val="22"/>
        </w:rPr>
        <w:t>The 1</w:t>
      </w:r>
      <w:r w:rsidRPr="004968E7">
        <w:rPr>
          <w:rFonts w:asciiTheme="minorHAnsi" w:hAnsiTheme="minorHAnsi" w:cstheme="minorHAnsi"/>
          <w:szCs w:val="22"/>
          <w:vertAlign w:val="superscript"/>
        </w:rPr>
        <w:t>st</w:t>
      </w:r>
      <w:r w:rsidRPr="004968E7">
        <w:rPr>
          <w:rFonts w:asciiTheme="minorHAnsi" w:hAnsiTheme="minorHAnsi" w:cstheme="minorHAnsi"/>
          <w:szCs w:val="22"/>
        </w:rPr>
        <w:t xml:space="preserve"> cohort is nearing completion with the next due to start in November 2019.</w:t>
      </w:r>
    </w:p>
    <w:p w14:paraId="2694F071" w14:textId="78876BB8" w:rsidR="00C94A3C" w:rsidRPr="00536402" w:rsidRDefault="00C94A3C" w:rsidP="008876B7">
      <w:pPr>
        <w:pStyle w:val="Heading4"/>
      </w:pPr>
      <w:r w:rsidRPr="0033013E">
        <w:lastRenderedPageBreak/>
        <w:t>Once for Wales 2020 Nursing and Midwifery Education Realising     professionalism: Standards for Education and Training</w:t>
      </w:r>
    </w:p>
    <w:p w14:paraId="54248095" w14:textId="129FF9B9" w:rsidR="00C94A3C" w:rsidRDefault="00C94A3C" w:rsidP="008876B7">
      <w:pPr>
        <w:autoSpaceDE w:val="0"/>
        <w:autoSpaceDN w:val="0"/>
        <w:rPr>
          <w:rFonts w:cstheme="minorHAnsi"/>
        </w:rPr>
      </w:pPr>
      <w:r w:rsidRPr="0033013E">
        <w:rPr>
          <w:rFonts w:cstheme="minorHAnsi"/>
        </w:rPr>
        <w:t>The</w:t>
      </w:r>
      <w:r>
        <w:rPr>
          <w:rFonts w:cstheme="minorHAnsi"/>
        </w:rPr>
        <w:t>se standards will replace NMC ‘Standards to S</w:t>
      </w:r>
      <w:r w:rsidRPr="0033013E">
        <w:rPr>
          <w:rFonts w:cstheme="minorHAnsi"/>
        </w:rPr>
        <w:t>upport Learning &amp; Assessment in Practice’ 2</w:t>
      </w:r>
      <w:r w:rsidRPr="0033013E">
        <w:rPr>
          <w:rFonts w:cstheme="minorHAnsi"/>
          <w:vertAlign w:val="superscript"/>
        </w:rPr>
        <w:t>nd</w:t>
      </w:r>
      <w:r w:rsidRPr="0033013E">
        <w:rPr>
          <w:rFonts w:cstheme="minorHAnsi"/>
        </w:rPr>
        <w:t xml:space="preserve"> Ed 2008 (SLAiP). Since their introduction the Health Board continues to work in collaboration with all relevant stakeholders includin</w:t>
      </w:r>
      <w:r>
        <w:rPr>
          <w:rFonts w:cstheme="minorHAnsi"/>
        </w:rPr>
        <w:t>g partner Universities and HEIW.  T</w:t>
      </w:r>
      <w:r w:rsidRPr="0033013E">
        <w:rPr>
          <w:rFonts w:cstheme="minorHAnsi"/>
        </w:rPr>
        <w:t>he latter leading the All Wales Pre-Registration Nursing and Midwifery Group</w:t>
      </w:r>
      <w:r>
        <w:rPr>
          <w:rFonts w:cstheme="minorHAnsi"/>
        </w:rPr>
        <w:t>,</w:t>
      </w:r>
      <w:r w:rsidRPr="0033013E">
        <w:rPr>
          <w:rFonts w:cstheme="minorHAnsi"/>
        </w:rPr>
        <w:t xml:space="preserve"> which continues to focus on </w:t>
      </w:r>
      <w:r w:rsidR="00614BBE">
        <w:rPr>
          <w:rFonts w:cstheme="minorHAnsi"/>
        </w:rPr>
        <w:t>workstreams</w:t>
      </w:r>
      <w:r w:rsidRPr="0033013E">
        <w:rPr>
          <w:rFonts w:cstheme="minorHAnsi"/>
        </w:rPr>
        <w:t xml:space="preserve"> related to the imple</w:t>
      </w:r>
      <w:r>
        <w:rPr>
          <w:rFonts w:cstheme="minorHAnsi"/>
        </w:rPr>
        <w:t>mentation of the new standards.</w:t>
      </w:r>
    </w:p>
    <w:p w14:paraId="6D92AD66" w14:textId="77777777" w:rsidR="00C94A3C" w:rsidRPr="0033013E" w:rsidRDefault="00C94A3C" w:rsidP="008876B7">
      <w:pPr>
        <w:autoSpaceDE w:val="0"/>
        <w:autoSpaceDN w:val="0"/>
        <w:rPr>
          <w:rFonts w:cstheme="minorHAnsi"/>
        </w:rPr>
      </w:pPr>
    </w:p>
    <w:p w14:paraId="40B0AA16" w14:textId="22546B2B" w:rsidR="00C94A3C" w:rsidRDefault="00C94A3C" w:rsidP="008876B7">
      <w:pPr>
        <w:rPr>
          <w:rFonts w:cstheme="minorHAnsi"/>
        </w:rPr>
      </w:pPr>
      <w:r w:rsidRPr="0033013E">
        <w:rPr>
          <w:rFonts w:cstheme="minorHAnsi"/>
        </w:rPr>
        <w:t>Since the inception of the new standards the Nurse Education Team have continued to support and prepare our Nursing &amp; Midwifery workforce who will be supporting students in clinical practice.</w:t>
      </w:r>
      <w:r w:rsidR="005B4CF2">
        <w:rPr>
          <w:rFonts w:cstheme="minorHAnsi"/>
        </w:rPr>
        <w:t xml:space="preserve"> </w:t>
      </w:r>
      <w:r w:rsidRPr="0033013E">
        <w:rPr>
          <w:rFonts w:cstheme="minorHAnsi"/>
        </w:rPr>
        <w:t xml:space="preserve"> We currently have approximately 2000 registered staff on our ‘central’ mentor database, with the priority being to update all mentors whilst also utilising their mentorship experience to transition into the new requirements (</w:t>
      </w:r>
      <w:r>
        <w:rPr>
          <w:rFonts w:cstheme="minorHAnsi"/>
        </w:rPr>
        <w:t>recognise prior l</w:t>
      </w:r>
      <w:r w:rsidRPr="0033013E">
        <w:rPr>
          <w:rFonts w:cstheme="minorHAnsi"/>
        </w:rPr>
        <w:t xml:space="preserve">earning). </w:t>
      </w:r>
      <w:r w:rsidR="005B4CF2">
        <w:rPr>
          <w:rFonts w:cstheme="minorHAnsi"/>
        </w:rPr>
        <w:t xml:space="preserve"> </w:t>
      </w:r>
      <w:r w:rsidRPr="0033013E">
        <w:rPr>
          <w:rFonts w:cstheme="minorHAnsi"/>
        </w:rPr>
        <w:t>This is achieved through a 3 hour transition update session.</w:t>
      </w:r>
      <w:r w:rsidR="005B4CF2">
        <w:rPr>
          <w:rFonts w:cstheme="minorHAnsi"/>
        </w:rPr>
        <w:t xml:space="preserve"> </w:t>
      </w:r>
      <w:r w:rsidRPr="0033013E">
        <w:rPr>
          <w:rFonts w:cstheme="minorHAnsi"/>
        </w:rPr>
        <w:t xml:space="preserve"> We have facilitated up to nine sessions per week, across all areas of the </w:t>
      </w:r>
      <w:r w:rsidR="00071680">
        <w:rPr>
          <w:rFonts w:cstheme="minorHAnsi"/>
        </w:rPr>
        <w:t>Health Board</w:t>
      </w:r>
      <w:r w:rsidRPr="0033013E">
        <w:rPr>
          <w:rFonts w:cstheme="minorHAnsi"/>
        </w:rPr>
        <w:t xml:space="preserve">, including attending community sites, etc to relieve the pressures of staff release. </w:t>
      </w:r>
      <w:r w:rsidR="005B4CF2">
        <w:rPr>
          <w:rFonts w:cstheme="minorHAnsi"/>
        </w:rPr>
        <w:t xml:space="preserve"> T</w:t>
      </w:r>
      <w:r w:rsidRPr="0033013E">
        <w:rPr>
          <w:rFonts w:cstheme="minorHAnsi"/>
        </w:rPr>
        <w:t>o date</w:t>
      </w:r>
      <w:r w:rsidR="005B4CF2">
        <w:rPr>
          <w:rFonts w:cstheme="minorHAnsi"/>
        </w:rPr>
        <w:t xml:space="preserve"> we have</w:t>
      </w:r>
      <w:r w:rsidRPr="0033013E">
        <w:rPr>
          <w:rFonts w:cstheme="minorHAnsi"/>
        </w:rPr>
        <w:t xml:space="preserve"> completed the transition training for 350 current mentors, with many other sessions planned and advertised across the organisation between now and April 2020.</w:t>
      </w:r>
    </w:p>
    <w:p w14:paraId="60F4E7C3" w14:textId="06636A8C" w:rsidR="00C94A3C" w:rsidRPr="00536402" w:rsidRDefault="00C94A3C" w:rsidP="008876B7">
      <w:pPr>
        <w:pStyle w:val="Heading4"/>
      </w:pPr>
      <w:r w:rsidRPr="0033013E">
        <w:t>Physician Associate (PA</w:t>
      </w:r>
      <w:r>
        <w:t>)</w:t>
      </w:r>
    </w:p>
    <w:p w14:paraId="09204A00" w14:textId="2F7C7EDE" w:rsidR="008876B7" w:rsidRDefault="008876B7" w:rsidP="008876B7">
      <w:pPr>
        <w:rPr>
          <w:rFonts w:cstheme="minorHAnsi"/>
        </w:rPr>
      </w:pPr>
      <w:r w:rsidRPr="0033013E">
        <w:rPr>
          <w:rFonts w:cstheme="minorHAnsi"/>
        </w:rPr>
        <w:t xml:space="preserve">The main focus of introducing the role of PA </w:t>
      </w:r>
      <w:r w:rsidR="00367FFE">
        <w:rPr>
          <w:rFonts w:cstheme="minorHAnsi"/>
        </w:rPr>
        <w:t xml:space="preserve">to </w:t>
      </w:r>
      <w:r w:rsidRPr="0033013E">
        <w:rPr>
          <w:rFonts w:cstheme="minorHAnsi"/>
        </w:rPr>
        <w:t xml:space="preserve">the Health Board has been within Primary Care and Acute Medicine.  Primary Care have employed 3 and are recruiting </w:t>
      </w:r>
      <w:r w:rsidR="00367FFE">
        <w:rPr>
          <w:rFonts w:cstheme="minorHAnsi"/>
        </w:rPr>
        <w:t xml:space="preserve">a further </w:t>
      </w:r>
      <w:r w:rsidRPr="0033013E">
        <w:rPr>
          <w:rFonts w:cstheme="minorHAnsi"/>
        </w:rPr>
        <w:t xml:space="preserve">2, which will be deployed with GP Practices.  </w:t>
      </w:r>
      <w:r>
        <w:rPr>
          <w:rFonts w:cstheme="minorHAnsi"/>
        </w:rPr>
        <w:t xml:space="preserve">In December </w:t>
      </w:r>
      <w:r w:rsidR="00C06F12">
        <w:rPr>
          <w:rFonts w:cstheme="minorHAnsi"/>
        </w:rPr>
        <w:t xml:space="preserve">2019 </w:t>
      </w:r>
      <w:r>
        <w:rPr>
          <w:rFonts w:cstheme="minorHAnsi"/>
        </w:rPr>
        <w:t>t</w:t>
      </w:r>
      <w:r w:rsidRPr="0033013E">
        <w:rPr>
          <w:rFonts w:cstheme="minorHAnsi"/>
        </w:rPr>
        <w:t xml:space="preserve">he first of our interns </w:t>
      </w:r>
      <w:r w:rsidRPr="004968E7">
        <w:rPr>
          <w:rFonts w:cstheme="minorHAnsi"/>
        </w:rPr>
        <w:t>will have</w:t>
      </w:r>
      <w:r w:rsidRPr="0033013E">
        <w:rPr>
          <w:rFonts w:cstheme="minorHAnsi"/>
        </w:rPr>
        <w:t xml:space="preserve"> completed their internship year and her GP practice has confirm they wish to retain her.  They have agreed to fund 50% next year with a view to fully funding the year after.</w:t>
      </w:r>
      <w:r w:rsidR="00367FFE">
        <w:rPr>
          <w:rFonts w:cstheme="minorHAnsi"/>
        </w:rPr>
        <w:t xml:space="preserve"> </w:t>
      </w:r>
      <w:r w:rsidRPr="0033013E">
        <w:rPr>
          <w:rFonts w:cstheme="minorHAnsi"/>
        </w:rPr>
        <w:t xml:space="preserve"> Acute Medicine currently have 2 employed (1 is an experience</w:t>
      </w:r>
      <w:r>
        <w:rPr>
          <w:rFonts w:cstheme="minorHAnsi"/>
        </w:rPr>
        <w:t>d</w:t>
      </w:r>
      <w:r w:rsidRPr="0033013E">
        <w:rPr>
          <w:rFonts w:cstheme="minorHAnsi"/>
        </w:rPr>
        <w:t xml:space="preserve"> PA) and are recruiting to a further 8</w:t>
      </w:r>
      <w:r>
        <w:rPr>
          <w:rFonts w:cstheme="minorHAnsi"/>
        </w:rPr>
        <w:t xml:space="preserve"> posts</w:t>
      </w:r>
      <w:r w:rsidRPr="0033013E">
        <w:rPr>
          <w:rFonts w:cstheme="minorHAnsi"/>
        </w:rPr>
        <w:t>.</w:t>
      </w:r>
    </w:p>
    <w:p w14:paraId="4DE9B841" w14:textId="77777777" w:rsidR="008876B7" w:rsidRDefault="008876B7" w:rsidP="008876B7">
      <w:pPr>
        <w:rPr>
          <w:rFonts w:cstheme="minorHAnsi"/>
        </w:rPr>
      </w:pPr>
    </w:p>
    <w:p w14:paraId="0EF501F0" w14:textId="01A9B009" w:rsidR="008876B7" w:rsidRDefault="008876B7" w:rsidP="008876B7">
      <w:pPr>
        <w:rPr>
          <w:rFonts w:cstheme="minorHAnsi"/>
        </w:rPr>
      </w:pPr>
      <w:r w:rsidRPr="0033013E">
        <w:rPr>
          <w:rFonts w:cstheme="minorHAnsi"/>
        </w:rPr>
        <w:t>Paediatrics did recruit 2 interns but unfortunately 1 failed her P</w:t>
      </w:r>
      <w:r>
        <w:rPr>
          <w:rFonts w:cstheme="minorHAnsi"/>
        </w:rPr>
        <w:t>G</w:t>
      </w:r>
      <w:r w:rsidRPr="0033013E">
        <w:rPr>
          <w:rFonts w:cstheme="minorHAnsi"/>
        </w:rPr>
        <w:t xml:space="preserve">c and the other accepted a position with another Health Board.  Paediatrics have taken this time to review the offering and intend to recruit to a bigger cohort of 4 in May/June 2020, which will hopefully attract </w:t>
      </w:r>
      <w:r w:rsidR="00D3428C">
        <w:rPr>
          <w:rFonts w:cstheme="minorHAnsi"/>
        </w:rPr>
        <w:t>W</w:t>
      </w:r>
      <w:r w:rsidRPr="0033013E">
        <w:rPr>
          <w:rFonts w:cstheme="minorHAnsi"/>
        </w:rPr>
        <w:t xml:space="preserve">elsh graduates. </w:t>
      </w:r>
      <w:r w:rsidR="00D3428C">
        <w:rPr>
          <w:rFonts w:cstheme="minorHAnsi"/>
        </w:rPr>
        <w:t xml:space="preserve"> </w:t>
      </w:r>
      <w:r w:rsidRPr="0033013E">
        <w:rPr>
          <w:rFonts w:cstheme="minorHAnsi"/>
        </w:rPr>
        <w:t>Other specialt</w:t>
      </w:r>
      <w:r>
        <w:rPr>
          <w:rFonts w:cstheme="minorHAnsi"/>
        </w:rPr>
        <w:t>ies</w:t>
      </w:r>
      <w:r w:rsidRPr="0033013E">
        <w:rPr>
          <w:rFonts w:cstheme="minorHAnsi"/>
        </w:rPr>
        <w:t xml:space="preserve"> that have expressed an interest in looking to introduce the PA role </w:t>
      </w:r>
      <w:r>
        <w:rPr>
          <w:rFonts w:cstheme="minorHAnsi"/>
        </w:rPr>
        <w:t>are</w:t>
      </w:r>
      <w:r w:rsidRPr="0033013E">
        <w:rPr>
          <w:rFonts w:cstheme="minorHAnsi"/>
        </w:rPr>
        <w:t xml:space="preserve"> Mental Health and Surgery.</w:t>
      </w:r>
    </w:p>
    <w:p w14:paraId="1A4E7620" w14:textId="77777777" w:rsidR="008876B7" w:rsidRPr="0033013E" w:rsidRDefault="008876B7" w:rsidP="008876B7">
      <w:pPr>
        <w:rPr>
          <w:rFonts w:cstheme="minorHAnsi"/>
        </w:rPr>
      </w:pPr>
    </w:p>
    <w:p w14:paraId="685814EC" w14:textId="16880623" w:rsidR="008876B7" w:rsidRDefault="008876B7" w:rsidP="008876B7">
      <w:pPr>
        <w:rPr>
          <w:rFonts w:cstheme="minorHAnsi"/>
        </w:rPr>
      </w:pPr>
      <w:r w:rsidRPr="0033013E">
        <w:rPr>
          <w:rFonts w:cstheme="minorHAnsi"/>
        </w:rPr>
        <w:t xml:space="preserve">Options </w:t>
      </w:r>
      <w:r w:rsidR="00D3428C">
        <w:rPr>
          <w:rFonts w:cstheme="minorHAnsi"/>
        </w:rPr>
        <w:t xml:space="preserve">to </w:t>
      </w:r>
      <w:r w:rsidRPr="0033013E">
        <w:rPr>
          <w:rFonts w:cstheme="minorHAnsi"/>
        </w:rPr>
        <w:t xml:space="preserve">streamline the recruitment process of PA across Wales is being explored, to reduce internal competition for </w:t>
      </w:r>
      <w:r>
        <w:rPr>
          <w:rFonts w:cstheme="minorHAnsi"/>
        </w:rPr>
        <w:t>j</w:t>
      </w:r>
      <w:r w:rsidRPr="0033013E">
        <w:rPr>
          <w:rFonts w:cstheme="minorHAnsi"/>
        </w:rPr>
        <w:t xml:space="preserve">obs.  Ensuring that as cohorts </w:t>
      </w:r>
      <w:r>
        <w:rPr>
          <w:rFonts w:cstheme="minorHAnsi"/>
        </w:rPr>
        <w:t xml:space="preserve">increase </w:t>
      </w:r>
      <w:r w:rsidRPr="0033013E">
        <w:rPr>
          <w:rFonts w:cstheme="minorHAnsi"/>
        </w:rPr>
        <w:t xml:space="preserve">in </w:t>
      </w:r>
      <w:r w:rsidR="00D3428C">
        <w:rPr>
          <w:rFonts w:cstheme="minorHAnsi"/>
        </w:rPr>
        <w:t>W</w:t>
      </w:r>
      <w:r w:rsidRPr="0033013E">
        <w:rPr>
          <w:rFonts w:cstheme="minorHAnsi"/>
        </w:rPr>
        <w:t>elsh Universities we are able to offer position</w:t>
      </w:r>
      <w:r w:rsidR="00453094">
        <w:rPr>
          <w:rFonts w:cstheme="minorHAnsi"/>
        </w:rPr>
        <w:t>s</w:t>
      </w:r>
      <w:r w:rsidRPr="0033013E">
        <w:rPr>
          <w:rFonts w:cstheme="minorHAnsi"/>
        </w:rPr>
        <w:t xml:space="preserve"> to retain them (condition of their bursary payment is they must work within Wales for 18 months post</w:t>
      </w:r>
      <w:r>
        <w:rPr>
          <w:rFonts w:cstheme="minorHAnsi"/>
        </w:rPr>
        <w:t xml:space="preserve"> obtaining their PA qualification</w:t>
      </w:r>
      <w:r w:rsidR="00D3428C">
        <w:rPr>
          <w:rFonts w:cstheme="minorHAnsi"/>
        </w:rPr>
        <w:t>).</w:t>
      </w:r>
    </w:p>
    <w:p w14:paraId="39E45B7C" w14:textId="14E17A13" w:rsidR="008876B7" w:rsidRPr="00536402" w:rsidRDefault="008876B7" w:rsidP="008876B7">
      <w:pPr>
        <w:pStyle w:val="Heading4"/>
      </w:pPr>
      <w:r w:rsidRPr="0033013E">
        <w:rPr>
          <w:rFonts w:eastAsia="Verdana"/>
        </w:rPr>
        <w:t>HCSW Development and Opportunities for New and Extended Roles</w:t>
      </w:r>
    </w:p>
    <w:p w14:paraId="20F63035" w14:textId="61F27048" w:rsidR="008876B7" w:rsidRDefault="008876B7" w:rsidP="008876B7">
      <w:pPr>
        <w:contextualSpacing/>
        <w:rPr>
          <w:rFonts w:cstheme="minorHAnsi"/>
        </w:rPr>
      </w:pPr>
      <w:r w:rsidRPr="0033013E">
        <w:rPr>
          <w:rFonts w:cstheme="minorHAnsi"/>
        </w:rPr>
        <w:t xml:space="preserve">The </w:t>
      </w:r>
      <w:r w:rsidR="00071680">
        <w:rPr>
          <w:rFonts w:cstheme="minorHAnsi"/>
        </w:rPr>
        <w:t>Health Board</w:t>
      </w:r>
      <w:r w:rsidRPr="0033013E">
        <w:rPr>
          <w:rFonts w:cstheme="minorHAnsi"/>
        </w:rPr>
        <w:t xml:space="preserve"> continues to work on a local and a national basis, to develop, manage and monitor compliance of the Clinical HCSW career and skills framework, through the use of the ESR.  The illustration sets out local pathways.</w:t>
      </w:r>
    </w:p>
    <w:p w14:paraId="3CDE9B4B" w14:textId="77777777" w:rsidR="008876B7" w:rsidRPr="0033013E" w:rsidRDefault="008876B7" w:rsidP="008876B7">
      <w:pPr>
        <w:contextualSpacing/>
        <w:rPr>
          <w:rFonts w:cstheme="minorHAnsi"/>
        </w:rPr>
      </w:pPr>
    </w:p>
    <w:p w14:paraId="1FA4345A" w14:textId="5C89FFCD" w:rsidR="008876B7" w:rsidRDefault="008876B7" w:rsidP="008876B7">
      <w:pPr>
        <w:contextualSpacing/>
        <w:rPr>
          <w:rFonts w:cstheme="minorHAnsi"/>
        </w:rPr>
      </w:pPr>
      <w:r w:rsidRPr="0033013E">
        <w:rPr>
          <w:rFonts w:cstheme="minorHAnsi"/>
          <w:noProof/>
        </w:rPr>
        <w:drawing>
          <wp:anchor distT="0" distB="0" distL="114300" distR="114300" simplePos="0" relativeHeight="252878848" behindDoc="0" locked="0" layoutInCell="1" allowOverlap="1" wp14:anchorId="753B8122" wp14:editId="37A0228F">
            <wp:simplePos x="0" y="0"/>
            <wp:positionH relativeFrom="margin">
              <wp:align>left</wp:align>
            </wp:positionH>
            <wp:positionV relativeFrom="margin">
              <wp:posOffset>5981700</wp:posOffset>
            </wp:positionV>
            <wp:extent cx="4323080" cy="2390775"/>
            <wp:effectExtent l="0" t="0" r="1270" b="9525"/>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extLst>
                        <a:ext uri="{28A0092B-C50C-407E-A947-70E740481C1C}">
                          <a14:useLocalDpi xmlns:a14="http://schemas.microsoft.com/office/drawing/2010/main" val="0"/>
                        </a:ext>
                      </a:extLst>
                    </a:blip>
                    <a:stretch>
                      <a:fillRect/>
                    </a:stretch>
                  </pic:blipFill>
                  <pic:spPr>
                    <a:xfrm>
                      <a:off x="0" y="0"/>
                      <a:ext cx="4323080" cy="2390775"/>
                    </a:xfrm>
                    <a:prstGeom prst="rect">
                      <a:avLst/>
                    </a:prstGeom>
                  </pic:spPr>
                </pic:pic>
              </a:graphicData>
            </a:graphic>
            <wp14:sizeRelV relativeFrom="margin">
              <wp14:pctHeight>0</wp14:pctHeight>
            </wp14:sizeRelV>
          </wp:anchor>
        </w:drawing>
      </w:r>
      <w:r w:rsidRPr="0033013E">
        <w:rPr>
          <w:rFonts w:cstheme="minorHAnsi"/>
        </w:rPr>
        <w:t>Clinical specialities within the Health Board continue to be supported to create Learning Pathways</w:t>
      </w:r>
      <w:r>
        <w:rPr>
          <w:rFonts w:cstheme="minorHAnsi"/>
        </w:rPr>
        <w:t xml:space="preserve">. </w:t>
      </w:r>
      <w:r w:rsidR="004F2D49">
        <w:rPr>
          <w:rFonts w:cstheme="minorHAnsi"/>
        </w:rPr>
        <w:t xml:space="preserve"> </w:t>
      </w:r>
      <w:r>
        <w:rPr>
          <w:rFonts w:cstheme="minorHAnsi"/>
        </w:rPr>
        <w:t>U</w:t>
      </w:r>
      <w:r w:rsidRPr="0033013E">
        <w:rPr>
          <w:rFonts w:cstheme="minorHAnsi"/>
        </w:rPr>
        <w:t>s</w:t>
      </w:r>
      <w:r>
        <w:rPr>
          <w:rFonts w:cstheme="minorHAnsi"/>
        </w:rPr>
        <w:t>ing t</w:t>
      </w:r>
      <w:r w:rsidRPr="0033013E">
        <w:rPr>
          <w:rFonts w:cstheme="minorHAnsi"/>
        </w:rPr>
        <w:t xml:space="preserve">hem to guide HCSWs through appropriate education and training requirements. </w:t>
      </w:r>
      <w:r w:rsidR="004F2D49">
        <w:rPr>
          <w:rFonts w:cstheme="minorHAnsi"/>
        </w:rPr>
        <w:t xml:space="preserve"> </w:t>
      </w:r>
      <w:r w:rsidRPr="0033013E">
        <w:rPr>
          <w:rFonts w:cstheme="minorHAnsi"/>
        </w:rPr>
        <w:t xml:space="preserve">The focussed effort delivered to support the regional Diagnostic </w:t>
      </w:r>
      <w:r>
        <w:rPr>
          <w:rFonts w:cstheme="minorHAnsi"/>
        </w:rPr>
        <w:t>H</w:t>
      </w:r>
      <w:r w:rsidRPr="0033013E">
        <w:rPr>
          <w:rFonts w:cstheme="minorHAnsi"/>
        </w:rPr>
        <w:t>ub</w:t>
      </w:r>
      <w:r>
        <w:rPr>
          <w:rFonts w:cstheme="minorHAnsi"/>
        </w:rPr>
        <w:t>,</w:t>
      </w:r>
      <w:r w:rsidRPr="0033013E">
        <w:rPr>
          <w:rFonts w:cstheme="minorHAnsi"/>
        </w:rPr>
        <w:t xml:space="preserve"> with appropriately trained HCSW</w:t>
      </w:r>
      <w:r>
        <w:rPr>
          <w:rFonts w:cstheme="minorHAnsi"/>
        </w:rPr>
        <w:t>,</w:t>
      </w:r>
      <w:r w:rsidRPr="0033013E">
        <w:rPr>
          <w:rFonts w:cstheme="minorHAnsi"/>
        </w:rPr>
        <w:t xml:space="preserve"> through the structured delivery of apprenticeships is still proving to be effective</w:t>
      </w:r>
      <w:r>
        <w:rPr>
          <w:rFonts w:cstheme="minorHAnsi"/>
        </w:rPr>
        <w:t>,</w:t>
      </w:r>
      <w:r w:rsidRPr="0033013E">
        <w:rPr>
          <w:rFonts w:cstheme="minorHAnsi"/>
        </w:rPr>
        <w:t xml:space="preserve"> as the HCSW in this area progress through their apprenticeship. </w:t>
      </w:r>
      <w:r w:rsidR="004F2D49">
        <w:rPr>
          <w:rFonts w:cstheme="minorHAnsi"/>
        </w:rPr>
        <w:t xml:space="preserve"> </w:t>
      </w:r>
      <w:r w:rsidRPr="0033013E">
        <w:rPr>
          <w:rFonts w:cstheme="minorHAnsi"/>
        </w:rPr>
        <w:t xml:space="preserve">This same model of focussed effort is now being employed with Maternity Services to undertake a training needs analysis and deliver appropriate apprenticeships (when </w:t>
      </w:r>
      <w:r w:rsidRPr="0033013E">
        <w:rPr>
          <w:rFonts w:cstheme="minorHAnsi"/>
        </w:rPr>
        <w:lastRenderedPageBreak/>
        <w:t>available) to Maternity HCSW.</w:t>
      </w:r>
      <w:r w:rsidR="004F2D49">
        <w:rPr>
          <w:rFonts w:cstheme="minorHAnsi"/>
        </w:rPr>
        <w:t xml:space="preserve"> </w:t>
      </w:r>
      <w:r w:rsidRPr="0033013E">
        <w:rPr>
          <w:rFonts w:cstheme="minorHAnsi"/>
        </w:rPr>
        <w:t xml:space="preserve"> In the meantime staff will be supported to undertake programmes of learning which will support clinical development in their role.</w:t>
      </w:r>
    </w:p>
    <w:p w14:paraId="352753BC" w14:textId="77777777" w:rsidR="004F2D49" w:rsidRPr="0033013E" w:rsidRDefault="004F2D49" w:rsidP="008876B7">
      <w:pPr>
        <w:contextualSpacing/>
        <w:rPr>
          <w:rFonts w:cstheme="minorHAnsi"/>
        </w:rPr>
      </w:pPr>
    </w:p>
    <w:p w14:paraId="79792507" w14:textId="77777777" w:rsidR="008876B7" w:rsidRPr="0033013E" w:rsidRDefault="008876B7" w:rsidP="008876B7">
      <w:pPr>
        <w:contextualSpacing/>
        <w:rPr>
          <w:rFonts w:cstheme="minorHAnsi"/>
        </w:rPr>
      </w:pPr>
      <w:r w:rsidRPr="0033013E">
        <w:rPr>
          <w:rFonts w:cstheme="minorHAnsi"/>
        </w:rPr>
        <w:t>The Primary Care Clusters continue the development of their clinical HCSW with Clinical Practice Educators delivering accredited training and education in:</w:t>
      </w:r>
    </w:p>
    <w:p w14:paraId="378E708F" w14:textId="7C24C7C9" w:rsidR="008876B7" w:rsidRPr="0033013E" w:rsidRDefault="008876B7" w:rsidP="00F60A35">
      <w:pPr>
        <w:pStyle w:val="ListParagraph"/>
        <w:numPr>
          <w:ilvl w:val="0"/>
          <w:numId w:val="86"/>
        </w:numPr>
        <w:ind w:left="357" w:hanging="357"/>
        <w:jc w:val="left"/>
        <w:rPr>
          <w:rFonts w:cstheme="minorHAnsi"/>
        </w:rPr>
      </w:pPr>
      <w:r w:rsidRPr="0033013E">
        <w:rPr>
          <w:rFonts w:cstheme="minorHAnsi"/>
        </w:rPr>
        <w:t>Physiological measurements and brief in</w:t>
      </w:r>
      <w:r w:rsidR="00B82B29">
        <w:rPr>
          <w:rFonts w:cstheme="minorHAnsi"/>
        </w:rPr>
        <w:t>tervention to smoking cessation</w:t>
      </w:r>
    </w:p>
    <w:p w14:paraId="6E80F0E4" w14:textId="77777777" w:rsidR="008876B7" w:rsidRPr="0033013E" w:rsidRDefault="008876B7" w:rsidP="00F60A35">
      <w:pPr>
        <w:pStyle w:val="ListParagraph"/>
        <w:numPr>
          <w:ilvl w:val="0"/>
          <w:numId w:val="86"/>
        </w:numPr>
        <w:ind w:left="357" w:hanging="357"/>
        <w:jc w:val="left"/>
        <w:rPr>
          <w:rFonts w:cstheme="minorHAnsi"/>
        </w:rPr>
      </w:pPr>
      <w:r w:rsidRPr="0033013E">
        <w:rPr>
          <w:rFonts w:cstheme="minorHAnsi"/>
        </w:rPr>
        <w:t>Basic wound care, ANTT and suture/clip removal</w:t>
      </w:r>
    </w:p>
    <w:p w14:paraId="63A65DF3" w14:textId="77777777" w:rsidR="008876B7" w:rsidRPr="0033013E" w:rsidRDefault="008876B7" w:rsidP="00F60A35">
      <w:pPr>
        <w:pStyle w:val="ListParagraph"/>
        <w:numPr>
          <w:ilvl w:val="0"/>
          <w:numId w:val="86"/>
        </w:numPr>
        <w:ind w:left="357" w:hanging="357"/>
        <w:jc w:val="left"/>
        <w:rPr>
          <w:rFonts w:cstheme="minorHAnsi"/>
        </w:rPr>
      </w:pPr>
      <w:r w:rsidRPr="0033013E">
        <w:rPr>
          <w:rFonts w:cstheme="minorHAnsi"/>
        </w:rPr>
        <w:t>Immunisations for influenza, pneumonia, shingles and b12 injections</w:t>
      </w:r>
    </w:p>
    <w:p w14:paraId="006F2EB0" w14:textId="77777777" w:rsidR="008876B7" w:rsidRPr="0033013E" w:rsidRDefault="008876B7" w:rsidP="00F60A35">
      <w:pPr>
        <w:pStyle w:val="ListParagraph"/>
        <w:numPr>
          <w:ilvl w:val="0"/>
          <w:numId w:val="86"/>
        </w:numPr>
        <w:ind w:left="357" w:hanging="357"/>
        <w:jc w:val="left"/>
        <w:rPr>
          <w:rFonts w:cstheme="minorHAnsi"/>
        </w:rPr>
      </w:pPr>
      <w:r w:rsidRPr="0033013E">
        <w:rPr>
          <w:rFonts w:cstheme="minorHAnsi"/>
        </w:rPr>
        <w:t>Obtain venous blood samples</w:t>
      </w:r>
    </w:p>
    <w:p w14:paraId="445ECFA2" w14:textId="77777777" w:rsidR="008876B7" w:rsidRPr="0033013E" w:rsidRDefault="008876B7" w:rsidP="00F60A35">
      <w:pPr>
        <w:pStyle w:val="ListParagraph"/>
        <w:numPr>
          <w:ilvl w:val="0"/>
          <w:numId w:val="86"/>
        </w:numPr>
        <w:ind w:left="357" w:hanging="357"/>
        <w:jc w:val="left"/>
        <w:rPr>
          <w:rFonts w:cstheme="minorHAnsi"/>
        </w:rPr>
      </w:pPr>
      <w:r w:rsidRPr="0033013E">
        <w:rPr>
          <w:rFonts w:cstheme="minorHAnsi"/>
        </w:rPr>
        <w:t>How to perform an ECG</w:t>
      </w:r>
    </w:p>
    <w:p w14:paraId="04504E73" w14:textId="2D7CC7D5" w:rsidR="008876B7" w:rsidRPr="008876B7" w:rsidRDefault="008876B7" w:rsidP="00F60A35">
      <w:pPr>
        <w:pStyle w:val="ListParagraph"/>
        <w:numPr>
          <w:ilvl w:val="0"/>
          <w:numId w:val="86"/>
        </w:numPr>
        <w:ind w:left="357" w:hanging="357"/>
        <w:rPr>
          <w:rFonts w:cstheme="minorHAnsi"/>
          <w:lang w:val="en-US"/>
        </w:rPr>
      </w:pPr>
      <w:r>
        <w:rPr>
          <w:rFonts w:cstheme="minorHAnsi"/>
        </w:rPr>
        <w:t>Diabetic Foot assessment</w:t>
      </w:r>
    </w:p>
    <w:p w14:paraId="0154CE58" w14:textId="77777777" w:rsidR="008876B7" w:rsidRPr="008876B7" w:rsidRDefault="008876B7" w:rsidP="008876B7">
      <w:pPr>
        <w:rPr>
          <w:rFonts w:cstheme="minorHAnsi"/>
          <w:lang w:val="en-US"/>
        </w:rPr>
      </w:pPr>
    </w:p>
    <w:p w14:paraId="17DE537E" w14:textId="5A1281ED" w:rsidR="008876B7" w:rsidRDefault="008876B7" w:rsidP="008876B7">
      <w:pPr>
        <w:contextualSpacing/>
        <w:rPr>
          <w:rFonts w:cstheme="minorHAnsi"/>
        </w:rPr>
      </w:pPr>
      <w:r w:rsidRPr="0033013E">
        <w:rPr>
          <w:rFonts w:cstheme="minorHAnsi"/>
          <w:lang w:val="en-US"/>
        </w:rPr>
        <w:t xml:space="preserve">The </w:t>
      </w:r>
      <w:r>
        <w:rPr>
          <w:rFonts w:cstheme="minorHAnsi"/>
          <w:lang w:val="en-US"/>
        </w:rPr>
        <w:t>Health Board</w:t>
      </w:r>
      <w:r w:rsidRPr="0033013E">
        <w:rPr>
          <w:rFonts w:cstheme="minorHAnsi"/>
          <w:lang w:val="en-US"/>
        </w:rPr>
        <w:t xml:space="preserve"> continues to support HCSW through flexible routes into Nursing and attainment of the</w:t>
      </w:r>
      <w:r w:rsidRPr="0033013E">
        <w:rPr>
          <w:rFonts w:cstheme="minorHAnsi"/>
        </w:rPr>
        <w:t xml:space="preserve"> Bachelor of Nursing (Adult) degree. </w:t>
      </w:r>
      <w:r w:rsidR="00B82B29">
        <w:rPr>
          <w:rFonts w:cstheme="minorHAnsi"/>
        </w:rPr>
        <w:t xml:space="preserve"> </w:t>
      </w:r>
      <w:r w:rsidRPr="0033013E">
        <w:rPr>
          <w:rFonts w:cstheme="minorHAnsi"/>
        </w:rPr>
        <w:t xml:space="preserve">There are presently 20 HCSW following this route; 7 with the Open University; 8 with the </w:t>
      </w:r>
      <w:r w:rsidR="00B82B29">
        <w:rPr>
          <w:rFonts w:cstheme="minorHAnsi"/>
        </w:rPr>
        <w:t xml:space="preserve">USW </w:t>
      </w:r>
      <w:r w:rsidRPr="0033013E">
        <w:rPr>
          <w:rFonts w:cstheme="minorHAnsi"/>
        </w:rPr>
        <w:t>and 5 with Swansea University.</w:t>
      </w:r>
    </w:p>
    <w:p w14:paraId="240C3A1F" w14:textId="77777777" w:rsidR="008876B7" w:rsidRPr="0033013E" w:rsidRDefault="008876B7" w:rsidP="008876B7">
      <w:pPr>
        <w:contextualSpacing/>
        <w:rPr>
          <w:rFonts w:cstheme="minorHAnsi"/>
        </w:rPr>
      </w:pPr>
    </w:p>
    <w:p w14:paraId="60DD5898" w14:textId="5A7722CA" w:rsidR="00C94A3C" w:rsidRDefault="008876B7" w:rsidP="008876B7">
      <w:pPr>
        <w:contextualSpacing/>
        <w:rPr>
          <w:rFonts w:cstheme="minorHAnsi"/>
        </w:rPr>
      </w:pPr>
      <w:r>
        <w:rPr>
          <w:rFonts w:cstheme="minorHAnsi"/>
        </w:rPr>
        <w:t xml:space="preserve">The Health Board </w:t>
      </w:r>
      <w:r w:rsidRPr="0033013E">
        <w:rPr>
          <w:rFonts w:cstheme="minorHAnsi"/>
        </w:rPr>
        <w:t xml:space="preserve">also continues to support HCSW to attain level 4 education via the </w:t>
      </w:r>
      <w:r w:rsidR="00B82B29">
        <w:rPr>
          <w:rFonts w:cstheme="minorHAnsi"/>
        </w:rPr>
        <w:t>USW</w:t>
      </w:r>
      <w:r w:rsidRPr="0033013E">
        <w:rPr>
          <w:rFonts w:cstheme="minorHAnsi"/>
        </w:rPr>
        <w:t xml:space="preserve"> and there are currently 11 HCSWs studying year 1, 22 on year 2 and over 25 expressions of interest for 2020/2021 academic year</w:t>
      </w:r>
      <w:r>
        <w:rPr>
          <w:rFonts w:cstheme="minorHAnsi"/>
        </w:rPr>
        <w:t>,</w:t>
      </w:r>
      <w:r w:rsidRPr="0033013E">
        <w:rPr>
          <w:rFonts w:cstheme="minorHAnsi"/>
        </w:rPr>
        <w:t xml:space="preserve"> from secondary and community care. </w:t>
      </w:r>
      <w:r w:rsidR="00B82B29">
        <w:rPr>
          <w:rFonts w:cstheme="minorHAnsi"/>
        </w:rPr>
        <w:t xml:space="preserve"> </w:t>
      </w:r>
      <w:r w:rsidRPr="0033013E">
        <w:rPr>
          <w:rFonts w:cstheme="minorHAnsi"/>
        </w:rPr>
        <w:t xml:space="preserve">HCSWs from Primary Care are funded separately and there are additional Primary Care HCSWs undertaking Certificate of Further Education (Level 4). </w:t>
      </w:r>
      <w:r w:rsidR="00B82B29">
        <w:rPr>
          <w:rFonts w:cstheme="minorHAnsi"/>
        </w:rPr>
        <w:t xml:space="preserve"> </w:t>
      </w:r>
      <w:r w:rsidRPr="0033013E">
        <w:rPr>
          <w:rFonts w:cstheme="minorHAnsi"/>
        </w:rPr>
        <w:t xml:space="preserve">The </w:t>
      </w:r>
      <w:r w:rsidR="00071680">
        <w:rPr>
          <w:rFonts w:cstheme="minorHAnsi"/>
        </w:rPr>
        <w:t>Health Board</w:t>
      </w:r>
      <w:r w:rsidRPr="0033013E">
        <w:rPr>
          <w:rFonts w:cstheme="minorHAnsi"/>
        </w:rPr>
        <w:t xml:space="preserve"> continues to use externally funded apprenticeships to upskill clinical HCSWs with over 100 currently enrolled onto an appropriate framework.</w:t>
      </w:r>
    </w:p>
    <w:p w14:paraId="2C793DC5" w14:textId="27F1F0E7" w:rsidR="008876B7" w:rsidRPr="00536402" w:rsidRDefault="008876B7" w:rsidP="008876B7">
      <w:pPr>
        <w:pStyle w:val="Heading4"/>
      </w:pPr>
      <w:r w:rsidRPr="0033013E">
        <w:t>Apprenticeships and Vocational Qualifications</w:t>
      </w:r>
    </w:p>
    <w:p w14:paraId="7BA9C073" w14:textId="77777777" w:rsidR="008876B7" w:rsidRDefault="008876B7" w:rsidP="008876B7">
      <w:pPr>
        <w:rPr>
          <w:rFonts w:cstheme="minorHAnsi"/>
        </w:rPr>
      </w:pPr>
      <w:r w:rsidRPr="0033013E">
        <w:rPr>
          <w:rFonts w:cstheme="minorHAnsi"/>
        </w:rPr>
        <w:t>The Health Board is committed to the opportunities apprenticeships afford to our service, delivery improvement and upskilling of people from within our local communities, from which the majority of our HCSWs are sourced.</w:t>
      </w:r>
    </w:p>
    <w:p w14:paraId="0DCDC106" w14:textId="77777777" w:rsidR="008876B7" w:rsidRPr="0033013E" w:rsidRDefault="008876B7" w:rsidP="008876B7">
      <w:pPr>
        <w:rPr>
          <w:rFonts w:cstheme="minorHAnsi"/>
        </w:rPr>
      </w:pPr>
    </w:p>
    <w:p w14:paraId="3A48FADB" w14:textId="3D9807DE" w:rsidR="008876B7" w:rsidRPr="0033013E" w:rsidRDefault="008876B7" w:rsidP="008876B7">
      <w:pPr>
        <w:rPr>
          <w:rFonts w:cstheme="minorHAnsi"/>
        </w:rPr>
      </w:pPr>
      <w:r w:rsidRPr="0033013E">
        <w:rPr>
          <w:rFonts w:cstheme="minorHAnsi"/>
        </w:rPr>
        <w:t xml:space="preserve">The delivery of the clinical and non-clinical HCSW frameworks are directly dependant on the </w:t>
      </w:r>
      <w:r w:rsidR="00071680">
        <w:rPr>
          <w:rFonts w:cstheme="minorHAnsi"/>
        </w:rPr>
        <w:t>Health Board</w:t>
      </w:r>
      <w:r w:rsidRPr="0033013E">
        <w:rPr>
          <w:rFonts w:cstheme="minorHAnsi"/>
        </w:rPr>
        <w:t>’s ability to source externally delivered and funded Apprenticeships and standalone vocational qualifications.</w:t>
      </w:r>
      <w:r w:rsidR="00B82B29">
        <w:rPr>
          <w:rFonts w:cstheme="minorHAnsi"/>
        </w:rPr>
        <w:t xml:space="preserve"> </w:t>
      </w:r>
      <w:r w:rsidRPr="0033013E">
        <w:rPr>
          <w:rFonts w:cstheme="minorHAnsi"/>
        </w:rPr>
        <w:t xml:space="preserve"> To accommodate the increasing demand for apprenticeships, the </w:t>
      </w:r>
      <w:r w:rsidR="00071680">
        <w:rPr>
          <w:rFonts w:cstheme="minorHAnsi"/>
        </w:rPr>
        <w:t>Health Board</w:t>
      </w:r>
      <w:r w:rsidRPr="0033013E">
        <w:rPr>
          <w:rFonts w:cstheme="minorHAnsi"/>
        </w:rPr>
        <w:t xml:space="preserve"> has greatly enhanced its working relationships with local apprenticeship providers, with most reviewing their delivery capability to ensure they meet </w:t>
      </w:r>
      <w:r>
        <w:rPr>
          <w:rFonts w:cstheme="minorHAnsi"/>
        </w:rPr>
        <w:t>our</w:t>
      </w:r>
      <w:r w:rsidRPr="0033013E">
        <w:rPr>
          <w:rFonts w:cstheme="minorHAnsi"/>
        </w:rPr>
        <w:t xml:space="preserve"> needs</w:t>
      </w:r>
      <w:r>
        <w:rPr>
          <w:rFonts w:cstheme="minorHAnsi"/>
        </w:rPr>
        <w:t>.</w:t>
      </w:r>
      <w:r w:rsidRPr="0033013E">
        <w:rPr>
          <w:rFonts w:cstheme="minorHAnsi"/>
        </w:rPr>
        <w:t xml:space="preserve"> </w:t>
      </w:r>
      <w:r w:rsidR="00B82B29">
        <w:rPr>
          <w:rFonts w:cstheme="minorHAnsi"/>
        </w:rPr>
        <w:t xml:space="preserve"> </w:t>
      </w:r>
      <w:r w:rsidRPr="0033013E">
        <w:rPr>
          <w:rFonts w:cstheme="minorHAnsi"/>
        </w:rPr>
        <w:t>While apprenticeships are offered to staff in any discipline, the current focus continues to be on the enrolment of Clinical HCSWs onto an appropriate apprenticeship framework and staff in management roles onto an apprenticeship in Leadership and Management.</w:t>
      </w:r>
    </w:p>
    <w:p w14:paraId="134C7A10" w14:textId="77777777" w:rsidR="008876B7" w:rsidRPr="0033013E" w:rsidRDefault="008876B7" w:rsidP="008876B7">
      <w:pPr>
        <w:spacing w:before="240"/>
        <w:ind w:left="5040" w:hanging="5040"/>
        <w:rPr>
          <w:rFonts w:cstheme="minorHAnsi"/>
          <w:b/>
        </w:rPr>
      </w:pPr>
      <w:r w:rsidRPr="0033013E">
        <w:rPr>
          <w:rFonts w:cstheme="minorHAnsi"/>
          <w:noProof/>
        </w:rPr>
        <w:drawing>
          <wp:anchor distT="0" distB="0" distL="114300" distR="114300" simplePos="0" relativeHeight="252880896" behindDoc="1" locked="0" layoutInCell="1" allowOverlap="1" wp14:anchorId="70721098" wp14:editId="62F37806">
            <wp:simplePos x="0" y="0"/>
            <wp:positionH relativeFrom="column">
              <wp:posOffset>2838450</wp:posOffset>
            </wp:positionH>
            <wp:positionV relativeFrom="paragraph">
              <wp:posOffset>688975</wp:posOffset>
            </wp:positionV>
            <wp:extent cx="3300730" cy="2314575"/>
            <wp:effectExtent l="0" t="0" r="0" b="9525"/>
            <wp:wrapTight wrapText="bothSides">
              <wp:wrapPolygon edited="0">
                <wp:start x="1247" y="711"/>
                <wp:lineTo x="249" y="3911"/>
                <wp:lineTo x="125" y="8356"/>
                <wp:lineTo x="748" y="9600"/>
                <wp:lineTo x="1496" y="9600"/>
                <wp:lineTo x="2493" y="12444"/>
                <wp:lineTo x="2369" y="15289"/>
                <wp:lineTo x="3366" y="18133"/>
                <wp:lineTo x="3491" y="21511"/>
                <wp:lineTo x="19821" y="21511"/>
                <wp:lineTo x="20943" y="20978"/>
                <wp:lineTo x="21442" y="4267"/>
                <wp:lineTo x="21068" y="3911"/>
                <wp:lineTo x="18575" y="3911"/>
                <wp:lineTo x="21442" y="3022"/>
                <wp:lineTo x="21193" y="1244"/>
                <wp:lineTo x="2493" y="711"/>
                <wp:lineTo x="1247" y="711"/>
              </wp:wrapPolygon>
            </wp:wrapTight>
            <wp:docPr id="9222" name="image1.png" descr="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2" name="image1.png" descr="image1.png"/>
                    <pic:cNvPicPr>
                      <a:picLocks noChangeAspect="1"/>
                    </pic:cNvPicPr>
                  </pic:nvPicPr>
                  <pic:blipFill rotWithShape="1">
                    <a:blip r:embed="rId101">
                      <a:extLst>
                        <a:ext uri="{28A0092B-C50C-407E-A947-70E740481C1C}">
                          <a14:useLocalDpi xmlns:a14="http://schemas.microsoft.com/office/drawing/2010/main" val="0"/>
                        </a:ext>
                      </a:extLst>
                    </a:blip>
                    <a:srcRect b="4870"/>
                    <a:stretch/>
                  </pic:blipFill>
                  <pic:spPr bwMode="auto">
                    <a:xfrm>
                      <a:off x="0" y="0"/>
                      <a:ext cx="3300730" cy="231457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33013E">
        <w:rPr>
          <w:rFonts w:cstheme="minorHAnsi"/>
          <w:noProof/>
        </w:rPr>
        <w:drawing>
          <wp:anchor distT="0" distB="0" distL="114300" distR="114300" simplePos="0" relativeHeight="252881920" behindDoc="1" locked="0" layoutInCell="1" allowOverlap="1" wp14:anchorId="31507218" wp14:editId="7635DC7B">
            <wp:simplePos x="0" y="0"/>
            <wp:positionH relativeFrom="margin">
              <wp:align>left</wp:align>
            </wp:positionH>
            <wp:positionV relativeFrom="paragraph">
              <wp:posOffset>689610</wp:posOffset>
            </wp:positionV>
            <wp:extent cx="2554605" cy="2324100"/>
            <wp:effectExtent l="0" t="0" r="0" b="0"/>
            <wp:wrapSquare wrapText="bothSides"/>
            <wp:docPr id="9223" name="image1.png" descr="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3" name="image1.png" descr="image1.png"/>
                    <pic:cNvPicPr>
                      <a:picLocks noChangeAspect="1"/>
                    </pic:cNvPicPr>
                  </pic:nvPicPr>
                  <pic:blipFill rotWithShape="1">
                    <a:blip r:embed="rId102">
                      <a:extLst>
                        <a:ext uri="{28A0092B-C50C-407E-A947-70E740481C1C}">
                          <a14:useLocalDpi xmlns:a14="http://schemas.microsoft.com/office/drawing/2010/main" val="0"/>
                        </a:ext>
                      </a:extLst>
                    </a:blip>
                    <a:srcRect b="9070"/>
                    <a:stretch/>
                  </pic:blipFill>
                  <pic:spPr bwMode="auto">
                    <a:xfrm>
                      <a:off x="0" y="0"/>
                      <a:ext cx="2554605" cy="2324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3013E">
        <w:rPr>
          <w:rFonts w:cstheme="minorHAnsi"/>
          <w:b/>
        </w:rPr>
        <w:t xml:space="preserve">Number of Apprenticeships by Staff Group: </w:t>
      </w:r>
      <w:r w:rsidRPr="0033013E">
        <w:rPr>
          <w:rFonts w:cstheme="minorHAnsi"/>
          <w:b/>
        </w:rPr>
        <w:tab/>
        <w:t>Numbers of Apprenticeships by Apprenticeship Framework Type</w:t>
      </w:r>
    </w:p>
    <w:p w14:paraId="77F37D0C" w14:textId="77777777" w:rsidR="008876B7" w:rsidRPr="0033013E" w:rsidRDefault="008876B7" w:rsidP="008876B7">
      <w:pPr>
        <w:spacing w:before="240"/>
        <w:rPr>
          <w:rFonts w:cstheme="minorHAnsi"/>
        </w:rPr>
      </w:pPr>
    </w:p>
    <w:p w14:paraId="53111FE8" w14:textId="77777777" w:rsidR="008876B7" w:rsidRPr="0033013E" w:rsidRDefault="008876B7" w:rsidP="008876B7">
      <w:pPr>
        <w:spacing w:before="240"/>
        <w:rPr>
          <w:rFonts w:cstheme="minorHAnsi"/>
        </w:rPr>
      </w:pPr>
    </w:p>
    <w:p w14:paraId="5301EC82" w14:textId="77777777" w:rsidR="008876B7" w:rsidRPr="0033013E" w:rsidRDefault="008876B7" w:rsidP="008876B7">
      <w:pPr>
        <w:spacing w:before="240"/>
        <w:rPr>
          <w:rFonts w:cstheme="minorHAnsi"/>
        </w:rPr>
      </w:pPr>
    </w:p>
    <w:p w14:paraId="0220A847" w14:textId="77777777" w:rsidR="008876B7" w:rsidRDefault="008876B7" w:rsidP="008876B7">
      <w:pPr>
        <w:contextualSpacing/>
        <w:rPr>
          <w:rFonts w:cstheme="minorHAnsi"/>
        </w:rPr>
      </w:pPr>
    </w:p>
    <w:p w14:paraId="269CA57F" w14:textId="77777777" w:rsidR="00C94A3C" w:rsidRDefault="00C94A3C" w:rsidP="008876B7">
      <w:pPr>
        <w:rPr>
          <w:rFonts w:cstheme="minorHAnsi"/>
        </w:rPr>
      </w:pPr>
    </w:p>
    <w:p w14:paraId="6285D0A7" w14:textId="77777777" w:rsidR="00C94A3C" w:rsidRDefault="00C94A3C" w:rsidP="008876B7">
      <w:pPr>
        <w:rPr>
          <w:rFonts w:cstheme="minorHAnsi"/>
        </w:rPr>
      </w:pPr>
    </w:p>
    <w:p w14:paraId="42A27680" w14:textId="77777777" w:rsidR="00C94A3C" w:rsidRDefault="00C94A3C" w:rsidP="00C94A3C">
      <w:pPr>
        <w:rPr>
          <w:rFonts w:cstheme="minorHAnsi"/>
        </w:rPr>
      </w:pPr>
    </w:p>
    <w:p w14:paraId="6DA8F28D" w14:textId="77777777" w:rsidR="00C94A3C" w:rsidRDefault="00C94A3C" w:rsidP="00C94A3C">
      <w:pPr>
        <w:rPr>
          <w:rFonts w:cstheme="minorHAnsi"/>
        </w:rPr>
      </w:pPr>
    </w:p>
    <w:p w14:paraId="056DF433" w14:textId="77777777" w:rsidR="00C94A3C" w:rsidRPr="00E334A5" w:rsidRDefault="00C94A3C" w:rsidP="00C94A3C">
      <w:pPr>
        <w:rPr>
          <w:rFonts w:asciiTheme="minorHAnsi" w:hAnsiTheme="minorHAnsi" w:cstheme="minorHAnsi"/>
          <w:szCs w:val="22"/>
        </w:rPr>
      </w:pPr>
    </w:p>
    <w:p w14:paraId="1BFF0D94" w14:textId="109A60E5" w:rsidR="00D852F5" w:rsidRPr="00800207" w:rsidRDefault="00D852F5" w:rsidP="008876B7">
      <w:pPr>
        <w:pStyle w:val="Heading3"/>
      </w:pPr>
      <w:r w:rsidRPr="00800207">
        <w:t xml:space="preserve">Workforce Transformation </w:t>
      </w:r>
    </w:p>
    <w:p w14:paraId="2835A66C" w14:textId="5B4C1862" w:rsidR="00536402" w:rsidRDefault="008876B7" w:rsidP="00D852F5">
      <w:pPr>
        <w:rPr>
          <w:rFonts w:cstheme="minorHAnsi"/>
        </w:rPr>
      </w:pPr>
      <w:r w:rsidRPr="0033013E">
        <w:rPr>
          <w:rFonts w:cstheme="minorHAnsi"/>
        </w:rPr>
        <w:t>Ensuring consistency in clinical standards and professional practice</w:t>
      </w:r>
      <w:r>
        <w:rPr>
          <w:rFonts w:cstheme="minorHAnsi"/>
        </w:rPr>
        <w:t xml:space="preserve">, </w:t>
      </w:r>
      <w:r w:rsidRPr="0033013E">
        <w:rPr>
          <w:rFonts w:cstheme="minorHAnsi"/>
        </w:rPr>
        <w:t>providing the best quality and o</w:t>
      </w:r>
      <w:r>
        <w:rPr>
          <w:rFonts w:cstheme="minorHAnsi"/>
        </w:rPr>
        <w:t>utcomes across all our services is a priority.</w:t>
      </w:r>
      <w:r w:rsidRPr="0033013E">
        <w:rPr>
          <w:rFonts w:cstheme="minorHAnsi"/>
        </w:rPr>
        <w:t>  Supported by right staff with right skills, effective workforce models of delivery</w:t>
      </w:r>
      <w:r>
        <w:rPr>
          <w:rFonts w:cstheme="minorHAnsi"/>
        </w:rPr>
        <w:t>.</w:t>
      </w:r>
      <w:r w:rsidR="00CF024C">
        <w:rPr>
          <w:rFonts w:cstheme="minorHAnsi"/>
        </w:rPr>
        <w:t xml:space="preserve"> </w:t>
      </w:r>
      <w:r w:rsidRPr="0033013E">
        <w:rPr>
          <w:rFonts w:cstheme="minorHAnsi"/>
        </w:rPr>
        <w:t xml:space="preserve"> </w:t>
      </w:r>
      <w:r w:rsidRPr="0033013E">
        <w:rPr>
          <w:rFonts w:cstheme="minorHAnsi"/>
          <w:bCs/>
        </w:rPr>
        <w:t>Community focused with l</w:t>
      </w:r>
      <w:r w:rsidRPr="0033013E">
        <w:rPr>
          <w:rFonts w:cstheme="minorHAnsi"/>
        </w:rPr>
        <w:t xml:space="preserve">ocal community needs </w:t>
      </w:r>
      <w:r>
        <w:rPr>
          <w:rFonts w:cstheme="minorHAnsi"/>
        </w:rPr>
        <w:t xml:space="preserve">being </w:t>
      </w:r>
      <w:r w:rsidRPr="0033013E">
        <w:rPr>
          <w:rFonts w:cstheme="minorHAnsi"/>
        </w:rPr>
        <w:t>met through a community and prevention focus. System Leadership which serves the whole person’s needs, not just part.</w:t>
      </w:r>
    </w:p>
    <w:p w14:paraId="3D933F58" w14:textId="11C1E4AF" w:rsidR="008876B7" w:rsidRPr="00536402" w:rsidRDefault="008876B7" w:rsidP="008876B7">
      <w:pPr>
        <w:pStyle w:val="Heading4"/>
      </w:pPr>
      <w:r w:rsidRPr="0033013E">
        <w:rPr>
          <w:rFonts w:eastAsia="Times New Roman" w:cstheme="minorHAnsi"/>
        </w:rPr>
        <w:t xml:space="preserve">Primary and Community Enhanced </w:t>
      </w:r>
      <w:r>
        <w:rPr>
          <w:rFonts w:eastAsia="Times New Roman" w:cstheme="minorHAnsi"/>
        </w:rPr>
        <w:t>Resource Service</w:t>
      </w:r>
    </w:p>
    <w:p w14:paraId="65A7D3DA" w14:textId="7553B255" w:rsidR="008876B7" w:rsidRPr="0033013E" w:rsidRDefault="008876B7" w:rsidP="008876B7">
      <w:pPr>
        <w:rPr>
          <w:rFonts w:cstheme="minorHAnsi"/>
        </w:rPr>
      </w:pPr>
      <w:r w:rsidRPr="0033013E">
        <w:rPr>
          <w:rFonts w:cstheme="minorHAnsi"/>
        </w:rPr>
        <w:t>Following invest</w:t>
      </w:r>
      <w:r w:rsidR="00B1126E">
        <w:rPr>
          <w:rFonts w:cstheme="minorHAnsi"/>
        </w:rPr>
        <w:t>ment</w:t>
      </w:r>
      <w:r w:rsidRPr="0033013E">
        <w:rPr>
          <w:rFonts w:cstheme="minorHAnsi"/>
        </w:rPr>
        <w:t xml:space="preserve"> from </w:t>
      </w:r>
      <w:r w:rsidR="00B1126E">
        <w:rPr>
          <w:rFonts w:cstheme="minorHAnsi"/>
        </w:rPr>
        <w:t xml:space="preserve">the </w:t>
      </w:r>
      <w:r w:rsidR="00897141">
        <w:rPr>
          <w:rFonts w:cstheme="minorHAnsi"/>
        </w:rPr>
        <w:t>WG</w:t>
      </w:r>
      <w:r w:rsidRPr="0033013E">
        <w:rPr>
          <w:rFonts w:cstheme="minorHAnsi"/>
        </w:rPr>
        <w:t xml:space="preserve"> transformation fund, the Health Board has embarked on 'Transforming Health and Social Care Outcomes Together – Development of a 'Primary and Community Enhanced Resource Service'.  This programme of work followed a series of engagement workshops with our GP and Practice/community colleagues to explore sustainability and workforce development.  As part of this work the clusters reflected on the current model of delivery for Primary Care and the growing issues around sustainability and they recognised the need that something more radical is required to shape primary care clusters moving forward.  The</w:t>
      </w:r>
      <w:r w:rsidR="00CF024C">
        <w:rPr>
          <w:rFonts w:cstheme="minorHAnsi"/>
        </w:rPr>
        <w:t xml:space="preserve"> key theme </w:t>
      </w:r>
      <w:r w:rsidRPr="0033013E">
        <w:rPr>
          <w:rFonts w:cstheme="minorHAnsi"/>
        </w:rPr>
        <w:t>to come out of these workshops w</w:t>
      </w:r>
      <w:r w:rsidR="00CF024C">
        <w:rPr>
          <w:rFonts w:cstheme="minorHAnsi"/>
        </w:rPr>
        <w:t>as</w:t>
      </w:r>
      <w:r w:rsidRPr="0033013E">
        <w:rPr>
          <w:rFonts w:cstheme="minorHAnsi"/>
        </w:rPr>
        <w:t xml:space="preserve"> that sustainability was dependent on GPs being the co-ordinators of care</w:t>
      </w:r>
      <w:r>
        <w:rPr>
          <w:rFonts w:cstheme="minorHAnsi"/>
        </w:rPr>
        <w:t>,</w:t>
      </w:r>
      <w:r w:rsidRPr="0033013E">
        <w:rPr>
          <w:rFonts w:cstheme="minorHAnsi"/>
        </w:rPr>
        <w:t xml:space="preserve"> whilst supported by a strong multidisciplinary team within and wrapped around clusters</w:t>
      </w:r>
      <w:r>
        <w:rPr>
          <w:rFonts w:cstheme="minorHAnsi"/>
        </w:rPr>
        <w:t>,</w:t>
      </w:r>
      <w:r w:rsidRPr="0033013E">
        <w:rPr>
          <w:rFonts w:cstheme="minorHAnsi"/>
        </w:rPr>
        <w:t xml:space="preserve"> responding to patient’s needs.  It needed to be anticipatory in nature and not reactionary.  </w:t>
      </w:r>
    </w:p>
    <w:p w14:paraId="7277516C" w14:textId="77777777" w:rsidR="008876B7" w:rsidRPr="0033013E" w:rsidRDefault="008876B7" w:rsidP="008876B7">
      <w:pPr>
        <w:rPr>
          <w:rFonts w:cstheme="minorHAnsi"/>
        </w:rPr>
      </w:pPr>
    </w:p>
    <w:p w14:paraId="7858DE07" w14:textId="47193BEA" w:rsidR="008876B7" w:rsidRDefault="008876B7" w:rsidP="008876B7">
      <w:pPr>
        <w:rPr>
          <w:rFonts w:cstheme="minorHAnsi"/>
        </w:rPr>
      </w:pPr>
      <w:r w:rsidRPr="0033013E">
        <w:rPr>
          <w:rFonts w:cstheme="minorHAnsi"/>
        </w:rPr>
        <w:t xml:space="preserve">The workforce aim is to maximise the newly developed multi-disciplinary and multi-agency workforce in a wholly integrated way. </w:t>
      </w:r>
      <w:r w:rsidR="00CF024C">
        <w:rPr>
          <w:rFonts w:cstheme="minorHAnsi"/>
        </w:rPr>
        <w:t xml:space="preserve"> </w:t>
      </w:r>
      <w:r w:rsidRPr="0033013E">
        <w:rPr>
          <w:rFonts w:cstheme="minorHAnsi"/>
        </w:rPr>
        <w:t xml:space="preserve">The focus is on our primary care and community clinicians alongside our </w:t>
      </w:r>
      <w:r w:rsidR="00CF024C">
        <w:rPr>
          <w:rFonts w:cstheme="minorHAnsi"/>
        </w:rPr>
        <w:t xml:space="preserve">LA </w:t>
      </w:r>
      <w:r w:rsidRPr="0033013E">
        <w:rPr>
          <w:rFonts w:cstheme="minorHAnsi"/>
        </w:rPr>
        <w:t>and third sector partners</w:t>
      </w:r>
      <w:r>
        <w:rPr>
          <w:rFonts w:cstheme="minorHAnsi"/>
        </w:rPr>
        <w:t xml:space="preserve">. </w:t>
      </w:r>
      <w:r w:rsidR="00CF024C">
        <w:rPr>
          <w:rFonts w:cstheme="minorHAnsi"/>
        </w:rPr>
        <w:t xml:space="preserve"> </w:t>
      </w:r>
      <w:r>
        <w:rPr>
          <w:rFonts w:cstheme="minorHAnsi"/>
        </w:rPr>
        <w:t>En</w:t>
      </w:r>
      <w:r w:rsidRPr="0033013E">
        <w:rPr>
          <w:rFonts w:cstheme="minorHAnsi"/>
        </w:rPr>
        <w:t>suring as much care is provided as close to home as possible.</w:t>
      </w:r>
      <w:r w:rsidR="00CF024C">
        <w:rPr>
          <w:rFonts w:cstheme="minorHAnsi"/>
        </w:rPr>
        <w:t xml:space="preserve"> </w:t>
      </w:r>
      <w:r w:rsidRPr="0033013E">
        <w:rPr>
          <w:rFonts w:cstheme="minorHAnsi"/>
        </w:rPr>
        <w:t xml:space="preserve"> Ensuring our District General Hospitals (DGH) are only used for Acute and Specialist activity.</w:t>
      </w:r>
      <w:r w:rsidR="00CF024C">
        <w:rPr>
          <w:rFonts w:cstheme="minorHAnsi"/>
        </w:rPr>
        <w:t xml:space="preserve"> </w:t>
      </w:r>
      <w:r w:rsidRPr="0033013E">
        <w:rPr>
          <w:rFonts w:cstheme="minorHAnsi"/>
        </w:rPr>
        <w:t xml:space="preserve"> Aligning to the principles of the Quadruple Aims and Prudent Healthcare and the 5 ways of working in the ‘Wellbeing of Future Generations Act’, in order to have a long lasting positive impact on service delivery, resilience, adaptability and sustainability.</w:t>
      </w:r>
    </w:p>
    <w:p w14:paraId="3DC6E2D2" w14:textId="77777777" w:rsidR="008876B7" w:rsidRPr="0033013E" w:rsidRDefault="008876B7" w:rsidP="008876B7">
      <w:pPr>
        <w:rPr>
          <w:rFonts w:cstheme="minorHAnsi"/>
        </w:rPr>
      </w:pPr>
    </w:p>
    <w:p w14:paraId="11F85641" w14:textId="77777777" w:rsidR="008876B7" w:rsidRPr="0033013E" w:rsidRDefault="008876B7" w:rsidP="008876B7">
      <w:pPr>
        <w:jc w:val="center"/>
        <w:rPr>
          <w:rFonts w:cstheme="minorHAnsi"/>
        </w:rPr>
      </w:pPr>
      <w:r w:rsidRPr="0033013E">
        <w:rPr>
          <w:rFonts w:cstheme="minorHAnsi"/>
          <w:b/>
        </w:rPr>
        <w:object w:dxaOrig="9580" w:dyaOrig="5376" w14:anchorId="541303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75pt;height:242.25pt" o:ole="">
            <v:imagedata r:id="rId103" o:title=""/>
          </v:shape>
          <o:OLEObject Type="Embed" ProgID="PowerPoint.Slide.12" ShapeID="_x0000_i1025" DrawAspect="Content" ObjectID="_1646590775" r:id="rId104"/>
        </w:object>
      </w:r>
    </w:p>
    <w:p w14:paraId="7F11A56B" w14:textId="1382CC24" w:rsidR="008876B7" w:rsidRPr="0033013E" w:rsidRDefault="008876B7" w:rsidP="008876B7">
      <w:pPr>
        <w:rPr>
          <w:rFonts w:cstheme="minorHAnsi"/>
        </w:rPr>
      </w:pPr>
      <w:r w:rsidRPr="0033013E">
        <w:rPr>
          <w:rFonts w:cstheme="minorHAnsi"/>
          <w:bCs/>
        </w:rPr>
        <w:t xml:space="preserve">The multidisciplinary/multi-agency model will provides a continuous learning environment for both the individual </w:t>
      </w:r>
      <w:r w:rsidRPr="008876B7">
        <w:rPr>
          <w:rFonts w:cstheme="minorHAnsi"/>
          <w:bCs/>
        </w:rPr>
        <w:t xml:space="preserve">and the system.  Supported by the Pacesetter initiative, the Health Board has </w:t>
      </w:r>
      <w:r w:rsidRPr="008876B7">
        <w:rPr>
          <w:rFonts w:cstheme="minorHAnsi"/>
        </w:rPr>
        <w:t>developed a</w:t>
      </w:r>
      <w:r w:rsidR="00CF024C">
        <w:rPr>
          <w:rFonts w:cstheme="minorHAnsi"/>
        </w:rPr>
        <w:t>n</w:t>
      </w:r>
      <w:r w:rsidRPr="008876B7">
        <w:rPr>
          <w:rFonts w:cstheme="minorHAnsi"/>
        </w:rPr>
        <w:t xml:space="preserve"> Academy Training programme for </w:t>
      </w:r>
      <w:r w:rsidRPr="008876B7">
        <w:rPr>
          <w:rFonts w:cstheme="minorHAnsi"/>
          <w:bCs/>
        </w:rPr>
        <w:t xml:space="preserve">‘Advanced Training Practices’ (ATPs) </w:t>
      </w:r>
      <w:r w:rsidRPr="008876B7">
        <w:rPr>
          <w:rFonts w:cstheme="minorHAnsi"/>
        </w:rPr>
        <w:t>based on a hub and spoke model for pre-registration nurses and ANPs, which will be the focus from 20</w:t>
      </w:r>
      <w:r>
        <w:rPr>
          <w:rFonts w:cstheme="minorHAnsi"/>
        </w:rPr>
        <w:t>20</w:t>
      </w:r>
      <w:r w:rsidRPr="008876B7">
        <w:rPr>
          <w:rFonts w:cstheme="minorHAnsi"/>
        </w:rPr>
        <w:t xml:space="preserve"> – 2</w:t>
      </w:r>
      <w:r>
        <w:rPr>
          <w:rFonts w:cstheme="minorHAnsi"/>
        </w:rPr>
        <w:t>3</w:t>
      </w:r>
      <w:r w:rsidRPr="008876B7">
        <w:rPr>
          <w:rFonts w:cstheme="minorHAnsi"/>
        </w:rPr>
        <w:t>.</w:t>
      </w:r>
      <w:r w:rsidRPr="0033013E">
        <w:rPr>
          <w:rFonts w:cstheme="minorHAnsi"/>
        </w:rPr>
        <w:t xml:space="preserve">  It is hoped that the ATPs will evolve into multidisciplinary training centres and work will commence following evaluation of the nursing element. </w:t>
      </w:r>
      <w:r w:rsidR="00CF024C">
        <w:rPr>
          <w:rFonts w:cstheme="minorHAnsi"/>
        </w:rPr>
        <w:t xml:space="preserve"> </w:t>
      </w:r>
      <w:r w:rsidRPr="0033013E">
        <w:rPr>
          <w:rFonts w:cstheme="minorHAnsi"/>
        </w:rPr>
        <w:t>It is hoped this will increase the number of structured educational placements, promote Primary Care as first choice employment destination and allow clusters to focus on ‘grow your own’, increase training capacity and capability, accommodate multi-professional training and upskill existing staff.  The ultimate aim is the development of ‘Centres of Excellence’ for all health</w:t>
      </w:r>
      <w:r w:rsidR="00CF024C">
        <w:rPr>
          <w:rFonts w:cstheme="minorHAnsi"/>
        </w:rPr>
        <w:t xml:space="preserve"> and social care professionals.</w:t>
      </w:r>
    </w:p>
    <w:p w14:paraId="630407B5" w14:textId="77777777" w:rsidR="008876B7" w:rsidRPr="0033013E" w:rsidRDefault="008876B7" w:rsidP="008876B7">
      <w:pPr>
        <w:rPr>
          <w:rFonts w:cstheme="minorHAnsi"/>
        </w:rPr>
      </w:pPr>
    </w:p>
    <w:p w14:paraId="2CA8A51D" w14:textId="44AC5EB6" w:rsidR="008876B7" w:rsidRPr="0033013E" w:rsidRDefault="008876B7" w:rsidP="008876B7">
      <w:pPr>
        <w:rPr>
          <w:rFonts w:cstheme="minorHAnsi"/>
        </w:rPr>
      </w:pPr>
      <w:r w:rsidRPr="0033013E">
        <w:rPr>
          <w:rFonts w:cstheme="minorHAnsi"/>
        </w:rPr>
        <w:t>GP’s need to place themselves at the centre of a multidisciplinary team as an Expert Medical Generalist and the senior decision maker.  Specialist services, including those in primary care, need to work more closely with general practice.  This model is predicated on strong and robust General Practice that has a multidiscip</w:t>
      </w:r>
      <w:r w:rsidR="009E5F2C">
        <w:rPr>
          <w:rFonts w:cstheme="minorHAnsi"/>
        </w:rPr>
        <w:t>linary/agency wrap around team.  The implementation of the new operating model for the UHB is designed to support and facilitate the development of patient focussed multi-disciplinary working at Locality and Cluster level.</w:t>
      </w:r>
      <w:r w:rsidRPr="0033013E">
        <w:rPr>
          <w:rFonts w:cstheme="minorHAnsi"/>
        </w:rPr>
        <w:t xml:space="preserve"> </w:t>
      </w:r>
    </w:p>
    <w:p w14:paraId="5CD314C3" w14:textId="77777777" w:rsidR="008876B7" w:rsidRPr="0054685F" w:rsidRDefault="008876B7" w:rsidP="008876B7">
      <w:pPr>
        <w:rPr>
          <w:rFonts w:cstheme="minorHAnsi"/>
        </w:rPr>
      </w:pPr>
    </w:p>
    <w:p w14:paraId="28D064C4" w14:textId="79A15001" w:rsidR="008876B7" w:rsidRPr="0033013E" w:rsidRDefault="008876B7" w:rsidP="008876B7">
      <w:pPr>
        <w:rPr>
          <w:rFonts w:cstheme="minorHAnsi"/>
        </w:rPr>
      </w:pPr>
      <w:r w:rsidRPr="0054685F">
        <w:rPr>
          <w:rFonts w:cstheme="minorHAnsi"/>
        </w:rPr>
        <w:t>The Stay Well in your Community Programme aim</w:t>
      </w:r>
      <w:r w:rsidRPr="0054685F">
        <w:rPr>
          <w:rFonts w:cstheme="minorHAnsi"/>
          <w:spacing w:val="-2"/>
        </w:rPr>
        <w:t xml:space="preserve"> is working with partners </w:t>
      </w:r>
      <w:r w:rsidRPr="0054685F">
        <w:rPr>
          <w:rFonts w:cstheme="minorHAnsi"/>
          <w:bCs/>
          <w:color w:val="000000"/>
        </w:rPr>
        <w:t>collaboratively to develop a whole system approach for an integrated health and social</w:t>
      </w:r>
      <w:r w:rsidRPr="0033013E">
        <w:rPr>
          <w:rFonts w:cstheme="minorHAnsi"/>
          <w:bCs/>
          <w:color w:val="000000"/>
        </w:rPr>
        <w:t xml:space="preserve"> care model that delivers services closer to home.</w:t>
      </w:r>
      <w:r w:rsidR="00CF024C">
        <w:rPr>
          <w:rFonts w:cstheme="minorHAnsi"/>
          <w:bCs/>
          <w:color w:val="000000"/>
        </w:rPr>
        <w:t xml:space="preserve">  </w:t>
      </w:r>
      <w:r w:rsidRPr="0033013E">
        <w:rPr>
          <w:rFonts w:cstheme="minorHAnsi"/>
        </w:rPr>
        <w:t xml:space="preserve">A project board has been establish with a number of supporting </w:t>
      </w:r>
      <w:r w:rsidR="00614BBE">
        <w:rPr>
          <w:rFonts w:cstheme="minorHAnsi"/>
        </w:rPr>
        <w:t>workstreams</w:t>
      </w:r>
      <w:r w:rsidR="00CF024C">
        <w:rPr>
          <w:rFonts w:cstheme="minorHAnsi"/>
        </w:rPr>
        <w:t xml:space="preserve"> w</w:t>
      </w:r>
      <w:r w:rsidRPr="0033013E">
        <w:rPr>
          <w:rFonts w:cstheme="minorHAnsi"/>
        </w:rPr>
        <w:t>hich are:</w:t>
      </w:r>
    </w:p>
    <w:p w14:paraId="3EEED4F0" w14:textId="77777777" w:rsidR="008876B7" w:rsidRPr="0033013E" w:rsidRDefault="008876B7" w:rsidP="00F60A35">
      <w:pPr>
        <w:numPr>
          <w:ilvl w:val="0"/>
          <w:numId w:val="87"/>
        </w:numPr>
        <w:contextualSpacing/>
        <w:rPr>
          <w:rFonts w:cstheme="minorHAnsi"/>
        </w:rPr>
      </w:pPr>
      <w:r w:rsidRPr="0033013E">
        <w:rPr>
          <w:rFonts w:cstheme="minorHAnsi"/>
        </w:rPr>
        <w:t>Risk Stratification and Segmentation</w:t>
      </w:r>
      <w:r>
        <w:rPr>
          <w:rFonts w:cstheme="minorHAnsi"/>
        </w:rPr>
        <w:t>.</w:t>
      </w:r>
    </w:p>
    <w:p w14:paraId="6B6BC31E" w14:textId="77777777" w:rsidR="008876B7" w:rsidRPr="0033013E" w:rsidRDefault="008876B7" w:rsidP="00F60A35">
      <w:pPr>
        <w:numPr>
          <w:ilvl w:val="0"/>
          <w:numId w:val="87"/>
        </w:numPr>
        <w:contextualSpacing/>
        <w:rPr>
          <w:rFonts w:cstheme="minorHAnsi"/>
        </w:rPr>
      </w:pPr>
      <w:r w:rsidRPr="0033013E">
        <w:rPr>
          <w:rFonts w:cstheme="minorHAnsi"/>
        </w:rPr>
        <w:t>Assistive Technology</w:t>
      </w:r>
      <w:r>
        <w:rPr>
          <w:rFonts w:cstheme="minorHAnsi"/>
        </w:rPr>
        <w:t>.</w:t>
      </w:r>
    </w:p>
    <w:p w14:paraId="20293E20" w14:textId="77777777" w:rsidR="008876B7" w:rsidRPr="0033013E" w:rsidRDefault="008876B7" w:rsidP="00F60A35">
      <w:pPr>
        <w:numPr>
          <w:ilvl w:val="0"/>
          <w:numId w:val="87"/>
        </w:numPr>
        <w:contextualSpacing/>
        <w:rPr>
          <w:rFonts w:cstheme="minorHAnsi"/>
        </w:rPr>
      </w:pPr>
      <w:r w:rsidRPr="0033013E">
        <w:rPr>
          <w:rFonts w:cstheme="minorHAnsi"/>
        </w:rPr>
        <w:t>Stay Well @Home Phase 2</w:t>
      </w:r>
      <w:r>
        <w:rPr>
          <w:rFonts w:cstheme="minorHAnsi"/>
        </w:rPr>
        <w:t>.</w:t>
      </w:r>
      <w:r w:rsidRPr="0033013E">
        <w:rPr>
          <w:rFonts w:cstheme="minorHAnsi"/>
        </w:rPr>
        <w:t xml:space="preserve"> </w:t>
      </w:r>
    </w:p>
    <w:p w14:paraId="69411E93" w14:textId="0BAA7DF6" w:rsidR="008876B7" w:rsidRPr="0033013E" w:rsidRDefault="008876B7" w:rsidP="00F60A35">
      <w:pPr>
        <w:pStyle w:val="ListParagraph"/>
        <w:numPr>
          <w:ilvl w:val="0"/>
          <w:numId w:val="87"/>
        </w:numPr>
        <w:rPr>
          <w:rFonts w:cstheme="minorHAnsi"/>
        </w:rPr>
      </w:pPr>
      <w:r w:rsidRPr="0033013E">
        <w:rPr>
          <w:rFonts w:cstheme="minorHAnsi"/>
        </w:rPr>
        <w:t>Enhanced Community Cluster Teams - This compromises of Physician Associates, Physiotherapy, Occupational Therapy, Speech and Language Therapy, Generic Therapy rol</w:t>
      </w:r>
      <w:r w:rsidR="00CF024C">
        <w:rPr>
          <w:rFonts w:cstheme="minorHAnsi"/>
        </w:rPr>
        <w:t>es, Mental Health Practitioners,</w:t>
      </w:r>
      <w:r w:rsidRPr="0033013E">
        <w:rPr>
          <w:rFonts w:cstheme="minorHAnsi"/>
        </w:rPr>
        <w:t xml:space="preserve"> Pharmacist, Pharmacy Technician, ANP, District Nurse and HCSW/Phlebotomist.  Some may already exist within the system but need to work differently and be aligned through a single integrated process/team reflecting the need of the current population.</w:t>
      </w:r>
    </w:p>
    <w:p w14:paraId="023EDC27" w14:textId="77777777" w:rsidR="008876B7" w:rsidRDefault="008876B7" w:rsidP="00F60A35">
      <w:pPr>
        <w:numPr>
          <w:ilvl w:val="0"/>
          <w:numId w:val="87"/>
        </w:numPr>
        <w:contextualSpacing/>
        <w:rPr>
          <w:rFonts w:cstheme="minorHAnsi"/>
        </w:rPr>
      </w:pPr>
      <w:r w:rsidRPr="0033013E">
        <w:rPr>
          <w:rFonts w:cstheme="minorHAnsi"/>
        </w:rPr>
        <w:t>Urgent Primary Care Out of Hours</w:t>
      </w:r>
      <w:r>
        <w:rPr>
          <w:rFonts w:cstheme="minorHAnsi"/>
        </w:rPr>
        <w:t>.</w:t>
      </w:r>
    </w:p>
    <w:p w14:paraId="217990CE" w14:textId="18FA5B78" w:rsidR="008523C1" w:rsidRPr="0033013E" w:rsidRDefault="008523C1" w:rsidP="00F60A35">
      <w:pPr>
        <w:numPr>
          <w:ilvl w:val="0"/>
          <w:numId w:val="87"/>
        </w:numPr>
        <w:contextualSpacing/>
        <w:rPr>
          <w:rFonts w:cstheme="minorHAnsi"/>
        </w:rPr>
      </w:pPr>
      <w:r>
        <w:rPr>
          <w:rFonts w:cstheme="minorHAnsi"/>
        </w:rPr>
        <w:t>Digitally enabling the staff, increasing their mobility t</w:t>
      </w:r>
      <w:r w:rsidR="00EE4026">
        <w:rPr>
          <w:rFonts w:cstheme="minorHAnsi"/>
        </w:rPr>
        <w:t>o take advantage of the approach</w:t>
      </w:r>
      <w:r>
        <w:rPr>
          <w:rFonts w:cstheme="minorHAnsi"/>
        </w:rPr>
        <w:t xml:space="preserve"> to an integrated health and social care model.</w:t>
      </w:r>
    </w:p>
    <w:p w14:paraId="4090631D" w14:textId="77777777" w:rsidR="008876B7" w:rsidRPr="0033013E" w:rsidRDefault="008876B7" w:rsidP="008876B7">
      <w:pPr>
        <w:rPr>
          <w:rFonts w:cstheme="minorHAnsi"/>
        </w:rPr>
      </w:pPr>
    </w:p>
    <w:p w14:paraId="7E372A0C" w14:textId="52F0A9B2" w:rsidR="008876B7" w:rsidRPr="0033013E" w:rsidRDefault="008876B7" w:rsidP="008876B7">
      <w:pPr>
        <w:rPr>
          <w:rFonts w:cstheme="minorHAnsi"/>
          <w:bCs/>
        </w:rPr>
      </w:pPr>
      <w:r w:rsidRPr="0033013E">
        <w:rPr>
          <w:rFonts w:cstheme="minorHAnsi"/>
        </w:rPr>
        <w:t>These are supported by 4 enabling groups one of which is workforce.</w:t>
      </w:r>
      <w:r w:rsidR="00CF024C">
        <w:rPr>
          <w:rFonts w:cstheme="minorHAnsi"/>
        </w:rPr>
        <w:t xml:space="preserve">  </w:t>
      </w:r>
      <w:r w:rsidRPr="0033013E">
        <w:rPr>
          <w:rFonts w:cstheme="minorHAnsi"/>
        </w:rPr>
        <w:t>All p</w:t>
      </w:r>
      <w:r>
        <w:rPr>
          <w:rFonts w:cstheme="minorHAnsi"/>
        </w:rPr>
        <w:t xml:space="preserve">artners are represented on the workforce </w:t>
      </w:r>
      <w:r w:rsidRPr="0033013E">
        <w:rPr>
          <w:rFonts w:cstheme="minorHAnsi"/>
        </w:rPr>
        <w:t>group</w:t>
      </w:r>
      <w:r>
        <w:rPr>
          <w:rFonts w:cstheme="minorHAnsi"/>
        </w:rPr>
        <w:t>,</w:t>
      </w:r>
      <w:r w:rsidRPr="0033013E">
        <w:rPr>
          <w:rFonts w:cstheme="minorHAnsi"/>
        </w:rPr>
        <w:t xml:space="preserve"> whose main aim is to ensure the recruitment required for the programme is in place, oversee and advise on workforce implications relating to the change in models required.  </w:t>
      </w:r>
    </w:p>
    <w:p w14:paraId="566EBB5B" w14:textId="7C8F07E5" w:rsidR="008876B7" w:rsidRDefault="008876B7" w:rsidP="008876B7">
      <w:pPr>
        <w:rPr>
          <w:rFonts w:cstheme="minorHAnsi"/>
        </w:rPr>
      </w:pPr>
    </w:p>
    <w:p w14:paraId="446F5D64" w14:textId="4CB3E16F" w:rsidR="0054685F" w:rsidRPr="0033013E" w:rsidRDefault="00F45A85" w:rsidP="0054685F">
      <w:pPr>
        <w:rPr>
          <w:rFonts w:cstheme="minorHAnsi"/>
          <w:bCs/>
        </w:rPr>
      </w:pPr>
      <w:r w:rsidRPr="0033013E">
        <w:rPr>
          <w:rFonts w:cstheme="minorHAnsi"/>
          <w:noProof/>
        </w:rPr>
        <w:drawing>
          <wp:anchor distT="0" distB="0" distL="114300" distR="114300" simplePos="0" relativeHeight="252883968" behindDoc="0" locked="0" layoutInCell="1" allowOverlap="1" wp14:anchorId="612F25F2" wp14:editId="5A60EA33">
            <wp:simplePos x="0" y="0"/>
            <wp:positionH relativeFrom="margin">
              <wp:align>center</wp:align>
            </wp:positionH>
            <wp:positionV relativeFrom="paragraph">
              <wp:posOffset>450215</wp:posOffset>
            </wp:positionV>
            <wp:extent cx="4991100" cy="3132455"/>
            <wp:effectExtent l="0" t="0" r="0" b="0"/>
            <wp:wrapTopAndBottom/>
            <wp:docPr id="1797" name="Picture 1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extLst>
                        <a:ext uri="{28A0092B-C50C-407E-A947-70E740481C1C}">
                          <a14:useLocalDpi xmlns:a14="http://schemas.microsoft.com/office/drawing/2010/main" val="0"/>
                        </a:ext>
                      </a:extLst>
                    </a:blip>
                    <a:stretch>
                      <a:fillRect/>
                    </a:stretch>
                  </pic:blipFill>
                  <pic:spPr>
                    <a:xfrm>
                      <a:off x="0" y="0"/>
                      <a:ext cx="4991100" cy="3132455"/>
                    </a:xfrm>
                    <a:prstGeom prst="rect">
                      <a:avLst/>
                    </a:prstGeom>
                  </pic:spPr>
                </pic:pic>
              </a:graphicData>
            </a:graphic>
            <wp14:sizeRelH relativeFrom="margin">
              <wp14:pctWidth>0</wp14:pctWidth>
            </wp14:sizeRelH>
            <wp14:sizeRelV relativeFrom="margin">
              <wp14:pctHeight>0</wp14:pctHeight>
            </wp14:sizeRelV>
          </wp:anchor>
        </w:drawing>
      </w:r>
      <w:r w:rsidR="0054685F" w:rsidRPr="0033013E">
        <w:rPr>
          <w:rFonts w:cstheme="minorHAnsi"/>
          <w:bCs/>
        </w:rPr>
        <w:t>Within the Bridgend area of the Health Board they have an already established community resource team and the transformation fund resources are helping to enhance the current model.</w:t>
      </w:r>
    </w:p>
    <w:p w14:paraId="712EF822" w14:textId="77066DEC" w:rsidR="0054685F" w:rsidRDefault="0054685F" w:rsidP="0054685F">
      <w:pPr>
        <w:rPr>
          <w:rFonts w:cstheme="minorHAnsi"/>
        </w:rPr>
      </w:pPr>
    </w:p>
    <w:p w14:paraId="31F213A2" w14:textId="279D3122" w:rsidR="0054685F" w:rsidRPr="0033013E" w:rsidRDefault="0054685F" w:rsidP="0054685F">
      <w:pPr>
        <w:rPr>
          <w:rFonts w:cstheme="minorHAnsi"/>
        </w:rPr>
      </w:pPr>
      <w:r w:rsidRPr="0033013E">
        <w:rPr>
          <w:rFonts w:cstheme="minorHAnsi"/>
        </w:rPr>
        <w:t xml:space="preserve">Other initiatives which will continue to take place </w:t>
      </w:r>
      <w:r>
        <w:rPr>
          <w:rFonts w:cstheme="minorHAnsi"/>
        </w:rPr>
        <w:t xml:space="preserve">in Primary Care </w:t>
      </w:r>
      <w:r w:rsidRPr="0033013E">
        <w:rPr>
          <w:rFonts w:cstheme="minorHAnsi"/>
        </w:rPr>
        <w:t>includes practice manager mentorship, independent prescribing for Nurses/Pharmacists and Advanced Nurse Practitioner MSc placements outside of the training hub cohort.</w:t>
      </w:r>
      <w:r w:rsidR="00CF024C">
        <w:rPr>
          <w:rFonts w:cstheme="minorHAnsi"/>
        </w:rPr>
        <w:t xml:space="preserve">  In addition</w:t>
      </w:r>
      <w:r w:rsidRPr="0033013E">
        <w:rPr>
          <w:rFonts w:cstheme="minorHAnsi"/>
        </w:rPr>
        <w:t xml:space="preserve"> to this we will continue </w:t>
      </w:r>
      <w:r>
        <w:rPr>
          <w:rFonts w:cstheme="minorHAnsi"/>
        </w:rPr>
        <w:t xml:space="preserve">the </w:t>
      </w:r>
      <w:r w:rsidRPr="0033013E">
        <w:rPr>
          <w:rFonts w:cstheme="minorHAnsi"/>
        </w:rPr>
        <w:t xml:space="preserve">funding for backfill of GP mentors, as this is an essential part of the Clinical Skills MSc and Independent Prescribing qualifications.  </w:t>
      </w:r>
    </w:p>
    <w:p w14:paraId="04FCDC96" w14:textId="7F3B7D1D" w:rsidR="0054685F" w:rsidRPr="00536402" w:rsidRDefault="0054685F" w:rsidP="0054685F">
      <w:pPr>
        <w:pStyle w:val="Heading4"/>
      </w:pPr>
      <w:r w:rsidRPr="0033013E">
        <w:rPr>
          <w:rFonts w:eastAsia="Times New Roman" w:cstheme="minorHAnsi"/>
        </w:rPr>
        <w:lastRenderedPageBreak/>
        <w:t>Other Examples of Workforce Transformation</w:t>
      </w:r>
    </w:p>
    <w:p w14:paraId="444EE7B7" w14:textId="6C216038" w:rsidR="0054685F" w:rsidRDefault="0054685F" w:rsidP="0054685F">
      <w:pPr>
        <w:contextualSpacing/>
        <w:rPr>
          <w:rFonts w:cstheme="minorHAnsi"/>
        </w:rPr>
      </w:pPr>
      <w:r w:rsidRPr="0054685F">
        <w:rPr>
          <w:rFonts w:cstheme="minorHAnsi"/>
        </w:rPr>
        <w:t xml:space="preserve">The Health Board has received an indicative allocation of £1.38m from </w:t>
      </w:r>
      <w:r w:rsidR="00897141">
        <w:rPr>
          <w:rFonts w:cstheme="minorHAnsi"/>
        </w:rPr>
        <w:t>WG</w:t>
      </w:r>
      <w:r w:rsidRPr="0054685F">
        <w:rPr>
          <w:rFonts w:cstheme="minorHAnsi"/>
        </w:rPr>
        <w:t xml:space="preserve"> in relation to Critical Care, for Outreach and the introduction of a Post Anaesthetic Care Unit (PACU).  This will result in additional recruitment, enhancing/changing existing staff that will affords us an opportunity to review the workforce model, to ensure the workforce is sustainable, prudent and quality driven.</w:t>
      </w:r>
    </w:p>
    <w:p w14:paraId="3E41A737" w14:textId="77777777" w:rsidR="0054685F" w:rsidRDefault="0054685F" w:rsidP="0054685F">
      <w:pPr>
        <w:contextualSpacing/>
        <w:rPr>
          <w:rFonts w:cstheme="minorHAnsi"/>
        </w:rPr>
      </w:pPr>
    </w:p>
    <w:p w14:paraId="61390DB6" w14:textId="0EC7D9CA" w:rsidR="0054685F" w:rsidRDefault="0054685F" w:rsidP="0054685F">
      <w:pPr>
        <w:contextualSpacing/>
        <w:rPr>
          <w:rFonts w:cstheme="minorHAnsi"/>
        </w:rPr>
      </w:pPr>
      <w:r w:rsidRPr="0054685F">
        <w:rPr>
          <w:rFonts w:cstheme="minorHAnsi"/>
        </w:rPr>
        <w:t xml:space="preserve">The </w:t>
      </w:r>
      <w:r w:rsidR="00071680">
        <w:rPr>
          <w:rFonts w:cstheme="minorHAnsi"/>
        </w:rPr>
        <w:t>Health Board</w:t>
      </w:r>
      <w:r w:rsidRPr="0054685F">
        <w:rPr>
          <w:rFonts w:cstheme="minorHAnsi"/>
        </w:rPr>
        <w:t xml:space="preserve"> has a strong </w:t>
      </w:r>
      <w:r w:rsidRPr="0054685F">
        <w:rPr>
          <w:rFonts w:cstheme="minorHAnsi"/>
          <w:b/>
          <w:i/>
        </w:rPr>
        <w:t>Ambulatory Emergency Care</w:t>
      </w:r>
      <w:r w:rsidRPr="0054685F">
        <w:rPr>
          <w:rFonts w:cstheme="minorHAnsi"/>
        </w:rPr>
        <w:t xml:space="preserve"> service which is consultant lead and delivered/supported by</w:t>
      </w:r>
      <w:r w:rsidRPr="0033013E">
        <w:rPr>
          <w:rFonts w:cstheme="minorHAnsi"/>
        </w:rPr>
        <w:t xml:space="preserve"> Advance Nurse Practitioners and trainees.  Further development of the Ambulatory Emergency Care in </w:t>
      </w:r>
      <w:r w:rsidR="00E32360">
        <w:rPr>
          <w:rFonts w:cstheme="minorHAnsi"/>
        </w:rPr>
        <w:t>POWH</w:t>
      </w:r>
      <w:r w:rsidRPr="0033013E">
        <w:rPr>
          <w:rFonts w:cstheme="minorHAnsi"/>
        </w:rPr>
        <w:t xml:space="preserve"> should help patient flow and will be part of the redesign of the front door.</w:t>
      </w:r>
    </w:p>
    <w:p w14:paraId="77B8C72A" w14:textId="77777777" w:rsidR="0054685F" w:rsidRPr="0033013E" w:rsidRDefault="0054685F" w:rsidP="0054685F">
      <w:pPr>
        <w:contextualSpacing/>
        <w:rPr>
          <w:rFonts w:cstheme="minorHAnsi"/>
        </w:rPr>
      </w:pPr>
    </w:p>
    <w:p w14:paraId="64CFDAC1" w14:textId="7264B785" w:rsidR="0054685F" w:rsidRDefault="0054685F" w:rsidP="0054685F">
      <w:pPr>
        <w:contextualSpacing/>
        <w:rPr>
          <w:rFonts w:cstheme="minorHAnsi"/>
        </w:rPr>
      </w:pPr>
      <w:r w:rsidRPr="0033013E">
        <w:rPr>
          <w:rFonts w:cstheme="minorHAnsi"/>
        </w:rPr>
        <w:t xml:space="preserve">The introduction of an </w:t>
      </w:r>
      <w:r w:rsidRPr="0033013E">
        <w:rPr>
          <w:rFonts w:cstheme="minorHAnsi"/>
          <w:b/>
          <w:i/>
        </w:rPr>
        <w:t>A&amp;E Physiotherapist</w:t>
      </w:r>
      <w:r w:rsidRPr="0033013E">
        <w:rPr>
          <w:rFonts w:cstheme="minorHAnsi"/>
        </w:rPr>
        <w:t xml:space="preserve"> has been evaluated and this service change has resulted </w:t>
      </w:r>
      <w:r w:rsidR="00215772">
        <w:rPr>
          <w:rFonts w:cstheme="minorHAnsi"/>
        </w:rPr>
        <w:t xml:space="preserve">in </w:t>
      </w:r>
      <w:r w:rsidRPr="0033013E">
        <w:rPr>
          <w:rFonts w:cstheme="minorHAnsi"/>
        </w:rPr>
        <w:t>a reduced length of wait</w:t>
      </w:r>
      <w:r w:rsidR="008E357D">
        <w:rPr>
          <w:rFonts w:cstheme="minorHAnsi"/>
        </w:rPr>
        <w:t xml:space="preserve"> </w:t>
      </w:r>
      <w:r w:rsidRPr="0033013E">
        <w:rPr>
          <w:rFonts w:cstheme="minorHAnsi"/>
        </w:rPr>
        <w:t xml:space="preserve">to diagnosis and plan treatment by up to </w:t>
      </w:r>
      <w:r w:rsidRPr="0033013E">
        <w:rPr>
          <w:rFonts w:cstheme="minorHAnsi"/>
          <w:b/>
          <w:bCs/>
        </w:rPr>
        <w:t>14</w:t>
      </w:r>
      <w:r w:rsidRPr="0033013E">
        <w:rPr>
          <w:rFonts w:cstheme="minorHAnsi"/>
        </w:rPr>
        <w:t xml:space="preserve"> weeks and has significantly reducing demand on orthopaedic service</w:t>
      </w:r>
      <w:r w:rsidR="00215772">
        <w:rPr>
          <w:rFonts w:cstheme="minorHAnsi"/>
        </w:rPr>
        <w:t>s</w:t>
      </w:r>
      <w:r w:rsidRPr="0033013E">
        <w:rPr>
          <w:rFonts w:cstheme="minorHAnsi"/>
        </w:rPr>
        <w:t xml:space="preserve">. </w:t>
      </w:r>
      <w:r w:rsidR="00215772">
        <w:rPr>
          <w:rFonts w:cstheme="minorHAnsi"/>
        </w:rPr>
        <w:t xml:space="preserve"> </w:t>
      </w:r>
      <w:r w:rsidRPr="0033013E">
        <w:rPr>
          <w:rFonts w:cstheme="minorHAnsi"/>
        </w:rPr>
        <w:t>This service change ensures that patients are on the most appropriate pathway.</w:t>
      </w:r>
    </w:p>
    <w:p w14:paraId="06BD7C77" w14:textId="77777777" w:rsidR="0054685F" w:rsidRPr="0033013E" w:rsidRDefault="0054685F" w:rsidP="0054685F">
      <w:pPr>
        <w:contextualSpacing/>
        <w:rPr>
          <w:rFonts w:cstheme="minorHAnsi"/>
        </w:rPr>
      </w:pPr>
    </w:p>
    <w:p w14:paraId="1507FD93" w14:textId="1CE14AF3" w:rsidR="0054685F" w:rsidRDefault="0054685F" w:rsidP="0054685F">
      <w:pPr>
        <w:contextualSpacing/>
        <w:rPr>
          <w:rFonts w:cstheme="minorHAnsi"/>
        </w:rPr>
      </w:pPr>
      <w:r w:rsidRPr="0033013E">
        <w:rPr>
          <w:rFonts w:cstheme="minorHAnsi"/>
        </w:rPr>
        <w:t>Hand surgery patients who would previously receive post-operative review with a consultant are now being see</w:t>
      </w:r>
      <w:r w:rsidR="00215772">
        <w:rPr>
          <w:rFonts w:cstheme="minorHAnsi"/>
        </w:rPr>
        <w:t>n</w:t>
      </w:r>
      <w:r w:rsidRPr="0033013E">
        <w:rPr>
          <w:rFonts w:cstheme="minorHAnsi"/>
        </w:rPr>
        <w:t xml:space="preserve"> by a </w:t>
      </w:r>
      <w:r w:rsidRPr="0033013E">
        <w:rPr>
          <w:rFonts w:cstheme="minorHAnsi"/>
          <w:b/>
          <w:i/>
        </w:rPr>
        <w:t>Specialist Occupational Therapist</w:t>
      </w:r>
      <w:r w:rsidRPr="0033013E">
        <w:rPr>
          <w:rFonts w:cstheme="minorHAnsi"/>
        </w:rPr>
        <w:t>, therefore releasing consultant time to do only what they can do, in line with prudent healthcare principles.</w:t>
      </w:r>
    </w:p>
    <w:p w14:paraId="6A2E6D6D" w14:textId="77777777" w:rsidR="00F45A85" w:rsidRDefault="00F45A85" w:rsidP="0054685F">
      <w:pPr>
        <w:contextualSpacing/>
        <w:rPr>
          <w:rFonts w:cstheme="minorHAnsi"/>
        </w:rPr>
      </w:pPr>
    </w:p>
    <w:p w14:paraId="1228E1EA" w14:textId="02B0B781" w:rsidR="00F45A85" w:rsidRDefault="00F45A85" w:rsidP="0054685F">
      <w:pPr>
        <w:contextualSpacing/>
        <w:rPr>
          <w:rFonts w:cstheme="minorHAnsi"/>
        </w:rPr>
      </w:pPr>
      <w:r>
        <w:t xml:space="preserve">Following the </w:t>
      </w:r>
      <w:r w:rsidRPr="00F45A85">
        <w:rPr>
          <w:b/>
          <w:i/>
        </w:rPr>
        <w:t>Advance Paramedic Practitioner</w:t>
      </w:r>
      <w:r>
        <w:t xml:space="preserve"> (APP) pilot programme in North Wales and building on the Bevan Exemplar in St John’s GP Practice in Aberdare</w:t>
      </w:r>
      <w:r w:rsidR="00215772">
        <w:t>, t</w:t>
      </w:r>
      <w:r>
        <w:t xml:space="preserve">he Health Board is in discussions to offer the opportunity to have a rotation (8) of APP to support both 999 and primary care in and out of hours.  The business case is </w:t>
      </w:r>
      <w:r w:rsidR="00215772">
        <w:t>currently being worked through.</w:t>
      </w:r>
    </w:p>
    <w:p w14:paraId="2E5C8B6B" w14:textId="77777777" w:rsidR="0054685F" w:rsidRPr="0033013E" w:rsidRDefault="0054685F" w:rsidP="0054685F">
      <w:pPr>
        <w:contextualSpacing/>
        <w:rPr>
          <w:rFonts w:cstheme="minorHAnsi"/>
        </w:rPr>
      </w:pPr>
    </w:p>
    <w:p w14:paraId="6E97B39C" w14:textId="1E7BBFE4" w:rsidR="0054685F" w:rsidRDefault="0054685F" w:rsidP="0054685F">
      <w:pPr>
        <w:contextualSpacing/>
        <w:rPr>
          <w:rFonts w:cstheme="minorHAnsi"/>
        </w:rPr>
      </w:pPr>
      <w:r w:rsidRPr="0033013E">
        <w:rPr>
          <w:rFonts w:cstheme="minorHAnsi"/>
        </w:rPr>
        <w:t>A new model of care for patients medically fit for discharge has been piloted in our community hospital Ysbyty Cwm Cynon</w:t>
      </w:r>
      <w:r w:rsidR="00EF3559">
        <w:rPr>
          <w:rFonts w:cstheme="minorHAnsi"/>
        </w:rPr>
        <w:t xml:space="preserve"> (YCC)</w:t>
      </w:r>
      <w:r w:rsidRPr="0033013E">
        <w:rPr>
          <w:rFonts w:cstheme="minorHAnsi"/>
        </w:rPr>
        <w:t xml:space="preserve">. </w:t>
      </w:r>
      <w:r w:rsidR="00F37ECD">
        <w:rPr>
          <w:rFonts w:cstheme="minorHAnsi"/>
        </w:rPr>
        <w:t xml:space="preserve"> </w:t>
      </w:r>
      <w:r w:rsidRPr="0033013E">
        <w:rPr>
          <w:rFonts w:cstheme="minorHAnsi"/>
        </w:rPr>
        <w:t>Ward 1 is made up of registered staff and HCSW by day looking after patients who need enhanced care.</w:t>
      </w:r>
      <w:r w:rsidR="00F37ECD">
        <w:rPr>
          <w:rFonts w:cstheme="minorHAnsi"/>
        </w:rPr>
        <w:t xml:space="preserve">  </w:t>
      </w:r>
      <w:r w:rsidRPr="0033013E">
        <w:rPr>
          <w:rFonts w:cstheme="minorHAnsi"/>
        </w:rPr>
        <w:t xml:space="preserve">On the other end of the ward, totally independently, </w:t>
      </w:r>
      <w:r w:rsidRPr="0033013E">
        <w:rPr>
          <w:rFonts w:cstheme="minorHAnsi"/>
          <w:b/>
          <w:i/>
        </w:rPr>
        <w:t>HCSWs are responsible for the care of up to 8 patients</w:t>
      </w:r>
      <w:r w:rsidRPr="0033013E">
        <w:rPr>
          <w:rFonts w:cstheme="minorHAnsi"/>
        </w:rPr>
        <w:t xml:space="preserve"> in individual cubicles who are medically fit for discharge. </w:t>
      </w:r>
      <w:r w:rsidR="00F37ECD">
        <w:rPr>
          <w:rFonts w:cstheme="minorHAnsi"/>
        </w:rPr>
        <w:t xml:space="preserve"> </w:t>
      </w:r>
      <w:r w:rsidRPr="0033013E">
        <w:rPr>
          <w:rFonts w:cstheme="minorHAnsi"/>
        </w:rPr>
        <w:t>The HCSW team work during the day while the unit is covered by 2 registered staff by night, these registered nurses undertake an initial assessment and develop a care plan.  The HCSW then mirror the care plan and help their readiness for discharge</w:t>
      </w:r>
      <w:r>
        <w:rPr>
          <w:rFonts w:cstheme="minorHAnsi"/>
        </w:rPr>
        <w:t xml:space="preserve">, </w:t>
      </w:r>
      <w:r w:rsidRPr="0033013E">
        <w:rPr>
          <w:rFonts w:cstheme="minorHAnsi"/>
        </w:rPr>
        <w:t>suggest</w:t>
      </w:r>
      <w:r>
        <w:rPr>
          <w:rFonts w:cstheme="minorHAnsi"/>
        </w:rPr>
        <w:t>ing</w:t>
      </w:r>
      <w:r w:rsidRPr="0033013E">
        <w:rPr>
          <w:rFonts w:cstheme="minorHAnsi"/>
        </w:rPr>
        <w:t xml:space="preserve"> changes that may be required to the care plan</w:t>
      </w:r>
      <w:r>
        <w:rPr>
          <w:rFonts w:cstheme="minorHAnsi"/>
        </w:rPr>
        <w:t>,</w:t>
      </w:r>
      <w:r w:rsidRPr="0033013E">
        <w:rPr>
          <w:rFonts w:cstheme="minorHAnsi"/>
        </w:rPr>
        <w:t xml:space="preserve"> to aid in the prevent</w:t>
      </w:r>
      <w:r w:rsidR="00F37ECD">
        <w:rPr>
          <w:rFonts w:cstheme="minorHAnsi"/>
        </w:rPr>
        <w:t xml:space="preserve">ion of </w:t>
      </w:r>
      <w:r w:rsidRPr="0033013E">
        <w:rPr>
          <w:rFonts w:cstheme="minorHAnsi"/>
        </w:rPr>
        <w:t xml:space="preserve">readmissions.  This is also an example </w:t>
      </w:r>
      <w:r w:rsidR="00F37ECD">
        <w:rPr>
          <w:rFonts w:cstheme="minorHAnsi"/>
        </w:rPr>
        <w:t xml:space="preserve">of </w:t>
      </w:r>
      <w:r w:rsidRPr="0033013E">
        <w:rPr>
          <w:rFonts w:cstheme="minorHAnsi"/>
        </w:rPr>
        <w:t>how effective delegation can impact on patients, staff and the service</w:t>
      </w:r>
      <w:r>
        <w:rPr>
          <w:rFonts w:cstheme="minorHAnsi"/>
        </w:rPr>
        <w:t xml:space="preserve"> quality</w:t>
      </w:r>
      <w:r w:rsidRPr="0033013E">
        <w:rPr>
          <w:rFonts w:cstheme="minorHAnsi"/>
        </w:rPr>
        <w:t>.</w:t>
      </w:r>
    </w:p>
    <w:p w14:paraId="2F5D4577" w14:textId="77777777" w:rsidR="0054685F" w:rsidRPr="0033013E" w:rsidRDefault="0054685F" w:rsidP="0054685F">
      <w:pPr>
        <w:contextualSpacing/>
        <w:rPr>
          <w:rFonts w:cstheme="minorHAnsi"/>
        </w:rPr>
      </w:pPr>
    </w:p>
    <w:p w14:paraId="4CD26540" w14:textId="1388F3F5" w:rsidR="0054685F" w:rsidRPr="0033013E" w:rsidRDefault="0054685F" w:rsidP="0054685F">
      <w:pPr>
        <w:contextualSpacing/>
        <w:rPr>
          <w:rFonts w:eastAsia="Calibri" w:cstheme="minorHAnsi"/>
        </w:rPr>
      </w:pPr>
      <w:r w:rsidRPr="0033013E">
        <w:rPr>
          <w:rFonts w:eastAsia="Calibri" w:cstheme="minorHAnsi"/>
        </w:rPr>
        <w:t xml:space="preserve">A new opportunity is the development of a </w:t>
      </w:r>
      <w:r w:rsidRPr="0033013E">
        <w:rPr>
          <w:rFonts w:eastAsia="Calibri" w:cstheme="minorHAnsi"/>
          <w:b/>
          <w:i/>
          <w:color w:val="000000"/>
        </w:rPr>
        <w:t>multi-professional rehabilitation assistants</w:t>
      </w:r>
      <w:r w:rsidRPr="0033013E">
        <w:rPr>
          <w:rFonts w:eastAsia="Calibri" w:cstheme="minorHAnsi"/>
          <w:color w:val="000000"/>
        </w:rPr>
        <w:t xml:space="preserve"> (MPRAs).</w:t>
      </w:r>
      <w:r w:rsidR="00902C98">
        <w:rPr>
          <w:rFonts w:eastAsia="Calibri" w:cstheme="minorHAnsi"/>
          <w:color w:val="000000"/>
        </w:rPr>
        <w:t xml:space="preserve"> </w:t>
      </w:r>
      <w:r w:rsidRPr="0033013E">
        <w:rPr>
          <w:rFonts w:eastAsia="Calibri" w:cstheme="minorHAnsi"/>
          <w:color w:val="000000"/>
        </w:rPr>
        <w:t xml:space="preserve"> A proposed model would see generic therapy support workers/MPRAs</w:t>
      </w:r>
      <w:r w:rsidRPr="0033013E">
        <w:rPr>
          <w:rFonts w:eastAsia="Calibri" w:cstheme="minorHAnsi"/>
          <w:b/>
          <w:bCs/>
          <w:color w:val="000000"/>
        </w:rPr>
        <w:t xml:space="preserve"> </w:t>
      </w:r>
      <w:r w:rsidRPr="0033013E">
        <w:rPr>
          <w:rFonts w:eastAsia="Calibri" w:cstheme="minorHAnsi"/>
          <w:color w:val="000000"/>
        </w:rPr>
        <w:t>working alongside nursing teams to embed a rehabilitation culture and ethos into our community hospital wards.</w:t>
      </w:r>
      <w:r w:rsidRPr="0033013E">
        <w:rPr>
          <w:rFonts w:eastAsia="Calibri" w:cstheme="minorHAnsi"/>
        </w:rPr>
        <w:t xml:space="preserve"> </w:t>
      </w:r>
      <w:r w:rsidR="00902C98">
        <w:rPr>
          <w:rFonts w:eastAsia="Calibri" w:cstheme="minorHAnsi"/>
        </w:rPr>
        <w:t xml:space="preserve"> </w:t>
      </w:r>
      <w:r w:rsidRPr="0033013E">
        <w:rPr>
          <w:rFonts w:eastAsia="Calibri" w:cstheme="minorHAnsi"/>
        </w:rPr>
        <w:t>Proposed posts include:</w:t>
      </w:r>
    </w:p>
    <w:p w14:paraId="3E833293" w14:textId="112CA851" w:rsidR="0054685F" w:rsidRPr="0033013E" w:rsidRDefault="0054685F" w:rsidP="00F60A35">
      <w:pPr>
        <w:pStyle w:val="ListParagraph"/>
        <w:numPr>
          <w:ilvl w:val="1"/>
          <w:numId w:val="88"/>
        </w:numPr>
        <w:ind w:left="357" w:hanging="357"/>
        <w:rPr>
          <w:rFonts w:eastAsia="Calibri" w:cstheme="minorHAnsi"/>
        </w:rPr>
      </w:pPr>
      <w:r w:rsidRPr="0033013E">
        <w:rPr>
          <w:rFonts w:eastAsia="Calibri" w:cstheme="minorHAnsi"/>
          <w:color w:val="000000"/>
        </w:rPr>
        <w:t>G</w:t>
      </w:r>
      <w:r w:rsidRPr="0033013E">
        <w:rPr>
          <w:rFonts w:eastAsia="Calibri" w:cstheme="minorHAnsi"/>
        </w:rPr>
        <w:t xml:space="preserve">eneric band 4 therapy support workers providing both </w:t>
      </w:r>
      <w:r w:rsidRPr="0033013E">
        <w:rPr>
          <w:rFonts w:eastAsia="Calibri" w:cstheme="minorHAnsi"/>
          <w:color w:val="000000"/>
        </w:rPr>
        <w:t>occupat</w:t>
      </w:r>
      <w:r w:rsidR="00902C98">
        <w:rPr>
          <w:rFonts w:eastAsia="Calibri" w:cstheme="minorHAnsi"/>
          <w:color w:val="000000"/>
        </w:rPr>
        <w:t>ional therapy and physiotherapy;</w:t>
      </w:r>
      <w:r w:rsidRPr="0033013E">
        <w:rPr>
          <w:rFonts w:eastAsia="Calibri" w:cstheme="minorHAnsi"/>
          <w:color w:val="000000"/>
        </w:rPr>
        <w:t xml:space="preserve"> and  </w:t>
      </w:r>
    </w:p>
    <w:p w14:paraId="4A380193" w14:textId="7941D72E" w:rsidR="0054685F" w:rsidRDefault="0054685F" w:rsidP="00F60A35">
      <w:pPr>
        <w:pStyle w:val="ListParagraph"/>
        <w:numPr>
          <w:ilvl w:val="1"/>
          <w:numId w:val="88"/>
        </w:numPr>
        <w:ind w:left="357" w:hanging="357"/>
        <w:rPr>
          <w:rFonts w:eastAsia="Calibri" w:cstheme="minorHAnsi"/>
        </w:rPr>
      </w:pPr>
      <w:r w:rsidRPr="0033013E">
        <w:rPr>
          <w:rFonts w:eastAsia="Calibri" w:cstheme="minorHAnsi"/>
          <w:color w:val="000000"/>
        </w:rPr>
        <w:t>Generic band 4 therapy support workers providing both speech &amp; language therapy and nutrition &amp; dietetics.</w:t>
      </w:r>
    </w:p>
    <w:p w14:paraId="4BAC8AEB" w14:textId="77777777" w:rsidR="0054685F" w:rsidRPr="0054685F" w:rsidRDefault="0054685F" w:rsidP="0054685F">
      <w:pPr>
        <w:rPr>
          <w:rFonts w:eastAsia="Calibri" w:cstheme="minorHAnsi"/>
        </w:rPr>
      </w:pPr>
    </w:p>
    <w:p w14:paraId="61A14BE0" w14:textId="634EA92C" w:rsidR="0054685F" w:rsidRDefault="0054685F" w:rsidP="0054685F">
      <w:pPr>
        <w:contextualSpacing/>
        <w:rPr>
          <w:rFonts w:eastAsia="Calibri" w:cstheme="minorHAnsi"/>
        </w:rPr>
      </w:pPr>
      <w:r w:rsidRPr="0033013E">
        <w:rPr>
          <w:rFonts w:eastAsia="Calibri" w:cstheme="minorHAnsi"/>
        </w:rPr>
        <w:t>The generic therapy support workers will have patients delegated to them who have been assessed by the registered Therapist</w:t>
      </w:r>
      <w:r>
        <w:rPr>
          <w:rFonts w:eastAsia="Calibri" w:cstheme="minorHAnsi"/>
        </w:rPr>
        <w:t>,</w:t>
      </w:r>
      <w:r w:rsidRPr="0033013E">
        <w:rPr>
          <w:rFonts w:eastAsia="Calibri" w:cstheme="minorHAnsi"/>
        </w:rPr>
        <w:t xml:space="preserve"> in order to deliver the therapeutic rehabilitative intervention plan identified. </w:t>
      </w:r>
      <w:r w:rsidR="00902C98">
        <w:rPr>
          <w:rFonts w:eastAsia="Calibri" w:cstheme="minorHAnsi"/>
        </w:rPr>
        <w:t xml:space="preserve"> </w:t>
      </w:r>
      <w:r w:rsidRPr="0033013E">
        <w:rPr>
          <w:rFonts w:eastAsia="Calibri" w:cstheme="minorHAnsi"/>
        </w:rPr>
        <w:t xml:space="preserve">This will free up the registered Therapist to carry out further assessments </w:t>
      </w:r>
      <w:r w:rsidR="00902C98">
        <w:rPr>
          <w:rFonts w:eastAsia="Calibri" w:cstheme="minorHAnsi"/>
        </w:rPr>
        <w:t>and more complex interventions.</w:t>
      </w:r>
    </w:p>
    <w:p w14:paraId="1889945C" w14:textId="77777777" w:rsidR="0054685F" w:rsidRPr="0033013E" w:rsidRDefault="0054685F" w:rsidP="0054685F">
      <w:pPr>
        <w:contextualSpacing/>
        <w:rPr>
          <w:rFonts w:eastAsia="Calibri" w:cstheme="minorHAnsi"/>
        </w:rPr>
      </w:pPr>
    </w:p>
    <w:p w14:paraId="2849B9FB" w14:textId="7778C396" w:rsidR="0054685F" w:rsidRDefault="0054685F" w:rsidP="0054685F">
      <w:pPr>
        <w:contextualSpacing/>
        <w:rPr>
          <w:rFonts w:asciiTheme="minorHAnsi" w:hAnsiTheme="minorHAnsi" w:cstheme="minorHAnsi"/>
          <w:szCs w:val="22"/>
        </w:rPr>
      </w:pPr>
      <w:r w:rsidRPr="0033013E">
        <w:rPr>
          <w:rFonts w:asciiTheme="minorHAnsi" w:hAnsiTheme="minorHAnsi" w:cstheme="minorHAnsi"/>
          <w:szCs w:val="22"/>
        </w:rPr>
        <w:t xml:space="preserve">Underpinning programme </w:t>
      </w:r>
      <w:r>
        <w:rPr>
          <w:rFonts w:asciiTheme="minorHAnsi" w:hAnsiTheme="minorHAnsi" w:cstheme="minorHAnsi"/>
          <w:szCs w:val="22"/>
        </w:rPr>
        <w:t>of</w:t>
      </w:r>
      <w:r w:rsidRPr="0033013E">
        <w:rPr>
          <w:rFonts w:asciiTheme="minorHAnsi" w:hAnsiTheme="minorHAnsi" w:cstheme="minorHAnsi"/>
          <w:szCs w:val="22"/>
        </w:rPr>
        <w:t xml:space="preserve"> change the  ‘Care Aims’ staff development sessions (funded by HEIW)</w:t>
      </w:r>
      <w:r w:rsidRPr="0033013E">
        <w:rPr>
          <w:rFonts w:asciiTheme="minorHAnsi" w:eastAsiaTheme="minorEastAsia" w:hAnsiTheme="minorHAnsi" w:cstheme="minorHAnsi"/>
          <w:kern w:val="24"/>
          <w:szCs w:val="22"/>
        </w:rPr>
        <w:t xml:space="preserve"> is a model of practice developed which is designed to support practitioners demonstrate evidence-based practice through systematic reflection. </w:t>
      </w:r>
      <w:r w:rsidR="00902C98">
        <w:rPr>
          <w:rFonts w:asciiTheme="minorHAnsi" w:eastAsiaTheme="minorEastAsia" w:hAnsiTheme="minorHAnsi" w:cstheme="minorHAnsi"/>
          <w:kern w:val="24"/>
          <w:szCs w:val="22"/>
        </w:rPr>
        <w:t xml:space="preserve"> </w:t>
      </w:r>
      <w:r w:rsidRPr="0033013E">
        <w:rPr>
          <w:rFonts w:asciiTheme="minorHAnsi" w:eastAsiaTheme="minorEastAsia" w:hAnsiTheme="minorHAnsi" w:cstheme="minorHAnsi"/>
          <w:kern w:val="24"/>
          <w:szCs w:val="22"/>
        </w:rPr>
        <w:t>The model focuses on impact of care, clarity of boundary of care, understanding clinical risk and clinical need.</w:t>
      </w:r>
      <w:r w:rsidR="00902C98">
        <w:rPr>
          <w:rFonts w:asciiTheme="minorHAnsi" w:eastAsiaTheme="minorEastAsia" w:hAnsiTheme="minorHAnsi" w:cstheme="minorHAnsi"/>
          <w:kern w:val="24"/>
          <w:szCs w:val="22"/>
        </w:rPr>
        <w:t xml:space="preserve"> </w:t>
      </w:r>
      <w:r w:rsidRPr="0033013E">
        <w:rPr>
          <w:rFonts w:asciiTheme="minorHAnsi" w:eastAsiaTheme="minorEastAsia" w:hAnsiTheme="minorHAnsi" w:cstheme="minorHAnsi"/>
          <w:kern w:val="24"/>
          <w:szCs w:val="22"/>
        </w:rPr>
        <w:t xml:space="preserve"> Malcomess (2015) acknowledges that adopting this model usually represents a change in culture and practice.  The majority of therapy practitioners have undergone this development with </w:t>
      </w:r>
      <w:r>
        <w:rPr>
          <w:rFonts w:asciiTheme="minorHAnsi" w:eastAsiaTheme="minorEastAsia" w:hAnsiTheme="minorHAnsi" w:cstheme="minorHAnsi"/>
          <w:kern w:val="24"/>
          <w:szCs w:val="22"/>
        </w:rPr>
        <w:t xml:space="preserve">and also </w:t>
      </w:r>
      <w:r w:rsidRPr="0033013E">
        <w:rPr>
          <w:rFonts w:asciiTheme="minorHAnsi" w:eastAsiaTheme="minorEastAsia" w:hAnsiTheme="minorHAnsi" w:cstheme="minorHAnsi"/>
          <w:kern w:val="24"/>
          <w:szCs w:val="22"/>
        </w:rPr>
        <w:t>a focus on the Community Paediatrics</w:t>
      </w:r>
      <w:r>
        <w:rPr>
          <w:rFonts w:asciiTheme="minorHAnsi" w:eastAsiaTheme="minorEastAsia" w:hAnsiTheme="minorHAnsi" w:cstheme="minorHAnsi"/>
          <w:kern w:val="24"/>
          <w:szCs w:val="22"/>
        </w:rPr>
        <w:t xml:space="preserve"> multi-disciplinary team</w:t>
      </w:r>
      <w:r w:rsidRPr="0033013E">
        <w:rPr>
          <w:rFonts w:asciiTheme="minorHAnsi" w:eastAsiaTheme="minorEastAsia" w:hAnsiTheme="minorHAnsi" w:cstheme="minorHAnsi"/>
          <w:kern w:val="24"/>
          <w:szCs w:val="22"/>
        </w:rPr>
        <w:t>.</w:t>
      </w:r>
    </w:p>
    <w:p w14:paraId="54EA17E2" w14:textId="77777777" w:rsidR="0054685F" w:rsidRPr="005E5CB8" w:rsidRDefault="0054685F" w:rsidP="00536402">
      <w:pPr>
        <w:rPr>
          <w:rFonts w:asciiTheme="minorHAnsi" w:hAnsiTheme="minorHAnsi" w:cstheme="minorHAnsi"/>
          <w:szCs w:val="22"/>
        </w:rPr>
      </w:pPr>
    </w:p>
    <w:p w14:paraId="3F6D8E38" w14:textId="19162699" w:rsidR="00D852F5" w:rsidRPr="00536402" w:rsidRDefault="00D520F5" w:rsidP="002E49D4">
      <w:pPr>
        <w:jc w:val="center"/>
        <w:rPr>
          <w:rFonts w:asciiTheme="minorHAnsi" w:hAnsiTheme="minorHAnsi" w:cstheme="minorHAnsi"/>
          <w:b/>
          <w:szCs w:val="22"/>
          <w:u w:val="single"/>
        </w:rPr>
      </w:pPr>
      <w:r w:rsidRPr="005E5CB8">
        <w:rPr>
          <w:rFonts w:asciiTheme="minorHAnsi" w:hAnsiTheme="minorHAnsi" w:cstheme="minorHAnsi"/>
          <w:noProof/>
          <w:szCs w:val="22"/>
        </w:rPr>
        <w:lastRenderedPageBreak/>
        <mc:AlternateContent>
          <mc:Choice Requires="wps">
            <w:drawing>
              <wp:anchor distT="0" distB="0" distL="114300" distR="114300" simplePos="0" relativeHeight="252864512" behindDoc="0" locked="0" layoutInCell="1" allowOverlap="1" wp14:anchorId="3D9576CE" wp14:editId="2BA272B8">
                <wp:simplePos x="0" y="0"/>
                <wp:positionH relativeFrom="column">
                  <wp:posOffset>1635760</wp:posOffset>
                </wp:positionH>
                <wp:positionV relativeFrom="paragraph">
                  <wp:posOffset>159385</wp:posOffset>
                </wp:positionV>
                <wp:extent cx="4248150" cy="771525"/>
                <wp:effectExtent l="0" t="0" r="19050" b="28575"/>
                <wp:wrapNone/>
                <wp:docPr id="29" name="Text Box 29"/>
                <wp:cNvGraphicFramePr/>
                <a:graphic xmlns:a="http://schemas.openxmlformats.org/drawingml/2006/main">
                  <a:graphicData uri="http://schemas.microsoft.com/office/word/2010/wordprocessingShape">
                    <wps:wsp>
                      <wps:cNvSpPr txBox="1"/>
                      <wps:spPr>
                        <a:xfrm>
                          <a:off x="0" y="0"/>
                          <a:ext cx="4248150"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517CDE0" w14:textId="6070467E" w:rsidR="00883972" w:rsidRDefault="00883972" w:rsidP="00536402">
                            <w:r w:rsidRPr="00B62270">
                              <w:rPr>
                                <w:i/>
                              </w:rPr>
                              <w:t xml:space="preserve">We will deliver on the ambition with partners, </w:t>
                            </w:r>
                            <w:r>
                              <w:rPr>
                                <w:i/>
                              </w:rPr>
                              <w:t>of the ‘Stay Well in your Community programme,</w:t>
                            </w:r>
                            <w:r w:rsidRPr="00B62270">
                              <w:rPr>
                                <w:i/>
                              </w:rPr>
                              <w:t xml:space="preserve"> im</w:t>
                            </w:r>
                            <w:r>
                              <w:rPr>
                                <w:i/>
                              </w:rPr>
                              <w:t xml:space="preserve">proved opportunity to innovate and skill mix change in priority </w:t>
                            </w:r>
                            <w:r w:rsidRPr="00B62270">
                              <w:rPr>
                                <w:i/>
                              </w:rPr>
                              <w:t>areas e.g</w:t>
                            </w:r>
                            <w:r>
                              <w:rPr>
                                <w:i/>
                              </w:rPr>
                              <w:t>. investment in HCSW conversion and invest in training and development.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9576CE" id="Text Box 29" o:spid="_x0000_s1033" type="#_x0000_t202" style="position:absolute;left:0;text-align:left;margin-left:128.8pt;margin-top:12.55pt;width:334.5pt;height:60.75pt;z-index:252864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" fillcolor="white [3201]" strokeweight=".5pt">
                <v:textbox>
                  <w:txbxContent>
                    <w:p w14:paraId="5517CDE0" w14:textId="6070467E" w:rsidR="00883972" w:rsidRDefault="00883972" w:rsidP="00536402">
                      <w:r w:rsidRPr="00B62270">
                        <w:rPr>
                          <w:i/>
                        </w:rPr>
                        <w:t xml:space="preserve">We will deliver on the ambition with partners, </w:t>
                      </w:r>
                      <w:r>
                        <w:rPr>
                          <w:i/>
                        </w:rPr>
                        <w:t>of the ‘Stay Well in your Community programme,</w:t>
                      </w:r>
                      <w:r w:rsidRPr="00B62270">
                        <w:rPr>
                          <w:i/>
                        </w:rPr>
                        <w:t xml:space="preserve"> im</w:t>
                      </w:r>
                      <w:r>
                        <w:rPr>
                          <w:i/>
                        </w:rPr>
                        <w:t xml:space="preserve">proved opportunity to innovate and skill mix change in priority </w:t>
                      </w:r>
                      <w:r w:rsidRPr="00B62270">
                        <w:rPr>
                          <w:i/>
                        </w:rPr>
                        <w:t>areas e.g</w:t>
                      </w:r>
                      <w:r>
                        <w:rPr>
                          <w:i/>
                        </w:rPr>
                        <w:t>. investment in HCSW conversion and invest in training and development.</w:t>
                      </w:r>
                    </w:p>
                  </w:txbxContent>
                </v:textbox>
              </v:shape>
            </w:pict>
          </mc:Fallback>
        </mc:AlternateContent>
      </w:r>
      <w:r w:rsidR="00536402" w:rsidRPr="005E5CB8">
        <w:rPr>
          <w:rFonts w:asciiTheme="minorHAnsi" w:hAnsiTheme="minorHAnsi" w:cstheme="minorHAnsi"/>
          <w:noProof/>
          <w:szCs w:val="22"/>
        </w:rPr>
        <w:drawing>
          <wp:inline distT="0" distB="0" distL="0" distR="0" wp14:anchorId="33C1DD2B" wp14:editId="65E48591">
            <wp:extent cx="5572125" cy="971550"/>
            <wp:effectExtent l="57150" t="57150" r="85725" b="95250"/>
            <wp:docPr id="32" name="Diagram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6" r:lo="rId107" r:qs="rId108" r:cs="rId109"/>
              </a:graphicData>
            </a:graphic>
          </wp:inline>
        </w:drawing>
      </w:r>
    </w:p>
    <w:p w14:paraId="68F5DE4C" w14:textId="0EE3406C" w:rsidR="00D852F5" w:rsidRPr="00800207" w:rsidRDefault="004968E7" w:rsidP="00536402">
      <w:pPr>
        <w:pStyle w:val="Heading2"/>
      </w:pPr>
      <w:bookmarkStart w:id="161" w:name="_Toc29573956"/>
      <w:r w:rsidRPr="00800207">
        <w:rPr>
          <w:noProof/>
          <w:szCs w:val="22"/>
          <w:lang w:eastAsia="en-GB"/>
        </w:rPr>
        <w:drawing>
          <wp:anchor distT="0" distB="0" distL="114300" distR="114300" simplePos="0" relativeHeight="252928000" behindDoc="0" locked="0" layoutInCell="1" allowOverlap="1" wp14:anchorId="6532FA5C" wp14:editId="0E1119AB">
            <wp:simplePos x="0" y="0"/>
            <wp:positionH relativeFrom="column">
              <wp:posOffset>-2540</wp:posOffset>
            </wp:positionH>
            <wp:positionV relativeFrom="paragraph">
              <wp:posOffset>113665</wp:posOffset>
            </wp:positionV>
            <wp:extent cx="800100" cy="755650"/>
            <wp:effectExtent l="0" t="0" r="0" b="635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800100" cy="755650"/>
                    </a:xfrm>
                    <a:prstGeom prst="rect">
                      <a:avLst/>
                    </a:prstGeom>
                  </pic:spPr>
                </pic:pic>
              </a:graphicData>
            </a:graphic>
          </wp:anchor>
        </w:drawing>
      </w:r>
      <w:r w:rsidR="00D852F5" w:rsidRPr="00800207">
        <w:t>Wellbeing, diverse and engaged workforce</w:t>
      </w:r>
      <w:bookmarkEnd w:id="161"/>
    </w:p>
    <w:p w14:paraId="44BA63E4" w14:textId="1530DEE2" w:rsidR="00D852F5" w:rsidRDefault="0054685F" w:rsidP="0054685F">
      <w:pPr>
        <w:pStyle w:val="Pa5"/>
        <w:spacing w:line="240" w:lineRule="auto"/>
        <w:ind w:right="159"/>
        <w:jc w:val="both"/>
        <w:rPr>
          <w:rFonts w:asciiTheme="minorHAnsi" w:hAnsiTheme="minorHAnsi" w:cs="Metronic Slab Pro Regular"/>
          <w:color w:val="000000"/>
          <w:sz w:val="22"/>
          <w:szCs w:val="22"/>
        </w:rPr>
      </w:pPr>
      <w:r w:rsidRPr="0033013E">
        <w:rPr>
          <w:rFonts w:asciiTheme="minorHAnsi" w:hAnsiTheme="minorHAnsi" w:cstheme="minorHAnsi"/>
          <w:sz w:val="22"/>
          <w:szCs w:val="22"/>
        </w:rPr>
        <w:t>A Healthier Wales: “</w:t>
      </w:r>
      <w:r w:rsidRPr="0033013E">
        <w:rPr>
          <w:rFonts w:asciiTheme="minorHAnsi" w:hAnsiTheme="minorHAnsi" w:cstheme="minorHAnsi"/>
          <w:color w:val="000000"/>
          <w:sz w:val="22"/>
          <w:szCs w:val="22"/>
        </w:rPr>
        <w:t>By making health and social care a good career choice, investing in training and skills, and supporting health and wellbeing at work, we will be able to get and keep the talented people we need to work in Wales.”</w:t>
      </w:r>
    </w:p>
    <w:p w14:paraId="3D9704E2" w14:textId="72BB6E7C" w:rsidR="00D852F5" w:rsidRPr="00800207" w:rsidRDefault="00D852F5" w:rsidP="00536402">
      <w:pPr>
        <w:pStyle w:val="Heading3"/>
      </w:pPr>
      <w:r w:rsidRPr="00800207">
        <w:t>Wellbeing of staff at work and a healthier workforce</w:t>
      </w:r>
    </w:p>
    <w:p w14:paraId="2A60CBC0" w14:textId="256F2990" w:rsidR="0054685F" w:rsidRDefault="0054685F" w:rsidP="0054685F">
      <w:pPr>
        <w:rPr>
          <w:rFonts w:cstheme="minorHAnsi"/>
        </w:rPr>
      </w:pPr>
      <w:r w:rsidRPr="0033013E">
        <w:rPr>
          <w:rFonts w:cstheme="minorHAnsi"/>
        </w:rPr>
        <w:t>Reflecting the focus in the NHS Wales Planning Guidance on the priority areas set out in “A Healthier Wales” on ensuring wellbeing of staff.</w:t>
      </w:r>
      <w:r w:rsidR="00902C98">
        <w:rPr>
          <w:rFonts w:cstheme="minorHAnsi"/>
        </w:rPr>
        <w:t xml:space="preserve">  </w:t>
      </w:r>
      <w:r w:rsidRPr="0033013E">
        <w:rPr>
          <w:rFonts w:cstheme="minorHAnsi"/>
        </w:rPr>
        <w:t xml:space="preserve">In October 2019 the </w:t>
      </w:r>
      <w:r w:rsidR="00071680">
        <w:rPr>
          <w:rFonts w:cstheme="minorHAnsi"/>
        </w:rPr>
        <w:t>Health Board</w:t>
      </w:r>
      <w:r w:rsidRPr="0033013E">
        <w:rPr>
          <w:rFonts w:cstheme="minorHAnsi"/>
        </w:rPr>
        <w:t xml:space="preserve"> introduced an Employee Experience Steering Group and its role is to ensure the development and successful delivery of the Employee Experience work stream. This covers the employee life cycle from recruitment to exit, and incorporates all interactions.</w:t>
      </w:r>
      <w:r w:rsidR="00902C98">
        <w:rPr>
          <w:rFonts w:cstheme="minorHAnsi"/>
        </w:rPr>
        <w:t xml:space="preserve"> </w:t>
      </w:r>
      <w:r w:rsidRPr="0033013E">
        <w:rPr>
          <w:rFonts w:cstheme="minorHAnsi"/>
        </w:rPr>
        <w:t xml:space="preserve"> The </w:t>
      </w:r>
      <w:r>
        <w:rPr>
          <w:rFonts w:cstheme="minorHAnsi"/>
        </w:rPr>
        <w:t>g</w:t>
      </w:r>
      <w:r w:rsidRPr="0033013E">
        <w:rPr>
          <w:rFonts w:cstheme="minorHAnsi"/>
        </w:rPr>
        <w:t>roup will support the organisation to promote positive experiences among our staff, with a vision of making the Health Board a great place to work.</w:t>
      </w:r>
    </w:p>
    <w:p w14:paraId="5B34423C" w14:textId="77777777" w:rsidR="0054685F" w:rsidRPr="0033013E" w:rsidRDefault="0054685F" w:rsidP="0054685F">
      <w:pPr>
        <w:rPr>
          <w:rFonts w:cstheme="minorHAnsi"/>
        </w:rPr>
      </w:pPr>
    </w:p>
    <w:p w14:paraId="5E753CCB" w14:textId="349A4A89" w:rsidR="0054685F" w:rsidRDefault="0054685F" w:rsidP="0054685F">
      <w:pPr>
        <w:rPr>
          <w:rFonts w:cstheme="minorHAnsi"/>
        </w:rPr>
      </w:pPr>
      <w:r w:rsidRPr="0033013E">
        <w:rPr>
          <w:rFonts w:cstheme="minorHAnsi"/>
        </w:rPr>
        <w:t xml:space="preserve">The Employee Experience work stream includes resources, support and training currently provided from Organisational Development, Health and Wellbeing, Learning and Development and Chaplaincy. </w:t>
      </w:r>
      <w:r w:rsidR="00902C98">
        <w:rPr>
          <w:rFonts w:cstheme="minorHAnsi"/>
        </w:rPr>
        <w:t xml:space="preserve"> </w:t>
      </w:r>
      <w:r w:rsidRPr="0033013E">
        <w:rPr>
          <w:rFonts w:cstheme="minorHAnsi"/>
        </w:rPr>
        <w:t>This will be a whole programme approach to supporting employees during their employment</w:t>
      </w:r>
      <w:r>
        <w:rPr>
          <w:rFonts w:cstheme="minorHAnsi"/>
        </w:rPr>
        <w:t>.</w:t>
      </w:r>
      <w:r w:rsidRPr="0033013E">
        <w:rPr>
          <w:rFonts w:cstheme="minorHAnsi"/>
        </w:rPr>
        <w:t xml:space="preserve"> This will also include enhancing our Health &amp; Wellbeing offer to staff – counselling, occupational psychology &amp; more ‘soft’ services such as mindfulness.</w:t>
      </w:r>
    </w:p>
    <w:p w14:paraId="7EDDE8A3" w14:textId="77777777" w:rsidR="0054685F" w:rsidRPr="0033013E" w:rsidRDefault="0054685F" w:rsidP="0054685F">
      <w:pPr>
        <w:rPr>
          <w:rFonts w:cstheme="minorHAnsi"/>
        </w:rPr>
      </w:pPr>
    </w:p>
    <w:p w14:paraId="16F58BFF" w14:textId="4FE6231A" w:rsidR="0054685F" w:rsidRDefault="0054685F" w:rsidP="0054685F">
      <w:pPr>
        <w:rPr>
          <w:rFonts w:cstheme="minorHAnsi"/>
        </w:rPr>
      </w:pPr>
      <w:r w:rsidRPr="0033013E">
        <w:rPr>
          <w:rFonts w:cstheme="minorHAnsi"/>
        </w:rPr>
        <w:t xml:space="preserve">A ‘Wellbeing Support Directory’ has been developed and the directory includes a range of Health Board services </w:t>
      </w:r>
      <w:r w:rsidR="00902C98">
        <w:rPr>
          <w:rFonts w:cstheme="minorHAnsi"/>
        </w:rPr>
        <w:t xml:space="preserve">and </w:t>
      </w:r>
      <w:r w:rsidRPr="0033013E">
        <w:rPr>
          <w:rFonts w:cstheme="minorHAnsi"/>
        </w:rPr>
        <w:t xml:space="preserve">NHS approved external/3rd sector services for line managers and employees to access. </w:t>
      </w:r>
      <w:r w:rsidR="00902C98">
        <w:rPr>
          <w:rFonts w:cstheme="minorHAnsi"/>
        </w:rPr>
        <w:t xml:space="preserve"> </w:t>
      </w:r>
      <w:r w:rsidRPr="0033013E">
        <w:rPr>
          <w:rFonts w:cstheme="minorHAnsi"/>
        </w:rPr>
        <w:t>These include contact numbers for crisis services, web links and information on the chaplaincy service, cancer services, LGBT, support for employees experiencing abuse, addiction, famil</w:t>
      </w:r>
      <w:r>
        <w:rPr>
          <w:rFonts w:cstheme="minorHAnsi"/>
        </w:rPr>
        <w:t>y and relationship difficulties.</w:t>
      </w:r>
    </w:p>
    <w:p w14:paraId="2232A430" w14:textId="77777777" w:rsidR="0054685F" w:rsidRDefault="0054685F" w:rsidP="0054685F">
      <w:pPr>
        <w:rPr>
          <w:rFonts w:cstheme="minorHAnsi"/>
        </w:rPr>
      </w:pPr>
    </w:p>
    <w:p w14:paraId="10CE82AD" w14:textId="02083C0D" w:rsidR="00D852F5" w:rsidRDefault="0054685F" w:rsidP="0054685F">
      <w:r w:rsidRPr="0033013E">
        <w:rPr>
          <w:rFonts w:cstheme="minorHAnsi"/>
        </w:rPr>
        <w:t xml:space="preserve">Work is underway with the Chief Pharmacist in Medicines Management to provide dietetic sessions for employees with Irritable Bowel Syndrome. </w:t>
      </w:r>
      <w:r w:rsidR="00902C98">
        <w:rPr>
          <w:rFonts w:cstheme="minorHAnsi"/>
        </w:rPr>
        <w:t xml:space="preserve"> </w:t>
      </w:r>
      <w:r w:rsidRPr="0033013E">
        <w:rPr>
          <w:rFonts w:cstheme="minorHAnsi"/>
        </w:rPr>
        <w:t>The dietary plan is an evidence based ‘FODMAP’ diet which has been shown to improve s</w:t>
      </w:r>
      <w:r w:rsidR="00902C98">
        <w:rPr>
          <w:rFonts w:cstheme="minorHAnsi"/>
        </w:rPr>
        <w:t>ymptoms in over 75% of sufferer</w:t>
      </w:r>
      <w:r w:rsidRPr="0033013E">
        <w:rPr>
          <w:rFonts w:cstheme="minorHAnsi"/>
        </w:rPr>
        <w:t xml:space="preserve">s. </w:t>
      </w:r>
      <w:r w:rsidR="00902C98">
        <w:rPr>
          <w:rFonts w:cstheme="minorHAnsi"/>
        </w:rPr>
        <w:t xml:space="preserve"> </w:t>
      </w:r>
      <w:r w:rsidRPr="0033013E">
        <w:rPr>
          <w:rFonts w:cstheme="minorHAnsi"/>
        </w:rPr>
        <w:t>Currently Gastrointestinal disorders is 3rd highest level of sickness absence in the Health Board.</w:t>
      </w:r>
      <w:r w:rsidR="00902C98">
        <w:rPr>
          <w:rFonts w:cstheme="minorHAnsi"/>
        </w:rPr>
        <w:t xml:space="preserve"> </w:t>
      </w:r>
      <w:r w:rsidR="00947CCF">
        <w:rPr>
          <w:rFonts w:cstheme="minorHAnsi"/>
        </w:rPr>
        <w:t xml:space="preserve"> </w:t>
      </w:r>
      <w:r w:rsidR="00D852F5" w:rsidRPr="00800207">
        <w:t>Maternity Staff Support</w:t>
      </w:r>
      <w:r>
        <w:t>.</w:t>
      </w:r>
    </w:p>
    <w:p w14:paraId="79B06C05" w14:textId="77777777" w:rsidR="00672915" w:rsidRDefault="00672915" w:rsidP="0054685F"/>
    <w:p w14:paraId="002CFB46" w14:textId="7C1533DB" w:rsidR="00672915" w:rsidRDefault="00672915" w:rsidP="0054685F">
      <w:r>
        <w:t>Of course, managing attendance at work is a priority for the UHB and this will continue, however a more evidence-based, wellbeing approach to keeping our people in work is likely to impact sickness absence more significantly than managing sickness alone.  This dual approach will allow the UHB the best opportunity to impact its sickness absence rates and improve the working environment for all staff.</w:t>
      </w:r>
    </w:p>
    <w:p w14:paraId="34E687F8" w14:textId="2E3C88AE" w:rsidR="0054685F" w:rsidRPr="00800207" w:rsidRDefault="0054685F" w:rsidP="0054685F">
      <w:pPr>
        <w:pStyle w:val="Heading3"/>
      </w:pPr>
      <w:r w:rsidRPr="0033013E">
        <w:rPr>
          <w:rFonts w:cstheme="minorHAnsi"/>
        </w:rPr>
        <w:t>International Health Partnerships</w:t>
      </w:r>
    </w:p>
    <w:p w14:paraId="66601DD4" w14:textId="10F46F21" w:rsidR="0054685F" w:rsidRDefault="0054685F" w:rsidP="0054685F">
      <w:pPr>
        <w:rPr>
          <w:rFonts w:cstheme="minorHAnsi"/>
        </w:rPr>
      </w:pPr>
      <w:r>
        <w:rPr>
          <w:rFonts w:cstheme="minorHAnsi"/>
        </w:rPr>
        <w:t>The</w:t>
      </w:r>
      <w:r w:rsidRPr="0033013E">
        <w:rPr>
          <w:rFonts w:cstheme="minorHAnsi"/>
        </w:rPr>
        <w:t xml:space="preserve"> Health Board continue</w:t>
      </w:r>
      <w:r>
        <w:rPr>
          <w:rFonts w:cstheme="minorHAnsi"/>
        </w:rPr>
        <w:t>s</w:t>
      </w:r>
      <w:r w:rsidRPr="0033013E">
        <w:rPr>
          <w:rFonts w:cstheme="minorHAnsi"/>
        </w:rPr>
        <w:t xml:space="preserve"> to be committed to International Health Partnership (IHP) working and renewed its pledge to the Charter for International Health Partnership in Wales at the ‘Celebration and Recommitment’ event held on the 17</w:t>
      </w:r>
      <w:r w:rsidRPr="0033013E">
        <w:rPr>
          <w:rFonts w:cstheme="minorHAnsi"/>
          <w:vertAlign w:val="superscript"/>
        </w:rPr>
        <w:t>th</w:t>
      </w:r>
      <w:r w:rsidRPr="0033013E">
        <w:rPr>
          <w:rFonts w:cstheme="minorHAnsi"/>
        </w:rPr>
        <w:t xml:space="preserve"> Oct</w:t>
      </w:r>
      <w:r>
        <w:rPr>
          <w:rFonts w:cstheme="minorHAnsi"/>
        </w:rPr>
        <w:t xml:space="preserve"> </w:t>
      </w:r>
      <w:r w:rsidRPr="0033013E">
        <w:rPr>
          <w:rFonts w:cstheme="minorHAnsi"/>
        </w:rPr>
        <w:t>2019.</w:t>
      </w:r>
      <w:r w:rsidR="00902C98">
        <w:rPr>
          <w:rFonts w:cstheme="minorHAnsi"/>
        </w:rPr>
        <w:t xml:space="preserve"> </w:t>
      </w:r>
      <w:r w:rsidRPr="0033013E">
        <w:rPr>
          <w:rFonts w:cstheme="minorHAnsi"/>
        </w:rPr>
        <w:t xml:space="preserve"> The Interim Exec Director of W&amp;OD and the lead IHP for the Health Board provided a presentation on the organisations experience of IHP activity and was proud to witness the continuing professional development (CPD) resources i.e. Toolkit and Framework being launched as part of the ‘All Wales’ Toolkit.</w:t>
      </w:r>
    </w:p>
    <w:p w14:paraId="179C415B" w14:textId="77777777" w:rsidR="0054685F" w:rsidRPr="0033013E" w:rsidRDefault="0054685F" w:rsidP="0054685F">
      <w:pPr>
        <w:rPr>
          <w:rFonts w:cstheme="minorHAnsi"/>
        </w:rPr>
      </w:pPr>
    </w:p>
    <w:p w14:paraId="380617D3" w14:textId="106541DC" w:rsidR="0054685F" w:rsidRDefault="0054685F" w:rsidP="0054685F">
      <w:pPr>
        <w:rPr>
          <w:rFonts w:cstheme="minorHAnsi"/>
        </w:rPr>
      </w:pPr>
      <w:r w:rsidRPr="0033013E">
        <w:rPr>
          <w:rFonts w:cstheme="minorHAnsi"/>
        </w:rPr>
        <w:t>Going forward the Health Board are planning to launch its own internal ‘Celebration and Recommitment’ to the Charter in early 2020 in order to continue raising awareness and cultivating further interest in IHP as well as looking to support new IHP projects</w:t>
      </w:r>
      <w:r w:rsidRPr="0033013E">
        <w:rPr>
          <w:rFonts w:cstheme="minorHAnsi"/>
          <w:color w:val="1F497D"/>
        </w:rPr>
        <w:t>.</w:t>
      </w:r>
    </w:p>
    <w:p w14:paraId="28BD5F4A" w14:textId="662DFFF7" w:rsidR="0054685F" w:rsidRPr="00800207" w:rsidRDefault="0054685F" w:rsidP="0054685F">
      <w:pPr>
        <w:pStyle w:val="Heading3"/>
      </w:pPr>
      <w:r w:rsidRPr="0033013E">
        <w:rPr>
          <w:rFonts w:cstheme="minorHAnsi"/>
          <w:color w:val="000000" w:themeColor="text1"/>
        </w:rPr>
        <w:lastRenderedPageBreak/>
        <w:t>Maternity Staff Support</w:t>
      </w:r>
    </w:p>
    <w:p w14:paraId="68D13B82" w14:textId="246DEE95" w:rsidR="0054685F" w:rsidRPr="0033013E" w:rsidRDefault="0054685F" w:rsidP="0054685F">
      <w:pPr>
        <w:rPr>
          <w:rFonts w:cstheme="minorHAnsi"/>
          <w:color w:val="000000" w:themeColor="text1"/>
        </w:rPr>
      </w:pPr>
      <w:r w:rsidRPr="0033013E">
        <w:rPr>
          <w:rFonts w:cstheme="minorHAnsi"/>
          <w:color w:val="000000" w:themeColor="text1"/>
        </w:rPr>
        <w:t>It was recognised that in the wake of the Independent review, targeted support was needed for staff within maternity services.  There w</w:t>
      </w:r>
      <w:r w:rsidR="00902C98">
        <w:rPr>
          <w:rFonts w:cstheme="minorHAnsi"/>
          <w:color w:val="000000" w:themeColor="text1"/>
        </w:rPr>
        <w:t>ere</w:t>
      </w:r>
      <w:r w:rsidRPr="0033013E">
        <w:rPr>
          <w:rFonts w:cstheme="minorHAnsi"/>
          <w:color w:val="000000" w:themeColor="text1"/>
        </w:rPr>
        <w:t xml:space="preserve"> increased levels of sickness absence particularly stress related and the </w:t>
      </w:r>
      <w:r w:rsidR="00071680">
        <w:rPr>
          <w:rFonts w:cstheme="minorHAnsi"/>
          <w:color w:val="000000" w:themeColor="text1"/>
        </w:rPr>
        <w:t>Health Board</w:t>
      </w:r>
      <w:r w:rsidRPr="0033013E">
        <w:rPr>
          <w:rFonts w:cstheme="minorHAnsi"/>
          <w:color w:val="000000" w:themeColor="text1"/>
        </w:rPr>
        <w:t xml:space="preserve"> commissioned specialist external counselling support.  We have also recently employed a Consultant Clinical Psychologist/Head of Psychological Health &amp; Wellbeing</w:t>
      </w:r>
      <w:r>
        <w:rPr>
          <w:rFonts w:cstheme="minorHAnsi"/>
          <w:color w:val="000000" w:themeColor="text1"/>
        </w:rPr>
        <w:t>,</w:t>
      </w:r>
      <w:r w:rsidRPr="0033013E">
        <w:rPr>
          <w:rFonts w:cstheme="minorHAnsi"/>
          <w:color w:val="000000" w:themeColor="text1"/>
        </w:rPr>
        <w:t xml:space="preserve"> who will spend her first couple of months working in Maternity Services supporting staff.</w:t>
      </w:r>
    </w:p>
    <w:p w14:paraId="5BC2BF85" w14:textId="77777777" w:rsidR="00D852F5" w:rsidRPr="00800207" w:rsidRDefault="00D852F5" w:rsidP="00536402">
      <w:pPr>
        <w:pStyle w:val="Heading3"/>
        <w:rPr>
          <w:u w:val="single"/>
        </w:rPr>
      </w:pPr>
      <w:r w:rsidRPr="00800207">
        <w:t xml:space="preserve">Equality &amp; Diversity </w:t>
      </w:r>
    </w:p>
    <w:p w14:paraId="2D9D08D2" w14:textId="77777777" w:rsidR="0054685F" w:rsidRPr="0033013E" w:rsidRDefault="0054685F" w:rsidP="0054685F">
      <w:pPr>
        <w:rPr>
          <w:rFonts w:cstheme="minorHAnsi"/>
        </w:rPr>
      </w:pPr>
      <w:r w:rsidRPr="0033013E">
        <w:rPr>
          <w:rFonts w:cstheme="minorHAnsi"/>
        </w:rPr>
        <w:t>The Health Board is committed to the principles of equality and diversity and the importance of meeting the needs of the protected groups under the Equality Act 2010 and the specific requirements of the Public Sector Equality Duty in order to:</w:t>
      </w:r>
    </w:p>
    <w:p w14:paraId="5F4DED48" w14:textId="77777777" w:rsidR="00536402" w:rsidRPr="005E5CB8" w:rsidRDefault="00536402" w:rsidP="00F60A35">
      <w:pPr>
        <w:numPr>
          <w:ilvl w:val="0"/>
          <w:numId w:val="50"/>
        </w:numPr>
        <w:ind w:left="357" w:hanging="357"/>
        <w:rPr>
          <w:rFonts w:asciiTheme="minorHAnsi" w:hAnsiTheme="minorHAnsi" w:cstheme="minorHAnsi"/>
          <w:szCs w:val="22"/>
        </w:rPr>
      </w:pPr>
      <w:r w:rsidRPr="005E5CB8">
        <w:rPr>
          <w:rFonts w:asciiTheme="minorHAnsi" w:hAnsiTheme="minorHAnsi" w:cstheme="minorHAnsi"/>
          <w:szCs w:val="22"/>
        </w:rPr>
        <w:t xml:space="preserve">Advance equality of opportunity between people who share a relevant protected characteristic and those who do not; </w:t>
      </w:r>
    </w:p>
    <w:p w14:paraId="4B94BF65" w14:textId="7C681D81" w:rsidR="00536402" w:rsidRPr="005E5CB8" w:rsidRDefault="00536402" w:rsidP="00F60A35">
      <w:pPr>
        <w:numPr>
          <w:ilvl w:val="0"/>
          <w:numId w:val="50"/>
        </w:numPr>
        <w:ind w:left="357" w:hanging="357"/>
        <w:rPr>
          <w:rFonts w:asciiTheme="minorHAnsi" w:hAnsiTheme="minorHAnsi" w:cstheme="minorHAnsi"/>
          <w:szCs w:val="22"/>
        </w:rPr>
      </w:pPr>
      <w:r w:rsidRPr="005E5CB8">
        <w:rPr>
          <w:rFonts w:asciiTheme="minorHAnsi" w:hAnsiTheme="minorHAnsi" w:cstheme="minorHAnsi"/>
          <w:szCs w:val="22"/>
        </w:rPr>
        <w:t xml:space="preserve">Foster good relations between people who share a protected characteristic and those who do not; </w:t>
      </w:r>
      <w:r w:rsidR="0054685F">
        <w:rPr>
          <w:rFonts w:asciiTheme="minorHAnsi" w:hAnsiTheme="minorHAnsi" w:cstheme="minorHAnsi"/>
          <w:szCs w:val="22"/>
        </w:rPr>
        <w:t>and</w:t>
      </w:r>
    </w:p>
    <w:p w14:paraId="247F502C" w14:textId="77777777" w:rsidR="00536402" w:rsidRPr="005E5CB8" w:rsidRDefault="00536402" w:rsidP="00F60A35">
      <w:pPr>
        <w:numPr>
          <w:ilvl w:val="0"/>
          <w:numId w:val="50"/>
        </w:numPr>
        <w:ind w:left="357" w:hanging="357"/>
        <w:rPr>
          <w:rFonts w:asciiTheme="minorHAnsi" w:hAnsiTheme="minorHAnsi" w:cstheme="minorHAnsi"/>
          <w:szCs w:val="22"/>
        </w:rPr>
      </w:pPr>
      <w:r w:rsidRPr="005E5CB8">
        <w:rPr>
          <w:rFonts w:asciiTheme="minorHAnsi" w:hAnsiTheme="minorHAnsi" w:cstheme="minorHAnsi"/>
          <w:szCs w:val="22"/>
        </w:rPr>
        <w:t xml:space="preserve">Eliminate unlawful discrimination, harassment and victimisation. </w:t>
      </w:r>
    </w:p>
    <w:p w14:paraId="43337097" w14:textId="77777777" w:rsidR="00536402" w:rsidRPr="005E5CB8" w:rsidRDefault="00536402" w:rsidP="00536402">
      <w:pPr>
        <w:rPr>
          <w:rFonts w:asciiTheme="minorHAnsi" w:hAnsiTheme="minorHAnsi" w:cstheme="minorHAnsi"/>
          <w:szCs w:val="22"/>
        </w:rPr>
      </w:pPr>
    </w:p>
    <w:p w14:paraId="27732B12" w14:textId="28668DA4"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Our vision is that ‘we know equality exists, we believe it matters and together we can change things’.</w:t>
      </w:r>
      <w:r w:rsidR="00902C98">
        <w:rPr>
          <w:rFonts w:asciiTheme="minorHAnsi" w:hAnsiTheme="minorHAnsi" w:cstheme="minorHAnsi"/>
          <w:szCs w:val="22"/>
        </w:rPr>
        <w:t xml:space="preserve"> </w:t>
      </w:r>
      <w:r w:rsidRPr="005E5CB8">
        <w:rPr>
          <w:rFonts w:asciiTheme="minorHAnsi" w:hAnsiTheme="minorHAnsi" w:cstheme="minorHAnsi"/>
          <w:szCs w:val="22"/>
        </w:rPr>
        <w:t xml:space="preserve"> In order to achieve this we have developed 3 strategic aims which are:</w:t>
      </w:r>
    </w:p>
    <w:p w14:paraId="08481FB1" w14:textId="77777777" w:rsidR="00536402" w:rsidRPr="005E5CB8" w:rsidRDefault="00536402" w:rsidP="00536402">
      <w:pPr>
        <w:pStyle w:val="NormaBullet"/>
      </w:pPr>
      <w:r w:rsidRPr="005E5CB8">
        <w:t xml:space="preserve">To improve access and experience for patients throughout the health board; </w:t>
      </w:r>
    </w:p>
    <w:p w14:paraId="51F48E16" w14:textId="4140C710" w:rsidR="00536402" w:rsidRPr="005E5CB8" w:rsidRDefault="00536402" w:rsidP="00536402">
      <w:pPr>
        <w:pStyle w:val="NormaBullet"/>
      </w:pPr>
      <w:r w:rsidRPr="005E5CB8">
        <w:t>To improve staff engagement and experience</w:t>
      </w:r>
      <w:r w:rsidR="0054685F">
        <w:t>;</w:t>
      </w:r>
      <w:r w:rsidRPr="005E5CB8">
        <w:t xml:space="preserve"> and </w:t>
      </w:r>
    </w:p>
    <w:p w14:paraId="2DFBB218" w14:textId="258A1F2D" w:rsidR="00536402" w:rsidRPr="005E5CB8" w:rsidRDefault="00536402" w:rsidP="00536402">
      <w:pPr>
        <w:pStyle w:val="NormaBullet"/>
      </w:pPr>
      <w:r w:rsidRPr="005E5CB8">
        <w:t>To improve mainstreami</w:t>
      </w:r>
      <w:r w:rsidR="00902C98">
        <w:t>ng, monitoring and compliance.</w:t>
      </w:r>
    </w:p>
    <w:p w14:paraId="2BEBFCDD" w14:textId="77777777" w:rsidR="00536402" w:rsidRPr="005E5CB8" w:rsidRDefault="00536402" w:rsidP="0054685F">
      <w:pPr>
        <w:rPr>
          <w:rFonts w:asciiTheme="minorHAnsi" w:hAnsiTheme="minorHAnsi" w:cstheme="minorHAnsi"/>
          <w:szCs w:val="22"/>
        </w:rPr>
      </w:pPr>
    </w:p>
    <w:p w14:paraId="4E4CF723" w14:textId="460528EC" w:rsidR="0054685F" w:rsidRDefault="0054685F" w:rsidP="0054685F">
      <w:pPr>
        <w:rPr>
          <w:rFonts w:cstheme="minorHAnsi"/>
        </w:rPr>
      </w:pPr>
      <w:r w:rsidRPr="0033013E">
        <w:rPr>
          <w:rFonts w:cstheme="minorHAnsi"/>
        </w:rPr>
        <w:t>Since April 2019 this has included Bridgend services and our new Strategic Equality Plan for 2020-24 reflects a consistent approach throughout our services.  In support of this we produce an annual work plan which is scrutinised by the Equality and Welsh Language Forum wh</w:t>
      </w:r>
      <w:r w:rsidR="00902C98">
        <w:rPr>
          <w:rFonts w:cstheme="minorHAnsi"/>
        </w:rPr>
        <w:t xml:space="preserve">ich in turn reports to Quality and Safety </w:t>
      </w:r>
      <w:r w:rsidRPr="0033013E">
        <w:rPr>
          <w:rFonts w:cstheme="minorHAnsi"/>
        </w:rPr>
        <w:t>Committee.</w:t>
      </w:r>
    </w:p>
    <w:p w14:paraId="20E6151C" w14:textId="77777777" w:rsidR="0054685F" w:rsidRPr="0033013E" w:rsidRDefault="0054685F" w:rsidP="0054685F">
      <w:pPr>
        <w:rPr>
          <w:rFonts w:cstheme="minorHAnsi"/>
        </w:rPr>
      </w:pPr>
    </w:p>
    <w:p w14:paraId="79B1E8E8" w14:textId="132EAFBB" w:rsidR="0054685F" w:rsidRDefault="0054685F" w:rsidP="0054685F">
      <w:pPr>
        <w:rPr>
          <w:rFonts w:cstheme="minorHAnsi"/>
        </w:rPr>
      </w:pPr>
      <w:r w:rsidRPr="0033013E">
        <w:rPr>
          <w:rFonts w:cstheme="minorHAnsi"/>
        </w:rPr>
        <w:t xml:space="preserve">Resources have been rolled-out to including </w:t>
      </w:r>
      <w:r w:rsidR="00E32360">
        <w:rPr>
          <w:rFonts w:cstheme="minorHAnsi"/>
        </w:rPr>
        <w:t>POWH</w:t>
      </w:r>
      <w:r w:rsidRPr="0033013E">
        <w:rPr>
          <w:rFonts w:cstheme="minorHAnsi"/>
        </w:rPr>
        <w:t xml:space="preserve"> e.g. hearing equipment and on-line interpretation. </w:t>
      </w:r>
      <w:r w:rsidR="00661E57">
        <w:rPr>
          <w:rFonts w:cstheme="minorHAnsi"/>
        </w:rPr>
        <w:t xml:space="preserve"> </w:t>
      </w:r>
      <w:r w:rsidRPr="0033013E">
        <w:rPr>
          <w:rFonts w:cstheme="minorHAnsi"/>
        </w:rPr>
        <w:t>Excellent feedback has been receive</w:t>
      </w:r>
      <w:r w:rsidR="00097FD3">
        <w:rPr>
          <w:rFonts w:cstheme="minorHAnsi"/>
        </w:rPr>
        <w:t>d</w:t>
      </w:r>
      <w:r w:rsidRPr="0033013E">
        <w:rPr>
          <w:rFonts w:cstheme="minorHAnsi"/>
        </w:rPr>
        <w:t xml:space="preserve"> to date and has also raised awareness at the local Deaf Club in Bridgend.  The Health Board also won the Action on Hearing Loss awards for ‘Excellence in Healthcare’ for the second time.</w:t>
      </w:r>
    </w:p>
    <w:p w14:paraId="35C4841A" w14:textId="77777777" w:rsidR="0054685F" w:rsidRPr="0033013E" w:rsidRDefault="0054685F" w:rsidP="0054685F">
      <w:pPr>
        <w:rPr>
          <w:rFonts w:cstheme="minorHAnsi"/>
        </w:rPr>
      </w:pPr>
    </w:p>
    <w:p w14:paraId="3940FB67" w14:textId="7880A95A" w:rsidR="0054685F" w:rsidRDefault="0054685F" w:rsidP="0054685F">
      <w:pPr>
        <w:rPr>
          <w:rFonts w:cstheme="minorHAnsi"/>
        </w:rPr>
      </w:pPr>
      <w:r w:rsidRPr="0033013E">
        <w:rPr>
          <w:rFonts w:cstheme="minorHAnsi"/>
        </w:rPr>
        <w:t xml:space="preserve">We have a growing and thriving LGBT* staff network for </w:t>
      </w:r>
      <w:r>
        <w:rPr>
          <w:rFonts w:cstheme="minorHAnsi"/>
        </w:rPr>
        <w:t xml:space="preserve">the Health Board </w:t>
      </w:r>
      <w:r w:rsidRPr="0033013E">
        <w:rPr>
          <w:rFonts w:cstheme="minorHAnsi"/>
        </w:rPr>
        <w:t xml:space="preserve">and has led to the development of awareness events, a dedicated helpline, coaching and mentoring for LGBT staff and allies.  Both former health boards achieved high rankings on the Stonewall Employers’ Index and intend to build on this. </w:t>
      </w:r>
      <w:r w:rsidR="00661E57">
        <w:rPr>
          <w:rFonts w:cstheme="minorHAnsi"/>
        </w:rPr>
        <w:t xml:space="preserve"> </w:t>
      </w:r>
      <w:r w:rsidRPr="0033013E">
        <w:rPr>
          <w:rFonts w:cstheme="minorHAnsi"/>
        </w:rPr>
        <w:t>This work has won an HPMA award and were finalists in the ‘wellbeing of staff category’ in the recent NHS Wales awards.</w:t>
      </w:r>
    </w:p>
    <w:p w14:paraId="4F0CA45F" w14:textId="77777777" w:rsidR="0054685F" w:rsidRPr="0033013E" w:rsidRDefault="0054685F" w:rsidP="0054685F">
      <w:pPr>
        <w:rPr>
          <w:rFonts w:cstheme="minorHAnsi"/>
        </w:rPr>
      </w:pPr>
    </w:p>
    <w:p w14:paraId="0CF96049" w14:textId="38C7B252" w:rsidR="0054685F" w:rsidRDefault="0054685F" w:rsidP="0054685F">
      <w:pPr>
        <w:rPr>
          <w:rFonts w:cstheme="minorHAnsi"/>
        </w:rPr>
      </w:pPr>
      <w:r w:rsidRPr="0033013E">
        <w:rPr>
          <w:rFonts w:cstheme="minorHAnsi"/>
        </w:rPr>
        <w:t xml:space="preserve">The </w:t>
      </w:r>
      <w:r w:rsidR="00071680">
        <w:rPr>
          <w:rFonts w:cstheme="minorHAnsi"/>
        </w:rPr>
        <w:t>Health Board</w:t>
      </w:r>
      <w:r w:rsidRPr="0033013E">
        <w:rPr>
          <w:rFonts w:cstheme="minorHAnsi"/>
        </w:rPr>
        <w:t xml:space="preserve"> has achieved Disability Confident Level 3 and we are the first </w:t>
      </w:r>
      <w:r>
        <w:rPr>
          <w:rFonts w:cstheme="minorHAnsi"/>
        </w:rPr>
        <w:t>H</w:t>
      </w:r>
      <w:r w:rsidRPr="0033013E">
        <w:rPr>
          <w:rFonts w:cstheme="minorHAnsi"/>
        </w:rPr>
        <w:t xml:space="preserve">ealth </w:t>
      </w:r>
      <w:r>
        <w:rPr>
          <w:rFonts w:cstheme="minorHAnsi"/>
        </w:rPr>
        <w:t>B</w:t>
      </w:r>
      <w:r w:rsidRPr="0033013E">
        <w:rPr>
          <w:rFonts w:cstheme="minorHAnsi"/>
        </w:rPr>
        <w:t xml:space="preserve">oard in Wales to do so. The Equality and Human Rights </w:t>
      </w:r>
      <w:r w:rsidR="00661E57">
        <w:rPr>
          <w:rFonts w:cstheme="minorHAnsi"/>
        </w:rPr>
        <w:t>C</w:t>
      </w:r>
      <w:r w:rsidRPr="0033013E">
        <w:rPr>
          <w:rFonts w:cstheme="minorHAnsi"/>
        </w:rPr>
        <w:t>ommission highlighted in their report “</w:t>
      </w:r>
      <w:r w:rsidRPr="0033013E">
        <w:rPr>
          <w:rFonts w:cstheme="minorHAnsi"/>
          <w:i/>
        </w:rPr>
        <w:t xml:space="preserve">Is Wales Fairer?” </w:t>
      </w:r>
      <w:r w:rsidRPr="0033013E">
        <w:rPr>
          <w:rFonts w:cstheme="minorHAnsi"/>
        </w:rPr>
        <w:t xml:space="preserve">the employment rate for non-disabled people (73.4%) was almost twice that for those with a disability which highlights the importance of making a difference with this work. </w:t>
      </w:r>
      <w:r w:rsidR="00661E57">
        <w:rPr>
          <w:rFonts w:cstheme="minorHAnsi"/>
        </w:rPr>
        <w:t xml:space="preserve"> </w:t>
      </w:r>
      <w:r w:rsidRPr="0033013E">
        <w:rPr>
          <w:rFonts w:cstheme="minorHAnsi"/>
        </w:rPr>
        <w:t>It also make</w:t>
      </w:r>
      <w:r w:rsidR="00661E57">
        <w:rPr>
          <w:rFonts w:cstheme="minorHAnsi"/>
        </w:rPr>
        <w:t>s</w:t>
      </w:r>
      <w:r w:rsidRPr="0033013E">
        <w:rPr>
          <w:rFonts w:cstheme="minorHAnsi"/>
        </w:rPr>
        <w:t xml:space="preserve"> reference to improving access to Mental Health Services for certain groups (will initially be focussing on Black and Minority Ethnic) and service users who are deaf or have other sensory loss.  We are also taking account of changes in society e.g. the increasing number of peo</w:t>
      </w:r>
      <w:r>
        <w:rPr>
          <w:rFonts w:cstheme="minorHAnsi"/>
        </w:rPr>
        <w:t>ple presenting as transgender.</w:t>
      </w:r>
    </w:p>
    <w:p w14:paraId="3EE4E5F3" w14:textId="77777777" w:rsidR="0054685F" w:rsidRPr="0033013E" w:rsidRDefault="0054685F" w:rsidP="0054685F">
      <w:pPr>
        <w:rPr>
          <w:rFonts w:cstheme="minorHAnsi"/>
        </w:rPr>
      </w:pPr>
    </w:p>
    <w:p w14:paraId="55EF7708" w14:textId="6010C2FD" w:rsidR="0054685F" w:rsidRDefault="0054685F" w:rsidP="0054685F">
      <w:pPr>
        <w:rPr>
          <w:rFonts w:cstheme="minorHAnsi"/>
        </w:rPr>
      </w:pPr>
      <w:r w:rsidRPr="0033013E">
        <w:rPr>
          <w:rFonts w:cstheme="minorHAnsi"/>
        </w:rPr>
        <w:t>A network is being established to promote our policy and internet resources so that both managers and staff are equipped to manage issues that they may experi</w:t>
      </w:r>
      <w:r>
        <w:rPr>
          <w:rFonts w:cstheme="minorHAnsi"/>
        </w:rPr>
        <w:t>ence.  An Accessible Buildings P</w:t>
      </w:r>
      <w:r w:rsidRPr="0033013E">
        <w:rPr>
          <w:rFonts w:cstheme="minorHAnsi"/>
        </w:rPr>
        <w:t>olicy has also been agreed which will be used by Capital Planners in the contracting process for new builds and refurbishments.  The aim is to empower disabled staff and service users to visit buildings and comment on suitable adaptations which would meet the needs of disabled people.</w:t>
      </w:r>
    </w:p>
    <w:p w14:paraId="046DA1DF" w14:textId="77777777" w:rsidR="0054685F" w:rsidRPr="0033013E" w:rsidRDefault="0054685F" w:rsidP="0054685F">
      <w:pPr>
        <w:rPr>
          <w:rFonts w:cstheme="minorHAnsi"/>
        </w:rPr>
      </w:pPr>
    </w:p>
    <w:p w14:paraId="5EB655AE" w14:textId="77777777" w:rsidR="0054685F" w:rsidRDefault="0054685F" w:rsidP="0054685F">
      <w:pPr>
        <w:rPr>
          <w:rFonts w:cstheme="minorHAnsi"/>
        </w:rPr>
      </w:pPr>
      <w:r w:rsidRPr="0033013E">
        <w:rPr>
          <w:rFonts w:cstheme="minorHAnsi"/>
        </w:rPr>
        <w:t xml:space="preserve">In terms of gender pay equality, a gender equality review has taken place with development of an action plan to address any emerging issues. </w:t>
      </w:r>
    </w:p>
    <w:p w14:paraId="7CE78934" w14:textId="77777777" w:rsidR="0054685F" w:rsidRPr="0033013E" w:rsidRDefault="0054685F" w:rsidP="0054685F">
      <w:pPr>
        <w:rPr>
          <w:rFonts w:cstheme="minorHAnsi"/>
        </w:rPr>
      </w:pPr>
    </w:p>
    <w:p w14:paraId="1401E402" w14:textId="13A9200C" w:rsidR="0054685F" w:rsidRDefault="0054685F" w:rsidP="0054685F">
      <w:pPr>
        <w:rPr>
          <w:rFonts w:cstheme="minorHAnsi"/>
          <w:b/>
        </w:rPr>
      </w:pPr>
      <w:r w:rsidRPr="0033013E">
        <w:rPr>
          <w:rFonts w:cstheme="minorHAnsi"/>
        </w:rPr>
        <w:lastRenderedPageBreak/>
        <w:t>There has been development to improve the quality and completeness of the Equality Impact Assessment process and ensure a strong link to IMTP developments.</w:t>
      </w:r>
    </w:p>
    <w:p w14:paraId="5A3F3543" w14:textId="77777777" w:rsidR="0054685F" w:rsidRPr="0033013E" w:rsidRDefault="0054685F" w:rsidP="0054685F">
      <w:pPr>
        <w:rPr>
          <w:rFonts w:cstheme="minorHAnsi"/>
          <w:b/>
        </w:rPr>
      </w:pPr>
    </w:p>
    <w:p w14:paraId="630E1BF4" w14:textId="2E325081" w:rsidR="00536402" w:rsidRPr="00536402" w:rsidRDefault="0054685F" w:rsidP="0054685F">
      <w:pPr>
        <w:rPr>
          <w:rFonts w:asciiTheme="minorHAnsi" w:hAnsiTheme="minorHAnsi" w:cstheme="minorHAnsi"/>
          <w:szCs w:val="22"/>
        </w:rPr>
      </w:pPr>
      <w:r w:rsidRPr="0033013E">
        <w:rPr>
          <w:rFonts w:cstheme="minorHAnsi"/>
        </w:rPr>
        <w:t xml:space="preserve">The Strategic Equality Plan will link with the emerging </w:t>
      </w:r>
      <w:r>
        <w:rPr>
          <w:rFonts w:cstheme="minorHAnsi"/>
        </w:rPr>
        <w:t>Integrated Health and Care S</w:t>
      </w:r>
      <w:r w:rsidRPr="0033013E">
        <w:rPr>
          <w:rFonts w:cstheme="minorHAnsi"/>
        </w:rPr>
        <w:t>trategy and the objectives will be supported by training and ongoing communications including roadshows, event and articles.</w:t>
      </w:r>
    </w:p>
    <w:p w14:paraId="2A17731F" w14:textId="015D53A2" w:rsidR="00D852F5" w:rsidRPr="00536402" w:rsidRDefault="00536402" w:rsidP="00536402">
      <w:pPr>
        <w:pStyle w:val="Heading3"/>
      </w:pPr>
      <w:r>
        <w:t>Welsh Language</w:t>
      </w:r>
    </w:p>
    <w:p w14:paraId="0D91A95F" w14:textId="7C55652D" w:rsidR="0054685F" w:rsidRDefault="0054685F" w:rsidP="0054685F">
      <w:pPr>
        <w:rPr>
          <w:rFonts w:cstheme="minorHAnsi"/>
        </w:rPr>
      </w:pPr>
      <w:r w:rsidRPr="0033013E">
        <w:rPr>
          <w:rFonts w:cstheme="minorHAnsi"/>
        </w:rPr>
        <w:t xml:space="preserve">The Health Board is committed to improving and promoting bilingual service provision and recognises the positive impact this has upon our service users.  Annual monitoring and statistical reports are submitted to the Welsh Language Commissioner and </w:t>
      </w:r>
      <w:r w:rsidR="00897141">
        <w:rPr>
          <w:rFonts w:cstheme="minorHAnsi"/>
        </w:rPr>
        <w:t>WG</w:t>
      </w:r>
      <w:r w:rsidRPr="0033013E">
        <w:rPr>
          <w:rFonts w:cstheme="minorHAnsi"/>
        </w:rPr>
        <w:t xml:space="preserve"> outlining the steps taken to progress the Welsh </w:t>
      </w:r>
      <w:r>
        <w:rPr>
          <w:rFonts w:cstheme="minorHAnsi"/>
        </w:rPr>
        <w:t>L</w:t>
      </w:r>
      <w:r w:rsidRPr="0033013E">
        <w:rPr>
          <w:rFonts w:cstheme="minorHAnsi"/>
        </w:rPr>
        <w:t>anguage agenda. Following receipt of the Welsh Language Standards a new Bilingual Skills Strategy has been developed which focuses on how the workforce can strategically deliver services through the medium of Welsh, and identifies potential options for increasing the number of our Welsh speaking staff to meet the needs of the local population.</w:t>
      </w:r>
      <w:r w:rsidR="00724F50">
        <w:rPr>
          <w:rFonts w:cstheme="minorHAnsi"/>
        </w:rPr>
        <w:t xml:space="preserve"> </w:t>
      </w:r>
      <w:r w:rsidRPr="0033013E">
        <w:rPr>
          <w:rFonts w:cstheme="minorHAnsi"/>
        </w:rPr>
        <w:t xml:space="preserve"> The Health Board also provides opportunities for staff to learn Welsh with courses available in all three general hospitals as well as reception skills courses across the region.  Welsh speaking staff are enc</w:t>
      </w:r>
      <w:r>
        <w:rPr>
          <w:rFonts w:cstheme="minorHAnsi"/>
        </w:rPr>
        <w:t>ouraged to develop their Welsh L</w:t>
      </w:r>
      <w:r w:rsidRPr="0033013E">
        <w:rPr>
          <w:rFonts w:cstheme="minorHAnsi"/>
        </w:rPr>
        <w:t>anguage skills by attending confidence building courses as well as residential cou</w:t>
      </w:r>
      <w:r>
        <w:rPr>
          <w:rFonts w:cstheme="minorHAnsi"/>
        </w:rPr>
        <w:t>rses provided by Dysgu Cymraeg.</w:t>
      </w:r>
    </w:p>
    <w:p w14:paraId="66854154" w14:textId="77777777" w:rsidR="0054685F" w:rsidRPr="0033013E" w:rsidRDefault="0054685F" w:rsidP="0054685F">
      <w:pPr>
        <w:rPr>
          <w:rFonts w:cstheme="minorHAnsi"/>
        </w:rPr>
      </w:pPr>
    </w:p>
    <w:p w14:paraId="281B5630" w14:textId="5FB401F2" w:rsidR="0054685F" w:rsidRDefault="0054685F" w:rsidP="0054685F">
      <w:pPr>
        <w:rPr>
          <w:rFonts w:cstheme="minorHAnsi"/>
        </w:rPr>
      </w:pPr>
      <w:r w:rsidRPr="0033013E">
        <w:rPr>
          <w:rFonts w:cstheme="minorHAnsi"/>
        </w:rPr>
        <w:t>The Welsh Language Standards are very wide ranging and a new working group, chaired by senior management</w:t>
      </w:r>
      <w:r w:rsidR="00724F50">
        <w:rPr>
          <w:rFonts w:cstheme="minorHAnsi"/>
        </w:rPr>
        <w:t>,</w:t>
      </w:r>
      <w:r>
        <w:rPr>
          <w:rFonts w:cstheme="minorHAnsi"/>
        </w:rPr>
        <w:t xml:space="preserve"> </w:t>
      </w:r>
      <w:r w:rsidRPr="0033013E">
        <w:rPr>
          <w:rFonts w:cstheme="minorHAnsi"/>
        </w:rPr>
        <w:t>has been established to develop an action plan in relation to their delivery.  The work of this group includes addressing very significant increases in demand for translation, awareness raising, training, policy development and new ways of working throughout the health board.  Two new translator posts have been created to support our existing translator to meet the increased demand to translate documents such as patient letters, signs, posters and digital media.</w:t>
      </w:r>
      <w:r w:rsidR="00724F50">
        <w:rPr>
          <w:rFonts w:cstheme="minorHAnsi"/>
        </w:rPr>
        <w:t xml:space="preserve"> </w:t>
      </w:r>
      <w:r w:rsidRPr="0033013E">
        <w:rPr>
          <w:rFonts w:cstheme="minorHAnsi"/>
        </w:rPr>
        <w:t xml:space="preserve"> We are working closely with Welsh Language leads from other </w:t>
      </w:r>
      <w:r w:rsidR="00724F50">
        <w:rPr>
          <w:rFonts w:cstheme="minorHAnsi"/>
        </w:rPr>
        <w:t>H</w:t>
      </w:r>
      <w:r w:rsidRPr="0033013E">
        <w:rPr>
          <w:rFonts w:cstheme="minorHAnsi"/>
        </w:rPr>
        <w:t xml:space="preserve">ealth </w:t>
      </w:r>
      <w:r w:rsidR="00724F50">
        <w:rPr>
          <w:rFonts w:cstheme="minorHAnsi"/>
        </w:rPr>
        <w:t>B</w:t>
      </w:r>
      <w:r w:rsidRPr="0033013E">
        <w:rPr>
          <w:rFonts w:cstheme="minorHAnsi"/>
        </w:rPr>
        <w:t>oards to ensure a consistent approach and to jointly develop and share resources.</w:t>
      </w:r>
      <w:r w:rsidR="00724F50">
        <w:rPr>
          <w:rFonts w:cstheme="minorHAnsi"/>
        </w:rPr>
        <w:t xml:space="preserve"> </w:t>
      </w:r>
      <w:r w:rsidRPr="0033013E">
        <w:rPr>
          <w:rFonts w:cstheme="minorHAnsi"/>
        </w:rPr>
        <w:t xml:space="preserve"> Progress with the Welsh Language Standards is monitored by the Equality and Welsh Language Forum.</w:t>
      </w:r>
    </w:p>
    <w:p w14:paraId="18E889FC" w14:textId="77777777" w:rsidR="0054685F" w:rsidRPr="0033013E" w:rsidRDefault="0054685F" w:rsidP="0054685F">
      <w:pPr>
        <w:rPr>
          <w:rFonts w:cstheme="minorHAnsi"/>
        </w:rPr>
      </w:pPr>
    </w:p>
    <w:p w14:paraId="1E03F228" w14:textId="22ECBD1F" w:rsidR="0054685F" w:rsidRDefault="0054685F" w:rsidP="0054685F">
      <w:pPr>
        <w:rPr>
          <w:rFonts w:cstheme="minorHAnsi"/>
        </w:rPr>
      </w:pPr>
      <w:r w:rsidRPr="0033013E">
        <w:rPr>
          <w:rFonts w:cstheme="minorHAnsi"/>
        </w:rPr>
        <w:t xml:space="preserve">The implementation of the Welsh Language Standards has helped the Health Board further embed the objectives of the More </w:t>
      </w:r>
      <w:r w:rsidR="00724F50">
        <w:rPr>
          <w:rFonts w:cstheme="minorHAnsi"/>
        </w:rPr>
        <w:t>T</w:t>
      </w:r>
      <w:r w:rsidRPr="0033013E">
        <w:rPr>
          <w:rFonts w:cstheme="minorHAnsi"/>
        </w:rPr>
        <w:t xml:space="preserve">han </w:t>
      </w:r>
      <w:r w:rsidR="00724F50">
        <w:rPr>
          <w:rFonts w:cstheme="minorHAnsi"/>
        </w:rPr>
        <w:t>J</w:t>
      </w:r>
      <w:r w:rsidRPr="0033013E">
        <w:rPr>
          <w:rFonts w:cstheme="minorHAnsi"/>
        </w:rPr>
        <w:t xml:space="preserve">ust </w:t>
      </w:r>
      <w:r w:rsidR="00724F50">
        <w:rPr>
          <w:rFonts w:cstheme="minorHAnsi"/>
        </w:rPr>
        <w:t>W</w:t>
      </w:r>
      <w:r w:rsidRPr="0033013E">
        <w:rPr>
          <w:rFonts w:cstheme="minorHAnsi"/>
        </w:rPr>
        <w:t xml:space="preserve">ords strategy and new action plan for 2019-2020. </w:t>
      </w:r>
      <w:r w:rsidR="00724F50">
        <w:rPr>
          <w:rFonts w:cstheme="minorHAnsi"/>
        </w:rPr>
        <w:t xml:space="preserve"> </w:t>
      </w:r>
      <w:r w:rsidRPr="0033013E">
        <w:rPr>
          <w:rFonts w:cstheme="minorHAnsi"/>
        </w:rPr>
        <w:t xml:space="preserve">The ‘Active Offer’ forms part of the Corporate Orientation training for new staff including all </w:t>
      </w:r>
      <w:r w:rsidR="00357F0B">
        <w:rPr>
          <w:rFonts w:cstheme="minorHAnsi"/>
        </w:rPr>
        <w:t>HCSWs</w:t>
      </w:r>
      <w:r w:rsidRPr="0033013E">
        <w:rPr>
          <w:rFonts w:cstheme="minorHAnsi"/>
        </w:rPr>
        <w:t>.  All wards across the Health Board have been audited to ensure staff comply with W</w:t>
      </w:r>
      <w:r>
        <w:rPr>
          <w:rFonts w:cstheme="minorHAnsi"/>
        </w:rPr>
        <w:t>elsh Language Standards and ‘M</w:t>
      </w:r>
      <w:r w:rsidRPr="0033013E">
        <w:rPr>
          <w:rFonts w:cstheme="minorHAnsi"/>
        </w:rPr>
        <w:t xml:space="preserve">ore </w:t>
      </w:r>
      <w:r>
        <w:rPr>
          <w:rFonts w:cstheme="minorHAnsi"/>
        </w:rPr>
        <w:t>T</w:t>
      </w:r>
      <w:r w:rsidRPr="0033013E">
        <w:rPr>
          <w:rFonts w:cstheme="minorHAnsi"/>
        </w:rPr>
        <w:t>han Just Words</w:t>
      </w:r>
      <w:r>
        <w:rPr>
          <w:rFonts w:cstheme="minorHAnsi"/>
        </w:rPr>
        <w:t>’ ac</w:t>
      </w:r>
      <w:r w:rsidRPr="0033013E">
        <w:rPr>
          <w:rFonts w:cstheme="minorHAnsi"/>
        </w:rPr>
        <w:t xml:space="preserve">tion plan. </w:t>
      </w:r>
      <w:r w:rsidR="00357F0B">
        <w:rPr>
          <w:rFonts w:cstheme="minorHAnsi"/>
        </w:rPr>
        <w:t xml:space="preserve"> </w:t>
      </w:r>
      <w:r w:rsidRPr="0033013E">
        <w:rPr>
          <w:rFonts w:cstheme="minorHAnsi"/>
        </w:rPr>
        <w:t xml:space="preserve">The audit ensures staff ask and note patient language preference and ensures patients are able to identify Welsh speaking staff. </w:t>
      </w:r>
      <w:r w:rsidR="00357F0B">
        <w:rPr>
          <w:rFonts w:cstheme="minorHAnsi"/>
        </w:rPr>
        <w:t xml:space="preserve"> </w:t>
      </w:r>
      <w:r w:rsidRPr="0033013E">
        <w:rPr>
          <w:rFonts w:cstheme="minorHAnsi"/>
        </w:rPr>
        <w:t>The introduction of an online interpretation services has also enabled staff to provide Welsh interpretation at short notice.</w:t>
      </w:r>
    </w:p>
    <w:p w14:paraId="2C023727" w14:textId="77777777" w:rsidR="0054685F" w:rsidRDefault="0054685F" w:rsidP="0054685F">
      <w:pPr>
        <w:rPr>
          <w:rFonts w:cstheme="minorHAnsi"/>
        </w:rPr>
      </w:pPr>
    </w:p>
    <w:p w14:paraId="169D596A" w14:textId="61635C2E" w:rsidR="00D852F5" w:rsidRDefault="0054685F" w:rsidP="0054685F">
      <w:r w:rsidRPr="0033013E">
        <w:rPr>
          <w:rFonts w:cstheme="minorHAnsi"/>
        </w:rPr>
        <w:t xml:space="preserve">The Welsh language team works closely with primary care managers to ensure they are able to access the training available to Health Board staff. </w:t>
      </w:r>
      <w:r w:rsidR="00357F0B">
        <w:rPr>
          <w:rFonts w:cstheme="minorHAnsi"/>
        </w:rPr>
        <w:t xml:space="preserve"> </w:t>
      </w:r>
      <w:r w:rsidRPr="0033013E">
        <w:rPr>
          <w:rFonts w:cstheme="minorHAnsi"/>
        </w:rPr>
        <w:t>General practice managers are encouraged to monitor compliance with the Welsh Language Standards and have received auditing and promotional docum</w:t>
      </w:r>
      <w:r w:rsidR="00357F0B">
        <w:rPr>
          <w:rFonts w:cstheme="minorHAnsi"/>
        </w:rPr>
        <w:t>ents to support them with this.</w:t>
      </w:r>
    </w:p>
    <w:p w14:paraId="17F84DA2" w14:textId="397F48AB" w:rsidR="00B54C80" w:rsidRPr="00536402" w:rsidRDefault="00FB5900" w:rsidP="00B54C80">
      <w:pPr>
        <w:pStyle w:val="Heading3"/>
      </w:pPr>
      <w:r>
        <w:t>Work Experience</w:t>
      </w:r>
    </w:p>
    <w:p w14:paraId="65455346" w14:textId="65C608EC" w:rsidR="00B54C80" w:rsidRDefault="00B54C80" w:rsidP="00B54C80">
      <w:pPr>
        <w:rPr>
          <w:rFonts w:cstheme="minorHAnsi"/>
        </w:rPr>
      </w:pPr>
      <w:r w:rsidRPr="0033013E">
        <w:rPr>
          <w:rFonts w:cstheme="minorHAnsi"/>
        </w:rPr>
        <w:t>Working closely with HEIW, Careers Wales and our local schools and college</w:t>
      </w:r>
      <w:r w:rsidR="000556C2">
        <w:rPr>
          <w:rFonts w:cstheme="minorHAnsi"/>
        </w:rPr>
        <w:t>s</w:t>
      </w:r>
      <w:r w:rsidRPr="0033013E">
        <w:rPr>
          <w:rFonts w:cstheme="minorHAnsi"/>
        </w:rPr>
        <w:t xml:space="preserve"> the </w:t>
      </w:r>
      <w:r w:rsidR="00071680">
        <w:rPr>
          <w:rFonts w:cstheme="minorHAnsi"/>
        </w:rPr>
        <w:t>Health Board</w:t>
      </w:r>
      <w:r w:rsidRPr="0033013E">
        <w:rPr>
          <w:rFonts w:cstheme="minorHAnsi"/>
        </w:rPr>
        <w:t xml:space="preserve"> has developed a framework of careers support and work experience activities that support the needs of our local students whilst also supporting the </w:t>
      </w:r>
      <w:r w:rsidR="00071680">
        <w:rPr>
          <w:rFonts w:cstheme="minorHAnsi"/>
        </w:rPr>
        <w:t>Health Board</w:t>
      </w:r>
      <w:r w:rsidRPr="0033013E">
        <w:rPr>
          <w:rFonts w:cstheme="minorHAnsi"/>
        </w:rPr>
        <w:t>s agenda around recruitment of our future workforce, delivery of the Future Generations Act, Corporate Social Responsibility and maintenance of the Corporate Health Standard Platinum award.</w:t>
      </w:r>
      <w:r w:rsidR="000556C2">
        <w:rPr>
          <w:rFonts w:cstheme="minorHAnsi"/>
        </w:rPr>
        <w:t xml:space="preserve"> </w:t>
      </w:r>
      <w:r w:rsidRPr="0033013E">
        <w:rPr>
          <w:rFonts w:cstheme="minorHAnsi"/>
        </w:rPr>
        <w:t xml:space="preserve"> This work will be expanded to incorporate activity within the Bridgend footprint.</w:t>
      </w:r>
    </w:p>
    <w:p w14:paraId="2A58545E" w14:textId="77777777" w:rsidR="00B54C80" w:rsidRPr="0033013E" w:rsidRDefault="00B54C80" w:rsidP="00B54C80">
      <w:pPr>
        <w:rPr>
          <w:rFonts w:cstheme="minorHAnsi"/>
        </w:rPr>
      </w:pPr>
    </w:p>
    <w:p w14:paraId="2F989C51" w14:textId="286F4A8E" w:rsidR="00B54C80" w:rsidRDefault="00B54C80" w:rsidP="00B54C80">
      <w:pPr>
        <w:rPr>
          <w:rFonts w:cstheme="minorHAnsi"/>
        </w:rPr>
      </w:pPr>
      <w:r w:rsidRPr="0033013E">
        <w:rPr>
          <w:rFonts w:cstheme="minorHAnsi"/>
        </w:rPr>
        <w:t xml:space="preserve">Recently the </w:t>
      </w:r>
      <w:r w:rsidR="00071680">
        <w:rPr>
          <w:rFonts w:cstheme="minorHAnsi"/>
        </w:rPr>
        <w:t>Health Board</w:t>
      </w:r>
      <w:r w:rsidRPr="0033013E">
        <w:rPr>
          <w:rFonts w:cstheme="minorHAnsi"/>
        </w:rPr>
        <w:t xml:space="preserve"> was presented with a Gold Valued Partner Award by Careers Wales, recognising the support it gives to schools and young people to gain a better understanding of the world of work.</w:t>
      </w:r>
    </w:p>
    <w:p w14:paraId="291EACC9" w14:textId="77777777" w:rsidR="00B54C80" w:rsidRPr="0033013E" w:rsidRDefault="00B54C80" w:rsidP="00B54C80">
      <w:pPr>
        <w:rPr>
          <w:rFonts w:cstheme="minorHAnsi"/>
        </w:rPr>
      </w:pPr>
    </w:p>
    <w:p w14:paraId="325B4BC2" w14:textId="1F8F3F02" w:rsidR="00B54C80" w:rsidRDefault="00B54C80" w:rsidP="00B54C80">
      <w:pPr>
        <w:jc w:val="center"/>
      </w:pPr>
      <w:r w:rsidRPr="0033013E">
        <w:rPr>
          <w:rFonts w:cstheme="minorHAnsi"/>
          <w:noProof/>
        </w:rPr>
        <w:lastRenderedPageBreak/>
        <w:drawing>
          <wp:inline distT="0" distB="0" distL="0" distR="0" wp14:anchorId="5570FFAD" wp14:editId="6B0D626B">
            <wp:extent cx="5676900" cy="1552575"/>
            <wp:effectExtent l="0" t="0" r="0" b="9525"/>
            <wp:docPr id="1798" name="Picture 1798" descr="cid:image001.jpg@01D58B26.D839C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58B26.D839C360"/>
                    <pic:cNvPicPr>
                      <a:picLocks noChangeAspect="1" noChangeArrowheads="1"/>
                    </pic:cNvPicPr>
                  </pic:nvPicPr>
                  <pic:blipFill>
                    <a:blip r:embed="rId112" r:link="rId113">
                      <a:extLst>
                        <a:ext uri="{28A0092B-C50C-407E-A947-70E740481C1C}">
                          <a14:useLocalDpi xmlns:a14="http://schemas.microsoft.com/office/drawing/2010/main" val="0"/>
                        </a:ext>
                      </a:extLst>
                    </a:blip>
                    <a:srcRect/>
                    <a:stretch>
                      <a:fillRect/>
                    </a:stretch>
                  </pic:blipFill>
                  <pic:spPr bwMode="auto">
                    <a:xfrm>
                      <a:off x="0" y="0"/>
                      <a:ext cx="5676900" cy="1552575"/>
                    </a:xfrm>
                    <a:prstGeom prst="rect">
                      <a:avLst/>
                    </a:prstGeom>
                    <a:noFill/>
                    <a:ln>
                      <a:noFill/>
                    </a:ln>
                  </pic:spPr>
                </pic:pic>
              </a:graphicData>
            </a:graphic>
          </wp:inline>
        </w:drawing>
      </w:r>
    </w:p>
    <w:p w14:paraId="3C42C094" w14:textId="0ADBFE7A" w:rsidR="00B54C80" w:rsidRPr="0033013E" w:rsidRDefault="00B54C80" w:rsidP="00B54C80">
      <w:pPr>
        <w:contextualSpacing/>
        <w:rPr>
          <w:rFonts w:cstheme="minorHAnsi"/>
        </w:rPr>
      </w:pPr>
      <w:r w:rsidRPr="0033013E">
        <w:rPr>
          <w:rFonts w:cstheme="minorHAnsi"/>
        </w:rPr>
        <w:t xml:space="preserve">Requests for schools work experience has increased over recent months. </w:t>
      </w:r>
      <w:r w:rsidR="00104D8E">
        <w:rPr>
          <w:rFonts w:cstheme="minorHAnsi"/>
        </w:rPr>
        <w:t xml:space="preserve"> </w:t>
      </w:r>
      <w:r w:rsidRPr="0033013E">
        <w:rPr>
          <w:rFonts w:cstheme="minorHAnsi"/>
        </w:rPr>
        <w:t>Anecdotally it is suggested that this is a result of schools in the RCT area preparing for the introduction of Curriculum 2022 by piloting the Gatsby Good Career Benchmarks approach to good careers guidance.</w:t>
      </w:r>
      <w:r w:rsidR="00104D8E">
        <w:rPr>
          <w:rFonts w:cstheme="minorHAnsi"/>
        </w:rPr>
        <w:t xml:space="preserve"> </w:t>
      </w:r>
      <w:r w:rsidRPr="0033013E">
        <w:rPr>
          <w:rFonts w:cstheme="minorHAnsi"/>
        </w:rPr>
        <w:t xml:space="preserve"> The Gatsby Benchmarks require at least 91% of all pupils from Year 8 to Year 13 to have:</w:t>
      </w:r>
    </w:p>
    <w:p w14:paraId="67E2C62E" w14:textId="77777777" w:rsidR="00B54C80" w:rsidRPr="0033013E" w:rsidRDefault="00B54C80" w:rsidP="00F60A35">
      <w:pPr>
        <w:pStyle w:val="ListParagraph"/>
        <w:numPr>
          <w:ilvl w:val="0"/>
          <w:numId w:val="89"/>
        </w:numPr>
        <w:ind w:left="357" w:hanging="357"/>
        <w:rPr>
          <w:rFonts w:cstheme="minorHAnsi"/>
        </w:rPr>
      </w:pPr>
      <w:r w:rsidRPr="0033013E">
        <w:rPr>
          <w:rFonts w:cstheme="minorHAnsi"/>
        </w:rPr>
        <w:t>Quality experiences of the workplace – by the age of 16 and again by the age of 18</w:t>
      </w:r>
    </w:p>
    <w:p w14:paraId="01D9B971" w14:textId="77777777" w:rsidR="00B54C80" w:rsidRDefault="00B54C80" w:rsidP="00F60A35">
      <w:pPr>
        <w:pStyle w:val="ListParagraph"/>
        <w:numPr>
          <w:ilvl w:val="0"/>
          <w:numId w:val="89"/>
        </w:numPr>
        <w:ind w:left="357" w:hanging="357"/>
        <w:rPr>
          <w:rFonts w:cstheme="minorHAnsi"/>
        </w:rPr>
      </w:pPr>
      <w:r w:rsidRPr="0033013E">
        <w:rPr>
          <w:rFonts w:cstheme="minorHAnsi"/>
        </w:rPr>
        <w:t>At least 7 Memorable encounters with employers and employees.</w:t>
      </w:r>
    </w:p>
    <w:p w14:paraId="3C5E5869" w14:textId="77777777" w:rsidR="00B54C80" w:rsidRPr="00B54C80" w:rsidRDefault="00B54C80" w:rsidP="00B54C80">
      <w:pPr>
        <w:rPr>
          <w:rFonts w:cstheme="minorHAnsi"/>
        </w:rPr>
      </w:pPr>
    </w:p>
    <w:p w14:paraId="18ABD8A7" w14:textId="35F8DF45" w:rsidR="00B54C80" w:rsidRDefault="00B54C80" w:rsidP="00B54C80">
      <w:pPr>
        <w:contextualSpacing/>
        <w:rPr>
          <w:rFonts w:cstheme="minorHAnsi"/>
        </w:rPr>
      </w:pPr>
      <w:r w:rsidRPr="0033013E">
        <w:rPr>
          <w:rFonts w:cstheme="minorHAnsi"/>
        </w:rPr>
        <w:t xml:space="preserve">As one of the largest employers within the area it can be assumed that the </w:t>
      </w:r>
      <w:r w:rsidR="00071680">
        <w:rPr>
          <w:rFonts w:cstheme="minorHAnsi"/>
        </w:rPr>
        <w:t>Health Board</w:t>
      </w:r>
      <w:r w:rsidRPr="0033013E">
        <w:rPr>
          <w:rFonts w:cstheme="minorHAnsi"/>
        </w:rPr>
        <w:t xml:space="preserve"> will have a corporate social responsibility to support our local schools in the delivery of this work experience and this may pose a challenge for the </w:t>
      </w:r>
      <w:r>
        <w:rPr>
          <w:rFonts w:cstheme="minorHAnsi"/>
        </w:rPr>
        <w:t>Health Board</w:t>
      </w:r>
      <w:r w:rsidRPr="0033013E">
        <w:rPr>
          <w:rFonts w:cstheme="minorHAnsi"/>
        </w:rPr>
        <w:t xml:space="preserve"> going forward.</w:t>
      </w:r>
    </w:p>
    <w:p w14:paraId="57EA034F" w14:textId="77777777" w:rsidR="00B54C80" w:rsidRDefault="00B54C80" w:rsidP="00B54C80">
      <w:pPr>
        <w:contextualSpacing/>
        <w:rPr>
          <w:rFonts w:cstheme="minorHAnsi"/>
        </w:rPr>
      </w:pPr>
    </w:p>
    <w:p w14:paraId="13A345C8" w14:textId="77777777" w:rsidR="00B54C80" w:rsidRDefault="00B54C80" w:rsidP="00B54C80">
      <w:pPr>
        <w:contextualSpacing/>
        <w:rPr>
          <w:rFonts w:cstheme="minorHAnsi"/>
        </w:rPr>
      </w:pPr>
      <w:r>
        <w:rPr>
          <w:rFonts w:cstheme="minorHAnsi"/>
        </w:rPr>
        <w:t>In terms of raising the ambition of our local school children to consider medicine:</w:t>
      </w:r>
    </w:p>
    <w:p w14:paraId="79B8BC3B" w14:textId="34BE37C2" w:rsidR="00B54C80" w:rsidRPr="00B86651" w:rsidRDefault="00B54C80" w:rsidP="00F60A35">
      <w:pPr>
        <w:pStyle w:val="ListParagraph"/>
        <w:numPr>
          <w:ilvl w:val="0"/>
          <w:numId w:val="90"/>
        </w:numPr>
        <w:ind w:left="357" w:hanging="357"/>
        <w:jc w:val="left"/>
      </w:pPr>
      <w:r w:rsidRPr="00B86651">
        <w:t xml:space="preserve">Organise and manage the annual Medical Work Observation Scheme which is heavily involved with Doctors in and out of training. </w:t>
      </w:r>
      <w:r w:rsidR="00104D8E">
        <w:t xml:space="preserve"> </w:t>
      </w:r>
      <w:r w:rsidRPr="00B86651">
        <w:t>This scheme includes workshops on writing personal statements, reflection and ethics whilst ensuring the experience necessary is evident for an application to study Medicine.  </w:t>
      </w:r>
    </w:p>
    <w:p w14:paraId="0814C087" w14:textId="006DD21D" w:rsidR="00B54C80" w:rsidRDefault="00B54C80" w:rsidP="00F60A35">
      <w:pPr>
        <w:pStyle w:val="ListParagraph"/>
        <w:numPr>
          <w:ilvl w:val="0"/>
          <w:numId w:val="90"/>
        </w:numPr>
        <w:ind w:left="357" w:hanging="357"/>
        <w:jc w:val="left"/>
      </w:pPr>
      <w:r w:rsidRPr="00B86651">
        <w:t xml:space="preserve">Host the annual schools awareness event, which has a world café style workshops for the different Healthcare professions. </w:t>
      </w:r>
      <w:r w:rsidR="00104D8E">
        <w:t xml:space="preserve"> </w:t>
      </w:r>
      <w:r w:rsidRPr="00B86651">
        <w:t>Local school careers leads / Careers Wales Reps are usually in attendance.  </w:t>
      </w:r>
    </w:p>
    <w:p w14:paraId="73762F0F" w14:textId="1F2AB7E3" w:rsidR="00B54C80" w:rsidRDefault="00B54C80" w:rsidP="00F60A35">
      <w:pPr>
        <w:pStyle w:val="ListParagraph"/>
        <w:numPr>
          <w:ilvl w:val="0"/>
          <w:numId w:val="90"/>
        </w:numPr>
        <w:ind w:left="357" w:hanging="357"/>
        <w:jc w:val="left"/>
      </w:pPr>
      <w:r w:rsidRPr="00B86651">
        <w:t xml:space="preserve">Medical Education attend careers fairs / open days and ensure that either Medical students (usually from WAMS – widening access to medicine scheme) or Training Grade Doctor from </w:t>
      </w:r>
      <w:r>
        <w:t>the local area / school attends.</w:t>
      </w:r>
    </w:p>
    <w:p w14:paraId="0F657552" w14:textId="5451F426" w:rsidR="00B54C80" w:rsidRPr="00B54C80" w:rsidRDefault="00B54C80" w:rsidP="00B54C80">
      <w:pPr>
        <w:pStyle w:val="Heading3"/>
      </w:pPr>
      <w:r w:rsidRPr="00B54C80">
        <w:rPr>
          <w:rFonts w:cstheme="minorHAnsi"/>
        </w:rPr>
        <w:t>Volunteers</w:t>
      </w:r>
    </w:p>
    <w:p w14:paraId="6A0B8908" w14:textId="3092A760" w:rsidR="00B54C80" w:rsidRDefault="00B54C80" w:rsidP="00B54C80">
      <w:pPr>
        <w:rPr>
          <w:rFonts w:cstheme="minorHAnsi"/>
        </w:rPr>
      </w:pPr>
      <w:r w:rsidRPr="0033013E">
        <w:rPr>
          <w:rFonts w:cstheme="minorHAnsi"/>
        </w:rPr>
        <w:t>Since 1</w:t>
      </w:r>
      <w:r w:rsidRPr="0033013E">
        <w:rPr>
          <w:rFonts w:cstheme="minorHAnsi"/>
          <w:vertAlign w:val="superscript"/>
        </w:rPr>
        <w:t>st</w:t>
      </w:r>
      <w:r w:rsidRPr="0033013E">
        <w:rPr>
          <w:rFonts w:cstheme="minorHAnsi"/>
        </w:rPr>
        <w:t xml:space="preserve"> April 2019, logistically volunteering has expanded significantly, this has resulted in a joint working approach to centralise the volunteer process, systems, training and correspondence and we continue to work jointly and develop a robust volunteer service across </w:t>
      </w:r>
      <w:r>
        <w:rPr>
          <w:rFonts w:cstheme="minorHAnsi"/>
        </w:rPr>
        <w:t>the Health Board.</w:t>
      </w:r>
      <w:r w:rsidRPr="0033013E">
        <w:rPr>
          <w:rFonts w:cstheme="minorHAnsi"/>
        </w:rPr>
        <w:t xml:space="preserve">  We also continue to work with our third sector partners including, </w:t>
      </w:r>
      <w:r w:rsidR="00D01707">
        <w:rPr>
          <w:rFonts w:cstheme="minorHAnsi"/>
        </w:rPr>
        <w:t>Bridgend Association of Voluntary Organisations (</w:t>
      </w:r>
      <w:r w:rsidRPr="0033013E">
        <w:rPr>
          <w:rFonts w:cstheme="minorHAnsi"/>
        </w:rPr>
        <w:t>BAVO</w:t>
      </w:r>
      <w:r w:rsidR="00D01707">
        <w:rPr>
          <w:rFonts w:cstheme="minorHAnsi"/>
        </w:rPr>
        <w:t>)</w:t>
      </w:r>
      <w:r w:rsidRPr="0033013E">
        <w:rPr>
          <w:rFonts w:cstheme="minorHAnsi"/>
        </w:rPr>
        <w:t xml:space="preserve">, </w:t>
      </w:r>
      <w:r w:rsidR="00D01707">
        <w:rPr>
          <w:rFonts w:cstheme="minorHAnsi"/>
        </w:rPr>
        <w:t>Voluntary Action Merthyr Tydfil (</w:t>
      </w:r>
      <w:r w:rsidRPr="0033013E">
        <w:rPr>
          <w:rFonts w:cstheme="minorHAnsi"/>
        </w:rPr>
        <w:t>VAMT</w:t>
      </w:r>
      <w:r w:rsidR="00D01707">
        <w:rPr>
          <w:rFonts w:cstheme="minorHAnsi"/>
        </w:rPr>
        <w:t>)</w:t>
      </w:r>
      <w:r w:rsidRPr="0033013E">
        <w:rPr>
          <w:rFonts w:cstheme="minorHAnsi"/>
        </w:rPr>
        <w:t xml:space="preserve"> and Interlink along with our local Job Centres and Communities for W</w:t>
      </w:r>
      <w:r>
        <w:rPr>
          <w:rFonts w:cstheme="minorHAnsi"/>
        </w:rPr>
        <w:t>ork.</w:t>
      </w:r>
    </w:p>
    <w:p w14:paraId="3F97F4BE" w14:textId="77777777" w:rsidR="00B54C80" w:rsidRPr="0033013E" w:rsidRDefault="00B54C80" w:rsidP="00B54C80">
      <w:pPr>
        <w:rPr>
          <w:rFonts w:cstheme="minorHAnsi"/>
        </w:rPr>
      </w:pPr>
    </w:p>
    <w:p w14:paraId="5794DCD5" w14:textId="1DCF8A29" w:rsidR="00B54C80" w:rsidRDefault="00B54C80" w:rsidP="00B54C80">
      <w:pPr>
        <w:rPr>
          <w:rFonts w:cstheme="minorHAnsi"/>
        </w:rPr>
      </w:pPr>
      <w:r w:rsidRPr="0033013E">
        <w:rPr>
          <w:rFonts w:cstheme="minorHAnsi"/>
        </w:rPr>
        <w:t xml:space="preserve">Engagement and joint working with our Third Sector </w:t>
      </w:r>
      <w:r>
        <w:rPr>
          <w:rFonts w:cstheme="minorHAnsi"/>
        </w:rPr>
        <w:t>O</w:t>
      </w:r>
      <w:r w:rsidRPr="0033013E">
        <w:rPr>
          <w:rFonts w:cstheme="minorHAnsi"/>
        </w:rPr>
        <w:t>rganisation has resulted in the first Pets as Therapy Volunteer and the Lindsay Leg Foundation</w:t>
      </w:r>
      <w:r>
        <w:rPr>
          <w:rFonts w:cstheme="minorHAnsi"/>
        </w:rPr>
        <w:t>,</w:t>
      </w:r>
      <w:r w:rsidRPr="0033013E">
        <w:rPr>
          <w:rFonts w:cstheme="minorHAnsi"/>
        </w:rPr>
        <w:t xml:space="preserve"> is coming up to its first successful year with a strong team of volunteers supporting the weekly sessions.  Joint working with our local schools and colleges has been a driver with the volunteer service and has developed and implemented the first “Junior Ward Volunteer” scheme which is aimed to provide opportunities for 14-16 year olds on a ward environment.  The Maternity Buddy Volunteer scheme still proves to be extremely popular and further volunteers have secured places to</w:t>
      </w:r>
      <w:r>
        <w:rPr>
          <w:rFonts w:cstheme="minorHAnsi"/>
        </w:rPr>
        <w:t xml:space="preserve"> study their Midwifery Degree.</w:t>
      </w:r>
    </w:p>
    <w:p w14:paraId="63FA8BBC" w14:textId="77777777" w:rsidR="00B54C80" w:rsidRPr="0033013E" w:rsidRDefault="00B54C80" w:rsidP="00B54C80">
      <w:pPr>
        <w:rPr>
          <w:rFonts w:cstheme="minorHAnsi"/>
        </w:rPr>
      </w:pPr>
    </w:p>
    <w:p w14:paraId="7F229AD2" w14:textId="5158C176" w:rsidR="00385270" w:rsidRDefault="00B54C80" w:rsidP="00B54C80">
      <w:pPr>
        <w:rPr>
          <w:rFonts w:cstheme="minorHAnsi"/>
        </w:rPr>
      </w:pPr>
      <w:r w:rsidRPr="0033013E">
        <w:rPr>
          <w:rFonts w:cstheme="minorHAnsi"/>
        </w:rPr>
        <w:t>Further work has included the effective partnership with communities for work and the Learning and Development Team, which has resulted in volunteers having the opportunity to apply for the “Pathways to Employment scheme” with opportunity to undertake further training and if succe</w:t>
      </w:r>
      <w:r w:rsidR="00EE40F9">
        <w:rPr>
          <w:rFonts w:cstheme="minorHAnsi"/>
        </w:rPr>
        <w:t>ssful to join the staff bank.</w:t>
      </w:r>
      <w:r w:rsidRPr="0033013E">
        <w:rPr>
          <w:rFonts w:cstheme="minorHAnsi"/>
        </w:rPr>
        <w:t>  It is imperative that as a Health Board we ensure the volunteers are recognised and valued for their dedication and commitment and will be hosting a celebrat</w:t>
      </w:r>
      <w:r>
        <w:rPr>
          <w:rFonts w:cstheme="minorHAnsi"/>
        </w:rPr>
        <w:t>ion event in the coming months.</w:t>
      </w:r>
    </w:p>
    <w:p w14:paraId="5399A307" w14:textId="77777777" w:rsidR="00B54C80" w:rsidRDefault="00B54C80" w:rsidP="00B54C80">
      <w:pPr>
        <w:rPr>
          <w:rFonts w:asciiTheme="minorHAnsi" w:hAnsiTheme="minorHAnsi" w:cstheme="minorHAnsi"/>
          <w:szCs w:val="22"/>
        </w:rPr>
      </w:pPr>
    </w:p>
    <w:p w14:paraId="6D9A62B2" w14:textId="74306BC9" w:rsidR="00385270" w:rsidRDefault="00385270" w:rsidP="00385270">
      <w:pPr>
        <w:rPr>
          <w:rFonts w:asciiTheme="minorHAnsi" w:hAnsiTheme="minorHAnsi" w:cstheme="minorHAnsi"/>
          <w:szCs w:val="22"/>
        </w:rPr>
      </w:pPr>
      <w:r w:rsidRPr="005E5CB8">
        <w:rPr>
          <w:rFonts w:asciiTheme="minorHAnsi" w:hAnsiTheme="minorHAnsi" w:cstheme="minorHAnsi"/>
          <w:noProof/>
          <w:szCs w:val="22"/>
        </w:rPr>
        <w:lastRenderedPageBreak/>
        <mc:AlternateContent>
          <mc:Choice Requires="wps">
            <w:drawing>
              <wp:anchor distT="0" distB="0" distL="114300" distR="114300" simplePos="0" relativeHeight="252866560" behindDoc="0" locked="0" layoutInCell="1" allowOverlap="1" wp14:anchorId="56C942F8" wp14:editId="5F4CF9E6">
                <wp:simplePos x="0" y="0"/>
                <wp:positionH relativeFrom="column">
                  <wp:posOffset>1292860</wp:posOffset>
                </wp:positionH>
                <wp:positionV relativeFrom="paragraph">
                  <wp:posOffset>103505</wp:posOffset>
                </wp:positionV>
                <wp:extent cx="4724400" cy="819150"/>
                <wp:effectExtent l="0" t="0" r="19050" b="19050"/>
                <wp:wrapNone/>
                <wp:docPr id="37" name="Text Box 37"/>
                <wp:cNvGraphicFramePr/>
                <a:graphic xmlns:a="http://schemas.openxmlformats.org/drawingml/2006/main">
                  <a:graphicData uri="http://schemas.microsoft.com/office/word/2010/wordprocessingShape">
                    <wps:wsp>
                      <wps:cNvSpPr txBox="1"/>
                      <wps:spPr>
                        <a:xfrm>
                          <a:off x="0" y="0"/>
                          <a:ext cx="4724400" cy="819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6E0C302" w14:textId="77777777" w:rsidR="00883972" w:rsidRDefault="00883972" w:rsidP="00B54C80">
                            <w:r w:rsidRPr="00B54C80">
                              <w:t>We will maintain Platinum Corporate Health Standard, increase health and wellbeing of our staff measured through the staff survey, achieve the standards for Equality and Welsh Language, increase our numbers of welsh speaking staff and continue to support and engage our school and volunteers.</w:t>
                            </w:r>
                          </w:p>
                          <w:p w14:paraId="0DE03CF3" w14:textId="77777777" w:rsidR="00883972" w:rsidRDefault="00883972" w:rsidP="00385270">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C942F8" id="Text Box 37" o:spid="_x0000_s1034" type="#_x0000_t202" style="position:absolute;left:0;text-align:left;margin-left:101.8pt;margin-top:8.15pt;width:372pt;height:64.5pt;z-index:25286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" fillcolor="white [3201]" strokeweight=".5pt">
                <v:textbox>
                  <w:txbxContent>
                    <w:p w14:paraId="76E0C302" w14:textId="77777777" w:rsidR="00883972" w:rsidRDefault="00883972" w:rsidP="00B54C80">
                      <w:r w:rsidRPr="00B54C80">
                        <w:t>We will maintain Platinum Corporate Health Standard, increase health and wellbeing of our staff measured through the staff survey, achieve the standards for Equality and Welsh Language, increase our numbers of welsh speaking staff and continue to support and engage our school and volunteers.</w:t>
                      </w:r>
                    </w:p>
                    <w:p w14:paraId="0DE03CF3" w14:textId="77777777" w:rsidR="00883972" w:rsidRDefault="00883972" w:rsidP="00385270">
                      <w:pPr>
                        <w:pStyle w:val="ListParagraph"/>
                      </w:pPr>
                    </w:p>
                  </w:txbxContent>
                </v:textbox>
              </v:shape>
            </w:pict>
          </mc:Fallback>
        </mc:AlternateContent>
      </w:r>
      <w:r w:rsidRPr="005E5CB8">
        <w:rPr>
          <w:rFonts w:eastAsia="Calibri" w:cs="Times New Roman"/>
          <w:noProof/>
          <w:sz w:val="24"/>
        </w:rPr>
        <w:drawing>
          <wp:inline distT="0" distB="0" distL="0" distR="0" wp14:anchorId="628674BC" wp14:editId="39D36A95">
            <wp:extent cx="6153150" cy="990600"/>
            <wp:effectExtent l="0" t="0" r="19050" b="19050"/>
            <wp:docPr id="38" name="Diagram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4" r:lo="rId115" r:qs="rId116" r:cs="rId117"/>
              </a:graphicData>
            </a:graphic>
          </wp:inline>
        </w:drawing>
      </w:r>
    </w:p>
    <w:p w14:paraId="080C3E89" w14:textId="3A5FE6AD" w:rsidR="00D852F5" w:rsidRPr="00800207" w:rsidRDefault="00D852F5" w:rsidP="00385270">
      <w:pPr>
        <w:pStyle w:val="Heading2"/>
      </w:pPr>
      <w:bookmarkStart w:id="162" w:name="_Toc29573957"/>
      <w:r w:rsidRPr="00800207">
        <w:t>Workforce Performance Reporting</w:t>
      </w:r>
      <w:bookmarkEnd w:id="162"/>
    </w:p>
    <w:p w14:paraId="7120BC1B" w14:textId="5502A914" w:rsidR="00B54C80" w:rsidRPr="0033013E" w:rsidRDefault="00B54C80" w:rsidP="00B54C80">
      <w:pPr>
        <w:jc w:val="left"/>
        <w:rPr>
          <w:rFonts w:cstheme="minorHAnsi"/>
          <w:b/>
        </w:rPr>
      </w:pPr>
      <w:r w:rsidRPr="0033013E">
        <w:rPr>
          <w:rFonts w:cstheme="minorHAnsi"/>
        </w:rPr>
        <w:t xml:space="preserve">In order to measure progress in implementing the Workforce and OD plan the health board will adopt the workforce performance framework adapted from a model developed by joint research undertaken by CIPD/CIMA/CMI </w:t>
      </w:r>
      <w:hyperlink r:id="rId119" w:history="1">
        <w:r w:rsidRPr="0033013E">
          <w:rPr>
            <w:rStyle w:val="Hyperlink"/>
            <w:rFonts w:eastAsiaTheme="majorEastAsia" w:cstheme="minorHAnsi"/>
          </w:rPr>
          <w:t>http://www.valuing-your-talent-framework.com/framework-detail.html</w:t>
        </w:r>
      </w:hyperlink>
      <w:r w:rsidRPr="0033013E">
        <w:rPr>
          <w:rFonts w:cstheme="minorHAnsi"/>
        </w:rPr>
        <w:t>.  The framework demonstrates</w:t>
      </w:r>
      <w:r>
        <w:rPr>
          <w:rFonts w:cstheme="minorHAnsi"/>
        </w:rPr>
        <w:t xml:space="preserve"> the health Boards</w:t>
      </w:r>
      <w:r w:rsidRPr="0033013E">
        <w:rPr>
          <w:rFonts w:cstheme="minorHAnsi"/>
        </w:rPr>
        <w:t xml:space="preserve"> intention to ensure a robust holistic workforce and OD performance approach</w:t>
      </w:r>
      <w:r>
        <w:rPr>
          <w:rFonts w:cstheme="minorHAnsi"/>
        </w:rPr>
        <w:t>,</w:t>
      </w:r>
      <w:r w:rsidRPr="0033013E">
        <w:rPr>
          <w:rFonts w:cstheme="minorHAnsi"/>
        </w:rPr>
        <w:t xml:space="preserve"> informed by a range of data including measures of staff experience.  </w:t>
      </w:r>
      <w:r w:rsidRPr="0033013E">
        <w:rPr>
          <w:rFonts w:cstheme="minorHAnsi"/>
          <w:b/>
        </w:rPr>
        <w:t>The model from the bottom up comprises:</w:t>
      </w:r>
    </w:p>
    <w:p w14:paraId="0D043180" w14:textId="4A3BB08C" w:rsidR="00385270" w:rsidRPr="005E5CB8" w:rsidRDefault="00385270" w:rsidP="00385270">
      <w:pPr>
        <w:pStyle w:val="NormaBullet"/>
      </w:pPr>
      <w:r w:rsidRPr="005E5CB8">
        <w:rPr>
          <w:b/>
        </w:rPr>
        <w:t>Inputs</w:t>
      </w:r>
      <w:r w:rsidRPr="005E5CB8">
        <w:t xml:space="preserve"> – basic information about the workforce resources of </w:t>
      </w:r>
      <w:r w:rsidR="000774E1">
        <w:t>the Health Board</w:t>
      </w:r>
      <w:r w:rsidRPr="005E5CB8">
        <w:t>.  This will be developed further via the continuing work to develop E-Systems.</w:t>
      </w:r>
    </w:p>
    <w:p w14:paraId="74EBA229" w14:textId="77777777" w:rsidR="00385270" w:rsidRPr="005E5CB8" w:rsidRDefault="00385270" w:rsidP="00385270">
      <w:pPr>
        <w:pStyle w:val="NormaBullet"/>
      </w:pPr>
      <w:r w:rsidRPr="005E5CB8">
        <w:rPr>
          <w:b/>
        </w:rPr>
        <w:t>Activities</w:t>
      </w:r>
      <w:r w:rsidRPr="005E5CB8">
        <w:t xml:space="preserve"> – converting the basic building blocks into higher value outputs through HR processes: performance reviews, recruitment, learning needs analysis etc.  The plan includes a range of actions to maximise these activities and additional measures of progress will be developed over time.</w:t>
      </w:r>
    </w:p>
    <w:p w14:paraId="0EB8F49C" w14:textId="77777777" w:rsidR="00385270" w:rsidRPr="005E5CB8" w:rsidRDefault="00385270" w:rsidP="00385270">
      <w:pPr>
        <w:pStyle w:val="NormaBullet"/>
      </w:pPr>
      <w:r w:rsidRPr="005E5CB8">
        <w:rPr>
          <w:b/>
        </w:rPr>
        <w:t>Outputs</w:t>
      </w:r>
      <w:r w:rsidRPr="005E5CB8">
        <w:t xml:space="preserve"> – add measurable value to the organisation and are the result of effective human capital management activities, e.g. leadership capability, diversity</w:t>
      </w:r>
    </w:p>
    <w:p w14:paraId="688CC5EF" w14:textId="77777777" w:rsidR="00385270" w:rsidRPr="005E5CB8" w:rsidRDefault="00385270" w:rsidP="00385270">
      <w:pPr>
        <w:pStyle w:val="NormaBullet"/>
      </w:pPr>
      <w:r w:rsidRPr="005E5CB8">
        <w:rPr>
          <w:b/>
        </w:rPr>
        <w:t>Outcomes</w:t>
      </w:r>
      <w:r w:rsidRPr="005E5CB8">
        <w:t xml:space="preserve"> – desired organisation culture, improved productivity, focus on improvement and quality</w:t>
      </w:r>
    </w:p>
    <w:p w14:paraId="33362DAE" w14:textId="26654C27" w:rsidR="00D852F5" w:rsidRPr="00385270" w:rsidRDefault="00B54C80" w:rsidP="00385270">
      <w:pPr>
        <w:autoSpaceDE w:val="0"/>
        <w:autoSpaceDN w:val="0"/>
        <w:adjustRightInd w:val="0"/>
        <w:rPr>
          <w:szCs w:val="22"/>
        </w:rPr>
      </w:pPr>
      <w:r w:rsidRPr="00800207">
        <w:rPr>
          <w:noProof/>
          <w:szCs w:val="22"/>
        </w:rPr>
        <w:drawing>
          <wp:anchor distT="0" distB="0" distL="114300" distR="114300" simplePos="0" relativeHeight="252805120" behindDoc="1" locked="0" layoutInCell="1" allowOverlap="1" wp14:anchorId="7E706AB7" wp14:editId="0B7FAE1B">
            <wp:simplePos x="0" y="0"/>
            <wp:positionH relativeFrom="margin">
              <wp:align>center</wp:align>
            </wp:positionH>
            <wp:positionV relativeFrom="margin">
              <wp:posOffset>1978025</wp:posOffset>
            </wp:positionV>
            <wp:extent cx="5747385" cy="3292475"/>
            <wp:effectExtent l="0" t="0" r="5715" b="3175"/>
            <wp:wrapTight wrapText="bothSides">
              <wp:wrapPolygon edited="0">
                <wp:start x="0" y="0"/>
                <wp:lineTo x="0" y="21496"/>
                <wp:lineTo x="21550" y="21496"/>
                <wp:lineTo x="21550" y="0"/>
                <wp:lineTo x="0" y="0"/>
              </wp:wrapPolygon>
            </wp:wrapTight>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val="0"/>
                        </a:ext>
                      </a:extLst>
                    </a:blip>
                    <a:stretch>
                      <a:fillRect/>
                    </a:stretch>
                  </pic:blipFill>
                  <pic:spPr>
                    <a:xfrm>
                      <a:off x="0" y="0"/>
                      <a:ext cx="5747385" cy="3292475"/>
                    </a:xfrm>
                    <a:prstGeom prst="rect">
                      <a:avLst/>
                    </a:prstGeom>
                  </pic:spPr>
                </pic:pic>
              </a:graphicData>
            </a:graphic>
            <wp14:sizeRelH relativeFrom="margin">
              <wp14:pctWidth>0</wp14:pctWidth>
            </wp14:sizeRelH>
            <wp14:sizeRelV relativeFrom="margin">
              <wp14:pctHeight>0</wp14:pctHeight>
            </wp14:sizeRelV>
          </wp:anchor>
        </w:drawing>
      </w:r>
    </w:p>
    <w:p w14:paraId="40834779" w14:textId="4E8D8648" w:rsidR="00D852F5" w:rsidRPr="00800207" w:rsidRDefault="00D852F5" w:rsidP="00D852F5">
      <w:pPr>
        <w:rPr>
          <w:szCs w:val="22"/>
        </w:rPr>
      </w:pPr>
      <w:r w:rsidRPr="00800207">
        <w:rPr>
          <w:szCs w:val="22"/>
        </w:rPr>
        <w:t>Key performance measures identified in the sections above are therefore:</w:t>
      </w:r>
    </w:p>
    <w:p w14:paraId="49AE8A7A" w14:textId="0831F428" w:rsidR="00385270" w:rsidRPr="00385270" w:rsidRDefault="00385270" w:rsidP="00385270">
      <w:pPr>
        <w:pStyle w:val="NormaBullet"/>
      </w:pPr>
      <w:r w:rsidRPr="005E5CB8">
        <w:t>Inputs</w:t>
      </w:r>
      <w:r w:rsidRPr="00385270">
        <w:t>: WTE, WTE costs, Professional Regulation (Source: ESR, Oracle Finance</w:t>
      </w:r>
    </w:p>
    <w:p w14:paraId="48033B05" w14:textId="13EF78BE" w:rsidR="00385270" w:rsidRPr="00385270" w:rsidRDefault="00385270" w:rsidP="00385270">
      <w:pPr>
        <w:pStyle w:val="NormaBullet"/>
      </w:pPr>
      <w:r w:rsidRPr="00385270">
        <w:t>Outputs: Time taken for “on-boarding”, levels and experience of Performance Appraisal (Source: Recruitment system, ESR, Consultant Appraisal system)</w:t>
      </w:r>
    </w:p>
    <w:p w14:paraId="3EFBFA58" w14:textId="67B9EE48" w:rsidR="00385270" w:rsidRPr="00385270" w:rsidRDefault="00385270" w:rsidP="00385270">
      <w:pPr>
        <w:pStyle w:val="NormaBullet"/>
      </w:pPr>
      <w:r w:rsidRPr="00385270">
        <w:t>Outcomes: Staff Experience of leadership, Engagement Index, Sickness levels (reasons for sickness absence,  (Source, Staff Surveys, ESR)</w:t>
      </w:r>
    </w:p>
    <w:p w14:paraId="63BFDF67" w14:textId="2E811FF0" w:rsidR="00385270" w:rsidRPr="00385270" w:rsidRDefault="00385270" w:rsidP="00385270">
      <w:pPr>
        <w:pStyle w:val="NormaBullet"/>
      </w:pPr>
      <w:r w:rsidRPr="00385270">
        <w:t>Outcomes: Linked to overall CTM performance measures but including high level measures of organisation culture.</w:t>
      </w:r>
    </w:p>
    <w:p w14:paraId="1F3553BE" w14:textId="34043452" w:rsidR="00D852F5" w:rsidRDefault="00D852F5">
      <w:pPr>
        <w:jc w:val="left"/>
        <w:rPr>
          <w:rFonts w:asciiTheme="minorHAnsi" w:hAnsiTheme="minorHAnsi" w:cs="Times New Roman"/>
          <w:color w:val="943634" w:themeColor="accent2" w:themeShade="BF"/>
          <w:szCs w:val="22"/>
        </w:rPr>
      </w:pPr>
      <w:r>
        <w:rPr>
          <w:rFonts w:asciiTheme="minorHAnsi" w:hAnsiTheme="minorHAnsi"/>
          <w:color w:val="943634" w:themeColor="accent2" w:themeShade="BF"/>
          <w:szCs w:val="22"/>
        </w:rPr>
        <w:br w:type="page"/>
      </w:r>
    </w:p>
    <w:p w14:paraId="1E14A7B6" w14:textId="0BB11BDD" w:rsidR="002551B2" w:rsidRPr="00D852F5" w:rsidRDefault="00D852F5" w:rsidP="002551B2">
      <w:pPr>
        <w:pStyle w:val="Heading1"/>
        <w:ind w:left="1077" w:hanging="1077"/>
      </w:pPr>
      <w:bookmarkStart w:id="163" w:name="_Toc29573958"/>
      <w:r w:rsidRPr="00D852F5">
        <w:lastRenderedPageBreak/>
        <w:t>FINANCE - 2020</w:t>
      </w:r>
      <w:r w:rsidR="002551B2" w:rsidRPr="00D852F5">
        <w:t>/2</w:t>
      </w:r>
      <w:r w:rsidRPr="00D852F5">
        <w:t>1</w:t>
      </w:r>
      <w:r w:rsidR="002551B2" w:rsidRPr="00D852F5">
        <w:t xml:space="preserve"> to 202</w:t>
      </w:r>
      <w:r w:rsidRPr="00D852F5">
        <w:t>2</w:t>
      </w:r>
      <w:r w:rsidR="002551B2" w:rsidRPr="00D852F5">
        <w:t>/2</w:t>
      </w:r>
      <w:r w:rsidRPr="00D852F5">
        <w:t>3</w:t>
      </w:r>
      <w:bookmarkEnd w:id="163"/>
    </w:p>
    <w:p w14:paraId="2386B4C2" w14:textId="77777777" w:rsidR="005F1859" w:rsidRPr="00926E53" w:rsidRDefault="005F1859" w:rsidP="005F1859">
      <w:pPr>
        <w:rPr>
          <w:szCs w:val="22"/>
        </w:rPr>
      </w:pPr>
      <w:bookmarkStart w:id="164" w:name="_Toc441757301"/>
      <w:bookmarkStart w:id="165" w:name="_Toc447195698"/>
      <w:bookmarkStart w:id="166" w:name="_Toc471830070"/>
      <w:bookmarkStart w:id="167" w:name="_Toc473290394"/>
      <w:bookmarkStart w:id="168" w:name="_Toc478738559"/>
      <w:bookmarkStart w:id="169" w:name="_Toc532299707"/>
      <w:bookmarkStart w:id="170" w:name="_Toc532464113"/>
      <w:bookmarkStart w:id="171" w:name="_Toc536195586"/>
      <w:r w:rsidRPr="00926E53">
        <w:rPr>
          <w:szCs w:val="22"/>
        </w:rPr>
        <w:t>The financial plan for 20</w:t>
      </w:r>
      <w:r>
        <w:rPr>
          <w:szCs w:val="22"/>
        </w:rPr>
        <w:t>20/21</w:t>
      </w:r>
      <w:r w:rsidRPr="00926E53">
        <w:rPr>
          <w:szCs w:val="22"/>
        </w:rPr>
        <w:t xml:space="preserve"> to 20</w:t>
      </w:r>
      <w:r>
        <w:rPr>
          <w:szCs w:val="22"/>
        </w:rPr>
        <w:t>22</w:t>
      </w:r>
      <w:r w:rsidRPr="00926E53">
        <w:rPr>
          <w:szCs w:val="22"/>
        </w:rPr>
        <w:t>/2</w:t>
      </w:r>
      <w:r>
        <w:rPr>
          <w:szCs w:val="22"/>
        </w:rPr>
        <w:t>3</w:t>
      </w:r>
      <w:r w:rsidRPr="00926E53">
        <w:rPr>
          <w:szCs w:val="22"/>
        </w:rPr>
        <w:t xml:space="preserve"> builds on the current Cwm Taf plan</w:t>
      </w:r>
      <w:r>
        <w:rPr>
          <w:szCs w:val="22"/>
        </w:rPr>
        <w:t xml:space="preserve"> and is based </w:t>
      </w:r>
      <w:r w:rsidRPr="00926E53">
        <w:rPr>
          <w:szCs w:val="22"/>
        </w:rPr>
        <w:t>on the funding confirmed in the 20</w:t>
      </w:r>
      <w:r>
        <w:rPr>
          <w:szCs w:val="22"/>
        </w:rPr>
        <w:t>20/21</w:t>
      </w:r>
      <w:r w:rsidRPr="00926E53">
        <w:rPr>
          <w:szCs w:val="22"/>
        </w:rPr>
        <w:t xml:space="preserve"> </w:t>
      </w:r>
      <w:r>
        <w:rPr>
          <w:szCs w:val="22"/>
        </w:rPr>
        <w:t>a</w:t>
      </w:r>
      <w:r w:rsidRPr="00926E53">
        <w:rPr>
          <w:szCs w:val="22"/>
        </w:rPr>
        <w:t xml:space="preserve">llocation letter. </w:t>
      </w:r>
    </w:p>
    <w:p w14:paraId="01D13319" w14:textId="77777777" w:rsidR="005F1859" w:rsidRPr="00B66177" w:rsidRDefault="005F1859" w:rsidP="005F1859">
      <w:pPr>
        <w:pStyle w:val="Heading2"/>
        <w:ind w:left="1077" w:hanging="1077"/>
      </w:pPr>
      <w:bookmarkStart w:id="172" w:name="_Toc536195575"/>
      <w:bookmarkStart w:id="173" w:name="_Toc536528057"/>
      <w:r>
        <w:t>Statutory Financial Duty</w:t>
      </w:r>
      <w:bookmarkEnd w:id="172"/>
      <w:bookmarkEnd w:id="173"/>
    </w:p>
    <w:p w14:paraId="51A1F789" w14:textId="77777777" w:rsidR="005F1859" w:rsidRDefault="005F1859" w:rsidP="005F1859">
      <w:pPr>
        <w:widowControl w:val="0"/>
      </w:pPr>
      <w:r>
        <w:t>Cwm Taf Morgannwg UHB h</w:t>
      </w:r>
      <w:r w:rsidRPr="008F570B">
        <w:t>as a statutory duty to achieve break even over a period of 3 financial years. This applies to revenue and capital expenditure. Performance against the 3-year rolling duty for revenue is summarised below:</w:t>
      </w:r>
    </w:p>
    <w:p w14:paraId="4DA2181D" w14:textId="77777777" w:rsidR="005F1859" w:rsidRDefault="005F1859" w:rsidP="005F1859">
      <w:pPr>
        <w:widowControl w:val="0"/>
      </w:pPr>
    </w:p>
    <w:tbl>
      <w:tblPr>
        <w:tblW w:w="8702" w:type="dxa"/>
        <w:jc w:val="center"/>
        <w:tblLook w:val="04A0" w:firstRow="1" w:lastRow="0" w:firstColumn="1" w:lastColumn="0" w:noHBand="0" w:noVBand="1"/>
      </w:tblPr>
      <w:tblGrid>
        <w:gridCol w:w="1843"/>
        <w:gridCol w:w="1276"/>
        <w:gridCol w:w="1417"/>
        <w:gridCol w:w="1418"/>
        <w:gridCol w:w="1486"/>
        <w:gridCol w:w="1262"/>
      </w:tblGrid>
      <w:tr w:rsidR="005F1859" w:rsidRPr="008F570B" w14:paraId="0B46923D" w14:textId="77777777" w:rsidTr="00EF5C9A">
        <w:trPr>
          <w:trHeight w:val="300"/>
          <w:jc w:val="center"/>
        </w:trPr>
        <w:tc>
          <w:tcPr>
            <w:tcW w:w="1843" w:type="dxa"/>
            <w:tcBorders>
              <w:top w:val="single" w:sz="4" w:space="0" w:color="auto"/>
              <w:left w:val="single" w:sz="4" w:space="0" w:color="auto"/>
              <w:bottom w:val="nil"/>
              <w:right w:val="single" w:sz="4" w:space="0" w:color="auto"/>
            </w:tcBorders>
            <w:shd w:val="clear" w:color="auto" w:fill="DBE5F1" w:themeFill="accent1" w:themeFillTint="33"/>
            <w:noWrap/>
            <w:vAlign w:val="bottom"/>
            <w:hideMark/>
          </w:tcPr>
          <w:p w14:paraId="5E83FD1B" w14:textId="77777777" w:rsidR="005F1859" w:rsidRPr="008F570B" w:rsidRDefault="005F1859" w:rsidP="00EF5C9A">
            <w:r w:rsidRPr="008F570B">
              <w:t> </w:t>
            </w:r>
          </w:p>
        </w:tc>
        <w:tc>
          <w:tcPr>
            <w:tcW w:w="1276" w:type="dxa"/>
            <w:tcBorders>
              <w:top w:val="single" w:sz="4" w:space="0" w:color="auto"/>
              <w:left w:val="nil"/>
              <w:bottom w:val="nil"/>
              <w:right w:val="single" w:sz="4" w:space="0" w:color="auto"/>
            </w:tcBorders>
            <w:shd w:val="clear" w:color="auto" w:fill="DBE5F1" w:themeFill="accent1" w:themeFillTint="33"/>
            <w:noWrap/>
            <w:vAlign w:val="bottom"/>
            <w:hideMark/>
          </w:tcPr>
          <w:p w14:paraId="0891D638" w14:textId="77777777" w:rsidR="005F1859" w:rsidRPr="008F570B" w:rsidRDefault="005F1859" w:rsidP="00EF5C9A">
            <w:pPr>
              <w:jc w:val="center"/>
            </w:pPr>
            <w:r w:rsidRPr="008F570B">
              <w:t>Actual</w:t>
            </w:r>
          </w:p>
        </w:tc>
        <w:tc>
          <w:tcPr>
            <w:tcW w:w="1417" w:type="dxa"/>
            <w:tcBorders>
              <w:top w:val="single" w:sz="4" w:space="0" w:color="auto"/>
              <w:left w:val="nil"/>
              <w:bottom w:val="nil"/>
              <w:right w:val="single" w:sz="4" w:space="0" w:color="auto"/>
            </w:tcBorders>
            <w:shd w:val="clear" w:color="auto" w:fill="DBE5F1" w:themeFill="accent1" w:themeFillTint="33"/>
            <w:noWrap/>
            <w:vAlign w:val="bottom"/>
            <w:hideMark/>
          </w:tcPr>
          <w:p w14:paraId="5DD3DAEA" w14:textId="77777777" w:rsidR="005F1859" w:rsidRPr="008F570B" w:rsidRDefault="005F1859" w:rsidP="00EF5C9A">
            <w:pPr>
              <w:jc w:val="center"/>
            </w:pPr>
            <w:r w:rsidRPr="008F570B">
              <w:t>Actual</w:t>
            </w:r>
          </w:p>
        </w:tc>
        <w:tc>
          <w:tcPr>
            <w:tcW w:w="1418" w:type="dxa"/>
            <w:tcBorders>
              <w:top w:val="single" w:sz="4" w:space="0" w:color="auto"/>
              <w:left w:val="nil"/>
              <w:bottom w:val="nil"/>
              <w:right w:val="single" w:sz="4" w:space="0" w:color="auto"/>
            </w:tcBorders>
            <w:shd w:val="clear" w:color="auto" w:fill="DBE5F1" w:themeFill="accent1" w:themeFillTint="33"/>
            <w:noWrap/>
            <w:vAlign w:val="bottom"/>
            <w:hideMark/>
          </w:tcPr>
          <w:p w14:paraId="2382222B" w14:textId="77777777" w:rsidR="005F1859" w:rsidRPr="008F570B" w:rsidRDefault="005F1859" w:rsidP="00EF5C9A">
            <w:pPr>
              <w:jc w:val="center"/>
            </w:pPr>
            <w:r>
              <w:t xml:space="preserve">Actual </w:t>
            </w:r>
          </w:p>
        </w:tc>
        <w:tc>
          <w:tcPr>
            <w:tcW w:w="1486" w:type="dxa"/>
            <w:tcBorders>
              <w:top w:val="single" w:sz="4" w:space="0" w:color="auto"/>
              <w:left w:val="nil"/>
              <w:bottom w:val="nil"/>
              <w:right w:val="single" w:sz="4" w:space="0" w:color="auto"/>
            </w:tcBorders>
            <w:shd w:val="clear" w:color="auto" w:fill="DBE5F1" w:themeFill="accent1" w:themeFillTint="33"/>
            <w:vAlign w:val="bottom"/>
          </w:tcPr>
          <w:p w14:paraId="52659952" w14:textId="77777777" w:rsidR="005F1859" w:rsidRPr="008F570B" w:rsidRDefault="005F1859" w:rsidP="00EF5C9A">
            <w:pPr>
              <w:jc w:val="center"/>
            </w:pPr>
            <w:r>
              <w:t xml:space="preserve">Actual  </w:t>
            </w:r>
          </w:p>
        </w:tc>
        <w:tc>
          <w:tcPr>
            <w:tcW w:w="1262" w:type="dxa"/>
            <w:tcBorders>
              <w:top w:val="single" w:sz="4" w:space="0" w:color="auto"/>
              <w:left w:val="nil"/>
              <w:bottom w:val="nil"/>
              <w:right w:val="single" w:sz="4" w:space="0" w:color="auto"/>
            </w:tcBorders>
            <w:shd w:val="clear" w:color="auto" w:fill="DBE5F1" w:themeFill="accent1" w:themeFillTint="33"/>
            <w:vAlign w:val="bottom"/>
          </w:tcPr>
          <w:p w14:paraId="1EB7C67E" w14:textId="77777777" w:rsidR="005F1859" w:rsidRPr="008F570B" w:rsidRDefault="005F1859" w:rsidP="00EF5C9A">
            <w:pPr>
              <w:jc w:val="center"/>
            </w:pPr>
            <w:r>
              <w:t xml:space="preserve">Forecast </w:t>
            </w:r>
          </w:p>
        </w:tc>
      </w:tr>
      <w:tr w:rsidR="005F1859" w:rsidRPr="008F570B" w14:paraId="0D78CA48" w14:textId="77777777" w:rsidTr="00EF5C9A">
        <w:trPr>
          <w:trHeight w:val="300"/>
          <w:jc w:val="center"/>
        </w:trPr>
        <w:tc>
          <w:tcPr>
            <w:tcW w:w="1843"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2D64E60F" w14:textId="77777777" w:rsidR="005F1859" w:rsidRPr="008F570B" w:rsidRDefault="005F1859" w:rsidP="00EF5C9A">
            <w:r w:rsidRPr="008F570B">
              <w:t> Revenue:</w:t>
            </w:r>
          </w:p>
        </w:tc>
        <w:tc>
          <w:tcPr>
            <w:tcW w:w="1276" w:type="dxa"/>
            <w:tcBorders>
              <w:top w:val="nil"/>
              <w:left w:val="nil"/>
              <w:bottom w:val="single" w:sz="4" w:space="0" w:color="auto"/>
              <w:right w:val="single" w:sz="4" w:space="0" w:color="auto"/>
            </w:tcBorders>
            <w:shd w:val="clear" w:color="auto" w:fill="DBE5F1" w:themeFill="accent1" w:themeFillTint="33"/>
            <w:noWrap/>
            <w:vAlign w:val="bottom"/>
            <w:hideMark/>
          </w:tcPr>
          <w:p w14:paraId="12DA9442" w14:textId="77777777" w:rsidR="005F1859" w:rsidRPr="008F570B" w:rsidRDefault="005F1859" w:rsidP="00EF5C9A">
            <w:pPr>
              <w:jc w:val="center"/>
            </w:pPr>
            <w:r w:rsidRPr="008F570B">
              <w:t>2015/16</w:t>
            </w:r>
          </w:p>
        </w:tc>
        <w:tc>
          <w:tcPr>
            <w:tcW w:w="1417" w:type="dxa"/>
            <w:tcBorders>
              <w:top w:val="nil"/>
              <w:left w:val="nil"/>
              <w:bottom w:val="single" w:sz="4" w:space="0" w:color="auto"/>
              <w:right w:val="single" w:sz="4" w:space="0" w:color="auto"/>
            </w:tcBorders>
            <w:shd w:val="clear" w:color="auto" w:fill="DBE5F1" w:themeFill="accent1" w:themeFillTint="33"/>
            <w:noWrap/>
            <w:vAlign w:val="bottom"/>
            <w:hideMark/>
          </w:tcPr>
          <w:p w14:paraId="66767467" w14:textId="77777777" w:rsidR="005F1859" w:rsidRPr="008F570B" w:rsidRDefault="005F1859" w:rsidP="00EF5C9A">
            <w:pPr>
              <w:jc w:val="center"/>
            </w:pPr>
            <w:r w:rsidRPr="008F570B">
              <w:t xml:space="preserve">2016/17 </w:t>
            </w:r>
          </w:p>
        </w:tc>
        <w:tc>
          <w:tcPr>
            <w:tcW w:w="1418" w:type="dxa"/>
            <w:tcBorders>
              <w:top w:val="nil"/>
              <w:left w:val="nil"/>
              <w:bottom w:val="single" w:sz="4" w:space="0" w:color="auto"/>
              <w:right w:val="single" w:sz="4" w:space="0" w:color="auto"/>
            </w:tcBorders>
            <w:shd w:val="clear" w:color="auto" w:fill="DBE5F1" w:themeFill="accent1" w:themeFillTint="33"/>
            <w:noWrap/>
            <w:vAlign w:val="bottom"/>
            <w:hideMark/>
          </w:tcPr>
          <w:p w14:paraId="695C77BF" w14:textId="77777777" w:rsidR="005F1859" w:rsidRPr="008F570B" w:rsidRDefault="005F1859" w:rsidP="00EF5C9A">
            <w:pPr>
              <w:jc w:val="center"/>
            </w:pPr>
            <w:r w:rsidRPr="008F570B">
              <w:t>2017/18</w:t>
            </w:r>
          </w:p>
        </w:tc>
        <w:tc>
          <w:tcPr>
            <w:tcW w:w="1486" w:type="dxa"/>
            <w:tcBorders>
              <w:top w:val="nil"/>
              <w:left w:val="nil"/>
              <w:bottom w:val="single" w:sz="4" w:space="0" w:color="auto"/>
              <w:right w:val="single" w:sz="4" w:space="0" w:color="auto"/>
            </w:tcBorders>
            <w:shd w:val="clear" w:color="auto" w:fill="DBE5F1" w:themeFill="accent1" w:themeFillTint="33"/>
            <w:vAlign w:val="bottom"/>
          </w:tcPr>
          <w:p w14:paraId="1B6ABC8C" w14:textId="77777777" w:rsidR="005F1859" w:rsidRPr="008F570B" w:rsidRDefault="005F1859" w:rsidP="00EF5C9A">
            <w:pPr>
              <w:jc w:val="center"/>
            </w:pPr>
            <w:r w:rsidRPr="008F570B">
              <w:t>201</w:t>
            </w:r>
            <w:r>
              <w:t>8</w:t>
            </w:r>
            <w:r w:rsidRPr="008F570B">
              <w:t>/1</w:t>
            </w:r>
            <w:r>
              <w:t>9</w:t>
            </w:r>
          </w:p>
        </w:tc>
        <w:tc>
          <w:tcPr>
            <w:tcW w:w="1262" w:type="dxa"/>
            <w:tcBorders>
              <w:top w:val="nil"/>
              <w:left w:val="nil"/>
              <w:bottom w:val="single" w:sz="4" w:space="0" w:color="auto"/>
              <w:right w:val="single" w:sz="4" w:space="0" w:color="auto"/>
            </w:tcBorders>
            <w:shd w:val="clear" w:color="auto" w:fill="DBE5F1" w:themeFill="accent1" w:themeFillTint="33"/>
            <w:vAlign w:val="bottom"/>
          </w:tcPr>
          <w:p w14:paraId="68CFF863" w14:textId="77777777" w:rsidR="005F1859" w:rsidRPr="008F570B" w:rsidRDefault="005F1859" w:rsidP="00EF5C9A">
            <w:pPr>
              <w:jc w:val="center"/>
            </w:pPr>
            <w:r w:rsidRPr="008F570B">
              <w:t>20</w:t>
            </w:r>
            <w:r>
              <w:t>19/20</w:t>
            </w:r>
          </w:p>
        </w:tc>
      </w:tr>
      <w:tr w:rsidR="005F1859" w:rsidRPr="008F570B" w14:paraId="59C81C81" w14:textId="77777777" w:rsidTr="00EF5C9A">
        <w:trPr>
          <w:trHeight w:val="318"/>
          <w:jc w:val="center"/>
        </w:trPr>
        <w:tc>
          <w:tcPr>
            <w:tcW w:w="1843" w:type="dxa"/>
            <w:tcBorders>
              <w:top w:val="single" w:sz="4" w:space="0" w:color="auto"/>
              <w:left w:val="single" w:sz="4" w:space="0" w:color="auto"/>
              <w:bottom w:val="single" w:sz="4" w:space="0" w:color="auto"/>
              <w:right w:val="single" w:sz="4" w:space="0" w:color="auto"/>
            </w:tcBorders>
            <w:noWrap/>
            <w:vAlign w:val="bottom"/>
            <w:hideMark/>
          </w:tcPr>
          <w:p w14:paraId="6DF4D73D" w14:textId="77777777" w:rsidR="005F1859" w:rsidRPr="008F570B" w:rsidRDefault="005F1859" w:rsidP="00EF5C9A">
            <w:pPr>
              <w:jc w:val="left"/>
              <w:rPr>
                <w:rFonts w:ascii="Times New Roman" w:hAnsi="Times New Roman" w:cs="Times New Roman"/>
              </w:rPr>
            </w:pPr>
          </w:p>
        </w:tc>
        <w:tc>
          <w:tcPr>
            <w:tcW w:w="1276" w:type="dxa"/>
            <w:tcBorders>
              <w:top w:val="single" w:sz="4" w:space="0" w:color="auto"/>
              <w:left w:val="nil"/>
              <w:bottom w:val="single" w:sz="4" w:space="0" w:color="auto"/>
              <w:right w:val="single" w:sz="4" w:space="0" w:color="auto"/>
            </w:tcBorders>
            <w:noWrap/>
            <w:hideMark/>
          </w:tcPr>
          <w:p w14:paraId="64F22A02" w14:textId="77777777" w:rsidR="005F1859" w:rsidRPr="008F570B" w:rsidRDefault="005F1859" w:rsidP="00EF5C9A">
            <w:pPr>
              <w:jc w:val="right"/>
            </w:pPr>
            <w:r w:rsidRPr="008F570B">
              <w:t>£k</w:t>
            </w:r>
          </w:p>
        </w:tc>
        <w:tc>
          <w:tcPr>
            <w:tcW w:w="1417" w:type="dxa"/>
            <w:tcBorders>
              <w:top w:val="single" w:sz="4" w:space="0" w:color="auto"/>
              <w:left w:val="nil"/>
              <w:bottom w:val="single" w:sz="4" w:space="0" w:color="auto"/>
              <w:right w:val="single" w:sz="4" w:space="0" w:color="auto"/>
            </w:tcBorders>
            <w:noWrap/>
            <w:hideMark/>
          </w:tcPr>
          <w:p w14:paraId="39426977" w14:textId="77777777" w:rsidR="005F1859" w:rsidRPr="008F570B" w:rsidRDefault="005F1859" w:rsidP="00EF5C9A">
            <w:pPr>
              <w:jc w:val="right"/>
            </w:pPr>
            <w:r w:rsidRPr="008F570B">
              <w:t>£k</w:t>
            </w:r>
          </w:p>
        </w:tc>
        <w:tc>
          <w:tcPr>
            <w:tcW w:w="1418" w:type="dxa"/>
            <w:tcBorders>
              <w:top w:val="single" w:sz="4" w:space="0" w:color="auto"/>
              <w:left w:val="nil"/>
              <w:bottom w:val="single" w:sz="4" w:space="0" w:color="auto"/>
              <w:right w:val="single" w:sz="4" w:space="0" w:color="auto"/>
            </w:tcBorders>
            <w:noWrap/>
            <w:hideMark/>
          </w:tcPr>
          <w:p w14:paraId="43D4D2CC" w14:textId="77777777" w:rsidR="005F1859" w:rsidRPr="008F570B" w:rsidRDefault="005F1859" w:rsidP="00EF5C9A">
            <w:pPr>
              <w:jc w:val="right"/>
            </w:pPr>
            <w:r w:rsidRPr="008F570B">
              <w:t>£k</w:t>
            </w:r>
          </w:p>
        </w:tc>
        <w:tc>
          <w:tcPr>
            <w:tcW w:w="1486" w:type="dxa"/>
            <w:tcBorders>
              <w:top w:val="single" w:sz="4" w:space="0" w:color="auto"/>
              <w:left w:val="nil"/>
              <w:bottom w:val="single" w:sz="4" w:space="0" w:color="auto"/>
              <w:right w:val="single" w:sz="4" w:space="0" w:color="auto"/>
            </w:tcBorders>
          </w:tcPr>
          <w:p w14:paraId="56A7AA69" w14:textId="77777777" w:rsidR="005F1859" w:rsidRPr="008F570B" w:rsidRDefault="005F1859" w:rsidP="00EF5C9A">
            <w:pPr>
              <w:jc w:val="right"/>
            </w:pPr>
            <w:r w:rsidRPr="008F570B">
              <w:t>£k</w:t>
            </w:r>
          </w:p>
        </w:tc>
        <w:tc>
          <w:tcPr>
            <w:tcW w:w="1262" w:type="dxa"/>
            <w:tcBorders>
              <w:top w:val="single" w:sz="4" w:space="0" w:color="auto"/>
              <w:left w:val="nil"/>
              <w:bottom w:val="single" w:sz="4" w:space="0" w:color="auto"/>
              <w:right w:val="single" w:sz="4" w:space="0" w:color="auto"/>
            </w:tcBorders>
          </w:tcPr>
          <w:p w14:paraId="794150DD" w14:textId="77777777" w:rsidR="005F1859" w:rsidRPr="008F570B" w:rsidRDefault="005F1859" w:rsidP="00EF5C9A">
            <w:pPr>
              <w:jc w:val="right"/>
            </w:pPr>
          </w:p>
        </w:tc>
      </w:tr>
      <w:tr w:rsidR="005F1859" w:rsidRPr="008F570B" w14:paraId="4765B5CA" w14:textId="77777777" w:rsidTr="00EF5C9A">
        <w:trPr>
          <w:trHeight w:val="106"/>
          <w:jc w:val="center"/>
        </w:trPr>
        <w:tc>
          <w:tcPr>
            <w:tcW w:w="1843" w:type="dxa"/>
            <w:tcBorders>
              <w:top w:val="single" w:sz="4" w:space="0" w:color="auto"/>
              <w:left w:val="single" w:sz="4" w:space="0" w:color="auto"/>
              <w:bottom w:val="single" w:sz="4" w:space="0" w:color="auto"/>
              <w:right w:val="single" w:sz="4" w:space="0" w:color="auto"/>
            </w:tcBorders>
            <w:noWrap/>
            <w:vAlign w:val="bottom"/>
            <w:hideMark/>
          </w:tcPr>
          <w:p w14:paraId="6CFA6231" w14:textId="77777777" w:rsidR="005F1859" w:rsidRPr="008F570B" w:rsidRDefault="005F1859" w:rsidP="00EF5C9A">
            <w:r w:rsidRPr="008F570B">
              <w:t>Surplus /</w:t>
            </w:r>
            <w:r>
              <w:t>(</w:t>
            </w:r>
            <w:r w:rsidRPr="008F570B">
              <w:t>deficit)</w:t>
            </w:r>
          </w:p>
        </w:tc>
        <w:tc>
          <w:tcPr>
            <w:tcW w:w="1276" w:type="dxa"/>
            <w:tcBorders>
              <w:top w:val="single" w:sz="4" w:space="0" w:color="auto"/>
              <w:left w:val="nil"/>
              <w:bottom w:val="single" w:sz="4" w:space="0" w:color="auto"/>
              <w:right w:val="single" w:sz="4" w:space="0" w:color="auto"/>
            </w:tcBorders>
            <w:noWrap/>
            <w:vAlign w:val="bottom"/>
            <w:hideMark/>
          </w:tcPr>
          <w:p w14:paraId="5C95F021" w14:textId="77777777" w:rsidR="005F1859" w:rsidRPr="008F570B" w:rsidRDefault="005F1859" w:rsidP="00EF5C9A">
            <w:pPr>
              <w:jc w:val="right"/>
            </w:pPr>
            <w:r w:rsidRPr="008F570B">
              <w:t>22</w:t>
            </w:r>
          </w:p>
        </w:tc>
        <w:tc>
          <w:tcPr>
            <w:tcW w:w="1417" w:type="dxa"/>
            <w:tcBorders>
              <w:top w:val="single" w:sz="4" w:space="0" w:color="auto"/>
              <w:left w:val="nil"/>
              <w:bottom w:val="single" w:sz="4" w:space="0" w:color="auto"/>
              <w:right w:val="single" w:sz="4" w:space="0" w:color="auto"/>
            </w:tcBorders>
            <w:noWrap/>
            <w:vAlign w:val="bottom"/>
            <w:hideMark/>
          </w:tcPr>
          <w:p w14:paraId="7F2A056A" w14:textId="77777777" w:rsidR="005F1859" w:rsidRPr="008F570B" w:rsidRDefault="005F1859" w:rsidP="00EF5C9A">
            <w:pPr>
              <w:jc w:val="right"/>
            </w:pPr>
            <w:r w:rsidRPr="008F570B">
              <w:t>18</w:t>
            </w:r>
          </w:p>
        </w:tc>
        <w:tc>
          <w:tcPr>
            <w:tcW w:w="1418" w:type="dxa"/>
            <w:tcBorders>
              <w:top w:val="single" w:sz="4" w:space="0" w:color="auto"/>
              <w:left w:val="nil"/>
              <w:bottom w:val="single" w:sz="4" w:space="0" w:color="auto"/>
              <w:right w:val="single" w:sz="4" w:space="0" w:color="auto"/>
            </w:tcBorders>
            <w:noWrap/>
            <w:vAlign w:val="bottom"/>
            <w:hideMark/>
          </w:tcPr>
          <w:p w14:paraId="0A1EB523" w14:textId="77777777" w:rsidR="005F1859" w:rsidRPr="007D3AD2" w:rsidRDefault="005F1859" w:rsidP="00EF5C9A">
            <w:pPr>
              <w:jc w:val="right"/>
            </w:pPr>
            <w:r w:rsidRPr="007D3AD2">
              <w:t xml:space="preserve">23 </w:t>
            </w:r>
          </w:p>
        </w:tc>
        <w:tc>
          <w:tcPr>
            <w:tcW w:w="1486" w:type="dxa"/>
            <w:tcBorders>
              <w:top w:val="single" w:sz="4" w:space="0" w:color="auto"/>
              <w:left w:val="nil"/>
              <w:bottom w:val="single" w:sz="4" w:space="0" w:color="auto"/>
              <w:right w:val="single" w:sz="4" w:space="0" w:color="auto"/>
            </w:tcBorders>
          </w:tcPr>
          <w:p w14:paraId="5717BC7B" w14:textId="77777777" w:rsidR="005F1859" w:rsidRPr="004E4034" w:rsidRDefault="005F1859" w:rsidP="00EF5C9A">
            <w:pPr>
              <w:jc w:val="right"/>
            </w:pPr>
            <w:r w:rsidRPr="004E4034">
              <w:t>25</w:t>
            </w:r>
          </w:p>
        </w:tc>
        <w:tc>
          <w:tcPr>
            <w:tcW w:w="1262" w:type="dxa"/>
            <w:tcBorders>
              <w:top w:val="single" w:sz="4" w:space="0" w:color="auto"/>
              <w:left w:val="nil"/>
              <w:bottom w:val="single" w:sz="4" w:space="0" w:color="auto"/>
              <w:right w:val="single" w:sz="4" w:space="0" w:color="auto"/>
            </w:tcBorders>
          </w:tcPr>
          <w:p w14:paraId="44A6A070" w14:textId="77777777" w:rsidR="005F1859" w:rsidRPr="004E4034" w:rsidRDefault="005F1859" w:rsidP="00EF5C9A">
            <w:pPr>
              <w:jc w:val="right"/>
            </w:pPr>
            <w:r w:rsidRPr="004E4034">
              <w:t>0</w:t>
            </w:r>
          </w:p>
        </w:tc>
      </w:tr>
      <w:tr w:rsidR="005F1859" w:rsidRPr="008F570B" w14:paraId="2667F68E" w14:textId="77777777" w:rsidTr="00EF5C9A">
        <w:trPr>
          <w:trHeight w:val="106"/>
          <w:jc w:val="center"/>
        </w:trPr>
        <w:tc>
          <w:tcPr>
            <w:tcW w:w="1843" w:type="dxa"/>
            <w:tcBorders>
              <w:top w:val="single" w:sz="4" w:space="0" w:color="auto"/>
              <w:left w:val="single" w:sz="4" w:space="0" w:color="auto"/>
              <w:bottom w:val="single" w:sz="4" w:space="0" w:color="auto"/>
              <w:right w:val="single" w:sz="4" w:space="0" w:color="auto"/>
            </w:tcBorders>
            <w:noWrap/>
            <w:vAlign w:val="bottom"/>
          </w:tcPr>
          <w:p w14:paraId="23FBDCB4" w14:textId="77777777" w:rsidR="005F1859" w:rsidRPr="008F570B" w:rsidRDefault="005F1859" w:rsidP="00EF5C9A">
            <w:r>
              <w:t>Rolling 3 years</w:t>
            </w:r>
          </w:p>
        </w:tc>
        <w:tc>
          <w:tcPr>
            <w:tcW w:w="1276" w:type="dxa"/>
            <w:tcBorders>
              <w:top w:val="single" w:sz="4" w:space="0" w:color="auto"/>
              <w:left w:val="nil"/>
              <w:bottom w:val="single" w:sz="4" w:space="0" w:color="auto"/>
              <w:right w:val="single" w:sz="4" w:space="0" w:color="auto"/>
            </w:tcBorders>
            <w:noWrap/>
            <w:vAlign w:val="bottom"/>
          </w:tcPr>
          <w:p w14:paraId="104EA276" w14:textId="77777777" w:rsidR="005F1859" w:rsidRPr="008F570B" w:rsidRDefault="005F1859" w:rsidP="00EF5C9A">
            <w:pPr>
              <w:jc w:val="right"/>
            </w:pPr>
          </w:p>
        </w:tc>
        <w:tc>
          <w:tcPr>
            <w:tcW w:w="1417" w:type="dxa"/>
            <w:tcBorders>
              <w:top w:val="single" w:sz="4" w:space="0" w:color="auto"/>
              <w:left w:val="nil"/>
              <w:bottom w:val="single" w:sz="4" w:space="0" w:color="auto"/>
              <w:right w:val="single" w:sz="4" w:space="0" w:color="auto"/>
            </w:tcBorders>
            <w:noWrap/>
            <w:vAlign w:val="bottom"/>
          </w:tcPr>
          <w:p w14:paraId="33BB3DC5" w14:textId="77777777" w:rsidR="005F1859" w:rsidRPr="008F570B" w:rsidRDefault="005F1859" w:rsidP="00EF5C9A">
            <w:pPr>
              <w:jc w:val="right"/>
            </w:pPr>
            <w:r>
              <w:t>70</w:t>
            </w:r>
          </w:p>
        </w:tc>
        <w:tc>
          <w:tcPr>
            <w:tcW w:w="1418" w:type="dxa"/>
            <w:tcBorders>
              <w:top w:val="single" w:sz="4" w:space="0" w:color="auto"/>
              <w:left w:val="nil"/>
              <w:bottom w:val="single" w:sz="4" w:space="0" w:color="auto"/>
              <w:right w:val="single" w:sz="4" w:space="0" w:color="auto"/>
            </w:tcBorders>
            <w:noWrap/>
            <w:vAlign w:val="bottom"/>
          </w:tcPr>
          <w:p w14:paraId="313D6B2F" w14:textId="77777777" w:rsidR="005F1859" w:rsidRPr="007D3AD2" w:rsidRDefault="005F1859" w:rsidP="00EF5C9A">
            <w:pPr>
              <w:jc w:val="right"/>
            </w:pPr>
            <w:r>
              <w:t>63</w:t>
            </w:r>
          </w:p>
        </w:tc>
        <w:tc>
          <w:tcPr>
            <w:tcW w:w="1486" w:type="dxa"/>
            <w:tcBorders>
              <w:top w:val="single" w:sz="4" w:space="0" w:color="auto"/>
              <w:left w:val="nil"/>
              <w:bottom w:val="single" w:sz="4" w:space="0" w:color="auto"/>
              <w:right w:val="single" w:sz="4" w:space="0" w:color="auto"/>
            </w:tcBorders>
          </w:tcPr>
          <w:p w14:paraId="1C45C1E5" w14:textId="77777777" w:rsidR="005F1859" w:rsidRPr="004E4034" w:rsidRDefault="005F1859" w:rsidP="00EF5C9A">
            <w:pPr>
              <w:jc w:val="right"/>
            </w:pPr>
            <w:r w:rsidRPr="004E4034">
              <w:t>66</w:t>
            </w:r>
          </w:p>
        </w:tc>
        <w:tc>
          <w:tcPr>
            <w:tcW w:w="1262" w:type="dxa"/>
            <w:tcBorders>
              <w:top w:val="single" w:sz="4" w:space="0" w:color="auto"/>
              <w:left w:val="nil"/>
              <w:bottom w:val="single" w:sz="4" w:space="0" w:color="auto"/>
              <w:right w:val="single" w:sz="4" w:space="0" w:color="auto"/>
            </w:tcBorders>
          </w:tcPr>
          <w:p w14:paraId="3B2C1D2C" w14:textId="77777777" w:rsidR="005F1859" w:rsidRPr="004E4034" w:rsidRDefault="005F1859" w:rsidP="00EF5C9A">
            <w:pPr>
              <w:jc w:val="right"/>
            </w:pPr>
            <w:r>
              <w:t>48</w:t>
            </w:r>
          </w:p>
        </w:tc>
      </w:tr>
    </w:tbl>
    <w:p w14:paraId="7D6A69B1" w14:textId="77777777" w:rsidR="005F1859" w:rsidRPr="00B66177" w:rsidRDefault="005F1859" w:rsidP="005F1859">
      <w:pPr>
        <w:pStyle w:val="Heading2"/>
        <w:ind w:left="1077" w:hanging="1077"/>
      </w:pPr>
      <w:bookmarkStart w:id="174" w:name="_Toc536195576"/>
      <w:bookmarkStart w:id="175" w:name="_Toc536528058"/>
      <w:r w:rsidRPr="00B66177">
        <w:t>Update on Financial Performance in 201</w:t>
      </w:r>
      <w:r>
        <w:t>9/20</w:t>
      </w:r>
      <w:bookmarkEnd w:id="174"/>
      <w:bookmarkEnd w:id="175"/>
    </w:p>
    <w:p w14:paraId="7665AFC5" w14:textId="77777777" w:rsidR="005F1859" w:rsidRPr="00AE4C8C" w:rsidRDefault="005F1859" w:rsidP="005F1859">
      <w:pPr>
        <w:rPr>
          <w:bCs/>
        </w:rPr>
      </w:pPr>
      <w:r w:rsidRPr="00C06AE7">
        <w:t xml:space="preserve">Cwm Taf </w:t>
      </w:r>
      <w:r>
        <w:t xml:space="preserve">Morgannwg </w:t>
      </w:r>
      <w:r w:rsidRPr="00C06AE7">
        <w:t>UHB has recently submitted its M</w:t>
      </w:r>
      <w:r>
        <w:t xml:space="preserve">11 </w:t>
      </w:r>
      <w:r w:rsidRPr="00C06AE7">
        <w:t>Monitoring Returns to</w:t>
      </w:r>
      <w:r>
        <w:t xml:space="preserve"> Welsh Government. This showed </w:t>
      </w:r>
      <w:r w:rsidRPr="00C06AE7">
        <w:t>a forecast</w:t>
      </w:r>
      <w:r w:rsidRPr="00AE4C8C">
        <w:t xml:space="preserve"> breakeven position for 2019/20</w:t>
      </w:r>
      <w:r>
        <w:t xml:space="preserve"> and a target recurrent deficit of £11.9m</w:t>
      </w:r>
      <w:r w:rsidRPr="00AE4C8C">
        <w:t>.</w:t>
      </w:r>
      <w:r w:rsidRPr="00AE4C8C">
        <w:rPr>
          <w:bCs/>
        </w:rPr>
        <w:t xml:space="preserve"> </w:t>
      </w:r>
    </w:p>
    <w:p w14:paraId="36151E2A" w14:textId="77777777" w:rsidR="005F1859" w:rsidRDefault="005F1859" w:rsidP="005F1859"/>
    <w:p w14:paraId="63330600" w14:textId="77777777" w:rsidR="005F1859" w:rsidRPr="00960691" w:rsidRDefault="005F1859" w:rsidP="005F1859">
      <w:r w:rsidRPr="00960691">
        <w:t>We noted in our Monitoring Return submission that the latest bottom up forecasts were £16.7m and that a final review of the forecast recurring position was being undertaken to inform this IMTP submission.</w:t>
      </w:r>
      <w:r>
        <w:t xml:space="preserve"> </w:t>
      </w:r>
      <w:r w:rsidRPr="00960691">
        <w:t xml:space="preserve"> The forecast recurrent deficit going into 2020/21 has subsequently been increased to £17.9m </w:t>
      </w:r>
      <w:r>
        <w:t xml:space="preserve">to reflect recent patient flow and contracting changes </w:t>
      </w:r>
      <w:r w:rsidRPr="00960691">
        <w:t>and this is the starting point for our medium term financial plan for the three year period 2021/22 to 2022/23</w:t>
      </w:r>
      <w:r>
        <w:t>:</w:t>
      </w:r>
      <w:r w:rsidRPr="00960691">
        <w:t xml:space="preserve"> </w:t>
      </w:r>
    </w:p>
    <w:p w14:paraId="377A188D" w14:textId="77777777" w:rsidR="005F1859" w:rsidRPr="00960691" w:rsidRDefault="005F1859" w:rsidP="005F1859"/>
    <w:tbl>
      <w:tblPr>
        <w:tblStyle w:val="TableGrid"/>
        <w:tblW w:w="0" w:type="auto"/>
        <w:tblLook w:val="04A0" w:firstRow="1" w:lastRow="0" w:firstColumn="1" w:lastColumn="0" w:noHBand="0" w:noVBand="1"/>
      </w:tblPr>
      <w:tblGrid>
        <w:gridCol w:w="6799"/>
        <w:gridCol w:w="2217"/>
      </w:tblGrid>
      <w:tr w:rsidR="005F1859" w:rsidRPr="00960691" w14:paraId="2B5E3805" w14:textId="77777777" w:rsidTr="00EF5C9A">
        <w:tc>
          <w:tcPr>
            <w:tcW w:w="6799" w:type="dxa"/>
          </w:tcPr>
          <w:p w14:paraId="620C97F0" w14:textId="77777777" w:rsidR="005F1859" w:rsidRPr="00960691" w:rsidRDefault="005F1859" w:rsidP="00EF5C9A">
            <w:pPr>
              <w:rPr>
                <w:sz w:val="22"/>
              </w:rPr>
            </w:pPr>
          </w:p>
        </w:tc>
        <w:tc>
          <w:tcPr>
            <w:tcW w:w="2217" w:type="dxa"/>
          </w:tcPr>
          <w:p w14:paraId="182DAD4E" w14:textId="77777777" w:rsidR="005F1859" w:rsidRPr="00960691" w:rsidRDefault="005F1859" w:rsidP="00EF5C9A">
            <w:pPr>
              <w:jc w:val="center"/>
              <w:rPr>
                <w:sz w:val="22"/>
              </w:rPr>
            </w:pPr>
            <w:r w:rsidRPr="00960691">
              <w:rPr>
                <w:sz w:val="22"/>
              </w:rPr>
              <w:t>£m</w:t>
            </w:r>
          </w:p>
        </w:tc>
      </w:tr>
      <w:tr w:rsidR="005F1859" w:rsidRPr="00960691" w14:paraId="5AE2DEAF" w14:textId="77777777" w:rsidTr="00EF5C9A">
        <w:tc>
          <w:tcPr>
            <w:tcW w:w="6799" w:type="dxa"/>
          </w:tcPr>
          <w:p w14:paraId="5897D183" w14:textId="77777777" w:rsidR="005F1859" w:rsidRPr="00960691" w:rsidRDefault="005F1859" w:rsidP="00EF5C9A">
            <w:pPr>
              <w:rPr>
                <w:sz w:val="22"/>
              </w:rPr>
            </w:pPr>
            <w:r w:rsidRPr="00960691">
              <w:rPr>
                <w:sz w:val="22"/>
              </w:rPr>
              <w:t>Planned recurrent deficit</w:t>
            </w:r>
          </w:p>
        </w:tc>
        <w:tc>
          <w:tcPr>
            <w:tcW w:w="2217" w:type="dxa"/>
          </w:tcPr>
          <w:p w14:paraId="534D632F" w14:textId="77777777" w:rsidR="005F1859" w:rsidRPr="00960691" w:rsidRDefault="005F1859" w:rsidP="00EF5C9A">
            <w:pPr>
              <w:jc w:val="center"/>
              <w:rPr>
                <w:sz w:val="22"/>
              </w:rPr>
            </w:pPr>
            <w:r w:rsidRPr="00960691">
              <w:rPr>
                <w:sz w:val="22"/>
              </w:rPr>
              <w:t>3.5</w:t>
            </w:r>
          </w:p>
        </w:tc>
      </w:tr>
      <w:tr w:rsidR="005F1859" w:rsidRPr="00960691" w14:paraId="0C4FEEAD" w14:textId="77777777" w:rsidTr="00EF5C9A">
        <w:tc>
          <w:tcPr>
            <w:tcW w:w="6799" w:type="dxa"/>
          </w:tcPr>
          <w:p w14:paraId="4C85CCE5" w14:textId="77777777" w:rsidR="005F1859" w:rsidRPr="00960691" w:rsidRDefault="005F1859" w:rsidP="00EF5C9A">
            <w:pPr>
              <w:rPr>
                <w:sz w:val="22"/>
              </w:rPr>
            </w:pPr>
            <w:r w:rsidRPr="00960691">
              <w:rPr>
                <w:sz w:val="22"/>
              </w:rPr>
              <w:t>Unplanned BG recurrent deficit</w:t>
            </w:r>
          </w:p>
        </w:tc>
        <w:tc>
          <w:tcPr>
            <w:tcW w:w="2217" w:type="dxa"/>
          </w:tcPr>
          <w:p w14:paraId="4412478E" w14:textId="77777777" w:rsidR="005F1859" w:rsidRPr="00960691" w:rsidRDefault="005F1859" w:rsidP="00EF5C9A">
            <w:pPr>
              <w:jc w:val="center"/>
              <w:rPr>
                <w:sz w:val="22"/>
              </w:rPr>
            </w:pPr>
            <w:r w:rsidRPr="00960691">
              <w:rPr>
                <w:sz w:val="22"/>
              </w:rPr>
              <w:t>7.4</w:t>
            </w:r>
          </w:p>
        </w:tc>
      </w:tr>
      <w:tr w:rsidR="005F1859" w:rsidRPr="00960691" w14:paraId="613A67E3" w14:textId="77777777" w:rsidTr="00EF5C9A">
        <w:tc>
          <w:tcPr>
            <w:tcW w:w="6799" w:type="dxa"/>
          </w:tcPr>
          <w:p w14:paraId="71841F63" w14:textId="77777777" w:rsidR="005F1859" w:rsidRPr="00960691" w:rsidRDefault="005F1859" w:rsidP="00EF5C9A">
            <w:pPr>
              <w:rPr>
                <w:sz w:val="22"/>
              </w:rPr>
            </w:pPr>
            <w:r w:rsidRPr="00960691">
              <w:rPr>
                <w:sz w:val="22"/>
              </w:rPr>
              <w:t>Forecast recurrent overspends from bottom up directorate forecasts</w:t>
            </w:r>
          </w:p>
        </w:tc>
        <w:tc>
          <w:tcPr>
            <w:tcW w:w="2217" w:type="dxa"/>
          </w:tcPr>
          <w:p w14:paraId="74B5102C" w14:textId="77777777" w:rsidR="005F1859" w:rsidRPr="00960691" w:rsidRDefault="005F1859" w:rsidP="00EF5C9A">
            <w:pPr>
              <w:jc w:val="center"/>
              <w:rPr>
                <w:sz w:val="22"/>
              </w:rPr>
            </w:pPr>
            <w:r w:rsidRPr="00960691">
              <w:rPr>
                <w:sz w:val="22"/>
              </w:rPr>
              <w:t>6.0</w:t>
            </w:r>
          </w:p>
        </w:tc>
      </w:tr>
      <w:tr w:rsidR="005F1859" w:rsidRPr="00BD1129" w14:paraId="5E5BED9E" w14:textId="77777777" w:rsidTr="00EF5C9A">
        <w:tc>
          <w:tcPr>
            <w:tcW w:w="6799" w:type="dxa"/>
          </w:tcPr>
          <w:p w14:paraId="18B04BB4" w14:textId="77777777" w:rsidR="005F1859" w:rsidRPr="00960691" w:rsidRDefault="005F1859" w:rsidP="00EF5C9A">
            <w:pPr>
              <w:rPr>
                <w:b/>
                <w:sz w:val="22"/>
              </w:rPr>
            </w:pPr>
            <w:r w:rsidRPr="00960691">
              <w:rPr>
                <w:b/>
                <w:sz w:val="22"/>
              </w:rPr>
              <w:t>Total</w:t>
            </w:r>
          </w:p>
        </w:tc>
        <w:tc>
          <w:tcPr>
            <w:tcW w:w="2217" w:type="dxa"/>
          </w:tcPr>
          <w:p w14:paraId="3E5502DF" w14:textId="77777777" w:rsidR="005F1859" w:rsidRPr="00A26C44" w:rsidRDefault="005F1859" w:rsidP="00EF5C9A">
            <w:pPr>
              <w:jc w:val="center"/>
              <w:rPr>
                <w:b/>
                <w:sz w:val="22"/>
              </w:rPr>
            </w:pPr>
            <w:r w:rsidRPr="00960691">
              <w:rPr>
                <w:b/>
                <w:sz w:val="22"/>
              </w:rPr>
              <w:t>17.9</w:t>
            </w:r>
          </w:p>
        </w:tc>
      </w:tr>
    </w:tbl>
    <w:p w14:paraId="07B7A09E" w14:textId="77777777" w:rsidR="005F1859" w:rsidRDefault="005F1859" w:rsidP="005F1859">
      <w:pPr>
        <w:pStyle w:val="Heading2"/>
        <w:rPr>
          <w:rFonts w:cs="Times New Roman"/>
          <w:szCs w:val="22"/>
        </w:rPr>
      </w:pPr>
      <w:bookmarkStart w:id="176" w:name="_Toc536195577"/>
      <w:bookmarkStart w:id="177" w:name="_Toc536528059"/>
      <w:r>
        <w:t>FINANCIAL STRATEGY</w:t>
      </w:r>
    </w:p>
    <w:p w14:paraId="2A997530" w14:textId="77777777" w:rsidR="005F1859" w:rsidRDefault="005F1859" w:rsidP="005F1859">
      <w:pPr>
        <w:rPr>
          <w:lang w:eastAsia="en-US"/>
        </w:rPr>
      </w:pPr>
      <w:r w:rsidRPr="00E41104">
        <w:rPr>
          <w:lang w:eastAsia="en-US"/>
        </w:rPr>
        <w:t xml:space="preserve">The core purpose of the financial strategy is to support the delivery of the IMTP, and the fundamental aims and strategic objectives of the Health Board.  </w:t>
      </w:r>
    </w:p>
    <w:p w14:paraId="5C317738" w14:textId="77777777" w:rsidR="005F1859" w:rsidRPr="00E41104" w:rsidRDefault="005F1859" w:rsidP="005F1859">
      <w:pPr>
        <w:rPr>
          <w:lang w:eastAsia="en-US"/>
        </w:rPr>
      </w:pPr>
    </w:p>
    <w:p w14:paraId="70B795CD" w14:textId="77777777" w:rsidR="005F1859" w:rsidRDefault="005F1859" w:rsidP="005F1859">
      <w:pPr>
        <w:rPr>
          <w:b/>
          <w:lang w:eastAsia="en-US"/>
        </w:rPr>
      </w:pPr>
      <w:r w:rsidRPr="00363824">
        <w:rPr>
          <w:b/>
          <w:lang w:eastAsia="en-US"/>
        </w:rPr>
        <w:t>Assessment of the current financial position</w:t>
      </w:r>
    </w:p>
    <w:p w14:paraId="4DFAE058" w14:textId="77777777" w:rsidR="005F1859" w:rsidRDefault="005F1859" w:rsidP="005F1859">
      <w:pPr>
        <w:rPr>
          <w:rFonts w:eastAsiaTheme="minorHAnsi"/>
          <w:b/>
          <w:lang w:eastAsia="en-US"/>
        </w:rPr>
      </w:pPr>
    </w:p>
    <w:p w14:paraId="2C7D6803" w14:textId="77777777" w:rsidR="005F1859" w:rsidRPr="009B6880" w:rsidRDefault="005F1859" w:rsidP="005F1859">
      <w:pPr>
        <w:rPr>
          <w:rFonts w:asciiTheme="minorHAnsi" w:hAnsiTheme="minorHAnsi" w:cs="Arial"/>
          <w:szCs w:val="22"/>
          <w:lang w:eastAsia="en-US"/>
        </w:rPr>
      </w:pPr>
      <w:r w:rsidRPr="009B6880">
        <w:rPr>
          <w:rFonts w:asciiTheme="minorHAnsi" w:hAnsiTheme="minorHAnsi" w:cs="Arial"/>
          <w:szCs w:val="22"/>
          <w:lang w:eastAsia="en-US"/>
        </w:rPr>
        <w:t>The former Cwm Taf University Health Board has planned for and achieved breakeven over a significant number of years.</w:t>
      </w:r>
      <w:r>
        <w:rPr>
          <w:rFonts w:asciiTheme="minorHAnsi" w:hAnsiTheme="minorHAnsi" w:cs="Arial"/>
          <w:szCs w:val="22"/>
          <w:lang w:eastAsia="en-US"/>
        </w:rPr>
        <w:t xml:space="preserve"> </w:t>
      </w:r>
      <w:r w:rsidRPr="009B6880">
        <w:rPr>
          <w:rFonts w:asciiTheme="minorHAnsi" w:hAnsiTheme="minorHAnsi" w:cs="Arial"/>
          <w:szCs w:val="22"/>
          <w:lang w:eastAsia="en-US"/>
        </w:rPr>
        <w:t xml:space="preserve"> However in 2019/20 as the new Health Board Cwm Taf Morgannwg was created, it has faced both significant additional priorities for management and leadership time, as well as significant new financial pressures. </w:t>
      </w:r>
      <w:r>
        <w:rPr>
          <w:rFonts w:asciiTheme="minorHAnsi" w:hAnsiTheme="minorHAnsi" w:cs="Arial"/>
          <w:szCs w:val="22"/>
          <w:lang w:eastAsia="en-US"/>
        </w:rPr>
        <w:t xml:space="preserve"> </w:t>
      </w:r>
      <w:r w:rsidRPr="009B6880">
        <w:rPr>
          <w:rFonts w:asciiTheme="minorHAnsi" w:hAnsiTheme="minorHAnsi" w:cs="Arial"/>
          <w:szCs w:val="22"/>
          <w:lang w:eastAsia="en-US"/>
        </w:rPr>
        <w:t>These demands on time a</w:t>
      </w:r>
      <w:r>
        <w:rPr>
          <w:rFonts w:asciiTheme="minorHAnsi" w:hAnsiTheme="minorHAnsi" w:cs="Arial"/>
          <w:szCs w:val="22"/>
          <w:lang w:eastAsia="en-US"/>
        </w:rPr>
        <w:t>nd financial pressures include:</w:t>
      </w:r>
    </w:p>
    <w:p w14:paraId="620BFEF9" w14:textId="77777777" w:rsidR="005F1859" w:rsidRPr="009B6880" w:rsidRDefault="005F1859" w:rsidP="005F1859">
      <w:pPr>
        <w:rPr>
          <w:rFonts w:asciiTheme="minorHAnsi" w:hAnsiTheme="minorHAnsi" w:cs="Arial"/>
          <w:szCs w:val="22"/>
          <w:lang w:eastAsia="en-US"/>
        </w:rPr>
      </w:pPr>
    </w:p>
    <w:p w14:paraId="01418608" w14:textId="77777777" w:rsidR="005F1859" w:rsidRPr="009B6880" w:rsidRDefault="005F1859" w:rsidP="005F1859">
      <w:pPr>
        <w:pStyle w:val="ListParagraph"/>
        <w:numPr>
          <w:ilvl w:val="0"/>
          <w:numId w:val="124"/>
        </w:numPr>
        <w:contextualSpacing w:val="0"/>
        <w:jc w:val="left"/>
        <w:rPr>
          <w:rFonts w:asciiTheme="minorHAnsi" w:hAnsiTheme="minorHAnsi" w:cs="Arial"/>
          <w:szCs w:val="22"/>
          <w:lang w:eastAsia="en-US"/>
        </w:rPr>
      </w:pPr>
      <w:r w:rsidRPr="009B6880">
        <w:rPr>
          <w:rFonts w:asciiTheme="minorHAnsi" w:hAnsiTheme="minorHAnsi" w:cs="Arial"/>
          <w:szCs w:val="22"/>
          <w:lang w:eastAsia="en-US"/>
        </w:rPr>
        <w:t>Addressing targeted intervention and maternity special measures with the very wide programme of work on quality governance, quality improvement and values and behaviours which we are engaged in</w:t>
      </w:r>
      <w:r>
        <w:rPr>
          <w:rFonts w:asciiTheme="minorHAnsi" w:hAnsiTheme="minorHAnsi" w:cs="Arial"/>
          <w:szCs w:val="22"/>
          <w:lang w:eastAsia="en-US"/>
        </w:rPr>
        <w:t>, alongside investment in clinical leadership.</w:t>
      </w:r>
    </w:p>
    <w:p w14:paraId="49BF7FC7" w14:textId="77777777" w:rsidR="005F1859" w:rsidRPr="009B6880" w:rsidRDefault="005F1859" w:rsidP="005F1859">
      <w:pPr>
        <w:pStyle w:val="ListParagraph"/>
        <w:numPr>
          <w:ilvl w:val="0"/>
          <w:numId w:val="124"/>
        </w:numPr>
        <w:contextualSpacing w:val="0"/>
        <w:jc w:val="left"/>
        <w:rPr>
          <w:rFonts w:asciiTheme="minorHAnsi" w:hAnsiTheme="minorHAnsi" w:cs="Arial"/>
          <w:szCs w:val="22"/>
          <w:lang w:eastAsia="en-US"/>
        </w:rPr>
      </w:pPr>
      <w:r w:rsidRPr="009B6880">
        <w:rPr>
          <w:rFonts w:asciiTheme="minorHAnsi" w:hAnsiTheme="minorHAnsi" w:cs="Arial"/>
          <w:szCs w:val="22"/>
          <w:lang w:eastAsia="en-US"/>
        </w:rPr>
        <w:t>Developing a new operating framework and structure for the new organisation, which has been developed through 2019/20 and will come into effect from April</w:t>
      </w:r>
      <w:r>
        <w:rPr>
          <w:rFonts w:asciiTheme="minorHAnsi" w:hAnsiTheme="minorHAnsi" w:cs="Arial"/>
          <w:szCs w:val="22"/>
          <w:lang w:eastAsia="en-US"/>
        </w:rPr>
        <w:t xml:space="preserve"> 2020</w:t>
      </w:r>
    </w:p>
    <w:p w14:paraId="5295C8D7" w14:textId="77777777" w:rsidR="005F1859" w:rsidRPr="009B6880" w:rsidRDefault="005F1859" w:rsidP="005F1859">
      <w:pPr>
        <w:pStyle w:val="ListParagraph"/>
        <w:numPr>
          <w:ilvl w:val="0"/>
          <w:numId w:val="124"/>
        </w:numPr>
        <w:contextualSpacing w:val="0"/>
        <w:jc w:val="left"/>
        <w:rPr>
          <w:rFonts w:asciiTheme="minorHAnsi" w:hAnsiTheme="minorHAnsi" w:cs="Arial"/>
          <w:szCs w:val="22"/>
          <w:lang w:eastAsia="en-US"/>
        </w:rPr>
      </w:pPr>
      <w:r w:rsidRPr="009B6880">
        <w:rPr>
          <w:rFonts w:asciiTheme="minorHAnsi" w:hAnsiTheme="minorHAnsi" w:cs="Arial"/>
          <w:szCs w:val="22"/>
          <w:lang w:eastAsia="en-US"/>
        </w:rPr>
        <w:t>Major service reconfiguration</w:t>
      </w:r>
      <w:r>
        <w:rPr>
          <w:rFonts w:asciiTheme="minorHAnsi" w:hAnsiTheme="minorHAnsi" w:cs="Arial"/>
          <w:szCs w:val="22"/>
          <w:lang w:eastAsia="en-US"/>
        </w:rPr>
        <w:t xml:space="preserve"> planning</w:t>
      </w:r>
      <w:r w:rsidRPr="009B6880">
        <w:rPr>
          <w:rFonts w:asciiTheme="minorHAnsi" w:hAnsiTheme="minorHAnsi" w:cs="Arial"/>
          <w:szCs w:val="22"/>
          <w:lang w:eastAsia="en-US"/>
        </w:rPr>
        <w:t>, in particular in considering the future options for the ED in the Royal Glamorgan</w:t>
      </w:r>
      <w:r>
        <w:rPr>
          <w:rFonts w:asciiTheme="minorHAnsi" w:hAnsiTheme="minorHAnsi" w:cs="Arial"/>
          <w:szCs w:val="22"/>
          <w:lang w:eastAsia="en-US"/>
        </w:rPr>
        <w:t xml:space="preserve"> Hospital</w:t>
      </w:r>
      <w:r w:rsidRPr="009B6880">
        <w:rPr>
          <w:rFonts w:asciiTheme="minorHAnsi" w:hAnsiTheme="minorHAnsi" w:cs="Arial"/>
          <w:szCs w:val="22"/>
          <w:lang w:eastAsia="en-US"/>
        </w:rPr>
        <w:t xml:space="preserve"> </w:t>
      </w:r>
    </w:p>
    <w:p w14:paraId="5746B35A" w14:textId="77777777" w:rsidR="005F1859" w:rsidRDefault="005F1859" w:rsidP="005F1859">
      <w:pPr>
        <w:pStyle w:val="ListParagraph"/>
        <w:numPr>
          <w:ilvl w:val="0"/>
          <w:numId w:val="124"/>
        </w:numPr>
        <w:contextualSpacing w:val="0"/>
        <w:jc w:val="left"/>
        <w:rPr>
          <w:rFonts w:asciiTheme="minorHAnsi" w:hAnsiTheme="minorHAnsi" w:cs="Arial"/>
          <w:szCs w:val="22"/>
          <w:lang w:eastAsia="en-US"/>
        </w:rPr>
      </w:pPr>
      <w:r w:rsidRPr="009B6880">
        <w:rPr>
          <w:rFonts w:asciiTheme="minorHAnsi" w:hAnsiTheme="minorHAnsi" w:cs="Arial"/>
          <w:szCs w:val="22"/>
          <w:lang w:eastAsia="en-US"/>
        </w:rPr>
        <w:t>The financial pressures resulting from the Bridgend transfer</w:t>
      </w:r>
    </w:p>
    <w:p w14:paraId="4E5B55F7" w14:textId="77777777" w:rsidR="005F1859" w:rsidRPr="009B6880" w:rsidRDefault="005F1859" w:rsidP="005F1859">
      <w:pPr>
        <w:pStyle w:val="ListParagraph"/>
        <w:numPr>
          <w:ilvl w:val="0"/>
          <w:numId w:val="124"/>
        </w:numPr>
        <w:rPr>
          <w:lang w:eastAsia="en-US"/>
        </w:rPr>
      </w:pPr>
      <w:r>
        <w:rPr>
          <w:lang w:eastAsia="en-US"/>
        </w:rPr>
        <w:lastRenderedPageBreak/>
        <w:t>Increased premium clinical workforce costs as a result of the ongoing recruitment and retention challenges, which increased during 2019/20</w:t>
      </w:r>
    </w:p>
    <w:p w14:paraId="20FDCF81" w14:textId="77777777" w:rsidR="005F1859" w:rsidRPr="009B6880" w:rsidRDefault="005F1859" w:rsidP="005F1859">
      <w:pPr>
        <w:pStyle w:val="ListParagraph"/>
        <w:numPr>
          <w:ilvl w:val="0"/>
          <w:numId w:val="124"/>
        </w:numPr>
        <w:contextualSpacing w:val="0"/>
        <w:jc w:val="left"/>
        <w:rPr>
          <w:rFonts w:asciiTheme="minorHAnsi" w:hAnsiTheme="minorHAnsi" w:cs="Arial"/>
          <w:szCs w:val="22"/>
          <w:lang w:eastAsia="en-US"/>
        </w:rPr>
      </w:pPr>
      <w:r w:rsidRPr="009B6880">
        <w:rPr>
          <w:rFonts w:asciiTheme="minorHAnsi" w:hAnsiTheme="minorHAnsi" w:cs="Arial"/>
          <w:szCs w:val="22"/>
          <w:lang w:eastAsia="en-US"/>
        </w:rPr>
        <w:t xml:space="preserve">Lower savings delivery than in the former Cwm Taf, resulting to a large extent from the competing priorities and demands on management time  </w:t>
      </w:r>
    </w:p>
    <w:p w14:paraId="440E5B7C" w14:textId="77777777" w:rsidR="005F1859" w:rsidRPr="009B6880" w:rsidRDefault="005F1859" w:rsidP="005F1859">
      <w:pPr>
        <w:rPr>
          <w:rFonts w:asciiTheme="minorHAnsi" w:hAnsiTheme="minorHAnsi" w:cs="Arial"/>
          <w:szCs w:val="22"/>
          <w:lang w:eastAsia="en-US"/>
        </w:rPr>
      </w:pPr>
    </w:p>
    <w:p w14:paraId="75D872CB" w14:textId="77777777" w:rsidR="005F1859" w:rsidRPr="009B6880" w:rsidRDefault="005F1859" w:rsidP="005F1859">
      <w:pPr>
        <w:rPr>
          <w:rFonts w:asciiTheme="minorHAnsi" w:hAnsiTheme="minorHAnsi" w:cs="Arial"/>
          <w:szCs w:val="22"/>
          <w:lang w:eastAsia="en-US"/>
        </w:rPr>
      </w:pPr>
      <w:r w:rsidRPr="009B6880">
        <w:rPr>
          <w:rFonts w:asciiTheme="minorHAnsi" w:hAnsiTheme="minorHAnsi" w:cs="Arial"/>
          <w:szCs w:val="22"/>
          <w:lang w:eastAsia="en-US"/>
        </w:rPr>
        <w:t xml:space="preserve">After a number of years of the former Cwm Taf reducing its recurrent deficit, these pressures have driven the new Health Board temporarily into a larger recurrent deficit during 2019/20. </w:t>
      </w:r>
      <w:r>
        <w:rPr>
          <w:rFonts w:asciiTheme="minorHAnsi" w:hAnsiTheme="minorHAnsi" w:cs="Arial"/>
          <w:szCs w:val="22"/>
          <w:lang w:eastAsia="en-US"/>
        </w:rPr>
        <w:t xml:space="preserve"> </w:t>
      </w:r>
      <w:r w:rsidRPr="009B6880">
        <w:rPr>
          <w:rFonts w:asciiTheme="minorHAnsi" w:hAnsiTheme="minorHAnsi" w:cs="Arial"/>
          <w:szCs w:val="22"/>
          <w:lang w:eastAsia="en-US"/>
        </w:rPr>
        <w:t xml:space="preserve">RTT performance has also deteriorated due a combination of issues affecting all health boards and some CTM specific issues. </w:t>
      </w:r>
    </w:p>
    <w:p w14:paraId="0BB8D248" w14:textId="77777777" w:rsidR="005F1859" w:rsidRDefault="005F1859" w:rsidP="005F1859">
      <w:pPr>
        <w:rPr>
          <w:lang w:eastAsia="en-US"/>
        </w:rPr>
      </w:pPr>
    </w:p>
    <w:p w14:paraId="4C67C370" w14:textId="77777777" w:rsidR="005F1859" w:rsidRDefault="005F1859" w:rsidP="005F1859">
      <w:pPr>
        <w:rPr>
          <w:lang w:eastAsia="en-US"/>
        </w:rPr>
      </w:pPr>
      <w:r>
        <w:rPr>
          <w:lang w:eastAsia="en-US"/>
        </w:rPr>
        <w:t xml:space="preserve">Under the previous Welsh Government allocations, </w:t>
      </w:r>
      <w:r w:rsidRPr="00E26ECA">
        <w:rPr>
          <w:lang w:eastAsia="en-US"/>
        </w:rPr>
        <w:t xml:space="preserve">circa </w:t>
      </w:r>
      <w:r w:rsidRPr="009B6880">
        <w:rPr>
          <w:lang w:eastAsia="en-US"/>
        </w:rPr>
        <w:t>£10m to £13m</w:t>
      </w:r>
      <w:r>
        <w:rPr>
          <w:lang w:eastAsia="en-US"/>
        </w:rPr>
        <w:t xml:space="preserve"> of the £17.9m underlying deficit of the Health Board is assessed to relate to the Bridgend area.  However, this is changed radically under the new allocation formula.  The table below shows the impact of the new allocation formula.  </w:t>
      </w:r>
      <w:r w:rsidRPr="00010A02">
        <w:rPr>
          <w:lang w:eastAsia="en-US"/>
        </w:rPr>
        <w:t>Under the formula, the target CTM share of overall Health Board allocations is 15.1%.</w:t>
      </w:r>
      <w:r>
        <w:rPr>
          <w:lang w:eastAsia="en-US"/>
        </w:rPr>
        <w:t xml:space="preserve"> </w:t>
      </w:r>
      <w:r w:rsidRPr="00010A02">
        <w:rPr>
          <w:lang w:eastAsia="en-US"/>
        </w:rPr>
        <w:t xml:space="preserve"> In 2020/21, this will only be used to allocate growth in allocations, and so </w:t>
      </w:r>
      <w:r>
        <w:rPr>
          <w:lang w:eastAsia="en-US"/>
        </w:rPr>
        <w:t xml:space="preserve">the </w:t>
      </w:r>
      <w:r w:rsidRPr="00010A02">
        <w:rPr>
          <w:lang w:eastAsia="en-US"/>
        </w:rPr>
        <w:t xml:space="preserve">CTM share of general funding growth will be 15.1%. </w:t>
      </w:r>
      <w:r>
        <w:rPr>
          <w:lang w:eastAsia="en-US"/>
        </w:rPr>
        <w:t xml:space="preserve"> </w:t>
      </w:r>
      <w:r w:rsidRPr="00010A02">
        <w:rPr>
          <w:lang w:eastAsia="en-US"/>
        </w:rPr>
        <w:t xml:space="preserve">However, over the life of the next government term, it is planned to equalise total funding with the formula shares. </w:t>
      </w:r>
      <w:r>
        <w:rPr>
          <w:lang w:eastAsia="en-US"/>
        </w:rPr>
        <w:t xml:space="preserve"> </w:t>
      </w:r>
      <w:r w:rsidRPr="00010A02">
        <w:rPr>
          <w:lang w:eastAsia="en-US"/>
        </w:rPr>
        <w:t>As the CTM total allocation in 2020/21 is 15.24% of the total, this will mean that over time funding growth will be abated by £5.4m to reduce the CTM allocation share to 15.1%.</w:t>
      </w:r>
      <w:r>
        <w:rPr>
          <w:lang w:eastAsia="en-US"/>
        </w:rPr>
        <w:t xml:space="preserve"> </w:t>
      </w:r>
      <w:r w:rsidRPr="00010A02">
        <w:rPr>
          <w:lang w:eastAsia="en-US"/>
        </w:rPr>
        <w:t xml:space="preserve"> </w:t>
      </w:r>
      <w:r>
        <w:rPr>
          <w:lang w:eastAsia="en-US"/>
        </w:rPr>
        <w:t>In line with Welsh Government advice, this abatement is not reflected in the IMTP as its timing and phasing is not yet clear</w:t>
      </w:r>
      <w:r w:rsidRPr="00010A02">
        <w:rPr>
          <w:lang w:eastAsia="en-US"/>
        </w:rPr>
        <w:t xml:space="preserve">, but a key point for the financial strategy is that the current £5.4m “overfunding” against the formula is entirely in the former Cwm Taf area. </w:t>
      </w:r>
      <w:r>
        <w:rPr>
          <w:lang w:eastAsia="en-US"/>
        </w:rPr>
        <w:t xml:space="preserve"> </w:t>
      </w:r>
      <w:r w:rsidRPr="00010A02">
        <w:rPr>
          <w:lang w:eastAsia="en-US"/>
        </w:rPr>
        <w:t>Whilst it is for the Health Board to allocate resources internally, if these were allocated in line with the formula over time, then this would represent an £18.8m decrease in the former Cwm Taf area and a £13.4m increase in Bridgend.</w:t>
      </w:r>
      <w:r>
        <w:rPr>
          <w:lang w:eastAsia="en-US"/>
        </w:rPr>
        <w:t xml:space="preserve"> </w:t>
      </w:r>
    </w:p>
    <w:p w14:paraId="43C16AC4" w14:textId="77777777" w:rsidR="005F1859" w:rsidRDefault="005F1859" w:rsidP="005F1859">
      <w:pPr>
        <w:rPr>
          <w:lang w:eastAsia="en-US"/>
        </w:rPr>
      </w:pPr>
    </w:p>
    <w:p w14:paraId="6E29BB31" w14:textId="77777777" w:rsidR="005F1859" w:rsidRDefault="005F1859" w:rsidP="005F1859">
      <w:pPr>
        <w:rPr>
          <w:lang w:eastAsia="en-US"/>
        </w:rPr>
      </w:pPr>
      <w:r>
        <w:rPr>
          <w:noProof/>
        </w:rPr>
        <w:drawing>
          <wp:inline distT="0" distB="0" distL="0" distR="0" wp14:anchorId="5ADCBB37" wp14:editId="610700D3">
            <wp:extent cx="5732145" cy="2647950"/>
            <wp:effectExtent l="0" t="0" r="1905" b="0"/>
            <wp:docPr id="15" name="Picture 15" descr="cid:image005.png@01D5C228.DB3F3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5C228.DB3F3250"/>
                    <pic:cNvPicPr>
                      <a:picLocks noChangeAspect="1" noChangeArrowheads="1"/>
                    </pic:cNvPicPr>
                  </pic:nvPicPr>
                  <pic:blipFill>
                    <a:blip r:embed="rId121" r:link="rId122">
                      <a:extLst>
                        <a:ext uri="{28A0092B-C50C-407E-A947-70E740481C1C}">
                          <a14:useLocalDpi xmlns:a14="http://schemas.microsoft.com/office/drawing/2010/main" val="0"/>
                        </a:ext>
                      </a:extLst>
                    </a:blip>
                    <a:srcRect/>
                    <a:stretch>
                      <a:fillRect/>
                    </a:stretch>
                  </pic:blipFill>
                  <pic:spPr bwMode="auto">
                    <a:xfrm>
                      <a:off x="0" y="0"/>
                      <a:ext cx="5732145" cy="2647950"/>
                    </a:xfrm>
                    <a:prstGeom prst="rect">
                      <a:avLst/>
                    </a:prstGeom>
                    <a:noFill/>
                    <a:ln>
                      <a:noFill/>
                    </a:ln>
                  </pic:spPr>
                </pic:pic>
              </a:graphicData>
            </a:graphic>
          </wp:inline>
        </w:drawing>
      </w:r>
      <w:r>
        <w:rPr>
          <w:lang w:eastAsia="en-US"/>
        </w:rPr>
        <w:t xml:space="preserve">  </w:t>
      </w:r>
    </w:p>
    <w:p w14:paraId="51FF2669" w14:textId="77777777" w:rsidR="005F1859" w:rsidRDefault="005F1859" w:rsidP="005F1859">
      <w:pPr>
        <w:rPr>
          <w:lang w:eastAsia="en-US"/>
        </w:rPr>
      </w:pPr>
      <w:r>
        <w:rPr>
          <w:lang w:eastAsia="en-US"/>
        </w:rPr>
        <w:t>The implications of the new allocation formula in considering where the underlying deficit of the Health Board lies is summarised below.  It shows that in the longer term, as the total allocation share reduces to 15.1%, and assuming the Health Board uses the new allocation formula as an strong indicator of health need in allocating resources internally, then:</w:t>
      </w:r>
    </w:p>
    <w:p w14:paraId="44715B4B" w14:textId="77777777" w:rsidR="005F1859" w:rsidRDefault="005F1859" w:rsidP="005F1859">
      <w:pPr>
        <w:rPr>
          <w:lang w:eastAsia="en-US"/>
        </w:rPr>
      </w:pPr>
    </w:p>
    <w:p w14:paraId="4BC81B38" w14:textId="77777777" w:rsidR="005F1859" w:rsidRPr="009B6880" w:rsidRDefault="005F1859" w:rsidP="005F1859">
      <w:pPr>
        <w:pStyle w:val="ListParagraph"/>
        <w:numPr>
          <w:ilvl w:val="0"/>
          <w:numId w:val="93"/>
        </w:numPr>
        <w:ind w:left="720"/>
        <w:rPr>
          <w:lang w:eastAsia="en-US"/>
        </w:rPr>
      </w:pPr>
      <w:r w:rsidRPr="009B6880">
        <w:rPr>
          <w:lang w:eastAsia="en-US"/>
        </w:rPr>
        <w:t xml:space="preserve">The underlying deficit reflecting the move to the target share increases by £5.4m to £23.3m, albeit the £5.4m increase only arises gradually over time. In other words current overall spend is £23.3m (3.1%) over the long term CTM formula allocation. </w:t>
      </w:r>
    </w:p>
    <w:p w14:paraId="56C91E6A" w14:textId="77777777" w:rsidR="005F1859" w:rsidRPr="009B6880" w:rsidRDefault="005F1859" w:rsidP="005F1859">
      <w:pPr>
        <w:rPr>
          <w:lang w:eastAsia="en-US"/>
        </w:rPr>
      </w:pPr>
    </w:p>
    <w:p w14:paraId="7CA0B7FF" w14:textId="77777777" w:rsidR="005F1859" w:rsidRPr="009B6880" w:rsidRDefault="005F1859" w:rsidP="005F1859">
      <w:pPr>
        <w:pStyle w:val="ListParagraph"/>
        <w:numPr>
          <w:ilvl w:val="0"/>
          <w:numId w:val="93"/>
        </w:numPr>
        <w:ind w:left="720"/>
        <w:rPr>
          <w:lang w:eastAsia="en-US"/>
        </w:rPr>
      </w:pPr>
      <w:r w:rsidRPr="009B6880">
        <w:rPr>
          <w:lang w:eastAsia="en-US"/>
        </w:rPr>
        <w:t xml:space="preserve">The Bridgend deficit of circa £10m to £13m under the old formula moves to a surplus of circa £(3.4)m to £(0.4)m. </w:t>
      </w:r>
      <w:r>
        <w:rPr>
          <w:lang w:eastAsia="en-US"/>
        </w:rPr>
        <w:t xml:space="preserve"> </w:t>
      </w:r>
      <w:r w:rsidRPr="009B6880">
        <w:rPr>
          <w:lang w:eastAsia="en-US"/>
        </w:rPr>
        <w:t xml:space="preserve">In other words, the current Bridgend expenditure is slightly under the long term formula allocation share by </w:t>
      </w:r>
      <w:r>
        <w:rPr>
          <w:lang w:eastAsia="en-US"/>
        </w:rPr>
        <w:t xml:space="preserve">between </w:t>
      </w:r>
      <w:r w:rsidRPr="009B6880">
        <w:rPr>
          <w:lang w:eastAsia="en-US"/>
        </w:rPr>
        <w:t xml:space="preserve"> 0.2% to 1.4%.  </w:t>
      </w:r>
    </w:p>
    <w:p w14:paraId="3CBFBCA1" w14:textId="77777777" w:rsidR="005F1859" w:rsidRPr="009B6880" w:rsidRDefault="005F1859" w:rsidP="005F1859">
      <w:pPr>
        <w:pStyle w:val="ListParagraph"/>
        <w:rPr>
          <w:lang w:eastAsia="en-US"/>
        </w:rPr>
      </w:pPr>
    </w:p>
    <w:p w14:paraId="22B4443B" w14:textId="77777777" w:rsidR="005F1859" w:rsidRPr="009B6880" w:rsidRDefault="005F1859" w:rsidP="005F1859">
      <w:pPr>
        <w:pStyle w:val="ListParagraph"/>
        <w:numPr>
          <w:ilvl w:val="0"/>
          <w:numId w:val="93"/>
        </w:numPr>
        <w:ind w:left="720"/>
        <w:rPr>
          <w:lang w:eastAsia="en-US"/>
        </w:rPr>
      </w:pPr>
      <w:r w:rsidRPr="009B6880">
        <w:rPr>
          <w:lang w:eastAsia="en-US"/>
        </w:rPr>
        <w:t xml:space="preserve">The former Cwm Taf deficit of £4.9m to £7.9m moves to a deficit of circa £23.7m to £26.6m, in other words the current spend is around 4.7% to 5.3% over the long term allocation share. </w:t>
      </w:r>
    </w:p>
    <w:p w14:paraId="78AA59CE" w14:textId="77777777" w:rsidR="005F1859" w:rsidRDefault="005F1859" w:rsidP="005F1859">
      <w:pPr>
        <w:rPr>
          <w:lang w:eastAsia="en-US"/>
        </w:rPr>
      </w:pPr>
    </w:p>
    <w:p w14:paraId="3A4433E4" w14:textId="77777777" w:rsidR="005F1859" w:rsidRDefault="005F1859" w:rsidP="005F1859">
      <w:pPr>
        <w:rPr>
          <w:lang w:eastAsia="en-US"/>
        </w:rPr>
      </w:pPr>
      <w:r>
        <w:rPr>
          <w:lang w:eastAsia="en-US"/>
        </w:rPr>
        <w:lastRenderedPageBreak/>
        <w:t>The key points from this assessment of the current financial position to inform the financial strategy are as follows:</w:t>
      </w:r>
    </w:p>
    <w:p w14:paraId="658775A3" w14:textId="77777777" w:rsidR="005F1859" w:rsidRDefault="005F1859" w:rsidP="005F1859">
      <w:pPr>
        <w:rPr>
          <w:lang w:eastAsia="en-US"/>
        </w:rPr>
      </w:pPr>
    </w:p>
    <w:p w14:paraId="18B8D6D1" w14:textId="77777777" w:rsidR="005F1859" w:rsidRDefault="005F1859" w:rsidP="005F1859">
      <w:pPr>
        <w:pStyle w:val="ListParagraph"/>
        <w:numPr>
          <w:ilvl w:val="0"/>
          <w:numId w:val="94"/>
        </w:numPr>
        <w:ind w:left="720"/>
        <w:rPr>
          <w:lang w:eastAsia="en-US"/>
        </w:rPr>
      </w:pPr>
      <w:r>
        <w:rPr>
          <w:lang w:eastAsia="en-US"/>
        </w:rPr>
        <w:t>A key driver of the Health Board’s financial position is premium workforce costs resulting from recruitment and retention challenges, particularly for medical and nursing staff but also in other areas.</w:t>
      </w:r>
    </w:p>
    <w:p w14:paraId="0615D949" w14:textId="77777777" w:rsidR="005F1859" w:rsidRDefault="005F1859" w:rsidP="005F1859">
      <w:pPr>
        <w:pStyle w:val="ListParagraph"/>
        <w:rPr>
          <w:lang w:eastAsia="en-US"/>
        </w:rPr>
      </w:pPr>
    </w:p>
    <w:p w14:paraId="0F3D7254" w14:textId="77777777" w:rsidR="005F1859" w:rsidRDefault="005F1859" w:rsidP="005F1859">
      <w:pPr>
        <w:pStyle w:val="ListParagraph"/>
        <w:numPr>
          <w:ilvl w:val="0"/>
          <w:numId w:val="94"/>
        </w:numPr>
        <w:ind w:left="720"/>
        <w:rPr>
          <w:lang w:eastAsia="en-US"/>
        </w:rPr>
      </w:pPr>
      <w:r>
        <w:rPr>
          <w:lang w:eastAsia="en-US"/>
        </w:rPr>
        <w:t>The level of efficiency savings achieved has fallen in 2019/20 and needs to be significantly increased.  This will need to be done in a way which aligns with the overall objectives of the organisation, including in particular improvement to quality and safety and outcomes.  This will need a refreshed approach with stronger clinical leadership, and supported by the various enablers for overall improvement which are being put into place.</w:t>
      </w:r>
    </w:p>
    <w:p w14:paraId="4357CBD2" w14:textId="77777777" w:rsidR="005F1859" w:rsidRDefault="005F1859" w:rsidP="005F1859">
      <w:pPr>
        <w:pStyle w:val="ListParagraph"/>
        <w:rPr>
          <w:lang w:eastAsia="en-US"/>
        </w:rPr>
      </w:pPr>
    </w:p>
    <w:p w14:paraId="1A32FFD3" w14:textId="77777777" w:rsidR="005F1859" w:rsidRDefault="005F1859" w:rsidP="005F1859">
      <w:pPr>
        <w:pStyle w:val="ListParagraph"/>
        <w:numPr>
          <w:ilvl w:val="0"/>
          <w:numId w:val="94"/>
        </w:numPr>
        <w:ind w:left="720"/>
        <w:rPr>
          <w:lang w:eastAsia="en-US"/>
        </w:rPr>
      </w:pPr>
      <w:r>
        <w:rPr>
          <w:lang w:eastAsia="en-US"/>
        </w:rPr>
        <w:t>The overall strategy needs to be informed by a better understanding of the utilisation of overall resource across the different locality areas and the outcomes being achieved.  Change plans need to reflect a gradual alignment of the use of resource by area with the needs based formula allocation.  This will need a greater level of allocative and technical efficiency within the former Cwm Taf area in particular.  However, given that unavoidable annual demand and cost pressures of 3.5% to 4%, which will exceed the likely increases in general funding of 2% per annum, and there are improvement priorities which will have additional costs, then all areas will need to achieve a core level of improvement in the use of resources of at least 2% per annum.</w:t>
      </w:r>
    </w:p>
    <w:p w14:paraId="318CEE89" w14:textId="77777777" w:rsidR="005F1859" w:rsidRDefault="005F1859" w:rsidP="005F1859">
      <w:pPr>
        <w:rPr>
          <w:b/>
          <w:lang w:eastAsia="en-US"/>
        </w:rPr>
      </w:pPr>
    </w:p>
    <w:p w14:paraId="06A7D00B" w14:textId="77777777" w:rsidR="005F1859" w:rsidRDefault="005F1859" w:rsidP="005F1859">
      <w:pPr>
        <w:rPr>
          <w:b/>
          <w:lang w:eastAsia="en-US"/>
        </w:rPr>
      </w:pPr>
      <w:r w:rsidRPr="00363824">
        <w:rPr>
          <w:b/>
          <w:lang w:eastAsia="en-US"/>
        </w:rPr>
        <w:t>Objectives of the financial strategy</w:t>
      </w:r>
    </w:p>
    <w:p w14:paraId="6EE4FA67" w14:textId="77777777" w:rsidR="005F1859" w:rsidRPr="00363824" w:rsidRDefault="005F1859" w:rsidP="005F1859">
      <w:pPr>
        <w:rPr>
          <w:b/>
          <w:lang w:eastAsia="en-US"/>
        </w:rPr>
      </w:pPr>
    </w:p>
    <w:p w14:paraId="61673B66" w14:textId="77777777" w:rsidR="005F1859" w:rsidRDefault="005F1859" w:rsidP="005F1859">
      <w:pPr>
        <w:rPr>
          <w:lang w:eastAsia="en-US"/>
        </w:rPr>
      </w:pPr>
      <w:r>
        <w:rPr>
          <w:lang w:eastAsia="en-US"/>
        </w:rPr>
        <w:t>These objectives are as follows:</w:t>
      </w:r>
    </w:p>
    <w:p w14:paraId="505EAD2B" w14:textId="77777777" w:rsidR="005F1859" w:rsidRDefault="005F1859" w:rsidP="005F1859">
      <w:pPr>
        <w:rPr>
          <w:lang w:eastAsia="en-US"/>
        </w:rPr>
      </w:pPr>
    </w:p>
    <w:p w14:paraId="5B2620CA" w14:textId="77777777" w:rsidR="005F1859" w:rsidRDefault="005F1859" w:rsidP="005F1859">
      <w:pPr>
        <w:pStyle w:val="ListParagraph"/>
        <w:numPr>
          <w:ilvl w:val="0"/>
          <w:numId w:val="95"/>
        </w:numPr>
        <w:ind w:left="720"/>
        <w:rPr>
          <w:lang w:eastAsia="en-US"/>
        </w:rPr>
      </w:pPr>
      <w:r>
        <w:rPr>
          <w:lang w:eastAsia="en-US"/>
        </w:rPr>
        <w:t>To achieve breakeven in each financial year, and to gradually reduce the level of recurrent deficit to achieve recurrent breakeven within the period of the 3 year plan.</w:t>
      </w:r>
    </w:p>
    <w:p w14:paraId="60C4BAE0" w14:textId="77777777" w:rsidR="005F1859" w:rsidRDefault="005F1859" w:rsidP="005F1859">
      <w:pPr>
        <w:pStyle w:val="ListParagraph"/>
        <w:rPr>
          <w:lang w:eastAsia="en-US"/>
        </w:rPr>
      </w:pPr>
    </w:p>
    <w:p w14:paraId="764206E0" w14:textId="77777777" w:rsidR="005F1859" w:rsidRDefault="005F1859" w:rsidP="005F1859">
      <w:pPr>
        <w:pStyle w:val="ListParagraph"/>
        <w:numPr>
          <w:ilvl w:val="0"/>
          <w:numId w:val="95"/>
        </w:numPr>
        <w:ind w:left="720"/>
        <w:rPr>
          <w:lang w:eastAsia="en-US"/>
        </w:rPr>
      </w:pPr>
      <w:r>
        <w:rPr>
          <w:lang w:eastAsia="en-US"/>
        </w:rPr>
        <w:t>To achieve year on year reductions in premium workforce costs and premium planned care costs (waiting list initiatives and outsourcing).</w:t>
      </w:r>
    </w:p>
    <w:p w14:paraId="5E0EC7F8" w14:textId="77777777" w:rsidR="005F1859" w:rsidRDefault="005F1859" w:rsidP="005F1859">
      <w:pPr>
        <w:pStyle w:val="ListParagraph"/>
        <w:rPr>
          <w:lang w:eastAsia="en-US"/>
        </w:rPr>
      </w:pPr>
    </w:p>
    <w:p w14:paraId="781A5406" w14:textId="77777777" w:rsidR="005F1859" w:rsidRDefault="005F1859" w:rsidP="005F1859">
      <w:pPr>
        <w:pStyle w:val="ListParagraph"/>
        <w:numPr>
          <w:ilvl w:val="0"/>
          <w:numId w:val="95"/>
        </w:numPr>
        <w:ind w:left="720"/>
        <w:rPr>
          <w:lang w:eastAsia="en-US"/>
        </w:rPr>
      </w:pPr>
      <w:r>
        <w:rPr>
          <w:lang w:eastAsia="en-US"/>
        </w:rPr>
        <w:t>To achieve year on year improvements in efficiency,</w:t>
      </w:r>
      <w:r w:rsidRPr="00494517">
        <w:rPr>
          <w:color w:val="FF0000"/>
          <w:lang w:eastAsia="en-US"/>
        </w:rPr>
        <w:t xml:space="preserve"> </w:t>
      </w:r>
      <w:r w:rsidRPr="00E41104">
        <w:rPr>
          <w:lang w:eastAsia="en-US"/>
        </w:rPr>
        <w:t xml:space="preserve">quality </w:t>
      </w:r>
      <w:r>
        <w:rPr>
          <w:lang w:eastAsia="en-US"/>
        </w:rPr>
        <w:t>and value (outcomes relative to cost).</w:t>
      </w:r>
    </w:p>
    <w:p w14:paraId="25166FB4" w14:textId="77777777" w:rsidR="005F1859" w:rsidRDefault="005F1859" w:rsidP="005F1859">
      <w:pPr>
        <w:pStyle w:val="ListParagraph"/>
        <w:rPr>
          <w:lang w:eastAsia="en-US"/>
        </w:rPr>
      </w:pPr>
    </w:p>
    <w:p w14:paraId="68C81A3D" w14:textId="77777777" w:rsidR="005F1859" w:rsidRPr="00FA7245" w:rsidRDefault="005F1859" w:rsidP="005F1859">
      <w:pPr>
        <w:pStyle w:val="ListParagraph"/>
        <w:numPr>
          <w:ilvl w:val="0"/>
          <w:numId w:val="95"/>
        </w:numPr>
        <w:ind w:left="720"/>
        <w:rPr>
          <w:lang w:eastAsia="en-US"/>
        </w:rPr>
      </w:pPr>
      <w:r w:rsidRPr="00FA7245">
        <w:rPr>
          <w:lang w:eastAsia="en-US"/>
        </w:rPr>
        <w:t>To utilise financial improvement to re-invest in improving service quality and outcomes wherever possible.</w:t>
      </w:r>
    </w:p>
    <w:p w14:paraId="5FA38BCC" w14:textId="77777777" w:rsidR="005F1859" w:rsidRDefault="005F1859" w:rsidP="005F1859">
      <w:pPr>
        <w:pStyle w:val="ListParagraph"/>
        <w:rPr>
          <w:lang w:eastAsia="en-US"/>
        </w:rPr>
      </w:pPr>
    </w:p>
    <w:p w14:paraId="2036F1B2" w14:textId="77777777" w:rsidR="005F1859" w:rsidRDefault="005F1859" w:rsidP="005F1859">
      <w:pPr>
        <w:pStyle w:val="ListParagraph"/>
        <w:numPr>
          <w:ilvl w:val="0"/>
          <w:numId w:val="95"/>
        </w:numPr>
        <w:ind w:left="720"/>
        <w:rPr>
          <w:lang w:eastAsia="en-US"/>
        </w:rPr>
      </w:pPr>
      <w:r>
        <w:rPr>
          <w:lang w:eastAsia="en-US"/>
        </w:rPr>
        <w:t>To achieve closer alignment over time between the needs based formula funding allocations from the Welsh Government, and our actual use of resources, and so improve equity of resource use.</w:t>
      </w:r>
    </w:p>
    <w:p w14:paraId="76E2F24F" w14:textId="77777777" w:rsidR="005F1859" w:rsidRDefault="005F1859" w:rsidP="005F1859">
      <w:pPr>
        <w:rPr>
          <w:lang w:eastAsia="en-US"/>
        </w:rPr>
      </w:pPr>
    </w:p>
    <w:p w14:paraId="7B76A6D3" w14:textId="77777777" w:rsidR="005F1859" w:rsidRDefault="005F1859" w:rsidP="005F1859">
      <w:pPr>
        <w:rPr>
          <w:b/>
          <w:lang w:eastAsia="en-US"/>
        </w:rPr>
      </w:pPr>
      <w:r w:rsidRPr="00363824">
        <w:rPr>
          <w:b/>
          <w:lang w:eastAsia="en-US"/>
        </w:rPr>
        <w:t>Key actions to support and deliver the strategy</w:t>
      </w:r>
    </w:p>
    <w:p w14:paraId="11EADCAC" w14:textId="77777777" w:rsidR="005F1859" w:rsidRPr="00363824" w:rsidRDefault="005F1859" w:rsidP="005F1859">
      <w:pPr>
        <w:rPr>
          <w:b/>
          <w:lang w:eastAsia="en-US"/>
        </w:rPr>
      </w:pPr>
    </w:p>
    <w:p w14:paraId="7A207B3D" w14:textId="77777777" w:rsidR="005F1859" w:rsidRDefault="005F1859" w:rsidP="005F1859">
      <w:pPr>
        <w:rPr>
          <w:lang w:eastAsia="en-US"/>
        </w:rPr>
      </w:pPr>
      <w:r>
        <w:rPr>
          <w:lang w:eastAsia="en-US"/>
        </w:rPr>
        <w:t>The key actions within the finance function are as follows:</w:t>
      </w:r>
    </w:p>
    <w:p w14:paraId="4B24BB4F" w14:textId="77777777" w:rsidR="005F1859" w:rsidRDefault="005F1859" w:rsidP="005F1859">
      <w:pPr>
        <w:rPr>
          <w:lang w:eastAsia="en-US"/>
        </w:rPr>
      </w:pPr>
    </w:p>
    <w:p w14:paraId="5B32B21E" w14:textId="77777777" w:rsidR="005F1859" w:rsidRDefault="005F1859" w:rsidP="005F1859">
      <w:pPr>
        <w:pStyle w:val="ListParagraph"/>
        <w:numPr>
          <w:ilvl w:val="0"/>
          <w:numId w:val="96"/>
        </w:numPr>
        <w:ind w:left="720"/>
        <w:rPr>
          <w:lang w:eastAsia="en-US"/>
        </w:rPr>
      </w:pPr>
      <w:r>
        <w:rPr>
          <w:lang w:eastAsia="en-US"/>
        </w:rPr>
        <w:t xml:space="preserve">Analysis and review/interpretation of the pattern of spend in each locality area, in comparison with both the formula allocation and the pattern of spend in other localities across Wales.  It will look at patterns of expenditure across different sectors (primary, secondary, tertiary etc) and across different health programmes and conditions (respiratory, neonates etc).  It will also look at variation between GP practices in terms of whole system use of resources.  This will be linked in with the population health analytical work referred to elsewhere within the plan. </w:t>
      </w:r>
    </w:p>
    <w:p w14:paraId="42E822BB" w14:textId="77777777" w:rsidR="005F1859" w:rsidRDefault="005F1859" w:rsidP="005F1859">
      <w:pPr>
        <w:pStyle w:val="ListParagraph"/>
        <w:rPr>
          <w:lang w:eastAsia="en-US"/>
        </w:rPr>
      </w:pPr>
    </w:p>
    <w:p w14:paraId="5E89471C" w14:textId="77777777" w:rsidR="005F1859" w:rsidRDefault="005F1859" w:rsidP="005F1859">
      <w:pPr>
        <w:pStyle w:val="ListParagraph"/>
        <w:numPr>
          <w:ilvl w:val="0"/>
          <w:numId w:val="96"/>
        </w:numPr>
        <w:ind w:left="720"/>
        <w:rPr>
          <w:lang w:eastAsia="en-US"/>
        </w:rPr>
      </w:pPr>
      <w:r>
        <w:rPr>
          <w:lang w:eastAsia="en-US"/>
        </w:rPr>
        <w:t xml:space="preserve">Increased analysis and intelligence and interpretation of opportunities for improvements to efficiency through the efficiency framework.  These will be aligned with both opportunities for cash releasing </w:t>
      </w:r>
      <w:r>
        <w:rPr>
          <w:lang w:eastAsia="en-US"/>
        </w:rPr>
        <w:lastRenderedPageBreak/>
        <w:t>savings and improvements in productivity to close the current capacity shortfalls against recurrent demand.</w:t>
      </w:r>
    </w:p>
    <w:p w14:paraId="5379DB95" w14:textId="77777777" w:rsidR="005F1859" w:rsidRDefault="005F1859" w:rsidP="005F1859">
      <w:pPr>
        <w:pStyle w:val="ListParagraph"/>
        <w:rPr>
          <w:lang w:eastAsia="en-US"/>
        </w:rPr>
      </w:pPr>
    </w:p>
    <w:p w14:paraId="04E9B7E0" w14:textId="77777777" w:rsidR="005F1859" w:rsidRDefault="005F1859" w:rsidP="005F1859">
      <w:pPr>
        <w:pStyle w:val="ListParagraph"/>
        <w:numPr>
          <w:ilvl w:val="0"/>
          <w:numId w:val="96"/>
        </w:numPr>
        <w:ind w:left="720"/>
        <w:rPr>
          <w:lang w:eastAsia="en-US"/>
        </w:rPr>
      </w:pPr>
      <w:r>
        <w:rPr>
          <w:lang w:eastAsia="en-US"/>
        </w:rPr>
        <w:t xml:space="preserve">Enabling plans to support directorates to reduce workforce premium costs are being developed.  These be informed by an analysis (to be undertaken) of the total premium (excess) workforce costs across the Health Board broken down into different staff groups and services this analysis.  Priority will be given to medical and nursing staff groups, but the approach will roll out across all staff groups.  In some areas, part of the solution to chronic workforce shortages will be include re-design or reconfiguration of current services in partnership with other Health Boards, particularly where we have fragile clinical services. </w:t>
      </w:r>
    </w:p>
    <w:p w14:paraId="153FD090" w14:textId="77777777" w:rsidR="005F1859" w:rsidRDefault="005F1859" w:rsidP="005F1859">
      <w:pPr>
        <w:pStyle w:val="ListParagraph"/>
        <w:rPr>
          <w:lang w:eastAsia="en-US"/>
        </w:rPr>
      </w:pPr>
    </w:p>
    <w:p w14:paraId="4C30E307" w14:textId="77777777" w:rsidR="005F1859" w:rsidRDefault="005F1859" w:rsidP="005F1859">
      <w:pPr>
        <w:rPr>
          <w:lang w:eastAsia="en-US"/>
        </w:rPr>
      </w:pPr>
      <w:r>
        <w:rPr>
          <w:lang w:eastAsia="en-US"/>
        </w:rPr>
        <w:t>The key enablers around delivery across the organisation as a whole include:-</w:t>
      </w:r>
    </w:p>
    <w:p w14:paraId="0A825EA9" w14:textId="77777777" w:rsidR="005F1859" w:rsidRDefault="005F1859" w:rsidP="005F1859">
      <w:pPr>
        <w:rPr>
          <w:lang w:eastAsia="en-US"/>
        </w:rPr>
      </w:pPr>
    </w:p>
    <w:p w14:paraId="46762813" w14:textId="77777777" w:rsidR="005F1859" w:rsidRDefault="005F1859" w:rsidP="005F1859">
      <w:pPr>
        <w:pStyle w:val="ListParagraph"/>
        <w:numPr>
          <w:ilvl w:val="0"/>
          <w:numId w:val="97"/>
        </w:numPr>
        <w:ind w:left="720"/>
        <w:rPr>
          <w:lang w:eastAsia="en-US"/>
        </w:rPr>
      </w:pPr>
      <w:r>
        <w:rPr>
          <w:lang w:eastAsia="en-US"/>
        </w:rPr>
        <w:t xml:space="preserve">The move to the new locality based delivery groups supported by system groups looking at service improvement across the delivery groups.  Investment in the clinical leadership of these groups will support the new population health approach and also improve the capability for cross heath system improvement at a local level. </w:t>
      </w:r>
    </w:p>
    <w:p w14:paraId="3DEC40F6" w14:textId="77777777" w:rsidR="005F1859" w:rsidRDefault="005F1859" w:rsidP="005F1859">
      <w:pPr>
        <w:pStyle w:val="ListParagraph"/>
        <w:rPr>
          <w:lang w:eastAsia="en-US"/>
        </w:rPr>
      </w:pPr>
    </w:p>
    <w:p w14:paraId="2B84F1F6" w14:textId="77777777" w:rsidR="005F1859" w:rsidRDefault="005F1859" w:rsidP="005F1859">
      <w:pPr>
        <w:pStyle w:val="ListParagraph"/>
        <w:numPr>
          <w:ilvl w:val="0"/>
          <w:numId w:val="97"/>
        </w:numPr>
        <w:ind w:left="720"/>
        <w:rPr>
          <w:lang w:eastAsia="en-US"/>
        </w:rPr>
      </w:pPr>
      <w:r>
        <w:rPr>
          <w:lang w:eastAsia="en-US"/>
        </w:rPr>
        <w:t>Investment in improvement capacity and support.  The investment in CTM improvement and in a team to support Population Health and Value Based Healthcare will together with investment in analytics and the existing PMO provide much better support for change.</w:t>
      </w:r>
    </w:p>
    <w:p w14:paraId="264346FB" w14:textId="77777777" w:rsidR="005F1859" w:rsidRDefault="005F1859" w:rsidP="005F1859">
      <w:pPr>
        <w:pStyle w:val="ListParagraph"/>
        <w:rPr>
          <w:lang w:eastAsia="en-US"/>
        </w:rPr>
      </w:pPr>
    </w:p>
    <w:p w14:paraId="7E06D223" w14:textId="77777777" w:rsidR="005F1859" w:rsidRDefault="005F1859" w:rsidP="005F1859">
      <w:pPr>
        <w:pStyle w:val="ListParagraph"/>
        <w:numPr>
          <w:ilvl w:val="0"/>
          <w:numId w:val="97"/>
        </w:numPr>
        <w:ind w:left="720"/>
        <w:rPr>
          <w:lang w:eastAsia="en-US"/>
        </w:rPr>
      </w:pPr>
      <w:r>
        <w:rPr>
          <w:lang w:eastAsia="en-US"/>
        </w:rPr>
        <w:t>The work on developing the performance and accountability framework and the work on values and culture will further support change.</w:t>
      </w:r>
    </w:p>
    <w:p w14:paraId="66B88971" w14:textId="77777777" w:rsidR="005F1859" w:rsidRDefault="005F1859" w:rsidP="005F1859">
      <w:pPr>
        <w:spacing w:after="160" w:line="259" w:lineRule="auto"/>
        <w:jc w:val="left"/>
        <w:rPr>
          <w:rFonts w:cs="Arial"/>
          <w:b/>
          <w:bCs/>
          <w:iCs/>
          <w:caps/>
          <w:szCs w:val="28"/>
          <w:lang w:eastAsia="en-US"/>
        </w:rPr>
      </w:pPr>
      <w:r>
        <w:br w:type="page"/>
      </w:r>
    </w:p>
    <w:p w14:paraId="507D9049" w14:textId="77777777" w:rsidR="005F1859" w:rsidRPr="00B66177" w:rsidRDefault="005F1859" w:rsidP="005F1859">
      <w:pPr>
        <w:pStyle w:val="Heading2"/>
        <w:ind w:left="1077" w:hanging="1077"/>
      </w:pPr>
      <w:r>
        <w:lastRenderedPageBreak/>
        <w:t>Overview of the Financial P</w:t>
      </w:r>
      <w:r w:rsidRPr="00B66177">
        <w:t>lan for 20</w:t>
      </w:r>
      <w:r>
        <w:t>20</w:t>
      </w:r>
      <w:r w:rsidRPr="00B66177">
        <w:t>/2</w:t>
      </w:r>
      <w:r>
        <w:t>1</w:t>
      </w:r>
      <w:r w:rsidRPr="00B66177">
        <w:t xml:space="preserve"> to 202</w:t>
      </w:r>
      <w:r>
        <w:t>2</w:t>
      </w:r>
      <w:r w:rsidRPr="00B66177">
        <w:t>/2</w:t>
      </w:r>
      <w:r>
        <w:t>3</w:t>
      </w:r>
      <w:bookmarkEnd w:id="176"/>
      <w:bookmarkEnd w:id="177"/>
      <w:r w:rsidRPr="00B66177">
        <w:t xml:space="preserve"> </w:t>
      </w:r>
    </w:p>
    <w:p w14:paraId="7C15315C" w14:textId="77777777" w:rsidR="005F1859" w:rsidRDefault="005F1859" w:rsidP="005F1859">
      <w:r w:rsidRPr="0060065F">
        <w:t xml:space="preserve">The key </w:t>
      </w:r>
      <w:r>
        <w:t>a</w:t>
      </w:r>
      <w:r w:rsidRPr="0060065F">
        <w:t>ssumptions driving</w:t>
      </w:r>
      <w:r>
        <w:t xml:space="preserve"> the CTM </w:t>
      </w:r>
      <w:r w:rsidRPr="0060065F">
        <w:t>financial plan for the next t</w:t>
      </w:r>
      <w:r>
        <w:t xml:space="preserve">hree years are summarised below: </w:t>
      </w:r>
    </w:p>
    <w:p w14:paraId="54138564" w14:textId="77777777" w:rsidR="005F1859" w:rsidRPr="0060065F" w:rsidRDefault="005F1859" w:rsidP="005F1859"/>
    <w:p w14:paraId="0BF1279F" w14:textId="77777777" w:rsidR="005F1859" w:rsidRPr="00297A43" w:rsidRDefault="005F1859" w:rsidP="005F1859">
      <w:pPr>
        <w:pStyle w:val="NormaBullet"/>
        <w:numPr>
          <w:ilvl w:val="0"/>
          <w:numId w:val="7"/>
        </w:numPr>
      </w:pPr>
      <w:r w:rsidRPr="00297A43">
        <w:t>A forecast underlying deficit at the end of 2019/20 of £1</w:t>
      </w:r>
      <w:r>
        <w:t>7</w:t>
      </w:r>
      <w:r w:rsidRPr="00297A43">
        <w:t>.9m.</w:t>
      </w:r>
    </w:p>
    <w:p w14:paraId="3D89AD84" w14:textId="77777777" w:rsidR="005F1859" w:rsidRPr="00082AB4" w:rsidRDefault="005F1859" w:rsidP="005F1859">
      <w:pPr>
        <w:pStyle w:val="NormaBullet"/>
        <w:numPr>
          <w:ilvl w:val="0"/>
          <w:numId w:val="0"/>
        </w:numPr>
        <w:ind w:left="360"/>
        <w:rPr>
          <w:highlight w:val="yellow"/>
        </w:rPr>
      </w:pPr>
    </w:p>
    <w:p w14:paraId="65D287FA" w14:textId="77777777" w:rsidR="005F1859" w:rsidRPr="00257B0E" w:rsidRDefault="005F1859" w:rsidP="005F1859">
      <w:pPr>
        <w:pStyle w:val="NormaBullet"/>
        <w:numPr>
          <w:ilvl w:val="0"/>
          <w:numId w:val="7"/>
        </w:numPr>
      </w:pPr>
      <w:r w:rsidRPr="00257B0E">
        <w:t>Additional recurring allocations from Welsh Government of £2</w:t>
      </w:r>
      <w:r>
        <w:t>7.8m for 2020/21 followed by £2</w:t>
      </w:r>
      <w:r w:rsidRPr="00257B0E">
        <w:t xml:space="preserve">5.3m per annum for each of the </w:t>
      </w:r>
      <w:r>
        <w:t xml:space="preserve">next two </w:t>
      </w:r>
      <w:r w:rsidRPr="00257B0E">
        <w:t>years. The 2020/21 increase includes a 2% general allocation uplift, the cost of further Agenda for Change &amp; medical staff pay uplifts plus specific funding for investment in Clusters and Mental Health services (</w:t>
      </w:r>
      <w:r w:rsidRPr="00257B0E">
        <w:rPr>
          <w:b/>
        </w:rPr>
        <w:t>See Section 1.5</w:t>
      </w:r>
      <w:r w:rsidRPr="00257B0E">
        <w:t xml:space="preserve">). </w:t>
      </w:r>
    </w:p>
    <w:p w14:paraId="58B778A8" w14:textId="77777777" w:rsidR="005F1859" w:rsidRPr="006274CF" w:rsidRDefault="005F1859" w:rsidP="005F1859">
      <w:pPr>
        <w:pStyle w:val="ListParagraph"/>
      </w:pPr>
    </w:p>
    <w:p w14:paraId="119CA205" w14:textId="77777777" w:rsidR="005F1859" w:rsidRDefault="005F1859" w:rsidP="005F1859">
      <w:pPr>
        <w:pStyle w:val="NormaBullet"/>
        <w:numPr>
          <w:ilvl w:val="0"/>
          <w:numId w:val="7"/>
        </w:numPr>
      </w:pPr>
      <w:r w:rsidRPr="006274CF">
        <w:t xml:space="preserve">Additional </w:t>
      </w:r>
      <w:r>
        <w:t>n</w:t>
      </w:r>
      <w:r w:rsidRPr="006274CF">
        <w:t>on</w:t>
      </w:r>
      <w:r>
        <w:t>-</w:t>
      </w:r>
      <w:r w:rsidRPr="006274CF">
        <w:t xml:space="preserve">recurring allocations from Welsh </w:t>
      </w:r>
      <w:r w:rsidRPr="00A26C44">
        <w:t>Government of £</w:t>
      </w:r>
      <w:r>
        <w:t>21.7</w:t>
      </w:r>
      <w:r w:rsidRPr="00A26C44">
        <w:t>m in 20</w:t>
      </w:r>
      <w:r w:rsidRPr="006274CF">
        <w:t xml:space="preserve">/21 </w:t>
      </w:r>
      <w:r>
        <w:t>and £5.6m in 2020/21.  This includes assumed allocations for bridging funding and Targeted Intervention plus t</w:t>
      </w:r>
      <w:r w:rsidRPr="006274CF">
        <w:t>he Health Board’s transformation programmes</w:t>
      </w:r>
      <w:r>
        <w:t xml:space="preserve"> </w:t>
      </w:r>
      <w:r w:rsidRPr="00145CF8">
        <w:rPr>
          <w:b/>
        </w:rPr>
        <w:t>(See Section 1.5)</w:t>
      </w:r>
      <w:r>
        <w:t xml:space="preserve">. </w:t>
      </w:r>
    </w:p>
    <w:p w14:paraId="41005D41" w14:textId="77777777" w:rsidR="005F1859" w:rsidRDefault="005F1859" w:rsidP="005F1859">
      <w:pPr>
        <w:pStyle w:val="ListParagraph"/>
      </w:pPr>
    </w:p>
    <w:p w14:paraId="46064C5F" w14:textId="77777777" w:rsidR="005F1859" w:rsidRPr="0066359B" w:rsidRDefault="005F1859" w:rsidP="005F1859">
      <w:pPr>
        <w:pStyle w:val="NormaBullet"/>
        <w:numPr>
          <w:ilvl w:val="0"/>
          <w:numId w:val="7"/>
        </w:numPr>
      </w:pPr>
      <w:r w:rsidRPr="0066359B">
        <w:t>Provision for recurring inflation, cost and service pressures of £39.3m in 2020/21, £37.2m in 2021/22 and £36.4m in 2022/23.</w:t>
      </w:r>
      <w:r>
        <w:t xml:space="preserve"> </w:t>
      </w:r>
      <w:r w:rsidRPr="0066359B">
        <w:t xml:space="preserve"> These figures include provision for an annual pay awards plus incremental drift and non-pay increases from 2019/20 in line with projected inflation (</w:t>
      </w:r>
      <w:r w:rsidRPr="0066359B">
        <w:rPr>
          <w:b/>
        </w:rPr>
        <w:t>See Section 1.6</w:t>
      </w:r>
      <w:r w:rsidRPr="0066359B">
        <w:t>).</w:t>
      </w:r>
    </w:p>
    <w:p w14:paraId="7AACB678" w14:textId="77777777" w:rsidR="005F1859" w:rsidRPr="006274CF" w:rsidRDefault="005F1859" w:rsidP="005F1859">
      <w:pPr>
        <w:pStyle w:val="NormaBullet"/>
        <w:numPr>
          <w:ilvl w:val="0"/>
          <w:numId w:val="0"/>
        </w:numPr>
        <w:ind w:left="360"/>
      </w:pPr>
    </w:p>
    <w:p w14:paraId="4EE11141" w14:textId="77777777" w:rsidR="005F1859" w:rsidRPr="0066359B" w:rsidRDefault="005F1859" w:rsidP="005F1859">
      <w:pPr>
        <w:pStyle w:val="NormaBullet"/>
        <w:numPr>
          <w:ilvl w:val="0"/>
          <w:numId w:val="7"/>
        </w:numPr>
      </w:pPr>
      <w:r w:rsidRPr="0066359B">
        <w:rPr>
          <w:bCs/>
        </w:rPr>
        <w:t xml:space="preserve">The plan includes £4.0m for new recurring investment in service improvements in 2020/21 followed by £1.5m and £3.7m per annum in each of the following two years. </w:t>
      </w:r>
      <w:r>
        <w:rPr>
          <w:bCs/>
        </w:rPr>
        <w:t xml:space="preserve"> </w:t>
      </w:r>
      <w:r w:rsidRPr="0066359B">
        <w:rPr>
          <w:bCs/>
        </w:rPr>
        <w:t xml:space="preserve">The 2021/22 plan includes £1.5m investment in Clusters, £1m in Mental Health services, £1m for local investment plus £0.5m for major trauma and £0.5m for other All Wales initiatives </w:t>
      </w:r>
      <w:r w:rsidRPr="0066359B">
        <w:t>(</w:t>
      </w:r>
      <w:r w:rsidRPr="0066359B">
        <w:rPr>
          <w:b/>
        </w:rPr>
        <w:t>See Section 1.7</w:t>
      </w:r>
      <w:r w:rsidRPr="0066359B">
        <w:t>).</w:t>
      </w:r>
    </w:p>
    <w:p w14:paraId="2B5FC79A" w14:textId="77777777" w:rsidR="005F1859" w:rsidRPr="006274CF" w:rsidRDefault="005F1859" w:rsidP="005F1859">
      <w:pPr>
        <w:pStyle w:val="NormaBullet"/>
        <w:numPr>
          <w:ilvl w:val="0"/>
          <w:numId w:val="0"/>
        </w:numPr>
        <w:ind w:left="360"/>
      </w:pPr>
    </w:p>
    <w:p w14:paraId="14792262" w14:textId="77777777" w:rsidR="005F1859" w:rsidRPr="009B6880" w:rsidRDefault="005F1859" w:rsidP="005F1859">
      <w:pPr>
        <w:pStyle w:val="NormaBullet"/>
        <w:numPr>
          <w:ilvl w:val="0"/>
          <w:numId w:val="7"/>
        </w:numPr>
      </w:pPr>
      <w:r w:rsidRPr="009B6880">
        <w:t xml:space="preserve">The plan also includes £12.1m of new investment in the SWYC and APCIS Transformation programmes </w:t>
      </w:r>
      <w:r>
        <w:t>in 2020/21</w:t>
      </w:r>
      <w:r w:rsidRPr="009B6880">
        <w:t xml:space="preserve">, of which £9.8m is recurring spend from 2021/22 </w:t>
      </w:r>
      <w:r w:rsidRPr="009B6880">
        <w:rPr>
          <w:b/>
        </w:rPr>
        <w:t>(See Section 1.5.4).</w:t>
      </w:r>
    </w:p>
    <w:p w14:paraId="0628CF5D" w14:textId="77777777" w:rsidR="005F1859" w:rsidRPr="006274CF" w:rsidRDefault="005F1859" w:rsidP="005F1859">
      <w:pPr>
        <w:pStyle w:val="ListParagraph"/>
      </w:pPr>
    </w:p>
    <w:p w14:paraId="66A7DA61" w14:textId="77777777" w:rsidR="005F1859" w:rsidRPr="0066359B" w:rsidRDefault="005F1859" w:rsidP="005F1859">
      <w:pPr>
        <w:pStyle w:val="NormaBullet"/>
        <w:numPr>
          <w:ilvl w:val="0"/>
          <w:numId w:val="7"/>
        </w:numPr>
      </w:pPr>
      <w:r w:rsidRPr="0066359B">
        <w:t>The plan includes provision for a number of other non-recurring costs and benefits with a net benefit of £8.8m in 2020/21 followed by net benefits of £3.1m in 2021/22 and £1.4m in 2022/23 (</w:t>
      </w:r>
      <w:r w:rsidRPr="0066359B">
        <w:rPr>
          <w:b/>
        </w:rPr>
        <w:t>See Section 1.8</w:t>
      </w:r>
      <w:r w:rsidRPr="0066359B">
        <w:t xml:space="preserve">). </w:t>
      </w:r>
    </w:p>
    <w:p w14:paraId="5071B2E6" w14:textId="77777777" w:rsidR="005F1859" w:rsidRPr="00082AB4" w:rsidRDefault="005F1859" w:rsidP="005F1859">
      <w:pPr>
        <w:pStyle w:val="ListParagraph"/>
        <w:rPr>
          <w:highlight w:val="yellow"/>
        </w:rPr>
      </w:pPr>
    </w:p>
    <w:p w14:paraId="34E8FE77" w14:textId="77777777" w:rsidR="005F1859" w:rsidRPr="0066359B" w:rsidRDefault="005F1859" w:rsidP="005F1859">
      <w:pPr>
        <w:pStyle w:val="NormaBullet"/>
        <w:numPr>
          <w:ilvl w:val="0"/>
          <w:numId w:val="7"/>
        </w:numPr>
      </w:pPr>
      <w:r w:rsidRPr="0066359B">
        <w:t xml:space="preserve">Recurring savings of £20.6m are planned in 2020/21. This is circa 2.3% of an estimated controllable budget for CTM of circa £900m. </w:t>
      </w:r>
      <w:r>
        <w:t xml:space="preserve"> </w:t>
      </w:r>
      <w:r w:rsidRPr="0066359B">
        <w:t>The total recurring savings requirement over the three years is £63.2m (7.0%) (</w:t>
      </w:r>
      <w:r w:rsidRPr="0066359B">
        <w:rPr>
          <w:b/>
        </w:rPr>
        <w:t>See Section 1.9</w:t>
      </w:r>
      <w:r w:rsidRPr="0066359B">
        <w:t xml:space="preserve">). </w:t>
      </w:r>
      <w:r>
        <w:t xml:space="preserve"> </w:t>
      </w:r>
      <w:r w:rsidRPr="0066359B">
        <w:t xml:space="preserve">In addition, a cost release of £6.2m is required in order for the recurrent costs of the planned transformation of out of hospital services to be financially sustainable from 2021/22 after transformation funding stops in March 2021. </w:t>
      </w:r>
    </w:p>
    <w:p w14:paraId="6976FE0F" w14:textId="77777777" w:rsidR="005F1859" w:rsidRPr="00082AB4" w:rsidRDefault="005F1859" w:rsidP="005F1859">
      <w:pPr>
        <w:pStyle w:val="NormaBullet"/>
        <w:numPr>
          <w:ilvl w:val="0"/>
          <w:numId w:val="0"/>
        </w:numPr>
        <w:ind w:left="360"/>
        <w:rPr>
          <w:highlight w:val="yellow"/>
        </w:rPr>
      </w:pPr>
    </w:p>
    <w:p w14:paraId="14FD75B2" w14:textId="77777777" w:rsidR="005F1859" w:rsidRDefault="005F1859" w:rsidP="005F1859">
      <w:pPr>
        <w:pStyle w:val="NormaBullet"/>
        <w:numPr>
          <w:ilvl w:val="0"/>
          <w:numId w:val="7"/>
        </w:numPr>
      </w:pPr>
      <w:r w:rsidRPr="00297A43">
        <w:t xml:space="preserve">Availability of Welsh Government strategic capital funding to support the capital costs of the key changes included in the plan is assumed. </w:t>
      </w:r>
      <w:r>
        <w:t xml:space="preserve"> There is no key dependency between capital funding and planned savings in 2020/21, but as service plans for change and improvement are developed and reflected in refined year 2 and year 3 financial plans, there is likely to be some dependency on capital funding availability. </w:t>
      </w:r>
    </w:p>
    <w:p w14:paraId="5A98E4E3" w14:textId="77777777" w:rsidR="005F1859" w:rsidRDefault="005F1859" w:rsidP="005F1859">
      <w:pPr>
        <w:pStyle w:val="ListParagraph"/>
      </w:pPr>
    </w:p>
    <w:p w14:paraId="3691AD49" w14:textId="77777777" w:rsidR="005F1859" w:rsidRPr="00E41104" w:rsidRDefault="005F1859" w:rsidP="005F1859">
      <w:pPr>
        <w:pStyle w:val="NormaBullet"/>
        <w:numPr>
          <w:ilvl w:val="0"/>
          <w:numId w:val="7"/>
        </w:numPr>
      </w:pPr>
      <w:r w:rsidRPr="00297A43">
        <w:t>It is assumed that the depreciation costs of all future capital schemes are fully funded by the Welsh Government, in line with current policy.  These additional costs and consequent non-cash backed allocation changes are not included in the financial schedules pending clarity on approvals.</w:t>
      </w:r>
    </w:p>
    <w:p w14:paraId="0DB194AD" w14:textId="77777777" w:rsidR="005F1859" w:rsidRPr="00297A43" w:rsidRDefault="005F1859" w:rsidP="005F1859">
      <w:pPr>
        <w:pStyle w:val="ListParagraph"/>
      </w:pPr>
    </w:p>
    <w:p w14:paraId="70A16B70" w14:textId="77777777" w:rsidR="005F1859" w:rsidRDefault="005F1859" w:rsidP="005F1859">
      <w:r w:rsidRPr="00297A43">
        <w:t>The 3 year financial plan is shown in the table below, with costs and deficits shown as positive numbers and income and surpluses as negative numbers.</w:t>
      </w:r>
      <w:r>
        <w:t xml:space="preserve"> </w:t>
      </w:r>
    </w:p>
    <w:p w14:paraId="7BA3A989" w14:textId="77777777" w:rsidR="005F1859" w:rsidRDefault="005F1859" w:rsidP="005F1859"/>
    <w:p w14:paraId="50ABE4BB" w14:textId="77777777" w:rsidR="005F1859" w:rsidRDefault="005F1859" w:rsidP="005F1859"/>
    <w:p w14:paraId="6D72AC6D" w14:textId="77777777" w:rsidR="005F1859" w:rsidRDefault="005F1859" w:rsidP="005F1859">
      <w:r>
        <w:lastRenderedPageBreak/>
        <w:t xml:space="preserve">  </w:t>
      </w:r>
      <w:r w:rsidRPr="008E5687">
        <w:rPr>
          <w:noProof/>
        </w:rPr>
        <w:drawing>
          <wp:inline distT="0" distB="0" distL="0" distR="0" wp14:anchorId="64B7824E" wp14:editId="6F0EDA80">
            <wp:extent cx="5730875" cy="6858000"/>
            <wp:effectExtent l="0" t="0" r="3175" b="0"/>
            <wp:docPr id="1803" name="Picture 1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732469" cy="6859908"/>
                    </a:xfrm>
                    <a:prstGeom prst="rect">
                      <a:avLst/>
                    </a:prstGeom>
                    <a:noFill/>
                    <a:ln>
                      <a:noFill/>
                    </a:ln>
                  </pic:spPr>
                </pic:pic>
              </a:graphicData>
            </a:graphic>
          </wp:inline>
        </w:drawing>
      </w:r>
    </w:p>
    <w:p w14:paraId="634DD146" w14:textId="77777777" w:rsidR="005F1859" w:rsidRDefault="005F1859" w:rsidP="005F1859"/>
    <w:p w14:paraId="3B62580D" w14:textId="77777777" w:rsidR="005F1859" w:rsidRDefault="005F1859" w:rsidP="005F1859">
      <w:pPr>
        <w:tabs>
          <w:tab w:val="left" w:pos="6630"/>
        </w:tabs>
      </w:pPr>
      <w:r>
        <w:t>The key elements of the Plan are explained in the following sections:</w:t>
      </w:r>
    </w:p>
    <w:p w14:paraId="46D8BA99" w14:textId="77777777" w:rsidR="005F1859" w:rsidRPr="00B66177" w:rsidRDefault="005F1859" w:rsidP="005F1859">
      <w:pPr>
        <w:pStyle w:val="Heading2"/>
        <w:ind w:left="1077" w:hanging="1077"/>
      </w:pPr>
      <w:bookmarkStart w:id="178" w:name="_Toc536195579"/>
      <w:bookmarkStart w:id="179" w:name="_Toc536528061"/>
      <w:r>
        <w:t>Income C</w:t>
      </w:r>
      <w:r w:rsidRPr="00B66177">
        <w:t xml:space="preserve">hanges </w:t>
      </w:r>
      <w:r>
        <w:t>–</w:t>
      </w:r>
      <w:r w:rsidRPr="00B66177">
        <w:t xml:space="preserve"> </w:t>
      </w:r>
      <w:r>
        <w:t>2020/21 TO 2022/2</w:t>
      </w:r>
      <w:bookmarkEnd w:id="178"/>
      <w:bookmarkEnd w:id="179"/>
      <w:r>
        <w:t>3</w:t>
      </w:r>
    </w:p>
    <w:p w14:paraId="037B4B30" w14:textId="77777777" w:rsidR="005F1859" w:rsidRDefault="005F1859" w:rsidP="005F1859">
      <w:r>
        <w:t>A summary of the assumed new allocations from the Welsh Government for 2020/21 to 2022/23 is shown in the table below:</w:t>
      </w:r>
    </w:p>
    <w:p w14:paraId="2C002E7B" w14:textId="77777777" w:rsidR="005F1859" w:rsidRDefault="005F1859" w:rsidP="005F1859"/>
    <w:tbl>
      <w:tblPr>
        <w:tblW w:w="83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5"/>
        <w:gridCol w:w="1585"/>
        <w:gridCol w:w="1589"/>
        <w:gridCol w:w="1469"/>
      </w:tblGrid>
      <w:tr w:rsidR="005F1859" w:rsidRPr="001354D2" w14:paraId="00047FE1" w14:textId="77777777" w:rsidTr="00EF5C9A">
        <w:trPr>
          <w:trHeight w:val="255"/>
          <w:tblHeader/>
          <w:jc w:val="center"/>
        </w:trPr>
        <w:tc>
          <w:tcPr>
            <w:tcW w:w="3675" w:type="dxa"/>
            <w:tcBorders>
              <w:top w:val="single" w:sz="4" w:space="0" w:color="auto"/>
              <w:left w:val="single" w:sz="4" w:space="0" w:color="auto"/>
              <w:bottom w:val="nil"/>
              <w:right w:val="single" w:sz="4" w:space="0" w:color="auto"/>
            </w:tcBorders>
            <w:shd w:val="clear" w:color="auto" w:fill="DBE5F1" w:themeFill="accent1" w:themeFillTint="33"/>
            <w:hideMark/>
          </w:tcPr>
          <w:p w14:paraId="1E03E772" w14:textId="77777777" w:rsidR="005F1859" w:rsidRPr="001354D2" w:rsidRDefault="005F1859" w:rsidP="00EF5C9A">
            <w:pPr>
              <w:jc w:val="left"/>
              <w:rPr>
                <w:rFonts w:asciiTheme="minorHAnsi" w:hAnsiTheme="minorHAnsi" w:cs="Times New Roman"/>
                <w:sz w:val="20"/>
                <w:szCs w:val="20"/>
              </w:rPr>
            </w:pPr>
            <w:r w:rsidRPr="001354D2">
              <w:rPr>
                <w:rFonts w:asciiTheme="minorHAnsi" w:hAnsiTheme="minorHAnsi"/>
                <w:sz w:val="20"/>
                <w:szCs w:val="20"/>
              </w:rPr>
              <w:br w:type="page"/>
            </w:r>
            <w:r w:rsidRPr="001354D2">
              <w:rPr>
                <w:rFonts w:asciiTheme="minorHAnsi" w:hAnsiTheme="minorHAnsi" w:cs="Times New Roman"/>
                <w:b/>
                <w:bCs/>
                <w:color w:val="000000"/>
                <w:sz w:val="20"/>
                <w:szCs w:val="20"/>
              </w:rPr>
              <w:br w:type="page"/>
            </w:r>
          </w:p>
        </w:tc>
        <w:tc>
          <w:tcPr>
            <w:tcW w:w="1585" w:type="dxa"/>
            <w:tcBorders>
              <w:top w:val="single" w:sz="4" w:space="0" w:color="auto"/>
              <w:left w:val="single" w:sz="4" w:space="0" w:color="auto"/>
              <w:bottom w:val="nil"/>
              <w:right w:val="single" w:sz="4" w:space="0" w:color="auto"/>
            </w:tcBorders>
            <w:shd w:val="clear" w:color="auto" w:fill="DBE5F1" w:themeFill="accent1" w:themeFillTint="33"/>
            <w:hideMark/>
          </w:tcPr>
          <w:p w14:paraId="16D2D430" w14:textId="77777777" w:rsidR="005F1859" w:rsidRPr="001354D2"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r w:rsidRPr="001354D2">
              <w:rPr>
                <w:rFonts w:asciiTheme="minorHAnsi" w:hAnsiTheme="minorHAnsi" w:cs="Times New Roman"/>
                <w:b/>
                <w:bCs/>
                <w:color w:val="000000"/>
                <w:sz w:val="20"/>
                <w:szCs w:val="20"/>
              </w:rPr>
              <w:t>20/21</w:t>
            </w:r>
          </w:p>
        </w:tc>
        <w:tc>
          <w:tcPr>
            <w:tcW w:w="1589" w:type="dxa"/>
            <w:tcBorders>
              <w:top w:val="single" w:sz="4" w:space="0" w:color="auto"/>
              <w:left w:val="single" w:sz="4" w:space="0" w:color="auto"/>
              <w:bottom w:val="nil"/>
              <w:right w:val="single" w:sz="4" w:space="0" w:color="auto"/>
            </w:tcBorders>
            <w:shd w:val="clear" w:color="auto" w:fill="DBE5F1" w:themeFill="accent1" w:themeFillTint="33"/>
            <w:hideMark/>
          </w:tcPr>
          <w:p w14:paraId="3122EBC3" w14:textId="77777777" w:rsidR="005F1859" w:rsidRPr="001354D2"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r w:rsidRPr="001354D2">
              <w:rPr>
                <w:rFonts w:asciiTheme="minorHAnsi" w:hAnsiTheme="minorHAnsi" w:cs="Times New Roman"/>
                <w:b/>
                <w:bCs/>
                <w:color w:val="000000"/>
                <w:sz w:val="20"/>
                <w:szCs w:val="20"/>
              </w:rPr>
              <w:t>21/22</w:t>
            </w:r>
          </w:p>
        </w:tc>
        <w:tc>
          <w:tcPr>
            <w:tcW w:w="1469" w:type="dxa"/>
            <w:tcBorders>
              <w:top w:val="single" w:sz="4" w:space="0" w:color="auto"/>
              <w:left w:val="single" w:sz="4" w:space="0" w:color="auto"/>
              <w:bottom w:val="nil"/>
              <w:right w:val="single" w:sz="4" w:space="0" w:color="auto"/>
            </w:tcBorders>
            <w:shd w:val="clear" w:color="auto" w:fill="DBE5F1" w:themeFill="accent1" w:themeFillTint="33"/>
            <w:hideMark/>
          </w:tcPr>
          <w:p w14:paraId="23BB65C4" w14:textId="77777777" w:rsidR="005F1859" w:rsidRPr="001354D2"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r w:rsidRPr="001354D2">
              <w:rPr>
                <w:rFonts w:asciiTheme="minorHAnsi" w:hAnsiTheme="minorHAnsi" w:cs="Times New Roman"/>
                <w:b/>
                <w:bCs/>
                <w:color w:val="000000"/>
                <w:sz w:val="20"/>
                <w:szCs w:val="20"/>
              </w:rPr>
              <w:t>22/23</w:t>
            </w:r>
          </w:p>
          <w:p w14:paraId="673BE672" w14:textId="77777777" w:rsidR="005F1859" w:rsidRPr="001354D2"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p>
        </w:tc>
      </w:tr>
      <w:tr w:rsidR="005F1859" w:rsidRPr="001354D2" w14:paraId="678B51AD" w14:textId="77777777" w:rsidTr="00EF5C9A">
        <w:trPr>
          <w:trHeight w:val="255"/>
          <w:tblHeader/>
          <w:jc w:val="center"/>
        </w:trPr>
        <w:tc>
          <w:tcPr>
            <w:tcW w:w="3675" w:type="dxa"/>
            <w:tcBorders>
              <w:top w:val="nil"/>
              <w:left w:val="single" w:sz="4" w:space="0" w:color="auto"/>
              <w:bottom w:val="single" w:sz="4" w:space="0" w:color="auto"/>
              <w:right w:val="single" w:sz="4" w:space="0" w:color="auto"/>
            </w:tcBorders>
            <w:shd w:val="clear" w:color="auto" w:fill="DBE5F1" w:themeFill="accent1" w:themeFillTint="33"/>
            <w:hideMark/>
          </w:tcPr>
          <w:p w14:paraId="47AA93C2" w14:textId="77777777" w:rsidR="005F1859" w:rsidRPr="001354D2" w:rsidRDefault="005F1859" w:rsidP="00EF5C9A">
            <w:pPr>
              <w:jc w:val="left"/>
              <w:rPr>
                <w:rFonts w:asciiTheme="minorHAnsi" w:hAnsiTheme="minorHAnsi" w:cs="Times New Roman"/>
                <w:sz w:val="20"/>
                <w:szCs w:val="20"/>
              </w:rPr>
            </w:pPr>
          </w:p>
        </w:tc>
        <w:tc>
          <w:tcPr>
            <w:tcW w:w="1585" w:type="dxa"/>
            <w:tcBorders>
              <w:top w:val="nil"/>
              <w:left w:val="single" w:sz="4" w:space="0" w:color="auto"/>
              <w:bottom w:val="single" w:sz="4" w:space="0" w:color="auto"/>
              <w:right w:val="single" w:sz="4" w:space="0" w:color="auto"/>
            </w:tcBorders>
            <w:shd w:val="clear" w:color="auto" w:fill="DBE5F1" w:themeFill="accent1" w:themeFillTint="33"/>
            <w:hideMark/>
          </w:tcPr>
          <w:p w14:paraId="75F35C15" w14:textId="77777777" w:rsidR="005F1859" w:rsidRPr="001354D2" w:rsidRDefault="005F1859" w:rsidP="00EF5C9A">
            <w:pPr>
              <w:jc w:val="center"/>
              <w:rPr>
                <w:rFonts w:asciiTheme="minorHAnsi" w:hAnsiTheme="minorHAnsi" w:cs="Times New Roman"/>
                <w:b/>
                <w:bCs/>
                <w:color w:val="000000"/>
                <w:sz w:val="20"/>
                <w:szCs w:val="20"/>
              </w:rPr>
            </w:pPr>
            <w:r w:rsidRPr="001354D2">
              <w:rPr>
                <w:rFonts w:asciiTheme="minorHAnsi" w:hAnsiTheme="minorHAnsi" w:cs="Times New Roman"/>
                <w:b/>
                <w:bCs/>
                <w:color w:val="000000"/>
                <w:sz w:val="20"/>
                <w:szCs w:val="20"/>
              </w:rPr>
              <w:t>£m</w:t>
            </w:r>
          </w:p>
        </w:tc>
        <w:tc>
          <w:tcPr>
            <w:tcW w:w="1589" w:type="dxa"/>
            <w:tcBorders>
              <w:top w:val="nil"/>
              <w:left w:val="single" w:sz="4" w:space="0" w:color="auto"/>
              <w:bottom w:val="single" w:sz="4" w:space="0" w:color="auto"/>
              <w:right w:val="single" w:sz="4" w:space="0" w:color="auto"/>
            </w:tcBorders>
            <w:shd w:val="clear" w:color="auto" w:fill="DBE5F1" w:themeFill="accent1" w:themeFillTint="33"/>
            <w:hideMark/>
          </w:tcPr>
          <w:p w14:paraId="14207AD5" w14:textId="77777777" w:rsidR="005F1859" w:rsidRPr="001354D2" w:rsidRDefault="005F1859" w:rsidP="00EF5C9A">
            <w:pPr>
              <w:jc w:val="center"/>
              <w:rPr>
                <w:rFonts w:asciiTheme="minorHAnsi" w:hAnsiTheme="minorHAnsi" w:cs="Times New Roman"/>
                <w:b/>
                <w:bCs/>
                <w:color w:val="000000"/>
                <w:sz w:val="20"/>
                <w:szCs w:val="20"/>
              </w:rPr>
            </w:pPr>
            <w:r w:rsidRPr="001354D2">
              <w:rPr>
                <w:rFonts w:asciiTheme="minorHAnsi" w:hAnsiTheme="minorHAnsi" w:cs="Times New Roman"/>
                <w:b/>
                <w:bCs/>
                <w:color w:val="000000"/>
                <w:sz w:val="20"/>
                <w:szCs w:val="20"/>
              </w:rPr>
              <w:t>£m</w:t>
            </w:r>
          </w:p>
        </w:tc>
        <w:tc>
          <w:tcPr>
            <w:tcW w:w="1469" w:type="dxa"/>
            <w:tcBorders>
              <w:top w:val="nil"/>
              <w:left w:val="single" w:sz="4" w:space="0" w:color="auto"/>
              <w:bottom w:val="single" w:sz="4" w:space="0" w:color="auto"/>
              <w:right w:val="single" w:sz="4" w:space="0" w:color="auto"/>
            </w:tcBorders>
            <w:shd w:val="clear" w:color="auto" w:fill="DBE5F1" w:themeFill="accent1" w:themeFillTint="33"/>
            <w:hideMark/>
          </w:tcPr>
          <w:p w14:paraId="3D14F1C1" w14:textId="77777777" w:rsidR="005F1859" w:rsidRPr="001354D2" w:rsidRDefault="005F1859" w:rsidP="00EF5C9A">
            <w:pPr>
              <w:jc w:val="center"/>
              <w:rPr>
                <w:rFonts w:asciiTheme="minorHAnsi" w:hAnsiTheme="minorHAnsi" w:cs="Times New Roman"/>
                <w:b/>
                <w:bCs/>
                <w:color w:val="000000"/>
                <w:sz w:val="20"/>
                <w:szCs w:val="20"/>
              </w:rPr>
            </w:pPr>
            <w:r w:rsidRPr="001354D2">
              <w:rPr>
                <w:rFonts w:asciiTheme="minorHAnsi" w:hAnsiTheme="minorHAnsi" w:cs="Times New Roman"/>
                <w:b/>
                <w:bCs/>
                <w:color w:val="000000"/>
                <w:sz w:val="20"/>
                <w:szCs w:val="20"/>
              </w:rPr>
              <w:t>£m</w:t>
            </w:r>
          </w:p>
        </w:tc>
      </w:tr>
      <w:tr w:rsidR="005F1859" w:rsidRPr="001354D2" w14:paraId="11507F7D" w14:textId="77777777" w:rsidTr="00EF5C9A">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66C94E82" w14:textId="77777777" w:rsidR="005F1859" w:rsidRPr="001354D2" w:rsidRDefault="005F1859" w:rsidP="00EF5C9A">
            <w:pPr>
              <w:rPr>
                <w:rFonts w:asciiTheme="minorHAnsi" w:hAnsiTheme="minorHAnsi" w:cs="Arial"/>
                <w:b/>
                <w:sz w:val="20"/>
                <w:szCs w:val="20"/>
              </w:rPr>
            </w:pPr>
            <w:r w:rsidRPr="001354D2">
              <w:rPr>
                <w:rFonts w:asciiTheme="minorHAnsi" w:hAnsiTheme="minorHAnsi" w:cs="Arial"/>
                <w:b/>
                <w:sz w:val="20"/>
                <w:szCs w:val="20"/>
              </w:rPr>
              <w:t>Recurrent:</w:t>
            </w:r>
          </w:p>
        </w:tc>
        <w:tc>
          <w:tcPr>
            <w:tcW w:w="1585" w:type="dxa"/>
            <w:tcBorders>
              <w:top w:val="single" w:sz="4" w:space="0" w:color="auto"/>
              <w:left w:val="single" w:sz="4" w:space="0" w:color="auto"/>
              <w:bottom w:val="single" w:sz="4" w:space="0" w:color="auto"/>
              <w:right w:val="single" w:sz="4" w:space="0" w:color="auto"/>
            </w:tcBorders>
            <w:hideMark/>
          </w:tcPr>
          <w:p w14:paraId="53D5CA4F" w14:textId="77777777" w:rsidR="005F1859" w:rsidRPr="001354D2" w:rsidRDefault="005F1859" w:rsidP="00EF5C9A">
            <w:pPr>
              <w:jc w:val="left"/>
              <w:rPr>
                <w:rFonts w:asciiTheme="minorHAnsi" w:hAnsiTheme="minorHAnsi" w:cs="Times New Roman"/>
                <w:sz w:val="20"/>
                <w:szCs w:val="20"/>
              </w:rPr>
            </w:pPr>
          </w:p>
        </w:tc>
        <w:tc>
          <w:tcPr>
            <w:tcW w:w="1589" w:type="dxa"/>
            <w:tcBorders>
              <w:top w:val="single" w:sz="4" w:space="0" w:color="auto"/>
              <w:left w:val="single" w:sz="4" w:space="0" w:color="auto"/>
              <w:bottom w:val="single" w:sz="4" w:space="0" w:color="auto"/>
              <w:right w:val="single" w:sz="4" w:space="0" w:color="auto"/>
            </w:tcBorders>
            <w:hideMark/>
          </w:tcPr>
          <w:p w14:paraId="4BBF26EB" w14:textId="77777777" w:rsidR="005F1859" w:rsidRPr="001354D2" w:rsidRDefault="005F1859" w:rsidP="00EF5C9A">
            <w:pPr>
              <w:jc w:val="left"/>
              <w:rPr>
                <w:rFonts w:asciiTheme="minorHAnsi" w:hAnsiTheme="minorHAnsi" w:cs="Times New Roman"/>
                <w:sz w:val="20"/>
                <w:szCs w:val="20"/>
              </w:rPr>
            </w:pPr>
          </w:p>
        </w:tc>
        <w:tc>
          <w:tcPr>
            <w:tcW w:w="1469" w:type="dxa"/>
            <w:tcBorders>
              <w:top w:val="single" w:sz="4" w:space="0" w:color="auto"/>
              <w:left w:val="single" w:sz="4" w:space="0" w:color="auto"/>
              <w:bottom w:val="single" w:sz="4" w:space="0" w:color="auto"/>
              <w:right w:val="single" w:sz="4" w:space="0" w:color="auto"/>
            </w:tcBorders>
            <w:hideMark/>
          </w:tcPr>
          <w:p w14:paraId="7F44E6A0" w14:textId="77777777" w:rsidR="005F1859" w:rsidRPr="001354D2" w:rsidRDefault="005F1859" w:rsidP="00EF5C9A">
            <w:pPr>
              <w:jc w:val="left"/>
              <w:rPr>
                <w:rFonts w:asciiTheme="minorHAnsi" w:hAnsiTheme="minorHAnsi" w:cs="Times New Roman"/>
                <w:sz w:val="20"/>
                <w:szCs w:val="20"/>
              </w:rPr>
            </w:pPr>
          </w:p>
        </w:tc>
      </w:tr>
      <w:tr w:rsidR="005F1859" w:rsidRPr="001354D2" w14:paraId="2D9DDB2E" w14:textId="77777777" w:rsidTr="00EF5C9A">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58379F86" w14:textId="77777777" w:rsidR="005F1859" w:rsidRPr="001354D2" w:rsidRDefault="005F1859" w:rsidP="00EF5C9A">
            <w:pPr>
              <w:rPr>
                <w:rFonts w:asciiTheme="minorHAnsi" w:hAnsiTheme="minorHAnsi" w:cs="Arial"/>
                <w:sz w:val="20"/>
                <w:szCs w:val="20"/>
              </w:rPr>
            </w:pPr>
            <w:r w:rsidRPr="001354D2">
              <w:rPr>
                <w:rFonts w:asciiTheme="minorHAnsi" w:hAnsiTheme="minorHAnsi" w:cs="Arial"/>
                <w:sz w:val="20"/>
                <w:szCs w:val="20"/>
              </w:rPr>
              <w:t xml:space="preserve">Core un--earmarked growth monies  </w:t>
            </w:r>
          </w:p>
        </w:tc>
        <w:tc>
          <w:tcPr>
            <w:tcW w:w="1585" w:type="dxa"/>
            <w:tcBorders>
              <w:top w:val="single" w:sz="4" w:space="0" w:color="auto"/>
              <w:left w:val="single" w:sz="4" w:space="0" w:color="auto"/>
              <w:bottom w:val="single" w:sz="4" w:space="0" w:color="auto"/>
              <w:right w:val="single" w:sz="4" w:space="0" w:color="auto"/>
            </w:tcBorders>
            <w:hideMark/>
          </w:tcPr>
          <w:p w14:paraId="68EFAB99" w14:textId="77777777" w:rsidR="005F1859" w:rsidRPr="001354D2" w:rsidRDefault="005F1859" w:rsidP="00EF5C9A">
            <w:pPr>
              <w:jc w:val="center"/>
              <w:rPr>
                <w:rFonts w:asciiTheme="minorHAnsi" w:hAnsiTheme="minorHAnsi" w:cs="Arial"/>
                <w:sz w:val="20"/>
                <w:szCs w:val="20"/>
              </w:rPr>
            </w:pPr>
            <w:r w:rsidRPr="001354D2">
              <w:rPr>
                <w:rFonts w:asciiTheme="minorHAnsi" w:hAnsiTheme="minorHAnsi" w:cs="Arial"/>
                <w:sz w:val="20"/>
                <w:szCs w:val="20"/>
              </w:rPr>
              <w:t>(25.3)</w:t>
            </w:r>
          </w:p>
        </w:tc>
        <w:tc>
          <w:tcPr>
            <w:tcW w:w="1589" w:type="dxa"/>
            <w:tcBorders>
              <w:top w:val="single" w:sz="4" w:space="0" w:color="auto"/>
              <w:left w:val="single" w:sz="4" w:space="0" w:color="auto"/>
              <w:bottom w:val="single" w:sz="4" w:space="0" w:color="auto"/>
              <w:right w:val="single" w:sz="4" w:space="0" w:color="auto"/>
            </w:tcBorders>
          </w:tcPr>
          <w:p w14:paraId="4D96F734" w14:textId="77777777" w:rsidR="005F1859" w:rsidRPr="001354D2" w:rsidRDefault="005F1859" w:rsidP="00EF5C9A">
            <w:pPr>
              <w:jc w:val="center"/>
              <w:rPr>
                <w:rFonts w:asciiTheme="minorHAnsi" w:hAnsiTheme="minorHAnsi" w:cs="Arial"/>
                <w:sz w:val="20"/>
                <w:szCs w:val="20"/>
              </w:rPr>
            </w:pPr>
            <w:r w:rsidRPr="001354D2">
              <w:rPr>
                <w:rFonts w:asciiTheme="minorHAnsi" w:hAnsiTheme="minorHAnsi" w:cs="Arial"/>
                <w:sz w:val="20"/>
                <w:szCs w:val="20"/>
              </w:rPr>
              <w:t>(25.3)</w:t>
            </w:r>
          </w:p>
        </w:tc>
        <w:tc>
          <w:tcPr>
            <w:tcW w:w="1469" w:type="dxa"/>
            <w:tcBorders>
              <w:top w:val="single" w:sz="4" w:space="0" w:color="auto"/>
              <w:left w:val="single" w:sz="4" w:space="0" w:color="auto"/>
              <w:bottom w:val="single" w:sz="4" w:space="0" w:color="auto"/>
              <w:right w:val="single" w:sz="4" w:space="0" w:color="auto"/>
            </w:tcBorders>
            <w:hideMark/>
          </w:tcPr>
          <w:p w14:paraId="339671F0" w14:textId="77777777" w:rsidR="005F1859" w:rsidRPr="001354D2" w:rsidRDefault="005F1859" w:rsidP="00EF5C9A">
            <w:pPr>
              <w:jc w:val="center"/>
              <w:rPr>
                <w:rFonts w:asciiTheme="minorHAnsi" w:hAnsiTheme="minorHAnsi" w:cs="Arial"/>
                <w:sz w:val="20"/>
                <w:szCs w:val="20"/>
              </w:rPr>
            </w:pPr>
            <w:r w:rsidRPr="001354D2">
              <w:rPr>
                <w:rFonts w:asciiTheme="minorHAnsi" w:hAnsiTheme="minorHAnsi" w:cs="Arial"/>
                <w:sz w:val="20"/>
                <w:szCs w:val="20"/>
              </w:rPr>
              <w:t>(25.3)</w:t>
            </w:r>
          </w:p>
        </w:tc>
      </w:tr>
      <w:tr w:rsidR="005F1859" w:rsidRPr="001354D2" w14:paraId="7823B70A" w14:textId="77777777" w:rsidTr="00EF5C9A">
        <w:trPr>
          <w:trHeight w:val="255"/>
          <w:jc w:val="center"/>
        </w:trPr>
        <w:tc>
          <w:tcPr>
            <w:tcW w:w="3675" w:type="dxa"/>
            <w:tcBorders>
              <w:top w:val="single" w:sz="4" w:space="0" w:color="auto"/>
              <w:left w:val="single" w:sz="4" w:space="0" w:color="auto"/>
              <w:bottom w:val="single" w:sz="4" w:space="0" w:color="auto"/>
              <w:right w:val="single" w:sz="4" w:space="0" w:color="auto"/>
            </w:tcBorders>
          </w:tcPr>
          <w:p w14:paraId="1BEE4922" w14:textId="77777777" w:rsidR="005F1859" w:rsidRPr="001354D2" w:rsidRDefault="005F1859" w:rsidP="00EF5C9A">
            <w:pPr>
              <w:rPr>
                <w:rFonts w:asciiTheme="minorHAnsi" w:hAnsiTheme="minorHAnsi" w:cs="Arial"/>
                <w:sz w:val="20"/>
                <w:szCs w:val="20"/>
              </w:rPr>
            </w:pPr>
            <w:r w:rsidRPr="001354D2">
              <w:rPr>
                <w:rFonts w:asciiTheme="minorHAnsi" w:hAnsiTheme="minorHAnsi" w:cs="Arial"/>
                <w:sz w:val="20"/>
                <w:szCs w:val="20"/>
              </w:rPr>
              <w:t>Investment in Primary care clusters</w:t>
            </w:r>
          </w:p>
        </w:tc>
        <w:tc>
          <w:tcPr>
            <w:tcW w:w="1585" w:type="dxa"/>
            <w:tcBorders>
              <w:top w:val="single" w:sz="4" w:space="0" w:color="auto"/>
              <w:left w:val="single" w:sz="4" w:space="0" w:color="auto"/>
              <w:bottom w:val="single" w:sz="4" w:space="0" w:color="auto"/>
              <w:right w:val="single" w:sz="4" w:space="0" w:color="auto"/>
            </w:tcBorders>
          </w:tcPr>
          <w:p w14:paraId="1F785387" w14:textId="77777777" w:rsidR="005F1859" w:rsidRPr="001354D2" w:rsidRDefault="005F1859" w:rsidP="00EF5C9A">
            <w:pPr>
              <w:jc w:val="center"/>
              <w:rPr>
                <w:rFonts w:asciiTheme="minorHAnsi" w:hAnsiTheme="minorHAnsi" w:cs="Arial"/>
                <w:sz w:val="20"/>
                <w:szCs w:val="20"/>
              </w:rPr>
            </w:pPr>
            <w:r w:rsidRPr="001354D2">
              <w:rPr>
                <w:rFonts w:asciiTheme="minorHAnsi" w:hAnsiTheme="minorHAnsi" w:cs="Arial"/>
                <w:sz w:val="20"/>
                <w:szCs w:val="20"/>
              </w:rPr>
              <w:t>(1.5)</w:t>
            </w:r>
          </w:p>
        </w:tc>
        <w:tc>
          <w:tcPr>
            <w:tcW w:w="1589" w:type="dxa"/>
            <w:tcBorders>
              <w:top w:val="single" w:sz="4" w:space="0" w:color="auto"/>
              <w:left w:val="single" w:sz="4" w:space="0" w:color="auto"/>
              <w:bottom w:val="single" w:sz="4" w:space="0" w:color="auto"/>
              <w:right w:val="single" w:sz="4" w:space="0" w:color="auto"/>
            </w:tcBorders>
          </w:tcPr>
          <w:p w14:paraId="66292208" w14:textId="77777777" w:rsidR="005F1859" w:rsidRPr="001354D2" w:rsidRDefault="005F1859" w:rsidP="00EF5C9A">
            <w:pPr>
              <w:jc w:val="center"/>
              <w:rPr>
                <w:rFonts w:asciiTheme="minorHAnsi" w:hAnsiTheme="minorHAnsi" w:cs="Arial"/>
                <w:sz w:val="20"/>
                <w:szCs w:val="20"/>
              </w:rPr>
            </w:pPr>
            <w:r w:rsidRPr="001354D2">
              <w:rPr>
                <w:rFonts w:asciiTheme="minorHAnsi" w:hAnsiTheme="minorHAnsi" w:cs="Arial"/>
                <w:sz w:val="20"/>
                <w:szCs w:val="20"/>
              </w:rPr>
              <w:t>0</w:t>
            </w:r>
          </w:p>
        </w:tc>
        <w:tc>
          <w:tcPr>
            <w:tcW w:w="1469" w:type="dxa"/>
            <w:tcBorders>
              <w:top w:val="single" w:sz="4" w:space="0" w:color="auto"/>
              <w:left w:val="single" w:sz="4" w:space="0" w:color="auto"/>
              <w:bottom w:val="single" w:sz="4" w:space="0" w:color="auto"/>
              <w:right w:val="single" w:sz="4" w:space="0" w:color="auto"/>
            </w:tcBorders>
          </w:tcPr>
          <w:p w14:paraId="530B6B64" w14:textId="77777777" w:rsidR="005F1859" w:rsidRPr="001354D2" w:rsidRDefault="005F1859" w:rsidP="00EF5C9A">
            <w:pPr>
              <w:jc w:val="center"/>
              <w:rPr>
                <w:rFonts w:asciiTheme="minorHAnsi" w:hAnsiTheme="minorHAnsi" w:cs="Arial"/>
                <w:sz w:val="20"/>
                <w:szCs w:val="20"/>
              </w:rPr>
            </w:pPr>
            <w:r w:rsidRPr="001354D2">
              <w:rPr>
                <w:rFonts w:asciiTheme="minorHAnsi" w:hAnsiTheme="minorHAnsi" w:cs="Arial"/>
                <w:sz w:val="20"/>
                <w:szCs w:val="20"/>
              </w:rPr>
              <w:t>0</w:t>
            </w:r>
          </w:p>
        </w:tc>
      </w:tr>
      <w:tr w:rsidR="005F1859" w:rsidRPr="001354D2" w14:paraId="72F91AAD" w14:textId="77777777" w:rsidTr="00EF5C9A">
        <w:trPr>
          <w:trHeight w:val="255"/>
          <w:jc w:val="center"/>
        </w:trPr>
        <w:tc>
          <w:tcPr>
            <w:tcW w:w="3675" w:type="dxa"/>
            <w:tcBorders>
              <w:top w:val="single" w:sz="4" w:space="0" w:color="auto"/>
              <w:left w:val="single" w:sz="4" w:space="0" w:color="auto"/>
              <w:bottom w:val="single" w:sz="4" w:space="0" w:color="auto"/>
              <w:right w:val="single" w:sz="4" w:space="0" w:color="auto"/>
            </w:tcBorders>
          </w:tcPr>
          <w:p w14:paraId="0D31E110" w14:textId="77777777" w:rsidR="005F1859" w:rsidRPr="001354D2" w:rsidRDefault="005F1859" w:rsidP="00EF5C9A">
            <w:pPr>
              <w:rPr>
                <w:rFonts w:asciiTheme="minorHAnsi" w:hAnsiTheme="minorHAnsi" w:cs="Arial"/>
                <w:sz w:val="20"/>
                <w:szCs w:val="20"/>
              </w:rPr>
            </w:pPr>
            <w:r w:rsidRPr="001354D2">
              <w:rPr>
                <w:rFonts w:asciiTheme="minorHAnsi" w:hAnsiTheme="minorHAnsi" w:cs="Arial"/>
                <w:sz w:val="20"/>
                <w:szCs w:val="20"/>
              </w:rPr>
              <w:lastRenderedPageBreak/>
              <w:t>Investment in Mental Health services</w:t>
            </w:r>
          </w:p>
        </w:tc>
        <w:tc>
          <w:tcPr>
            <w:tcW w:w="1585" w:type="dxa"/>
            <w:tcBorders>
              <w:top w:val="single" w:sz="4" w:space="0" w:color="auto"/>
              <w:left w:val="single" w:sz="4" w:space="0" w:color="auto"/>
              <w:bottom w:val="single" w:sz="4" w:space="0" w:color="auto"/>
              <w:right w:val="single" w:sz="4" w:space="0" w:color="auto"/>
            </w:tcBorders>
          </w:tcPr>
          <w:p w14:paraId="4D93E1FA" w14:textId="77777777" w:rsidR="005F1859" w:rsidRPr="001354D2" w:rsidRDefault="005F1859" w:rsidP="00EF5C9A">
            <w:pPr>
              <w:jc w:val="center"/>
              <w:rPr>
                <w:rFonts w:asciiTheme="minorHAnsi" w:hAnsiTheme="minorHAnsi" w:cs="Arial"/>
                <w:sz w:val="20"/>
                <w:szCs w:val="20"/>
              </w:rPr>
            </w:pPr>
            <w:r w:rsidRPr="001354D2">
              <w:rPr>
                <w:rFonts w:asciiTheme="minorHAnsi" w:hAnsiTheme="minorHAnsi" w:cs="Arial"/>
                <w:sz w:val="20"/>
                <w:szCs w:val="20"/>
              </w:rPr>
              <w:t>(1.0)</w:t>
            </w:r>
          </w:p>
        </w:tc>
        <w:tc>
          <w:tcPr>
            <w:tcW w:w="1589" w:type="dxa"/>
            <w:tcBorders>
              <w:top w:val="single" w:sz="4" w:space="0" w:color="auto"/>
              <w:left w:val="single" w:sz="4" w:space="0" w:color="auto"/>
              <w:bottom w:val="single" w:sz="4" w:space="0" w:color="auto"/>
              <w:right w:val="single" w:sz="4" w:space="0" w:color="auto"/>
            </w:tcBorders>
          </w:tcPr>
          <w:p w14:paraId="3D511261" w14:textId="77777777" w:rsidR="005F1859" w:rsidRPr="001354D2" w:rsidRDefault="005F1859" w:rsidP="00EF5C9A">
            <w:pPr>
              <w:jc w:val="center"/>
              <w:rPr>
                <w:rFonts w:asciiTheme="minorHAnsi" w:hAnsiTheme="minorHAnsi" w:cs="Arial"/>
                <w:sz w:val="20"/>
                <w:szCs w:val="20"/>
              </w:rPr>
            </w:pPr>
            <w:r w:rsidRPr="001354D2">
              <w:rPr>
                <w:rFonts w:asciiTheme="minorHAnsi" w:hAnsiTheme="minorHAnsi" w:cs="Arial"/>
                <w:sz w:val="20"/>
                <w:szCs w:val="20"/>
              </w:rPr>
              <w:t>0</w:t>
            </w:r>
          </w:p>
        </w:tc>
        <w:tc>
          <w:tcPr>
            <w:tcW w:w="1469" w:type="dxa"/>
            <w:tcBorders>
              <w:top w:val="single" w:sz="4" w:space="0" w:color="auto"/>
              <w:left w:val="single" w:sz="4" w:space="0" w:color="auto"/>
              <w:bottom w:val="single" w:sz="4" w:space="0" w:color="auto"/>
              <w:right w:val="single" w:sz="4" w:space="0" w:color="auto"/>
            </w:tcBorders>
          </w:tcPr>
          <w:p w14:paraId="6A3AF5EB" w14:textId="77777777" w:rsidR="005F1859" w:rsidRPr="001354D2" w:rsidRDefault="005F1859" w:rsidP="00EF5C9A">
            <w:pPr>
              <w:jc w:val="center"/>
              <w:rPr>
                <w:rFonts w:asciiTheme="minorHAnsi" w:hAnsiTheme="minorHAnsi" w:cs="Arial"/>
                <w:sz w:val="20"/>
                <w:szCs w:val="20"/>
              </w:rPr>
            </w:pPr>
            <w:r w:rsidRPr="001354D2">
              <w:rPr>
                <w:rFonts w:asciiTheme="minorHAnsi" w:hAnsiTheme="minorHAnsi" w:cs="Arial"/>
                <w:sz w:val="20"/>
                <w:szCs w:val="20"/>
              </w:rPr>
              <w:t>0</w:t>
            </w:r>
          </w:p>
        </w:tc>
      </w:tr>
      <w:tr w:rsidR="005F1859" w:rsidRPr="001354D2" w14:paraId="467551A1" w14:textId="77777777" w:rsidTr="00EF5C9A">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598144AD" w14:textId="77777777" w:rsidR="005F1859" w:rsidRPr="001354D2" w:rsidRDefault="005F1859" w:rsidP="00EF5C9A">
            <w:pPr>
              <w:rPr>
                <w:rFonts w:asciiTheme="minorHAnsi" w:hAnsiTheme="minorHAnsi" w:cs="Arial"/>
                <w:b/>
                <w:sz w:val="20"/>
                <w:szCs w:val="20"/>
              </w:rPr>
            </w:pPr>
            <w:r w:rsidRPr="001354D2">
              <w:rPr>
                <w:rFonts w:asciiTheme="minorHAnsi" w:hAnsiTheme="minorHAnsi" w:cs="Arial"/>
                <w:b/>
                <w:sz w:val="20"/>
                <w:szCs w:val="20"/>
              </w:rPr>
              <w:t xml:space="preserve">Total Recurrent </w:t>
            </w:r>
          </w:p>
        </w:tc>
        <w:tc>
          <w:tcPr>
            <w:tcW w:w="1585" w:type="dxa"/>
            <w:tcBorders>
              <w:top w:val="single" w:sz="4" w:space="0" w:color="auto"/>
              <w:left w:val="single" w:sz="4" w:space="0" w:color="auto"/>
              <w:bottom w:val="single" w:sz="4" w:space="0" w:color="auto"/>
              <w:right w:val="single" w:sz="4" w:space="0" w:color="auto"/>
            </w:tcBorders>
            <w:hideMark/>
          </w:tcPr>
          <w:p w14:paraId="4F3474FE" w14:textId="77777777" w:rsidR="005F1859" w:rsidRPr="001354D2" w:rsidRDefault="005F1859" w:rsidP="00EF5C9A">
            <w:pPr>
              <w:jc w:val="center"/>
              <w:rPr>
                <w:rFonts w:asciiTheme="minorHAnsi" w:hAnsiTheme="minorHAnsi" w:cs="Arial"/>
                <w:b/>
                <w:sz w:val="20"/>
                <w:szCs w:val="20"/>
              </w:rPr>
            </w:pPr>
            <w:r w:rsidRPr="001354D2">
              <w:rPr>
                <w:rFonts w:asciiTheme="minorHAnsi" w:hAnsiTheme="minorHAnsi" w:cs="Arial"/>
                <w:b/>
                <w:sz w:val="20"/>
                <w:szCs w:val="20"/>
              </w:rPr>
              <w:t>(27.8)</w:t>
            </w:r>
          </w:p>
        </w:tc>
        <w:tc>
          <w:tcPr>
            <w:tcW w:w="1589" w:type="dxa"/>
            <w:tcBorders>
              <w:top w:val="single" w:sz="4" w:space="0" w:color="auto"/>
              <w:left w:val="single" w:sz="4" w:space="0" w:color="auto"/>
              <w:bottom w:val="single" w:sz="4" w:space="0" w:color="auto"/>
              <w:right w:val="single" w:sz="4" w:space="0" w:color="auto"/>
            </w:tcBorders>
          </w:tcPr>
          <w:p w14:paraId="2A790D71" w14:textId="77777777" w:rsidR="005F1859" w:rsidRPr="001354D2" w:rsidRDefault="005F1859" w:rsidP="00EF5C9A">
            <w:pPr>
              <w:jc w:val="center"/>
              <w:rPr>
                <w:rFonts w:asciiTheme="minorHAnsi" w:hAnsiTheme="minorHAnsi" w:cs="Arial"/>
                <w:b/>
                <w:sz w:val="20"/>
                <w:szCs w:val="20"/>
              </w:rPr>
            </w:pPr>
            <w:r w:rsidRPr="001354D2">
              <w:rPr>
                <w:rFonts w:asciiTheme="minorHAnsi" w:hAnsiTheme="minorHAnsi" w:cs="Arial"/>
                <w:b/>
                <w:sz w:val="20"/>
                <w:szCs w:val="20"/>
              </w:rPr>
              <w:t>(25.3)</w:t>
            </w:r>
          </w:p>
        </w:tc>
        <w:tc>
          <w:tcPr>
            <w:tcW w:w="1469" w:type="dxa"/>
            <w:tcBorders>
              <w:top w:val="single" w:sz="4" w:space="0" w:color="auto"/>
              <w:left w:val="single" w:sz="4" w:space="0" w:color="auto"/>
              <w:bottom w:val="single" w:sz="4" w:space="0" w:color="auto"/>
              <w:right w:val="single" w:sz="4" w:space="0" w:color="auto"/>
            </w:tcBorders>
            <w:hideMark/>
          </w:tcPr>
          <w:p w14:paraId="01056160" w14:textId="77777777" w:rsidR="005F1859" w:rsidRPr="001354D2" w:rsidRDefault="005F1859" w:rsidP="00EF5C9A">
            <w:pPr>
              <w:jc w:val="center"/>
              <w:rPr>
                <w:rFonts w:asciiTheme="minorHAnsi" w:hAnsiTheme="minorHAnsi" w:cs="Arial"/>
                <w:b/>
                <w:sz w:val="20"/>
                <w:szCs w:val="20"/>
              </w:rPr>
            </w:pPr>
            <w:r w:rsidRPr="001354D2">
              <w:rPr>
                <w:rFonts w:asciiTheme="minorHAnsi" w:hAnsiTheme="minorHAnsi" w:cs="Arial"/>
                <w:b/>
                <w:sz w:val="20"/>
                <w:szCs w:val="20"/>
              </w:rPr>
              <w:t>(25.3)</w:t>
            </w:r>
          </w:p>
        </w:tc>
      </w:tr>
      <w:tr w:rsidR="005F1859" w:rsidRPr="001354D2" w14:paraId="39C82380" w14:textId="77777777" w:rsidTr="00EF5C9A">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1DC95858" w14:textId="77777777" w:rsidR="005F1859" w:rsidRPr="001354D2" w:rsidRDefault="005F1859" w:rsidP="00EF5C9A">
            <w:pPr>
              <w:jc w:val="left"/>
              <w:rPr>
                <w:rFonts w:asciiTheme="minorHAnsi" w:hAnsiTheme="minorHAnsi" w:cs="Times New Roman"/>
                <w:sz w:val="20"/>
                <w:szCs w:val="20"/>
              </w:rPr>
            </w:pPr>
            <w:r w:rsidRPr="001354D2">
              <w:rPr>
                <w:rFonts w:asciiTheme="minorHAnsi" w:hAnsiTheme="minorHAnsi"/>
                <w:sz w:val="20"/>
                <w:szCs w:val="20"/>
              </w:rPr>
              <w:br w:type="page"/>
            </w:r>
          </w:p>
        </w:tc>
        <w:tc>
          <w:tcPr>
            <w:tcW w:w="1585" w:type="dxa"/>
            <w:tcBorders>
              <w:top w:val="single" w:sz="4" w:space="0" w:color="auto"/>
              <w:left w:val="single" w:sz="4" w:space="0" w:color="auto"/>
              <w:bottom w:val="single" w:sz="4" w:space="0" w:color="auto"/>
              <w:right w:val="single" w:sz="4" w:space="0" w:color="auto"/>
            </w:tcBorders>
            <w:hideMark/>
          </w:tcPr>
          <w:p w14:paraId="504EF884" w14:textId="77777777" w:rsidR="005F1859" w:rsidRPr="001354D2" w:rsidRDefault="005F1859" w:rsidP="00EF5C9A">
            <w:pPr>
              <w:jc w:val="left"/>
              <w:rPr>
                <w:rFonts w:asciiTheme="minorHAnsi" w:hAnsiTheme="minorHAnsi" w:cs="Times New Roman"/>
                <w:sz w:val="20"/>
                <w:szCs w:val="20"/>
              </w:rPr>
            </w:pPr>
          </w:p>
        </w:tc>
        <w:tc>
          <w:tcPr>
            <w:tcW w:w="1589" w:type="dxa"/>
            <w:tcBorders>
              <w:top w:val="single" w:sz="4" w:space="0" w:color="auto"/>
              <w:left w:val="single" w:sz="4" w:space="0" w:color="auto"/>
              <w:bottom w:val="single" w:sz="4" w:space="0" w:color="auto"/>
              <w:right w:val="single" w:sz="4" w:space="0" w:color="auto"/>
            </w:tcBorders>
          </w:tcPr>
          <w:p w14:paraId="00A0C3E9" w14:textId="77777777" w:rsidR="005F1859" w:rsidRPr="001354D2" w:rsidRDefault="005F1859" w:rsidP="00EF5C9A">
            <w:pPr>
              <w:jc w:val="left"/>
              <w:rPr>
                <w:rFonts w:asciiTheme="minorHAnsi" w:hAnsiTheme="minorHAnsi" w:cs="Times New Roman"/>
                <w:sz w:val="20"/>
                <w:szCs w:val="20"/>
              </w:rPr>
            </w:pPr>
          </w:p>
        </w:tc>
        <w:tc>
          <w:tcPr>
            <w:tcW w:w="1469" w:type="dxa"/>
            <w:tcBorders>
              <w:top w:val="single" w:sz="4" w:space="0" w:color="auto"/>
              <w:left w:val="single" w:sz="4" w:space="0" w:color="auto"/>
              <w:bottom w:val="single" w:sz="4" w:space="0" w:color="auto"/>
              <w:right w:val="single" w:sz="4" w:space="0" w:color="auto"/>
            </w:tcBorders>
            <w:hideMark/>
          </w:tcPr>
          <w:p w14:paraId="328880F6" w14:textId="77777777" w:rsidR="005F1859" w:rsidRPr="001354D2" w:rsidRDefault="005F1859" w:rsidP="00EF5C9A">
            <w:pPr>
              <w:jc w:val="left"/>
              <w:rPr>
                <w:rFonts w:asciiTheme="minorHAnsi" w:hAnsiTheme="minorHAnsi" w:cs="Times New Roman"/>
                <w:sz w:val="20"/>
                <w:szCs w:val="20"/>
              </w:rPr>
            </w:pPr>
          </w:p>
        </w:tc>
      </w:tr>
      <w:tr w:rsidR="005F1859" w:rsidRPr="001354D2" w14:paraId="39536BCA" w14:textId="77777777" w:rsidTr="00EF5C9A">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4E06CB70" w14:textId="77777777" w:rsidR="005F1859" w:rsidRPr="001354D2" w:rsidRDefault="005F1859" w:rsidP="00EF5C9A">
            <w:pPr>
              <w:rPr>
                <w:rFonts w:asciiTheme="minorHAnsi" w:hAnsiTheme="minorHAnsi" w:cs="Arial"/>
                <w:b/>
                <w:sz w:val="20"/>
                <w:szCs w:val="20"/>
              </w:rPr>
            </w:pPr>
            <w:r w:rsidRPr="001354D2">
              <w:rPr>
                <w:rFonts w:asciiTheme="minorHAnsi" w:hAnsiTheme="minorHAnsi" w:cs="Arial"/>
                <w:b/>
                <w:sz w:val="20"/>
                <w:szCs w:val="20"/>
              </w:rPr>
              <w:t>Non recurrent:</w:t>
            </w:r>
          </w:p>
        </w:tc>
        <w:tc>
          <w:tcPr>
            <w:tcW w:w="1585" w:type="dxa"/>
            <w:tcBorders>
              <w:top w:val="single" w:sz="4" w:space="0" w:color="auto"/>
              <w:left w:val="single" w:sz="4" w:space="0" w:color="auto"/>
              <w:bottom w:val="single" w:sz="4" w:space="0" w:color="auto"/>
              <w:right w:val="single" w:sz="4" w:space="0" w:color="auto"/>
            </w:tcBorders>
            <w:hideMark/>
          </w:tcPr>
          <w:p w14:paraId="75B7796D" w14:textId="77777777" w:rsidR="005F1859" w:rsidRPr="001354D2" w:rsidRDefault="005F1859" w:rsidP="00EF5C9A">
            <w:pPr>
              <w:jc w:val="left"/>
              <w:rPr>
                <w:rFonts w:asciiTheme="minorHAnsi" w:hAnsiTheme="minorHAnsi" w:cs="Times New Roman"/>
                <w:sz w:val="20"/>
                <w:szCs w:val="20"/>
              </w:rPr>
            </w:pPr>
          </w:p>
        </w:tc>
        <w:tc>
          <w:tcPr>
            <w:tcW w:w="1589" w:type="dxa"/>
            <w:tcBorders>
              <w:top w:val="single" w:sz="4" w:space="0" w:color="auto"/>
              <w:left w:val="single" w:sz="4" w:space="0" w:color="auto"/>
              <w:bottom w:val="single" w:sz="4" w:space="0" w:color="auto"/>
              <w:right w:val="single" w:sz="4" w:space="0" w:color="auto"/>
            </w:tcBorders>
          </w:tcPr>
          <w:p w14:paraId="1ABA4076" w14:textId="77777777" w:rsidR="005F1859" w:rsidRPr="001354D2" w:rsidRDefault="005F1859" w:rsidP="00EF5C9A">
            <w:pPr>
              <w:jc w:val="left"/>
              <w:rPr>
                <w:rFonts w:asciiTheme="minorHAnsi" w:hAnsiTheme="minorHAnsi" w:cs="Times New Roman"/>
                <w:sz w:val="20"/>
                <w:szCs w:val="20"/>
              </w:rPr>
            </w:pPr>
          </w:p>
        </w:tc>
        <w:tc>
          <w:tcPr>
            <w:tcW w:w="1469" w:type="dxa"/>
            <w:tcBorders>
              <w:top w:val="single" w:sz="4" w:space="0" w:color="auto"/>
              <w:left w:val="single" w:sz="4" w:space="0" w:color="auto"/>
              <w:bottom w:val="single" w:sz="4" w:space="0" w:color="auto"/>
              <w:right w:val="single" w:sz="4" w:space="0" w:color="auto"/>
            </w:tcBorders>
            <w:hideMark/>
          </w:tcPr>
          <w:p w14:paraId="7647BE10" w14:textId="77777777" w:rsidR="005F1859" w:rsidRPr="001354D2" w:rsidRDefault="005F1859" w:rsidP="00EF5C9A">
            <w:pPr>
              <w:jc w:val="left"/>
              <w:rPr>
                <w:rFonts w:asciiTheme="minorHAnsi" w:hAnsiTheme="minorHAnsi" w:cs="Times New Roman"/>
                <w:sz w:val="20"/>
                <w:szCs w:val="20"/>
              </w:rPr>
            </w:pPr>
          </w:p>
        </w:tc>
      </w:tr>
      <w:tr w:rsidR="005F1859" w:rsidRPr="001354D2" w14:paraId="486F1BFD"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tcPr>
          <w:p w14:paraId="505B0783" w14:textId="77777777" w:rsidR="005F1859" w:rsidRPr="001354D2" w:rsidRDefault="005F1859" w:rsidP="00EF5C9A">
            <w:pPr>
              <w:rPr>
                <w:rFonts w:asciiTheme="minorHAnsi" w:hAnsiTheme="minorHAnsi" w:cs="Arial"/>
                <w:bCs/>
                <w:sz w:val="20"/>
                <w:szCs w:val="20"/>
              </w:rPr>
            </w:pPr>
            <w:r>
              <w:rPr>
                <w:rFonts w:asciiTheme="minorHAnsi" w:hAnsiTheme="minorHAnsi" w:cs="Arial"/>
                <w:bCs/>
                <w:sz w:val="20"/>
                <w:szCs w:val="20"/>
              </w:rPr>
              <w:t>Bridging funding</w:t>
            </w:r>
          </w:p>
        </w:tc>
        <w:tc>
          <w:tcPr>
            <w:tcW w:w="1585" w:type="dxa"/>
            <w:tcBorders>
              <w:top w:val="single" w:sz="4" w:space="0" w:color="auto"/>
              <w:left w:val="single" w:sz="4" w:space="0" w:color="auto"/>
              <w:bottom w:val="single" w:sz="4" w:space="0" w:color="auto"/>
              <w:right w:val="single" w:sz="4" w:space="0" w:color="auto"/>
            </w:tcBorders>
            <w:shd w:val="clear" w:color="auto" w:fill="auto"/>
          </w:tcPr>
          <w:p w14:paraId="4F3C1258" w14:textId="77777777" w:rsidR="005F1859" w:rsidRDefault="005F1859" w:rsidP="00EF5C9A">
            <w:pPr>
              <w:jc w:val="center"/>
              <w:rPr>
                <w:rFonts w:asciiTheme="minorHAnsi" w:hAnsiTheme="minorHAnsi" w:cs="Arial"/>
                <w:bCs/>
                <w:sz w:val="20"/>
                <w:szCs w:val="20"/>
              </w:rPr>
            </w:pPr>
            <w:r>
              <w:rPr>
                <w:rFonts w:asciiTheme="minorHAnsi" w:hAnsiTheme="minorHAnsi" w:cs="Arial"/>
                <w:bCs/>
                <w:sz w:val="20"/>
                <w:szCs w:val="20"/>
              </w:rPr>
              <w:t>(5.0)</w:t>
            </w:r>
          </w:p>
        </w:tc>
        <w:tc>
          <w:tcPr>
            <w:tcW w:w="1589" w:type="dxa"/>
            <w:tcBorders>
              <w:top w:val="single" w:sz="4" w:space="0" w:color="auto"/>
              <w:left w:val="single" w:sz="4" w:space="0" w:color="auto"/>
              <w:bottom w:val="single" w:sz="4" w:space="0" w:color="auto"/>
              <w:right w:val="single" w:sz="4" w:space="0" w:color="auto"/>
            </w:tcBorders>
            <w:shd w:val="clear" w:color="auto" w:fill="auto"/>
          </w:tcPr>
          <w:p w14:paraId="4E988712" w14:textId="77777777" w:rsidR="005F1859" w:rsidRDefault="005F1859" w:rsidP="00EF5C9A">
            <w:pPr>
              <w:jc w:val="center"/>
              <w:rPr>
                <w:rFonts w:asciiTheme="minorHAnsi" w:hAnsiTheme="minorHAnsi" w:cs="Arial"/>
                <w:bCs/>
                <w:sz w:val="20"/>
                <w:szCs w:val="20"/>
              </w:rPr>
            </w:pPr>
            <w:r>
              <w:rPr>
                <w:rFonts w:asciiTheme="minorHAnsi" w:hAnsiTheme="minorHAnsi" w:cs="Arial"/>
                <w:bCs/>
                <w:sz w:val="20"/>
                <w:szCs w:val="20"/>
              </w:rPr>
              <w:t>(2.2)</w:t>
            </w:r>
          </w:p>
        </w:tc>
        <w:tc>
          <w:tcPr>
            <w:tcW w:w="1469" w:type="dxa"/>
            <w:tcBorders>
              <w:top w:val="single" w:sz="4" w:space="0" w:color="auto"/>
              <w:left w:val="single" w:sz="4" w:space="0" w:color="auto"/>
              <w:bottom w:val="single" w:sz="4" w:space="0" w:color="auto"/>
              <w:right w:val="single" w:sz="4" w:space="0" w:color="auto"/>
            </w:tcBorders>
            <w:shd w:val="clear" w:color="auto" w:fill="auto"/>
          </w:tcPr>
          <w:p w14:paraId="4C8293DB" w14:textId="77777777" w:rsidR="005F1859" w:rsidRDefault="005F1859" w:rsidP="00EF5C9A">
            <w:pPr>
              <w:jc w:val="center"/>
              <w:rPr>
                <w:rFonts w:asciiTheme="minorHAnsi" w:hAnsiTheme="minorHAnsi" w:cs="Arial"/>
                <w:bCs/>
                <w:sz w:val="20"/>
                <w:szCs w:val="20"/>
              </w:rPr>
            </w:pPr>
            <w:r>
              <w:rPr>
                <w:rFonts w:asciiTheme="minorHAnsi" w:hAnsiTheme="minorHAnsi" w:cs="Arial"/>
                <w:bCs/>
                <w:sz w:val="20"/>
                <w:szCs w:val="20"/>
              </w:rPr>
              <w:t>0</w:t>
            </w:r>
          </w:p>
        </w:tc>
      </w:tr>
      <w:tr w:rsidR="005F1859" w:rsidRPr="001354D2" w14:paraId="18285976"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tcPr>
          <w:p w14:paraId="6991942C" w14:textId="77777777" w:rsidR="005F1859" w:rsidRPr="001354D2" w:rsidRDefault="005F1859" w:rsidP="00EF5C9A">
            <w:pPr>
              <w:rPr>
                <w:rFonts w:asciiTheme="minorHAnsi" w:hAnsiTheme="minorHAnsi" w:cs="Arial"/>
                <w:bCs/>
                <w:sz w:val="20"/>
                <w:szCs w:val="20"/>
              </w:rPr>
            </w:pPr>
            <w:r w:rsidRPr="001354D2">
              <w:rPr>
                <w:rFonts w:asciiTheme="minorHAnsi" w:hAnsiTheme="minorHAnsi" w:cs="Arial"/>
                <w:bCs/>
                <w:sz w:val="20"/>
                <w:szCs w:val="20"/>
              </w:rPr>
              <w:t>Targeted Intervention (TI) funding</w:t>
            </w:r>
          </w:p>
        </w:tc>
        <w:tc>
          <w:tcPr>
            <w:tcW w:w="1585" w:type="dxa"/>
            <w:tcBorders>
              <w:top w:val="single" w:sz="4" w:space="0" w:color="auto"/>
              <w:left w:val="single" w:sz="4" w:space="0" w:color="auto"/>
              <w:bottom w:val="single" w:sz="4" w:space="0" w:color="auto"/>
              <w:right w:val="single" w:sz="4" w:space="0" w:color="auto"/>
            </w:tcBorders>
            <w:shd w:val="clear" w:color="auto" w:fill="auto"/>
          </w:tcPr>
          <w:p w14:paraId="10EE3EF8" w14:textId="77777777" w:rsidR="005F1859" w:rsidRPr="001354D2" w:rsidRDefault="005F1859" w:rsidP="00EF5C9A">
            <w:pPr>
              <w:jc w:val="center"/>
              <w:rPr>
                <w:rFonts w:asciiTheme="minorHAnsi" w:hAnsiTheme="minorHAnsi" w:cs="Arial"/>
                <w:bCs/>
                <w:sz w:val="20"/>
                <w:szCs w:val="20"/>
              </w:rPr>
            </w:pPr>
            <w:r>
              <w:rPr>
                <w:rFonts w:asciiTheme="minorHAnsi" w:hAnsiTheme="minorHAnsi" w:cs="Arial"/>
                <w:bCs/>
                <w:sz w:val="20"/>
                <w:szCs w:val="20"/>
              </w:rPr>
              <w:t>(3.5)</w:t>
            </w:r>
          </w:p>
        </w:tc>
        <w:tc>
          <w:tcPr>
            <w:tcW w:w="1589" w:type="dxa"/>
            <w:tcBorders>
              <w:top w:val="single" w:sz="4" w:space="0" w:color="auto"/>
              <w:left w:val="single" w:sz="4" w:space="0" w:color="auto"/>
              <w:bottom w:val="single" w:sz="4" w:space="0" w:color="auto"/>
              <w:right w:val="single" w:sz="4" w:space="0" w:color="auto"/>
            </w:tcBorders>
            <w:shd w:val="clear" w:color="auto" w:fill="auto"/>
          </w:tcPr>
          <w:p w14:paraId="1EF2618C" w14:textId="77777777" w:rsidR="005F1859" w:rsidRPr="001354D2" w:rsidRDefault="005F1859" w:rsidP="00EF5C9A">
            <w:pPr>
              <w:jc w:val="center"/>
              <w:rPr>
                <w:rFonts w:asciiTheme="minorHAnsi" w:hAnsiTheme="minorHAnsi" w:cs="Arial"/>
                <w:bCs/>
                <w:sz w:val="20"/>
                <w:szCs w:val="20"/>
              </w:rPr>
            </w:pPr>
            <w:r>
              <w:rPr>
                <w:rFonts w:asciiTheme="minorHAnsi" w:hAnsiTheme="minorHAnsi" w:cs="Arial"/>
                <w:bCs/>
                <w:sz w:val="20"/>
                <w:szCs w:val="20"/>
              </w:rPr>
              <w:t>(3.5)</w:t>
            </w:r>
          </w:p>
        </w:tc>
        <w:tc>
          <w:tcPr>
            <w:tcW w:w="1469" w:type="dxa"/>
            <w:tcBorders>
              <w:top w:val="single" w:sz="4" w:space="0" w:color="auto"/>
              <w:left w:val="single" w:sz="4" w:space="0" w:color="auto"/>
              <w:bottom w:val="single" w:sz="4" w:space="0" w:color="auto"/>
              <w:right w:val="single" w:sz="4" w:space="0" w:color="auto"/>
            </w:tcBorders>
            <w:shd w:val="clear" w:color="auto" w:fill="auto"/>
          </w:tcPr>
          <w:p w14:paraId="53950D34" w14:textId="77777777" w:rsidR="005F1859" w:rsidRPr="001354D2" w:rsidRDefault="005F1859" w:rsidP="00EF5C9A">
            <w:pPr>
              <w:jc w:val="center"/>
              <w:rPr>
                <w:rFonts w:asciiTheme="minorHAnsi" w:hAnsiTheme="minorHAnsi" w:cs="Arial"/>
                <w:bCs/>
                <w:sz w:val="20"/>
                <w:szCs w:val="20"/>
              </w:rPr>
            </w:pPr>
            <w:r>
              <w:rPr>
                <w:rFonts w:asciiTheme="minorHAnsi" w:hAnsiTheme="minorHAnsi" w:cs="Arial"/>
                <w:bCs/>
                <w:sz w:val="20"/>
                <w:szCs w:val="20"/>
              </w:rPr>
              <w:t>0</w:t>
            </w:r>
          </w:p>
        </w:tc>
      </w:tr>
      <w:tr w:rsidR="005F1859" w:rsidRPr="001354D2" w14:paraId="70E52975"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tcPr>
          <w:p w14:paraId="5EFCC7FA" w14:textId="77777777" w:rsidR="005F1859" w:rsidRPr="001354D2" w:rsidRDefault="005F1859" w:rsidP="00EF5C9A">
            <w:pPr>
              <w:rPr>
                <w:rFonts w:asciiTheme="minorHAnsi" w:hAnsiTheme="minorHAnsi" w:cs="Arial"/>
                <w:bCs/>
                <w:sz w:val="20"/>
                <w:szCs w:val="20"/>
              </w:rPr>
            </w:pPr>
            <w:r w:rsidRPr="001354D2">
              <w:rPr>
                <w:rFonts w:asciiTheme="minorHAnsi" w:hAnsiTheme="minorHAnsi" w:cs="Arial"/>
                <w:bCs/>
                <w:sz w:val="20"/>
                <w:szCs w:val="20"/>
              </w:rPr>
              <w:t>Transformation programmes</w:t>
            </w:r>
          </w:p>
        </w:tc>
        <w:tc>
          <w:tcPr>
            <w:tcW w:w="1585" w:type="dxa"/>
            <w:tcBorders>
              <w:top w:val="single" w:sz="4" w:space="0" w:color="auto"/>
              <w:left w:val="single" w:sz="4" w:space="0" w:color="auto"/>
              <w:bottom w:val="single" w:sz="4" w:space="0" w:color="auto"/>
              <w:right w:val="single" w:sz="4" w:space="0" w:color="auto"/>
            </w:tcBorders>
          </w:tcPr>
          <w:p w14:paraId="22909FEF"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(12.1)</w:t>
            </w:r>
          </w:p>
        </w:tc>
        <w:tc>
          <w:tcPr>
            <w:tcW w:w="1589" w:type="dxa"/>
            <w:tcBorders>
              <w:top w:val="single" w:sz="4" w:space="0" w:color="auto"/>
              <w:left w:val="single" w:sz="4" w:space="0" w:color="auto"/>
              <w:bottom w:val="single" w:sz="4" w:space="0" w:color="auto"/>
              <w:right w:val="single" w:sz="4" w:space="0" w:color="auto"/>
            </w:tcBorders>
          </w:tcPr>
          <w:p w14:paraId="21544CB2"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w:t>
            </w:r>
          </w:p>
        </w:tc>
        <w:tc>
          <w:tcPr>
            <w:tcW w:w="1469" w:type="dxa"/>
            <w:tcBorders>
              <w:top w:val="single" w:sz="4" w:space="0" w:color="auto"/>
              <w:left w:val="single" w:sz="4" w:space="0" w:color="auto"/>
              <w:bottom w:val="single" w:sz="4" w:space="0" w:color="auto"/>
              <w:right w:val="single" w:sz="4" w:space="0" w:color="auto"/>
            </w:tcBorders>
          </w:tcPr>
          <w:p w14:paraId="3A0F1D55"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w:t>
            </w:r>
          </w:p>
        </w:tc>
      </w:tr>
      <w:tr w:rsidR="005F1859" w:rsidRPr="001354D2" w14:paraId="2FC36C43"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tcPr>
          <w:p w14:paraId="227456B5" w14:textId="77777777" w:rsidR="005F1859" w:rsidRPr="001354D2" w:rsidRDefault="005F1859" w:rsidP="00EF5C9A">
            <w:pPr>
              <w:rPr>
                <w:rFonts w:asciiTheme="minorHAnsi" w:hAnsiTheme="minorHAnsi" w:cs="Arial"/>
                <w:bCs/>
                <w:sz w:val="20"/>
                <w:szCs w:val="20"/>
              </w:rPr>
            </w:pPr>
            <w:r w:rsidRPr="001354D2">
              <w:rPr>
                <w:rFonts w:asciiTheme="minorHAnsi" w:hAnsiTheme="minorHAnsi" w:cs="Arial"/>
                <w:bCs/>
                <w:sz w:val="20"/>
                <w:szCs w:val="20"/>
              </w:rPr>
              <w:t>Delivering RTT performance</w:t>
            </w:r>
          </w:p>
        </w:tc>
        <w:tc>
          <w:tcPr>
            <w:tcW w:w="1585" w:type="dxa"/>
            <w:tcBorders>
              <w:top w:val="single" w:sz="4" w:space="0" w:color="auto"/>
              <w:left w:val="single" w:sz="4" w:space="0" w:color="auto"/>
              <w:bottom w:val="single" w:sz="4" w:space="0" w:color="auto"/>
              <w:right w:val="single" w:sz="4" w:space="0" w:color="auto"/>
            </w:tcBorders>
          </w:tcPr>
          <w:p w14:paraId="642F1220"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tbc</w:t>
            </w:r>
          </w:p>
        </w:tc>
        <w:tc>
          <w:tcPr>
            <w:tcW w:w="1589" w:type="dxa"/>
            <w:tcBorders>
              <w:top w:val="single" w:sz="4" w:space="0" w:color="auto"/>
              <w:left w:val="single" w:sz="4" w:space="0" w:color="auto"/>
              <w:bottom w:val="single" w:sz="4" w:space="0" w:color="auto"/>
              <w:right w:val="single" w:sz="4" w:space="0" w:color="auto"/>
            </w:tcBorders>
          </w:tcPr>
          <w:p w14:paraId="7CD7548D"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tbc</w:t>
            </w:r>
          </w:p>
        </w:tc>
        <w:tc>
          <w:tcPr>
            <w:tcW w:w="1469" w:type="dxa"/>
            <w:tcBorders>
              <w:top w:val="single" w:sz="4" w:space="0" w:color="auto"/>
              <w:left w:val="single" w:sz="4" w:space="0" w:color="auto"/>
              <w:bottom w:val="single" w:sz="4" w:space="0" w:color="auto"/>
              <w:right w:val="single" w:sz="4" w:space="0" w:color="auto"/>
            </w:tcBorders>
          </w:tcPr>
          <w:p w14:paraId="6BD399E2"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tbc</w:t>
            </w:r>
          </w:p>
        </w:tc>
      </w:tr>
      <w:tr w:rsidR="005F1859" w:rsidRPr="001354D2" w14:paraId="3C134261"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tcPr>
          <w:p w14:paraId="771D153C" w14:textId="77777777" w:rsidR="005F1859" w:rsidRPr="001354D2" w:rsidRDefault="005F1859" w:rsidP="00EF5C9A">
            <w:pPr>
              <w:rPr>
                <w:rFonts w:asciiTheme="minorHAnsi" w:hAnsiTheme="minorHAnsi" w:cs="Arial"/>
                <w:bCs/>
                <w:sz w:val="20"/>
                <w:szCs w:val="20"/>
              </w:rPr>
            </w:pPr>
            <w:r w:rsidRPr="001354D2">
              <w:rPr>
                <w:rFonts w:asciiTheme="minorHAnsi" w:hAnsiTheme="minorHAnsi" w:cs="Arial"/>
                <w:bCs/>
                <w:sz w:val="20"/>
                <w:szCs w:val="20"/>
              </w:rPr>
              <w:t>Invest to save funding</w:t>
            </w:r>
            <w:r>
              <w:rPr>
                <w:rFonts w:asciiTheme="minorHAnsi" w:hAnsiTheme="minorHAnsi" w:cs="Arial"/>
                <w:bCs/>
                <w:sz w:val="20"/>
                <w:szCs w:val="20"/>
              </w:rPr>
              <w:t xml:space="preserve">- Records </w:t>
            </w:r>
            <w:r w:rsidRPr="001354D2">
              <w:rPr>
                <w:rFonts w:asciiTheme="minorHAnsi" w:hAnsiTheme="minorHAnsi" w:cs="Arial"/>
                <w:bCs/>
                <w:sz w:val="20"/>
                <w:szCs w:val="20"/>
              </w:rPr>
              <w:t>digitisation</w:t>
            </w:r>
          </w:p>
        </w:tc>
        <w:tc>
          <w:tcPr>
            <w:tcW w:w="1585" w:type="dxa"/>
            <w:tcBorders>
              <w:top w:val="single" w:sz="4" w:space="0" w:color="auto"/>
              <w:left w:val="single" w:sz="4" w:space="0" w:color="auto"/>
              <w:bottom w:val="single" w:sz="4" w:space="0" w:color="auto"/>
              <w:right w:val="single" w:sz="4" w:space="0" w:color="auto"/>
            </w:tcBorders>
          </w:tcPr>
          <w:p w14:paraId="31C4A944"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(1.0)</w:t>
            </w:r>
          </w:p>
        </w:tc>
        <w:tc>
          <w:tcPr>
            <w:tcW w:w="1589" w:type="dxa"/>
            <w:tcBorders>
              <w:top w:val="single" w:sz="4" w:space="0" w:color="auto"/>
              <w:left w:val="single" w:sz="4" w:space="0" w:color="auto"/>
              <w:bottom w:val="single" w:sz="4" w:space="0" w:color="auto"/>
              <w:right w:val="single" w:sz="4" w:space="0" w:color="auto"/>
            </w:tcBorders>
          </w:tcPr>
          <w:p w14:paraId="609E62F4"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(0.5)</w:t>
            </w:r>
          </w:p>
        </w:tc>
        <w:tc>
          <w:tcPr>
            <w:tcW w:w="1469" w:type="dxa"/>
            <w:tcBorders>
              <w:top w:val="single" w:sz="4" w:space="0" w:color="auto"/>
              <w:left w:val="single" w:sz="4" w:space="0" w:color="auto"/>
              <w:bottom w:val="single" w:sz="4" w:space="0" w:color="auto"/>
              <w:right w:val="single" w:sz="4" w:space="0" w:color="auto"/>
            </w:tcBorders>
          </w:tcPr>
          <w:p w14:paraId="37470EE5"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w:t>
            </w:r>
          </w:p>
        </w:tc>
      </w:tr>
      <w:tr w:rsidR="005F1859" w:rsidRPr="001354D2" w14:paraId="7191BDB9"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tcPr>
          <w:p w14:paraId="49E65F40" w14:textId="77777777" w:rsidR="005F1859" w:rsidRPr="001354D2" w:rsidRDefault="005F1859" w:rsidP="00EF5C9A">
            <w:pPr>
              <w:rPr>
                <w:rFonts w:asciiTheme="minorHAnsi" w:hAnsiTheme="minorHAnsi" w:cs="Arial"/>
                <w:bCs/>
                <w:sz w:val="20"/>
                <w:szCs w:val="20"/>
              </w:rPr>
            </w:pPr>
            <w:r w:rsidRPr="001354D2">
              <w:rPr>
                <w:rFonts w:asciiTheme="minorHAnsi" w:hAnsiTheme="minorHAnsi" w:cs="Arial"/>
                <w:bCs/>
                <w:sz w:val="20"/>
                <w:szCs w:val="20"/>
              </w:rPr>
              <w:t xml:space="preserve">Invest to save funding – </w:t>
            </w:r>
            <w:r>
              <w:rPr>
                <w:rFonts w:asciiTheme="minorHAnsi" w:hAnsiTheme="minorHAnsi" w:cs="Arial"/>
                <w:bCs/>
                <w:sz w:val="20"/>
                <w:szCs w:val="20"/>
              </w:rPr>
              <w:t xml:space="preserve">Overseas nursing </w:t>
            </w:r>
          </w:p>
        </w:tc>
        <w:tc>
          <w:tcPr>
            <w:tcW w:w="1585" w:type="dxa"/>
            <w:tcBorders>
              <w:top w:val="single" w:sz="4" w:space="0" w:color="auto"/>
              <w:left w:val="single" w:sz="4" w:space="0" w:color="auto"/>
              <w:bottom w:val="single" w:sz="4" w:space="0" w:color="auto"/>
              <w:right w:val="single" w:sz="4" w:space="0" w:color="auto"/>
            </w:tcBorders>
          </w:tcPr>
          <w:p w14:paraId="25E0F630" w14:textId="77777777" w:rsidR="005F1859" w:rsidRPr="001354D2" w:rsidRDefault="005F1859" w:rsidP="00EF5C9A">
            <w:pPr>
              <w:jc w:val="center"/>
              <w:rPr>
                <w:rFonts w:asciiTheme="minorHAnsi" w:hAnsiTheme="minorHAnsi" w:cs="Arial"/>
                <w:bCs/>
                <w:sz w:val="20"/>
                <w:szCs w:val="20"/>
              </w:rPr>
            </w:pPr>
            <w:r>
              <w:rPr>
                <w:rFonts w:asciiTheme="minorHAnsi" w:hAnsiTheme="minorHAnsi" w:cs="Arial"/>
                <w:bCs/>
                <w:sz w:val="20"/>
                <w:szCs w:val="20"/>
              </w:rPr>
              <w:t>(0.5)</w:t>
            </w:r>
          </w:p>
        </w:tc>
        <w:tc>
          <w:tcPr>
            <w:tcW w:w="1589" w:type="dxa"/>
            <w:tcBorders>
              <w:top w:val="single" w:sz="4" w:space="0" w:color="auto"/>
              <w:left w:val="single" w:sz="4" w:space="0" w:color="auto"/>
              <w:bottom w:val="single" w:sz="4" w:space="0" w:color="auto"/>
              <w:right w:val="single" w:sz="4" w:space="0" w:color="auto"/>
            </w:tcBorders>
          </w:tcPr>
          <w:p w14:paraId="42516468" w14:textId="77777777" w:rsidR="005F1859" w:rsidRPr="001354D2" w:rsidRDefault="005F1859" w:rsidP="00EF5C9A">
            <w:pPr>
              <w:jc w:val="center"/>
              <w:rPr>
                <w:rFonts w:asciiTheme="minorHAnsi" w:hAnsiTheme="minorHAnsi" w:cs="Arial"/>
                <w:bCs/>
                <w:sz w:val="20"/>
                <w:szCs w:val="20"/>
              </w:rPr>
            </w:pPr>
            <w:r>
              <w:rPr>
                <w:rFonts w:asciiTheme="minorHAnsi" w:hAnsiTheme="minorHAnsi" w:cs="Arial"/>
                <w:bCs/>
                <w:sz w:val="20"/>
                <w:szCs w:val="20"/>
              </w:rPr>
              <w:t>0</w:t>
            </w:r>
          </w:p>
        </w:tc>
        <w:tc>
          <w:tcPr>
            <w:tcW w:w="1469" w:type="dxa"/>
            <w:tcBorders>
              <w:top w:val="single" w:sz="4" w:space="0" w:color="auto"/>
              <w:left w:val="single" w:sz="4" w:space="0" w:color="auto"/>
              <w:bottom w:val="single" w:sz="4" w:space="0" w:color="auto"/>
              <w:right w:val="single" w:sz="4" w:space="0" w:color="auto"/>
            </w:tcBorders>
          </w:tcPr>
          <w:p w14:paraId="4785C2DF" w14:textId="77777777" w:rsidR="005F1859" w:rsidRPr="001354D2" w:rsidRDefault="005F1859" w:rsidP="00EF5C9A">
            <w:pPr>
              <w:jc w:val="center"/>
              <w:rPr>
                <w:rFonts w:asciiTheme="minorHAnsi" w:hAnsiTheme="minorHAnsi" w:cs="Arial"/>
                <w:bCs/>
                <w:sz w:val="20"/>
                <w:szCs w:val="20"/>
              </w:rPr>
            </w:pPr>
            <w:r>
              <w:rPr>
                <w:rFonts w:asciiTheme="minorHAnsi" w:hAnsiTheme="minorHAnsi" w:cs="Arial"/>
                <w:bCs/>
                <w:sz w:val="20"/>
                <w:szCs w:val="20"/>
              </w:rPr>
              <w:t>0</w:t>
            </w:r>
          </w:p>
        </w:tc>
      </w:tr>
      <w:tr w:rsidR="005F1859" w:rsidRPr="001354D2" w14:paraId="4F328B52"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hideMark/>
          </w:tcPr>
          <w:p w14:paraId="7F2864CE" w14:textId="77777777" w:rsidR="005F1859" w:rsidRPr="001354D2" w:rsidRDefault="005F1859" w:rsidP="00EF5C9A">
            <w:pPr>
              <w:rPr>
                <w:rFonts w:asciiTheme="minorHAnsi" w:hAnsiTheme="minorHAnsi" w:cs="Arial"/>
                <w:bCs/>
                <w:sz w:val="20"/>
                <w:szCs w:val="20"/>
              </w:rPr>
            </w:pPr>
            <w:r w:rsidRPr="001354D2">
              <w:rPr>
                <w:rFonts w:asciiTheme="minorHAnsi" w:hAnsiTheme="minorHAnsi" w:cs="Arial"/>
                <w:bCs/>
                <w:sz w:val="20"/>
                <w:szCs w:val="20"/>
              </w:rPr>
              <w:t>Invest to Save repayments- Records digitisation</w:t>
            </w:r>
          </w:p>
        </w:tc>
        <w:tc>
          <w:tcPr>
            <w:tcW w:w="1585" w:type="dxa"/>
            <w:tcBorders>
              <w:top w:val="single" w:sz="4" w:space="0" w:color="auto"/>
              <w:left w:val="single" w:sz="4" w:space="0" w:color="auto"/>
              <w:bottom w:val="single" w:sz="4" w:space="0" w:color="auto"/>
              <w:right w:val="single" w:sz="4" w:space="0" w:color="auto"/>
            </w:tcBorders>
          </w:tcPr>
          <w:p w14:paraId="4BB023C1"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0.4</w:t>
            </w:r>
          </w:p>
        </w:tc>
        <w:tc>
          <w:tcPr>
            <w:tcW w:w="1589" w:type="dxa"/>
            <w:tcBorders>
              <w:top w:val="single" w:sz="4" w:space="0" w:color="auto"/>
              <w:left w:val="single" w:sz="4" w:space="0" w:color="auto"/>
              <w:bottom w:val="single" w:sz="4" w:space="0" w:color="auto"/>
              <w:right w:val="single" w:sz="4" w:space="0" w:color="auto"/>
            </w:tcBorders>
          </w:tcPr>
          <w:p w14:paraId="3F5872C3"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w:t>
            </w:r>
          </w:p>
        </w:tc>
        <w:tc>
          <w:tcPr>
            <w:tcW w:w="1469" w:type="dxa"/>
            <w:tcBorders>
              <w:top w:val="single" w:sz="4" w:space="0" w:color="auto"/>
              <w:left w:val="single" w:sz="4" w:space="0" w:color="auto"/>
              <w:bottom w:val="single" w:sz="4" w:space="0" w:color="auto"/>
              <w:right w:val="single" w:sz="4" w:space="0" w:color="auto"/>
            </w:tcBorders>
          </w:tcPr>
          <w:p w14:paraId="3F377FE7"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0.5</w:t>
            </w:r>
          </w:p>
        </w:tc>
      </w:tr>
      <w:tr w:rsidR="005F1859" w:rsidRPr="001354D2" w14:paraId="086DDBE2"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tcPr>
          <w:p w14:paraId="6117B0CA" w14:textId="77777777" w:rsidR="005F1859" w:rsidRPr="001354D2" w:rsidRDefault="005F1859" w:rsidP="00EF5C9A">
            <w:pPr>
              <w:rPr>
                <w:rFonts w:asciiTheme="minorHAnsi" w:hAnsiTheme="minorHAnsi" w:cs="Arial"/>
                <w:bCs/>
                <w:sz w:val="20"/>
                <w:szCs w:val="20"/>
              </w:rPr>
            </w:pPr>
            <w:r>
              <w:rPr>
                <w:rFonts w:asciiTheme="minorHAnsi" w:hAnsiTheme="minorHAnsi" w:cs="Arial"/>
                <w:bCs/>
                <w:sz w:val="20"/>
                <w:szCs w:val="20"/>
              </w:rPr>
              <w:t>Invest to Save repayments- Overseas nursing</w:t>
            </w:r>
          </w:p>
        </w:tc>
        <w:tc>
          <w:tcPr>
            <w:tcW w:w="1585" w:type="dxa"/>
            <w:tcBorders>
              <w:top w:val="single" w:sz="4" w:space="0" w:color="auto"/>
              <w:left w:val="single" w:sz="4" w:space="0" w:color="auto"/>
              <w:bottom w:val="single" w:sz="4" w:space="0" w:color="auto"/>
              <w:right w:val="single" w:sz="4" w:space="0" w:color="auto"/>
            </w:tcBorders>
          </w:tcPr>
          <w:p w14:paraId="64E613B7" w14:textId="77777777" w:rsidR="005F1859" w:rsidRPr="001354D2" w:rsidRDefault="005F1859" w:rsidP="00EF5C9A">
            <w:pPr>
              <w:jc w:val="center"/>
              <w:rPr>
                <w:rFonts w:asciiTheme="minorHAnsi" w:hAnsiTheme="minorHAnsi" w:cs="Arial"/>
                <w:bCs/>
                <w:sz w:val="20"/>
                <w:szCs w:val="20"/>
              </w:rPr>
            </w:pPr>
            <w:r>
              <w:rPr>
                <w:rFonts w:asciiTheme="minorHAnsi" w:hAnsiTheme="minorHAnsi" w:cs="Arial"/>
                <w:bCs/>
                <w:sz w:val="20"/>
                <w:szCs w:val="20"/>
              </w:rPr>
              <w:t>0</w:t>
            </w:r>
          </w:p>
        </w:tc>
        <w:tc>
          <w:tcPr>
            <w:tcW w:w="1589" w:type="dxa"/>
            <w:tcBorders>
              <w:top w:val="single" w:sz="4" w:space="0" w:color="auto"/>
              <w:left w:val="single" w:sz="4" w:space="0" w:color="auto"/>
              <w:bottom w:val="single" w:sz="4" w:space="0" w:color="auto"/>
              <w:right w:val="single" w:sz="4" w:space="0" w:color="auto"/>
            </w:tcBorders>
          </w:tcPr>
          <w:p w14:paraId="698F479E" w14:textId="77777777" w:rsidR="005F1859" w:rsidRPr="001354D2" w:rsidRDefault="005F1859" w:rsidP="00EF5C9A">
            <w:pPr>
              <w:jc w:val="center"/>
              <w:rPr>
                <w:rFonts w:asciiTheme="minorHAnsi" w:hAnsiTheme="minorHAnsi" w:cs="Arial"/>
                <w:bCs/>
                <w:sz w:val="20"/>
                <w:szCs w:val="20"/>
              </w:rPr>
            </w:pPr>
            <w:r>
              <w:rPr>
                <w:rFonts w:asciiTheme="minorHAnsi" w:hAnsiTheme="minorHAnsi" w:cs="Arial"/>
                <w:bCs/>
                <w:sz w:val="20"/>
                <w:szCs w:val="20"/>
              </w:rPr>
              <w:t>0.6</w:t>
            </w:r>
          </w:p>
        </w:tc>
        <w:tc>
          <w:tcPr>
            <w:tcW w:w="1469" w:type="dxa"/>
            <w:tcBorders>
              <w:top w:val="single" w:sz="4" w:space="0" w:color="auto"/>
              <w:left w:val="single" w:sz="4" w:space="0" w:color="auto"/>
              <w:bottom w:val="single" w:sz="4" w:space="0" w:color="auto"/>
              <w:right w:val="single" w:sz="4" w:space="0" w:color="auto"/>
            </w:tcBorders>
          </w:tcPr>
          <w:p w14:paraId="38BB6711" w14:textId="77777777" w:rsidR="005F1859" w:rsidRPr="001354D2" w:rsidRDefault="005F1859" w:rsidP="00EF5C9A">
            <w:pPr>
              <w:jc w:val="center"/>
              <w:rPr>
                <w:rFonts w:asciiTheme="minorHAnsi" w:hAnsiTheme="minorHAnsi" w:cs="Arial"/>
                <w:bCs/>
                <w:sz w:val="20"/>
                <w:szCs w:val="20"/>
              </w:rPr>
            </w:pPr>
            <w:r>
              <w:rPr>
                <w:rFonts w:asciiTheme="minorHAnsi" w:hAnsiTheme="minorHAnsi" w:cs="Arial"/>
                <w:bCs/>
                <w:sz w:val="20"/>
                <w:szCs w:val="20"/>
              </w:rPr>
              <w:t>0.6</w:t>
            </w:r>
          </w:p>
        </w:tc>
      </w:tr>
      <w:tr w:rsidR="005F1859" w:rsidRPr="001354D2" w14:paraId="43B635ED"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hideMark/>
          </w:tcPr>
          <w:p w14:paraId="7999255F" w14:textId="77777777" w:rsidR="005F1859" w:rsidRPr="001354D2" w:rsidRDefault="005F1859" w:rsidP="00EF5C9A">
            <w:pPr>
              <w:rPr>
                <w:rFonts w:asciiTheme="minorHAnsi" w:hAnsiTheme="minorHAnsi" w:cs="Arial"/>
                <w:bCs/>
                <w:sz w:val="20"/>
                <w:szCs w:val="20"/>
              </w:rPr>
            </w:pPr>
            <w:r w:rsidRPr="001354D2">
              <w:rPr>
                <w:rFonts w:asciiTheme="minorHAnsi" w:hAnsiTheme="minorHAnsi" w:cs="Arial"/>
                <w:bCs/>
                <w:sz w:val="20"/>
                <w:szCs w:val="20"/>
              </w:rPr>
              <w:t>Estimated repayment of 2017/18 AME funding for retrospective CHC claims which crystallise in 2020/21</w:t>
            </w:r>
          </w:p>
        </w:tc>
        <w:tc>
          <w:tcPr>
            <w:tcW w:w="1585" w:type="dxa"/>
            <w:tcBorders>
              <w:top w:val="single" w:sz="4" w:space="0" w:color="auto"/>
              <w:left w:val="single" w:sz="4" w:space="0" w:color="auto"/>
              <w:bottom w:val="single" w:sz="4" w:space="0" w:color="auto"/>
              <w:right w:val="single" w:sz="4" w:space="0" w:color="auto"/>
            </w:tcBorders>
          </w:tcPr>
          <w:p w14:paraId="033B972A"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0.5</w:t>
            </w:r>
          </w:p>
        </w:tc>
        <w:tc>
          <w:tcPr>
            <w:tcW w:w="1589" w:type="dxa"/>
            <w:tcBorders>
              <w:top w:val="single" w:sz="4" w:space="0" w:color="auto"/>
              <w:left w:val="single" w:sz="4" w:space="0" w:color="auto"/>
              <w:bottom w:val="single" w:sz="4" w:space="0" w:color="auto"/>
              <w:right w:val="single" w:sz="4" w:space="0" w:color="auto"/>
            </w:tcBorders>
          </w:tcPr>
          <w:p w14:paraId="2022DE3B"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0.5</w:t>
            </w:r>
          </w:p>
        </w:tc>
        <w:tc>
          <w:tcPr>
            <w:tcW w:w="1469" w:type="dxa"/>
            <w:tcBorders>
              <w:top w:val="single" w:sz="4" w:space="0" w:color="auto"/>
              <w:left w:val="single" w:sz="4" w:space="0" w:color="auto"/>
              <w:bottom w:val="single" w:sz="4" w:space="0" w:color="auto"/>
              <w:right w:val="single" w:sz="4" w:space="0" w:color="auto"/>
            </w:tcBorders>
          </w:tcPr>
          <w:p w14:paraId="74B44B35"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0.5</w:t>
            </w:r>
          </w:p>
        </w:tc>
      </w:tr>
      <w:tr w:rsidR="005F1859" w:rsidRPr="001354D2" w14:paraId="224BD17E" w14:textId="77777777" w:rsidTr="00EF5C9A">
        <w:trPr>
          <w:trHeight w:val="270"/>
          <w:jc w:val="center"/>
        </w:trPr>
        <w:tc>
          <w:tcPr>
            <w:tcW w:w="3675" w:type="dxa"/>
            <w:tcBorders>
              <w:top w:val="single" w:sz="4" w:space="0" w:color="auto"/>
              <w:left w:val="single" w:sz="4" w:space="0" w:color="auto"/>
              <w:bottom w:val="single" w:sz="4" w:space="0" w:color="auto"/>
              <w:right w:val="single" w:sz="4" w:space="0" w:color="auto"/>
            </w:tcBorders>
            <w:hideMark/>
          </w:tcPr>
          <w:p w14:paraId="403FA0BC" w14:textId="77777777" w:rsidR="005F1859" w:rsidRPr="001354D2" w:rsidRDefault="005F1859" w:rsidP="00EF5C9A">
            <w:pPr>
              <w:rPr>
                <w:rFonts w:asciiTheme="minorHAnsi" w:hAnsiTheme="minorHAnsi" w:cs="Arial"/>
                <w:bCs/>
                <w:sz w:val="20"/>
                <w:szCs w:val="20"/>
              </w:rPr>
            </w:pPr>
            <w:r w:rsidRPr="001354D2">
              <w:rPr>
                <w:rFonts w:asciiTheme="minorHAnsi" w:hAnsiTheme="minorHAnsi" w:cs="Arial"/>
                <w:bCs/>
                <w:sz w:val="20"/>
                <w:szCs w:val="20"/>
              </w:rPr>
              <w:t>Estimated new AME funding for new retrospective CHC claims provided for in 2019/20</w:t>
            </w:r>
          </w:p>
        </w:tc>
        <w:tc>
          <w:tcPr>
            <w:tcW w:w="1585" w:type="dxa"/>
            <w:tcBorders>
              <w:top w:val="single" w:sz="4" w:space="0" w:color="auto"/>
              <w:left w:val="single" w:sz="4" w:space="0" w:color="auto"/>
              <w:bottom w:val="single" w:sz="4" w:space="0" w:color="auto"/>
              <w:right w:val="single" w:sz="4" w:space="0" w:color="auto"/>
            </w:tcBorders>
          </w:tcPr>
          <w:p w14:paraId="64062BC1"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(0.5)</w:t>
            </w:r>
          </w:p>
        </w:tc>
        <w:tc>
          <w:tcPr>
            <w:tcW w:w="1589" w:type="dxa"/>
            <w:tcBorders>
              <w:top w:val="single" w:sz="4" w:space="0" w:color="auto"/>
              <w:left w:val="single" w:sz="4" w:space="0" w:color="auto"/>
              <w:bottom w:val="single" w:sz="4" w:space="0" w:color="auto"/>
              <w:right w:val="single" w:sz="4" w:space="0" w:color="auto"/>
            </w:tcBorders>
          </w:tcPr>
          <w:p w14:paraId="5BC974B0"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(0.5)</w:t>
            </w:r>
          </w:p>
        </w:tc>
        <w:tc>
          <w:tcPr>
            <w:tcW w:w="1469" w:type="dxa"/>
            <w:tcBorders>
              <w:top w:val="single" w:sz="4" w:space="0" w:color="auto"/>
              <w:left w:val="single" w:sz="4" w:space="0" w:color="auto"/>
              <w:bottom w:val="single" w:sz="4" w:space="0" w:color="auto"/>
              <w:right w:val="single" w:sz="4" w:space="0" w:color="auto"/>
            </w:tcBorders>
          </w:tcPr>
          <w:p w14:paraId="5A8E5B27" w14:textId="77777777" w:rsidR="005F1859" w:rsidRPr="001354D2" w:rsidRDefault="005F1859" w:rsidP="00EF5C9A">
            <w:pPr>
              <w:jc w:val="center"/>
              <w:rPr>
                <w:rFonts w:asciiTheme="minorHAnsi" w:hAnsiTheme="minorHAnsi" w:cs="Arial"/>
                <w:bCs/>
                <w:sz w:val="20"/>
                <w:szCs w:val="20"/>
              </w:rPr>
            </w:pPr>
            <w:r w:rsidRPr="001354D2">
              <w:rPr>
                <w:rFonts w:asciiTheme="minorHAnsi" w:hAnsiTheme="minorHAnsi" w:cs="Arial"/>
                <w:bCs/>
                <w:sz w:val="20"/>
                <w:szCs w:val="20"/>
              </w:rPr>
              <w:t>(0.5)</w:t>
            </w:r>
          </w:p>
        </w:tc>
      </w:tr>
      <w:tr w:rsidR="005F1859" w:rsidRPr="001354D2" w14:paraId="28789B46" w14:textId="77777777" w:rsidTr="00EF5C9A">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51B09EF2" w14:textId="77777777" w:rsidR="005F1859" w:rsidRPr="001354D2" w:rsidRDefault="005F1859" w:rsidP="00EF5C9A">
            <w:pPr>
              <w:rPr>
                <w:rFonts w:asciiTheme="minorHAnsi" w:hAnsiTheme="minorHAnsi" w:cs="Arial"/>
                <w:b/>
                <w:sz w:val="20"/>
                <w:szCs w:val="20"/>
              </w:rPr>
            </w:pPr>
            <w:r w:rsidRPr="001354D2">
              <w:rPr>
                <w:rFonts w:asciiTheme="minorHAnsi" w:hAnsiTheme="minorHAnsi" w:cs="Arial"/>
                <w:b/>
                <w:sz w:val="20"/>
                <w:szCs w:val="20"/>
              </w:rPr>
              <w:t>Total non-recurrent</w:t>
            </w:r>
          </w:p>
        </w:tc>
        <w:tc>
          <w:tcPr>
            <w:tcW w:w="1585" w:type="dxa"/>
            <w:tcBorders>
              <w:top w:val="single" w:sz="4" w:space="0" w:color="auto"/>
              <w:left w:val="single" w:sz="4" w:space="0" w:color="auto"/>
              <w:bottom w:val="single" w:sz="4" w:space="0" w:color="auto"/>
              <w:right w:val="single" w:sz="4" w:space="0" w:color="auto"/>
            </w:tcBorders>
          </w:tcPr>
          <w:p w14:paraId="7FCE9163" w14:textId="77777777" w:rsidR="005F1859" w:rsidRPr="001354D2" w:rsidRDefault="005F1859" w:rsidP="00EF5C9A">
            <w:pPr>
              <w:jc w:val="center"/>
              <w:rPr>
                <w:rFonts w:asciiTheme="minorHAnsi" w:hAnsiTheme="minorHAnsi" w:cs="Arial"/>
                <w:b/>
                <w:bCs/>
                <w:sz w:val="20"/>
                <w:szCs w:val="20"/>
              </w:rPr>
            </w:pPr>
            <w:r>
              <w:rPr>
                <w:rFonts w:asciiTheme="minorHAnsi" w:hAnsiTheme="minorHAnsi" w:cs="Arial"/>
                <w:b/>
                <w:bCs/>
                <w:sz w:val="20"/>
                <w:szCs w:val="20"/>
              </w:rPr>
              <w:t>(21.7</w:t>
            </w:r>
            <w:r w:rsidRPr="001354D2">
              <w:rPr>
                <w:rFonts w:asciiTheme="minorHAnsi" w:hAnsiTheme="minorHAnsi" w:cs="Arial"/>
                <w:b/>
                <w:bCs/>
                <w:sz w:val="20"/>
                <w:szCs w:val="20"/>
              </w:rPr>
              <w:t>)</w:t>
            </w:r>
          </w:p>
        </w:tc>
        <w:tc>
          <w:tcPr>
            <w:tcW w:w="1589" w:type="dxa"/>
            <w:tcBorders>
              <w:top w:val="single" w:sz="4" w:space="0" w:color="auto"/>
              <w:left w:val="single" w:sz="4" w:space="0" w:color="auto"/>
              <w:bottom w:val="single" w:sz="4" w:space="0" w:color="auto"/>
              <w:right w:val="single" w:sz="4" w:space="0" w:color="auto"/>
            </w:tcBorders>
          </w:tcPr>
          <w:p w14:paraId="32AC7D40" w14:textId="77777777" w:rsidR="005F1859" w:rsidRPr="001354D2" w:rsidRDefault="005F1859" w:rsidP="00EF5C9A">
            <w:pPr>
              <w:jc w:val="center"/>
              <w:rPr>
                <w:rFonts w:asciiTheme="minorHAnsi" w:hAnsiTheme="minorHAnsi" w:cs="Arial"/>
                <w:b/>
                <w:bCs/>
                <w:sz w:val="20"/>
                <w:szCs w:val="20"/>
              </w:rPr>
            </w:pPr>
            <w:r w:rsidRPr="001354D2">
              <w:rPr>
                <w:rFonts w:asciiTheme="minorHAnsi" w:hAnsiTheme="minorHAnsi" w:cs="Arial"/>
                <w:b/>
                <w:bCs/>
                <w:sz w:val="20"/>
                <w:szCs w:val="20"/>
              </w:rPr>
              <w:t>(</w:t>
            </w:r>
            <w:r>
              <w:rPr>
                <w:rFonts w:asciiTheme="minorHAnsi" w:hAnsiTheme="minorHAnsi" w:cs="Arial"/>
                <w:b/>
                <w:bCs/>
                <w:sz w:val="20"/>
                <w:szCs w:val="20"/>
              </w:rPr>
              <w:t>5.6</w:t>
            </w:r>
            <w:r w:rsidRPr="001354D2">
              <w:rPr>
                <w:rFonts w:asciiTheme="minorHAnsi" w:hAnsiTheme="minorHAnsi" w:cs="Arial"/>
                <w:b/>
                <w:bCs/>
                <w:sz w:val="20"/>
                <w:szCs w:val="20"/>
              </w:rPr>
              <w:t>)</w:t>
            </w:r>
          </w:p>
        </w:tc>
        <w:tc>
          <w:tcPr>
            <w:tcW w:w="1469" w:type="dxa"/>
            <w:tcBorders>
              <w:top w:val="single" w:sz="4" w:space="0" w:color="auto"/>
              <w:left w:val="single" w:sz="4" w:space="0" w:color="auto"/>
              <w:bottom w:val="single" w:sz="4" w:space="0" w:color="auto"/>
              <w:right w:val="single" w:sz="4" w:space="0" w:color="auto"/>
            </w:tcBorders>
          </w:tcPr>
          <w:p w14:paraId="1E4DC483" w14:textId="77777777" w:rsidR="005F1859" w:rsidRPr="001354D2" w:rsidRDefault="005F1859" w:rsidP="00EF5C9A">
            <w:pPr>
              <w:jc w:val="center"/>
              <w:rPr>
                <w:rFonts w:asciiTheme="minorHAnsi" w:hAnsiTheme="minorHAnsi" w:cs="Arial"/>
                <w:b/>
                <w:bCs/>
                <w:sz w:val="20"/>
                <w:szCs w:val="20"/>
              </w:rPr>
            </w:pPr>
            <w:r>
              <w:rPr>
                <w:rFonts w:asciiTheme="minorHAnsi" w:hAnsiTheme="minorHAnsi" w:cs="Arial"/>
                <w:b/>
                <w:bCs/>
                <w:sz w:val="20"/>
                <w:szCs w:val="20"/>
              </w:rPr>
              <w:t>1.1</w:t>
            </w:r>
          </w:p>
        </w:tc>
      </w:tr>
      <w:tr w:rsidR="005F1859" w:rsidRPr="001354D2" w14:paraId="0D3AD803" w14:textId="77777777" w:rsidTr="00EF5C9A">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35E9A36C" w14:textId="77777777" w:rsidR="005F1859" w:rsidRPr="001354D2" w:rsidRDefault="005F1859" w:rsidP="00EF5C9A">
            <w:pPr>
              <w:rPr>
                <w:rFonts w:asciiTheme="minorHAnsi" w:hAnsiTheme="minorHAnsi" w:cs="Arial"/>
                <w:b/>
                <w:sz w:val="20"/>
                <w:szCs w:val="20"/>
              </w:rPr>
            </w:pPr>
            <w:r w:rsidRPr="001354D2">
              <w:rPr>
                <w:rFonts w:asciiTheme="minorHAnsi" w:hAnsiTheme="minorHAnsi" w:cs="Arial"/>
                <w:b/>
                <w:sz w:val="20"/>
                <w:szCs w:val="20"/>
              </w:rPr>
              <w:t>Grand Total</w:t>
            </w:r>
          </w:p>
        </w:tc>
        <w:tc>
          <w:tcPr>
            <w:tcW w:w="1585" w:type="dxa"/>
            <w:tcBorders>
              <w:top w:val="single" w:sz="4" w:space="0" w:color="auto"/>
              <w:left w:val="single" w:sz="4" w:space="0" w:color="auto"/>
              <w:bottom w:val="single" w:sz="4" w:space="0" w:color="auto"/>
              <w:right w:val="single" w:sz="4" w:space="0" w:color="auto"/>
            </w:tcBorders>
          </w:tcPr>
          <w:p w14:paraId="5F2F3BA7" w14:textId="77777777" w:rsidR="005F1859" w:rsidRPr="001354D2" w:rsidRDefault="005F1859" w:rsidP="00EF5C9A">
            <w:pPr>
              <w:jc w:val="center"/>
              <w:rPr>
                <w:rFonts w:asciiTheme="minorHAnsi" w:hAnsiTheme="minorHAnsi" w:cs="Arial"/>
                <w:b/>
                <w:bCs/>
                <w:sz w:val="20"/>
                <w:szCs w:val="20"/>
              </w:rPr>
            </w:pPr>
            <w:r>
              <w:rPr>
                <w:rFonts w:asciiTheme="minorHAnsi" w:hAnsiTheme="minorHAnsi" w:cs="Arial"/>
                <w:b/>
                <w:bCs/>
                <w:sz w:val="20"/>
                <w:szCs w:val="20"/>
              </w:rPr>
              <w:t>(49.5</w:t>
            </w:r>
            <w:r w:rsidRPr="001354D2">
              <w:rPr>
                <w:rFonts w:asciiTheme="minorHAnsi" w:hAnsiTheme="minorHAnsi" w:cs="Arial"/>
                <w:b/>
                <w:bCs/>
                <w:sz w:val="20"/>
                <w:szCs w:val="20"/>
              </w:rPr>
              <w:t>)</w:t>
            </w:r>
          </w:p>
        </w:tc>
        <w:tc>
          <w:tcPr>
            <w:tcW w:w="1589" w:type="dxa"/>
            <w:tcBorders>
              <w:top w:val="single" w:sz="4" w:space="0" w:color="auto"/>
              <w:left w:val="single" w:sz="4" w:space="0" w:color="auto"/>
              <w:bottom w:val="single" w:sz="4" w:space="0" w:color="auto"/>
              <w:right w:val="single" w:sz="4" w:space="0" w:color="auto"/>
            </w:tcBorders>
          </w:tcPr>
          <w:p w14:paraId="32105235" w14:textId="77777777" w:rsidR="005F1859" w:rsidRPr="001354D2" w:rsidRDefault="005F1859" w:rsidP="00EF5C9A">
            <w:pPr>
              <w:jc w:val="center"/>
              <w:rPr>
                <w:rFonts w:asciiTheme="minorHAnsi" w:hAnsiTheme="minorHAnsi" w:cs="Arial"/>
                <w:b/>
                <w:bCs/>
                <w:sz w:val="20"/>
                <w:szCs w:val="20"/>
              </w:rPr>
            </w:pPr>
            <w:r w:rsidRPr="001354D2">
              <w:rPr>
                <w:rFonts w:asciiTheme="minorHAnsi" w:hAnsiTheme="minorHAnsi" w:cs="Arial"/>
                <w:b/>
                <w:bCs/>
                <w:sz w:val="20"/>
                <w:szCs w:val="20"/>
              </w:rPr>
              <w:t>(</w:t>
            </w:r>
            <w:r>
              <w:rPr>
                <w:rFonts w:asciiTheme="minorHAnsi" w:hAnsiTheme="minorHAnsi" w:cs="Arial"/>
                <w:b/>
                <w:bCs/>
                <w:sz w:val="20"/>
                <w:szCs w:val="20"/>
              </w:rPr>
              <w:t>30.9</w:t>
            </w:r>
            <w:r w:rsidRPr="001354D2">
              <w:rPr>
                <w:rFonts w:asciiTheme="minorHAnsi" w:hAnsiTheme="minorHAnsi" w:cs="Arial"/>
                <w:b/>
                <w:bCs/>
                <w:sz w:val="20"/>
                <w:szCs w:val="20"/>
              </w:rPr>
              <w:t>)</w:t>
            </w:r>
          </w:p>
        </w:tc>
        <w:tc>
          <w:tcPr>
            <w:tcW w:w="1469" w:type="dxa"/>
            <w:tcBorders>
              <w:top w:val="single" w:sz="4" w:space="0" w:color="auto"/>
              <w:left w:val="single" w:sz="4" w:space="0" w:color="auto"/>
              <w:bottom w:val="single" w:sz="4" w:space="0" w:color="auto"/>
              <w:right w:val="single" w:sz="4" w:space="0" w:color="auto"/>
            </w:tcBorders>
          </w:tcPr>
          <w:p w14:paraId="372E7B3E" w14:textId="77777777" w:rsidR="005F1859" w:rsidRPr="001354D2" w:rsidRDefault="005F1859" w:rsidP="00EF5C9A">
            <w:pPr>
              <w:jc w:val="center"/>
              <w:rPr>
                <w:rFonts w:asciiTheme="minorHAnsi" w:hAnsiTheme="minorHAnsi" w:cs="Arial"/>
                <w:b/>
                <w:bCs/>
                <w:sz w:val="20"/>
                <w:szCs w:val="20"/>
              </w:rPr>
            </w:pPr>
            <w:r w:rsidRPr="001354D2">
              <w:rPr>
                <w:rFonts w:asciiTheme="minorHAnsi" w:hAnsiTheme="minorHAnsi" w:cs="Arial"/>
                <w:b/>
                <w:bCs/>
                <w:sz w:val="20"/>
                <w:szCs w:val="20"/>
              </w:rPr>
              <w:t>(24.</w:t>
            </w:r>
            <w:r>
              <w:rPr>
                <w:rFonts w:asciiTheme="minorHAnsi" w:hAnsiTheme="minorHAnsi" w:cs="Arial"/>
                <w:b/>
                <w:bCs/>
                <w:sz w:val="20"/>
                <w:szCs w:val="20"/>
              </w:rPr>
              <w:t>2</w:t>
            </w:r>
            <w:r w:rsidRPr="001354D2">
              <w:rPr>
                <w:rFonts w:asciiTheme="minorHAnsi" w:hAnsiTheme="minorHAnsi" w:cs="Arial"/>
                <w:b/>
                <w:bCs/>
                <w:sz w:val="20"/>
                <w:szCs w:val="20"/>
              </w:rPr>
              <w:t>)</w:t>
            </w:r>
          </w:p>
        </w:tc>
      </w:tr>
    </w:tbl>
    <w:p w14:paraId="257DA071" w14:textId="77777777" w:rsidR="005F1859" w:rsidRDefault="005F1859" w:rsidP="005F1859"/>
    <w:p w14:paraId="5F80CF1D" w14:textId="77777777" w:rsidR="005F1859" w:rsidRDefault="005F1859" w:rsidP="005F1859">
      <w:r>
        <w:t>The key points to highlight are as follows:</w:t>
      </w:r>
    </w:p>
    <w:p w14:paraId="6B9670FC" w14:textId="77777777" w:rsidR="005F1859" w:rsidRPr="00B66177" w:rsidRDefault="005F1859" w:rsidP="005F1859">
      <w:pPr>
        <w:pStyle w:val="Heading3"/>
        <w:ind w:left="1146" w:hanging="720"/>
      </w:pPr>
      <w:r>
        <w:t>Core Un-Earmarked Growth M</w:t>
      </w:r>
      <w:r w:rsidRPr="00B66177">
        <w:t xml:space="preserve">onies </w:t>
      </w:r>
    </w:p>
    <w:p w14:paraId="05797181" w14:textId="77777777" w:rsidR="005F1859" w:rsidRDefault="005F1859" w:rsidP="005F1859">
      <w:r w:rsidRPr="00E863BF">
        <w:t>The individu</w:t>
      </w:r>
      <w:r>
        <w:t>al items making up the assumed recurrent funding a</w:t>
      </w:r>
      <w:r w:rsidRPr="00E863BF">
        <w:t xml:space="preserve">re summarised below:  </w:t>
      </w:r>
    </w:p>
    <w:p w14:paraId="1F042261" w14:textId="77777777" w:rsidR="005F1859" w:rsidRDefault="005F1859" w:rsidP="005F1859"/>
    <w:tbl>
      <w:tblPr>
        <w:tblW w:w="8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2"/>
        <w:gridCol w:w="1677"/>
        <w:gridCol w:w="1682"/>
        <w:gridCol w:w="1541"/>
      </w:tblGrid>
      <w:tr w:rsidR="005F1859" w14:paraId="4FB97E29" w14:textId="77777777" w:rsidTr="00EF5C9A">
        <w:trPr>
          <w:trHeight w:val="255"/>
          <w:tblHeader/>
          <w:jc w:val="center"/>
        </w:trPr>
        <w:tc>
          <w:tcPr>
            <w:tcW w:w="3512" w:type="dxa"/>
            <w:tcBorders>
              <w:top w:val="single" w:sz="4" w:space="0" w:color="auto"/>
              <w:left w:val="single" w:sz="4" w:space="0" w:color="auto"/>
              <w:bottom w:val="nil"/>
              <w:right w:val="single" w:sz="4" w:space="0" w:color="auto"/>
            </w:tcBorders>
            <w:shd w:val="clear" w:color="auto" w:fill="DBE5F1" w:themeFill="accent1" w:themeFillTint="33"/>
            <w:hideMark/>
          </w:tcPr>
          <w:p w14:paraId="7CA7A5C5" w14:textId="77777777" w:rsidR="005F1859" w:rsidRPr="007A1FD8" w:rsidRDefault="005F1859" w:rsidP="00EF5C9A">
            <w:pPr>
              <w:jc w:val="left"/>
              <w:rPr>
                <w:rFonts w:ascii="Times New Roman" w:hAnsi="Times New Roman" w:cs="Times New Roman"/>
                <w:sz w:val="20"/>
                <w:szCs w:val="20"/>
              </w:rPr>
            </w:pPr>
            <w:r w:rsidRPr="007A1FD8">
              <w:rPr>
                <w:rFonts w:cs="Times New Roman"/>
                <w:b/>
                <w:bCs/>
                <w:color w:val="000000"/>
                <w:sz w:val="20"/>
                <w:szCs w:val="20"/>
              </w:rPr>
              <w:br w:type="page"/>
            </w:r>
          </w:p>
        </w:tc>
        <w:tc>
          <w:tcPr>
            <w:tcW w:w="1677" w:type="dxa"/>
            <w:tcBorders>
              <w:top w:val="single" w:sz="4" w:space="0" w:color="auto"/>
              <w:left w:val="single" w:sz="4" w:space="0" w:color="auto"/>
              <w:bottom w:val="nil"/>
              <w:right w:val="single" w:sz="4" w:space="0" w:color="auto"/>
            </w:tcBorders>
            <w:shd w:val="clear" w:color="auto" w:fill="DBE5F1" w:themeFill="accent1" w:themeFillTint="33"/>
            <w:hideMark/>
          </w:tcPr>
          <w:p w14:paraId="468F8228" w14:textId="77777777" w:rsidR="005F1859" w:rsidRPr="007A1FD8" w:rsidRDefault="005F1859" w:rsidP="00EF5C9A">
            <w:pPr>
              <w:autoSpaceDE w:val="0"/>
              <w:autoSpaceDN w:val="0"/>
              <w:adjustRightInd w:val="0"/>
              <w:spacing w:line="241" w:lineRule="atLeast"/>
              <w:jc w:val="center"/>
              <w:rPr>
                <w:rFonts w:cs="Times New Roman"/>
                <w:b/>
                <w:bCs/>
                <w:color w:val="000000"/>
                <w:sz w:val="20"/>
                <w:szCs w:val="20"/>
              </w:rPr>
            </w:pPr>
            <w:r>
              <w:rPr>
                <w:rFonts w:cs="Times New Roman"/>
                <w:b/>
                <w:bCs/>
                <w:color w:val="000000"/>
                <w:sz w:val="20"/>
                <w:szCs w:val="20"/>
              </w:rPr>
              <w:t>20</w:t>
            </w:r>
            <w:r w:rsidRPr="007A1FD8">
              <w:rPr>
                <w:rFonts w:cs="Times New Roman"/>
                <w:b/>
                <w:bCs/>
                <w:color w:val="000000"/>
                <w:sz w:val="20"/>
                <w:szCs w:val="20"/>
              </w:rPr>
              <w:t>/2</w:t>
            </w:r>
            <w:r>
              <w:rPr>
                <w:rFonts w:cs="Times New Roman"/>
                <w:b/>
                <w:bCs/>
                <w:color w:val="000000"/>
                <w:sz w:val="20"/>
                <w:szCs w:val="20"/>
              </w:rPr>
              <w:t>1</w:t>
            </w:r>
            <w:r w:rsidRPr="007A1FD8">
              <w:rPr>
                <w:rFonts w:cs="Times New Roman"/>
                <w:b/>
                <w:bCs/>
                <w:color w:val="000000"/>
                <w:sz w:val="20"/>
                <w:szCs w:val="20"/>
              </w:rPr>
              <w:t xml:space="preserve"> </w:t>
            </w:r>
          </w:p>
        </w:tc>
        <w:tc>
          <w:tcPr>
            <w:tcW w:w="1682" w:type="dxa"/>
            <w:tcBorders>
              <w:top w:val="single" w:sz="4" w:space="0" w:color="auto"/>
              <w:left w:val="single" w:sz="4" w:space="0" w:color="auto"/>
              <w:bottom w:val="nil"/>
              <w:right w:val="single" w:sz="4" w:space="0" w:color="auto"/>
            </w:tcBorders>
            <w:shd w:val="clear" w:color="auto" w:fill="DBE5F1" w:themeFill="accent1" w:themeFillTint="33"/>
            <w:hideMark/>
          </w:tcPr>
          <w:p w14:paraId="0A8121A9" w14:textId="77777777" w:rsidR="005F1859" w:rsidRPr="007A1FD8" w:rsidRDefault="005F1859" w:rsidP="00EF5C9A">
            <w:pPr>
              <w:autoSpaceDE w:val="0"/>
              <w:autoSpaceDN w:val="0"/>
              <w:adjustRightInd w:val="0"/>
              <w:spacing w:line="241" w:lineRule="atLeast"/>
              <w:jc w:val="center"/>
              <w:rPr>
                <w:rFonts w:cs="Times New Roman"/>
                <w:b/>
                <w:bCs/>
                <w:color w:val="000000"/>
                <w:sz w:val="20"/>
                <w:szCs w:val="20"/>
              </w:rPr>
            </w:pPr>
            <w:r w:rsidRPr="007A1FD8">
              <w:rPr>
                <w:rFonts w:cs="Times New Roman"/>
                <w:b/>
                <w:bCs/>
                <w:color w:val="000000"/>
                <w:sz w:val="20"/>
                <w:szCs w:val="20"/>
              </w:rPr>
              <w:t>2</w:t>
            </w:r>
            <w:r>
              <w:rPr>
                <w:rFonts w:cs="Times New Roman"/>
                <w:b/>
                <w:bCs/>
                <w:color w:val="000000"/>
                <w:sz w:val="20"/>
                <w:szCs w:val="20"/>
              </w:rPr>
              <w:t>1</w:t>
            </w:r>
            <w:r w:rsidRPr="007A1FD8">
              <w:rPr>
                <w:rFonts w:cs="Times New Roman"/>
                <w:b/>
                <w:bCs/>
                <w:color w:val="000000"/>
                <w:sz w:val="20"/>
                <w:szCs w:val="20"/>
              </w:rPr>
              <w:t>/2</w:t>
            </w:r>
            <w:r>
              <w:rPr>
                <w:rFonts w:cs="Times New Roman"/>
                <w:b/>
                <w:bCs/>
                <w:color w:val="000000"/>
                <w:sz w:val="20"/>
                <w:szCs w:val="20"/>
              </w:rPr>
              <w:t>2</w:t>
            </w:r>
          </w:p>
        </w:tc>
        <w:tc>
          <w:tcPr>
            <w:tcW w:w="1541" w:type="dxa"/>
            <w:tcBorders>
              <w:top w:val="single" w:sz="4" w:space="0" w:color="auto"/>
              <w:left w:val="single" w:sz="4" w:space="0" w:color="auto"/>
              <w:bottom w:val="nil"/>
              <w:right w:val="single" w:sz="4" w:space="0" w:color="auto"/>
            </w:tcBorders>
            <w:shd w:val="clear" w:color="auto" w:fill="DBE5F1" w:themeFill="accent1" w:themeFillTint="33"/>
            <w:hideMark/>
          </w:tcPr>
          <w:p w14:paraId="16F4FDCE" w14:textId="77777777" w:rsidR="005F1859" w:rsidRPr="007A1FD8" w:rsidRDefault="005F1859" w:rsidP="00EF5C9A">
            <w:pPr>
              <w:autoSpaceDE w:val="0"/>
              <w:autoSpaceDN w:val="0"/>
              <w:adjustRightInd w:val="0"/>
              <w:spacing w:line="241" w:lineRule="atLeast"/>
              <w:jc w:val="center"/>
              <w:rPr>
                <w:rFonts w:cs="Times New Roman"/>
                <w:b/>
                <w:bCs/>
                <w:color w:val="000000"/>
                <w:sz w:val="20"/>
                <w:szCs w:val="20"/>
              </w:rPr>
            </w:pPr>
            <w:r w:rsidRPr="007A1FD8">
              <w:rPr>
                <w:rFonts w:cs="Times New Roman"/>
                <w:b/>
                <w:bCs/>
                <w:color w:val="000000"/>
                <w:sz w:val="20"/>
                <w:szCs w:val="20"/>
              </w:rPr>
              <w:t>2</w:t>
            </w:r>
            <w:r>
              <w:rPr>
                <w:rFonts w:cs="Times New Roman"/>
                <w:b/>
                <w:bCs/>
                <w:color w:val="000000"/>
                <w:sz w:val="20"/>
                <w:szCs w:val="20"/>
              </w:rPr>
              <w:t>2</w:t>
            </w:r>
            <w:r w:rsidRPr="007A1FD8">
              <w:rPr>
                <w:rFonts w:cs="Times New Roman"/>
                <w:b/>
                <w:bCs/>
                <w:color w:val="000000"/>
                <w:sz w:val="20"/>
                <w:szCs w:val="20"/>
              </w:rPr>
              <w:t>/2</w:t>
            </w:r>
            <w:r>
              <w:rPr>
                <w:rFonts w:cs="Times New Roman"/>
                <w:b/>
                <w:bCs/>
                <w:color w:val="000000"/>
                <w:sz w:val="20"/>
                <w:szCs w:val="20"/>
              </w:rPr>
              <w:t>3</w:t>
            </w:r>
          </w:p>
        </w:tc>
      </w:tr>
      <w:tr w:rsidR="005F1859" w14:paraId="422FCC83" w14:textId="77777777" w:rsidTr="00EF5C9A">
        <w:trPr>
          <w:trHeight w:val="255"/>
          <w:tblHeader/>
          <w:jc w:val="center"/>
        </w:trPr>
        <w:tc>
          <w:tcPr>
            <w:tcW w:w="3512" w:type="dxa"/>
            <w:tcBorders>
              <w:top w:val="nil"/>
              <w:left w:val="single" w:sz="4" w:space="0" w:color="auto"/>
              <w:bottom w:val="single" w:sz="4" w:space="0" w:color="auto"/>
              <w:right w:val="single" w:sz="4" w:space="0" w:color="auto"/>
            </w:tcBorders>
            <w:shd w:val="clear" w:color="auto" w:fill="DBE5F1" w:themeFill="accent1" w:themeFillTint="33"/>
            <w:hideMark/>
          </w:tcPr>
          <w:p w14:paraId="1A29B8D3" w14:textId="77777777" w:rsidR="005F1859" w:rsidRPr="007A1FD8" w:rsidRDefault="005F1859" w:rsidP="00EF5C9A">
            <w:pPr>
              <w:jc w:val="left"/>
              <w:rPr>
                <w:rFonts w:ascii="Times New Roman" w:hAnsi="Times New Roman" w:cs="Times New Roman"/>
                <w:sz w:val="20"/>
                <w:szCs w:val="20"/>
              </w:rPr>
            </w:pPr>
          </w:p>
        </w:tc>
        <w:tc>
          <w:tcPr>
            <w:tcW w:w="1677" w:type="dxa"/>
            <w:tcBorders>
              <w:top w:val="nil"/>
              <w:left w:val="single" w:sz="4" w:space="0" w:color="auto"/>
              <w:bottom w:val="single" w:sz="4" w:space="0" w:color="auto"/>
              <w:right w:val="single" w:sz="4" w:space="0" w:color="auto"/>
            </w:tcBorders>
            <w:shd w:val="clear" w:color="auto" w:fill="DBE5F1" w:themeFill="accent1" w:themeFillTint="33"/>
            <w:hideMark/>
          </w:tcPr>
          <w:p w14:paraId="4DA42688" w14:textId="77777777" w:rsidR="005F1859" w:rsidRPr="007A1FD8" w:rsidRDefault="005F1859" w:rsidP="00EF5C9A">
            <w:pPr>
              <w:jc w:val="center"/>
              <w:rPr>
                <w:rFonts w:cs="Times New Roman"/>
                <w:b/>
                <w:bCs/>
                <w:color w:val="000000"/>
                <w:sz w:val="20"/>
                <w:szCs w:val="20"/>
              </w:rPr>
            </w:pPr>
            <w:r w:rsidRPr="007A1FD8">
              <w:rPr>
                <w:rFonts w:cs="Times New Roman"/>
                <w:b/>
                <w:bCs/>
                <w:color w:val="000000"/>
                <w:sz w:val="20"/>
                <w:szCs w:val="20"/>
              </w:rPr>
              <w:t>£m</w:t>
            </w:r>
          </w:p>
        </w:tc>
        <w:tc>
          <w:tcPr>
            <w:tcW w:w="1682" w:type="dxa"/>
            <w:tcBorders>
              <w:top w:val="nil"/>
              <w:left w:val="single" w:sz="4" w:space="0" w:color="auto"/>
              <w:bottom w:val="single" w:sz="4" w:space="0" w:color="auto"/>
              <w:right w:val="single" w:sz="4" w:space="0" w:color="auto"/>
            </w:tcBorders>
            <w:shd w:val="clear" w:color="auto" w:fill="DBE5F1" w:themeFill="accent1" w:themeFillTint="33"/>
            <w:hideMark/>
          </w:tcPr>
          <w:p w14:paraId="2D670BDF" w14:textId="77777777" w:rsidR="005F1859" w:rsidRPr="007A1FD8" w:rsidRDefault="005F1859" w:rsidP="00EF5C9A">
            <w:pPr>
              <w:jc w:val="center"/>
              <w:rPr>
                <w:rFonts w:cs="Times New Roman"/>
                <w:b/>
                <w:bCs/>
                <w:color w:val="000000"/>
                <w:sz w:val="20"/>
                <w:szCs w:val="20"/>
              </w:rPr>
            </w:pPr>
            <w:r w:rsidRPr="007A1FD8">
              <w:rPr>
                <w:rFonts w:cs="Times New Roman"/>
                <w:b/>
                <w:bCs/>
                <w:color w:val="000000"/>
                <w:sz w:val="20"/>
                <w:szCs w:val="20"/>
              </w:rPr>
              <w:t>£m</w:t>
            </w:r>
          </w:p>
        </w:tc>
        <w:tc>
          <w:tcPr>
            <w:tcW w:w="1541" w:type="dxa"/>
            <w:tcBorders>
              <w:top w:val="nil"/>
              <w:left w:val="single" w:sz="4" w:space="0" w:color="auto"/>
              <w:bottom w:val="single" w:sz="4" w:space="0" w:color="auto"/>
              <w:right w:val="single" w:sz="4" w:space="0" w:color="auto"/>
            </w:tcBorders>
            <w:shd w:val="clear" w:color="auto" w:fill="DBE5F1" w:themeFill="accent1" w:themeFillTint="33"/>
            <w:hideMark/>
          </w:tcPr>
          <w:p w14:paraId="653F2308" w14:textId="77777777" w:rsidR="005F1859" w:rsidRPr="007A1FD8" w:rsidRDefault="005F1859" w:rsidP="00EF5C9A">
            <w:pPr>
              <w:jc w:val="center"/>
              <w:rPr>
                <w:rFonts w:cs="Times New Roman"/>
                <w:b/>
                <w:bCs/>
                <w:color w:val="000000"/>
                <w:sz w:val="20"/>
                <w:szCs w:val="20"/>
              </w:rPr>
            </w:pPr>
            <w:r w:rsidRPr="007A1FD8">
              <w:rPr>
                <w:rFonts w:cs="Times New Roman"/>
                <w:b/>
                <w:bCs/>
                <w:color w:val="000000"/>
                <w:sz w:val="20"/>
                <w:szCs w:val="20"/>
              </w:rPr>
              <w:t>£m</w:t>
            </w:r>
          </w:p>
        </w:tc>
      </w:tr>
      <w:tr w:rsidR="005F1859" w14:paraId="58E304E2" w14:textId="77777777" w:rsidTr="00EF5C9A">
        <w:trPr>
          <w:trHeight w:val="255"/>
          <w:jc w:val="center"/>
        </w:trPr>
        <w:tc>
          <w:tcPr>
            <w:tcW w:w="3512" w:type="dxa"/>
            <w:tcBorders>
              <w:top w:val="single" w:sz="4" w:space="0" w:color="auto"/>
              <w:left w:val="single" w:sz="4" w:space="0" w:color="auto"/>
              <w:bottom w:val="single" w:sz="4" w:space="0" w:color="auto"/>
              <w:right w:val="single" w:sz="4" w:space="0" w:color="auto"/>
            </w:tcBorders>
            <w:hideMark/>
          </w:tcPr>
          <w:p w14:paraId="3EC598EE" w14:textId="77777777" w:rsidR="005F1859" w:rsidRPr="007A1FD8" w:rsidRDefault="005F1859" w:rsidP="00EF5C9A">
            <w:pPr>
              <w:rPr>
                <w:rFonts w:cs="Arial"/>
                <w:sz w:val="20"/>
                <w:szCs w:val="20"/>
              </w:rPr>
            </w:pPr>
            <w:r w:rsidRPr="007A1FD8">
              <w:rPr>
                <w:rFonts w:cs="Arial"/>
                <w:sz w:val="20"/>
                <w:szCs w:val="20"/>
              </w:rPr>
              <w:t>Core cost growth uplift of £</w:t>
            </w:r>
            <w:r>
              <w:rPr>
                <w:rFonts w:cs="Arial"/>
                <w:sz w:val="20"/>
                <w:szCs w:val="20"/>
              </w:rPr>
              <w:t>100</w:t>
            </w:r>
            <w:r w:rsidRPr="007A1FD8">
              <w:rPr>
                <w:rFonts w:cs="Arial"/>
                <w:sz w:val="20"/>
                <w:szCs w:val="20"/>
              </w:rPr>
              <w:t>m</w:t>
            </w:r>
            <w:r>
              <w:rPr>
                <w:rFonts w:cs="Arial"/>
                <w:sz w:val="20"/>
                <w:szCs w:val="20"/>
              </w:rPr>
              <w:t xml:space="preserve"> across NHS Wales (2% uplift) based on 15.1% share</w:t>
            </w:r>
          </w:p>
        </w:tc>
        <w:tc>
          <w:tcPr>
            <w:tcW w:w="1677" w:type="dxa"/>
            <w:tcBorders>
              <w:top w:val="single" w:sz="4" w:space="0" w:color="auto"/>
              <w:left w:val="single" w:sz="4" w:space="0" w:color="auto"/>
              <w:bottom w:val="single" w:sz="4" w:space="0" w:color="auto"/>
              <w:right w:val="single" w:sz="4" w:space="0" w:color="auto"/>
            </w:tcBorders>
          </w:tcPr>
          <w:p w14:paraId="3D88A60C" w14:textId="77777777" w:rsidR="005F1859" w:rsidRPr="007A1FD8" w:rsidRDefault="005F1859" w:rsidP="00EF5C9A">
            <w:pPr>
              <w:jc w:val="center"/>
              <w:rPr>
                <w:rFonts w:cs="Arial"/>
                <w:sz w:val="20"/>
                <w:szCs w:val="20"/>
              </w:rPr>
            </w:pPr>
            <w:r>
              <w:rPr>
                <w:rFonts w:cs="Arial"/>
                <w:sz w:val="20"/>
                <w:szCs w:val="20"/>
              </w:rPr>
              <w:t>(15.1</w:t>
            </w:r>
            <w:r w:rsidRPr="007A1FD8">
              <w:rPr>
                <w:rFonts w:cs="Arial"/>
                <w:sz w:val="20"/>
                <w:szCs w:val="20"/>
              </w:rPr>
              <w:t>)</w:t>
            </w:r>
          </w:p>
        </w:tc>
        <w:tc>
          <w:tcPr>
            <w:tcW w:w="1682" w:type="dxa"/>
            <w:tcBorders>
              <w:top w:val="single" w:sz="4" w:space="0" w:color="auto"/>
              <w:left w:val="single" w:sz="4" w:space="0" w:color="auto"/>
              <w:bottom w:val="single" w:sz="4" w:space="0" w:color="auto"/>
              <w:right w:val="single" w:sz="4" w:space="0" w:color="auto"/>
            </w:tcBorders>
            <w:hideMark/>
          </w:tcPr>
          <w:p w14:paraId="3E56EE0E" w14:textId="77777777" w:rsidR="005F1859" w:rsidRPr="007A1FD8" w:rsidRDefault="005F1859" w:rsidP="00EF5C9A">
            <w:pPr>
              <w:jc w:val="center"/>
              <w:rPr>
                <w:rFonts w:cs="Arial"/>
                <w:sz w:val="20"/>
                <w:szCs w:val="20"/>
              </w:rPr>
            </w:pPr>
            <w:r w:rsidRPr="007A1FD8">
              <w:rPr>
                <w:rFonts w:cs="Arial"/>
                <w:sz w:val="20"/>
                <w:szCs w:val="20"/>
              </w:rPr>
              <w:t>(1</w:t>
            </w:r>
            <w:r>
              <w:rPr>
                <w:rFonts w:cs="Arial"/>
                <w:sz w:val="20"/>
                <w:szCs w:val="20"/>
              </w:rPr>
              <w:t>5.1</w:t>
            </w:r>
            <w:r w:rsidRPr="007A1FD8">
              <w:rPr>
                <w:rFonts w:cs="Arial"/>
                <w:sz w:val="20"/>
                <w:szCs w:val="20"/>
              </w:rPr>
              <w:t>)</w:t>
            </w:r>
          </w:p>
        </w:tc>
        <w:tc>
          <w:tcPr>
            <w:tcW w:w="1541" w:type="dxa"/>
            <w:tcBorders>
              <w:top w:val="single" w:sz="4" w:space="0" w:color="auto"/>
              <w:left w:val="single" w:sz="4" w:space="0" w:color="auto"/>
              <w:bottom w:val="single" w:sz="4" w:space="0" w:color="auto"/>
              <w:right w:val="single" w:sz="4" w:space="0" w:color="auto"/>
            </w:tcBorders>
            <w:hideMark/>
          </w:tcPr>
          <w:p w14:paraId="27F764CE" w14:textId="77777777" w:rsidR="005F1859" w:rsidRPr="007A1FD8" w:rsidRDefault="005F1859" w:rsidP="00EF5C9A">
            <w:pPr>
              <w:jc w:val="center"/>
              <w:rPr>
                <w:rFonts w:cs="Arial"/>
                <w:sz w:val="20"/>
                <w:szCs w:val="20"/>
              </w:rPr>
            </w:pPr>
            <w:r w:rsidRPr="007A1FD8">
              <w:rPr>
                <w:rFonts w:cs="Arial"/>
                <w:sz w:val="20"/>
                <w:szCs w:val="20"/>
              </w:rPr>
              <w:t>(1</w:t>
            </w:r>
            <w:r>
              <w:rPr>
                <w:rFonts w:cs="Arial"/>
                <w:sz w:val="20"/>
                <w:szCs w:val="20"/>
              </w:rPr>
              <w:t>5.1</w:t>
            </w:r>
            <w:r w:rsidRPr="007A1FD8">
              <w:rPr>
                <w:rFonts w:cs="Arial"/>
                <w:sz w:val="20"/>
                <w:szCs w:val="20"/>
              </w:rPr>
              <w:t>)</w:t>
            </w:r>
          </w:p>
        </w:tc>
      </w:tr>
      <w:tr w:rsidR="005F1859" w14:paraId="05E88EE6" w14:textId="77777777" w:rsidTr="00EF5C9A">
        <w:trPr>
          <w:trHeight w:val="255"/>
          <w:jc w:val="center"/>
        </w:trPr>
        <w:tc>
          <w:tcPr>
            <w:tcW w:w="3512" w:type="dxa"/>
            <w:tcBorders>
              <w:top w:val="single" w:sz="4" w:space="0" w:color="auto"/>
              <w:left w:val="single" w:sz="4" w:space="0" w:color="auto"/>
              <w:bottom w:val="single" w:sz="4" w:space="0" w:color="auto"/>
              <w:right w:val="single" w:sz="4" w:space="0" w:color="auto"/>
            </w:tcBorders>
          </w:tcPr>
          <w:p w14:paraId="183F27F9" w14:textId="77777777" w:rsidR="005F1859" w:rsidRPr="00E15320" w:rsidRDefault="005F1859" w:rsidP="00EF5C9A">
            <w:pPr>
              <w:rPr>
                <w:rFonts w:asciiTheme="minorHAnsi" w:hAnsiTheme="minorHAnsi" w:cs="Arial"/>
                <w:sz w:val="20"/>
                <w:szCs w:val="20"/>
              </w:rPr>
            </w:pPr>
            <w:r w:rsidRPr="00E15320">
              <w:rPr>
                <w:rFonts w:asciiTheme="minorHAnsi" w:hAnsiTheme="minorHAnsi" w:cs="Arial"/>
                <w:sz w:val="20"/>
                <w:szCs w:val="20"/>
              </w:rPr>
              <w:t>Cost growth uplift of £13m for Mental Health services based on 15.4% share</w:t>
            </w:r>
          </w:p>
        </w:tc>
        <w:tc>
          <w:tcPr>
            <w:tcW w:w="1677" w:type="dxa"/>
            <w:tcBorders>
              <w:top w:val="single" w:sz="4" w:space="0" w:color="auto"/>
              <w:left w:val="single" w:sz="4" w:space="0" w:color="auto"/>
              <w:bottom w:val="single" w:sz="4" w:space="0" w:color="auto"/>
              <w:right w:val="single" w:sz="4" w:space="0" w:color="auto"/>
            </w:tcBorders>
          </w:tcPr>
          <w:p w14:paraId="49ED3514" w14:textId="77777777" w:rsidR="005F1859" w:rsidRPr="00E15320" w:rsidRDefault="005F1859" w:rsidP="00EF5C9A">
            <w:pPr>
              <w:jc w:val="center"/>
              <w:rPr>
                <w:rFonts w:cs="Arial"/>
                <w:bCs/>
                <w:sz w:val="20"/>
                <w:szCs w:val="20"/>
              </w:rPr>
            </w:pPr>
            <w:r w:rsidRPr="00E15320">
              <w:rPr>
                <w:rFonts w:cs="Arial"/>
                <w:bCs/>
                <w:sz w:val="20"/>
                <w:szCs w:val="20"/>
              </w:rPr>
              <w:t>(2.0)</w:t>
            </w:r>
          </w:p>
        </w:tc>
        <w:tc>
          <w:tcPr>
            <w:tcW w:w="1682" w:type="dxa"/>
            <w:tcBorders>
              <w:top w:val="single" w:sz="4" w:space="0" w:color="auto"/>
              <w:left w:val="single" w:sz="4" w:space="0" w:color="auto"/>
              <w:bottom w:val="single" w:sz="4" w:space="0" w:color="auto"/>
              <w:right w:val="single" w:sz="4" w:space="0" w:color="auto"/>
            </w:tcBorders>
          </w:tcPr>
          <w:p w14:paraId="2C1A0DE5" w14:textId="77777777" w:rsidR="005F1859" w:rsidRPr="007A1FD8" w:rsidRDefault="005F1859" w:rsidP="00EF5C9A">
            <w:pPr>
              <w:jc w:val="center"/>
              <w:rPr>
                <w:rFonts w:cs="Arial"/>
                <w:bCs/>
                <w:sz w:val="20"/>
                <w:szCs w:val="20"/>
              </w:rPr>
            </w:pPr>
            <w:r>
              <w:rPr>
                <w:rFonts w:cs="Arial"/>
                <w:bCs/>
                <w:sz w:val="20"/>
                <w:szCs w:val="20"/>
              </w:rPr>
              <w:t>(2.0)</w:t>
            </w:r>
          </w:p>
        </w:tc>
        <w:tc>
          <w:tcPr>
            <w:tcW w:w="1541" w:type="dxa"/>
            <w:tcBorders>
              <w:top w:val="single" w:sz="4" w:space="0" w:color="auto"/>
              <w:left w:val="single" w:sz="4" w:space="0" w:color="auto"/>
              <w:bottom w:val="single" w:sz="4" w:space="0" w:color="auto"/>
              <w:right w:val="single" w:sz="4" w:space="0" w:color="auto"/>
            </w:tcBorders>
          </w:tcPr>
          <w:p w14:paraId="7E93C48F" w14:textId="77777777" w:rsidR="005F1859" w:rsidRPr="007A1FD8" w:rsidRDefault="005F1859" w:rsidP="00EF5C9A">
            <w:pPr>
              <w:jc w:val="center"/>
              <w:rPr>
                <w:rFonts w:cs="Arial"/>
                <w:bCs/>
                <w:sz w:val="20"/>
                <w:szCs w:val="20"/>
              </w:rPr>
            </w:pPr>
            <w:r>
              <w:rPr>
                <w:rFonts w:cs="Arial"/>
                <w:bCs/>
                <w:sz w:val="20"/>
                <w:szCs w:val="20"/>
              </w:rPr>
              <w:t>(2.0)</w:t>
            </w:r>
          </w:p>
        </w:tc>
      </w:tr>
      <w:tr w:rsidR="005F1859" w14:paraId="28E93AE5" w14:textId="77777777" w:rsidTr="00EF5C9A">
        <w:trPr>
          <w:trHeight w:val="255"/>
          <w:jc w:val="center"/>
        </w:trPr>
        <w:tc>
          <w:tcPr>
            <w:tcW w:w="3512" w:type="dxa"/>
            <w:tcBorders>
              <w:top w:val="single" w:sz="4" w:space="0" w:color="auto"/>
              <w:left w:val="single" w:sz="4" w:space="0" w:color="auto"/>
              <w:bottom w:val="single" w:sz="4" w:space="0" w:color="auto"/>
              <w:right w:val="single" w:sz="4" w:space="0" w:color="auto"/>
            </w:tcBorders>
          </w:tcPr>
          <w:p w14:paraId="45BEC53A" w14:textId="77777777" w:rsidR="005F1859" w:rsidRPr="007A1FD8" w:rsidRDefault="005F1859" w:rsidP="00EF5C9A">
            <w:pPr>
              <w:rPr>
                <w:rFonts w:cs="Arial"/>
                <w:bCs/>
                <w:sz w:val="20"/>
                <w:szCs w:val="20"/>
              </w:rPr>
            </w:pPr>
            <w:r w:rsidRPr="007A1FD8">
              <w:rPr>
                <w:rFonts w:cs="Arial"/>
                <w:bCs/>
                <w:sz w:val="20"/>
                <w:szCs w:val="20"/>
              </w:rPr>
              <w:t>A4C</w:t>
            </w:r>
            <w:r>
              <w:rPr>
                <w:rFonts w:cs="Arial"/>
                <w:bCs/>
                <w:sz w:val="20"/>
                <w:szCs w:val="20"/>
              </w:rPr>
              <w:t xml:space="preserve"> pay awards</w:t>
            </w:r>
          </w:p>
        </w:tc>
        <w:tc>
          <w:tcPr>
            <w:tcW w:w="1677" w:type="dxa"/>
            <w:tcBorders>
              <w:top w:val="single" w:sz="4" w:space="0" w:color="auto"/>
              <w:left w:val="single" w:sz="4" w:space="0" w:color="auto"/>
              <w:bottom w:val="single" w:sz="4" w:space="0" w:color="auto"/>
              <w:right w:val="single" w:sz="4" w:space="0" w:color="auto"/>
            </w:tcBorders>
          </w:tcPr>
          <w:p w14:paraId="42A11A56" w14:textId="77777777" w:rsidR="005F1859" w:rsidRPr="009B65FF" w:rsidRDefault="005F1859" w:rsidP="00EF5C9A">
            <w:pPr>
              <w:jc w:val="center"/>
              <w:rPr>
                <w:rFonts w:cs="Arial"/>
                <w:bCs/>
                <w:sz w:val="20"/>
                <w:szCs w:val="20"/>
              </w:rPr>
            </w:pPr>
            <w:r>
              <w:rPr>
                <w:rFonts w:cs="Arial"/>
                <w:bCs/>
                <w:sz w:val="20"/>
                <w:szCs w:val="20"/>
              </w:rPr>
              <w:t>(6.4</w:t>
            </w:r>
            <w:r w:rsidRPr="009B65FF">
              <w:rPr>
                <w:rFonts w:cs="Arial"/>
                <w:bCs/>
                <w:sz w:val="20"/>
                <w:szCs w:val="20"/>
              </w:rPr>
              <w:t>)</w:t>
            </w:r>
          </w:p>
        </w:tc>
        <w:tc>
          <w:tcPr>
            <w:tcW w:w="1682" w:type="dxa"/>
            <w:tcBorders>
              <w:top w:val="single" w:sz="4" w:space="0" w:color="auto"/>
              <w:left w:val="single" w:sz="4" w:space="0" w:color="auto"/>
              <w:bottom w:val="single" w:sz="4" w:space="0" w:color="auto"/>
              <w:right w:val="single" w:sz="4" w:space="0" w:color="auto"/>
            </w:tcBorders>
          </w:tcPr>
          <w:p w14:paraId="397C2E08" w14:textId="77777777" w:rsidR="005F1859" w:rsidRPr="007A1FD8" w:rsidRDefault="005F1859" w:rsidP="00EF5C9A">
            <w:pPr>
              <w:jc w:val="center"/>
              <w:rPr>
                <w:rFonts w:cs="Arial"/>
                <w:bCs/>
                <w:sz w:val="20"/>
                <w:szCs w:val="20"/>
              </w:rPr>
            </w:pPr>
            <w:r w:rsidRPr="007A1FD8">
              <w:rPr>
                <w:rFonts w:cs="Arial"/>
                <w:bCs/>
                <w:sz w:val="20"/>
                <w:szCs w:val="20"/>
              </w:rPr>
              <w:t>(</w:t>
            </w:r>
            <w:r>
              <w:rPr>
                <w:rFonts w:cs="Arial"/>
                <w:bCs/>
                <w:sz w:val="20"/>
                <w:szCs w:val="20"/>
              </w:rPr>
              <w:t>6.4</w:t>
            </w:r>
            <w:r w:rsidRPr="007A1FD8">
              <w:rPr>
                <w:rFonts w:cs="Arial"/>
                <w:bCs/>
                <w:sz w:val="20"/>
                <w:szCs w:val="20"/>
              </w:rPr>
              <w:t>)</w:t>
            </w:r>
          </w:p>
        </w:tc>
        <w:tc>
          <w:tcPr>
            <w:tcW w:w="1541" w:type="dxa"/>
            <w:tcBorders>
              <w:top w:val="single" w:sz="4" w:space="0" w:color="auto"/>
              <w:left w:val="single" w:sz="4" w:space="0" w:color="auto"/>
              <w:bottom w:val="single" w:sz="4" w:space="0" w:color="auto"/>
              <w:right w:val="single" w:sz="4" w:space="0" w:color="auto"/>
            </w:tcBorders>
          </w:tcPr>
          <w:p w14:paraId="6BFECC1C" w14:textId="77777777" w:rsidR="005F1859" w:rsidRPr="007A1FD8" w:rsidRDefault="005F1859" w:rsidP="00EF5C9A">
            <w:pPr>
              <w:jc w:val="center"/>
              <w:rPr>
                <w:rFonts w:cs="Arial"/>
                <w:bCs/>
                <w:sz w:val="20"/>
                <w:szCs w:val="20"/>
              </w:rPr>
            </w:pPr>
            <w:r w:rsidRPr="007A1FD8">
              <w:rPr>
                <w:rFonts w:cs="Arial"/>
                <w:bCs/>
                <w:sz w:val="20"/>
                <w:szCs w:val="20"/>
              </w:rPr>
              <w:t>(</w:t>
            </w:r>
            <w:r>
              <w:rPr>
                <w:rFonts w:cs="Arial"/>
                <w:bCs/>
                <w:sz w:val="20"/>
                <w:szCs w:val="20"/>
              </w:rPr>
              <w:t>6.4</w:t>
            </w:r>
            <w:r w:rsidRPr="007A1FD8">
              <w:rPr>
                <w:rFonts w:cs="Arial"/>
                <w:bCs/>
                <w:sz w:val="20"/>
                <w:szCs w:val="20"/>
              </w:rPr>
              <w:t>)</w:t>
            </w:r>
          </w:p>
        </w:tc>
      </w:tr>
      <w:tr w:rsidR="005F1859" w14:paraId="36ECE793" w14:textId="77777777" w:rsidTr="00EF5C9A">
        <w:trPr>
          <w:trHeight w:val="255"/>
          <w:jc w:val="center"/>
        </w:trPr>
        <w:tc>
          <w:tcPr>
            <w:tcW w:w="3512" w:type="dxa"/>
            <w:tcBorders>
              <w:top w:val="single" w:sz="4" w:space="0" w:color="auto"/>
              <w:left w:val="single" w:sz="4" w:space="0" w:color="auto"/>
              <w:bottom w:val="single" w:sz="4" w:space="0" w:color="auto"/>
              <w:right w:val="single" w:sz="4" w:space="0" w:color="auto"/>
            </w:tcBorders>
          </w:tcPr>
          <w:p w14:paraId="16852C40" w14:textId="77777777" w:rsidR="005F1859" w:rsidRPr="007A1FD8" w:rsidRDefault="005F1859" w:rsidP="00EF5C9A">
            <w:pPr>
              <w:rPr>
                <w:rFonts w:cs="Arial"/>
                <w:sz w:val="20"/>
                <w:szCs w:val="20"/>
              </w:rPr>
            </w:pPr>
            <w:r>
              <w:rPr>
                <w:rFonts w:cs="Arial"/>
                <w:sz w:val="20"/>
                <w:szCs w:val="20"/>
              </w:rPr>
              <w:t>DDRB pay awards</w:t>
            </w:r>
          </w:p>
        </w:tc>
        <w:tc>
          <w:tcPr>
            <w:tcW w:w="1677" w:type="dxa"/>
            <w:tcBorders>
              <w:top w:val="single" w:sz="4" w:space="0" w:color="auto"/>
              <w:left w:val="single" w:sz="4" w:space="0" w:color="auto"/>
              <w:bottom w:val="single" w:sz="4" w:space="0" w:color="auto"/>
              <w:right w:val="single" w:sz="4" w:space="0" w:color="auto"/>
            </w:tcBorders>
          </w:tcPr>
          <w:p w14:paraId="0DFF4A8D" w14:textId="77777777" w:rsidR="005F1859" w:rsidRPr="009B65FF" w:rsidRDefault="005F1859" w:rsidP="00EF5C9A">
            <w:pPr>
              <w:jc w:val="center"/>
              <w:rPr>
                <w:rFonts w:cs="Arial"/>
                <w:sz w:val="20"/>
                <w:szCs w:val="20"/>
              </w:rPr>
            </w:pPr>
            <w:r w:rsidRPr="009B65FF">
              <w:rPr>
                <w:rFonts w:cs="Arial"/>
                <w:sz w:val="20"/>
                <w:szCs w:val="20"/>
              </w:rPr>
              <w:t>(1.8)</w:t>
            </w:r>
          </w:p>
        </w:tc>
        <w:tc>
          <w:tcPr>
            <w:tcW w:w="1682" w:type="dxa"/>
            <w:tcBorders>
              <w:top w:val="single" w:sz="4" w:space="0" w:color="auto"/>
              <w:left w:val="single" w:sz="4" w:space="0" w:color="auto"/>
              <w:bottom w:val="single" w:sz="4" w:space="0" w:color="auto"/>
              <w:right w:val="single" w:sz="4" w:space="0" w:color="auto"/>
            </w:tcBorders>
          </w:tcPr>
          <w:p w14:paraId="15DBB8A6" w14:textId="77777777" w:rsidR="005F1859" w:rsidRDefault="005F1859" w:rsidP="00EF5C9A">
            <w:pPr>
              <w:jc w:val="center"/>
              <w:rPr>
                <w:rFonts w:cs="Arial"/>
                <w:sz w:val="20"/>
                <w:szCs w:val="20"/>
              </w:rPr>
            </w:pPr>
            <w:r>
              <w:rPr>
                <w:rFonts w:cs="Arial"/>
                <w:sz w:val="20"/>
                <w:szCs w:val="20"/>
              </w:rPr>
              <w:t>(1.8)</w:t>
            </w:r>
          </w:p>
        </w:tc>
        <w:tc>
          <w:tcPr>
            <w:tcW w:w="1541" w:type="dxa"/>
            <w:tcBorders>
              <w:top w:val="single" w:sz="4" w:space="0" w:color="auto"/>
              <w:left w:val="single" w:sz="4" w:space="0" w:color="auto"/>
              <w:bottom w:val="single" w:sz="4" w:space="0" w:color="auto"/>
              <w:right w:val="single" w:sz="4" w:space="0" w:color="auto"/>
            </w:tcBorders>
          </w:tcPr>
          <w:p w14:paraId="29477F57" w14:textId="77777777" w:rsidR="005F1859" w:rsidRDefault="005F1859" w:rsidP="00EF5C9A">
            <w:pPr>
              <w:jc w:val="center"/>
              <w:rPr>
                <w:rFonts w:cs="Arial"/>
                <w:sz w:val="20"/>
                <w:szCs w:val="20"/>
              </w:rPr>
            </w:pPr>
            <w:r>
              <w:rPr>
                <w:rFonts w:cs="Arial"/>
                <w:sz w:val="20"/>
                <w:szCs w:val="20"/>
              </w:rPr>
              <w:t>(1.8)</w:t>
            </w:r>
          </w:p>
        </w:tc>
      </w:tr>
      <w:tr w:rsidR="005F1859" w14:paraId="166EF72B" w14:textId="77777777" w:rsidTr="00EF5C9A">
        <w:trPr>
          <w:trHeight w:val="270"/>
          <w:jc w:val="center"/>
        </w:trPr>
        <w:tc>
          <w:tcPr>
            <w:tcW w:w="3512" w:type="dxa"/>
            <w:tcBorders>
              <w:top w:val="single" w:sz="4" w:space="0" w:color="auto"/>
              <w:left w:val="single" w:sz="4" w:space="0" w:color="auto"/>
              <w:bottom w:val="single" w:sz="4" w:space="0" w:color="auto"/>
              <w:right w:val="single" w:sz="4" w:space="0" w:color="auto"/>
            </w:tcBorders>
          </w:tcPr>
          <w:p w14:paraId="397CCA5E" w14:textId="77777777" w:rsidR="005F1859" w:rsidRPr="00931F07" w:rsidRDefault="005F1859" w:rsidP="00EF5C9A">
            <w:pPr>
              <w:rPr>
                <w:rFonts w:cs="Arial"/>
                <w:b/>
                <w:bCs/>
                <w:sz w:val="20"/>
                <w:szCs w:val="20"/>
              </w:rPr>
            </w:pPr>
            <w:r w:rsidRPr="00931F07">
              <w:rPr>
                <w:rFonts w:cs="Arial"/>
                <w:b/>
                <w:bCs/>
                <w:sz w:val="20"/>
                <w:szCs w:val="20"/>
              </w:rPr>
              <w:t>Total</w:t>
            </w:r>
          </w:p>
        </w:tc>
        <w:tc>
          <w:tcPr>
            <w:tcW w:w="1677" w:type="dxa"/>
            <w:tcBorders>
              <w:top w:val="single" w:sz="4" w:space="0" w:color="auto"/>
              <w:left w:val="single" w:sz="4" w:space="0" w:color="auto"/>
              <w:bottom w:val="single" w:sz="4" w:space="0" w:color="auto"/>
              <w:right w:val="single" w:sz="4" w:space="0" w:color="auto"/>
            </w:tcBorders>
          </w:tcPr>
          <w:p w14:paraId="036C5B6F" w14:textId="77777777" w:rsidR="005F1859" w:rsidRPr="00931F07" w:rsidRDefault="005F1859" w:rsidP="00EF5C9A">
            <w:pPr>
              <w:jc w:val="center"/>
              <w:rPr>
                <w:rFonts w:cs="Arial"/>
                <w:b/>
                <w:bCs/>
                <w:sz w:val="20"/>
                <w:szCs w:val="20"/>
              </w:rPr>
            </w:pPr>
            <w:r w:rsidRPr="00931F07">
              <w:rPr>
                <w:rFonts w:cs="Arial"/>
                <w:b/>
                <w:bCs/>
                <w:sz w:val="20"/>
                <w:szCs w:val="20"/>
              </w:rPr>
              <w:t>(2</w:t>
            </w:r>
            <w:r>
              <w:rPr>
                <w:rFonts w:cs="Arial"/>
                <w:b/>
                <w:bCs/>
                <w:sz w:val="20"/>
                <w:szCs w:val="20"/>
              </w:rPr>
              <w:t>5.3</w:t>
            </w:r>
            <w:r w:rsidRPr="00931F07">
              <w:rPr>
                <w:rFonts w:cs="Arial"/>
                <w:b/>
                <w:bCs/>
                <w:sz w:val="20"/>
                <w:szCs w:val="20"/>
              </w:rPr>
              <w:t>)</w:t>
            </w:r>
          </w:p>
        </w:tc>
        <w:tc>
          <w:tcPr>
            <w:tcW w:w="1682" w:type="dxa"/>
            <w:tcBorders>
              <w:top w:val="single" w:sz="4" w:space="0" w:color="auto"/>
              <w:left w:val="single" w:sz="4" w:space="0" w:color="auto"/>
              <w:bottom w:val="single" w:sz="4" w:space="0" w:color="auto"/>
              <w:right w:val="single" w:sz="4" w:space="0" w:color="auto"/>
            </w:tcBorders>
          </w:tcPr>
          <w:p w14:paraId="6EFC5849" w14:textId="77777777" w:rsidR="005F1859" w:rsidRPr="00931F07" w:rsidRDefault="005F1859" w:rsidP="00EF5C9A">
            <w:pPr>
              <w:jc w:val="center"/>
              <w:rPr>
                <w:rFonts w:cs="Arial"/>
                <w:b/>
                <w:bCs/>
                <w:sz w:val="20"/>
                <w:szCs w:val="20"/>
              </w:rPr>
            </w:pPr>
            <w:r w:rsidRPr="004F4EFF">
              <w:rPr>
                <w:rFonts w:cs="Arial"/>
                <w:b/>
                <w:bCs/>
                <w:sz w:val="20"/>
                <w:szCs w:val="20"/>
              </w:rPr>
              <w:t>(2</w:t>
            </w:r>
            <w:r>
              <w:rPr>
                <w:rFonts w:cs="Arial"/>
                <w:b/>
                <w:bCs/>
                <w:sz w:val="20"/>
                <w:szCs w:val="20"/>
              </w:rPr>
              <w:t>5.3</w:t>
            </w:r>
            <w:r w:rsidRPr="004F4EFF">
              <w:rPr>
                <w:rFonts w:cs="Arial"/>
                <w:b/>
                <w:bCs/>
                <w:sz w:val="20"/>
                <w:szCs w:val="20"/>
              </w:rPr>
              <w:t>)</w:t>
            </w:r>
          </w:p>
        </w:tc>
        <w:tc>
          <w:tcPr>
            <w:tcW w:w="1541" w:type="dxa"/>
            <w:tcBorders>
              <w:top w:val="single" w:sz="4" w:space="0" w:color="auto"/>
              <w:left w:val="single" w:sz="4" w:space="0" w:color="auto"/>
              <w:bottom w:val="single" w:sz="4" w:space="0" w:color="auto"/>
              <w:right w:val="single" w:sz="4" w:space="0" w:color="auto"/>
            </w:tcBorders>
          </w:tcPr>
          <w:p w14:paraId="61D3D3BD" w14:textId="77777777" w:rsidR="005F1859" w:rsidRPr="00931F07" w:rsidRDefault="005F1859" w:rsidP="00EF5C9A">
            <w:pPr>
              <w:jc w:val="center"/>
              <w:rPr>
                <w:rFonts w:cs="Arial"/>
                <w:b/>
                <w:bCs/>
                <w:sz w:val="20"/>
                <w:szCs w:val="20"/>
              </w:rPr>
            </w:pPr>
            <w:r w:rsidRPr="004F4EFF">
              <w:rPr>
                <w:rFonts w:cs="Arial"/>
                <w:b/>
                <w:bCs/>
                <w:sz w:val="20"/>
                <w:szCs w:val="20"/>
              </w:rPr>
              <w:t>(2</w:t>
            </w:r>
            <w:r>
              <w:rPr>
                <w:rFonts w:cs="Arial"/>
                <w:b/>
                <w:bCs/>
                <w:sz w:val="20"/>
                <w:szCs w:val="20"/>
              </w:rPr>
              <w:t>5.3</w:t>
            </w:r>
            <w:r w:rsidRPr="004F4EFF">
              <w:rPr>
                <w:rFonts w:cs="Arial"/>
                <w:b/>
                <w:bCs/>
                <w:sz w:val="20"/>
                <w:szCs w:val="20"/>
              </w:rPr>
              <w:t>)</w:t>
            </w:r>
          </w:p>
        </w:tc>
      </w:tr>
    </w:tbl>
    <w:p w14:paraId="3A0CE99D" w14:textId="77777777" w:rsidR="005F1859" w:rsidRDefault="005F1859" w:rsidP="005F1859">
      <w:pPr>
        <w:pStyle w:val="Heading3"/>
        <w:ind w:left="1146" w:hanging="720"/>
      </w:pPr>
      <w:r>
        <w:t>Bridging funding</w:t>
      </w:r>
    </w:p>
    <w:p w14:paraId="1C6B0055" w14:textId="77777777" w:rsidR="005F1859" w:rsidRPr="00FD19B2" w:rsidRDefault="005F1859" w:rsidP="005F1859">
      <w:r>
        <w:t xml:space="preserve">Section 1.3 describes the reasons for the Health Board moving temporarily into a more significant recurring deficit in 2019/20 after many years of incremental reductions in its recurring deficit.  </w:t>
      </w:r>
      <w:r w:rsidRPr="00FD19B2">
        <w:t>The level of cost reductions and efficiency savings needed to return to a financially balanced position in 2020/21 would be £25.6m</w:t>
      </w:r>
      <w:r>
        <w:t xml:space="preserve"> and, </w:t>
      </w:r>
      <w:r w:rsidRPr="00FD19B2">
        <w:t xml:space="preserve">while it is dealing with the wide range of issues described </w:t>
      </w:r>
      <w:r>
        <w:t xml:space="preserve">in Section 1.3, </w:t>
      </w:r>
      <w:r w:rsidRPr="00FD19B2">
        <w:t>this is beyond the reach of the Health Board in 2020/21</w:t>
      </w:r>
      <w:r>
        <w:t xml:space="preserve">.  </w:t>
      </w:r>
      <w:r w:rsidRPr="00FD19B2">
        <w:t>The Health Board has set itself a savings target of £20.6m for 2020/21 and is making progress in identifying savings to deliver this target</w:t>
      </w:r>
      <w:r>
        <w:t xml:space="preserve"> </w:t>
      </w:r>
      <w:r w:rsidRPr="00FD19B2">
        <w:rPr>
          <w:b/>
        </w:rPr>
        <w:t>(Section 1.9)</w:t>
      </w:r>
      <w:r>
        <w:t>.</w:t>
      </w:r>
      <w:r w:rsidRPr="00FD19B2">
        <w:t>  The IMTP requires bridging funding of £5m in 2020/21 in order to achieve financial balance</w:t>
      </w:r>
      <w:r>
        <w:t xml:space="preserve"> in 2020/21, plus a further </w:t>
      </w:r>
      <w:r w:rsidRPr="00FD19B2">
        <w:t>£2.2m in 2021/22</w:t>
      </w:r>
      <w:r>
        <w:t xml:space="preserve">. </w:t>
      </w:r>
      <w:r w:rsidRPr="00FD19B2">
        <w:t xml:space="preserve"> </w:t>
      </w:r>
    </w:p>
    <w:p w14:paraId="4FF87D9E" w14:textId="77777777" w:rsidR="005F1859" w:rsidRPr="00FD19B2" w:rsidRDefault="005F1859" w:rsidP="005F1859"/>
    <w:p w14:paraId="0AF7EDD8" w14:textId="77777777" w:rsidR="005F1859" w:rsidRPr="00FD19B2" w:rsidRDefault="005F1859" w:rsidP="005F1859">
      <w:r w:rsidRPr="00FD19B2">
        <w:t xml:space="preserve">The various steps the Health Board is taking to support improvement, including the new operating model and structure, the investment in clinical leadership and in Cwm Taf </w:t>
      </w:r>
      <w:r>
        <w:t xml:space="preserve">Morgannwg </w:t>
      </w:r>
      <w:r w:rsidRPr="00FD19B2">
        <w:t xml:space="preserve">Improvement and Value Based Healthcare and Population Health Management, will enable greater efficiency savings alongside improved </w:t>
      </w:r>
      <w:r w:rsidRPr="00FD19B2">
        <w:lastRenderedPageBreak/>
        <w:t>outcomes</w:t>
      </w:r>
      <w:r>
        <w:t>.</w:t>
      </w:r>
      <w:r w:rsidRPr="00FD19B2">
        <w:t xml:space="preserve"> </w:t>
      </w:r>
      <w:r>
        <w:t xml:space="preserve"> </w:t>
      </w:r>
      <w:r w:rsidRPr="00FD19B2">
        <w:t>With both the bridging funding and this improved delivery, the Health Board can then resume the record of financial balance delivered by the former Cwm Ta</w:t>
      </w:r>
      <w:r>
        <w:t>f</w:t>
      </w:r>
      <w:r w:rsidRPr="00FD19B2">
        <w:t xml:space="preserve"> Health Board over many years, including achievement of recurrent balance. </w:t>
      </w:r>
    </w:p>
    <w:p w14:paraId="646C29F8" w14:textId="77777777" w:rsidR="005F1859" w:rsidRDefault="005F1859" w:rsidP="005F1859">
      <w:pPr>
        <w:pStyle w:val="Heading3"/>
        <w:ind w:left="1146" w:hanging="720"/>
      </w:pPr>
      <w:r>
        <w:t>Targeted Intervention</w:t>
      </w:r>
    </w:p>
    <w:p w14:paraId="2492F945" w14:textId="77777777" w:rsidR="005F1859" w:rsidRDefault="005F1859" w:rsidP="005F1859">
      <w:r w:rsidRPr="00E707A3">
        <w:t xml:space="preserve">The Welsh Government </w:t>
      </w:r>
      <w:r>
        <w:t>has provided £3.0m of financial support in 2019/20 for actions to address the Health Board’s Targeted Intervention Status.  The level of financial support for future years has not yet been confirmed by the Welsh Government.  The financial plan assumes the following:</w:t>
      </w:r>
    </w:p>
    <w:p w14:paraId="35718E4E" w14:textId="77777777" w:rsidR="005F1859" w:rsidRDefault="005F1859" w:rsidP="005F1859"/>
    <w:p w14:paraId="606D0FB0" w14:textId="77777777" w:rsidR="005F1859" w:rsidRDefault="005F1859" w:rsidP="005F1859">
      <w:pPr>
        <w:pStyle w:val="ListParagraph"/>
        <w:numPr>
          <w:ilvl w:val="0"/>
          <w:numId w:val="107"/>
        </w:numPr>
      </w:pPr>
      <w:r>
        <w:t xml:space="preserve">£3.5m of TI funding in 2020/21 and 2021/22 to continue the enabling activities and service improvements which were started in 2019/20. </w:t>
      </w:r>
    </w:p>
    <w:p w14:paraId="52FFCC78" w14:textId="77777777" w:rsidR="005F1859" w:rsidRDefault="005F1859" w:rsidP="005F1859">
      <w:pPr>
        <w:pStyle w:val="ListParagraph"/>
        <w:numPr>
          <w:ilvl w:val="0"/>
          <w:numId w:val="107"/>
        </w:numPr>
      </w:pPr>
      <w:r>
        <w:t xml:space="preserve">This supplements £2m of Health Board funded investment in clinical leadership capacity and quality governance and quality improvement which was committed to in 2019/20 and is included in the 2019/20 recurrent deficit. </w:t>
      </w:r>
    </w:p>
    <w:p w14:paraId="3A540943" w14:textId="77777777" w:rsidR="005F1859" w:rsidRDefault="005F1859" w:rsidP="005F1859">
      <w:pPr>
        <w:pStyle w:val="ListParagraph"/>
        <w:numPr>
          <w:ilvl w:val="0"/>
          <w:numId w:val="107"/>
        </w:numPr>
      </w:pPr>
      <w:r>
        <w:t>TI funding ends in 2021/22.  From 2022/23 the Health Board funds within an overall balanced plan the elements of the 2020/21 and 2021/22 activities which it considers need to continue on a recurrent basis.  These are estimated at present to have an annual cost of £1.5m.</w:t>
      </w:r>
    </w:p>
    <w:p w14:paraId="44F417DF" w14:textId="77777777" w:rsidR="005F1859" w:rsidRDefault="005F1859" w:rsidP="005F1859"/>
    <w:p w14:paraId="63449941" w14:textId="77777777" w:rsidR="005F1859" w:rsidRDefault="005F1859" w:rsidP="005F1859">
      <w:r>
        <w:t>This includes investment in CTM improvement and in developing an improved capability to support Value Based Healthcare and Population Health Management, which are critical for the Health Board to plan and deliver the quality based financial improvement which is highlighted through the IMTP and is a major component of the medium term savings plan (see Section 1.9).</w:t>
      </w:r>
    </w:p>
    <w:p w14:paraId="59B84B3F" w14:textId="77777777" w:rsidR="005F1859" w:rsidRDefault="005F1859" w:rsidP="005F1859"/>
    <w:p w14:paraId="0E2B9AAA" w14:textId="77777777" w:rsidR="005F1859" w:rsidRDefault="005F1859" w:rsidP="005F1859">
      <w:r>
        <w:t xml:space="preserve">A summary of this showing the planned areas of investment from the assumed TI funding is shown in the table below: </w:t>
      </w:r>
    </w:p>
    <w:p w14:paraId="39D91904" w14:textId="77777777" w:rsidR="005F1859" w:rsidRDefault="005F1859" w:rsidP="005F1859">
      <w:r w:rsidRPr="00452E91">
        <w:rPr>
          <w:noProof/>
        </w:rPr>
        <w:lastRenderedPageBreak/>
        <w:drawing>
          <wp:inline distT="0" distB="0" distL="0" distR="0" wp14:anchorId="27E15D7B" wp14:editId="0BCC10A1">
            <wp:extent cx="5726844" cy="5022376"/>
            <wp:effectExtent l="0" t="0" r="7620" b="6985"/>
            <wp:docPr id="1809" name="Picture 1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781613" cy="5070408"/>
                    </a:xfrm>
                    <a:prstGeom prst="rect">
                      <a:avLst/>
                    </a:prstGeom>
                    <a:noFill/>
                    <a:ln>
                      <a:noFill/>
                    </a:ln>
                  </pic:spPr>
                </pic:pic>
              </a:graphicData>
            </a:graphic>
          </wp:inline>
        </w:drawing>
      </w:r>
    </w:p>
    <w:p w14:paraId="58A17D34" w14:textId="77777777" w:rsidR="005F1859" w:rsidRDefault="005F1859" w:rsidP="005F1859">
      <w:pPr>
        <w:pStyle w:val="Heading3"/>
        <w:ind w:left="1146" w:hanging="720"/>
      </w:pPr>
      <w:r>
        <w:t xml:space="preserve">Regional Partnership Transformation Programme </w:t>
      </w:r>
    </w:p>
    <w:p w14:paraId="464D0A0F" w14:textId="77777777" w:rsidR="005F1859" w:rsidRDefault="005F1859" w:rsidP="005F1859">
      <w:r>
        <w:t xml:space="preserve">A summary of the income and spend profiles for the two Transformation programmes: Stay Well in Your Community (SWYC) in partnership with RCT and MTCBC, and </w:t>
      </w:r>
      <w:r w:rsidRPr="00667A89">
        <w:rPr>
          <w:rFonts w:asciiTheme="minorHAnsi" w:hAnsiTheme="minorHAnsi" w:cs="Arial"/>
        </w:rPr>
        <w:t>Accelerating the Pace of Change of Integrated Services</w:t>
      </w:r>
      <w:r>
        <w:rPr>
          <w:rFonts w:asciiTheme="minorHAnsi" w:hAnsiTheme="minorHAnsi" w:cs="Arial"/>
        </w:rPr>
        <w:t xml:space="preserve"> </w:t>
      </w:r>
      <w:r>
        <w:rPr>
          <w:rFonts w:ascii="Arial" w:hAnsi="Arial" w:cs="Arial"/>
        </w:rPr>
        <w:t>(</w:t>
      </w:r>
      <w:r>
        <w:t>APCIS) in partnership with BCBC are provided below:</w:t>
      </w:r>
    </w:p>
    <w:p w14:paraId="1487B6F2" w14:textId="77777777" w:rsidR="005F1859" w:rsidRDefault="005F1859" w:rsidP="005F1859"/>
    <w:p w14:paraId="35821F0E" w14:textId="77777777" w:rsidR="005F1859" w:rsidRDefault="005F1859" w:rsidP="005F1859">
      <w:r w:rsidRPr="00BD6B1F">
        <w:rPr>
          <w:noProof/>
        </w:rPr>
        <w:drawing>
          <wp:inline distT="0" distB="0" distL="0" distR="0" wp14:anchorId="2EA694E8" wp14:editId="47AB4666">
            <wp:extent cx="5730411" cy="2627194"/>
            <wp:effectExtent l="0" t="0" r="381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736859" cy="2630150"/>
                    </a:xfrm>
                    <a:prstGeom prst="rect">
                      <a:avLst/>
                    </a:prstGeom>
                    <a:noFill/>
                    <a:ln>
                      <a:noFill/>
                    </a:ln>
                  </pic:spPr>
                </pic:pic>
              </a:graphicData>
            </a:graphic>
          </wp:inline>
        </w:drawing>
      </w:r>
    </w:p>
    <w:p w14:paraId="5BEE3E51" w14:textId="77777777" w:rsidR="005F1859" w:rsidRDefault="005F1859" w:rsidP="005F1859"/>
    <w:p w14:paraId="5DD98849" w14:textId="77777777" w:rsidR="005F1859" w:rsidRDefault="005F1859" w:rsidP="005F1859">
      <w:r w:rsidRPr="00BD6B1F">
        <w:rPr>
          <w:noProof/>
        </w:rPr>
        <w:lastRenderedPageBreak/>
        <w:drawing>
          <wp:inline distT="0" distB="0" distL="0" distR="0" wp14:anchorId="10B880CA" wp14:editId="11316EAC">
            <wp:extent cx="5731081" cy="2681785"/>
            <wp:effectExtent l="0" t="0" r="3175" b="4445"/>
            <wp:docPr id="1816" name="Picture 1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735041" cy="2683638"/>
                    </a:xfrm>
                    <a:prstGeom prst="rect">
                      <a:avLst/>
                    </a:prstGeom>
                    <a:noFill/>
                    <a:ln>
                      <a:noFill/>
                    </a:ln>
                  </pic:spPr>
                </pic:pic>
              </a:graphicData>
            </a:graphic>
          </wp:inline>
        </w:drawing>
      </w:r>
    </w:p>
    <w:p w14:paraId="7D4E30B5" w14:textId="77777777" w:rsidR="005F1859" w:rsidRDefault="005F1859" w:rsidP="005F1859"/>
    <w:p w14:paraId="3BAF87F1" w14:textId="77777777" w:rsidR="005F1859" w:rsidRDefault="005F1859" w:rsidP="005F1859">
      <w:r>
        <w:t>The combined requirement from the two programmes is a cost release from existing models of care of £6.2m in 2021/22.</w:t>
      </w:r>
    </w:p>
    <w:p w14:paraId="57FEE983" w14:textId="77777777" w:rsidR="005F1859" w:rsidRDefault="005F1859" w:rsidP="005F1859"/>
    <w:p w14:paraId="695132EF" w14:textId="77777777" w:rsidR="005F1859" w:rsidRDefault="005F1859" w:rsidP="005F1859">
      <w:r>
        <w:t>T</w:t>
      </w:r>
      <w:r w:rsidRPr="001568E5">
        <w:t>he 201</w:t>
      </w:r>
      <w:r>
        <w:t>9</w:t>
      </w:r>
      <w:r w:rsidRPr="001568E5">
        <w:t>/</w:t>
      </w:r>
      <w:r>
        <w:t>20</w:t>
      </w:r>
      <w:r w:rsidRPr="001568E5">
        <w:t xml:space="preserve"> financial plan include</w:t>
      </w:r>
      <w:r>
        <w:t>s</w:t>
      </w:r>
      <w:r w:rsidRPr="001568E5">
        <w:t xml:space="preserve"> a £1.7m provision for increased demand from unscheduled care admissions and </w:t>
      </w:r>
      <w:r>
        <w:t xml:space="preserve">associated </w:t>
      </w:r>
      <w:r w:rsidRPr="001568E5">
        <w:t xml:space="preserve">growth in bed days. </w:t>
      </w:r>
      <w:r>
        <w:t xml:space="preserve"> </w:t>
      </w:r>
      <w:r w:rsidRPr="001568E5">
        <w:t>A further provision of £1.5m has been built into the financial plan for 20</w:t>
      </w:r>
      <w:r>
        <w:t>20/21 and into the 2021/22 plan</w:t>
      </w:r>
      <w:r w:rsidRPr="001568E5">
        <w:t>.</w:t>
      </w:r>
      <w:r>
        <w:t xml:space="preserve"> </w:t>
      </w:r>
      <w:r w:rsidRPr="001568E5">
        <w:t xml:space="preserve"> Provided the Health Board can man</w:t>
      </w:r>
      <w:r>
        <w:t>a</w:t>
      </w:r>
      <w:r w:rsidRPr="001568E5">
        <w:t>ge within its existing bed base</w:t>
      </w:r>
      <w:r>
        <w:rPr>
          <w:b/>
        </w:rPr>
        <w:t>,</w:t>
      </w:r>
      <w:r w:rsidRPr="001568E5">
        <w:t xml:space="preserve"> through admissions avoidance </w:t>
      </w:r>
      <w:r>
        <w:t xml:space="preserve">enabled through the new out of hospital services </w:t>
      </w:r>
      <w:r w:rsidRPr="001568E5">
        <w:t xml:space="preserve">and </w:t>
      </w:r>
      <w:r>
        <w:t xml:space="preserve">through </w:t>
      </w:r>
      <w:r w:rsidRPr="001568E5">
        <w:t>improved length of stay</w:t>
      </w:r>
      <w:r>
        <w:t>,</w:t>
      </w:r>
      <w:r w:rsidRPr="001568E5">
        <w:t xml:space="preserve"> the planning assumption is that</w:t>
      </w:r>
      <w:r>
        <w:t xml:space="preserve"> t</w:t>
      </w:r>
      <w:r w:rsidRPr="004E4034">
        <w:t xml:space="preserve">he recurring reserve </w:t>
      </w:r>
      <w:r>
        <w:t>by</w:t>
      </w:r>
      <w:r w:rsidRPr="004E4034">
        <w:t xml:space="preserve"> 2021/22 will provide a £4.7m recurring contribution to the </w:t>
      </w:r>
      <w:r>
        <w:t xml:space="preserve">£6.2m required for the transformation sustainability </w:t>
      </w:r>
      <w:r w:rsidRPr="006274CF">
        <w:t xml:space="preserve">plan </w:t>
      </w:r>
      <w:r w:rsidRPr="00257B0E">
        <w:t>(See Section1.6.8)</w:t>
      </w:r>
      <w:r w:rsidRPr="006274CF">
        <w:t>.</w:t>
      </w:r>
      <w:r>
        <w:t xml:space="preserve"> </w:t>
      </w:r>
      <w:r w:rsidRPr="006274CF">
        <w:t xml:space="preserve"> The balance of £1.5m will need</w:t>
      </w:r>
      <w:r>
        <w:t xml:space="preserve"> to be delivered through </w:t>
      </w:r>
      <w:r w:rsidRPr="006274CF">
        <w:t>bed reductions enabled by the impact of</w:t>
      </w:r>
      <w:r>
        <w:t xml:space="preserve"> the out of hospital investment in reducing emergency admissions, or (as a fall back) by scaling back the level of out of hospital investment. </w:t>
      </w:r>
    </w:p>
    <w:p w14:paraId="6B1BEDB0" w14:textId="77777777" w:rsidR="005F1859" w:rsidRPr="008E2C06" w:rsidRDefault="005F1859" w:rsidP="005F1859">
      <w:pPr>
        <w:pStyle w:val="Heading3"/>
        <w:numPr>
          <w:ilvl w:val="2"/>
          <w:numId w:val="126"/>
        </w:numPr>
        <w:ind w:left="1145"/>
      </w:pPr>
      <w:r w:rsidRPr="008E2C06">
        <w:t>Delivering RTT Performance</w:t>
      </w:r>
    </w:p>
    <w:p w14:paraId="297A643D" w14:textId="77777777" w:rsidR="005F1859" w:rsidRPr="00773A77" w:rsidRDefault="005F1859" w:rsidP="005F1859">
      <w:pPr>
        <w:pStyle w:val="Heading3"/>
        <w:numPr>
          <w:ilvl w:val="0"/>
          <w:numId w:val="0"/>
        </w:numPr>
        <w:rPr>
          <w:b w:val="0"/>
        </w:rPr>
      </w:pPr>
      <w:r w:rsidRPr="008E2C06">
        <w:rPr>
          <w:b w:val="0"/>
        </w:rPr>
        <w:t>The financial plan includes a provision of £2.3m per annum for demand and activity growth (</w:t>
      </w:r>
      <w:r w:rsidRPr="008E2C06">
        <w:t>See Section 1.6.7</w:t>
      </w:r>
      <w:r w:rsidRPr="008E2C06">
        <w:rPr>
          <w:b w:val="0"/>
        </w:rPr>
        <w:t>).</w:t>
      </w:r>
      <w:r>
        <w:rPr>
          <w:b w:val="0"/>
        </w:rPr>
        <w:t xml:space="preserve"> </w:t>
      </w:r>
      <w:r w:rsidRPr="008E2C06">
        <w:rPr>
          <w:b w:val="0"/>
        </w:rPr>
        <w:t xml:space="preserve"> It is important to note that this sum largely relates to diagnostics not planned care, and it is for new demand growth only.</w:t>
      </w:r>
      <w:r w:rsidRPr="00773A77">
        <w:rPr>
          <w:b w:val="0"/>
        </w:rPr>
        <w:t xml:space="preserve">  </w:t>
      </w:r>
    </w:p>
    <w:p w14:paraId="57642FD5" w14:textId="77777777" w:rsidR="005F1859" w:rsidRDefault="005F1859" w:rsidP="005F1859">
      <w:pPr>
        <w:pStyle w:val="Heading3"/>
        <w:numPr>
          <w:ilvl w:val="0"/>
          <w:numId w:val="0"/>
        </w:numPr>
        <w:rPr>
          <w:b w:val="0"/>
        </w:rPr>
      </w:pPr>
      <w:r>
        <w:rPr>
          <w:b w:val="0"/>
        </w:rPr>
        <w:t>D</w:t>
      </w:r>
      <w:r w:rsidRPr="008E2C06">
        <w:rPr>
          <w:b w:val="0"/>
        </w:rPr>
        <w:t xml:space="preserve">emand and capacity plans </w:t>
      </w:r>
      <w:r>
        <w:rPr>
          <w:b w:val="0"/>
        </w:rPr>
        <w:t xml:space="preserve">have been developed </w:t>
      </w:r>
      <w:r w:rsidRPr="008E2C06">
        <w:rPr>
          <w:b w:val="0"/>
        </w:rPr>
        <w:t xml:space="preserve">to </w:t>
      </w:r>
      <w:r>
        <w:rPr>
          <w:b w:val="0"/>
        </w:rPr>
        <w:t>meet planned care demand</w:t>
      </w:r>
      <w:r w:rsidRPr="008E2C06">
        <w:rPr>
          <w:b w:val="0"/>
        </w:rPr>
        <w:t xml:space="preserve"> in 20</w:t>
      </w:r>
      <w:r>
        <w:rPr>
          <w:b w:val="0"/>
        </w:rPr>
        <w:t xml:space="preserve">20/21, and where possible reduce the RTT backlog as at 31 March 2021. </w:t>
      </w:r>
    </w:p>
    <w:p w14:paraId="398BD6A5" w14:textId="77777777" w:rsidR="005F1859" w:rsidRPr="008E2C06" w:rsidRDefault="005F1859" w:rsidP="005F1859">
      <w:pPr>
        <w:pStyle w:val="Heading3"/>
        <w:numPr>
          <w:ilvl w:val="0"/>
          <w:numId w:val="0"/>
        </w:numPr>
        <w:rPr>
          <w:b w:val="0"/>
        </w:rPr>
      </w:pPr>
      <w:r>
        <w:rPr>
          <w:b w:val="0"/>
        </w:rPr>
        <w:t>The approach has included:</w:t>
      </w:r>
    </w:p>
    <w:p w14:paraId="44B650BB" w14:textId="77777777" w:rsidR="005F1859" w:rsidRPr="008E2C06" w:rsidRDefault="005F1859" w:rsidP="005F1859">
      <w:pPr>
        <w:pStyle w:val="Heading3"/>
        <w:numPr>
          <w:ilvl w:val="0"/>
          <w:numId w:val="122"/>
        </w:numPr>
        <w:rPr>
          <w:b w:val="0"/>
        </w:rPr>
      </w:pPr>
      <w:r w:rsidRPr="00422D0E">
        <w:rPr>
          <w:b w:val="0"/>
          <w:bCs w:val="0"/>
        </w:rPr>
        <w:t>Assessment of which of the drivers for the 2019/20 projected outturn RTT performance are non-recurring and which recurring, and thus establish the recurrent capacity shortfall for 20/21 before changes in 20/21.</w:t>
      </w:r>
      <w:r>
        <w:rPr>
          <w:b w:val="0"/>
          <w:bCs w:val="0"/>
        </w:rPr>
        <w:t xml:space="preserve"> </w:t>
      </w:r>
      <w:r>
        <w:rPr>
          <w:b w:val="0"/>
        </w:rPr>
        <w:t xml:space="preserve"> </w:t>
      </w:r>
      <w:r w:rsidRPr="003E6AE1">
        <w:rPr>
          <w:b w:val="0"/>
        </w:rPr>
        <w:t>It should be noted that the forecast out</w:t>
      </w:r>
      <w:r>
        <w:rPr>
          <w:b w:val="0"/>
        </w:rPr>
        <w:t>turn RTT breaches in 2019/20 was</w:t>
      </w:r>
      <w:r w:rsidRPr="003E6AE1">
        <w:rPr>
          <w:b w:val="0"/>
        </w:rPr>
        <w:t xml:space="preserve"> after significant outsourcing funded from non-recurrent Welsh Government performanc</w:t>
      </w:r>
      <w:r>
        <w:rPr>
          <w:b w:val="0"/>
        </w:rPr>
        <w:t xml:space="preserve">e funding.  The </w:t>
      </w:r>
      <w:r w:rsidRPr="003E6AE1">
        <w:rPr>
          <w:b w:val="0"/>
        </w:rPr>
        <w:t>recurrent capacity sho</w:t>
      </w:r>
      <w:r>
        <w:rPr>
          <w:b w:val="0"/>
        </w:rPr>
        <w:t>rtfall is therefore significant and this has been driven by a variety of drivers such as pension changes and USC pressures.</w:t>
      </w:r>
      <w:r w:rsidRPr="008E2C06">
        <w:rPr>
          <w:b w:val="0"/>
        </w:rPr>
        <w:t xml:space="preserve"> </w:t>
      </w:r>
    </w:p>
    <w:p w14:paraId="2143F924" w14:textId="77777777" w:rsidR="005F1859" w:rsidRPr="008E2C06" w:rsidRDefault="005F1859" w:rsidP="005F1859">
      <w:pPr>
        <w:pStyle w:val="Heading3"/>
        <w:numPr>
          <w:ilvl w:val="0"/>
          <w:numId w:val="122"/>
        </w:numPr>
        <w:rPr>
          <w:b w:val="0"/>
        </w:rPr>
      </w:pPr>
      <w:r w:rsidRPr="008E2C06">
        <w:rPr>
          <w:b w:val="0"/>
        </w:rPr>
        <w:t>Assess</w:t>
      </w:r>
      <w:r>
        <w:rPr>
          <w:b w:val="0"/>
        </w:rPr>
        <w:t xml:space="preserve">ment of </w:t>
      </w:r>
      <w:r w:rsidRPr="008E2C06">
        <w:rPr>
          <w:b w:val="0"/>
        </w:rPr>
        <w:t>feasible improvement</w:t>
      </w:r>
      <w:r>
        <w:rPr>
          <w:b w:val="0"/>
        </w:rPr>
        <w:t>s</w:t>
      </w:r>
      <w:r w:rsidRPr="008E2C06">
        <w:rPr>
          <w:b w:val="0"/>
        </w:rPr>
        <w:t xml:space="preserve"> to productivity, pathways and capacity to reduce the recurrent capacity gap and start to reduce the backlogs at the end of 19/20.</w:t>
      </w:r>
    </w:p>
    <w:p w14:paraId="47B9A070" w14:textId="77777777" w:rsidR="005F1859" w:rsidRDefault="005F1859" w:rsidP="005F1859"/>
    <w:p w14:paraId="374CB1AB" w14:textId="77777777" w:rsidR="005F1859" w:rsidRPr="008E2C06" w:rsidRDefault="005F1859" w:rsidP="005F1859">
      <w:pPr>
        <w:pStyle w:val="Heading3"/>
        <w:numPr>
          <w:ilvl w:val="0"/>
          <w:numId w:val="122"/>
        </w:numPr>
        <w:rPr>
          <w:b w:val="0"/>
        </w:rPr>
      </w:pPr>
      <w:r w:rsidRPr="008E2C06">
        <w:rPr>
          <w:b w:val="0"/>
        </w:rPr>
        <w:lastRenderedPageBreak/>
        <w:t xml:space="preserve">Resultant performance improvement trajectories. </w:t>
      </w:r>
    </w:p>
    <w:p w14:paraId="1448C3D1" w14:textId="77777777" w:rsidR="005F1859" w:rsidRPr="008E2C06" w:rsidRDefault="005F1859" w:rsidP="005F1859">
      <w:pPr>
        <w:pStyle w:val="Heading3"/>
        <w:numPr>
          <w:ilvl w:val="0"/>
          <w:numId w:val="122"/>
        </w:numPr>
        <w:rPr>
          <w:b w:val="0"/>
        </w:rPr>
      </w:pPr>
      <w:r>
        <w:rPr>
          <w:b w:val="0"/>
        </w:rPr>
        <w:t>Resultant cost</w:t>
      </w:r>
      <w:r w:rsidRPr="008E2C06">
        <w:rPr>
          <w:b w:val="0"/>
        </w:rPr>
        <w:t xml:space="preserve"> </w:t>
      </w:r>
      <w:r>
        <w:rPr>
          <w:b w:val="0"/>
        </w:rPr>
        <w:t>implications</w:t>
      </w:r>
      <w:r w:rsidRPr="008E2C06">
        <w:rPr>
          <w:b w:val="0"/>
        </w:rPr>
        <w:t xml:space="preserve">. </w:t>
      </w:r>
    </w:p>
    <w:p w14:paraId="468CE278" w14:textId="77777777" w:rsidR="005F1859" w:rsidRDefault="005F1859" w:rsidP="005F1859">
      <w:pPr>
        <w:pStyle w:val="Heading3"/>
        <w:numPr>
          <w:ilvl w:val="0"/>
          <w:numId w:val="0"/>
        </w:numPr>
        <w:rPr>
          <w:b w:val="0"/>
        </w:rPr>
      </w:pPr>
      <w:r w:rsidRPr="00422D0E">
        <w:rPr>
          <w:b w:val="0"/>
        </w:rPr>
        <w:t>This means that in the absence of productivity improvement and funded capacity increases, RTT performance w</w:t>
      </w:r>
      <w:r>
        <w:rPr>
          <w:b w:val="0"/>
        </w:rPr>
        <w:t xml:space="preserve">ould </w:t>
      </w:r>
      <w:r w:rsidRPr="00422D0E">
        <w:rPr>
          <w:b w:val="0"/>
        </w:rPr>
        <w:t xml:space="preserve">continue to deteriorate. </w:t>
      </w:r>
      <w:r>
        <w:rPr>
          <w:b w:val="0"/>
        </w:rPr>
        <w:t xml:space="preserve"> The estimated cost which would deliver on the below is estimated at £7.5m.  This is not included within the IMTP pending further discussion with the Welsh Government. </w:t>
      </w:r>
    </w:p>
    <w:p w14:paraId="25D9029E" w14:textId="77777777" w:rsidR="005F1859" w:rsidRDefault="005F1859" w:rsidP="005F1859">
      <w:pPr>
        <w:pStyle w:val="Heading3"/>
        <w:numPr>
          <w:ilvl w:val="0"/>
          <w:numId w:val="0"/>
        </w:numPr>
        <w:rPr>
          <w:b w:val="0"/>
        </w:rPr>
      </w:pPr>
      <w:r>
        <w:rPr>
          <w:b w:val="0"/>
        </w:rPr>
        <w:t xml:space="preserve"> This would:</w:t>
      </w:r>
    </w:p>
    <w:p w14:paraId="114625E4" w14:textId="77777777" w:rsidR="005F1859" w:rsidRPr="00422D0E" w:rsidRDefault="005F1859" w:rsidP="005F1859">
      <w:pPr>
        <w:pStyle w:val="Heading3"/>
        <w:numPr>
          <w:ilvl w:val="0"/>
          <w:numId w:val="125"/>
        </w:numPr>
        <w:rPr>
          <w:b w:val="0"/>
          <w:i/>
        </w:rPr>
      </w:pPr>
      <w:r>
        <w:rPr>
          <w:b w:val="0"/>
        </w:rPr>
        <w:t>enable recurrent demand to be met (and so avoiding a further deterioration of the RTT backlog)</w:t>
      </w:r>
    </w:p>
    <w:p w14:paraId="4B286209" w14:textId="77777777" w:rsidR="005F1859" w:rsidRPr="00422D0E" w:rsidRDefault="005F1859" w:rsidP="005F1859">
      <w:pPr>
        <w:pStyle w:val="Heading3"/>
        <w:numPr>
          <w:ilvl w:val="0"/>
          <w:numId w:val="125"/>
        </w:numPr>
        <w:rPr>
          <w:b w:val="0"/>
          <w:bCs w:val="0"/>
        </w:rPr>
      </w:pPr>
      <w:r>
        <w:rPr>
          <w:b w:val="0"/>
          <w:bCs w:val="0"/>
        </w:rPr>
        <w:t xml:space="preserve">clear an element of the backlog in medical specialties. </w:t>
      </w:r>
    </w:p>
    <w:p w14:paraId="6745D4AD" w14:textId="77777777" w:rsidR="005F1859" w:rsidRPr="0077298C" w:rsidRDefault="005F1859" w:rsidP="005F1859">
      <w:pPr>
        <w:pStyle w:val="Heading3"/>
        <w:ind w:left="1146" w:hanging="720"/>
      </w:pPr>
      <w:r>
        <w:t>P</w:t>
      </w:r>
      <w:r w:rsidRPr="0077298C">
        <w:t>rimary Care Inflation</w:t>
      </w:r>
    </w:p>
    <w:p w14:paraId="7CFCCFC7" w14:textId="77777777" w:rsidR="005F1859" w:rsidRDefault="005F1859" w:rsidP="005F1859">
      <w:r w:rsidRPr="009B65FF">
        <w:t>As in previous years, we are assuming that the cost of the DDRB pay awards for GDS and GMS contractors in 2020/21 will be matched with an additional allocation from WG.</w:t>
      </w:r>
    </w:p>
    <w:p w14:paraId="09BC0AD2" w14:textId="77777777" w:rsidR="005F1859" w:rsidRPr="00B66177" w:rsidRDefault="005F1859" w:rsidP="005F1859">
      <w:pPr>
        <w:pStyle w:val="Heading3"/>
        <w:ind w:left="1146" w:hanging="720"/>
      </w:pPr>
      <w:r>
        <w:t>Potential A</w:t>
      </w:r>
      <w:r w:rsidRPr="00B66177">
        <w:t xml:space="preserve">dditional </w:t>
      </w:r>
      <w:r>
        <w:t>A</w:t>
      </w:r>
      <w:r w:rsidRPr="00B66177">
        <w:t xml:space="preserve">llocations </w:t>
      </w:r>
    </w:p>
    <w:p w14:paraId="0DF7C1C8" w14:textId="77777777" w:rsidR="005F1859" w:rsidRPr="009B65FF" w:rsidRDefault="005F1859" w:rsidP="005F1859">
      <w:pPr>
        <w:rPr>
          <w:b/>
        </w:rPr>
      </w:pPr>
      <w:r>
        <w:t>Likely</w:t>
      </w:r>
      <w:r w:rsidRPr="009B65FF">
        <w:t xml:space="preserve"> additional </w:t>
      </w:r>
      <w:r>
        <w:t xml:space="preserve">Welsh Government allocations for specific purposes, over and above the core 2% uplift, funding for pay awards, primary care inflation and the specific 2020/21 allocation increases for primary care and mental health, have yet to be confirmed </w:t>
      </w:r>
      <w:r w:rsidRPr="009B65FF">
        <w:t xml:space="preserve">and </w:t>
      </w:r>
      <w:r>
        <w:t xml:space="preserve">so </w:t>
      </w:r>
      <w:r w:rsidRPr="009B65FF">
        <w:t>have been excluded from the plan</w:t>
      </w:r>
      <w:r>
        <w:t xml:space="preserve">. </w:t>
      </w:r>
    </w:p>
    <w:p w14:paraId="74D1BE90" w14:textId="77777777" w:rsidR="005F1859" w:rsidRPr="00B66177" w:rsidRDefault="005F1859" w:rsidP="005F1859">
      <w:pPr>
        <w:pStyle w:val="Heading2"/>
        <w:ind w:left="1077" w:hanging="1077"/>
      </w:pPr>
      <w:bookmarkStart w:id="180" w:name="_Toc536195580"/>
      <w:bookmarkStart w:id="181" w:name="_Toc536528062"/>
      <w:r>
        <w:t>Inflationary, S</w:t>
      </w:r>
      <w:r w:rsidRPr="00B66177">
        <w:t xml:space="preserve">ervice </w:t>
      </w:r>
      <w:r>
        <w:t>Demand and C</w:t>
      </w:r>
      <w:r w:rsidRPr="00B66177">
        <w:t xml:space="preserve">ost </w:t>
      </w:r>
      <w:r>
        <w:t>P</w:t>
      </w:r>
      <w:r w:rsidRPr="00B66177">
        <w:t>ressures</w:t>
      </w:r>
      <w:bookmarkEnd w:id="180"/>
      <w:bookmarkEnd w:id="181"/>
      <w:r w:rsidRPr="00B66177">
        <w:t xml:space="preserve"> </w:t>
      </w:r>
    </w:p>
    <w:p w14:paraId="2D88A143" w14:textId="77777777" w:rsidR="005F1859" w:rsidRDefault="005F1859" w:rsidP="005F1859">
      <w:pPr>
        <w:jc w:val="left"/>
      </w:pPr>
      <w:r>
        <w:t>The table below shows the projected inflationary, demand and other cost pressures for the next three years, which are anticipated to be fairly stable over this period.</w:t>
      </w:r>
    </w:p>
    <w:p w14:paraId="6D9F400F" w14:textId="77777777" w:rsidR="005F1859" w:rsidRDefault="005F1859" w:rsidP="005F1859">
      <w:pPr>
        <w:spacing w:after="160" w:line="259" w:lineRule="auto"/>
        <w:jc w:val="left"/>
      </w:pPr>
      <w:r>
        <w:br w:type="page"/>
      </w:r>
    </w:p>
    <w:p w14:paraId="11696C8C" w14:textId="77777777" w:rsidR="005F1859" w:rsidRDefault="005F1859" w:rsidP="005F1859">
      <w:pPr>
        <w:jc w:val="left"/>
      </w:pPr>
    </w:p>
    <w:tbl>
      <w:tblPr>
        <w:tblW w:w="8655" w:type="dxa"/>
        <w:tblInd w:w="103" w:type="dxa"/>
        <w:tblLayout w:type="fixed"/>
        <w:tblLook w:val="04A0" w:firstRow="1" w:lastRow="0" w:firstColumn="1" w:lastColumn="0" w:noHBand="0" w:noVBand="1"/>
      </w:tblPr>
      <w:tblGrid>
        <w:gridCol w:w="5253"/>
        <w:gridCol w:w="1134"/>
        <w:gridCol w:w="1134"/>
        <w:gridCol w:w="1134"/>
      </w:tblGrid>
      <w:tr w:rsidR="005F1859" w14:paraId="026B2179" w14:textId="77777777" w:rsidTr="00EF5C9A">
        <w:trPr>
          <w:trHeight w:val="300"/>
          <w:tblHeader/>
        </w:trPr>
        <w:tc>
          <w:tcPr>
            <w:tcW w:w="5253"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1475FC52" w14:textId="77777777" w:rsidR="005F1859" w:rsidRPr="002A1D42" w:rsidRDefault="005F1859" w:rsidP="00EF5C9A">
            <w:pPr>
              <w:rPr>
                <w:rFonts w:cs="Times New Roman"/>
                <w:b/>
                <w:bCs/>
                <w:color w:val="000000"/>
                <w:sz w:val="20"/>
                <w:szCs w:val="20"/>
              </w:rPr>
            </w:pPr>
            <w:r w:rsidRPr="002A1D42">
              <w:rPr>
                <w:rFonts w:cs="Times New Roman"/>
                <w:b/>
                <w:bCs/>
                <w:color w:val="000000"/>
                <w:sz w:val="20"/>
                <w:szCs w:val="20"/>
              </w:rPr>
              <w:t>Inflation and other cost pressures</w:t>
            </w:r>
          </w:p>
        </w:tc>
        <w:tc>
          <w:tcPr>
            <w:tcW w:w="1134"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0D5D97E1" w14:textId="77777777" w:rsidR="005F1859" w:rsidRPr="002A1D42" w:rsidRDefault="005F1859" w:rsidP="00EF5C9A">
            <w:pPr>
              <w:jc w:val="center"/>
              <w:rPr>
                <w:rFonts w:cs="Times New Roman"/>
                <w:b/>
                <w:bCs/>
                <w:color w:val="000000"/>
                <w:sz w:val="20"/>
                <w:szCs w:val="20"/>
              </w:rPr>
            </w:pPr>
            <w:r>
              <w:rPr>
                <w:rFonts w:cs="Times New Roman"/>
                <w:b/>
                <w:bCs/>
                <w:color w:val="000000"/>
                <w:sz w:val="20"/>
                <w:szCs w:val="20"/>
              </w:rPr>
              <w:t>20</w:t>
            </w:r>
            <w:r w:rsidRPr="002A1D42">
              <w:rPr>
                <w:rFonts w:cs="Times New Roman"/>
                <w:b/>
                <w:bCs/>
                <w:color w:val="000000"/>
                <w:sz w:val="20"/>
                <w:szCs w:val="20"/>
              </w:rPr>
              <w:t>/2</w:t>
            </w:r>
            <w:r>
              <w:rPr>
                <w:rFonts w:cs="Times New Roman"/>
                <w:b/>
                <w:bCs/>
                <w:color w:val="000000"/>
                <w:sz w:val="20"/>
                <w:szCs w:val="20"/>
              </w:rPr>
              <w:t>1</w:t>
            </w:r>
          </w:p>
        </w:tc>
        <w:tc>
          <w:tcPr>
            <w:tcW w:w="1134" w:type="dxa"/>
            <w:tcBorders>
              <w:top w:val="single" w:sz="4" w:space="0" w:color="auto"/>
              <w:left w:val="single" w:sz="4" w:space="0" w:color="auto"/>
              <w:bottom w:val="nil"/>
              <w:right w:val="single" w:sz="4" w:space="0" w:color="auto"/>
            </w:tcBorders>
            <w:shd w:val="clear" w:color="auto" w:fill="DBE5F1" w:themeFill="accent1" w:themeFillTint="33"/>
            <w:noWrap/>
            <w:vAlign w:val="bottom"/>
            <w:hideMark/>
          </w:tcPr>
          <w:p w14:paraId="5A984E28"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1</w:t>
            </w:r>
            <w:r w:rsidRPr="002A1D42">
              <w:rPr>
                <w:rFonts w:cs="Times New Roman"/>
                <w:b/>
                <w:bCs/>
                <w:color w:val="000000"/>
                <w:sz w:val="20"/>
                <w:szCs w:val="20"/>
              </w:rPr>
              <w:t>/2</w:t>
            </w:r>
            <w:r>
              <w:rPr>
                <w:rFonts w:cs="Times New Roman"/>
                <w:b/>
                <w:bCs/>
                <w:color w:val="000000"/>
                <w:sz w:val="20"/>
                <w:szCs w:val="20"/>
              </w:rPr>
              <w:t>2</w:t>
            </w:r>
          </w:p>
        </w:tc>
        <w:tc>
          <w:tcPr>
            <w:tcW w:w="1134" w:type="dxa"/>
            <w:tcBorders>
              <w:top w:val="single" w:sz="4" w:space="0" w:color="auto"/>
              <w:left w:val="single" w:sz="4" w:space="0" w:color="auto"/>
              <w:bottom w:val="nil"/>
              <w:right w:val="single" w:sz="4" w:space="0" w:color="auto"/>
            </w:tcBorders>
            <w:shd w:val="clear" w:color="auto" w:fill="DBE5F1" w:themeFill="accent1" w:themeFillTint="33"/>
            <w:noWrap/>
            <w:vAlign w:val="bottom"/>
            <w:hideMark/>
          </w:tcPr>
          <w:p w14:paraId="1FFB2FF2"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2</w:t>
            </w:r>
            <w:r w:rsidRPr="002A1D42">
              <w:rPr>
                <w:rFonts w:cs="Times New Roman"/>
                <w:b/>
                <w:bCs/>
                <w:color w:val="000000"/>
                <w:sz w:val="20"/>
                <w:szCs w:val="20"/>
              </w:rPr>
              <w:t>/2</w:t>
            </w:r>
            <w:r>
              <w:rPr>
                <w:rFonts w:cs="Times New Roman"/>
                <w:b/>
                <w:bCs/>
                <w:color w:val="000000"/>
                <w:sz w:val="20"/>
                <w:szCs w:val="20"/>
              </w:rPr>
              <w:t>3</w:t>
            </w:r>
          </w:p>
        </w:tc>
      </w:tr>
      <w:tr w:rsidR="005F1859" w14:paraId="03877F34" w14:textId="77777777" w:rsidTr="00EF5C9A">
        <w:trPr>
          <w:trHeight w:val="300"/>
          <w:tblHeader/>
        </w:trPr>
        <w:tc>
          <w:tcPr>
            <w:tcW w:w="5253" w:type="dxa"/>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62EFC82A"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 </w:t>
            </w:r>
          </w:p>
        </w:tc>
        <w:tc>
          <w:tcPr>
            <w:tcW w:w="1134" w:type="dxa"/>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23DEEFB8"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£m</w:t>
            </w:r>
          </w:p>
        </w:tc>
        <w:tc>
          <w:tcPr>
            <w:tcW w:w="1134"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3A9F2502"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£m</w:t>
            </w:r>
          </w:p>
        </w:tc>
        <w:tc>
          <w:tcPr>
            <w:tcW w:w="1134"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065B9C4A"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£m</w:t>
            </w:r>
          </w:p>
        </w:tc>
      </w:tr>
      <w:tr w:rsidR="005F1859" w14:paraId="4C827A55" w14:textId="77777777" w:rsidTr="00EF5C9A">
        <w:trPr>
          <w:trHeight w:val="300"/>
        </w:trPr>
        <w:tc>
          <w:tcPr>
            <w:tcW w:w="5253" w:type="dxa"/>
            <w:tcBorders>
              <w:top w:val="nil"/>
              <w:left w:val="single" w:sz="4" w:space="0" w:color="auto"/>
              <w:bottom w:val="nil"/>
              <w:right w:val="single" w:sz="4" w:space="0" w:color="auto"/>
            </w:tcBorders>
            <w:vAlign w:val="center"/>
            <w:hideMark/>
          </w:tcPr>
          <w:p w14:paraId="0027A9D6" w14:textId="77777777" w:rsidR="005F1859" w:rsidRPr="002A1D42" w:rsidRDefault="005F1859" w:rsidP="00EF5C9A">
            <w:pPr>
              <w:rPr>
                <w:rFonts w:cs="Times New Roman"/>
                <w:b/>
                <w:bCs/>
                <w:color w:val="000000"/>
                <w:sz w:val="20"/>
                <w:szCs w:val="20"/>
              </w:rPr>
            </w:pPr>
            <w:r w:rsidRPr="002A1D42">
              <w:rPr>
                <w:rFonts w:cs="Times New Roman"/>
                <w:b/>
                <w:bCs/>
                <w:color w:val="000000"/>
                <w:sz w:val="20"/>
                <w:szCs w:val="20"/>
              </w:rPr>
              <w:t>Inflation</w:t>
            </w:r>
          </w:p>
        </w:tc>
        <w:tc>
          <w:tcPr>
            <w:tcW w:w="1134" w:type="dxa"/>
            <w:tcBorders>
              <w:top w:val="nil"/>
              <w:left w:val="single" w:sz="4" w:space="0" w:color="auto"/>
              <w:bottom w:val="nil"/>
              <w:right w:val="single" w:sz="4" w:space="0" w:color="auto"/>
            </w:tcBorders>
            <w:noWrap/>
            <w:vAlign w:val="bottom"/>
            <w:hideMark/>
          </w:tcPr>
          <w:p w14:paraId="0CAB3636"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 </w:t>
            </w:r>
          </w:p>
        </w:tc>
        <w:tc>
          <w:tcPr>
            <w:tcW w:w="1134" w:type="dxa"/>
            <w:tcBorders>
              <w:top w:val="nil"/>
              <w:left w:val="single" w:sz="4" w:space="0" w:color="auto"/>
              <w:bottom w:val="nil"/>
              <w:right w:val="single" w:sz="4" w:space="0" w:color="auto"/>
            </w:tcBorders>
            <w:noWrap/>
            <w:vAlign w:val="bottom"/>
            <w:hideMark/>
          </w:tcPr>
          <w:p w14:paraId="1F4B6354"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 </w:t>
            </w:r>
          </w:p>
        </w:tc>
        <w:tc>
          <w:tcPr>
            <w:tcW w:w="1134" w:type="dxa"/>
            <w:tcBorders>
              <w:top w:val="nil"/>
              <w:left w:val="single" w:sz="4" w:space="0" w:color="auto"/>
              <w:bottom w:val="nil"/>
              <w:right w:val="single" w:sz="4" w:space="0" w:color="auto"/>
            </w:tcBorders>
            <w:noWrap/>
            <w:vAlign w:val="bottom"/>
            <w:hideMark/>
          </w:tcPr>
          <w:p w14:paraId="2A2E47BA"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 </w:t>
            </w:r>
          </w:p>
        </w:tc>
      </w:tr>
      <w:tr w:rsidR="005F1859" w14:paraId="686B5731" w14:textId="77777777" w:rsidTr="00EF5C9A">
        <w:trPr>
          <w:trHeight w:val="300"/>
        </w:trPr>
        <w:tc>
          <w:tcPr>
            <w:tcW w:w="5253" w:type="dxa"/>
            <w:tcBorders>
              <w:top w:val="nil"/>
              <w:left w:val="single" w:sz="4" w:space="0" w:color="auto"/>
              <w:bottom w:val="nil"/>
              <w:right w:val="single" w:sz="4" w:space="0" w:color="auto"/>
            </w:tcBorders>
            <w:vAlign w:val="center"/>
            <w:hideMark/>
          </w:tcPr>
          <w:p w14:paraId="449BE336" w14:textId="77777777" w:rsidR="005F1859" w:rsidRPr="002A1D42" w:rsidRDefault="005F1859" w:rsidP="00EF5C9A">
            <w:pPr>
              <w:rPr>
                <w:rFonts w:cs="Times New Roman"/>
                <w:color w:val="000000"/>
                <w:sz w:val="20"/>
                <w:szCs w:val="20"/>
              </w:rPr>
            </w:pPr>
            <w:r w:rsidRPr="002A1D42">
              <w:rPr>
                <w:rFonts w:cs="Times New Roman"/>
                <w:color w:val="000000"/>
                <w:sz w:val="20"/>
                <w:szCs w:val="20"/>
              </w:rPr>
              <w:t>Pay rises and incremental drift</w:t>
            </w:r>
          </w:p>
        </w:tc>
        <w:tc>
          <w:tcPr>
            <w:tcW w:w="1134" w:type="dxa"/>
            <w:tcBorders>
              <w:top w:val="nil"/>
              <w:left w:val="single" w:sz="4" w:space="0" w:color="auto"/>
              <w:bottom w:val="nil"/>
              <w:right w:val="single" w:sz="4" w:space="0" w:color="auto"/>
            </w:tcBorders>
            <w:noWrap/>
            <w:vAlign w:val="bottom"/>
            <w:hideMark/>
          </w:tcPr>
          <w:p w14:paraId="2B6865FC"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1</w:t>
            </w:r>
            <w:r>
              <w:rPr>
                <w:rFonts w:cs="Times New Roman"/>
                <w:color w:val="000000"/>
                <w:sz w:val="20"/>
                <w:szCs w:val="20"/>
              </w:rPr>
              <w:t>4.3</w:t>
            </w:r>
          </w:p>
        </w:tc>
        <w:tc>
          <w:tcPr>
            <w:tcW w:w="1134" w:type="dxa"/>
            <w:tcBorders>
              <w:top w:val="nil"/>
              <w:left w:val="single" w:sz="4" w:space="0" w:color="auto"/>
              <w:bottom w:val="nil"/>
              <w:right w:val="single" w:sz="4" w:space="0" w:color="auto"/>
            </w:tcBorders>
            <w:noWrap/>
            <w:vAlign w:val="bottom"/>
          </w:tcPr>
          <w:p w14:paraId="5F1D4671" w14:textId="77777777" w:rsidR="005F1859" w:rsidRPr="002A1D42" w:rsidRDefault="005F1859" w:rsidP="00EF5C9A">
            <w:pPr>
              <w:jc w:val="center"/>
              <w:rPr>
                <w:rFonts w:cs="Times New Roman"/>
                <w:color w:val="000000"/>
                <w:sz w:val="20"/>
                <w:szCs w:val="20"/>
              </w:rPr>
            </w:pPr>
            <w:r>
              <w:rPr>
                <w:rFonts w:cs="Times New Roman"/>
                <w:color w:val="000000"/>
                <w:sz w:val="20"/>
                <w:szCs w:val="20"/>
              </w:rPr>
              <w:t>14.3</w:t>
            </w:r>
          </w:p>
        </w:tc>
        <w:tc>
          <w:tcPr>
            <w:tcW w:w="1134" w:type="dxa"/>
            <w:tcBorders>
              <w:top w:val="nil"/>
              <w:left w:val="single" w:sz="4" w:space="0" w:color="auto"/>
              <w:bottom w:val="nil"/>
              <w:right w:val="single" w:sz="4" w:space="0" w:color="auto"/>
            </w:tcBorders>
            <w:noWrap/>
            <w:vAlign w:val="bottom"/>
          </w:tcPr>
          <w:p w14:paraId="01244B59" w14:textId="77777777" w:rsidR="005F1859" w:rsidRPr="002A1D42" w:rsidRDefault="005F1859" w:rsidP="00EF5C9A">
            <w:pPr>
              <w:jc w:val="center"/>
              <w:rPr>
                <w:rFonts w:cs="Times New Roman"/>
                <w:color w:val="000000"/>
                <w:sz w:val="20"/>
                <w:szCs w:val="20"/>
              </w:rPr>
            </w:pPr>
            <w:r>
              <w:rPr>
                <w:rFonts w:cs="Times New Roman"/>
                <w:color w:val="000000"/>
                <w:sz w:val="20"/>
                <w:szCs w:val="20"/>
              </w:rPr>
              <w:t>14.6</w:t>
            </w:r>
          </w:p>
        </w:tc>
      </w:tr>
      <w:tr w:rsidR="005F1859" w14:paraId="7FB3517B" w14:textId="77777777" w:rsidTr="00EF5C9A">
        <w:trPr>
          <w:trHeight w:val="300"/>
        </w:trPr>
        <w:tc>
          <w:tcPr>
            <w:tcW w:w="5253" w:type="dxa"/>
            <w:tcBorders>
              <w:top w:val="nil"/>
              <w:left w:val="single" w:sz="4" w:space="0" w:color="auto"/>
              <w:bottom w:val="nil"/>
              <w:right w:val="single" w:sz="4" w:space="0" w:color="auto"/>
            </w:tcBorders>
            <w:vAlign w:val="center"/>
            <w:hideMark/>
          </w:tcPr>
          <w:p w14:paraId="78FCE60A" w14:textId="77777777" w:rsidR="005F1859" w:rsidRPr="002A1D42" w:rsidRDefault="005F1859" w:rsidP="00EF5C9A">
            <w:pPr>
              <w:rPr>
                <w:rFonts w:cs="Times New Roman"/>
                <w:color w:val="000000"/>
                <w:sz w:val="20"/>
                <w:szCs w:val="20"/>
              </w:rPr>
            </w:pPr>
            <w:r w:rsidRPr="002A1D42">
              <w:rPr>
                <w:rFonts w:cs="Times New Roman"/>
                <w:color w:val="000000"/>
                <w:sz w:val="20"/>
                <w:szCs w:val="20"/>
              </w:rPr>
              <w:t>Primary care inflation</w:t>
            </w:r>
          </w:p>
        </w:tc>
        <w:tc>
          <w:tcPr>
            <w:tcW w:w="1134" w:type="dxa"/>
            <w:tcBorders>
              <w:top w:val="nil"/>
              <w:left w:val="single" w:sz="4" w:space="0" w:color="auto"/>
              <w:bottom w:val="nil"/>
              <w:right w:val="single" w:sz="4" w:space="0" w:color="auto"/>
            </w:tcBorders>
            <w:noWrap/>
            <w:vAlign w:val="bottom"/>
            <w:hideMark/>
          </w:tcPr>
          <w:p w14:paraId="191200E0" w14:textId="77777777" w:rsidR="005F1859" w:rsidRPr="002A1D42" w:rsidRDefault="005F1859" w:rsidP="00EF5C9A">
            <w:pPr>
              <w:jc w:val="center"/>
              <w:rPr>
                <w:rFonts w:cs="Times New Roman"/>
                <w:color w:val="000000"/>
                <w:sz w:val="20"/>
                <w:szCs w:val="20"/>
              </w:rPr>
            </w:pPr>
            <w:r>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62B852EF" w14:textId="77777777" w:rsidR="005F1859" w:rsidRPr="002A1D42" w:rsidRDefault="005F1859" w:rsidP="00EF5C9A">
            <w:pPr>
              <w:jc w:val="center"/>
              <w:rPr>
                <w:rFonts w:cs="Times New Roman"/>
                <w:color w:val="000000"/>
                <w:sz w:val="20"/>
                <w:szCs w:val="20"/>
              </w:rPr>
            </w:pPr>
            <w:r>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5452988E" w14:textId="77777777" w:rsidR="005F1859" w:rsidRPr="002A1D42" w:rsidRDefault="005F1859" w:rsidP="00EF5C9A">
            <w:pPr>
              <w:jc w:val="center"/>
              <w:rPr>
                <w:rFonts w:cs="Times New Roman"/>
                <w:color w:val="000000"/>
                <w:sz w:val="20"/>
                <w:szCs w:val="20"/>
              </w:rPr>
            </w:pPr>
            <w:r>
              <w:rPr>
                <w:rFonts w:cs="Times New Roman"/>
                <w:color w:val="000000"/>
                <w:sz w:val="20"/>
                <w:szCs w:val="20"/>
              </w:rPr>
              <w:t>0</w:t>
            </w:r>
          </w:p>
        </w:tc>
      </w:tr>
      <w:tr w:rsidR="005F1859" w14:paraId="46D016D5" w14:textId="77777777" w:rsidTr="00EF5C9A">
        <w:trPr>
          <w:trHeight w:val="300"/>
        </w:trPr>
        <w:tc>
          <w:tcPr>
            <w:tcW w:w="5253" w:type="dxa"/>
            <w:tcBorders>
              <w:top w:val="nil"/>
              <w:left w:val="single" w:sz="4" w:space="0" w:color="auto"/>
              <w:bottom w:val="nil"/>
              <w:right w:val="single" w:sz="4" w:space="0" w:color="auto"/>
            </w:tcBorders>
            <w:vAlign w:val="center"/>
            <w:hideMark/>
          </w:tcPr>
          <w:p w14:paraId="1D49C9FB" w14:textId="77777777" w:rsidR="005F1859" w:rsidRPr="002A1D42" w:rsidRDefault="005F1859" w:rsidP="00EF5C9A">
            <w:pPr>
              <w:rPr>
                <w:rFonts w:cs="Times New Roman"/>
                <w:color w:val="000000"/>
                <w:sz w:val="20"/>
                <w:szCs w:val="20"/>
              </w:rPr>
            </w:pPr>
            <w:r w:rsidRPr="002A1D42">
              <w:rPr>
                <w:rFonts w:cs="Times New Roman"/>
                <w:color w:val="000000"/>
                <w:sz w:val="20"/>
                <w:szCs w:val="20"/>
              </w:rPr>
              <w:t>CHC inflation</w:t>
            </w:r>
          </w:p>
        </w:tc>
        <w:tc>
          <w:tcPr>
            <w:tcW w:w="1134" w:type="dxa"/>
            <w:tcBorders>
              <w:top w:val="nil"/>
              <w:left w:val="single" w:sz="4" w:space="0" w:color="auto"/>
              <w:bottom w:val="nil"/>
              <w:right w:val="single" w:sz="4" w:space="0" w:color="auto"/>
            </w:tcBorders>
            <w:noWrap/>
            <w:vAlign w:val="bottom"/>
            <w:hideMark/>
          </w:tcPr>
          <w:p w14:paraId="32D6640C"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1.</w:t>
            </w:r>
            <w:r>
              <w:rPr>
                <w:rFonts w:cs="Times New Roman"/>
                <w:color w:val="000000"/>
                <w:sz w:val="20"/>
                <w:szCs w:val="20"/>
              </w:rPr>
              <w:t>2</w:t>
            </w:r>
          </w:p>
        </w:tc>
        <w:tc>
          <w:tcPr>
            <w:tcW w:w="1134" w:type="dxa"/>
            <w:tcBorders>
              <w:top w:val="nil"/>
              <w:left w:val="single" w:sz="4" w:space="0" w:color="auto"/>
              <w:bottom w:val="nil"/>
              <w:right w:val="single" w:sz="4" w:space="0" w:color="auto"/>
            </w:tcBorders>
            <w:noWrap/>
            <w:vAlign w:val="bottom"/>
          </w:tcPr>
          <w:p w14:paraId="65C8ED3C" w14:textId="77777777" w:rsidR="005F1859" w:rsidRPr="002A1D42" w:rsidRDefault="005F1859" w:rsidP="00EF5C9A">
            <w:pPr>
              <w:jc w:val="center"/>
              <w:rPr>
                <w:rFonts w:cs="Times New Roman"/>
                <w:color w:val="000000"/>
                <w:sz w:val="20"/>
                <w:szCs w:val="20"/>
              </w:rPr>
            </w:pPr>
            <w:r>
              <w:rPr>
                <w:rFonts w:cs="Times New Roman"/>
                <w:color w:val="000000"/>
                <w:sz w:val="20"/>
                <w:szCs w:val="20"/>
              </w:rPr>
              <w:t>1.2</w:t>
            </w:r>
          </w:p>
        </w:tc>
        <w:tc>
          <w:tcPr>
            <w:tcW w:w="1134" w:type="dxa"/>
            <w:tcBorders>
              <w:top w:val="nil"/>
              <w:left w:val="single" w:sz="4" w:space="0" w:color="auto"/>
              <w:bottom w:val="nil"/>
              <w:right w:val="single" w:sz="4" w:space="0" w:color="auto"/>
            </w:tcBorders>
            <w:noWrap/>
            <w:vAlign w:val="bottom"/>
          </w:tcPr>
          <w:p w14:paraId="6841FE92" w14:textId="77777777" w:rsidR="005F1859" w:rsidRPr="002A1D42" w:rsidRDefault="005F1859" w:rsidP="00EF5C9A">
            <w:pPr>
              <w:jc w:val="center"/>
              <w:rPr>
                <w:rFonts w:cs="Times New Roman"/>
                <w:color w:val="000000"/>
                <w:sz w:val="20"/>
                <w:szCs w:val="20"/>
              </w:rPr>
            </w:pPr>
            <w:r>
              <w:rPr>
                <w:rFonts w:cs="Times New Roman"/>
                <w:color w:val="000000"/>
                <w:sz w:val="20"/>
                <w:szCs w:val="20"/>
              </w:rPr>
              <w:t>1.4</w:t>
            </w:r>
          </w:p>
        </w:tc>
      </w:tr>
      <w:tr w:rsidR="005F1859" w14:paraId="438A94E5" w14:textId="77777777" w:rsidTr="00EF5C9A">
        <w:trPr>
          <w:trHeight w:val="300"/>
        </w:trPr>
        <w:tc>
          <w:tcPr>
            <w:tcW w:w="5253" w:type="dxa"/>
            <w:tcBorders>
              <w:top w:val="nil"/>
              <w:left w:val="single" w:sz="4" w:space="0" w:color="auto"/>
              <w:bottom w:val="nil"/>
              <w:right w:val="single" w:sz="4" w:space="0" w:color="auto"/>
            </w:tcBorders>
            <w:vAlign w:val="center"/>
            <w:hideMark/>
          </w:tcPr>
          <w:p w14:paraId="3808C385" w14:textId="77777777" w:rsidR="005F1859" w:rsidRPr="002A1D42" w:rsidRDefault="005F1859" w:rsidP="00EF5C9A">
            <w:pPr>
              <w:rPr>
                <w:rFonts w:cs="Times New Roman"/>
                <w:color w:val="000000"/>
                <w:sz w:val="20"/>
                <w:szCs w:val="20"/>
              </w:rPr>
            </w:pPr>
            <w:r w:rsidRPr="002A1D42">
              <w:rPr>
                <w:rFonts w:cs="Times New Roman"/>
                <w:color w:val="000000"/>
                <w:sz w:val="20"/>
                <w:szCs w:val="20"/>
              </w:rPr>
              <w:t>NHSFNC inflation</w:t>
            </w:r>
          </w:p>
        </w:tc>
        <w:tc>
          <w:tcPr>
            <w:tcW w:w="1134" w:type="dxa"/>
            <w:tcBorders>
              <w:top w:val="nil"/>
              <w:left w:val="single" w:sz="4" w:space="0" w:color="auto"/>
              <w:bottom w:val="nil"/>
              <w:right w:val="single" w:sz="4" w:space="0" w:color="auto"/>
            </w:tcBorders>
            <w:noWrap/>
            <w:vAlign w:val="bottom"/>
            <w:hideMark/>
          </w:tcPr>
          <w:p w14:paraId="43418C80"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0.3</w:t>
            </w:r>
          </w:p>
        </w:tc>
        <w:tc>
          <w:tcPr>
            <w:tcW w:w="1134" w:type="dxa"/>
            <w:tcBorders>
              <w:top w:val="nil"/>
              <w:left w:val="single" w:sz="4" w:space="0" w:color="auto"/>
              <w:bottom w:val="nil"/>
              <w:right w:val="single" w:sz="4" w:space="0" w:color="auto"/>
            </w:tcBorders>
            <w:noWrap/>
            <w:vAlign w:val="bottom"/>
          </w:tcPr>
          <w:p w14:paraId="44B7D368" w14:textId="77777777" w:rsidR="005F1859" w:rsidRPr="002A1D42" w:rsidRDefault="005F1859" w:rsidP="00EF5C9A">
            <w:pPr>
              <w:jc w:val="center"/>
              <w:rPr>
                <w:rFonts w:cs="Times New Roman"/>
                <w:color w:val="000000"/>
                <w:sz w:val="20"/>
                <w:szCs w:val="20"/>
              </w:rPr>
            </w:pPr>
            <w:r>
              <w:rPr>
                <w:rFonts w:cs="Times New Roman"/>
                <w:color w:val="000000"/>
                <w:sz w:val="20"/>
                <w:szCs w:val="20"/>
              </w:rPr>
              <w:t>0.3</w:t>
            </w:r>
          </w:p>
        </w:tc>
        <w:tc>
          <w:tcPr>
            <w:tcW w:w="1134" w:type="dxa"/>
            <w:tcBorders>
              <w:top w:val="nil"/>
              <w:left w:val="single" w:sz="4" w:space="0" w:color="auto"/>
              <w:bottom w:val="nil"/>
              <w:right w:val="single" w:sz="4" w:space="0" w:color="auto"/>
            </w:tcBorders>
            <w:noWrap/>
            <w:vAlign w:val="bottom"/>
          </w:tcPr>
          <w:p w14:paraId="5B360C81" w14:textId="77777777" w:rsidR="005F1859" w:rsidRPr="002A1D42" w:rsidRDefault="005F1859" w:rsidP="00EF5C9A">
            <w:pPr>
              <w:jc w:val="center"/>
              <w:rPr>
                <w:rFonts w:cs="Times New Roman"/>
                <w:color w:val="000000"/>
                <w:sz w:val="20"/>
                <w:szCs w:val="20"/>
              </w:rPr>
            </w:pPr>
            <w:r>
              <w:rPr>
                <w:rFonts w:cs="Times New Roman"/>
                <w:color w:val="000000"/>
                <w:sz w:val="20"/>
                <w:szCs w:val="20"/>
              </w:rPr>
              <w:t>0.3</w:t>
            </w:r>
          </w:p>
        </w:tc>
      </w:tr>
      <w:tr w:rsidR="005F1859" w14:paraId="132618ED" w14:textId="77777777" w:rsidTr="00EF5C9A">
        <w:trPr>
          <w:trHeight w:val="300"/>
        </w:trPr>
        <w:tc>
          <w:tcPr>
            <w:tcW w:w="5253" w:type="dxa"/>
            <w:tcBorders>
              <w:top w:val="nil"/>
              <w:left w:val="single" w:sz="4" w:space="0" w:color="auto"/>
              <w:bottom w:val="nil"/>
              <w:right w:val="single" w:sz="4" w:space="0" w:color="auto"/>
            </w:tcBorders>
            <w:vAlign w:val="center"/>
            <w:hideMark/>
          </w:tcPr>
          <w:p w14:paraId="367EDB7A" w14:textId="77777777" w:rsidR="005F1859" w:rsidRPr="002A1D42" w:rsidRDefault="005F1859" w:rsidP="00EF5C9A">
            <w:pPr>
              <w:rPr>
                <w:rFonts w:cs="Times New Roman"/>
                <w:color w:val="000000"/>
                <w:sz w:val="20"/>
                <w:szCs w:val="20"/>
              </w:rPr>
            </w:pPr>
            <w:r w:rsidRPr="002A1D42">
              <w:rPr>
                <w:rFonts w:cs="Times New Roman"/>
                <w:color w:val="000000"/>
                <w:sz w:val="20"/>
                <w:szCs w:val="20"/>
              </w:rPr>
              <w:t>Non-pay inflation</w:t>
            </w:r>
          </w:p>
        </w:tc>
        <w:tc>
          <w:tcPr>
            <w:tcW w:w="1134" w:type="dxa"/>
            <w:tcBorders>
              <w:top w:val="nil"/>
              <w:left w:val="single" w:sz="4" w:space="0" w:color="auto"/>
              <w:bottom w:val="nil"/>
              <w:right w:val="single" w:sz="4" w:space="0" w:color="auto"/>
            </w:tcBorders>
            <w:noWrap/>
            <w:vAlign w:val="bottom"/>
            <w:hideMark/>
          </w:tcPr>
          <w:p w14:paraId="3BB69955"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2.</w:t>
            </w:r>
            <w:r>
              <w:rPr>
                <w:rFonts w:cs="Times New Roman"/>
                <w:color w:val="000000"/>
                <w:sz w:val="20"/>
                <w:szCs w:val="20"/>
              </w:rPr>
              <w:t>2</w:t>
            </w:r>
          </w:p>
        </w:tc>
        <w:tc>
          <w:tcPr>
            <w:tcW w:w="1134" w:type="dxa"/>
            <w:tcBorders>
              <w:top w:val="nil"/>
              <w:left w:val="single" w:sz="4" w:space="0" w:color="auto"/>
              <w:bottom w:val="nil"/>
              <w:right w:val="single" w:sz="4" w:space="0" w:color="auto"/>
            </w:tcBorders>
            <w:noWrap/>
            <w:vAlign w:val="bottom"/>
          </w:tcPr>
          <w:p w14:paraId="67252CB1" w14:textId="77777777" w:rsidR="005F1859" w:rsidRPr="002A1D42" w:rsidRDefault="005F1859" w:rsidP="00EF5C9A">
            <w:pPr>
              <w:jc w:val="center"/>
              <w:rPr>
                <w:rFonts w:cs="Times New Roman"/>
                <w:color w:val="000000"/>
                <w:sz w:val="20"/>
                <w:szCs w:val="20"/>
              </w:rPr>
            </w:pPr>
            <w:r>
              <w:rPr>
                <w:rFonts w:cs="Times New Roman"/>
                <w:color w:val="000000"/>
                <w:sz w:val="20"/>
                <w:szCs w:val="20"/>
              </w:rPr>
              <w:t>2.2</w:t>
            </w:r>
          </w:p>
        </w:tc>
        <w:tc>
          <w:tcPr>
            <w:tcW w:w="1134" w:type="dxa"/>
            <w:tcBorders>
              <w:top w:val="nil"/>
              <w:left w:val="single" w:sz="4" w:space="0" w:color="auto"/>
              <w:bottom w:val="nil"/>
              <w:right w:val="single" w:sz="4" w:space="0" w:color="auto"/>
            </w:tcBorders>
            <w:noWrap/>
            <w:vAlign w:val="bottom"/>
          </w:tcPr>
          <w:p w14:paraId="183061D6" w14:textId="77777777" w:rsidR="005F1859" w:rsidRPr="002A1D42" w:rsidRDefault="005F1859" w:rsidP="00EF5C9A">
            <w:pPr>
              <w:jc w:val="center"/>
              <w:rPr>
                <w:rFonts w:cs="Times New Roman"/>
                <w:color w:val="000000"/>
                <w:sz w:val="20"/>
                <w:szCs w:val="20"/>
              </w:rPr>
            </w:pPr>
            <w:r>
              <w:rPr>
                <w:rFonts w:cs="Times New Roman"/>
                <w:color w:val="000000"/>
                <w:sz w:val="20"/>
                <w:szCs w:val="20"/>
              </w:rPr>
              <w:t>2.2</w:t>
            </w:r>
          </w:p>
        </w:tc>
      </w:tr>
      <w:tr w:rsidR="005F1859" w14:paraId="6C46537F" w14:textId="77777777" w:rsidTr="00EF5C9A">
        <w:trPr>
          <w:trHeight w:val="300"/>
        </w:trPr>
        <w:tc>
          <w:tcPr>
            <w:tcW w:w="5253" w:type="dxa"/>
            <w:tcBorders>
              <w:top w:val="nil"/>
              <w:left w:val="single" w:sz="4" w:space="0" w:color="auto"/>
              <w:bottom w:val="nil"/>
              <w:right w:val="single" w:sz="4" w:space="0" w:color="auto"/>
            </w:tcBorders>
            <w:vAlign w:val="center"/>
          </w:tcPr>
          <w:p w14:paraId="3796E8D5" w14:textId="77777777" w:rsidR="005F1859" w:rsidRPr="002A1D42" w:rsidRDefault="005F1859" w:rsidP="00EF5C9A">
            <w:pPr>
              <w:rPr>
                <w:rFonts w:cs="Times New Roman"/>
                <w:color w:val="000000"/>
                <w:sz w:val="20"/>
                <w:szCs w:val="20"/>
              </w:rPr>
            </w:pPr>
            <w:r>
              <w:rPr>
                <w:rFonts w:cs="Times New Roman"/>
                <w:color w:val="000000"/>
                <w:sz w:val="20"/>
                <w:szCs w:val="20"/>
              </w:rPr>
              <w:t>LTA inflation – core 2%</w:t>
            </w:r>
          </w:p>
        </w:tc>
        <w:tc>
          <w:tcPr>
            <w:tcW w:w="1134" w:type="dxa"/>
            <w:tcBorders>
              <w:top w:val="nil"/>
              <w:left w:val="single" w:sz="4" w:space="0" w:color="auto"/>
              <w:bottom w:val="nil"/>
              <w:right w:val="single" w:sz="4" w:space="0" w:color="auto"/>
            </w:tcBorders>
            <w:noWrap/>
            <w:vAlign w:val="bottom"/>
          </w:tcPr>
          <w:p w14:paraId="336EF7B7" w14:textId="77777777" w:rsidR="005F1859" w:rsidRPr="002A1D42" w:rsidRDefault="005F1859" w:rsidP="00EF5C9A">
            <w:pPr>
              <w:jc w:val="center"/>
              <w:rPr>
                <w:rFonts w:cs="Times New Roman"/>
                <w:color w:val="000000"/>
                <w:sz w:val="20"/>
                <w:szCs w:val="20"/>
              </w:rPr>
            </w:pPr>
            <w:r>
              <w:rPr>
                <w:rFonts w:cs="Times New Roman"/>
                <w:color w:val="000000"/>
                <w:sz w:val="20"/>
                <w:szCs w:val="20"/>
              </w:rPr>
              <w:t>2.6</w:t>
            </w:r>
          </w:p>
        </w:tc>
        <w:tc>
          <w:tcPr>
            <w:tcW w:w="1134" w:type="dxa"/>
            <w:tcBorders>
              <w:top w:val="nil"/>
              <w:left w:val="single" w:sz="4" w:space="0" w:color="auto"/>
              <w:bottom w:val="nil"/>
              <w:right w:val="single" w:sz="4" w:space="0" w:color="auto"/>
            </w:tcBorders>
            <w:noWrap/>
            <w:vAlign w:val="bottom"/>
          </w:tcPr>
          <w:p w14:paraId="4321F422" w14:textId="77777777" w:rsidR="005F1859" w:rsidRDefault="005F1859" w:rsidP="00EF5C9A">
            <w:pPr>
              <w:jc w:val="center"/>
              <w:rPr>
                <w:rFonts w:cs="Times New Roman"/>
                <w:color w:val="000000"/>
                <w:sz w:val="20"/>
                <w:szCs w:val="20"/>
              </w:rPr>
            </w:pPr>
            <w:r>
              <w:rPr>
                <w:rFonts w:cs="Times New Roman"/>
                <w:color w:val="000000"/>
                <w:sz w:val="20"/>
                <w:szCs w:val="20"/>
              </w:rPr>
              <w:t>2.6</w:t>
            </w:r>
          </w:p>
        </w:tc>
        <w:tc>
          <w:tcPr>
            <w:tcW w:w="1134" w:type="dxa"/>
            <w:tcBorders>
              <w:top w:val="nil"/>
              <w:left w:val="single" w:sz="4" w:space="0" w:color="auto"/>
              <w:bottom w:val="nil"/>
              <w:right w:val="single" w:sz="4" w:space="0" w:color="auto"/>
            </w:tcBorders>
            <w:noWrap/>
            <w:vAlign w:val="bottom"/>
          </w:tcPr>
          <w:p w14:paraId="089F8F3A" w14:textId="77777777" w:rsidR="005F1859" w:rsidRPr="002A1D42" w:rsidRDefault="005F1859" w:rsidP="00EF5C9A">
            <w:pPr>
              <w:jc w:val="center"/>
              <w:rPr>
                <w:rFonts w:cs="Times New Roman"/>
                <w:color w:val="000000"/>
                <w:sz w:val="20"/>
                <w:szCs w:val="20"/>
              </w:rPr>
            </w:pPr>
            <w:r>
              <w:rPr>
                <w:rFonts w:cs="Times New Roman"/>
                <w:color w:val="000000"/>
                <w:sz w:val="20"/>
                <w:szCs w:val="20"/>
              </w:rPr>
              <w:t>2.6</w:t>
            </w:r>
          </w:p>
        </w:tc>
      </w:tr>
      <w:tr w:rsidR="005F1859" w14:paraId="0A5BB4BF" w14:textId="77777777" w:rsidTr="00EF5C9A">
        <w:trPr>
          <w:trHeight w:val="300"/>
        </w:trPr>
        <w:tc>
          <w:tcPr>
            <w:tcW w:w="5253" w:type="dxa"/>
            <w:tcBorders>
              <w:top w:val="nil"/>
              <w:left w:val="single" w:sz="4" w:space="0" w:color="auto"/>
              <w:bottom w:val="nil"/>
              <w:right w:val="single" w:sz="4" w:space="0" w:color="auto"/>
            </w:tcBorders>
            <w:vAlign w:val="center"/>
          </w:tcPr>
          <w:p w14:paraId="60FE2E83" w14:textId="77777777" w:rsidR="005F1859" w:rsidRDefault="005F1859" w:rsidP="00EF5C9A">
            <w:pPr>
              <w:rPr>
                <w:rFonts w:cs="Times New Roman"/>
                <w:color w:val="000000"/>
                <w:sz w:val="20"/>
                <w:szCs w:val="20"/>
              </w:rPr>
            </w:pPr>
            <w:r>
              <w:rPr>
                <w:rFonts w:cs="Times New Roman"/>
                <w:color w:val="000000"/>
                <w:sz w:val="20"/>
                <w:szCs w:val="20"/>
              </w:rPr>
              <w:t>LTA inflation – net impact of A4C pay awards</w:t>
            </w:r>
          </w:p>
        </w:tc>
        <w:tc>
          <w:tcPr>
            <w:tcW w:w="1134" w:type="dxa"/>
            <w:tcBorders>
              <w:top w:val="nil"/>
              <w:left w:val="single" w:sz="4" w:space="0" w:color="auto"/>
              <w:bottom w:val="nil"/>
              <w:right w:val="single" w:sz="4" w:space="0" w:color="auto"/>
            </w:tcBorders>
            <w:noWrap/>
            <w:vAlign w:val="bottom"/>
          </w:tcPr>
          <w:p w14:paraId="124B4FB4" w14:textId="77777777" w:rsidR="005F1859" w:rsidRDefault="005F1859" w:rsidP="00EF5C9A">
            <w:pPr>
              <w:jc w:val="center"/>
              <w:rPr>
                <w:rFonts w:cs="Times New Roman"/>
                <w:color w:val="000000"/>
                <w:sz w:val="20"/>
                <w:szCs w:val="20"/>
              </w:rPr>
            </w:pPr>
            <w:r>
              <w:rPr>
                <w:rFonts w:cs="Times New Roman"/>
                <w:color w:val="000000"/>
                <w:sz w:val="20"/>
                <w:szCs w:val="20"/>
              </w:rPr>
              <w:t>0.7</w:t>
            </w:r>
          </w:p>
        </w:tc>
        <w:tc>
          <w:tcPr>
            <w:tcW w:w="1134" w:type="dxa"/>
            <w:tcBorders>
              <w:top w:val="nil"/>
              <w:left w:val="single" w:sz="4" w:space="0" w:color="auto"/>
              <w:bottom w:val="nil"/>
              <w:right w:val="single" w:sz="4" w:space="0" w:color="auto"/>
            </w:tcBorders>
            <w:noWrap/>
            <w:vAlign w:val="bottom"/>
          </w:tcPr>
          <w:p w14:paraId="6E3D6662" w14:textId="77777777" w:rsidR="005F1859" w:rsidRDefault="005F1859" w:rsidP="00EF5C9A">
            <w:pPr>
              <w:jc w:val="center"/>
              <w:rPr>
                <w:rFonts w:cs="Times New Roman"/>
                <w:color w:val="000000"/>
                <w:sz w:val="20"/>
                <w:szCs w:val="20"/>
              </w:rPr>
            </w:pPr>
            <w:r>
              <w:rPr>
                <w:rFonts w:cs="Times New Roman"/>
                <w:color w:val="000000"/>
                <w:sz w:val="20"/>
                <w:szCs w:val="20"/>
              </w:rPr>
              <w:t>0.7</w:t>
            </w:r>
          </w:p>
        </w:tc>
        <w:tc>
          <w:tcPr>
            <w:tcW w:w="1134" w:type="dxa"/>
            <w:tcBorders>
              <w:top w:val="nil"/>
              <w:left w:val="single" w:sz="4" w:space="0" w:color="auto"/>
              <w:bottom w:val="nil"/>
              <w:right w:val="single" w:sz="4" w:space="0" w:color="auto"/>
            </w:tcBorders>
            <w:noWrap/>
            <w:vAlign w:val="bottom"/>
          </w:tcPr>
          <w:p w14:paraId="448DAE12" w14:textId="77777777" w:rsidR="005F1859" w:rsidRDefault="005F1859" w:rsidP="00EF5C9A">
            <w:pPr>
              <w:jc w:val="center"/>
              <w:rPr>
                <w:rFonts w:cs="Times New Roman"/>
                <w:color w:val="000000"/>
                <w:sz w:val="20"/>
                <w:szCs w:val="20"/>
              </w:rPr>
            </w:pPr>
            <w:r>
              <w:rPr>
                <w:rFonts w:cs="Times New Roman"/>
                <w:color w:val="000000"/>
                <w:sz w:val="20"/>
                <w:szCs w:val="20"/>
              </w:rPr>
              <w:t>0.7</w:t>
            </w:r>
          </w:p>
        </w:tc>
      </w:tr>
      <w:tr w:rsidR="005F1859" w14:paraId="0B8EFDBA" w14:textId="77777777" w:rsidTr="00EF5C9A">
        <w:trPr>
          <w:trHeight w:val="300"/>
        </w:trPr>
        <w:tc>
          <w:tcPr>
            <w:tcW w:w="5253" w:type="dxa"/>
            <w:tcBorders>
              <w:top w:val="single" w:sz="4" w:space="0" w:color="auto"/>
              <w:left w:val="single" w:sz="4" w:space="0" w:color="auto"/>
              <w:bottom w:val="single" w:sz="4" w:space="0" w:color="auto"/>
              <w:right w:val="single" w:sz="4" w:space="0" w:color="auto"/>
            </w:tcBorders>
            <w:vAlign w:val="center"/>
            <w:hideMark/>
          </w:tcPr>
          <w:p w14:paraId="7B31AC72" w14:textId="77777777" w:rsidR="005F1859" w:rsidRPr="002A1D42" w:rsidRDefault="005F1859" w:rsidP="00EF5C9A">
            <w:pPr>
              <w:rPr>
                <w:rFonts w:cs="Times New Roman"/>
                <w:b/>
                <w:bCs/>
                <w:color w:val="000000"/>
                <w:sz w:val="20"/>
                <w:szCs w:val="20"/>
              </w:rPr>
            </w:pPr>
            <w:r w:rsidRPr="002A1D42">
              <w:rPr>
                <w:rFonts w:cs="Times New Roman"/>
                <w:b/>
                <w:bCs/>
                <w:color w:val="000000"/>
                <w:sz w:val="20"/>
                <w:szCs w:val="20"/>
              </w:rPr>
              <w:t>Subtotal</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3BB17FEF"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1.2</w:t>
            </w:r>
          </w:p>
        </w:tc>
        <w:tc>
          <w:tcPr>
            <w:tcW w:w="1134" w:type="dxa"/>
            <w:tcBorders>
              <w:top w:val="single" w:sz="4" w:space="0" w:color="auto"/>
              <w:left w:val="single" w:sz="4" w:space="0" w:color="auto"/>
              <w:bottom w:val="single" w:sz="4" w:space="0" w:color="auto"/>
              <w:right w:val="single" w:sz="4" w:space="0" w:color="auto"/>
            </w:tcBorders>
            <w:noWrap/>
            <w:vAlign w:val="bottom"/>
          </w:tcPr>
          <w:p w14:paraId="2385CAAB" w14:textId="77777777" w:rsidR="005F1859" w:rsidRPr="002A1D42" w:rsidRDefault="005F1859" w:rsidP="00EF5C9A">
            <w:pPr>
              <w:jc w:val="center"/>
              <w:rPr>
                <w:rFonts w:cs="Times New Roman"/>
                <w:b/>
                <w:bCs/>
                <w:color w:val="000000"/>
                <w:sz w:val="20"/>
                <w:szCs w:val="20"/>
              </w:rPr>
            </w:pPr>
            <w:r>
              <w:rPr>
                <w:rFonts w:cs="Times New Roman"/>
                <w:b/>
                <w:bCs/>
                <w:color w:val="000000"/>
                <w:sz w:val="20"/>
                <w:szCs w:val="20"/>
              </w:rPr>
              <w:t>21.3</w:t>
            </w:r>
          </w:p>
        </w:tc>
        <w:tc>
          <w:tcPr>
            <w:tcW w:w="1134" w:type="dxa"/>
            <w:tcBorders>
              <w:top w:val="single" w:sz="4" w:space="0" w:color="auto"/>
              <w:left w:val="single" w:sz="4" w:space="0" w:color="auto"/>
              <w:bottom w:val="single" w:sz="4" w:space="0" w:color="auto"/>
              <w:right w:val="single" w:sz="4" w:space="0" w:color="auto"/>
            </w:tcBorders>
            <w:noWrap/>
            <w:vAlign w:val="bottom"/>
          </w:tcPr>
          <w:p w14:paraId="5EBCC99A" w14:textId="77777777" w:rsidR="005F1859" w:rsidRPr="002A1D42" w:rsidRDefault="005F1859" w:rsidP="00EF5C9A">
            <w:pPr>
              <w:jc w:val="center"/>
              <w:rPr>
                <w:rFonts w:cs="Times New Roman"/>
                <w:b/>
                <w:bCs/>
                <w:color w:val="000000"/>
                <w:sz w:val="20"/>
                <w:szCs w:val="20"/>
              </w:rPr>
            </w:pPr>
            <w:r>
              <w:rPr>
                <w:rFonts w:cs="Times New Roman"/>
                <w:b/>
                <w:bCs/>
                <w:color w:val="000000"/>
                <w:sz w:val="20"/>
                <w:szCs w:val="20"/>
              </w:rPr>
              <w:t>21.8</w:t>
            </w:r>
          </w:p>
        </w:tc>
      </w:tr>
      <w:tr w:rsidR="005F1859" w14:paraId="62EE7D6D" w14:textId="77777777" w:rsidTr="00EF5C9A">
        <w:trPr>
          <w:trHeight w:val="300"/>
        </w:trPr>
        <w:tc>
          <w:tcPr>
            <w:tcW w:w="5253" w:type="dxa"/>
            <w:tcBorders>
              <w:top w:val="nil"/>
              <w:left w:val="single" w:sz="4" w:space="0" w:color="auto"/>
              <w:bottom w:val="nil"/>
              <w:right w:val="single" w:sz="4" w:space="0" w:color="auto"/>
            </w:tcBorders>
            <w:vAlign w:val="center"/>
            <w:hideMark/>
          </w:tcPr>
          <w:p w14:paraId="07A887D0" w14:textId="77777777" w:rsidR="005F1859" w:rsidRPr="002A1D42" w:rsidRDefault="005F1859" w:rsidP="00EF5C9A">
            <w:pPr>
              <w:rPr>
                <w:rFonts w:cs="Times New Roman"/>
                <w:b/>
                <w:bCs/>
                <w:color w:val="000000"/>
                <w:sz w:val="20"/>
                <w:szCs w:val="20"/>
              </w:rPr>
            </w:pPr>
            <w:r w:rsidRPr="002A1D42">
              <w:rPr>
                <w:rFonts w:cs="Times New Roman"/>
                <w:b/>
                <w:bCs/>
                <w:color w:val="000000"/>
                <w:sz w:val="20"/>
                <w:szCs w:val="20"/>
              </w:rPr>
              <w:t>Service and demand pressures</w:t>
            </w:r>
          </w:p>
        </w:tc>
        <w:tc>
          <w:tcPr>
            <w:tcW w:w="1134" w:type="dxa"/>
            <w:tcBorders>
              <w:top w:val="nil"/>
              <w:left w:val="single" w:sz="4" w:space="0" w:color="auto"/>
              <w:bottom w:val="nil"/>
              <w:right w:val="single" w:sz="4" w:space="0" w:color="auto"/>
            </w:tcBorders>
            <w:noWrap/>
            <w:vAlign w:val="center"/>
            <w:hideMark/>
          </w:tcPr>
          <w:p w14:paraId="676EF5BA" w14:textId="77777777" w:rsidR="005F1859" w:rsidRPr="002A1D42" w:rsidRDefault="005F1859" w:rsidP="00EF5C9A">
            <w:pPr>
              <w:jc w:val="left"/>
              <w:rPr>
                <w:rFonts w:ascii="Times New Roman" w:hAnsi="Times New Roman" w:cs="Times New Roman"/>
                <w:sz w:val="20"/>
                <w:szCs w:val="20"/>
              </w:rPr>
            </w:pPr>
          </w:p>
        </w:tc>
        <w:tc>
          <w:tcPr>
            <w:tcW w:w="1134" w:type="dxa"/>
            <w:tcBorders>
              <w:top w:val="nil"/>
              <w:left w:val="single" w:sz="4" w:space="0" w:color="auto"/>
              <w:bottom w:val="nil"/>
              <w:right w:val="single" w:sz="4" w:space="0" w:color="auto"/>
            </w:tcBorders>
            <w:noWrap/>
            <w:vAlign w:val="bottom"/>
            <w:hideMark/>
          </w:tcPr>
          <w:p w14:paraId="26D5BF22" w14:textId="77777777" w:rsidR="005F1859" w:rsidRPr="002A1D42" w:rsidRDefault="005F1859" w:rsidP="00EF5C9A">
            <w:pPr>
              <w:jc w:val="left"/>
              <w:rPr>
                <w:rFonts w:ascii="Times New Roman" w:hAnsi="Times New Roman" w:cs="Times New Roman"/>
                <w:sz w:val="20"/>
                <w:szCs w:val="20"/>
              </w:rPr>
            </w:pPr>
          </w:p>
        </w:tc>
        <w:tc>
          <w:tcPr>
            <w:tcW w:w="1134" w:type="dxa"/>
            <w:tcBorders>
              <w:top w:val="nil"/>
              <w:left w:val="single" w:sz="4" w:space="0" w:color="auto"/>
              <w:bottom w:val="nil"/>
              <w:right w:val="single" w:sz="4" w:space="0" w:color="auto"/>
            </w:tcBorders>
            <w:noWrap/>
            <w:vAlign w:val="bottom"/>
            <w:hideMark/>
          </w:tcPr>
          <w:p w14:paraId="711237AB"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 </w:t>
            </w:r>
          </w:p>
        </w:tc>
      </w:tr>
      <w:tr w:rsidR="005F1859" w14:paraId="58E7411B" w14:textId="77777777" w:rsidTr="00EF5C9A">
        <w:trPr>
          <w:trHeight w:val="300"/>
        </w:trPr>
        <w:tc>
          <w:tcPr>
            <w:tcW w:w="5253" w:type="dxa"/>
            <w:tcBorders>
              <w:top w:val="nil"/>
              <w:left w:val="single" w:sz="4" w:space="0" w:color="auto"/>
              <w:bottom w:val="nil"/>
              <w:right w:val="single" w:sz="4" w:space="0" w:color="auto"/>
            </w:tcBorders>
            <w:vAlign w:val="center"/>
            <w:hideMark/>
          </w:tcPr>
          <w:p w14:paraId="724EA46C" w14:textId="77777777" w:rsidR="005F1859" w:rsidRPr="002A1D42" w:rsidRDefault="005F1859" w:rsidP="00EF5C9A">
            <w:pPr>
              <w:rPr>
                <w:rFonts w:cs="Times New Roman"/>
                <w:color w:val="000000"/>
                <w:sz w:val="20"/>
                <w:szCs w:val="20"/>
              </w:rPr>
            </w:pPr>
            <w:r w:rsidRPr="002A1D42">
              <w:rPr>
                <w:rFonts w:cs="Times New Roman"/>
                <w:color w:val="000000"/>
                <w:sz w:val="20"/>
                <w:szCs w:val="20"/>
              </w:rPr>
              <w:t>CHC growth</w:t>
            </w:r>
          </w:p>
        </w:tc>
        <w:tc>
          <w:tcPr>
            <w:tcW w:w="1134" w:type="dxa"/>
            <w:tcBorders>
              <w:top w:val="nil"/>
              <w:left w:val="single" w:sz="4" w:space="0" w:color="auto"/>
              <w:bottom w:val="nil"/>
              <w:right w:val="single" w:sz="4" w:space="0" w:color="auto"/>
            </w:tcBorders>
            <w:noWrap/>
            <w:vAlign w:val="bottom"/>
            <w:hideMark/>
          </w:tcPr>
          <w:p w14:paraId="4E06BDAB" w14:textId="77777777" w:rsidR="005F1859" w:rsidRPr="002A1D42" w:rsidRDefault="005F1859" w:rsidP="00EF5C9A">
            <w:pPr>
              <w:jc w:val="center"/>
              <w:rPr>
                <w:rFonts w:cs="Times New Roman"/>
                <w:color w:val="000000"/>
                <w:sz w:val="20"/>
                <w:szCs w:val="20"/>
              </w:rPr>
            </w:pPr>
            <w:r>
              <w:rPr>
                <w:rFonts w:cs="Times New Roman"/>
                <w:color w:val="000000"/>
                <w:sz w:val="20"/>
                <w:szCs w:val="20"/>
              </w:rPr>
              <w:t>1.2</w:t>
            </w:r>
          </w:p>
        </w:tc>
        <w:tc>
          <w:tcPr>
            <w:tcW w:w="1134" w:type="dxa"/>
            <w:tcBorders>
              <w:top w:val="nil"/>
              <w:left w:val="single" w:sz="4" w:space="0" w:color="auto"/>
              <w:bottom w:val="nil"/>
              <w:right w:val="single" w:sz="4" w:space="0" w:color="auto"/>
            </w:tcBorders>
            <w:noWrap/>
            <w:vAlign w:val="bottom"/>
          </w:tcPr>
          <w:p w14:paraId="73A71B77" w14:textId="77777777" w:rsidR="005F1859" w:rsidRPr="002A1D42" w:rsidRDefault="005F1859" w:rsidP="00EF5C9A">
            <w:pPr>
              <w:jc w:val="center"/>
              <w:rPr>
                <w:rFonts w:cs="Times New Roman"/>
                <w:color w:val="000000"/>
                <w:sz w:val="20"/>
                <w:szCs w:val="20"/>
              </w:rPr>
            </w:pPr>
            <w:r>
              <w:rPr>
                <w:rFonts w:cs="Times New Roman"/>
                <w:color w:val="000000"/>
                <w:sz w:val="20"/>
                <w:szCs w:val="20"/>
              </w:rPr>
              <w:t>1.2</w:t>
            </w:r>
          </w:p>
        </w:tc>
        <w:tc>
          <w:tcPr>
            <w:tcW w:w="1134" w:type="dxa"/>
            <w:tcBorders>
              <w:top w:val="nil"/>
              <w:left w:val="single" w:sz="4" w:space="0" w:color="auto"/>
              <w:bottom w:val="nil"/>
              <w:right w:val="single" w:sz="4" w:space="0" w:color="auto"/>
            </w:tcBorders>
            <w:noWrap/>
            <w:vAlign w:val="bottom"/>
          </w:tcPr>
          <w:p w14:paraId="6CD595F8" w14:textId="77777777" w:rsidR="005F1859" w:rsidRPr="002A1D42" w:rsidRDefault="005F1859" w:rsidP="00EF5C9A">
            <w:pPr>
              <w:jc w:val="center"/>
              <w:rPr>
                <w:rFonts w:cs="Times New Roman"/>
                <w:color w:val="000000"/>
                <w:sz w:val="20"/>
                <w:szCs w:val="20"/>
              </w:rPr>
            </w:pPr>
            <w:r>
              <w:rPr>
                <w:rFonts w:cs="Times New Roman"/>
                <w:color w:val="000000"/>
                <w:sz w:val="20"/>
                <w:szCs w:val="20"/>
              </w:rPr>
              <w:t>1.4</w:t>
            </w:r>
          </w:p>
        </w:tc>
      </w:tr>
      <w:tr w:rsidR="005F1859" w14:paraId="10C0A655" w14:textId="77777777" w:rsidTr="00EF5C9A">
        <w:trPr>
          <w:trHeight w:val="300"/>
        </w:trPr>
        <w:tc>
          <w:tcPr>
            <w:tcW w:w="5253" w:type="dxa"/>
            <w:tcBorders>
              <w:top w:val="nil"/>
              <w:left w:val="single" w:sz="4" w:space="0" w:color="auto"/>
              <w:bottom w:val="nil"/>
              <w:right w:val="single" w:sz="4" w:space="0" w:color="auto"/>
            </w:tcBorders>
            <w:vAlign w:val="center"/>
            <w:hideMark/>
          </w:tcPr>
          <w:p w14:paraId="3AB985F2" w14:textId="77777777" w:rsidR="005F1859" w:rsidRPr="002A1D42" w:rsidRDefault="005F1859" w:rsidP="00EF5C9A">
            <w:pPr>
              <w:rPr>
                <w:rFonts w:cs="Times New Roman"/>
                <w:color w:val="000000"/>
                <w:sz w:val="20"/>
                <w:szCs w:val="20"/>
              </w:rPr>
            </w:pPr>
            <w:r w:rsidRPr="002A1D42">
              <w:rPr>
                <w:rFonts w:cs="Times New Roman"/>
                <w:color w:val="000000"/>
                <w:sz w:val="20"/>
                <w:szCs w:val="20"/>
              </w:rPr>
              <w:t>Primary care prescribing</w:t>
            </w:r>
            <w:r>
              <w:rPr>
                <w:rFonts w:cs="Times New Roman"/>
                <w:color w:val="000000"/>
                <w:sz w:val="20"/>
                <w:szCs w:val="20"/>
              </w:rPr>
              <w:t xml:space="preserve"> </w:t>
            </w:r>
          </w:p>
        </w:tc>
        <w:tc>
          <w:tcPr>
            <w:tcW w:w="1134" w:type="dxa"/>
            <w:tcBorders>
              <w:top w:val="nil"/>
              <w:left w:val="single" w:sz="4" w:space="0" w:color="auto"/>
              <w:bottom w:val="nil"/>
              <w:right w:val="single" w:sz="4" w:space="0" w:color="auto"/>
            </w:tcBorders>
            <w:noWrap/>
            <w:vAlign w:val="bottom"/>
            <w:hideMark/>
          </w:tcPr>
          <w:p w14:paraId="7A546648" w14:textId="77777777" w:rsidR="005F1859" w:rsidRPr="002A1D42" w:rsidRDefault="005F1859" w:rsidP="00EF5C9A">
            <w:pPr>
              <w:jc w:val="center"/>
              <w:rPr>
                <w:rFonts w:cs="Times New Roman"/>
                <w:color w:val="000000"/>
                <w:sz w:val="20"/>
                <w:szCs w:val="20"/>
              </w:rPr>
            </w:pPr>
            <w:r>
              <w:rPr>
                <w:rFonts w:cs="Times New Roman"/>
                <w:color w:val="000000"/>
                <w:sz w:val="20"/>
                <w:szCs w:val="20"/>
              </w:rPr>
              <w:t>2.3</w:t>
            </w:r>
          </w:p>
        </w:tc>
        <w:tc>
          <w:tcPr>
            <w:tcW w:w="1134" w:type="dxa"/>
            <w:tcBorders>
              <w:top w:val="nil"/>
              <w:left w:val="single" w:sz="4" w:space="0" w:color="auto"/>
              <w:bottom w:val="nil"/>
              <w:right w:val="single" w:sz="4" w:space="0" w:color="auto"/>
            </w:tcBorders>
            <w:noWrap/>
            <w:vAlign w:val="bottom"/>
          </w:tcPr>
          <w:p w14:paraId="12E4E267" w14:textId="77777777" w:rsidR="005F1859" w:rsidRPr="002A1D42" w:rsidRDefault="005F1859" w:rsidP="00EF5C9A">
            <w:pPr>
              <w:jc w:val="center"/>
              <w:rPr>
                <w:rFonts w:cs="Times New Roman"/>
                <w:color w:val="000000"/>
                <w:sz w:val="20"/>
                <w:szCs w:val="20"/>
              </w:rPr>
            </w:pPr>
            <w:r>
              <w:rPr>
                <w:rFonts w:cs="Times New Roman"/>
                <w:color w:val="000000"/>
                <w:sz w:val="20"/>
                <w:szCs w:val="20"/>
              </w:rPr>
              <w:t>2.3</w:t>
            </w:r>
          </w:p>
        </w:tc>
        <w:tc>
          <w:tcPr>
            <w:tcW w:w="1134" w:type="dxa"/>
            <w:tcBorders>
              <w:top w:val="nil"/>
              <w:left w:val="single" w:sz="4" w:space="0" w:color="auto"/>
              <w:bottom w:val="nil"/>
              <w:right w:val="single" w:sz="4" w:space="0" w:color="auto"/>
            </w:tcBorders>
            <w:noWrap/>
            <w:vAlign w:val="bottom"/>
          </w:tcPr>
          <w:p w14:paraId="71CE41D6" w14:textId="77777777" w:rsidR="005F1859" w:rsidRPr="002A1D42" w:rsidRDefault="005F1859" w:rsidP="00EF5C9A">
            <w:pPr>
              <w:jc w:val="center"/>
              <w:rPr>
                <w:rFonts w:cs="Times New Roman"/>
                <w:color w:val="000000"/>
                <w:sz w:val="20"/>
                <w:szCs w:val="20"/>
              </w:rPr>
            </w:pPr>
            <w:r>
              <w:rPr>
                <w:rFonts w:cs="Times New Roman"/>
                <w:color w:val="000000"/>
                <w:sz w:val="20"/>
                <w:szCs w:val="20"/>
              </w:rPr>
              <w:t>2.3</w:t>
            </w:r>
          </w:p>
        </w:tc>
      </w:tr>
      <w:tr w:rsidR="005F1859" w14:paraId="34C674AD" w14:textId="77777777" w:rsidTr="00EF5C9A">
        <w:trPr>
          <w:trHeight w:val="300"/>
        </w:trPr>
        <w:tc>
          <w:tcPr>
            <w:tcW w:w="5253" w:type="dxa"/>
            <w:tcBorders>
              <w:top w:val="nil"/>
              <w:left w:val="single" w:sz="4" w:space="0" w:color="auto"/>
              <w:bottom w:val="nil"/>
              <w:right w:val="single" w:sz="4" w:space="0" w:color="auto"/>
            </w:tcBorders>
            <w:vAlign w:val="center"/>
            <w:hideMark/>
          </w:tcPr>
          <w:p w14:paraId="49B9BA75" w14:textId="77777777" w:rsidR="005F1859" w:rsidRPr="002A1D42" w:rsidRDefault="005F1859" w:rsidP="00EF5C9A">
            <w:pPr>
              <w:rPr>
                <w:rFonts w:cs="Times New Roman"/>
                <w:color w:val="000000"/>
                <w:sz w:val="20"/>
                <w:szCs w:val="20"/>
              </w:rPr>
            </w:pPr>
            <w:r w:rsidRPr="002A1D42">
              <w:rPr>
                <w:rFonts w:cs="Times New Roman"/>
                <w:color w:val="000000"/>
                <w:sz w:val="20"/>
                <w:szCs w:val="20"/>
              </w:rPr>
              <w:t>Community pharmacy</w:t>
            </w:r>
          </w:p>
        </w:tc>
        <w:tc>
          <w:tcPr>
            <w:tcW w:w="1134" w:type="dxa"/>
            <w:tcBorders>
              <w:top w:val="nil"/>
              <w:left w:val="single" w:sz="4" w:space="0" w:color="auto"/>
              <w:bottom w:val="nil"/>
              <w:right w:val="single" w:sz="4" w:space="0" w:color="auto"/>
            </w:tcBorders>
            <w:noWrap/>
            <w:vAlign w:val="bottom"/>
            <w:hideMark/>
          </w:tcPr>
          <w:p w14:paraId="75330174"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40CBAF02"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6105C0E8"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0</w:t>
            </w:r>
          </w:p>
        </w:tc>
      </w:tr>
      <w:tr w:rsidR="005F1859" w14:paraId="6DE11CE9" w14:textId="77777777" w:rsidTr="00EF5C9A">
        <w:trPr>
          <w:trHeight w:val="300"/>
        </w:trPr>
        <w:tc>
          <w:tcPr>
            <w:tcW w:w="5253" w:type="dxa"/>
            <w:tcBorders>
              <w:top w:val="nil"/>
              <w:left w:val="single" w:sz="4" w:space="0" w:color="auto"/>
              <w:bottom w:val="nil"/>
              <w:right w:val="single" w:sz="4" w:space="0" w:color="auto"/>
            </w:tcBorders>
            <w:vAlign w:val="center"/>
            <w:hideMark/>
          </w:tcPr>
          <w:p w14:paraId="3C76D602" w14:textId="77777777" w:rsidR="005F1859" w:rsidRPr="00C91BEB" w:rsidRDefault="005F1859" w:rsidP="00EF5C9A">
            <w:pPr>
              <w:rPr>
                <w:rFonts w:cs="Times New Roman"/>
                <w:color w:val="000000"/>
                <w:sz w:val="20"/>
                <w:szCs w:val="20"/>
              </w:rPr>
            </w:pPr>
            <w:r w:rsidRPr="00C91BEB">
              <w:rPr>
                <w:rFonts w:cs="Times New Roman"/>
                <w:color w:val="000000"/>
                <w:sz w:val="20"/>
                <w:szCs w:val="20"/>
              </w:rPr>
              <w:t>NICE</w:t>
            </w:r>
          </w:p>
          <w:p w14:paraId="35FCD74E" w14:textId="77777777" w:rsidR="005F1859" w:rsidRPr="00C91BEB" w:rsidRDefault="005F1859" w:rsidP="00EF5C9A">
            <w:pPr>
              <w:rPr>
                <w:rFonts w:cs="Times New Roman"/>
                <w:color w:val="000000"/>
                <w:sz w:val="20"/>
                <w:szCs w:val="20"/>
              </w:rPr>
            </w:pPr>
            <w:r w:rsidRPr="00C91BEB">
              <w:rPr>
                <w:rFonts w:cs="Times New Roman"/>
                <w:color w:val="000000"/>
                <w:sz w:val="20"/>
                <w:szCs w:val="20"/>
              </w:rPr>
              <w:t>Nurse Staffing Act</w:t>
            </w:r>
          </w:p>
        </w:tc>
        <w:tc>
          <w:tcPr>
            <w:tcW w:w="1134" w:type="dxa"/>
            <w:tcBorders>
              <w:top w:val="nil"/>
              <w:left w:val="single" w:sz="4" w:space="0" w:color="auto"/>
              <w:bottom w:val="nil"/>
              <w:right w:val="single" w:sz="4" w:space="0" w:color="auto"/>
            </w:tcBorders>
            <w:noWrap/>
            <w:vAlign w:val="bottom"/>
            <w:hideMark/>
          </w:tcPr>
          <w:p w14:paraId="3FDC973D"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3.5</w:t>
            </w:r>
          </w:p>
          <w:p w14:paraId="0CA2D914"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5E6E868A"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3.5</w:t>
            </w:r>
          </w:p>
          <w:p w14:paraId="512C57C4"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2D2FC8CE"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3.5</w:t>
            </w:r>
          </w:p>
          <w:p w14:paraId="1D374F12"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0</w:t>
            </w:r>
          </w:p>
        </w:tc>
      </w:tr>
      <w:tr w:rsidR="005F1859" w14:paraId="137E8F03" w14:textId="77777777" w:rsidTr="00EF5C9A">
        <w:trPr>
          <w:trHeight w:val="300"/>
        </w:trPr>
        <w:tc>
          <w:tcPr>
            <w:tcW w:w="5253" w:type="dxa"/>
            <w:tcBorders>
              <w:top w:val="nil"/>
              <w:left w:val="single" w:sz="4" w:space="0" w:color="auto"/>
              <w:bottom w:val="nil"/>
              <w:right w:val="single" w:sz="4" w:space="0" w:color="auto"/>
            </w:tcBorders>
            <w:vAlign w:val="center"/>
            <w:hideMark/>
          </w:tcPr>
          <w:p w14:paraId="701EF966" w14:textId="77777777" w:rsidR="005F1859" w:rsidRPr="00C91BEB" w:rsidRDefault="005F1859" w:rsidP="00EF5C9A">
            <w:pPr>
              <w:rPr>
                <w:rFonts w:cs="Times New Roman"/>
                <w:color w:val="000000"/>
                <w:sz w:val="20"/>
                <w:szCs w:val="20"/>
              </w:rPr>
            </w:pPr>
            <w:r w:rsidRPr="00C91BEB">
              <w:rPr>
                <w:rFonts w:cs="Times New Roman"/>
                <w:color w:val="000000"/>
                <w:sz w:val="20"/>
                <w:szCs w:val="20"/>
              </w:rPr>
              <w:t>Internal cost/demand/service pressures</w:t>
            </w:r>
          </w:p>
        </w:tc>
        <w:tc>
          <w:tcPr>
            <w:tcW w:w="1134" w:type="dxa"/>
            <w:tcBorders>
              <w:top w:val="nil"/>
              <w:left w:val="single" w:sz="4" w:space="0" w:color="auto"/>
              <w:bottom w:val="nil"/>
              <w:right w:val="single" w:sz="4" w:space="0" w:color="auto"/>
            </w:tcBorders>
            <w:noWrap/>
            <w:vAlign w:val="bottom"/>
            <w:hideMark/>
          </w:tcPr>
          <w:p w14:paraId="6F52A77A"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5.5</w:t>
            </w:r>
          </w:p>
        </w:tc>
        <w:tc>
          <w:tcPr>
            <w:tcW w:w="1134" w:type="dxa"/>
            <w:tcBorders>
              <w:top w:val="nil"/>
              <w:left w:val="single" w:sz="4" w:space="0" w:color="auto"/>
              <w:bottom w:val="nil"/>
              <w:right w:val="single" w:sz="4" w:space="0" w:color="auto"/>
            </w:tcBorders>
            <w:noWrap/>
            <w:vAlign w:val="bottom"/>
          </w:tcPr>
          <w:p w14:paraId="50EFE30A"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5.5</w:t>
            </w:r>
          </w:p>
        </w:tc>
        <w:tc>
          <w:tcPr>
            <w:tcW w:w="1134" w:type="dxa"/>
            <w:tcBorders>
              <w:top w:val="nil"/>
              <w:left w:val="single" w:sz="4" w:space="0" w:color="auto"/>
              <w:bottom w:val="nil"/>
              <w:right w:val="single" w:sz="4" w:space="0" w:color="auto"/>
            </w:tcBorders>
            <w:noWrap/>
            <w:vAlign w:val="bottom"/>
          </w:tcPr>
          <w:p w14:paraId="1DE5C9E1"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4.0</w:t>
            </w:r>
          </w:p>
        </w:tc>
      </w:tr>
      <w:tr w:rsidR="005F1859" w14:paraId="3C61A678" w14:textId="77777777" w:rsidTr="00EF5C9A">
        <w:trPr>
          <w:trHeight w:val="300"/>
        </w:trPr>
        <w:tc>
          <w:tcPr>
            <w:tcW w:w="5253" w:type="dxa"/>
            <w:tcBorders>
              <w:top w:val="nil"/>
              <w:left w:val="single" w:sz="4" w:space="0" w:color="auto"/>
              <w:bottom w:val="nil"/>
              <w:right w:val="single" w:sz="4" w:space="0" w:color="auto"/>
            </w:tcBorders>
            <w:vAlign w:val="center"/>
            <w:hideMark/>
          </w:tcPr>
          <w:p w14:paraId="79412A7F" w14:textId="77777777" w:rsidR="005F1859" w:rsidRPr="002A1D42" w:rsidRDefault="005F1859" w:rsidP="00EF5C9A">
            <w:pPr>
              <w:rPr>
                <w:rFonts w:cs="Times New Roman"/>
                <w:color w:val="000000"/>
                <w:sz w:val="20"/>
                <w:szCs w:val="20"/>
              </w:rPr>
            </w:pPr>
            <w:r w:rsidRPr="002A1D42">
              <w:rPr>
                <w:rFonts w:cs="Times New Roman"/>
                <w:color w:val="000000"/>
                <w:sz w:val="20"/>
                <w:szCs w:val="20"/>
              </w:rPr>
              <w:t>Claims WRP</w:t>
            </w:r>
          </w:p>
        </w:tc>
        <w:tc>
          <w:tcPr>
            <w:tcW w:w="1134" w:type="dxa"/>
            <w:tcBorders>
              <w:top w:val="nil"/>
              <w:left w:val="single" w:sz="4" w:space="0" w:color="auto"/>
              <w:bottom w:val="nil"/>
              <w:right w:val="single" w:sz="4" w:space="0" w:color="auto"/>
            </w:tcBorders>
            <w:noWrap/>
            <w:vAlign w:val="bottom"/>
            <w:hideMark/>
          </w:tcPr>
          <w:p w14:paraId="5408441E" w14:textId="77777777" w:rsidR="005F1859" w:rsidRPr="002A1D42" w:rsidRDefault="005F1859" w:rsidP="00EF5C9A">
            <w:pPr>
              <w:jc w:val="center"/>
              <w:rPr>
                <w:rFonts w:cs="Times New Roman"/>
                <w:color w:val="000000"/>
                <w:sz w:val="20"/>
                <w:szCs w:val="20"/>
              </w:rPr>
            </w:pPr>
            <w:r>
              <w:rPr>
                <w:rFonts w:cs="Times New Roman"/>
                <w:color w:val="000000"/>
                <w:sz w:val="20"/>
                <w:szCs w:val="20"/>
              </w:rPr>
              <w:t>1.7</w:t>
            </w:r>
          </w:p>
        </w:tc>
        <w:tc>
          <w:tcPr>
            <w:tcW w:w="1134" w:type="dxa"/>
            <w:tcBorders>
              <w:top w:val="nil"/>
              <w:left w:val="single" w:sz="4" w:space="0" w:color="auto"/>
              <w:bottom w:val="nil"/>
              <w:right w:val="single" w:sz="4" w:space="0" w:color="auto"/>
            </w:tcBorders>
            <w:noWrap/>
            <w:vAlign w:val="bottom"/>
          </w:tcPr>
          <w:p w14:paraId="5C2A2803" w14:textId="77777777" w:rsidR="005F1859" w:rsidRPr="002A1D42" w:rsidRDefault="005F1859" w:rsidP="00EF5C9A">
            <w:pPr>
              <w:jc w:val="center"/>
              <w:rPr>
                <w:rFonts w:cs="Times New Roman"/>
                <w:color w:val="000000"/>
                <w:sz w:val="20"/>
                <w:szCs w:val="20"/>
              </w:rPr>
            </w:pPr>
            <w:r>
              <w:rPr>
                <w:rFonts w:cs="Times New Roman"/>
                <w:color w:val="000000"/>
                <w:sz w:val="20"/>
                <w:szCs w:val="20"/>
              </w:rPr>
              <w:t>0.1</w:t>
            </w:r>
          </w:p>
        </w:tc>
        <w:tc>
          <w:tcPr>
            <w:tcW w:w="1134" w:type="dxa"/>
            <w:tcBorders>
              <w:top w:val="nil"/>
              <w:left w:val="single" w:sz="4" w:space="0" w:color="auto"/>
              <w:bottom w:val="nil"/>
              <w:right w:val="single" w:sz="4" w:space="0" w:color="auto"/>
            </w:tcBorders>
            <w:noWrap/>
            <w:vAlign w:val="bottom"/>
          </w:tcPr>
          <w:p w14:paraId="584DD142" w14:textId="77777777" w:rsidR="005F1859" w:rsidRPr="002A1D42" w:rsidRDefault="005F1859" w:rsidP="00EF5C9A">
            <w:pPr>
              <w:jc w:val="center"/>
              <w:rPr>
                <w:rFonts w:cs="Times New Roman"/>
                <w:color w:val="000000"/>
                <w:sz w:val="20"/>
                <w:szCs w:val="20"/>
              </w:rPr>
            </w:pPr>
            <w:r>
              <w:rPr>
                <w:rFonts w:cs="Times New Roman"/>
                <w:color w:val="000000"/>
                <w:sz w:val="20"/>
                <w:szCs w:val="20"/>
              </w:rPr>
              <w:t>0.1</w:t>
            </w:r>
          </w:p>
        </w:tc>
      </w:tr>
      <w:tr w:rsidR="005F1859" w14:paraId="411B6BEB" w14:textId="77777777" w:rsidTr="00EF5C9A">
        <w:trPr>
          <w:trHeight w:val="300"/>
        </w:trPr>
        <w:tc>
          <w:tcPr>
            <w:tcW w:w="5253" w:type="dxa"/>
            <w:tcBorders>
              <w:top w:val="nil"/>
              <w:left w:val="single" w:sz="4" w:space="0" w:color="auto"/>
              <w:bottom w:val="nil"/>
              <w:right w:val="single" w:sz="4" w:space="0" w:color="auto"/>
            </w:tcBorders>
            <w:vAlign w:val="center"/>
          </w:tcPr>
          <w:p w14:paraId="093C2D1A" w14:textId="77777777" w:rsidR="005F1859" w:rsidRPr="002A1D42" w:rsidRDefault="005F1859" w:rsidP="00EF5C9A">
            <w:pPr>
              <w:rPr>
                <w:rFonts w:cs="Times New Roman"/>
                <w:color w:val="000000"/>
                <w:sz w:val="20"/>
                <w:szCs w:val="20"/>
              </w:rPr>
            </w:pPr>
            <w:r>
              <w:rPr>
                <w:rFonts w:cs="Times New Roman"/>
                <w:color w:val="000000"/>
                <w:sz w:val="20"/>
                <w:szCs w:val="20"/>
              </w:rPr>
              <w:t>WHSCC demand and cost pressures</w:t>
            </w:r>
          </w:p>
        </w:tc>
        <w:tc>
          <w:tcPr>
            <w:tcW w:w="1134" w:type="dxa"/>
            <w:tcBorders>
              <w:top w:val="nil"/>
              <w:left w:val="single" w:sz="4" w:space="0" w:color="auto"/>
              <w:bottom w:val="nil"/>
              <w:right w:val="single" w:sz="4" w:space="0" w:color="auto"/>
            </w:tcBorders>
            <w:noWrap/>
            <w:vAlign w:val="bottom"/>
          </w:tcPr>
          <w:p w14:paraId="649AFA50" w14:textId="77777777" w:rsidR="005F1859" w:rsidRDefault="005F1859" w:rsidP="00EF5C9A">
            <w:pPr>
              <w:jc w:val="center"/>
              <w:rPr>
                <w:rFonts w:cs="Times New Roman"/>
                <w:color w:val="000000"/>
                <w:sz w:val="20"/>
                <w:szCs w:val="20"/>
              </w:rPr>
            </w:pPr>
            <w:r>
              <w:rPr>
                <w:rFonts w:cs="Times New Roman"/>
                <w:color w:val="000000"/>
                <w:sz w:val="20"/>
                <w:szCs w:val="20"/>
              </w:rPr>
              <w:t>3.6</w:t>
            </w:r>
          </w:p>
        </w:tc>
        <w:tc>
          <w:tcPr>
            <w:tcW w:w="1134" w:type="dxa"/>
            <w:tcBorders>
              <w:top w:val="nil"/>
              <w:left w:val="single" w:sz="4" w:space="0" w:color="auto"/>
              <w:bottom w:val="nil"/>
              <w:right w:val="single" w:sz="4" w:space="0" w:color="auto"/>
            </w:tcBorders>
            <w:noWrap/>
            <w:vAlign w:val="bottom"/>
          </w:tcPr>
          <w:p w14:paraId="2881ADEC" w14:textId="77777777" w:rsidR="005F1859" w:rsidRDefault="005F1859" w:rsidP="00EF5C9A">
            <w:pPr>
              <w:jc w:val="center"/>
              <w:rPr>
                <w:rFonts w:cs="Times New Roman"/>
                <w:color w:val="000000"/>
                <w:sz w:val="20"/>
                <w:szCs w:val="20"/>
              </w:rPr>
            </w:pPr>
            <w:r>
              <w:rPr>
                <w:rFonts w:cs="Times New Roman"/>
                <w:color w:val="000000"/>
                <w:sz w:val="20"/>
                <w:szCs w:val="20"/>
              </w:rPr>
              <w:t>3.0</w:t>
            </w:r>
          </w:p>
        </w:tc>
        <w:tc>
          <w:tcPr>
            <w:tcW w:w="1134" w:type="dxa"/>
            <w:tcBorders>
              <w:top w:val="nil"/>
              <w:left w:val="single" w:sz="4" w:space="0" w:color="auto"/>
              <w:bottom w:val="nil"/>
              <w:right w:val="single" w:sz="4" w:space="0" w:color="auto"/>
            </w:tcBorders>
            <w:noWrap/>
            <w:vAlign w:val="bottom"/>
          </w:tcPr>
          <w:p w14:paraId="11FA0EEE" w14:textId="77777777" w:rsidR="005F1859" w:rsidRDefault="005F1859" w:rsidP="00EF5C9A">
            <w:pPr>
              <w:jc w:val="center"/>
              <w:rPr>
                <w:rFonts w:cs="Times New Roman"/>
                <w:color w:val="000000"/>
                <w:sz w:val="20"/>
                <w:szCs w:val="20"/>
              </w:rPr>
            </w:pPr>
            <w:r>
              <w:rPr>
                <w:rFonts w:cs="Times New Roman"/>
                <w:color w:val="000000"/>
                <w:sz w:val="20"/>
                <w:szCs w:val="20"/>
              </w:rPr>
              <w:t>3.0</w:t>
            </w:r>
          </w:p>
        </w:tc>
      </w:tr>
      <w:tr w:rsidR="005F1859" w14:paraId="474C9334" w14:textId="77777777" w:rsidTr="00EF5C9A">
        <w:trPr>
          <w:trHeight w:val="300"/>
        </w:trPr>
        <w:tc>
          <w:tcPr>
            <w:tcW w:w="5253" w:type="dxa"/>
            <w:tcBorders>
              <w:top w:val="nil"/>
              <w:left w:val="single" w:sz="4" w:space="0" w:color="auto"/>
              <w:bottom w:val="nil"/>
              <w:right w:val="single" w:sz="4" w:space="0" w:color="auto"/>
            </w:tcBorders>
            <w:vAlign w:val="center"/>
          </w:tcPr>
          <w:p w14:paraId="5407FDB2" w14:textId="77777777" w:rsidR="005F1859" w:rsidRPr="00C91BEB" w:rsidRDefault="005F1859" w:rsidP="00EF5C9A">
            <w:pPr>
              <w:rPr>
                <w:rFonts w:cs="Times New Roman"/>
                <w:color w:val="000000"/>
                <w:sz w:val="20"/>
                <w:szCs w:val="20"/>
              </w:rPr>
            </w:pPr>
            <w:r w:rsidRPr="00C91BEB">
              <w:rPr>
                <w:rFonts w:cs="Times New Roman"/>
                <w:color w:val="000000"/>
                <w:sz w:val="20"/>
                <w:szCs w:val="20"/>
              </w:rPr>
              <w:t>EASC demand and cost pressures</w:t>
            </w:r>
          </w:p>
        </w:tc>
        <w:tc>
          <w:tcPr>
            <w:tcW w:w="1134" w:type="dxa"/>
            <w:tcBorders>
              <w:top w:val="nil"/>
              <w:left w:val="single" w:sz="4" w:space="0" w:color="auto"/>
              <w:bottom w:val="nil"/>
              <w:right w:val="single" w:sz="4" w:space="0" w:color="auto"/>
            </w:tcBorders>
            <w:noWrap/>
            <w:vAlign w:val="bottom"/>
          </w:tcPr>
          <w:p w14:paraId="519C8202"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0.3</w:t>
            </w:r>
          </w:p>
        </w:tc>
        <w:tc>
          <w:tcPr>
            <w:tcW w:w="1134" w:type="dxa"/>
            <w:tcBorders>
              <w:top w:val="nil"/>
              <w:left w:val="single" w:sz="4" w:space="0" w:color="auto"/>
              <w:bottom w:val="nil"/>
              <w:right w:val="single" w:sz="4" w:space="0" w:color="auto"/>
            </w:tcBorders>
            <w:noWrap/>
            <w:vAlign w:val="bottom"/>
          </w:tcPr>
          <w:p w14:paraId="7C347997"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0.3</w:t>
            </w:r>
          </w:p>
        </w:tc>
        <w:tc>
          <w:tcPr>
            <w:tcW w:w="1134" w:type="dxa"/>
            <w:tcBorders>
              <w:top w:val="nil"/>
              <w:left w:val="single" w:sz="4" w:space="0" w:color="auto"/>
              <w:bottom w:val="nil"/>
              <w:right w:val="single" w:sz="4" w:space="0" w:color="auto"/>
            </w:tcBorders>
            <w:noWrap/>
            <w:vAlign w:val="bottom"/>
          </w:tcPr>
          <w:p w14:paraId="04298128" w14:textId="77777777" w:rsidR="005F1859" w:rsidRPr="00C91BEB" w:rsidRDefault="005F1859" w:rsidP="00EF5C9A">
            <w:pPr>
              <w:jc w:val="center"/>
              <w:rPr>
                <w:rFonts w:cs="Times New Roman"/>
                <w:color w:val="000000"/>
                <w:sz w:val="20"/>
                <w:szCs w:val="20"/>
              </w:rPr>
            </w:pPr>
            <w:r w:rsidRPr="00C91BEB">
              <w:rPr>
                <w:rFonts w:cs="Times New Roman"/>
                <w:color w:val="000000"/>
                <w:sz w:val="20"/>
                <w:szCs w:val="20"/>
              </w:rPr>
              <w:t>0.3</w:t>
            </w:r>
          </w:p>
        </w:tc>
      </w:tr>
      <w:tr w:rsidR="005F1859" w14:paraId="23FC749E" w14:textId="77777777" w:rsidTr="00EF5C9A">
        <w:trPr>
          <w:trHeight w:val="300"/>
        </w:trPr>
        <w:tc>
          <w:tcPr>
            <w:tcW w:w="5253" w:type="dxa"/>
            <w:tcBorders>
              <w:top w:val="single" w:sz="4" w:space="0" w:color="auto"/>
              <w:left w:val="single" w:sz="4" w:space="0" w:color="auto"/>
              <w:bottom w:val="single" w:sz="4" w:space="0" w:color="auto"/>
              <w:right w:val="single" w:sz="4" w:space="0" w:color="auto"/>
            </w:tcBorders>
            <w:vAlign w:val="center"/>
            <w:hideMark/>
          </w:tcPr>
          <w:p w14:paraId="5FB80A28" w14:textId="77777777" w:rsidR="005F1859" w:rsidRPr="00DA5973" w:rsidRDefault="005F1859" w:rsidP="00EF5C9A">
            <w:pPr>
              <w:rPr>
                <w:rFonts w:cs="Times New Roman"/>
                <w:b/>
                <w:bCs/>
                <w:color w:val="000000"/>
                <w:sz w:val="20"/>
                <w:szCs w:val="20"/>
              </w:rPr>
            </w:pPr>
            <w:r w:rsidRPr="00DA5973">
              <w:rPr>
                <w:rFonts w:cs="Times New Roman"/>
                <w:b/>
                <w:bCs/>
                <w:color w:val="000000"/>
                <w:sz w:val="20"/>
                <w:szCs w:val="20"/>
              </w:rPr>
              <w:t>Subtotal</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326A7953" w14:textId="77777777" w:rsidR="005F1859" w:rsidRPr="00DA5973" w:rsidRDefault="005F1859" w:rsidP="00EF5C9A">
            <w:pPr>
              <w:jc w:val="center"/>
              <w:rPr>
                <w:rFonts w:cs="Times New Roman"/>
                <w:b/>
                <w:bCs/>
                <w:color w:val="000000"/>
                <w:sz w:val="20"/>
                <w:szCs w:val="20"/>
              </w:rPr>
            </w:pPr>
            <w:r w:rsidRPr="00DA5973">
              <w:rPr>
                <w:rFonts w:cs="Times New Roman"/>
                <w:b/>
                <w:bCs/>
                <w:color w:val="000000"/>
                <w:sz w:val="20"/>
                <w:szCs w:val="20"/>
              </w:rPr>
              <w:t>1</w:t>
            </w:r>
            <w:r>
              <w:rPr>
                <w:rFonts w:cs="Times New Roman"/>
                <w:b/>
                <w:bCs/>
                <w:color w:val="000000"/>
                <w:sz w:val="20"/>
                <w:szCs w:val="20"/>
              </w:rPr>
              <w:t>8.1</w:t>
            </w:r>
          </w:p>
        </w:tc>
        <w:tc>
          <w:tcPr>
            <w:tcW w:w="1134" w:type="dxa"/>
            <w:tcBorders>
              <w:top w:val="single" w:sz="4" w:space="0" w:color="auto"/>
              <w:left w:val="single" w:sz="4" w:space="0" w:color="auto"/>
              <w:bottom w:val="single" w:sz="4" w:space="0" w:color="auto"/>
              <w:right w:val="single" w:sz="4" w:space="0" w:color="auto"/>
            </w:tcBorders>
            <w:noWrap/>
            <w:vAlign w:val="bottom"/>
          </w:tcPr>
          <w:p w14:paraId="39BD21FF" w14:textId="77777777" w:rsidR="005F1859" w:rsidRPr="00DA5973" w:rsidRDefault="005F1859" w:rsidP="00EF5C9A">
            <w:pPr>
              <w:jc w:val="center"/>
              <w:rPr>
                <w:rFonts w:cs="Times New Roman"/>
                <w:b/>
                <w:bCs/>
                <w:color w:val="000000"/>
                <w:sz w:val="20"/>
                <w:szCs w:val="20"/>
              </w:rPr>
            </w:pPr>
            <w:r w:rsidRPr="00DA5973">
              <w:rPr>
                <w:rFonts w:cs="Times New Roman"/>
                <w:b/>
                <w:bCs/>
                <w:color w:val="000000"/>
                <w:sz w:val="20"/>
                <w:szCs w:val="20"/>
              </w:rPr>
              <w:t>1</w:t>
            </w:r>
            <w:r>
              <w:rPr>
                <w:rFonts w:cs="Times New Roman"/>
                <w:b/>
                <w:bCs/>
                <w:color w:val="000000"/>
                <w:sz w:val="20"/>
                <w:szCs w:val="20"/>
              </w:rPr>
              <w:t>5.9</w:t>
            </w:r>
          </w:p>
        </w:tc>
        <w:tc>
          <w:tcPr>
            <w:tcW w:w="1134" w:type="dxa"/>
            <w:tcBorders>
              <w:top w:val="single" w:sz="4" w:space="0" w:color="auto"/>
              <w:left w:val="single" w:sz="4" w:space="0" w:color="auto"/>
              <w:bottom w:val="single" w:sz="4" w:space="0" w:color="auto"/>
              <w:right w:val="single" w:sz="4" w:space="0" w:color="auto"/>
            </w:tcBorders>
            <w:noWrap/>
            <w:vAlign w:val="bottom"/>
          </w:tcPr>
          <w:p w14:paraId="27CDF9FF" w14:textId="77777777" w:rsidR="005F1859" w:rsidRPr="00DA5973" w:rsidRDefault="005F1859" w:rsidP="00EF5C9A">
            <w:pPr>
              <w:jc w:val="center"/>
              <w:rPr>
                <w:rFonts w:cs="Times New Roman"/>
                <w:b/>
                <w:bCs/>
                <w:color w:val="000000"/>
                <w:sz w:val="20"/>
                <w:szCs w:val="20"/>
              </w:rPr>
            </w:pPr>
            <w:r w:rsidRPr="00DA5973">
              <w:rPr>
                <w:rFonts w:cs="Times New Roman"/>
                <w:b/>
                <w:bCs/>
                <w:color w:val="000000"/>
                <w:sz w:val="20"/>
                <w:szCs w:val="20"/>
              </w:rPr>
              <w:t>14.</w:t>
            </w:r>
            <w:r>
              <w:rPr>
                <w:rFonts w:cs="Times New Roman"/>
                <w:b/>
                <w:bCs/>
                <w:color w:val="000000"/>
                <w:sz w:val="20"/>
                <w:szCs w:val="20"/>
              </w:rPr>
              <w:t>6</w:t>
            </w:r>
          </w:p>
        </w:tc>
      </w:tr>
      <w:tr w:rsidR="005F1859" w14:paraId="31345101" w14:textId="77777777" w:rsidTr="00EF5C9A">
        <w:trPr>
          <w:trHeight w:val="300"/>
        </w:trPr>
        <w:tc>
          <w:tcPr>
            <w:tcW w:w="5253" w:type="dxa"/>
            <w:tcBorders>
              <w:top w:val="nil"/>
              <w:left w:val="single" w:sz="4" w:space="0" w:color="auto"/>
              <w:bottom w:val="nil"/>
              <w:right w:val="single" w:sz="4" w:space="0" w:color="auto"/>
            </w:tcBorders>
            <w:vAlign w:val="center"/>
          </w:tcPr>
          <w:p w14:paraId="2712A818" w14:textId="77777777" w:rsidR="005F1859" w:rsidRPr="002A1D42" w:rsidRDefault="005F1859" w:rsidP="00EF5C9A">
            <w:pPr>
              <w:rPr>
                <w:rFonts w:cs="Times New Roman"/>
                <w:bCs/>
                <w:color w:val="000000"/>
                <w:sz w:val="20"/>
                <w:szCs w:val="20"/>
              </w:rPr>
            </w:pPr>
          </w:p>
        </w:tc>
        <w:tc>
          <w:tcPr>
            <w:tcW w:w="1134" w:type="dxa"/>
            <w:tcBorders>
              <w:top w:val="nil"/>
              <w:left w:val="single" w:sz="4" w:space="0" w:color="auto"/>
              <w:bottom w:val="nil"/>
              <w:right w:val="single" w:sz="4" w:space="0" w:color="auto"/>
            </w:tcBorders>
            <w:noWrap/>
            <w:vAlign w:val="center"/>
          </w:tcPr>
          <w:p w14:paraId="11C75A44" w14:textId="77777777" w:rsidR="005F1859" w:rsidRPr="002A1D42" w:rsidRDefault="005F1859" w:rsidP="00EF5C9A">
            <w:pPr>
              <w:jc w:val="center"/>
              <w:rPr>
                <w:rFonts w:cs="Times New Roman"/>
                <w:color w:val="000000"/>
                <w:sz w:val="20"/>
                <w:szCs w:val="20"/>
              </w:rPr>
            </w:pPr>
          </w:p>
        </w:tc>
        <w:tc>
          <w:tcPr>
            <w:tcW w:w="1134" w:type="dxa"/>
            <w:tcBorders>
              <w:top w:val="nil"/>
              <w:left w:val="single" w:sz="4" w:space="0" w:color="auto"/>
              <w:bottom w:val="nil"/>
              <w:right w:val="single" w:sz="4" w:space="0" w:color="auto"/>
            </w:tcBorders>
            <w:noWrap/>
            <w:vAlign w:val="bottom"/>
          </w:tcPr>
          <w:p w14:paraId="27DEA95D" w14:textId="77777777" w:rsidR="005F1859" w:rsidRPr="002A1D42" w:rsidRDefault="005F1859" w:rsidP="00EF5C9A">
            <w:pPr>
              <w:jc w:val="center"/>
              <w:rPr>
                <w:rFonts w:cs="Times New Roman"/>
                <w:color w:val="000000"/>
                <w:sz w:val="20"/>
                <w:szCs w:val="20"/>
              </w:rPr>
            </w:pPr>
          </w:p>
        </w:tc>
        <w:tc>
          <w:tcPr>
            <w:tcW w:w="1134" w:type="dxa"/>
            <w:tcBorders>
              <w:top w:val="nil"/>
              <w:left w:val="single" w:sz="4" w:space="0" w:color="auto"/>
              <w:bottom w:val="nil"/>
              <w:right w:val="single" w:sz="4" w:space="0" w:color="auto"/>
            </w:tcBorders>
            <w:noWrap/>
            <w:vAlign w:val="bottom"/>
          </w:tcPr>
          <w:p w14:paraId="24141347" w14:textId="77777777" w:rsidR="005F1859" w:rsidRPr="002A1D42" w:rsidRDefault="005F1859" w:rsidP="00EF5C9A">
            <w:pPr>
              <w:jc w:val="center"/>
              <w:rPr>
                <w:rFonts w:cs="Times New Roman"/>
                <w:color w:val="000000"/>
                <w:sz w:val="20"/>
                <w:szCs w:val="20"/>
              </w:rPr>
            </w:pPr>
          </w:p>
        </w:tc>
      </w:tr>
      <w:tr w:rsidR="005F1859" w14:paraId="54379D7E" w14:textId="77777777" w:rsidTr="00EF5C9A">
        <w:trPr>
          <w:trHeight w:val="315"/>
        </w:trPr>
        <w:tc>
          <w:tcPr>
            <w:tcW w:w="5253" w:type="dxa"/>
            <w:tcBorders>
              <w:top w:val="single" w:sz="4" w:space="0" w:color="auto"/>
              <w:left w:val="single" w:sz="4" w:space="0" w:color="auto"/>
              <w:bottom w:val="single" w:sz="4" w:space="0" w:color="auto"/>
              <w:right w:val="single" w:sz="4" w:space="0" w:color="auto"/>
            </w:tcBorders>
            <w:vAlign w:val="center"/>
            <w:hideMark/>
          </w:tcPr>
          <w:p w14:paraId="3F144E68" w14:textId="77777777" w:rsidR="005F1859" w:rsidRPr="001C1B6D" w:rsidRDefault="005F1859" w:rsidP="00EF5C9A">
            <w:pPr>
              <w:rPr>
                <w:rFonts w:cs="Times New Roman"/>
                <w:b/>
                <w:bCs/>
                <w:color w:val="000000"/>
                <w:sz w:val="20"/>
                <w:szCs w:val="20"/>
              </w:rPr>
            </w:pPr>
            <w:r w:rsidRPr="001C1B6D">
              <w:rPr>
                <w:rFonts w:cs="Times New Roman"/>
                <w:b/>
                <w:bCs/>
                <w:color w:val="000000"/>
                <w:sz w:val="20"/>
                <w:szCs w:val="20"/>
              </w:rPr>
              <w:t>Total</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0910CAB8" w14:textId="77777777" w:rsidR="005F1859" w:rsidRPr="001C1B6D" w:rsidRDefault="005F1859" w:rsidP="00EF5C9A">
            <w:pPr>
              <w:jc w:val="center"/>
              <w:rPr>
                <w:rFonts w:cs="Times New Roman"/>
                <w:b/>
                <w:bCs/>
                <w:color w:val="000000"/>
                <w:sz w:val="20"/>
                <w:szCs w:val="20"/>
              </w:rPr>
            </w:pPr>
            <w:r>
              <w:rPr>
                <w:rFonts w:cs="Times New Roman"/>
                <w:b/>
                <w:bCs/>
                <w:color w:val="000000"/>
                <w:sz w:val="20"/>
                <w:szCs w:val="20"/>
              </w:rPr>
              <w:t>39.3</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643DADA3" w14:textId="77777777" w:rsidR="005F1859" w:rsidRPr="001C1B6D" w:rsidRDefault="005F1859" w:rsidP="00EF5C9A">
            <w:pPr>
              <w:jc w:val="center"/>
              <w:rPr>
                <w:rFonts w:cs="Times New Roman"/>
                <w:b/>
                <w:bCs/>
                <w:color w:val="000000"/>
                <w:sz w:val="20"/>
                <w:szCs w:val="20"/>
              </w:rPr>
            </w:pPr>
            <w:r>
              <w:rPr>
                <w:rFonts w:cs="Times New Roman"/>
                <w:b/>
                <w:bCs/>
                <w:color w:val="000000"/>
                <w:sz w:val="20"/>
                <w:szCs w:val="20"/>
              </w:rPr>
              <w:t>37.2</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2D3B3A48" w14:textId="77777777" w:rsidR="005F1859" w:rsidRPr="001C1B6D" w:rsidRDefault="005F1859" w:rsidP="00EF5C9A">
            <w:pPr>
              <w:jc w:val="center"/>
              <w:rPr>
                <w:rFonts w:cs="Times New Roman"/>
                <w:b/>
                <w:bCs/>
                <w:color w:val="000000"/>
                <w:sz w:val="20"/>
                <w:szCs w:val="20"/>
              </w:rPr>
            </w:pPr>
            <w:r w:rsidRPr="001C1B6D">
              <w:rPr>
                <w:rFonts w:cs="Times New Roman"/>
                <w:b/>
                <w:bCs/>
                <w:color w:val="000000"/>
                <w:sz w:val="20"/>
                <w:szCs w:val="20"/>
              </w:rPr>
              <w:t>3</w:t>
            </w:r>
            <w:r>
              <w:rPr>
                <w:rFonts w:cs="Times New Roman"/>
                <w:b/>
                <w:bCs/>
                <w:color w:val="000000"/>
                <w:sz w:val="20"/>
                <w:szCs w:val="20"/>
              </w:rPr>
              <w:t>6.4</w:t>
            </w:r>
          </w:p>
        </w:tc>
      </w:tr>
    </w:tbl>
    <w:p w14:paraId="74A1D398" w14:textId="77777777" w:rsidR="005F1859" w:rsidRDefault="005F1859" w:rsidP="005F1859"/>
    <w:p w14:paraId="7F3F72D7" w14:textId="77777777" w:rsidR="005F1859" w:rsidRDefault="005F1859" w:rsidP="005F1859">
      <w:r>
        <w:t>The basis for the above estimates is outlined below:</w:t>
      </w:r>
    </w:p>
    <w:p w14:paraId="40258F6D" w14:textId="77777777" w:rsidR="005F1859" w:rsidRPr="006271F4" w:rsidRDefault="005F1859" w:rsidP="005F1859">
      <w:pPr>
        <w:pStyle w:val="Heading3"/>
        <w:ind w:left="1146" w:hanging="720"/>
      </w:pPr>
      <w:r w:rsidRPr="006271F4">
        <w:t xml:space="preserve">Pay cost inflation </w:t>
      </w:r>
    </w:p>
    <w:p w14:paraId="7BFC2308" w14:textId="77777777" w:rsidR="005F1859" w:rsidRPr="005D244A" w:rsidRDefault="005F1859" w:rsidP="005F1859"/>
    <w:tbl>
      <w:tblPr>
        <w:tblW w:w="8840" w:type="dxa"/>
        <w:tblInd w:w="103" w:type="dxa"/>
        <w:tblLook w:val="04A0" w:firstRow="1" w:lastRow="0" w:firstColumn="1" w:lastColumn="0" w:noHBand="0" w:noVBand="1"/>
      </w:tblPr>
      <w:tblGrid>
        <w:gridCol w:w="5480"/>
        <w:gridCol w:w="1120"/>
        <w:gridCol w:w="1120"/>
        <w:gridCol w:w="1120"/>
      </w:tblGrid>
      <w:tr w:rsidR="005F1859" w14:paraId="70FCCE6C" w14:textId="77777777" w:rsidTr="00EF5C9A">
        <w:trPr>
          <w:trHeight w:val="300"/>
        </w:trPr>
        <w:tc>
          <w:tcPr>
            <w:tcW w:w="5480"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12D8F354" w14:textId="77777777" w:rsidR="005F1859" w:rsidRPr="002A1D42" w:rsidRDefault="005F1859" w:rsidP="00EF5C9A">
            <w:pPr>
              <w:rPr>
                <w:rFonts w:cs="Times New Roman"/>
                <w:b/>
                <w:bCs/>
                <w:color w:val="000000"/>
                <w:sz w:val="20"/>
                <w:szCs w:val="20"/>
              </w:rPr>
            </w:pPr>
            <w:r w:rsidRPr="002A1D42">
              <w:rPr>
                <w:rFonts w:cs="Times New Roman"/>
                <w:b/>
                <w:bCs/>
                <w:color w:val="000000"/>
                <w:sz w:val="20"/>
                <w:szCs w:val="20"/>
              </w:rPr>
              <w:t>Pay rises and incremental drift</w:t>
            </w:r>
          </w:p>
        </w:tc>
        <w:tc>
          <w:tcPr>
            <w:tcW w:w="1120"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27FB9617" w14:textId="77777777" w:rsidR="005F1859" w:rsidRPr="002A1D42" w:rsidRDefault="005F1859" w:rsidP="00EF5C9A">
            <w:pPr>
              <w:jc w:val="center"/>
              <w:rPr>
                <w:rFonts w:cs="Times New Roman"/>
                <w:b/>
                <w:bCs/>
                <w:color w:val="000000"/>
                <w:sz w:val="20"/>
                <w:szCs w:val="20"/>
              </w:rPr>
            </w:pPr>
            <w:r>
              <w:rPr>
                <w:rFonts w:cs="Times New Roman"/>
                <w:b/>
                <w:bCs/>
                <w:color w:val="000000"/>
                <w:sz w:val="20"/>
                <w:szCs w:val="20"/>
              </w:rPr>
              <w:t>20</w:t>
            </w:r>
            <w:r w:rsidRPr="002A1D42">
              <w:rPr>
                <w:rFonts w:cs="Times New Roman"/>
                <w:b/>
                <w:bCs/>
                <w:color w:val="000000"/>
                <w:sz w:val="20"/>
                <w:szCs w:val="20"/>
              </w:rPr>
              <w:t>/2</w:t>
            </w:r>
            <w:r>
              <w:rPr>
                <w:rFonts w:cs="Times New Roman"/>
                <w:b/>
                <w:bCs/>
                <w:color w:val="000000"/>
                <w:sz w:val="20"/>
                <w:szCs w:val="20"/>
              </w:rPr>
              <w:t>1</w:t>
            </w:r>
          </w:p>
        </w:tc>
        <w:tc>
          <w:tcPr>
            <w:tcW w:w="1120"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79B9A926"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1</w:t>
            </w:r>
            <w:r w:rsidRPr="002A1D42">
              <w:rPr>
                <w:rFonts w:cs="Times New Roman"/>
                <w:b/>
                <w:bCs/>
                <w:color w:val="000000"/>
                <w:sz w:val="20"/>
                <w:szCs w:val="20"/>
              </w:rPr>
              <w:t>/2</w:t>
            </w:r>
            <w:r>
              <w:rPr>
                <w:rFonts w:cs="Times New Roman"/>
                <w:b/>
                <w:bCs/>
                <w:color w:val="000000"/>
                <w:sz w:val="20"/>
                <w:szCs w:val="20"/>
              </w:rPr>
              <w:t>2</w:t>
            </w:r>
          </w:p>
        </w:tc>
        <w:tc>
          <w:tcPr>
            <w:tcW w:w="1120"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629B0ADE"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2</w:t>
            </w:r>
            <w:r w:rsidRPr="002A1D42">
              <w:rPr>
                <w:rFonts w:cs="Times New Roman"/>
                <w:b/>
                <w:bCs/>
                <w:color w:val="000000"/>
                <w:sz w:val="20"/>
                <w:szCs w:val="20"/>
              </w:rPr>
              <w:t>/2</w:t>
            </w:r>
            <w:r>
              <w:rPr>
                <w:rFonts w:cs="Times New Roman"/>
                <w:b/>
                <w:bCs/>
                <w:color w:val="000000"/>
                <w:sz w:val="20"/>
                <w:szCs w:val="20"/>
              </w:rPr>
              <w:t>3</w:t>
            </w:r>
          </w:p>
        </w:tc>
      </w:tr>
      <w:tr w:rsidR="005F1859" w14:paraId="40F89153" w14:textId="77777777" w:rsidTr="00EF5C9A">
        <w:trPr>
          <w:trHeight w:val="300"/>
        </w:trPr>
        <w:tc>
          <w:tcPr>
            <w:tcW w:w="5480" w:type="dxa"/>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2D87F507" w14:textId="77777777" w:rsidR="005F1859" w:rsidRPr="002A1D42" w:rsidRDefault="005F1859" w:rsidP="00EF5C9A">
            <w:pPr>
              <w:jc w:val="center"/>
              <w:rPr>
                <w:rFonts w:cs="Times New Roman"/>
                <w:color w:val="000000"/>
                <w:sz w:val="20"/>
                <w:szCs w:val="20"/>
              </w:rPr>
            </w:pPr>
            <w:r w:rsidRPr="002A1D42">
              <w:rPr>
                <w:rFonts w:cs="Times New Roman"/>
                <w:color w:val="000000"/>
                <w:sz w:val="20"/>
                <w:szCs w:val="20"/>
              </w:rPr>
              <w:t> </w:t>
            </w:r>
          </w:p>
        </w:tc>
        <w:tc>
          <w:tcPr>
            <w:tcW w:w="1120" w:type="dxa"/>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53CFE7AE"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£m</w:t>
            </w:r>
          </w:p>
        </w:tc>
        <w:tc>
          <w:tcPr>
            <w:tcW w:w="112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69F7EBC1"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£m</w:t>
            </w:r>
          </w:p>
        </w:tc>
        <w:tc>
          <w:tcPr>
            <w:tcW w:w="112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671C3A61" w14:textId="77777777" w:rsidR="005F1859" w:rsidRPr="002A1D42" w:rsidRDefault="005F1859" w:rsidP="00EF5C9A">
            <w:pPr>
              <w:jc w:val="center"/>
              <w:rPr>
                <w:rFonts w:cs="Times New Roman"/>
                <w:b/>
                <w:bCs/>
                <w:color w:val="000000"/>
                <w:sz w:val="20"/>
                <w:szCs w:val="20"/>
              </w:rPr>
            </w:pPr>
            <w:r w:rsidRPr="002A1D42">
              <w:rPr>
                <w:rFonts w:cs="Times New Roman"/>
                <w:b/>
                <w:bCs/>
                <w:color w:val="000000"/>
                <w:sz w:val="20"/>
                <w:szCs w:val="20"/>
              </w:rPr>
              <w:t>£m</w:t>
            </w:r>
          </w:p>
        </w:tc>
      </w:tr>
      <w:tr w:rsidR="005F1859" w14:paraId="3F8E701F" w14:textId="77777777" w:rsidTr="00EF5C9A">
        <w:trPr>
          <w:trHeight w:val="300"/>
        </w:trPr>
        <w:tc>
          <w:tcPr>
            <w:tcW w:w="5480" w:type="dxa"/>
            <w:tcBorders>
              <w:top w:val="nil"/>
              <w:left w:val="single" w:sz="4" w:space="0" w:color="auto"/>
              <w:bottom w:val="nil"/>
              <w:right w:val="single" w:sz="4" w:space="0" w:color="auto"/>
            </w:tcBorders>
            <w:vAlign w:val="center"/>
            <w:hideMark/>
          </w:tcPr>
          <w:p w14:paraId="1AEC012F" w14:textId="77777777" w:rsidR="005F1859" w:rsidRPr="002A1D42" w:rsidRDefault="005F1859" w:rsidP="00EF5C9A">
            <w:pPr>
              <w:rPr>
                <w:rFonts w:cs="Times New Roman"/>
                <w:b/>
                <w:bCs/>
                <w:color w:val="000000"/>
                <w:sz w:val="20"/>
                <w:szCs w:val="20"/>
              </w:rPr>
            </w:pPr>
            <w:r w:rsidRPr="002A1D42">
              <w:rPr>
                <w:rFonts w:cs="Times New Roman"/>
                <w:b/>
                <w:bCs/>
                <w:color w:val="000000"/>
                <w:sz w:val="20"/>
                <w:szCs w:val="20"/>
              </w:rPr>
              <w:t> </w:t>
            </w:r>
          </w:p>
        </w:tc>
        <w:tc>
          <w:tcPr>
            <w:tcW w:w="1120" w:type="dxa"/>
            <w:tcBorders>
              <w:top w:val="nil"/>
              <w:left w:val="single" w:sz="4" w:space="0" w:color="auto"/>
              <w:bottom w:val="nil"/>
              <w:right w:val="single" w:sz="4" w:space="0" w:color="auto"/>
            </w:tcBorders>
            <w:noWrap/>
            <w:vAlign w:val="center"/>
            <w:hideMark/>
          </w:tcPr>
          <w:p w14:paraId="6AF62E5B" w14:textId="77777777" w:rsidR="005F1859" w:rsidRPr="002A1D42" w:rsidRDefault="005F1859" w:rsidP="00EF5C9A">
            <w:pPr>
              <w:jc w:val="left"/>
              <w:rPr>
                <w:rFonts w:ascii="Times New Roman" w:hAnsi="Times New Roman" w:cs="Times New Roman"/>
                <w:sz w:val="20"/>
                <w:szCs w:val="20"/>
              </w:rPr>
            </w:pPr>
          </w:p>
        </w:tc>
        <w:tc>
          <w:tcPr>
            <w:tcW w:w="1120" w:type="dxa"/>
            <w:tcBorders>
              <w:top w:val="nil"/>
              <w:left w:val="single" w:sz="4" w:space="0" w:color="auto"/>
              <w:bottom w:val="nil"/>
              <w:right w:val="single" w:sz="4" w:space="0" w:color="auto"/>
            </w:tcBorders>
            <w:noWrap/>
            <w:vAlign w:val="bottom"/>
            <w:hideMark/>
          </w:tcPr>
          <w:p w14:paraId="015D4170" w14:textId="77777777" w:rsidR="005F1859" w:rsidRPr="002A1D42" w:rsidRDefault="005F1859" w:rsidP="00EF5C9A">
            <w:pPr>
              <w:jc w:val="left"/>
              <w:rPr>
                <w:rFonts w:ascii="Times New Roman" w:hAnsi="Times New Roman" w:cs="Times New Roman"/>
                <w:sz w:val="20"/>
                <w:szCs w:val="20"/>
              </w:rPr>
            </w:pPr>
          </w:p>
        </w:tc>
        <w:tc>
          <w:tcPr>
            <w:tcW w:w="1120" w:type="dxa"/>
            <w:tcBorders>
              <w:top w:val="nil"/>
              <w:left w:val="single" w:sz="4" w:space="0" w:color="auto"/>
              <w:bottom w:val="nil"/>
              <w:right w:val="single" w:sz="4" w:space="0" w:color="auto"/>
            </w:tcBorders>
            <w:noWrap/>
            <w:vAlign w:val="bottom"/>
            <w:hideMark/>
          </w:tcPr>
          <w:p w14:paraId="71A41A36" w14:textId="77777777" w:rsidR="005F1859" w:rsidRPr="002A1D42" w:rsidRDefault="005F1859" w:rsidP="00EF5C9A">
            <w:pPr>
              <w:rPr>
                <w:rFonts w:cs="Times New Roman"/>
                <w:color w:val="000000"/>
                <w:sz w:val="20"/>
                <w:szCs w:val="20"/>
              </w:rPr>
            </w:pPr>
            <w:r w:rsidRPr="002A1D42">
              <w:rPr>
                <w:rFonts w:cs="Times New Roman"/>
                <w:color w:val="000000"/>
                <w:sz w:val="20"/>
                <w:szCs w:val="20"/>
              </w:rPr>
              <w:t> </w:t>
            </w:r>
          </w:p>
        </w:tc>
      </w:tr>
      <w:tr w:rsidR="005F1859" w14:paraId="5C01AE55" w14:textId="77777777" w:rsidTr="00EF5C9A">
        <w:trPr>
          <w:trHeight w:val="300"/>
        </w:trPr>
        <w:tc>
          <w:tcPr>
            <w:tcW w:w="5480" w:type="dxa"/>
            <w:tcBorders>
              <w:top w:val="nil"/>
              <w:left w:val="single" w:sz="4" w:space="0" w:color="auto"/>
              <w:bottom w:val="nil"/>
              <w:right w:val="single" w:sz="4" w:space="0" w:color="auto"/>
            </w:tcBorders>
            <w:vAlign w:val="center"/>
            <w:hideMark/>
          </w:tcPr>
          <w:p w14:paraId="567026DC" w14:textId="77777777" w:rsidR="005F1859" w:rsidRPr="002579F5" w:rsidRDefault="005F1859" w:rsidP="00EF5C9A">
            <w:pPr>
              <w:rPr>
                <w:rFonts w:cs="Times New Roman"/>
                <w:color w:val="000000"/>
                <w:sz w:val="20"/>
                <w:szCs w:val="20"/>
              </w:rPr>
            </w:pPr>
            <w:r w:rsidRPr="002579F5">
              <w:rPr>
                <w:rFonts w:cs="Times New Roman"/>
                <w:color w:val="000000"/>
                <w:sz w:val="20"/>
                <w:szCs w:val="20"/>
              </w:rPr>
              <w:t xml:space="preserve">Wage awards </w:t>
            </w:r>
          </w:p>
        </w:tc>
        <w:tc>
          <w:tcPr>
            <w:tcW w:w="1120" w:type="dxa"/>
            <w:tcBorders>
              <w:top w:val="nil"/>
              <w:left w:val="single" w:sz="4" w:space="0" w:color="auto"/>
              <w:bottom w:val="nil"/>
              <w:right w:val="single" w:sz="4" w:space="0" w:color="auto"/>
            </w:tcBorders>
            <w:noWrap/>
            <w:vAlign w:val="bottom"/>
            <w:hideMark/>
          </w:tcPr>
          <w:p w14:paraId="278F9858"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9.5</w:t>
            </w:r>
          </w:p>
        </w:tc>
        <w:tc>
          <w:tcPr>
            <w:tcW w:w="1120" w:type="dxa"/>
            <w:tcBorders>
              <w:top w:val="nil"/>
              <w:left w:val="single" w:sz="4" w:space="0" w:color="auto"/>
              <w:bottom w:val="nil"/>
              <w:right w:val="single" w:sz="4" w:space="0" w:color="auto"/>
            </w:tcBorders>
            <w:noWrap/>
            <w:vAlign w:val="bottom"/>
          </w:tcPr>
          <w:p w14:paraId="4AD43A51"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9.5</w:t>
            </w:r>
          </w:p>
        </w:tc>
        <w:tc>
          <w:tcPr>
            <w:tcW w:w="1120" w:type="dxa"/>
            <w:tcBorders>
              <w:top w:val="nil"/>
              <w:left w:val="single" w:sz="4" w:space="0" w:color="auto"/>
              <w:bottom w:val="nil"/>
              <w:right w:val="single" w:sz="4" w:space="0" w:color="auto"/>
            </w:tcBorders>
            <w:noWrap/>
            <w:vAlign w:val="bottom"/>
          </w:tcPr>
          <w:p w14:paraId="4ACE00CE"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9.5</w:t>
            </w:r>
          </w:p>
        </w:tc>
      </w:tr>
      <w:tr w:rsidR="005F1859" w14:paraId="3A08E814" w14:textId="77777777" w:rsidTr="00EF5C9A">
        <w:trPr>
          <w:trHeight w:val="300"/>
        </w:trPr>
        <w:tc>
          <w:tcPr>
            <w:tcW w:w="5480" w:type="dxa"/>
            <w:tcBorders>
              <w:top w:val="nil"/>
              <w:left w:val="single" w:sz="4" w:space="0" w:color="auto"/>
              <w:bottom w:val="nil"/>
              <w:right w:val="single" w:sz="4" w:space="0" w:color="auto"/>
            </w:tcBorders>
            <w:vAlign w:val="center"/>
            <w:hideMark/>
          </w:tcPr>
          <w:p w14:paraId="4789E85E" w14:textId="77777777" w:rsidR="005F1859" w:rsidRPr="002579F5" w:rsidRDefault="005F1859" w:rsidP="00EF5C9A">
            <w:pPr>
              <w:rPr>
                <w:rFonts w:cs="Times New Roman"/>
                <w:color w:val="000000"/>
                <w:sz w:val="20"/>
                <w:szCs w:val="20"/>
              </w:rPr>
            </w:pPr>
            <w:r w:rsidRPr="002579F5">
              <w:rPr>
                <w:rFonts w:cs="Times New Roman"/>
                <w:color w:val="000000"/>
                <w:sz w:val="20"/>
                <w:szCs w:val="20"/>
              </w:rPr>
              <w:t>A4C incremental drift</w:t>
            </w:r>
          </w:p>
        </w:tc>
        <w:tc>
          <w:tcPr>
            <w:tcW w:w="1120" w:type="dxa"/>
            <w:tcBorders>
              <w:top w:val="nil"/>
              <w:left w:val="single" w:sz="4" w:space="0" w:color="auto"/>
              <w:bottom w:val="nil"/>
              <w:right w:val="single" w:sz="4" w:space="0" w:color="auto"/>
            </w:tcBorders>
            <w:noWrap/>
            <w:vAlign w:val="bottom"/>
            <w:hideMark/>
          </w:tcPr>
          <w:p w14:paraId="10A430CC"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0.7</w:t>
            </w:r>
          </w:p>
        </w:tc>
        <w:tc>
          <w:tcPr>
            <w:tcW w:w="1120" w:type="dxa"/>
            <w:tcBorders>
              <w:top w:val="nil"/>
              <w:left w:val="single" w:sz="4" w:space="0" w:color="auto"/>
              <w:bottom w:val="nil"/>
              <w:right w:val="single" w:sz="4" w:space="0" w:color="auto"/>
            </w:tcBorders>
            <w:noWrap/>
            <w:vAlign w:val="bottom"/>
          </w:tcPr>
          <w:p w14:paraId="05F0C300"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0.7</w:t>
            </w:r>
          </w:p>
        </w:tc>
        <w:tc>
          <w:tcPr>
            <w:tcW w:w="1120" w:type="dxa"/>
            <w:tcBorders>
              <w:top w:val="nil"/>
              <w:left w:val="single" w:sz="4" w:space="0" w:color="auto"/>
              <w:bottom w:val="nil"/>
              <w:right w:val="single" w:sz="4" w:space="0" w:color="auto"/>
            </w:tcBorders>
            <w:noWrap/>
            <w:vAlign w:val="bottom"/>
          </w:tcPr>
          <w:p w14:paraId="00759605"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0.7</w:t>
            </w:r>
          </w:p>
        </w:tc>
      </w:tr>
      <w:tr w:rsidR="005F1859" w14:paraId="67BC7F42" w14:textId="77777777" w:rsidTr="00EF5C9A">
        <w:trPr>
          <w:trHeight w:val="300"/>
        </w:trPr>
        <w:tc>
          <w:tcPr>
            <w:tcW w:w="5480" w:type="dxa"/>
            <w:tcBorders>
              <w:top w:val="nil"/>
              <w:left w:val="single" w:sz="4" w:space="0" w:color="auto"/>
              <w:bottom w:val="nil"/>
              <w:right w:val="single" w:sz="4" w:space="0" w:color="auto"/>
            </w:tcBorders>
            <w:vAlign w:val="center"/>
          </w:tcPr>
          <w:p w14:paraId="02BC0BD5" w14:textId="77777777" w:rsidR="005F1859" w:rsidRPr="002579F5" w:rsidRDefault="005F1859" w:rsidP="00EF5C9A">
            <w:pPr>
              <w:rPr>
                <w:rFonts w:cs="Times New Roman"/>
                <w:color w:val="000000"/>
                <w:sz w:val="20"/>
                <w:szCs w:val="20"/>
              </w:rPr>
            </w:pPr>
            <w:r w:rsidRPr="002579F5">
              <w:rPr>
                <w:rFonts w:cs="Times New Roman"/>
                <w:color w:val="000000"/>
                <w:sz w:val="20"/>
                <w:szCs w:val="20"/>
              </w:rPr>
              <w:t>Medical and dental pay</w:t>
            </w:r>
          </w:p>
        </w:tc>
        <w:tc>
          <w:tcPr>
            <w:tcW w:w="1120" w:type="dxa"/>
            <w:tcBorders>
              <w:top w:val="nil"/>
              <w:left w:val="single" w:sz="4" w:space="0" w:color="auto"/>
              <w:bottom w:val="nil"/>
              <w:right w:val="single" w:sz="4" w:space="0" w:color="auto"/>
            </w:tcBorders>
            <w:noWrap/>
            <w:vAlign w:val="bottom"/>
          </w:tcPr>
          <w:p w14:paraId="031E8AAD"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3.0</w:t>
            </w:r>
          </w:p>
        </w:tc>
        <w:tc>
          <w:tcPr>
            <w:tcW w:w="1120" w:type="dxa"/>
            <w:tcBorders>
              <w:top w:val="nil"/>
              <w:left w:val="single" w:sz="4" w:space="0" w:color="auto"/>
              <w:bottom w:val="nil"/>
              <w:right w:val="single" w:sz="4" w:space="0" w:color="auto"/>
            </w:tcBorders>
            <w:noWrap/>
            <w:vAlign w:val="bottom"/>
          </w:tcPr>
          <w:p w14:paraId="45BACD57"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3.0</w:t>
            </w:r>
          </w:p>
        </w:tc>
        <w:tc>
          <w:tcPr>
            <w:tcW w:w="1120" w:type="dxa"/>
            <w:tcBorders>
              <w:top w:val="nil"/>
              <w:left w:val="single" w:sz="4" w:space="0" w:color="auto"/>
              <w:bottom w:val="nil"/>
              <w:right w:val="single" w:sz="4" w:space="0" w:color="auto"/>
            </w:tcBorders>
            <w:noWrap/>
            <w:vAlign w:val="bottom"/>
          </w:tcPr>
          <w:p w14:paraId="2A645FD0"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3.0</w:t>
            </w:r>
          </w:p>
        </w:tc>
      </w:tr>
      <w:tr w:rsidR="005F1859" w14:paraId="3757FDC6" w14:textId="77777777" w:rsidTr="00EF5C9A">
        <w:trPr>
          <w:trHeight w:val="300"/>
        </w:trPr>
        <w:tc>
          <w:tcPr>
            <w:tcW w:w="5480" w:type="dxa"/>
            <w:tcBorders>
              <w:top w:val="nil"/>
              <w:left w:val="single" w:sz="4" w:space="0" w:color="auto"/>
              <w:bottom w:val="nil"/>
              <w:right w:val="single" w:sz="4" w:space="0" w:color="auto"/>
            </w:tcBorders>
            <w:vAlign w:val="center"/>
            <w:hideMark/>
          </w:tcPr>
          <w:p w14:paraId="456AF8DE" w14:textId="77777777" w:rsidR="005F1859" w:rsidRPr="002579F5" w:rsidRDefault="005F1859" w:rsidP="00EF5C9A">
            <w:pPr>
              <w:rPr>
                <w:rFonts w:cs="Times New Roman"/>
                <w:color w:val="000000"/>
                <w:sz w:val="20"/>
                <w:szCs w:val="20"/>
              </w:rPr>
            </w:pPr>
            <w:r w:rsidRPr="002579F5">
              <w:rPr>
                <w:rFonts w:cs="Times New Roman"/>
                <w:color w:val="000000"/>
                <w:sz w:val="20"/>
                <w:szCs w:val="20"/>
              </w:rPr>
              <w:t>Medical and dental incremental drift</w:t>
            </w:r>
          </w:p>
        </w:tc>
        <w:tc>
          <w:tcPr>
            <w:tcW w:w="1120" w:type="dxa"/>
            <w:tcBorders>
              <w:top w:val="nil"/>
              <w:left w:val="single" w:sz="4" w:space="0" w:color="auto"/>
              <w:bottom w:val="nil"/>
              <w:right w:val="single" w:sz="4" w:space="0" w:color="auto"/>
            </w:tcBorders>
            <w:noWrap/>
            <w:vAlign w:val="bottom"/>
            <w:hideMark/>
          </w:tcPr>
          <w:p w14:paraId="33DA3A16"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0.3</w:t>
            </w:r>
          </w:p>
        </w:tc>
        <w:tc>
          <w:tcPr>
            <w:tcW w:w="1120" w:type="dxa"/>
            <w:tcBorders>
              <w:top w:val="nil"/>
              <w:left w:val="single" w:sz="4" w:space="0" w:color="auto"/>
              <w:bottom w:val="nil"/>
              <w:right w:val="single" w:sz="4" w:space="0" w:color="auto"/>
            </w:tcBorders>
            <w:noWrap/>
            <w:vAlign w:val="bottom"/>
          </w:tcPr>
          <w:p w14:paraId="55F324E0"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0.3</w:t>
            </w:r>
          </w:p>
        </w:tc>
        <w:tc>
          <w:tcPr>
            <w:tcW w:w="1120" w:type="dxa"/>
            <w:tcBorders>
              <w:top w:val="nil"/>
              <w:left w:val="single" w:sz="4" w:space="0" w:color="auto"/>
              <w:bottom w:val="nil"/>
              <w:right w:val="single" w:sz="4" w:space="0" w:color="auto"/>
            </w:tcBorders>
            <w:noWrap/>
            <w:vAlign w:val="bottom"/>
          </w:tcPr>
          <w:p w14:paraId="6BDA78C5"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0.3</w:t>
            </w:r>
          </w:p>
        </w:tc>
      </w:tr>
      <w:tr w:rsidR="005F1859" w14:paraId="4E237734" w14:textId="77777777" w:rsidTr="00EF5C9A">
        <w:trPr>
          <w:trHeight w:val="300"/>
        </w:trPr>
        <w:tc>
          <w:tcPr>
            <w:tcW w:w="5480" w:type="dxa"/>
            <w:tcBorders>
              <w:top w:val="nil"/>
              <w:left w:val="single" w:sz="4" w:space="0" w:color="auto"/>
              <w:bottom w:val="nil"/>
              <w:right w:val="single" w:sz="4" w:space="0" w:color="auto"/>
            </w:tcBorders>
            <w:vAlign w:val="center"/>
            <w:hideMark/>
          </w:tcPr>
          <w:p w14:paraId="45AF7776" w14:textId="77777777" w:rsidR="005F1859" w:rsidRPr="002579F5" w:rsidRDefault="005F1859" w:rsidP="00EF5C9A">
            <w:pPr>
              <w:rPr>
                <w:rFonts w:cs="Times New Roman"/>
                <w:color w:val="000000"/>
                <w:sz w:val="20"/>
                <w:szCs w:val="20"/>
              </w:rPr>
            </w:pPr>
            <w:r w:rsidRPr="002579F5">
              <w:rPr>
                <w:rFonts w:cs="Times New Roman"/>
                <w:color w:val="000000"/>
                <w:sz w:val="20"/>
                <w:szCs w:val="20"/>
              </w:rPr>
              <w:t>Consultant commitment awards</w:t>
            </w:r>
          </w:p>
        </w:tc>
        <w:tc>
          <w:tcPr>
            <w:tcW w:w="1120" w:type="dxa"/>
            <w:tcBorders>
              <w:top w:val="nil"/>
              <w:left w:val="single" w:sz="4" w:space="0" w:color="auto"/>
              <w:bottom w:val="nil"/>
              <w:right w:val="single" w:sz="4" w:space="0" w:color="auto"/>
            </w:tcBorders>
            <w:noWrap/>
            <w:vAlign w:val="bottom"/>
            <w:hideMark/>
          </w:tcPr>
          <w:p w14:paraId="7786BE3C"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0.3</w:t>
            </w:r>
          </w:p>
        </w:tc>
        <w:tc>
          <w:tcPr>
            <w:tcW w:w="1120" w:type="dxa"/>
            <w:tcBorders>
              <w:top w:val="nil"/>
              <w:left w:val="single" w:sz="4" w:space="0" w:color="auto"/>
              <w:bottom w:val="nil"/>
              <w:right w:val="single" w:sz="4" w:space="0" w:color="auto"/>
            </w:tcBorders>
            <w:noWrap/>
            <w:vAlign w:val="bottom"/>
          </w:tcPr>
          <w:p w14:paraId="073CF1DF"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0.3</w:t>
            </w:r>
          </w:p>
        </w:tc>
        <w:tc>
          <w:tcPr>
            <w:tcW w:w="1120" w:type="dxa"/>
            <w:tcBorders>
              <w:top w:val="nil"/>
              <w:left w:val="single" w:sz="4" w:space="0" w:color="auto"/>
              <w:bottom w:val="nil"/>
              <w:right w:val="single" w:sz="4" w:space="0" w:color="auto"/>
            </w:tcBorders>
            <w:noWrap/>
            <w:vAlign w:val="bottom"/>
          </w:tcPr>
          <w:p w14:paraId="4817A50B"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0.3</w:t>
            </w:r>
          </w:p>
        </w:tc>
      </w:tr>
      <w:tr w:rsidR="005F1859" w14:paraId="4C70CA2B" w14:textId="77777777" w:rsidTr="00EF5C9A">
        <w:trPr>
          <w:trHeight w:val="300"/>
        </w:trPr>
        <w:tc>
          <w:tcPr>
            <w:tcW w:w="5480" w:type="dxa"/>
            <w:tcBorders>
              <w:top w:val="nil"/>
              <w:left w:val="single" w:sz="4" w:space="0" w:color="auto"/>
              <w:bottom w:val="nil"/>
              <w:right w:val="single" w:sz="4" w:space="0" w:color="auto"/>
            </w:tcBorders>
            <w:vAlign w:val="center"/>
          </w:tcPr>
          <w:p w14:paraId="41A0E86C" w14:textId="77777777" w:rsidR="005F1859" w:rsidRPr="002579F5" w:rsidRDefault="005F1859" w:rsidP="00EF5C9A">
            <w:pPr>
              <w:rPr>
                <w:rFonts w:cs="Times New Roman"/>
                <w:color w:val="000000"/>
                <w:sz w:val="20"/>
                <w:szCs w:val="20"/>
              </w:rPr>
            </w:pPr>
            <w:r w:rsidRPr="002579F5">
              <w:rPr>
                <w:rFonts w:cs="Times New Roman"/>
                <w:color w:val="000000"/>
                <w:sz w:val="20"/>
                <w:szCs w:val="20"/>
              </w:rPr>
              <w:t>Estimated inflation on external agency costs @</w:t>
            </w:r>
            <w:r>
              <w:rPr>
                <w:rFonts w:cs="Times New Roman"/>
                <w:color w:val="000000"/>
                <w:sz w:val="20"/>
                <w:szCs w:val="20"/>
              </w:rPr>
              <w:t>1.5-</w:t>
            </w:r>
            <w:r w:rsidRPr="002579F5">
              <w:rPr>
                <w:rFonts w:cs="Times New Roman"/>
                <w:color w:val="000000"/>
                <w:sz w:val="20"/>
                <w:szCs w:val="20"/>
              </w:rPr>
              <w:t>2%</w:t>
            </w:r>
          </w:p>
        </w:tc>
        <w:tc>
          <w:tcPr>
            <w:tcW w:w="1120" w:type="dxa"/>
            <w:tcBorders>
              <w:top w:val="nil"/>
              <w:left w:val="single" w:sz="4" w:space="0" w:color="auto"/>
              <w:bottom w:val="nil"/>
              <w:right w:val="single" w:sz="4" w:space="0" w:color="auto"/>
            </w:tcBorders>
            <w:noWrap/>
            <w:vAlign w:val="bottom"/>
          </w:tcPr>
          <w:p w14:paraId="55014B9A"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w:t>
            </w:r>
            <w:r>
              <w:rPr>
                <w:rFonts w:cs="Times New Roman"/>
                <w:color w:val="000000"/>
                <w:sz w:val="20"/>
                <w:szCs w:val="20"/>
              </w:rPr>
              <w:t>5</w:t>
            </w:r>
          </w:p>
        </w:tc>
        <w:tc>
          <w:tcPr>
            <w:tcW w:w="1120" w:type="dxa"/>
            <w:tcBorders>
              <w:top w:val="nil"/>
              <w:left w:val="single" w:sz="4" w:space="0" w:color="auto"/>
              <w:bottom w:val="nil"/>
              <w:right w:val="single" w:sz="4" w:space="0" w:color="auto"/>
            </w:tcBorders>
            <w:noWrap/>
            <w:vAlign w:val="bottom"/>
          </w:tcPr>
          <w:p w14:paraId="2DBE4104"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w:t>
            </w:r>
            <w:r>
              <w:rPr>
                <w:rFonts w:cs="Times New Roman"/>
                <w:color w:val="000000"/>
                <w:sz w:val="20"/>
                <w:szCs w:val="20"/>
              </w:rPr>
              <w:t>5</w:t>
            </w:r>
          </w:p>
        </w:tc>
        <w:tc>
          <w:tcPr>
            <w:tcW w:w="1120" w:type="dxa"/>
            <w:tcBorders>
              <w:top w:val="nil"/>
              <w:left w:val="single" w:sz="4" w:space="0" w:color="auto"/>
              <w:bottom w:val="nil"/>
              <w:right w:val="single" w:sz="4" w:space="0" w:color="auto"/>
            </w:tcBorders>
            <w:noWrap/>
            <w:vAlign w:val="bottom"/>
          </w:tcPr>
          <w:p w14:paraId="76D109C5" w14:textId="77777777" w:rsidR="005F1859" w:rsidRPr="002579F5" w:rsidRDefault="005F1859" w:rsidP="00EF5C9A">
            <w:pPr>
              <w:jc w:val="center"/>
              <w:rPr>
                <w:rFonts w:cs="Times New Roman"/>
                <w:color w:val="000000"/>
                <w:sz w:val="20"/>
                <w:szCs w:val="20"/>
              </w:rPr>
            </w:pPr>
            <w:r w:rsidRPr="002579F5">
              <w:rPr>
                <w:rFonts w:cs="Times New Roman"/>
                <w:color w:val="000000"/>
                <w:sz w:val="20"/>
                <w:szCs w:val="20"/>
              </w:rPr>
              <w:t>0.8</w:t>
            </w:r>
          </w:p>
        </w:tc>
      </w:tr>
      <w:tr w:rsidR="005F1859" w14:paraId="11051981" w14:textId="77777777" w:rsidTr="00EF5C9A">
        <w:trPr>
          <w:trHeight w:val="300"/>
        </w:trPr>
        <w:tc>
          <w:tcPr>
            <w:tcW w:w="5480" w:type="dxa"/>
            <w:tcBorders>
              <w:top w:val="single" w:sz="4" w:space="0" w:color="auto"/>
              <w:left w:val="single" w:sz="4" w:space="0" w:color="auto"/>
              <w:bottom w:val="single" w:sz="4" w:space="0" w:color="auto"/>
              <w:right w:val="single" w:sz="4" w:space="0" w:color="auto"/>
            </w:tcBorders>
            <w:vAlign w:val="center"/>
            <w:hideMark/>
          </w:tcPr>
          <w:p w14:paraId="1E08BA5A" w14:textId="77777777" w:rsidR="005F1859" w:rsidRPr="002579F5" w:rsidRDefault="005F1859" w:rsidP="00EF5C9A">
            <w:pPr>
              <w:rPr>
                <w:b/>
                <w:bCs/>
                <w:color w:val="000000"/>
                <w:sz w:val="20"/>
                <w:szCs w:val="20"/>
              </w:rPr>
            </w:pPr>
            <w:r w:rsidRPr="002579F5">
              <w:rPr>
                <w:b/>
                <w:bCs/>
                <w:color w:val="000000"/>
                <w:sz w:val="20"/>
                <w:szCs w:val="20"/>
              </w:rPr>
              <w:t>Total</w:t>
            </w:r>
          </w:p>
        </w:tc>
        <w:tc>
          <w:tcPr>
            <w:tcW w:w="1120" w:type="dxa"/>
            <w:tcBorders>
              <w:top w:val="single" w:sz="4" w:space="0" w:color="auto"/>
              <w:left w:val="single" w:sz="4" w:space="0" w:color="auto"/>
              <w:bottom w:val="single" w:sz="4" w:space="0" w:color="auto"/>
              <w:right w:val="single" w:sz="4" w:space="0" w:color="auto"/>
            </w:tcBorders>
            <w:noWrap/>
            <w:vAlign w:val="bottom"/>
            <w:hideMark/>
          </w:tcPr>
          <w:p w14:paraId="4FE1C34B" w14:textId="77777777" w:rsidR="005F1859" w:rsidRPr="002579F5" w:rsidRDefault="005F1859" w:rsidP="00EF5C9A">
            <w:pPr>
              <w:jc w:val="center"/>
              <w:rPr>
                <w:b/>
                <w:bCs/>
                <w:color w:val="000000"/>
                <w:sz w:val="20"/>
                <w:szCs w:val="20"/>
              </w:rPr>
            </w:pPr>
            <w:r w:rsidRPr="002579F5">
              <w:rPr>
                <w:b/>
                <w:bCs/>
                <w:color w:val="000000"/>
                <w:sz w:val="20"/>
                <w:szCs w:val="20"/>
              </w:rPr>
              <w:t>14.</w:t>
            </w:r>
            <w:r>
              <w:rPr>
                <w:b/>
                <w:bCs/>
                <w:color w:val="000000"/>
                <w:sz w:val="20"/>
                <w:szCs w:val="20"/>
              </w:rPr>
              <w:t>3</w:t>
            </w:r>
          </w:p>
        </w:tc>
        <w:tc>
          <w:tcPr>
            <w:tcW w:w="1120" w:type="dxa"/>
            <w:tcBorders>
              <w:top w:val="single" w:sz="4" w:space="0" w:color="auto"/>
              <w:left w:val="single" w:sz="4" w:space="0" w:color="auto"/>
              <w:bottom w:val="single" w:sz="4" w:space="0" w:color="auto"/>
              <w:right w:val="single" w:sz="4" w:space="0" w:color="auto"/>
            </w:tcBorders>
            <w:noWrap/>
            <w:vAlign w:val="bottom"/>
          </w:tcPr>
          <w:p w14:paraId="230E01B8" w14:textId="77777777" w:rsidR="005F1859" w:rsidRPr="002579F5" w:rsidRDefault="005F1859" w:rsidP="00EF5C9A">
            <w:pPr>
              <w:jc w:val="center"/>
              <w:rPr>
                <w:b/>
                <w:bCs/>
                <w:color w:val="000000"/>
                <w:sz w:val="20"/>
                <w:szCs w:val="20"/>
              </w:rPr>
            </w:pPr>
            <w:r w:rsidRPr="002579F5">
              <w:rPr>
                <w:b/>
                <w:bCs/>
                <w:color w:val="000000"/>
                <w:sz w:val="20"/>
                <w:szCs w:val="20"/>
              </w:rPr>
              <w:t>1</w:t>
            </w:r>
            <w:r>
              <w:rPr>
                <w:b/>
                <w:bCs/>
                <w:color w:val="000000"/>
                <w:sz w:val="20"/>
                <w:szCs w:val="20"/>
              </w:rPr>
              <w:t>4.3</w:t>
            </w:r>
          </w:p>
        </w:tc>
        <w:tc>
          <w:tcPr>
            <w:tcW w:w="1120" w:type="dxa"/>
            <w:tcBorders>
              <w:top w:val="single" w:sz="4" w:space="0" w:color="auto"/>
              <w:left w:val="single" w:sz="4" w:space="0" w:color="auto"/>
              <w:bottom w:val="single" w:sz="4" w:space="0" w:color="auto"/>
              <w:right w:val="single" w:sz="4" w:space="0" w:color="auto"/>
            </w:tcBorders>
            <w:noWrap/>
            <w:vAlign w:val="bottom"/>
          </w:tcPr>
          <w:p w14:paraId="6B64B1C7" w14:textId="77777777" w:rsidR="005F1859" w:rsidRPr="002579F5" w:rsidRDefault="005F1859" w:rsidP="00EF5C9A">
            <w:pPr>
              <w:jc w:val="center"/>
              <w:rPr>
                <w:b/>
                <w:bCs/>
                <w:color w:val="000000"/>
                <w:sz w:val="20"/>
                <w:szCs w:val="20"/>
              </w:rPr>
            </w:pPr>
            <w:r w:rsidRPr="002579F5">
              <w:rPr>
                <w:b/>
                <w:bCs/>
                <w:color w:val="000000"/>
                <w:sz w:val="20"/>
                <w:szCs w:val="20"/>
              </w:rPr>
              <w:t>14.6</w:t>
            </w:r>
          </w:p>
        </w:tc>
      </w:tr>
    </w:tbl>
    <w:p w14:paraId="0BB0273C" w14:textId="77777777" w:rsidR="005F1859" w:rsidRDefault="005F1859" w:rsidP="005F1859"/>
    <w:p w14:paraId="7FDDD334" w14:textId="77777777" w:rsidR="005F1859" w:rsidRDefault="005F1859" w:rsidP="005F1859">
      <w:r w:rsidRPr="00176626">
        <w:t xml:space="preserve">Pay cost pressures have been assessed to remain </w:t>
      </w:r>
      <w:r>
        <w:t xml:space="preserve">broadly </w:t>
      </w:r>
      <w:r w:rsidRPr="00176626">
        <w:t>stable o</w:t>
      </w:r>
      <w:r>
        <w:t>ver the three years of the plan.</w:t>
      </w:r>
    </w:p>
    <w:p w14:paraId="7BFC6ABF" w14:textId="77777777" w:rsidR="005F1859" w:rsidRDefault="005F1859" w:rsidP="005F1859">
      <w:r>
        <w:br w:type="page"/>
      </w:r>
    </w:p>
    <w:p w14:paraId="1D982124" w14:textId="77777777" w:rsidR="005F1859" w:rsidRPr="004A3885" w:rsidRDefault="005F1859" w:rsidP="005F1859">
      <w:pPr>
        <w:pStyle w:val="Heading3"/>
        <w:ind w:left="1146" w:hanging="720"/>
      </w:pPr>
      <w:r w:rsidRPr="004A3885">
        <w:lastRenderedPageBreak/>
        <w:t>Continuing Health Care (CHC) and NHS Funded Nursing Care (FNC)</w:t>
      </w:r>
    </w:p>
    <w:p w14:paraId="703C3060" w14:textId="77777777" w:rsidR="005F1859" w:rsidRDefault="005F1859" w:rsidP="005F1859">
      <w:r w:rsidRPr="00FB75DD">
        <w:t xml:space="preserve">Cwm Taf </w:t>
      </w:r>
      <w:r>
        <w:t xml:space="preserve">Morgannwg </w:t>
      </w:r>
      <w:r w:rsidRPr="00FB75DD">
        <w:t>currently spend</w:t>
      </w:r>
      <w:r>
        <w:t>s</w:t>
      </w:r>
      <w:r w:rsidRPr="00FB75DD">
        <w:t xml:space="preserve"> circa £50m per annum on external CHC placements.</w:t>
      </w:r>
      <w:r>
        <w:t xml:space="preserve"> </w:t>
      </w:r>
      <w:r w:rsidRPr="00FB75DD">
        <w:t xml:space="preserve"> The anticipated cost increases for each year of the </w:t>
      </w:r>
      <w:r>
        <w:t>p</w:t>
      </w:r>
      <w:r w:rsidRPr="00FB75DD">
        <w:t xml:space="preserve">lan have been based on average price inflation of circa </w:t>
      </w:r>
      <w:r>
        <w:t>2.5% per annum (£1.2</w:t>
      </w:r>
      <w:r w:rsidRPr="00FB75DD">
        <w:t xml:space="preserve">m) and volume growth of circa </w:t>
      </w:r>
      <w:r>
        <w:t>2.5</w:t>
      </w:r>
      <w:r w:rsidRPr="00FB75DD">
        <w:t>%</w:t>
      </w:r>
      <w:r>
        <w:t xml:space="preserve"> per annum </w:t>
      </w:r>
      <w:r w:rsidRPr="00FB75DD">
        <w:t>(£1.</w:t>
      </w:r>
      <w:r>
        <w:t>2</w:t>
      </w:r>
      <w:r w:rsidRPr="00FB75DD">
        <w:t>m)</w:t>
      </w:r>
      <w:r>
        <w:t>.  The</w:t>
      </w:r>
      <w:r w:rsidRPr="00FB75DD">
        <w:t xml:space="preserve"> </w:t>
      </w:r>
      <w:r>
        <w:t>p</w:t>
      </w:r>
      <w:r w:rsidRPr="00FB75DD">
        <w:t>lan also includes £0.3m per annum for NHSFNC price inflation.</w:t>
      </w:r>
    </w:p>
    <w:p w14:paraId="5018CBF5" w14:textId="77777777" w:rsidR="005F1859" w:rsidRPr="002E4AC2" w:rsidRDefault="005F1859" w:rsidP="005F1859">
      <w:pPr>
        <w:pStyle w:val="Heading3"/>
        <w:ind w:left="1146" w:hanging="720"/>
      </w:pPr>
      <w:r>
        <w:t>Non Pay I</w:t>
      </w:r>
      <w:r w:rsidRPr="002E4AC2">
        <w:t>nflation</w:t>
      </w:r>
    </w:p>
    <w:p w14:paraId="62556439" w14:textId="77777777" w:rsidR="005F1859" w:rsidRPr="00CB01A3" w:rsidRDefault="005F1859" w:rsidP="005F1859">
      <w:r w:rsidRPr="00B47C36">
        <w:t>As at November 2019 the consumer price index (CPI) was reporting 1.5% inflation with the retail price index reporting 2.1% inflation (RPI).</w:t>
      </w:r>
      <w:r>
        <w:t xml:space="preserve"> </w:t>
      </w:r>
      <w:r w:rsidRPr="00B47C36">
        <w:t xml:space="preserve"> The plan includes a non-pay inflation estimate of £2.2m (circa 2.0%)</w:t>
      </w:r>
      <w:r>
        <w:t xml:space="preserve"> per annum for each of the 3 years. </w:t>
      </w:r>
      <w:r w:rsidRPr="00B47C36">
        <w:t xml:space="preserve"> No material</w:t>
      </w:r>
      <w:r w:rsidRPr="00CB01A3">
        <w:t xml:space="preserve"> allowance has been made for the potential price rises resulting from changes in exchange rates or the impact of Brexit which represents a potential risk to the </w:t>
      </w:r>
      <w:r>
        <w:t>p</w:t>
      </w:r>
      <w:r w:rsidRPr="00CB01A3">
        <w:t xml:space="preserve">lan.  </w:t>
      </w:r>
    </w:p>
    <w:p w14:paraId="00F2BFF8" w14:textId="77777777" w:rsidR="005F1859" w:rsidRPr="005D244A" w:rsidRDefault="005F1859" w:rsidP="005F1859">
      <w:pPr>
        <w:pStyle w:val="Heading3"/>
        <w:ind w:left="1146" w:hanging="720"/>
      </w:pPr>
      <w:r>
        <w:t>LTA I</w:t>
      </w:r>
      <w:r w:rsidRPr="005D244A">
        <w:t>nflation</w:t>
      </w:r>
    </w:p>
    <w:p w14:paraId="7BBB37BA" w14:textId="77777777" w:rsidR="005F1859" w:rsidRPr="007C0D75" w:rsidRDefault="005F1859" w:rsidP="005F1859">
      <w:r w:rsidRPr="007C0D75">
        <w:t xml:space="preserve">Provision has been made for a 2% per annum tariff increase on all income and expenditure LTAs over the three years of the </w:t>
      </w:r>
      <w:r>
        <w:t>p</w:t>
      </w:r>
      <w:r w:rsidRPr="007C0D75">
        <w:t>lan at a net cost of £2.6m per annum.</w:t>
      </w:r>
      <w:r>
        <w:t xml:space="preserve"> </w:t>
      </w:r>
      <w:r w:rsidRPr="007C0D75">
        <w:t xml:space="preserve"> </w:t>
      </w:r>
      <w:r>
        <w:t>Provision has also been made for the impact of A4C pay awards on LTAs at a net cost of £0.7m per annum.</w:t>
      </w:r>
    </w:p>
    <w:p w14:paraId="5855C1F9" w14:textId="77777777" w:rsidR="005F1859" w:rsidRPr="005D244A" w:rsidRDefault="005F1859" w:rsidP="005F1859">
      <w:pPr>
        <w:pStyle w:val="Heading3"/>
        <w:ind w:left="1146" w:hanging="720"/>
      </w:pPr>
      <w:r>
        <w:t>Primary Care P</w:t>
      </w:r>
      <w:r w:rsidRPr="005D244A">
        <w:t>rescribing</w:t>
      </w:r>
    </w:p>
    <w:p w14:paraId="6CFF45F2" w14:textId="77777777" w:rsidR="005F1859" w:rsidRDefault="005F1859" w:rsidP="005F1859">
      <w:r w:rsidRPr="0077298C">
        <w:t>The financial plan assumes growth in primary care prescribing costs of £</w:t>
      </w:r>
      <w:r>
        <w:t>2.3m</w:t>
      </w:r>
      <w:r w:rsidRPr="0077298C">
        <w:t xml:space="preserve"> </w:t>
      </w:r>
      <w:r>
        <w:t xml:space="preserve">for 2020/21 which is based on the estimated growth provided by the Medicines Management directorate. </w:t>
      </w:r>
      <w:r w:rsidRPr="0077298C">
        <w:t xml:space="preserve"> This </w:t>
      </w:r>
      <w:r>
        <w:t xml:space="preserve">annual </w:t>
      </w:r>
      <w:r w:rsidRPr="0077298C">
        <w:t>growth is matched with a corresponding savings target of £</w:t>
      </w:r>
      <w:r>
        <w:t xml:space="preserve">2.3m for 2020/21 </w:t>
      </w:r>
      <w:r w:rsidRPr="0077298C">
        <w:t xml:space="preserve">which reflects the planning assumption that growth will be managed through a combination of directorate savings plans and price reductions on Category M drugs. </w:t>
      </w:r>
    </w:p>
    <w:p w14:paraId="182B429D" w14:textId="77777777" w:rsidR="005F1859" w:rsidRDefault="005F1859" w:rsidP="005F1859"/>
    <w:p w14:paraId="4EA73183" w14:textId="77777777" w:rsidR="005F1859" w:rsidRDefault="005F1859" w:rsidP="005F1859">
      <w:r>
        <w:t>The financial plan assumes annual growth of £2.3m per annum for year 2 and year 3 of the Plan, matched by a corresponding savings target for the same value.</w:t>
      </w:r>
    </w:p>
    <w:p w14:paraId="7F235C6E" w14:textId="77777777" w:rsidR="005F1859" w:rsidRPr="005D244A" w:rsidRDefault="005F1859" w:rsidP="005F1859">
      <w:pPr>
        <w:pStyle w:val="Heading3"/>
        <w:ind w:left="1146" w:hanging="720"/>
      </w:pPr>
      <w:r w:rsidRPr="005D244A">
        <w:t>Community Pharmacy</w:t>
      </w:r>
    </w:p>
    <w:p w14:paraId="0A9DF31B" w14:textId="77777777" w:rsidR="005F1859" w:rsidRPr="00CB01A3" w:rsidRDefault="005F1859" w:rsidP="005F1859">
      <w:r w:rsidRPr="00CB01A3">
        <w:t xml:space="preserve">The financial plan does not make any provision for growth in community pharmacy expenditure costs over the next three years. </w:t>
      </w:r>
    </w:p>
    <w:p w14:paraId="6884121F" w14:textId="77777777" w:rsidR="005F1859" w:rsidRPr="005D244A" w:rsidRDefault="005F1859" w:rsidP="005F1859">
      <w:pPr>
        <w:pStyle w:val="Heading3"/>
        <w:ind w:left="1146" w:hanging="720"/>
      </w:pPr>
      <w:r>
        <w:t>NICE and New H</w:t>
      </w:r>
      <w:r w:rsidRPr="005D244A">
        <w:t xml:space="preserve">igh </w:t>
      </w:r>
      <w:r>
        <w:t>Cost Drugs (I</w:t>
      </w:r>
      <w:r w:rsidRPr="005D244A">
        <w:t xml:space="preserve">ncluding Hep C) </w:t>
      </w:r>
    </w:p>
    <w:p w14:paraId="2DB81BC2" w14:textId="77777777" w:rsidR="005F1859" w:rsidRDefault="005F1859" w:rsidP="005F1859">
      <w:r w:rsidRPr="00CB01A3">
        <w:t xml:space="preserve">The cost of NICE technical appraisals and nationally adopted high cost drugs has been a significant cost pressure in recent years. </w:t>
      </w:r>
      <w:r>
        <w:t xml:space="preserve">The latest planning assumption is </w:t>
      </w:r>
      <w:r w:rsidRPr="00CB01A3">
        <w:t>an annual increase of £</w:t>
      </w:r>
      <w:r>
        <w:t xml:space="preserve">3.5m per annum for each of the 3 years. This includes: </w:t>
      </w:r>
    </w:p>
    <w:p w14:paraId="0B0DBBEB" w14:textId="77777777" w:rsidR="005F1859" w:rsidRPr="00640A72" w:rsidRDefault="005F1859" w:rsidP="005F1859">
      <w:pPr>
        <w:pStyle w:val="NormalBullet"/>
        <w:numPr>
          <w:ilvl w:val="0"/>
          <w:numId w:val="24"/>
        </w:numPr>
        <w:ind w:left="357" w:hanging="357"/>
      </w:pPr>
      <w:r w:rsidRPr="00640A72">
        <w:t xml:space="preserve">Internal NICE growth </w:t>
      </w:r>
      <w:r>
        <w:t xml:space="preserve">within CTM </w:t>
      </w:r>
      <w:r w:rsidRPr="00640A72">
        <w:t xml:space="preserve"> (£</w:t>
      </w:r>
      <w:r>
        <w:t>2.0m</w:t>
      </w:r>
      <w:r w:rsidRPr="00640A72">
        <w:t>)</w:t>
      </w:r>
    </w:p>
    <w:p w14:paraId="28EEE311" w14:textId="77777777" w:rsidR="005F1859" w:rsidRDefault="005F1859" w:rsidP="005F1859">
      <w:pPr>
        <w:pStyle w:val="NormalBullet"/>
        <w:numPr>
          <w:ilvl w:val="0"/>
          <w:numId w:val="24"/>
        </w:numPr>
        <w:ind w:left="357" w:hanging="357"/>
      </w:pPr>
      <w:r w:rsidRPr="00640A72">
        <w:t>Anticipated financial impact of growth in NICE and other high cost drugs for C</w:t>
      </w:r>
      <w:r>
        <w:t xml:space="preserve">TM </w:t>
      </w:r>
      <w:r w:rsidRPr="00640A72">
        <w:t>residents at Velindre Trust and other Health Boards (£1.</w:t>
      </w:r>
      <w:r>
        <w:t>5</w:t>
      </w:r>
      <w:r w:rsidRPr="00640A72">
        <w:t>m).</w:t>
      </w:r>
    </w:p>
    <w:p w14:paraId="6F89BB98" w14:textId="77777777" w:rsidR="005F1859" w:rsidRDefault="005F1859" w:rsidP="005F1859">
      <w:pPr>
        <w:pStyle w:val="NormalBullet"/>
        <w:numPr>
          <w:ilvl w:val="0"/>
          <w:numId w:val="0"/>
        </w:numPr>
      </w:pPr>
    </w:p>
    <w:p w14:paraId="11EEADCF" w14:textId="77777777" w:rsidR="005F1859" w:rsidRPr="00A55881" w:rsidRDefault="005F1859" w:rsidP="005F1859">
      <w:pPr>
        <w:pStyle w:val="NormalBullet"/>
        <w:numPr>
          <w:ilvl w:val="0"/>
          <w:numId w:val="0"/>
        </w:numPr>
      </w:pPr>
      <w:r w:rsidRPr="00A55881">
        <w:t>The internal NICE growth estimate within CTM includes provision for the following:</w:t>
      </w:r>
    </w:p>
    <w:p w14:paraId="0C8E8DC8" w14:textId="77777777" w:rsidR="005F1859" w:rsidRDefault="005F1859" w:rsidP="005F1859">
      <w:pPr>
        <w:pStyle w:val="NormalBullet"/>
        <w:numPr>
          <w:ilvl w:val="0"/>
          <w:numId w:val="24"/>
        </w:numPr>
        <w:ind w:left="357" w:hanging="357"/>
      </w:pPr>
      <w:r>
        <w:t>Growth on existing NICE ( based on average growth over the past 3 years) - £0.5m</w:t>
      </w:r>
    </w:p>
    <w:p w14:paraId="53E1F23E" w14:textId="77777777" w:rsidR="005F1859" w:rsidRDefault="005F1859" w:rsidP="005F1859">
      <w:pPr>
        <w:pStyle w:val="NormalBullet"/>
        <w:numPr>
          <w:ilvl w:val="0"/>
          <w:numId w:val="24"/>
        </w:numPr>
        <w:ind w:left="357" w:hanging="357"/>
      </w:pPr>
      <w:r>
        <w:t>FYE of Daratmumab business case - £0.5m</w:t>
      </w:r>
    </w:p>
    <w:p w14:paraId="1E172465" w14:textId="77777777" w:rsidR="005F1859" w:rsidRPr="00640A72" w:rsidRDefault="005F1859" w:rsidP="005F1859">
      <w:pPr>
        <w:pStyle w:val="NormalBullet"/>
        <w:numPr>
          <w:ilvl w:val="0"/>
          <w:numId w:val="24"/>
        </w:numPr>
        <w:ind w:left="357" w:hanging="357"/>
      </w:pPr>
      <w:r>
        <w:t>Estimated part year effect of new NICE announcements in 20/21-  £1m</w:t>
      </w:r>
    </w:p>
    <w:p w14:paraId="78DBF16F" w14:textId="77777777" w:rsidR="005F1859" w:rsidRPr="005D244A" w:rsidRDefault="005F1859" w:rsidP="005F1859">
      <w:pPr>
        <w:pStyle w:val="Heading3"/>
        <w:ind w:left="1146" w:hanging="720"/>
      </w:pPr>
      <w:r w:rsidRPr="005D244A">
        <w:t>Loc</w:t>
      </w:r>
      <w:r>
        <w:t>al C</w:t>
      </w:r>
      <w:r w:rsidRPr="005D244A">
        <w:t xml:space="preserve">ost, </w:t>
      </w:r>
      <w:r>
        <w:t>Demand and Service Pr</w:t>
      </w:r>
      <w:r w:rsidRPr="005D244A">
        <w:t xml:space="preserve">essures </w:t>
      </w:r>
    </w:p>
    <w:p w14:paraId="28CA18C0" w14:textId="77777777" w:rsidR="005F1859" w:rsidRDefault="005F1859" w:rsidP="005F1859">
      <w:r w:rsidRPr="007E11D1">
        <w:t>A £</w:t>
      </w:r>
      <w:r>
        <w:t>5.5m</w:t>
      </w:r>
      <w:r w:rsidRPr="007E11D1">
        <w:t xml:space="preserve"> provision has been made in the financial plan for 20</w:t>
      </w:r>
      <w:r>
        <w:t>20</w:t>
      </w:r>
      <w:r w:rsidRPr="007E11D1">
        <w:t>/2</w:t>
      </w:r>
      <w:r>
        <w:t>1</w:t>
      </w:r>
      <w:r w:rsidRPr="007E11D1">
        <w:t xml:space="preserve"> to cover local cost, demand and service pressures.</w:t>
      </w:r>
      <w:r>
        <w:t xml:space="preserve"> </w:t>
      </w:r>
      <w:r w:rsidRPr="007E11D1">
        <w:t>The key areas are summarised below:</w:t>
      </w:r>
    </w:p>
    <w:p w14:paraId="6C24471A" w14:textId="77777777" w:rsidR="005F1859" w:rsidRDefault="005F1859" w:rsidP="005F1859"/>
    <w:tbl>
      <w:tblPr>
        <w:tblStyle w:val="TableGrid"/>
        <w:tblW w:w="8848" w:type="dxa"/>
        <w:jc w:val="center"/>
        <w:tblLook w:val="04A0" w:firstRow="1" w:lastRow="0" w:firstColumn="1" w:lastColumn="0" w:noHBand="0" w:noVBand="1"/>
      </w:tblPr>
      <w:tblGrid>
        <w:gridCol w:w="4966"/>
        <w:gridCol w:w="1261"/>
        <w:gridCol w:w="1261"/>
        <w:gridCol w:w="1360"/>
      </w:tblGrid>
      <w:tr w:rsidR="005F1859" w:rsidRPr="00113F86" w14:paraId="68D762BC" w14:textId="77777777" w:rsidTr="00EF5C9A">
        <w:trPr>
          <w:trHeight w:val="533"/>
          <w:jc w:val="center"/>
        </w:trPr>
        <w:tc>
          <w:tcPr>
            <w:tcW w:w="496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46C8A9FB" w14:textId="77777777" w:rsidR="005F1859" w:rsidRPr="00113F86" w:rsidRDefault="005F1859" w:rsidP="00EF5C9A">
            <w:pPr>
              <w:rPr>
                <w:rFonts w:cs="Arial"/>
                <w:b/>
              </w:rPr>
            </w:pPr>
          </w:p>
          <w:p w14:paraId="1B2DCDA4" w14:textId="77777777" w:rsidR="005F1859" w:rsidRPr="00113F86" w:rsidRDefault="005F1859" w:rsidP="00EF5C9A">
            <w:pPr>
              <w:rPr>
                <w:rFonts w:cs="Arial"/>
                <w:b/>
              </w:rPr>
            </w:pPr>
          </w:p>
        </w:tc>
        <w:tc>
          <w:tcPr>
            <w:tcW w:w="126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4736BCAF" w14:textId="77777777" w:rsidR="005F1859" w:rsidRPr="00113F86" w:rsidRDefault="005F1859" w:rsidP="00EF5C9A">
            <w:pPr>
              <w:jc w:val="center"/>
              <w:rPr>
                <w:rFonts w:cs="Arial"/>
                <w:b/>
              </w:rPr>
            </w:pPr>
            <w:r>
              <w:rPr>
                <w:rFonts w:cs="Arial"/>
                <w:b/>
                <w:bCs/>
              </w:rPr>
              <w:t>2020/21</w:t>
            </w:r>
          </w:p>
          <w:p w14:paraId="19F15095" w14:textId="77777777" w:rsidR="005F1859" w:rsidRPr="00113F86" w:rsidRDefault="005F1859" w:rsidP="00EF5C9A">
            <w:pPr>
              <w:jc w:val="center"/>
              <w:rPr>
                <w:rFonts w:cs="Arial"/>
                <w:b/>
              </w:rPr>
            </w:pPr>
            <w:r w:rsidRPr="00113F86">
              <w:rPr>
                <w:rFonts w:cs="Arial"/>
                <w:b/>
                <w:bCs/>
              </w:rPr>
              <w:t>£m</w:t>
            </w:r>
          </w:p>
        </w:tc>
        <w:tc>
          <w:tcPr>
            <w:tcW w:w="126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59AD10C9" w14:textId="77777777" w:rsidR="005F1859" w:rsidRPr="00113F86" w:rsidRDefault="005F1859" w:rsidP="00EF5C9A">
            <w:pPr>
              <w:jc w:val="center"/>
              <w:rPr>
                <w:rFonts w:cs="Arial"/>
                <w:b/>
              </w:rPr>
            </w:pPr>
            <w:r>
              <w:rPr>
                <w:rFonts w:cs="Arial"/>
                <w:b/>
                <w:bCs/>
              </w:rPr>
              <w:t>2021/22</w:t>
            </w:r>
          </w:p>
          <w:p w14:paraId="5F69D2BF" w14:textId="77777777" w:rsidR="005F1859" w:rsidRPr="00113F86" w:rsidRDefault="005F1859" w:rsidP="00EF5C9A">
            <w:pPr>
              <w:jc w:val="center"/>
              <w:rPr>
                <w:rFonts w:cs="Arial"/>
                <w:b/>
              </w:rPr>
            </w:pPr>
            <w:r w:rsidRPr="00113F86">
              <w:rPr>
                <w:rFonts w:cs="Arial"/>
                <w:b/>
                <w:bCs/>
              </w:rPr>
              <w:t>£m</w:t>
            </w:r>
          </w:p>
        </w:tc>
        <w:tc>
          <w:tcPr>
            <w:tcW w:w="1360"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79C6E085" w14:textId="77777777" w:rsidR="005F1859" w:rsidRPr="00113F86" w:rsidRDefault="005F1859" w:rsidP="00EF5C9A">
            <w:pPr>
              <w:jc w:val="center"/>
              <w:rPr>
                <w:rFonts w:cs="Arial"/>
                <w:b/>
              </w:rPr>
            </w:pPr>
            <w:r>
              <w:rPr>
                <w:rFonts w:cs="Arial"/>
                <w:b/>
                <w:bCs/>
              </w:rPr>
              <w:t>2022/23</w:t>
            </w:r>
          </w:p>
          <w:p w14:paraId="5DA0472D" w14:textId="77777777" w:rsidR="005F1859" w:rsidRPr="00113F86" w:rsidRDefault="005F1859" w:rsidP="00EF5C9A">
            <w:pPr>
              <w:jc w:val="center"/>
              <w:rPr>
                <w:rFonts w:cs="Arial"/>
                <w:b/>
              </w:rPr>
            </w:pPr>
            <w:r w:rsidRPr="00113F86">
              <w:rPr>
                <w:rFonts w:cs="Arial"/>
                <w:b/>
                <w:bCs/>
              </w:rPr>
              <w:t>£m</w:t>
            </w:r>
          </w:p>
        </w:tc>
      </w:tr>
      <w:tr w:rsidR="005F1859" w:rsidRPr="00113F86" w14:paraId="01D47702" w14:textId="77777777" w:rsidTr="00EF5C9A">
        <w:trPr>
          <w:trHeight w:val="341"/>
          <w:jc w:val="center"/>
        </w:trPr>
        <w:tc>
          <w:tcPr>
            <w:tcW w:w="4966" w:type="dxa"/>
            <w:tcBorders>
              <w:top w:val="single" w:sz="4" w:space="0" w:color="000000"/>
              <w:left w:val="single" w:sz="4" w:space="0" w:color="000000"/>
              <w:bottom w:val="single" w:sz="4" w:space="0" w:color="000000"/>
              <w:right w:val="single" w:sz="4" w:space="0" w:color="000000"/>
            </w:tcBorders>
          </w:tcPr>
          <w:p w14:paraId="29F3BAE3" w14:textId="77777777" w:rsidR="005F1859" w:rsidRPr="001A491A" w:rsidRDefault="005F1859" w:rsidP="00EF5C9A">
            <w:pPr>
              <w:rPr>
                <w:rFonts w:cs="Arial"/>
              </w:rPr>
            </w:pPr>
            <w:r w:rsidRPr="001A491A">
              <w:rPr>
                <w:rFonts w:cs="Arial"/>
              </w:rPr>
              <w:t xml:space="preserve">Demand </w:t>
            </w:r>
            <w:r>
              <w:rPr>
                <w:rFonts w:cs="Arial"/>
              </w:rPr>
              <w:t xml:space="preserve">and activity </w:t>
            </w:r>
            <w:r w:rsidRPr="001A491A">
              <w:rPr>
                <w:rFonts w:cs="Arial"/>
              </w:rPr>
              <w:t xml:space="preserve">growth  </w:t>
            </w:r>
          </w:p>
        </w:tc>
        <w:tc>
          <w:tcPr>
            <w:tcW w:w="1261" w:type="dxa"/>
            <w:tcBorders>
              <w:top w:val="single" w:sz="4" w:space="0" w:color="000000"/>
              <w:left w:val="single" w:sz="4" w:space="0" w:color="000000"/>
              <w:bottom w:val="single" w:sz="4" w:space="0" w:color="000000"/>
              <w:right w:val="single" w:sz="4" w:space="0" w:color="000000"/>
            </w:tcBorders>
          </w:tcPr>
          <w:p w14:paraId="06556239" w14:textId="77777777" w:rsidR="005F1859" w:rsidRPr="00113F86" w:rsidRDefault="005F1859" w:rsidP="00EF5C9A">
            <w:pPr>
              <w:jc w:val="center"/>
              <w:rPr>
                <w:rFonts w:cs="Arial"/>
              </w:rPr>
            </w:pPr>
            <w:r>
              <w:rPr>
                <w:rFonts w:cs="Arial"/>
              </w:rPr>
              <w:t>2.3</w:t>
            </w:r>
          </w:p>
        </w:tc>
        <w:tc>
          <w:tcPr>
            <w:tcW w:w="1261" w:type="dxa"/>
            <w:tcBorders>
              <w:top w:val="single" w:sz="4" w:space="0" w:color="000000"/>
              <w:left w:val="single" w:sz="4" w:space="0" w:color="000000"/>
              <w:bottom w:val="single" w:sz="4" w:space="0" w:color="000000"/>
              <w:right w:val="single" w:sz="4" w:space="0" w:color="000000"/>
            </w:tcBorders>
          </w:tcPr>
          <w:p w14:paraId="14A5CA53" w14:textId="77777777" w:rsidR="005F1859" w:rsidRPr="00113F86" w:rsidRDefault="005F1859" w:rsidP="00EF5C9A">
            <w:pPr>
              <w:jc w:val="center"/>
              <w:rPr>
                <w:rFonts w:cs="Arial"/>
              </w:rPr>
            </w:pPr>
            <w:r>
              <w:rPr>
                <w:rFonts w:cs="Arial"/>
              </w:rPr>
              <w:t>2.3</w:t>
            </w:r>
          </w:p>
        </w:tc>
        <w:tc>
          <w:tcPr>
            <w:tcW w:w="1360" w:type="dxa"/>
            <w:tcBorders>
              <w:top w:val="single" w:sz="4" w:space="0" w:color="000000"/>
              <w:left w:val="single" w:sz="4" w:space="0" w:color="000000"/>
              <w:bottom w:val="single" w:sz="4" w:space="0" w:color="000000"/>
              <w:right w:val="single" w:sz="4" w:space="0" w:color="000000"/>
            </w:tcBorders>
          </w:tcPr>
          <w:p w14:paraId="374F8CAC" w14:textId="77777777" w:rsidR="005F1859" w:rsidRPr="004C57B5" w:rsidRDefault="005F1859" w:rsidP="00EF5C9A">
            <w:pPr>
              <w:jc w:val="center"/>
              <w:rPr>
                <w:rFonts w:cs="Arial"/>
              </w:rPr>
            </w:pPr>
            <w:r w:rsidRPr="004C57B5">
              <w:rPr>
                <w:rFonts w:cs="Arial"/>
              </w:rPr>
              <w:t>2</w:t>
            </w:r>
            <w:r>
              <w:rPr>
                <w:rFonts w:cs="Arial"/>
              </w:rPr>
              <w:t>.3</w:t>
            </w:r>
          </w:p>
        </w:tc>
      </w:tr>
      <w:tr w:rsidR="005F1859" w:rsidRPr="00113F86" w14:paraId="57DE6FEB" w14:textId="77777777" w:rsidTr="00EF5C9A">
        <w:trPr>
          <w:trHeight w:val="319"/>
          <w:jc w:val="center"/>
        </w:trPr>
        <w:tc>
          <w:tcPr>
            <w:tcW w:w="4966" w:type="dxa"/>
            <w:tcBorders>
              <w:top w:val="single" w:sz="4" w:space="0" w:color="000000"/>
              <w:left w:val="single" w:sz="4" w:space="0" w:color="000000"/>
              <w:bottom w:val="single" w:sz="4" w:space="0" w:color="000000"/>
              <w:right w:val="single" w:sz="4" w:space="0" w:color="000000"/>
            </w:tcBorders>
          </w:tcPr>
          <w:p w14:paraId="4EE63701" w14:textId="77777777" w:rsidR="005F1859" w:rsidRPr="00113F86" w:rsidRDefault="005F1859" w:rsidP="00EF5C9A">
            <w:pPr>
              <w:rPr>
                <w:rFonts w:cs="Arial"/>
                <w:bCs/>
              </w:rPr>
            </w:pPr>
            <w:r>
              <w:rPr>
                <w:rFonts w:cs="Arial"/>
              </w:rPr>
              <w:lastRenderedPageBreak/>
              <w:t>Other non-</w:t>
            </w:r>
            <w:r w:rsidRPr="006274CF">
              <w:rPr>
                <w:rFonts w:cs="Arial"/>
              </w:rPr>
              <w:t xml:space="preserve">activity related cost pressures  </w:t>
            </w:r>
          </w:p>
        </w:tc>
        <w:tc>
          <w:tcPr>
            <w:tcW w:w="1261" w:type="dxa"/>
            <w:tcBorders>
              <w:top w:val="single" w:sz="4" w:space="0" w:color="000000"/>
              <w:left w:val="single" w:sz="4" w:space="0" w:color="000000"/>
              <w:bottom w:val="single" w:sz="4" w:space="0" w:color="000000"/>
              <w:right w:val="single" w:sz="4" w:space="0" w:color="000000"/>
            </w:tcBorders>
          </w:tcPr>
          <w:p w14:paraId="70D912CE" w14:textId="77777777" w:rsidR="005F1859" w:rsidRPr="00113F86" w:rsidRDefault="005F1859" w:rsidP="00EF5C9A">
            <w:pPr>
              <w:jc w:val="center"/>
              <w:rPr>
                <w:rFonts w:cs="Arial"/>
              </w:rPr>
            </w:pPr>
            <w:r>
              <w:rPr>
                <w:rFonts w:cs="Arial"/>
              </w:rPr>
              <w:t xml:space="preserve">1.7 </w:t>
            </w:r>
          </w:p>
        </w:tc>
        <w:tc>
          <w:tcPr>
            <w:tcW w:w="1261" w:type="dxa"/>
            <w:tcBorders>
              <w:top w:val="single" w:sz="4" w:space="0" w:color="000000"/>
              <w:left w:val="single" w:sz="4" w:space="0" w:color="000000"/>
              <w:bottom w:val="single" w:sz="4" w:space="0" w:color="000000"/>
              <w:right w:val="single" w:sz="4" w:space="0" w:color="000000"/>
            </w:tcBorders>
          </w:tcPr>
          <w:p w14:paraId="52B359D4" w14:textId="77777777" w:rsidR="005F1859" w:rsidRPr="00113F86" w:rsidRDefault="005F1859" w:rsidP="00EF5C9A">
            <w:pPr>
              <w:jc w:val="center"/>
              <w:rPr>
                <w:rFonts w:cs="Arial"/>
              </w:rPr>
            </w:pPr>
            <w:r>
              <w:rPr>
                <w:rFonts w:cs="Arial"/>
              </w:rPr>
              <w:t xml:space="preserve">1.7 </w:t>
            </w:r>
          </w:p>
        </w:tc>
        <w:tc>
          <w:tcPr>
            <w:tcW w:w="1360" w:type="dxa"/>
            <w:tcBorders>
              <w:top w:val="single" w:sz="4" w:space="0" w:color="000000"/>
              <w:left w:val="single" w:sz="4" w:space="0" w:color="000000"/>
              <w:bottom w:val="single" w:sz="4" w:space="0" w:color="000000"/>
              <w:right w:val="single" w:sz="4" w:space="0" w:color="000000"/>
            </w:tcBorders>
          </w:tcPr>
          <w:p w14:paraId="4589F08F" w14:textId="77777777" w:rsidR="005F1859" w:rsidRPr="004C57B5" w:rsidRDefault="005F1859" w:rsidP="00EF5C9A">
            <w:pPr>
              <w:jc w:val="center"/>
              <w:rPr>
                <w:rFonts w:cs="Arial"/>
              </w:rPr>
            </w:pPr>
            <w:r>
              <w:rPr>
                <w:rFonts w:cs="Arial"/>
              </w:rPr>
              <w:t>1.7</w:t>
            </w:r>
            <w:r w:rsidRPr="004C57B5">
              <w:rPr>
                <w:rFonts w:cs="Arial"/>
              </w:rPr>
              <w:t xml:space="preserve"> </w:t>
            </w:r>
          </w:p>
        </w:tc>
      </w:tr>
      <w:tr w:rsidR="005F1859" w:rsidRPr="00113F86" w14:paraId="19A3C1D7" w14:textId="77777777" w:rsidTr="00EF5C9A">
        <w:trPr>
          <w:trHeight w:val="319"/>
          <w:jc w:val="center"/>
        </w:trPr>
        <w:tc>
          <w:tcPr>
            <w:tcW w:w="4966" w:type="dxa"/>
            <w:tcBorders>
              <w:top w:val="single" w:sz="4" w:space="0" w:color="000000"/>
              <w:left w:val="single" w:sz="4" w:space="0" w:color="000000"/>
              <w:bottom w:val="single" w:sz="4" w:space="0" w:color="000000"/>
              <w:right w:val="single" w:sz="4" w:space="0" w:color="000000"/>
            </w:tcBorders>
          </w:tcPr>
          <w:p w14:paraId="0B787FA3" w14:textId="77777777" w:rsidR="005F1859" w:rsidRDefault="005F1859" w:rsidP="00EF5C9A">
            <w:pPr>
              <w:rPr>
                <w:rFonts w:cs="Arial"/>
              </w:rPr>
            </w:pPr>
            <w:r>
              <w:rPr>
                <w:rFonts w:cs="Arial"/>
              </w:rPr>
              <w:t>Increased demand for beds</w:t>
            </w:r>
          </w:p>
        </w:tc>
        <w:tc>
          <w:tcPr>
            <w:tcW w:w="1261" w:type="dxa"/>
            <w:tcBorders>
              <w:top w:val="single" w:sz="4" w:space="0" w:color="000000"/>
              <w:left w:val="single" w:sz="4" w:space="0" w:color="000000"/>
              <w:bottom w:val="single" w:sz="4" w:space="0" w:color="000000"/>
              <w:right w:val="single" w:sz="4" w:space="0" w:color="000000"/>
            </w:tcBorders>
          </w:tcPr>
          <w:p w14:paraId="28C54DF5" w14:textId="77777777" w:rsidR="005F1859" w:rsidRDefault="005F1859" w:rsidP="00EF5C9A">
            <w:pPr>
              <w:jc w:val="center"/>
              <w:rPr>
                <w:rFonts w:cs="Arial"/>
              </w:rPr>
            </w:pPr>
            <w:r>
              <w:rPr>
                <w:rFonts w:cs="Arial"/>
              </w:rPr>
              <w:t>1.5</w:t>
            </w:r>
          </w:p>
        </w:tc>
        <w:tc>
          <w:tcPr>
            <w:tcW w:w="1261" w:type="dxa"/>
            <w:tcBorders>
              <w:top w:val="single" w:sz="4" w:space="0" w:color="000000"/>
              <w:left w:val="single" w:sz="4" w:space="0" w:color="000000"/>
              <w:bottom w:val="single" w:sz="4" w:space="0" w:color="000000"/>
              <w:right w:val="single" w:sz="4" w:space="0" w:color="000000"/>
            </w:tcBorders>
          </w:tcPr>
          <w:p w14:paraId="344C7D42" w14:textId="77777777" w:rsidR="005F1859" w:rsidRDefault="005F1859" w:rsidP="00EF5C9A">
            <w:pPr>
              <w:jc w:val="center"/>
              <w:rPr>
                <w:rFonts w:cs="Arial"/>
              </w:rPr>
            </w:pPr>
            <w:r>
              <w:rPr>
                <w:rFonts w:cs="Arial"/>
              </w:rPr>
              <w:t>1.5</w:t>
            </w:r>
          </w:p>
        </w:tc>
        <w:tc>
          <w:tcPr>
            <w:tcW w:w="1360" w:type="dxa"/>
            <w:tcBorders>
              <w:top w:val="single" w:sz="4" w:space="0" w:color="000000"/>
              <w:left w:val="single" w:sz="4" w:space="0" w:color="000000"/>
              <w:bottom w:val="single" w:sz="4" w:space="0" w:color="000000"/>
              <w:right w:val="single" w:sz="4" w:space="0" w:color="000000"/>
            </w:tcBorders>
          </w:tcPr>
          <w:p w14:paraId="756E0ADD" w14:textId="77777777" w:rsidR="005F1859" w:rsidRPr="004C57B5" w:rsidRDefault="005F1859" w:rsidP="00EF5C9A">
            <w:pPr>
              <w:jc w:val="center"/>
              <w:rPr>
                <w:rFonts w:cs="Arial"/>
              </w:rPr>
            </w:pPr>
            <w:r w:rsidRPr="004C57B5">
              <w:rPr>
                <w:rFonts w:cs="Arial"/>
              </w:rPr>
              <w:t>0</w:t>
            </w:r>
          </w:p>
        </w:tc>
      </w:tr>
      <w:tr w:rsidR="005F1859" w:rsidRPr="00113F86" w14:paraId="0B188091" w14:textId="77777777" w:rsidTr="00EF5C9A">
        <w:trPr>
          <w:trHeight w:val="267"/>
          <w:jc w:val="center"/>
        </w:trPr>
        <w:tc>
          <w:tcPr>
            <w:tcW w:w="4966" w:type="dxa"/>
            <w:tcBorders>
              <w:top w:val="single" w:sz="4" w:space="0" w:color="000000"/>
              <w:left w:val="single" w:sz="4" w:space="0" w:color="000000"/>
              <w:bottom w:val="single" w:sz="4" w:space="0" w:color="000000"/>
              <w:right w:val="single" w:sz="4" w:space="0" w:color="000000"/>
            </w:tcBorders>
            <w:hideMark/>
          </w:tcPr>
          <w:p w14:paraId="3A500AD4" w14:textId="77777777" w:rsidR="005F1859" w:rsidRPr="00113F86" w:rsidRDefault="005F1859" w:rsidP="00EF5C9A">
            <w:pPr>
              <w:rPr>
                <w:rFonts w:cs="Arial"/>
                <w:b/>
                <w:bCs/>
              </w:rPr>
            </w:pPr>
            <w:r w:rsidRPr="00113F86">
              <w:rPr>
                <w:rFonts w:cs="Arial"/>
                <w:b/>
                <w:bCs/>
              </w:rPr>
              <w:t xml:space="preserve">Total </w:t>
            </w:r>
          </w:p>
        </w:tc>
        <w:tc>
          <w:tcPr>
            <w:tcW w:w="1261" w:type="dxa"/>
            <w:tcBorders>
              <w:top w:val="single" w:sz="4" w:space="0" w:color="000000"/>
              <w:left w:val="single" w:sz="4" w:space="0" w:color="000000"/>
              <w:bottom w:val="single" w:sz="4" w:space="0" w:color="000000"/>
              <w:right w:val="single" w:sz="4" w:space="0" w:color="000000"/>
            </w:tcBorders>
          </w:tcPr>
          <w:p w14:paraId="2BBC49EC" w14:textId="77777777" w:rsidR="005F1859" w:rsidRPr="00113F86" w:rsidRDefault="005F1859" w:rsidP="00EF5C9A">
            <w:pPr>
              <w:jc w:val="center"/>
              <w:rPr>
                <w:rFonts w:cs="Arial"/>
                <w:b/>
                <w:bCs/>
              </w:rPr>
            </w:pPr>
            <w:r>
              <w:rPr>
                <w:rFonts w:cs="Arial"/>
                <w:b/>
                <w:bCs/>
              </w:rPr>
              <w:t>5.5</w:t>
            </w:r>
          </w:p>
        </w:tc>
        <w:tc>
          <w:tcPr>
            <w:tcW w:w="1261" w:type="dxa"/>
            <w:tcBorders>
              <w:top w:val="single" w:sz="4" w:space="0" w:color="000000"/>
              <w:left w:val="single" w:sz="4" w:space="0" w:color="000000"/>
              <w:bottom w:val="single" w:sz="4" w:space="0" w:color="000000"/>
              <w:right w:val="single" w:sz="4" w:space="0" w:color="000000"/>
            </w:tcBorders>
          </w:tcPr>
          <w:p w14:paraId="716CB394" w14:textId="77777777" w:rsidR="005F1859" w:rsidRPr="00113F86" w:rsidRDefault="005F1859" w:rsidP="00EF5C9A">
            <w:pPr>
              <w:jc w:val="center"/>
              <w:rPr>
                <w:rFonts w:cs="Arial"/>
                <w:b/>
                <w:bCs/>
              </w:rPr>
            </w:pPr>
            <w:r>
              <w:rPr>
                <w:rFonts w:cs="Arial"/>
                <w:b/>
                <w:bCs/>
              </w:rPr>
              <w:t>5.5</w:t>
            </w:r>
          </w:p>
        </w:tc>
        <w:tc>
          <w:tcPr>
            <w:tcW w:w="1360" w:type="dxa"/>
            <w:tcBorders>
              <w:top w:val="single" w:sz="4" w:space="0" w:color="000000"/>
              <w:left w:val="single" w:sz="4" w:space="0" w:color="000000"/>
              <w:bottom w:val="single" w:sz="4" w:space="0" w:color="000000"/>
              <w:right w:val="single" w:sz="4" w:space="0" w:color="000000"/>
            </w:tcBorders>
            <w:hideMark/>
          </w:tcPr>
          <w:p w14:paraId="72323497" w14:textId="77777777" w:rsidR="005F1859" w:rsidRPr="004C57B5" w:rsidRDefault="005F1859" w:rsidP="00EF5C9A">
            <w:pPr>
              <w:jc w:val="center"/>
              <w:rPr>
                <w:rFonts w:cs="Arial"/>
                <w:b/>
                <w:bCs/>
              </w:rPr>
            </w:pPr>
            <w:r w:rsidRPr="004C57B5">
              <w:rPr>
                <w:rFonts w:cs="Arial"/>
                <w:b/>
                <w:bCs/>
              </w:rPr>
              <w:t>4.0</w:t>
            </w:r>
          </w:p>
        </w:tc>
      </w:tr>
    </w:tbl>
    <w:p w14:paraId="4608E9F5" w14:textId="77777777" w:rsidR="005F1859" w:rsidRDefault="005F1859" w:rsidP="005F1859"/>
    <w:p w14:paraId="5F042715" w14:textId="77777777" w:rsidR="005F1859" w:rsidRDefault="005F1859" w:rsidP="005F1859">
      <w:r>
        <w:t>The basis for the above cost estimates for 2020/21 is outlined below:</w:t>
      </w:r>
    </w:p>
    <w:p w14:paraId="3D5C2A9E" w14:textId="77777777" w:rsidR="005F1859" w:rsidRPr="00DF283E" w:rsidRDefault="005F1859" w:rsidP="005F1859">
      <w:pPr>
        <w:pStyle w:val="Heading3"/>
        <w:numPr>
          <w:ilvl w:val="0"/>
          <w:numId w:val="0"/>
        </w:numPr>
      </w:pPr>
      <w:r w:rsidRPr="00DF283E">
        <w:t>Demand and activity growth</w:t>
      </w:r>
    </w:p>
    <w:tbl>
      <w:tblPr>
        <w:tblStyle w:val="TableGrid"/>
        <w:tblW w:w="8848" w:type="dxa"/>
        <w:jc w:val="center"/>
        <w:tblLook w:val="04A0" w:firstRow="1" w:lastRow="0" w:firstColumn="1" w:lastColumn="0" w:noHBand="0" w:noVBand="1"/>
      </w:tblPr>
      <w:tblGrid>
        <w:gridCol w:w="7056"/>
        <w:gridCol w:w="1792"/>
      </w:tblGrid>
      <w:tr w:rsidR="005F1859" w:rsidRPr="00113F86" w14:paraId="4141ABA7" w14:textId="77777777" w:rsidTr="00EF5C9A">
        <w:trPr>
          <w:trHeight w:val="533"/>
          <w:jc w:val="center"/>
        </w:trPr>
        <w:tc>
          <w:tcPr>
            <w:tcW w:w="705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13DBCF03" w14:textId="77777777" w:rsidR="005F1859" w:rsidRPr="00113F86" w:rsidRDefault="005F1859" w:rsidP="00EF5C9A">
            <w:pPr>
              <w:rPr>
                <w:rFonts w:cs="Arial"/>
                <w:b/>
              </w:rPr>
            </w:pPr>
          </w:p>
          <w:p w14:paraId="72A150DF" w14:textId="77777777" w:rsidR="005F1859" w:rsidRPr="00113F86" w:rsidRDefault="005F1859" w:rsidP="00EF5C9A">
            <w:pPr>
              <w:rPr>
                <w:rFonts w:cs="Arial"/>
                <w:b/>
              </w:rPr>
            </w:pPr>
          </w:p>
        </w:tc>
        <w:tc>
          <w:tcPr>
            <w:tcW w:w="17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31A8705A" w14:textId="77777777" w:rsidR="005F1859" w:rsidRPr="00113F86" w:rsidRDefault="005F1859" w:rsidP="00EF5C9A">
            <w:pPr>
              <w:jc w:val="center"/>
              <w:rPr>
                <w:rFonts w:cs="Arial"/>
                <w:b/>
              </w:rPr>
            </w:pPr>
            <w:r>
              <w:rPr>
                <w:rFonts w:cs="Arial"/>
                <w:b/>
                <w:bCs/>
              </w:rPr>
              <w:t>2020/21</w:t>
            </w:r>
          </w:p>
          <w:p w14:paraId="25EAF18E" w14:textId="77777777" w:rsidR="005F1859" w:rsidRPr="00113F86" w:rsidRDefault="005F1859" w:rsidP="00EF5C9A">
            <w:pPr>
              <w:jc w:val="center"/>
              <w:rPr>
                <w:rFonts w:cs="Arial"/>
                <w:b/>
              </w:rPr>
            </w:pPr>
            <w:r w:rsidRPr="00113F86">
              <w:rPr>
                <w:rFonts w:cs="Arial"/>
                <w:b/>
                <w:bCs/>
              </w:rPr>
              <w:t>£m</w:t>
            </w:r>
          </w:p>
        </w:tc>
      </w:tr>
      <w:tr w:rsidR="005F1859" w:rsidRPr="00113F86" w14:paraId="528A343A" w14:textId="77777777" w:rsidTr="00EF5C9A">
        <w:trPr>
          <w:trHeight w:val="341"/>
          <w:jc w:val="center"/>
        </w:trPr>
        <w:tc>
          <w:tcPr>
            <w:tcW w:w="7056" w:type="dxa"/>
            <w:tcBorders>
              <w:top w:val="single" w:sz="4" w:space="0" w:color="000000"/>
              <w:left w:val="single" w:sz="4" w:space="0" w:color="000000"/>
              <w:bottom w:val="single" w:sz="4" w:space="0" w:color="000000"/>
              <w:right w:val="single" w:sz="4" w:space="0" w:color="000000"/>
            </w:tcBorders>
          </w:tcPr>
          <w:p w14:paraId="0F63020F" w14:textId="77777777" w:rsidR="005F1859" w:rsidRPr="001A491A" w:rsidRDefault="005F1859" w:rsidP="00EF5C9A">
            <w:pPr>
              <w:rPr>
                <w:rFonts w:cs="Arial"/>
              </w:rPr>
            </w:pPr>
            <w:r>
              <w:rPr>
                <w:rFonts w:cs="Arial"/>
              </w:rPr>
              <w:t>Endoscopy demand growth</w:t>
            </w:r>
          </w:p>
        </w:tc>
        <w:tc>
          <w:tcPr>
            <w:tcW w:w="1792" w:type="dxa"/>
            <w:tcBorders>
              <w:top w:val="single" w:sz="4" w:space="0" w:color="000000"/>
              <w:left w:val="single" w:sz="4" w:space="0" w:color="000000"/>
              <w:bottom w:val="single" w:sz="4" w:space="0" w:color="000000"/>
              <w:right w:val="single" w:sz="4" w:space="0" w:color="000000"/>
            </w:tcBorders>
          </w:tcPr>
          <w:p w14:paraId="6452AB80" w14:textId="77777777" w:rsidR="005F1859" w:rsidRPr="00113F86" w:rsidRDefault="005F1859" w:rsidP="00EF5C9A">
            <w:pPr>
              <w:jc w:val="center"/>
              <w:rPr>
                <w:rFonts w:cs="Arial"/>
              </w:rPr>
            </w:pPr>
            <w:r>
              <w:rPr>
                <w:rFonts w:cs="Arial"/>
              </w:rPr>
              <w:t>0.35</w:t>
            </w:r>
          </w:p>
        </w:tc>
      </w:tr>
      <w:tr w:rsidR="005F1859" w14:paraId="1996DB2E" w14:textId="77777777" w:rsidTr="00EF5C9A">
        <w:trPr>
          <w:trHeight w:val="319"/>
          <w:jc w:val="center"/>
        </w:trPr>
        <w:tc>
          <w:tcPr>
            <w:tcW w:w="7056" w:type="dxa"/>
            <w:tcBorders>
              <w:top w:val="single" w:sz="4" w:space="0" w:color="000000"/>
              <w:left w:val="single" w:sz="4" w:space="0" w:color="000000"/>
              <w:bottom w:val="single" w:sz="4" w:space="0" w:color="000000"/>
              <w:right w:val="single" w:sz="4" w:space="0" w:color="000000"/>
            </w:tcBorders>
          </w:tcPr>
          <w:p w14:paraId="1B027009" w14:textId="77777777" w:rsidR="005F1859" w:rsidRDefault="005F1859" w:rsidP="00EF5C9A">
            <w:pPr>
              <w:rPr>
                <w:rFonts w:cs="Arial"/>
              </w:rPr>
            </w:pPr>
            <w:r>
              <w:rPr>
                <w:rFonts w:cs="Arial"/>
              </w:rPr>
              <w:t>Radiology-  Out of hours USC reporting growth</w:t>
            </w:r>
          </w:p>
        </w:tc>
        <w:tc>
          <w:tcPr>
            <w:tcW w:w="1792" w:type="dxa"/>
            <w:tcBorders>
              <w:top w:val="single" w:sz="4" w:space="0" w:color="000000"/>
              <w:left w:val="single" w:sz="4" w:space="0" w:color="000000"/>
              <w:bottom w:val="single" w:sz="4" w:space="0" w:color="000000"/>
              <w:right w:val="single" w:sz="4" w:space="0" w:color="000000"/>
            </w:tcBorders>
          </w:tcPr>
          <w:p w14:paraId="4790D060" w14:textId="77777777" w:rsidR="005F1859" w:rsidRDefault="005F1859" w:rsidP="00EF5C9A">
            <w:pPr>
              <w:jc w:val="center"/>
              <w:rPr>
                <w:rFonts w:cs="Arial"/>
              </w:rPr>
            </w:pPr>
            <w:r>
              <w:rPr>
                <w:rFonts w:cs="Arial"/>
              </w:rPr>
              <w:t>0.15</w:t>
            </w:r>
          </w:p>
        </w:tc>
      </w:tr>
      <w:tr w:rsidR="005F1859" w14:paraId="716BAA4E" w14:textId="77777777" w:rsidTr="00EF5C9A">
        <w:trPr>
          <w:trHeight w:val="319"/>
          <w:jc w:val="center"/>
        </w:trPr>
        <w:tc>
          <w:tcPr>
            <w:tcW w:w="7056" w:type="dxa"/>
            <w:tcBorders>
              <w:top w:val="single" w:sz="4" w:space="0" w:color="000000"/>
              <w:left w:val="single" w:sz="4" w:space="0" w:color="000000"/>
              <w:bottom w:val="single" w:sz="4" w:space="0" w:color="000000"/>
              <w:right w:val="single" w:sz="4" w:space="0" w:color="000000"/>
            </w:tcBorders>
          </w:tcPr>
          <w:p w14:paraId="4B632131" w14:textId="77777777" w:rsidR="005F1859" w:rsidRDefault="005F1859" w:rsidP="00EF5C9A">
            <w:pPr>
              <w:rPr>
                <w:rFonts w:cs="Arial"/>
              </w:rPr>
            </w:pPr>
            <w:r>
              <w:rPr>
                <w:rFonts w:cs="Arial"/>
              </w:rPr>
              <w:t xml:space="preserve">Radiology - Increased imaging and reporting demand ( including Single Cancer Pathway) </w:t>
            </w:r>
          </w:p>
        </w:tc>
        <w:tc>
          <w:tcPr>
            <w:tcW w:w="1792" w:type="dxa"/>
            <w:tcBorders>
              <w:top w:val="single" w:sz="4" w:space="0" w:color="000000"/>
              <w:left w:val="single" w:sz="4" w:space="0" w:color="000000"/>
              <w:bottom w:val="single" w:sz="4" w:space="0" w:color="000000"/>
              <w:right w:val="single" w:sz="4" w:space="0" w:color="000000"/>
            </w:tcBorders>
          </w:tcPr>
          <w:p w14:paraId="34FD3875" w14:textId="77777777" w:rsidR="005F1859" w:rsidRDefault="005F1859" w:rsidP="00EF5C9A">
            <w:pPr>
              <w:jc w:val="center"/>
              <w:rPr>
                <w:rFonts w:cs="Arial"/>
              </w:rPr>
            </w:pPr>
            <w:r>
              <w:rPr>
                <w:rFonts w:cs="Arial"/>
              </w:rPr>
              <w:t>0.4</w:t>
            </w:r>
          </w:p>
        </w:tc>
      </w:tr>
      <w:tr w:rsidR="005F1859" w14:paraId="2B9993EE" w14:textId="77777777" w:rsidTr="00EF5C9A">
        <w:trPr>
          <w:trHeight w:val="319"/>
          <w:jc w:val="center"/>
        </w:trPr>
        <w:tc>
          <w:tcPr>
            <w:tcW w:w="7056" w:type="dxa"/>
            <w:tcBorders>
              <w:top w:val="single" w:sz="4" w:space="0" w:color="000000"/>
              <w:left w:val="single" w:sz="4" w:space="0" w:color="000000"/>
              <w:bottom w:val="single" w:sz="4" w:space="0" w:color="000000"/>
              <w:right w:val="single" w:sz="4" w:space="0" w:color="000000"/>
            </w:tcBorders>
          </w:tcPr>
          <w:p w14:paraId="4A716F51" w14:textId="77777777" w:rsidR="005F1859" w:rsidRDefault="005F1859" w:rsidP="00EF5C9A">
            <w:pPr>
              <w:rPr>
                <w:rFonts w:cs="Arial"/>
              </w:rPr>
            </w:pPr>
            <w:r>
              <w:rPr>
                <w:rFonts w:cs="Arial"/>
              </w:rPr>
              <w:t>Increased drugs and consumables due to increasing demand</w:t>
            </w:r>
          </w:p>
        </w:tc>
        <w:tc>
          <w:tcPr>
            <w:tcW w:w="1792" w:type="dxa"/>
            <w:tcBorders>
              <w:top w:val="single" w:sz="4" w:space="0" w:color="000000"/>
              <w:left w:val="single" w:sz="4" w:space="0" w:color="000000"/>
              <w:bottom w:val="single" w:sz="4" w:space="0" w:color="000000"/>
              <w:right w:val="single" w:sz="4" w:space="0" w:color="000000"/>
            </w:tcBorders>
          </w:tcPr>
          <w:p w14:paraId="7CC84F5D" w14:textId="77777777" w:rsidR="005F1859" w:rsidRDefault="005F1859" w:rsidP="00EF5C9A">
            <w:pPr>
              <w:jc w:val="center"/>
              <w:rPr>
                <w:rFonts w:cs="Arial"/>
              </w:rPr>
            </w:pPr>
            <w:r>
              <w:rPr>
                <w:rFonts w:cs="Arial"/>
              </w:rPr>
              <w:t>0.5</w:t>
            </w:r>
          </w:p>
        </w:tc>
      </w:tr>
      <w:tr w:rsidR="005F1859" w14:paraId="2FABED91" w14:textId="77777777" w:rsidTr="00EF5C9A">
        <w:trPr>
          <w:trHeight w:val="319"/>
          <w:jc w:val="center"/>
        </w:trPr>
        <w:tc>
          <w:tcPr>
            <w:tcW w:w="7056" w:type="dxa"/>
            <w:tcBorders>
              <w:top w:val="single" w:sz="4" w:space="0" w:color="000000"/>
              <w:left w:val="single" w:sz="4" w:space="0" w:color="000000"/>
              <w:bottom w:val="single" w:sz="4" w:space="0" w:color="000000"/>
              <w:right w:val="single" w:sz="4" w:space="0" w:color="000000"/>
            </w:tcBorders>
          </w:tcPr>
          <w:p w14:paraId="3DCCCFBA" w14:textId="77777777" w:rsidR="005F1859" w:rsidRDefault="005F1859" w:rsidP="00EF5C9A">
            <w:pPr>
              <w:rPr>
                <w:rFonts w:cs="Arial"/>
              </w:rPr>
            </w:pPr>
            <w:r>
              <w:rPr>
                <w:rFonts w:cs="Arial"/>
              </w:rPr>
              <w:t>Neurophysiology service gap/demand growth</w:t>
            </w:r>
          </w:p>
        </w:tc>
        <w:tc>
          <w:tcPr>
            <w:tcW w:w="1792" w:type="dxa"/>
            <w:tcBorders>
              <w:top w:val="single" w:sz="4" w:space="0" w:color="000000"/>
              <w:left w:val="single" w:sz="4" w:space="0" w:color="000000"/>
              <w:bottom w:val="single" w:sz="4" w:space="0" w:color="000000"/>
              <w:right w:val="single" w:sz="4" w:space="0" w:color="000000"/>
            </w:tcBorders>
          </w:tcPr>
          <w:p w14:paraId="7549EA3C" w14:textId="77777777" w:rsidR="005F1859" w:rsidRDefault="005F1859" w:rsidP="00EF5C9A">
            <w:pPr>
              <w:jc w:val="center"/>
              <w:rPr>
                <w:rFonts w:cs="Arial"/>
              </w:rPr>
            </w:pPr>
            <w:r>
              <w:rPr>
                <w:rFonts w:cs="Arial"/>
              </w:rPr>
              <w:t>0.1</w:t>
            </w:r>
          </w:p>
        </w:tc>
      </w:tr>
      <w:tr w:rsidR="005F1859" w14:paraId="677A939C" w14:textId="77777777" w:rsidTr="00EF5C9A">
        <w:trPr>
          <w:trHeight w:val="319"/>
          <w:jc w:val="center"/>
        </w:trPr>
        <w:tc>
          <w:tcPr>
            <w:tcW w:w="7056" w:type="dxa"/>
            <w:tcBorders>
              <w:top w:val="single" w:sz="4" w:space="0" w:color="000000"/>
              <w:left w:val="single" w:sz="4" w:space="0" w:color="000000"/>
              <w:bottom w:val="single" w:sz="4" w:space="0" w:color="000000"/>
              <w:right w:val="single" w:sz="4" w:space="0" w:color="000000"/>
            </w:tcBorders>
          </w:tcPr>
          <w:p w14:paraId="71C5B18F" w14:textId="77777777" w:rsidR="005F1859" w:rsidRDefault="005F1859" w:rsidP="00EF5C9A">
            <w:pPr>
              <w:rPr>
                <w:rFonts w:cs="Arial"/>
              </w:rPr>
            </w:pPr>
            <w:r>
              <w:rPr>
                <w:rFonts w:cs="Arial"/>
              </w:rPr>
              <w:t>Increased non pay costs due to elective capacity gaps</w:t>
            </w:r>
          </w:p>
        </w:tc>
        <w:tc>
          <w:tcPr>
            <w:tcW w:w="1792" w:type="dxa"/>
            <w:tcBorders>
              <w:top w:val="single" w:sz="4" w:space="0" w:color="000000"/>
              <w:left w:val="single" w:sz="4" w:space="0" w:color="000000"/>
              <w:bottom w:val="single" w:sz="4" w:space="0" w:color="000000"/>
              <w:right w:val="single" w:sz="4" w:space="0" w:color="000000"/>
            </w:tcBorders>
          </w:tcPr>
          <w:p w14:paraId="4839ABA4" w14:textId="77777777" w:rsidR="005F1859" w:rsidRDefault="005F1859" w:rsidP="00EF5C9A">
            <w:pPr>
              <w:jc w:val="center"/>
              <w:rPr>
                <w:rFonts w:cs="Arial"/>
              </w:rPr>
            </w:pPr>
            <w:r>
              <w:rPr>
                <w:rFonts w:cs="Arial"/>
              </w:rPr>
              <w:t>0.5</w:t>
            </w:r>
          </w:p>
        </w:tc>
      </w:tr>
      <w:tr w:rsidR="005F1859" w:rsidRPr="00113F86" w14:paraId="1614A529" w14:textId="77777777" w:rsidTr="00EF5C9A">
        <w:trPr>
          <w:trHeight w:val="319"/>
          <w:jc w:val="center"/>
        </w:trPr>
        <w:tc>
          <w:tcPr>
            <w:tcW w:w="7056" w:type="dxa"/>
            <w:tcBorders>
              <w:top w:val="single" w:sz="4" w:space="0" w:color="000000"/>
              <w:left w:val="single" w:sz="4" w:space="0" w:color="000000"/>
              <w:bottom w:val="single" w:sz="4" w:space="0" w:color="000000"/>
              <w:right w:val="single" w:sz="4" w:space="0" w:color="000000"/>
            </w:tcBorders>
          </w:tcPr>
          <w:p w14:paraId="647DAA20" w14:textId="77777777" w:rsidR="005F1859" w:rsidRPr="00113F86" w:rsidRDefault="005F1859" w:rsidP="00EF5C9A">
            <w:pPr>
              <w:rPr>
                <w:rFonts w:cs="Arial"/>
                <w:bCs/>
              </w:rPr>
            </w:pPr>
            <w:r>
              <w:rPr>
                <w:rFonts w:cs="Arial"/>
                <w:bCs/>
              </w:rPr>
              <w:t>Increased eyecare costs</w:t>
            </w:r>
          </w:p>
        </w:tc>
        <w:tc>
          <w:tcPr>
            <w:tcW w:w="1792" w:type="dxa"/>
            <w:tcBorders>
              <w:top w:val="single" w:sz="4" w:space="0" w:color="000000"/>
              <w:left w:val="single" w:sz="4" w:space="0" w:color="000000"/>
              <w:bottom w:val="single" w:sz="4" w:space="0" w:color="000000"/>
              <w:right w:val="single" w:sz="4" w:space="0" w:color="000000"/>
            </w:tcBorders>
          </w:tcPr>
          <w:p w14:paraId="43F48164" w14:textId="77777777" w:rsidR="005F1859" w:rsidRPr="00113F86" w:rsidRDefault="005F1859" w:rsidP="00EF5C9A">
            <w:pPr>
              <w:jc w:val="center"/>
              <w:rPr>
                <w:rFonts w:cs="Arial"/>
              </w:rPr>
            </w:pPr>
            <w:r>
              <w:rPr>
                <w:rFonts w:cs="Arial"/>
              </w:rPr>
              <w:t>0.3</w:t>
            </w:r>
          </w:p>
        </w:tc>
      </w:tr>
      <w:tr w:rsidR="005F1859" w:rsidRPr="00113F86" w14:paraId="3840BD86" w14:textId="77777777" w:rsidTr="00EF5C9A">
        <w:trPr>
          <w:trHeight w:val="267"/>
          <w:jc w:val="center"/>
        </w:trPr>
        <w:tc>
          <w:tcPr>
            <w:tcW w:w="7056" w:type="dxa"/>
            <w:tcBorders>
              <w:top w:val="single" w:sz="4" w:space="0" w:color="000000"/>
              <w:left w:val="single" w:sz="4" w:space="0" w:color="000000"/>
              <w:bottom w:val="single" w:sz="4" w:space="0" w:color="000000"/>
              <w:right w:val="single" w:sz="4" w:space="0" w:color="000000"/>
            </w:tcBorders>
            <w:hideMark/>
          </w:tcPr>
          <w:p w14:paraId="3110C27A" w14:textId="77777777" w:rsidR="005F1859" w:rsidRPr="00113F86" w:rsidRDefault="005F1859" w:rsidP="00EF5C9A">
            <w:pPr>
              <w:rPr>
                <w:rFonts w:cs="Arial"/>
                <w:b/>
                <w:bCs/>
              </w:rPr>
            </w:pPr>
            <w:r w:rsidRPr="00113F86">
              <w:rPr>
                <w:rFonts w:cs="Arial"/>
                <w:b/>
                <w:bCs/>
              </w:rPr>
              <w:t xml:space="preserve">Total </w:t>
            </w:r>
          </w:p>
        </w:tc>
        <w:tc>
          <w:tcPr>
            <w:tcW w:w="1792" w:type="dxa"/>
            <w:tcBorders>
              <w:top w:val="single" w:sz="4" w:space="0" w:color="000000"/>
              <w:left w:val="single" w:sz="4" w:space="0" w:color="000000"/>
              <w:bottom w:val="single" w:sz="4" w:space="0" w:color="000000"/>
              <w:right w:val="single" w:sz="4" w:space="0" w:color="000000"/>
            </w:tcBorders>
          </w:tcPr>
          <w:p w14:paraId="6B019F14" w14:textId="77777777" w:rsidR="005F1859" w:rsidRPr="00113F86" w:rsidRDefault="005F1859" w:rsidP="00EF5C9A">
            <w:pPr>
              <w:jc w:val="center"/>
              <w:rPr>
                <w:rFonts w:cs="Arial"/>
                <w:b/>
                <w:bCs/>
              </w:rPr>
            </w:pPr>
            <w:r>
              <w:rPr>
                <w:rFonts w:cs="Arial"/>
                <w:b/>
                <w:bCs/>
              </w:rPr>
              <w:t>2.3</w:t>
            </w:r>
          </w:p>
        </w:tc>
      </w:tr>
    </w:tbl>
    <w:p w14:paraId="26B38FE1" w14:textId="77777777" w:rsidR="005F1859" w:rsidRDefault="005F1859" w:rsidP="005F1859">
      <w:pPr>
        <w:rPr>
          <w:b/>
        </w:rPr>
      </w:pPr>
    </w:p>
    <w:p w14:paraId="51A3682E" w14:textId="77777777" w:rsidR="005F1859" w:rsidRDefault="005F1859" w:rsidP="005F1859">
      <w:pPr>
        <w:rPr>
          <w:b/>
        </w:rPr>
      </w:pPr>
      <w:r w:rsidRPr="00DF283E">
        <w:rPr>
          <w:b/>
        </w:rPr>
        <w:t>Other non-activity related cost pressures</w:t>
      </w:r>
    </w:p>
    <w:p w14:paraId="04E08475" w14:textId="77777777" w:rsidR="005F1859" w:rsidRDefault="005F1859" w:rsidP="005F1859">
      <w:pPr>
        <w:rPr>
          <w:b/>
        </w:rPr>
      </w:pPr>
    </w:p>
    <w:tbl>
      <w:tblPr>
        <w:tblStyle w:val="TableGrid"/>
        <w:tblW w:w="8848" w:type="dxa"/>
        <w:jc w:val="center"/>
        <w:tblLook w:val="04A0" w:firstRow="1" w:lastRow="0" w:firstColumn="1" w:lastColumn="0" w:noHBand="0" w:noVBand="1"/>
      </w:tblPr>
      <w:tblGrid>
        <w:gridCol w:w="7056"/>
        <w:gridCol w:w="1792"/>
      </w:tblGrid>
      <w:tr w:rsidR="005F1859" w:rsidRPr="00113F86" w14:paraId="19AED72A" w14:textId="77777777" w:rsidTr="00EF5C9A">
        <w:trPr>
          <w:trHeight w:val="533"/>
          <w:jc w:val="center"/>
        </w:trPr>
        <w:tc>
          <w:tcPr>
            <w:tcW w:w="496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34462484" w14:textId="77777777" w:rsidR="005F1859" w:rsidRPr="00113F86" w:rsidRDefault="005F1859" w:rsidP="00EF5C9A">
            <w:pPr>
              <w:rPr>
                <w:rFonts w:cs="Arial"/>
                <w:b/>
              </w:rPr>
            </w:pPr>
          </w:p>
          <w:p w14:paraId="01F3B5A5" w14:textId="77777777" w:rsidR="005F1859" w:rsidRPr="00113F86" w:rsidRDefault="005F1859" w:rsidP="00EF5C9A">
            <w:pPr>
              <w:rPr>
                <w:rFonts w:cs="Arial"/>
                <w:b/>
              </w:rPr>
            </w:pPr>
          </w:p>
        </w:tc>
        <w:tc>
          <w:tcPr>
            <w:tcW w:w="126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7D8C3EAC" w14:textId="77777777" w:rsidR="005F1859" w:rsidRPr="00113F86" w:rsidRDefault="005F1859" w:rsidP="00EF5C9A">
            <w:pPr>
              <w:jc w:val="center"/>
              <w:rPr>
                <w:rFonts w:cs="Arial"/>
                <w:b/>
              </w:rPr>
            </w:pPr>
            <w:r>
              <w:rPr>
                <w:rFonts w:cs="Arial"/>
                <w:b/>
                <w:bCs/>
              </w:rPr>
              <w:t>2020/21</w:t>
            </w:r>
          </w:p>
          <w:p w14:paraId="084D547C" w14:textId="77777777" w:rsidR="005F1859" w:rsidRPr="00113F86" w:rsidRDefault="005F1859" w:rsidP="00EF5C9A">
            <w:pPr>
              <w:jc w:val="center"/>
              <w:rPr>
                <w:rFonts w:cs="Arial"/>
                <w:b/>
              </w:rPr>
            </w:pPr>
            <w:r w:rsidRPr="00113F86">
              <w:rPr>
                <w:rFonts w:cs="Arial"/>
                <w:b/>
                <w:bCs/>
              </w:rPr>
              <w:t>£m</w:t>
            </w:r>
          </w:p>
        </w:tc>
      </w:tr>
      <w:tr w:rsidR="005F1859" w:rsidRPr="00113F86" w14:paraId="15266703" w14:textId="77777777" w:rsidTr="00EF5C9A">
        <w:trPr>
          <w:trHeight w:val="341"/>
          <w:jc w:val="center"/>
        </w:trPr>
        <w:tc>
          <w:tcPr>
            <w:tcW w:w="4966" w:type="dxa"/>
            <w:tcBorders>
              <w:top w:val="single" w:sz="4" w:space="0" w:color="000000"/>
              <w:left w:val="single" w:sz="4" w:space="0" w:color="000000"/>
              <w:bottom w:val="single" w:sz="4" w:space="0" w:color="000000"/>
              <w:right w:val="single" w:sz="4" w:space="0" w:color="000000"/>
            </w:tcBorders>
          </w:tcPr>
          <w:p w14:paraId="63812FFC" w14:textId="77777777" w:rsidR="005F1859" w:rsidRPr="001A491A" w:rsidRDefault="005F1859" w:rsidP="00EF5C9A">
            <w:pPr>
              <w:rPr>
                <w:rFonts w:cs="Arial"/>
              </w:rPr>
            </w:pPr>
            <w:r>
              <w:rPr>
                <w:rFonts w:cs="Arial"/>
              </w:rPr>
              <w:t>Increased costs for Bridgend clinical negligence and personal injury claims</w:t>
            </w:r>
          </w:p>
        </w:tc>
        <w:tc>
          <w:tcPr>
            <w:tcW w:w="1261" w:type="dxa"/>
            <w:tcBorders>
              <w:top w:val="single" w:sz="4" w:space="0" w:color="000000"/>
              <w:left w:val="single" w:sz="4" w:space="0" w:color="000000"/>
              <w:bottom w:val="single" w:sz="4" w:space="0" w:color="000000"/>
              <w:right w:val="single" w:sz="4" w:space="0" w:color="000000"/>
            </w:tcBorders>
          </w:tcPr>
          <w:p w14:paraId="6E1ACC8E" w14:textId="77777777" w:rsidR="005F1859" w:rsidRPr="00113F86" w:rsidRDefault="005F1859" w:rsidP="00EF5C9A">
            <w:pPr>
              <w:jc w:val="center"/>
              <w:rPr>
                <w:rFonts w:cs="Arial"/>
              </w:rPr>
            </w:pPr>
            <w:r>
              <w:rPr>
                <w:rFonts w:cs="Arial"/>
              </w:rPr>
              <w:t>0.5</w:t>
            </w:r>
          </w:p>
        </w:tc>
      </w:tr>
      <w:tr w:rsidR="005F1859" w14:paraId="5FBF4B32" w14:textId="77777777" w:rsidTr="00EF5C9A">
        <w:trPr>
          <w:trHeight w:val="319"/>
          <w:jc w:val="center"/>
        </w:trPr>
        <w:tc>
          <w:tcPr>
            <w:tcW w:w="4966" w:type="dxa"/>
            <w:tcBorders>
              <w:top w:val="single" w:sz="4" w:space="0" w:color="000000"/>
              <w:left w:val="single" w:sz="4" w:space="0" w:color="000000"/>
              <w:bottom w:val="single" w:sz="4" w:space="0" w:color="000000"/>
              <w:right w:val="single" w:sz="4" w:space="0" w:color="000000"/>
            </w:tcBorders>
          </w:tcPr>
          <w:p w14:paraId="7D4AA8A4" w14:textId="77777777" w:rsidR="005F1859" w:rsidRDefault="005F1859" w:rsidP="00EF5C9A">
            <w:pPr>
              <w:rPr>
                <w:rFonts w:cs="Arial"/>
              </w:rPr>
            </w:pPr>
            <w:r>
              <w:rPr>
                <w:rFonts w:cs="Arial"/>
              </w:rPr>
              <w:t>Increased employer costs due to final pay pension control charges from Pensions Agency</w:t>
            </w:r>
          </w:p>
        </w:tc>
        <w:tc>
          <w:tcPr>
            <w:tcW w:w="1261" w:type="dxa"/>
            <w:tcBorders>
              <w:top w:val="single" w:sz="4" w:space="0" w:color="000000"/>
              <w:left w:val="single" w:sz="4" w:space="0" w:color="000000"/>
              <w:bottom w:val="single" w:sz="4" w:space="0" w:color="000000"/>
              <w:right w:val="single" w:sz="4" w:space="0" w:color="000000"/>
            </w:tcBorders>
          </w:tcPr>
          <w:p w14:paraId="34349184" w14:textId="77777777" w:rsidR="005F1859" w:rsidRDefault="005F1859" w:rsidP="00EF5C9A">
            <w:pPr>
              <w:jc w:val="center"/>
              <w:rPr>
                <w:rFonts w:cs="Arial"/>
              </w:rPr>
            </w:pPr>
            <w:r>
              <w:rPr>
                <w:rFonts w:cs="Arial"/>
              </w:rPr>
              <w:t>0.2</w:t>
            </w:r>
          </w:p>
        </w:tc>
      </w:tr>
      <w:tr w:rsidR="005F1859" w:rsidRPr="00113F86" w14:paraId="017A53D6" w14:textId="77777777" w:rsidTr="00EF5C9A">
        <w:trPr>
          <w:trHeight w:val="319"/>
          <w:jc w:val="center"/>
        </w:trPr>
        <w:tc>
          <w:tcPr>
            <w:tcW w:w="4966" w:type="dxa"/>
            <w:tcBorders>
              <w:top w:val="single" w:sz="4" w:space="0" w:color="000000"/>
              <w:left w:val="single" w:sz="4" w:space="0" w:color="000000"/>
              <w:bottom w:val="single" w:sz="4" w:space="0" w:color="000000"/>
              <w:right w:val="single" w:sz="4" w:space="0" w:color="000000"/>
            </w:tcBorders>
          </w:tcPr>
          <w:p w14:paraId="48B499A0" w14:textId="77777777" w:rsidR="005F1859" w:rsidRPr="00113F86" w:rsidRDefault="005F1859" w:rsidP="00EF5C9A">
            <w:pPr>
              <w:rPr>
                <w:rFonts w:cs="Arial"/>
                <w:bCs/>
              </w:rPr>
            </w:pPr>
            <w:r>
              <w:rPr>
                <w:rFonts w:cs="Arial"/>
                <w:bCs/>
              </w:rPr>
              <w:t>Pre commitment to roll out partial booking</w:t>
            </w:r>
          </w:p>
        </w:tc>
        <w:tc>
          <w:tcPr>
            <w:tcW w:w="1261" w:type="dxa"/>
            <w:tcBorders>
              <w:top w:val="single" w:sz="4" w:space="0" w:color="000000"/>
              <w:left w:val="single" w:sz="4" w:space="0" w:color="000000"/>
              <w:bottom w:val="single" w:sz="4" w:space="0" w:color="000000"/>
              <w:right w:val="single" w:sz="4" w:space="0" w:color="000000"/>
            </w:tcBorders>
          </w:tcPr>
          <w:p w14:paraId="53766E82" w14:textId="77777777" w:rsidR="005F1859" w:rsidRPr="00113F86" w:rsidRDefault="005F1859" w:rsidP="00EF5C9A">
            <w:pPr>
              <w:jc w:val="center"/>
              <w:rPr>
                <w:rFonts w:cs="Arial"/>
              </w:rPr>
            </w:pPr>
            <w:r>
              <w:rPr>
                <w:rFonts w:cs="Arial"/>
              </w:rPr>
              <w:t>0.1</w:t>
            </w:r>
          </w:p>
        </w:tc>
      </w:tr>
      <w:tr w:rsidR="005F1859" w:rsidRPr="00113F86" w14:paraId="1519AE1F" w14:textId="77777777" w:rsidTr="00EF5C9A">
        <w:trPr>
          <w:trHeight w:val="267"/>
          <w:jc w:val="center"/>
        </w:trPr>
        <w:tc>
          <w:tcPr>
            <w:tcW w:w="4966" w:type="dxa"/>
            <w:tcBorders>
              <w:top w:val="single" w:sz="4" w:space="0" w:color="000000"/>
              <w:left w:val="single" w:sz="4" w:space="0" w:color="000000"/>
              <w:bottom w:val="single" w:sz="4" w:space="0" w:color="000000"/>
              <w:right w:val="single" w:sz="4" w:space="0" w:color="000000"/>
            </w:tcBorders>
          </w:tcPr>
          <w:p w14:paraId="4CEEEDB7" w14:textId="77777777" w:rsidR="005F1859" w:rsidRPr="004615FE" w:rsidRDefault="005F1859" w:rsidP="00EF5C9A">
            <w:pPr>
              <w:rPr>
                <w:rFonts w:cs="Arial"/>
                <w:bCs/>
              </w:rPr>
            </w:pPr>
            <w:r w:rsidRPr="004615FE">
              <w:rPr>
                <w:rFonts w:cs="Arial"/>
                <w:bCs/>
              </w:rPr>
              <w:t>Pre commitment SARC</w:t>
            </w:r>
          </w:p>
        </w:tc>
        <w:tc>
          <w:tcPr>
            <w:tcW w:w="1261" w:type="dxa"/>
            <w:tcBorders>
              <w:top w:val="single" w:sz="4" w:space="0" w:color="000000"/>
              <w:left w:val="single" w:sz="4" w:space="0" w:color="000000"/>
              <w:bottom w:val="single" w:sz="4" w:space="0" w:color="000000"/>
              <w:right w:val="single" w:sz="4" w:space="0" w:color="000000"/>
            </w:tcBorders>
          </w:tcPr>
          <w:p w14:paraId="05226F6F" w14:textId="77777777" w:rsidR="005F1859" w:rsidRPr="001C59C9" w:rsidRDefault="005F1859" w:rsidP="00EF5C9A">
            <w:pPr>
              <w:jc w:val="center"/>
              <w:rPr>
                <w:rFonts w:cs="Arial"/>
                <w:bCs/>
              </w:rPr>
            </w:pPr>
            <w:r w:rsidRPr="001C59C9">
              <w:rPr>
                <w:rFonts w:cs="Arial"/>
                <w:bCs/>
              </w:rPr>
              <w:t>0.1</w:t>
            </w:r>
          </w:p>
        </w:tc>
      </w:tr>
      <w:tr w:rsidR="005F1859" w:rsidRPr="00113F86" w14:paraId="72AEEDFF" w14:textId="77777777" w:rsidTr="00EF5C9A">
        <w:trPr>
          <w:trHeight w:val="267"/>
          <w:jc w:val="center"/>
        </w:trPr>
        <w:tc>
          <w:tcPr>
            <w:tcW w:w="4966" w:type="dxa"/>
            <w:tcBorders>
              <w:top w:val="single" w:sz="4" w:space="0" w:color="000000"/>
              <w:left w:val="single" w:sz="4" w:space="0" w:color="000000"/>
              <w:bottom w:val="single" w:sz="4" w:space="0" w:color="000000"/>
              <w:right w:val="single" w:sz="4" w:space="0" w:color="000000"/>
            </w:tcBorders>
          </w:tcPr>
          <w:p w14:paraId="1539A8F7" w14:textId="77777777" w:rsidR="005F1859" w:rsidRPr="004615FE" w:rsidRDefault="005F1859" w:rsidP="00EF5C9A">
            <w:pPr>
              <w:rPr>
                <w:rFonts w:cs="Arial"/>
                <w:bCs/>
              </w:rPr>
            </w:pPr>
            <w:r w:rsidRPr="004615FE">
              <w:rPr>
                <w:rFonts w:cs="Arial"/>
                <w:bCs/>
              </w:rPr>
              <w:t xml:space="preserve">SIFT income shortfall for Bridgend </w:t>
            </w:r>
          </w:p>
        </w:tc>
        <w:tc>
          <w:tcPr>
            <w:tcW w:w="1261" w:type="dxa"/>
            <w:tcBorders>
              <w:top w:val="single" w:sz="4" w:space="0" w:color="000000"/>
              <w:left w:val="single" w:sz="4" w:space="0" w:color="000000"/>
              <w:bottom w:val="single" w:sz="4" w:space="0" w:color="000000"/>
              <w:right w:val="single" w:sz="4" w:space="0" w:color="000000"/>
            </w:tcBorders>
          </w:tcPr>
          <w:p w14:paraId="6013CD11" w14:textId="77777777" w:rsidR="005F1859" w:rsidRPr="004615FE" w:rsidRDefault="005F1859" w:rsidP="00EF5C9A">
            <w:pPr>
              <w:jc w:val="center"/>
              <w:rPr>
                <w:rFonts w:cs="Arial"/>
                <w:bCs/>
              </w:rPr>
            </w:pPr>
            <w:r w:rsidRPr="004615FE">
              <w:rPr>
                <w:rFonts w:cs="Arial"/>
                <w:bCs/>
              </w:rPr>
              <w:t>0.1</w:t>
            </w:r>
          </w:p>
        </w:tc>
      </w:tr>
      <w:tr w:rsidR="005F1859" w:rsidRPr="00113F86" w14:paraId="45C31EF9" w14:textId="77777777" w:rsidTr="00EF5C9A">
        <w:trPr>
          <w:trHeight w:val="267"/>
          <w:jc w:val="center"/>
        </w:trPr>
        <w:tc>
          <w:tcPr>
            <w:tcW w:w="4966" w:type="dxa"/>
            <w:tcBorders>
              <w:top w:val="single" w:sz="4" w:space="0" w:color="000000"/>
              <w:left w:val="single" w:sz="4" w:space="0" w:color="000000"/>
              <w:bottom w:val="single" w:sz="4" w:space="0" w:color="000000"/>
              <w:right w:val="single" w:sz="4" w:space="0" w:color="000000"/>
            </w:tcBorders>
          </w:tcPr>
          <w:p w14:paraId="3BED5443" w14:textId="77777777" w:rsidR="005F1859" w:rsidRPr="004615FE" w:rsidRDefault="005F1859" w:rsidP="00EF5C9A">
            <w:pPr>
              <w:rPr>
                <w:rFonts w:cs="Arial"/>
                <w:bCs/>
              </w:rPr>
            </w:pPr>
            <w:r w:rsidRPr="004615FE">
              <w:rPr>
                <w:rFonts w:cs="Arial"/>
                <w:bCs/>
              </w:rPr>
              <w:t>Microsoft 365 cost increases</w:t>
            </w:r>
          </w:p>
        </w:tc>
        <w:tc>
          <w:tcPr>
            <w:tcW w:w="1261" w:type="dxa"/>
            <w:tcBorders>
              <w:top w:val="single" w:sz="4" w:space="0" w:color="000000"/>
              <w:left w:val="single" w:sz="4" w:space="0" w:color="000000"/>
              <w:bottom w:val="single" w:sz="4" w:space="0" w:color="000000"/>
              <w:right w:val="single" w:sz="4" w:space="0" w:color="000000"/>
            </w:tcBorders>
          </w:tcPr>
          <w:p w14:paraId="1AC6554D" w14:textId="77777777" w:rsidR="005F1859" w:rsidRPr="004615FE" w:rsidRDefault="005F1859" w:rsidP="00EF5C9A">
            <w:pPr>
              <w:jc w:val="center"/>
              <w:rPr>
                <w:rFonts w:cs="Arial"/>
                <w:bCs/>
              </w:rPr>
            </w:pPr>
            <w:r w:rsidRPr="004615FE">
              <w:rPr>
                <w:rFonts w:cs="Arial"/>
                <w:bCs/>
              </w:rPr>
              <w:t>0.5</w:t>
            </w:r>
          </w:p>
        </w:tc>
      </w:tr>
      <w:tr w:rsidR="005F1859" w:rsidRPr="00113F86" w14:paraId="36A5DD44" w14:textId="77777777" w:rsidTr="00EF5C9A">
        <w:trPr>
          <w:trHeight w:val="267"/>
          <w:jc w:val="center"/>
        </w:trPr>
        <w:tc>
          <w:tcPr>
            <w:tcW w:w="4966" w:type="dxa"/>
            <w:tcBorders>
              <w:top w:val="single" w:sz="4" w:space="0" w:color="000000"/>
              <w:left w:val="single" w:sz="4" w:space="0" w:color="000000"/>
              <w:bottom w:val="single" w:sz="4" w:space="0" w:color="000000"/>
              <w:right w:val="single" w:sz="4" w:space="0" w:color="000000"/>
            </w:tcBorders>
          </w:tcPr>
          <w:p w14:paraId="6988128B" w14:textId="77777777" w:rsidR="005F1859" w:rsidRPr="004615FE" w:rsidRDefault="005F1859" w:rsidP="00EF5C9A">
            <w:pPr>
              <w:rPr>
                <w:rFonts w:cs="Arial"/>
                <w:bCs/>
              </w:rPr>
            </w:pPr>
            <w:r w:rsidRPr="004615FE">
              <w:rPr>
                <w:rFonts w:cs="Arial"/>
                <w:bCs/>
              </w:rPr>
              <w:t>Other ICT cost increases for ED and Child Health systems</w:t>
            </w:r>
          </w:p>
        </w:tc>
        <w:tc>
          <w:tcPr>
            <w:tcW w:w="1261" w:type="dxa"/>
            <w:tcBorders>
              <w:top w:val="single" w:sz="4" w:space="0" w:color="000000"/>
              <w:left w:val="single" w:sz="4" w:space="0" w:color="000000"/>
              <w:bottom w:val="single" w:sz="4" w:space="0" w:color="000000"/>
              <w:right w:val="single" w:sz="4" w:space="0" w:color="000000"/>
            </w:tcBorders>
          </w:tcPr>
          <w:p w14:paraId="243C4167" w14:textId="77777777" w:rsidR="005F1859" w:rsidRPr="004615FE" w:rsidRDefault="005F1859" w:rsidP="00EF5C9A">
            <w:pPr>
              <w:jc w:val="center"/>
              <w:rPr>
                <w:rFonts w:cs="Arial"/>
                <w:bCs/>
              </w:rPr>
            </w:pPr>
            <w:r w:rsidRPr="004615FE">
              <w:rPr>
                <w:rFonts w:cs="Arial"/>
                <w:bCs/>
              </w:rPr>
              <w:t>0.2</w:t>
            </w:r>
          </w:p>
        </w:tc>
      </w:tr>
      <w:tr w:rsidR="005F1859" w:rsidRPr="00113F86" w14:paraId="57EEB28E" w14:textId="77777777" w:rsidTr="00EF5C9A">
        <w:trPr>
          <w:trHeight w:val="267"/>
          <w:jc w:val="center"/>
        </w:trPr>
        <w:tc>
          <w:tcPr>
            <w:tcW w:w="4966" w:type="dxa"/>
            <w:tcBorders>
              <w:top w:val="single" w:sz="4" w:space="0" w:color="000000"/>
              <w:left w:val="single" w:sz="4" w:space="0" w:color="000000"/>
              <w:bottom w:val="single" w:sz="4" w:space="0" w:color="000000"/>
              <w:right w:val="single" w:sz="4" w:space="0" w:color="000000"/>
            </w:tcBorders>
            <w:hideMark/>
          </w:tcPr>
          <w:p w14:paraId="1426532C" w14:textId="77777777" w:rsidR="005F1859" w:rsidRPr="00113F86" w:rsidRDefault="005F1859" w:rsidP="00EF5C9A">
            <w:pPr>
              <w:rPr>
                <w:rFonts w:cs="Arial"/>
                <w:b/>
                <w:bCs/>
              </w:rPr>
            </w:pPr>
            <w:r w:rsidRPr="00113F86">
              <w:rPr>
                <w:rFonts w:cs="Arial"/>
                <w:b/>
                <w:bCs/>
              </w:rPr>
              <w:t xml:space="preserve">Total </w:t>
            </w:r>
          </w:p>
        </w:tc>
        <w:tc>
          <w:tcPr>
            <w:tcW w:w="1261" w:type="dxa"/>
            <w:tcBorders>
              <w:top w:val="single" w:sz="4" w:space="0" w:color="000000"/>
              <w:left w:val="single" w:sz="4" w:space="0" w:color="000000"/>
              <w:bottom w:val="single" w:sz="4" w:space="0" w:color="000000"/>
              <w:right w:val="single" w:sz="4" w:space="0" w:color="000000"/>
            </w:tcBorders>
          </w:tcPr>
          <w:p w14:paraId="1D516DD1" w14:textId="77777777" w:rsidR="005F1859" w:rsidRPr="00113F86" w:rsidRDefault="005F1859" w:rsidP="00EF5C9A">
            <w:pPr>
              <w:jc w:val="center"/>
              <w:rPr>
                <w:rFonts w:cs="Arial"/>
                <w:b/>
                <w:bCs/>
              </w:rPr>
            </w:pPr>
            <w:r>
              <w:rPr>
                <w:rFonts w:cs="Arial"/>
                <w:b/>
                <w:bCs/>
              </w:rPr>
              <w:t>1.7</w:t>
            </w:r>
          </w:p>
        </w:tc>
      </w:tr>
    </w:tbl>
    <w:p w14:paraId="7B44E44C" w14:textId="77777777" w:rsidR="005F1859" w:rsidRPr="00DF283E" w:rsidRDefault="005F1859" w:rsidP="005F1859">
      <w:pPr>
        <w:pStyle w:val="Heading3"/>
        <w:numPr>
          <w:ilvl w:val="0"/>
          <w:numId w:val="0"/>
        </w:numPr>
      </w:pPr>
      <w:r w:rsidRPr="00DF283E">
        <w:t>Increased demand for beds</w:t>
      </w:r>
    </w:p>
    <w:p w14:paraId="1CF73B56" w14:textId="77777777" w:rsidR="005F1859" w:rsidRDefault="005F1859" w:rsidP="005F1859">
      <w:pPr>
        <w:pStyle w:val="Heading3"/>
        <w:numPr>
          <w:ilvl w:val="0"/>
          <w:numId w:val="0"/>
        </w:numPr>
        <w:rPr>
          <w:b w:val="0"/>
        </w:rPr>
      </w:pPr>
      <w:r w:rsidRPr="001568E5">
        <w:rPr>
          <w:b w:val="0"/>
        </w:rPr>
        <w:t>The 201</w:t>
      </w:r>
      <w:r>
        <w:rPr>
          <w:b w:val="0"/>
        </w:rPr>
        <w:t>9</w:t>
      </w:r>
      <w:r w:rsidRPr="001568E5">
        <w:rPr>
          <w:b w:val="0"/>
        </w:rPr>
        <w:t>/</w:t>
      </w:r>
      <w:r>
        <w:rPr>
          <w:b w:val="0"/>
        </w:rPr>
        <w:t>20</w:t>
      </w:r>
      <w:r w:rsidRPr="001568E5">
        <w:rPr>
          <w:b w:val="0"/>
        </w:rPr>
        <w:t xml:space="preserve"> financial plan include</w:t>
      </w:r>
      <w:r>
        <w:rPr>
          <w:b w:val="0"/>
        </w:rPr>
        <w:t>s</w:t>
      </w:r>
      <w:r w:rsidRPr="001568E5">
        <w:rPr>
          <w:b w:val="0"/>
        </w:rPr>
        <w:t xml:space="preserve"> a £1.7m provision for increased demand from unscheduled care admissions and growth in bed days. </w:t>
      </w:r>
      <w:r>
        <w:rPr>
          <w:b w:val="0"/>
        </w:rPr>
        <w:t xml:space="preserve"> </w:t>
      </w:r>
      <w:r w:rsidRPr="001568E5">
        <w:rPr>
          <w:b w:val="0"/>
        </w:rPr>
        <w:t>A further provision of £1.5m has been built into the financial plan</w:t>
      </w:r>
      <w:r>
        <w:rPr>
          <w:b w:val="0"/>
        </w:rPr>
        <w:t xml:space="preserve"> for 2020/21 and 2021/22</w:t>
      </w:r>
      <w:r w:rsidRPr="001568E5">
        <w:rPr>
          <w:b w:val="0"/>
        </w:rPr>
        <w:t>.</w:t>
      </w:r>
      <w:r>
        <w:rPr>
          <w:b w:val="0"/>
        </w:rPr>
        <w:t xml:space="preserve"> </w:t>
      </w:r>
      <w:r w:rsidRPr="001568E5">
        <w:rPr>
          <w:b w:val="0"/>
        </w:rPr>
        <w:t xml:space="preserve"> Provided the Health Board can man</w:t>
      </w:r>
      <w:r>
        <w:rPr>
          <w:b w:val="0"/>
        </w:rPr>
        <w:t>a</w:t>
      </w:r>
      <w:r w:rsidRPr="001568E5">
        <w:rPr>
          <w:b w:val="0"/>
        </w:rPr>
        <w:t>ge within its existing bed base through admissions avoidance and improved length of stay the planning assumption is that</w:t>
      </w:r>
      <w:r>
        <w:rPr>
          <w:b w:val="0"/>
        </w:rPr>
        <w:t>:</w:t>
      </w:r>
    </w:p>
    <w:p w14:paraId="53AC124E" w14:textId="77777777" w:rsidR="005F1859" w:rsidRPr="006274CF" w:rsidRDefault="005F1859" w:rsidP="005F1859">
      <w:pPr>
        <w:pStyle w:val="Heading3"/>
        <w:numPr>
          <w:ilvl w:val="0"/>
          <w:numId w:val="109"/>
        </w:numPr>
      </w:pPr>
      <w:r w:rsidRPr="006274CF">
        <w:rPr>
          <w:b w:val="0"/>
        </w:rPr>
        <w:t>The recurring reserve in 2020/21 of £3.2m will be released on a non-recurring basis (</w:t>
      </w:r>
      <w:r w:rsidRPr="006274CF">
        <w:t>See Section 1.8).</w:t>
      </w:r>
    </w:p>
    <w:p w14:paraId="0B471FCB" w14:textId="77777777" w:rsidR="005F1859" w:rsidRDefault="005F1859" w:rsidP="005F1859">
      <w:pPr>
        <w:pStyle w:val="ListParagraph"/>
        <w:numPr>
          <w:ilvl w:val="0"/>
          <w:numId w:val="109"/>
        </w:numPr>
      </w:pPr>
      <w:r w:rsidRPr="006274CF">
        <w:t>The recurring reserve in 2021/22 will provide a £4.7m recurring contribution to the sustainability plan for the Transformation programme (</w:t>
      </w:r>
      <w:r>
        <w:rPr>
          <w:b/>
        </w:rPr>
        <w:t>See Section 1.5.4</w:t>
      </w:r>
      <w:r w:rsidRPr="006274CF">
        <w:t>).</w:t>
      </w:r>
    </w:p>
    <w:p w14:paraId="429B5FF9" w14:textId="77777777" w:rsidR="005F1859" w:rsidRPr="009C797E" w:rsidRDefault="005F1859" w:rsidP="005F1859">
      <w:pPr>
        <w:pStyle w:val="Heading3"/>
        <w:ind w:left="1146" w:hanging="720"/>
      </w:pPr>
      <w:r w:rsidRPr="009C797E">
        <w:t>Welsh Risk Pool (WRP)</w:t>
      </w:r>
    </w:p>
    <w:p w14:paraId="5DBDBA42" w14:textId="77777777" w:rsidR="005F1859" w:rsidRPr="00DA5973" w:rsidRDefault="005F1859" w:rsidP="005F1859">
      <w:r w:rsidRPr="00DA5973">
        <w:t>The cost of clinical negligence and other claims previously met by the Welsh Risk Pool have been met by Health Boards since 2015/16.</w:t>
      </w:r>
      <w:r>
        <w:t xml:space="preserve"> </w:t>
      </w:r>
      <w:r w:rsidRPr="00DA5973">
        <w:t xml:space="preserve"> A risk sharing arrangement has been put in place such that all costs are shared between LHBs proportionate to their shares of the devolved budget. </w:t>
      </w:r>
    </w:p>
    <w:p w14:paraId="529F57E8" w14:textId="77777777" w:rsidR="005F1859" w:rsidRPr="00DA5973" w:rsidRDefault="005F1859" w:rsidP="005F1859"/>
    <w:p w14:paraId="45FC48A1" w14:textId="77777777" w:rsidR="005F1859" w:rsidRPr="00DA5973" w:rsidRDefault="005F1859" w:rsidP="005F1859">
      <w:r w:rsidRPr="00DA5973">
        <w:lastRenderedPageBreak/>
        <w:t>Up until 2018/19 the new risk sharing arrangement has not resulted in any additional cost pressures for Health Boards.</w:t>
      </w:r>
      <w:r>
        <w:t xml:space="preserve"> </w:t>
      </w:r>
      <w:r w:rsidRPr="00DA5973">
        <w:t xml:space="preserve"> However, the latest information from NWSSP is indicating an additional charge in 2019/20 of £</w:t>
      </w:r>
      <w:r>
        <w:t>0.5</w:t>
      </w:r>
      <w:r w:rsidRPr="00DA5973">
        <w:t>m to CTM (</w:t>
      </w:r>
      <w:r>
        <w:t>circa £4.5</w:t>
      </w:r>
      <w:r w:rsidRPr="00DA5973">
        <w:t xml:space="preserve">m across all health boards). </w:t>
      </w:r>
    </w:p>
    <w:p w14:paraId="7A7B3129" w14:textId="77777777" w:rsidR="005F1859" w:rsidRPr="00DA5973" w:rsidRDefault="005F1859" w:rsidP="005F1859"/>
    <w:p w14:paraId="6319E894" w14:textId="77777777" w:rsidR="005F1859" w:rsidRPr="00266272" w:rsidRDefault="005F1859" w:rsidP="005F1859">
      <w:r w:rsidRPr="00DA5973">
        <w:t xml:space="preserve">Based on the latest information provided by NWSSP, the </w:t>
      </w:r>
      <w:r>
        <w:t>p</w:t>
      </w:r>
      <w:r w:rsidRPr="00DA5973">
        <w:t xml:space="preserve">lan includes a provision of £1.7m for 2020/21 plus a further £0.1m per annum for each of the following 2 years. </w:t>
      </w:r>
      <w:r w:rsidRPr="00D5055F">
        <w:t xml:space="preserve"> </w:t>
      </w:r>
    </w:p>
    <w:p w14:paraId="73FC6B2D" w14:textId="77777777" w:rsidR="005F1859" w:rsidRPr="00986EAA" w:rsidRDefault="005F1859" w:rsidP="005F1859">
      <w:pPr>
        <w:pStyle w:val="Heading3"/>
        <w:ind w:left="1146" w:hanging="720"/>
      </w:pPr>
      <w:r>
        <w:t>WHSSC Demand and C</w:t>
      </w:r>
      <w:r w:rsidRPr="00986EAA">
        <w:t xml:space="preserve">ost </w:t>
      </w:r>
      <w:r>
        <w:t>P</w:t>
      </w:r>
      <w:r w:rsidRPr="00986EAA">
        <w:t>ressures</w:t>
      </w:r>
    </w:p>
    <w:p w14:paraId="35A88F64" w14:textId="77777777" w:rsidR="005F1859" w:rsidRPr="006274CF" w:rsidRDefault="005F1859" w:rsidP="005F1859">
      <w:r w:rsidRPr="006274CF">
        <w:t>The financial plan includes a sum of £3.6m for WHSSC demand and cost pressures in 2020/21 followed by £3.0m per annum for each of the following two years.</w:t>
      </w:r>
      <w:r>
        <w:t xml:space="preserve"> </w:t>
      </w:r>
      <w:r w:rsidRPr="006274CF">
        <w:t xml:space="preserve"> The latest estimates from WHSSC are that they require an additional £3.6m in 2020/21 which is in line with the CTM financial planning assumption. </w:t>
      </w:r>
    </w:p>
    <w:p w14:paraId="1E91B47D" w14:textId="77777777" w:rsidR="005F1859" w:rsidRPr="00986EAA" w:rsidRDefault="005F1859" w:rsidP="005F1859">
      <w:pPr>
        <w:pStyle w:val="Heading3"/>
        <w:ind w:left="1146" w:hanging="720"/>
      </w:pPr>
      <w:r w:rsidRPr="00986EAA">
        <w:t xml:space="preserve">EASC </w:t>
      </w:r>
      <w:r>
        <w:t>D</w:t>
      </w:r>
      <w:r w:rsidRPr="00986EAA">
        <w:t xml:space="preserve">emand and </w:t>
      </w:r>
      <w:r>
        <w:t>C</w:t>
      </w:r>
      <w:r w:rsidRPr="00986EAA">
        <w:t xml:space="preserve">ost </w:t>
      </w:r>
      <w:r>
        <w:t>P</w:t>
      </w:r>
      <w:r w:rsidRPr="00986EAA">
        <w:t>ressures</w:t>
      </w:r>
    </w:p>
    <w:p w14:paraId="56C5EBFC" w14:textId="77777777" w:rsidR="005F1859" w:rsidRPr="008A6992" w:rsidRDefault="005F1859" w:rsidP="005F1859">
      <w:r w:rsidRPr="001354D2">
        <w:t xml:space="preserve">The financial plan includes the following sums for EASC for 2020/21: </w:t>
      </w:r>
    </w:p>
    <w:p w14:paraId="01FB14D1" w14:textId="77777777" w:rsidR="005F1859" w:rsidRPr="00F355E0" w:rsidRDefault="005F1859" w:rsidP="005F1859">
      <w:pPr>
        <w:rPr>
          <w:i/>
          <w:highlight w:val="yellow"/>
        </w:rPr>
      </w:pPr>
    </w:p>
    <w:tbl>
      <w:tblPr>
        <w:tblW w:w="8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8"/>
        <w:gridCol w:w="1282"/>
        <w:gridCol w:w="1134"/>
        <w:gridCol w:w="1329"/>
      </w:tblGrid>
      <w:tr w:rsidR="005F1859" w:rsidRPr="00F355E0" w14:paraId="0630E522" w14:textId="77777777" w:rsidTr="00EF5C9A">
        <w:trPr>
          <w:trHeight w:val="255"/>
          <w:tblHeader/>
          <w:jc w:val="center"/>
        </w:trPr>
        <w:tc>
          <w:tcPr>
            <w:tcW w:w="5098" w:type="dxa"/>
            <w:tcBorders>
              <w:top w:val="single" w:sz="4" w:space="0" w:color="auto"/>
              <w:left w:val="single" w:sz="4" w:space="0" w:color="auto"/>
              <w:bottom w:val="nil"/>
              <w:right w:val="single" w:sz="4" w:space="0" w:color="auto"/>
            </w:tcBorders>
            <w:shd w:val="clear" w:color="auto" w:fill="DBE5F1" w:themeFill="accent1" w:themeFillTint="33"/>
            <w:hideMark/>
          </w:tcPr>
          <w:p w14:paraId="185A497B" w14:textId="77777777" w:rsidR="005F1859" w:rsidRPr="00A81AF0" w:rsidRDefault="005F1859" w:rsidP="00EF5C9A">
            <w:pPr>
              <w:jc w:val="left"/>
              <w:rPr>
                <w:rFonts w:asciiTheme="minorHAnsi" w:hAnsiTheme="minorHAnsi" w:cs="Times New Roman"/>
                <w:sz w:val="20"/>
                <w:szCs w:val="20"/>
              </w:rPr>
            </w:pPr>
            <w:r w:rsidRPr="00A81AF0">
              <w:br w:type="page"/>
            </w:r>
            <w:r w:rsidRPr="00A81AF0">
              <w:rPr>
                <w:rFonts w:asciiTheme="minorHAnsi" w:hAnsiTheme="minorHAnsi" w:cs="Times New Roman"/>
                <w:b/>
                <w:bCs/>
                <w:color w:val="000000"/>
                <w:sz w:val="20"/>
                <w:szCs w:val="20"/>
              </w:rPr>
              <w:br w:type="page"/>
            </w:r>
          </w:p>
        </w:tc>
        <w:tc>
          <w:tcPr>
            <w:tcW w:w="1282" w:type="dxa"/>
            <w:tcBorders>
              <w:top w:val="single" w:sz="4" w:space="0" w:color="auto"/>
              <w:left w:val="single" w:sz="4" w:space="0" w:color="auto"/>
              <w:bottom w:val="nil"/>
              <w:right w:val="single" w:sz="4" w:space="0" w:color="auto"/>
            </w:tcBorders>
            <w:shd w:val="clear" w:color="auto" w:fill="DBE5F1" w:themeFill="accent1" w:themeFillTint="33"/>
            <w:hideMark/>
          </w:tcPr>
          <w:p w14:paraId="5AC1A5F6" w14:textId="77777777" w:rsidR="005F1859" w:rsidRPr="00A81AF0"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p>
          <w:p w14:paraId="5208BAA3" w14:textId="77777777" w:rsidR="005F1859" w:rsidRPr="00A81AF0"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 xml:space="preserve">20/21 </w:t>
            </w:r>
          </w:p>
        </w:tc>
        <w:tc>
          <w:tcPr>
            <w:tcW w:w="1134" w:type="dxa"/>
            <w:tcBorders>
              <w:top w:val="single" w:sz="4" w:space="0" w:color="auto"/>
              <w:left w:val="single" w:sz="4" w:space="0" w:color="auto"/>
              <w:bottom w:val="nil"/>
              <w:right w:val="single" w:sz="4" w:space="0" w:color="auto"/>
            </w:tcBorders>
            <w:shd w:val="clear" w:color="auto" w:fill="DBE5F1" w:themeFill="accent1" w:themeFillTint="33"/>
            <w:hideMark/>
          </w:tcPr>
          <w:p w14:paraId="33ECEB1D" w14:textId="77777777" w:rsidR="005F1859" w:rsidRPr="00A81AF0"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p>
          <w:p w14:paraId="23048098" w14:textId="77777777" w:rsidR="005F1859" w:rsidRPr="00A81AF0"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21/22</w:t>
            </w:r>
          </w:p>
        </w:tc>
        <w:tc>
          <w:tcPr>
            <w:tcW w:w="1329" w:type="dxa"/>
            <w:tcBorders>
              <w:top w:val="single" w:sz="4" w:space="0" w:color="auto"/>
              <w:left w:val="single" w:sz="4" w:space="0" w:color="auto"/>
              <w:bottom w:val="nil"/>
              <w:right w:val="single" w:sz="4" w:space="0" w:color="auto"/>
            </w:tcBorders>
            <w:shd w:val="clear" w:color="auto" w:fill="DBE5F1" w:themeFill="accent1" w:themeFillTint="33"/>
            <w:hideMark/>
          </w:tcPr>
          <w:p w14:paraId="7EC5FE83" w14:textId="77777777" w:rsidR="005F1859" w:rsidRPr="00A81AF0"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p>
          <w:p w14:paraId="0CC1E9BE" w14:textId="77777777" w:rsidR="005F1859" w:rsidRPr="00A81AF0" w:rsidRDefault="005F1859" w:rsidP="00EF5C9A">
            <w:pPr>
              <w:autoSpaceDE w:val="0"/>
              <w:autoSpaceDN w:val="0"/>
              <w:adjustRightInd w:val="0"/>
              <w:spacing w:line="241" w:lineRule="atLeast"/>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22/23</w:t>
            </w:r>
          </w:p>
        </w:tc>
      </w:tr>
      <w:tr w:rsidR="005F1859" w:rsidRPr="00F355E0" w14:paraId="701061FD" w14:textId="77777777" w:rsidTr="00EF5C9A">
        <w:trPr>
          <w:trHeight w:val="255"/>
          <w:tblHeader/>
          <w:jc w:val="center"/>
        </w:trPr>
        <w:tc>
          <w:tcPr>
            <w:tcW w:w="5098" w:type="dxa"/>
            <w:tcBorders>
              <w:top w:val="nil"/>
              <w:left w:val="single" w:sz="4" w:space="0" w:color="auto"/>
              <w:bottom w:val="single" w:sz="4" w:space="0" w:color="auto"/>
              <w:right w:val="single" w:sz="4" w:space="0" w:color="auto"/>
            </w:tcBorders>
            <w:shd w:val="clear" w:color="auto" w:fill="DBE5F1" w:themeFill="accent1" w:themeFillTint="33"/>
            <w:hideMark/>
          </w:tcPr>
          <w:p w14:paraId="1CD30B4A" w14:textId="77777777" w:rsidR="005F1859" w:rsidRPr="00A81AF0" w:rsidRDefault="005F1859" w:rsidP="00EF5C9A">
            <w:pPr>
              <w:jc w:val="left"/>
              <w:rPr>
                <w:rFonts w:asciiTheme="minorHAnsi" w:hAnsiTheme="minorHAnsi" w:cs="Times New Roman"/>
                <w:sz w:val="20"/>
                <w:szCs w:val="20"/>
              </w:rPr>
            </w:pPr>
          </w:p>
        </w:tc>
        <w:tc>
          <w:tcPr>
            <w:tcW w:w="1282" w:type="dxa"/>
            <w:tcBorders>
              <w:top w:val="nil"/>
              <w:left w:val="single" w:sz="4" w:space="0" w:color="auto"/>
              <w:bottom w:val="single" w:sz="4" w:space="0" w:color="auto"/>
              <w:right w:val="single" w:sz="4" w:space="0" w:color="auto"/>
            </w:tcBorders>
            <w:shd w:val="clear" w:color="auto" w:fill="DBE5F1" w:themeFill="accent1" w:themeFillTint="33"/>
            <w:hideMark/>
          </w:tcPr>
          <w:p w14:paraId="6764E9BA" w14:textId="77777777" w:rsidR="005F1859" w:rsidRPr="00A81AF0" w:rsidRDefault="005F1859" w:rsidP="00EF5C9A">
            <w:pPr>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£m</w:t>
            </w:r>
          </w:p>
        </w:tc>
        <w:tc>
          <w:tcPr>
            <w:tcW w:w="1134" w:type="dxa"/>
            <w:tcBorders>
              <w:top w:val="nil"/>
              <w:left w:val="single" w:sz="4" w:space="0" w:color="auto"/>
              <w:bottom w:val="single" w:sz="4" w:space="0" w:color="auto"/>
              <w:right w:val="single" w:sz="4" w:space="0" w:color="auto"/>
            </w:tcBorders>
            <w:shd w:val="clear" w:color="auto" w:fill="DBE5F1" w:themeFill="accent1" w:themeFillTint="33"/>
            <w:hideMark/>
          </w:tcPr>
          <w:p w14:paraId="2567683A" w14:textId="77777777" w:rsidR="005F1859" w:rsidRPr="00A81AF0" w:rsidRDefault="005F1859" w:rsidP="00EF5C9A">
            <w:pPr>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£m</w:t>
            </w:r>
          </w:p>
        </w:tc>
        <w:tc>
          <w:tcPr>
            <w:tcW w:w="1329" w:type="dxa"/>
            <w:tcBorders>
              <w:top w:val="nil"/>
              <w:left w:val="single" w:sz="4" w:space="0" w:color="auto"/>
              <w:bottom w:val="single" w:sz="4" w:space="0" w:color="auto"/>
              <w:right w:val="single" w:sz="4" w:space="0" w:color="auto"/>
            </w:tcBorders>
            <w:shd w:val="clear" w:color="auto" w:fill="DBE5F1" w:themeFill="accent1" w:themeFillTint="33"/>
            <w:hideMark/>
          </w:tcPr>
          <w:p w14:paraId="0B1642E1" w14:textId="77777777" w:rsidR="005F1859" w:rsidRPr="00A81AF0" w:rsidRDefault="005F1859" w:rsidP="00EF5C9A">
            <w:pPr>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£m</w:t>
            </w:r>
          </w:p>
        </w:tc>
      </w:tr>
      <w:tr w:rsidR="005F1859" w:rsidRPr="00F355E0" w14:paraId="4364DFE4" w14:textId="77777777" w:rsidTr="00EF5C9A">
        <w:trPr>
          <w:trHeight w:val="255"/>
          <w:jc w:val="center"/>
        </w:trPr>
        <w:tc>
          <w:tcPr>
            <w:tcW w:w="5098" w:type="dxa"/>
            <w:tcBorders>
              <w:top w:val="single" w:sz="4" w:space="0" w:color="auto"/>
              <w:left w:val="single" w:sz="4" w:space="0" w:color="auto"/>
              <w:bottom w:val="single" w:sz="4" w:space="0" w:color="auto"/>
              <w:right w:val="single" w:sz="4" w:space="0" w:color="auto"/>
            </w:tcBorders>
            <w:shd w:val="clear" w:color="auto" w:fill="auto"/>
          </w:tcPr>
          <w:p w14:paraId="3F8C2637" w14:textId="77777777" w:rsidR="005F1859" w:rsidRPr="00E63F42" w:rsidRDefault="005F1859" w:rsidP="00EF5C9A">
            <w:pPr>
              <w:rPr>
                <w:rFonts w:asciiTheme="minorHAnsi" w:hAnsiTheme="minorHAnsi" w:cs="Arial"/>
                <w:sz w:val="20"/>
                <w:szCs w:val="20"/>
              </w:rPr>
            </w:pPr>
            <w:r w:rsidRPr="00E63F42">
              <w:rPr>
                <w:rFonts w:asciiTheme="minorHAnsi" w:hAnsiTheme="minorHAnsi" w:cs="Arial"/>
                <w:sz w:val="20"/>
                <w:szCs w:val="20"/>
              </w:rPr>
              <w:t>EMRTS</w:t>
            </w:r>
          </w:p>
        </w:tc>
        <w:tc>
          <w:tcPr>
            <w:tcW w:w="1282" w:type="dxa"/>
            <w:tcBorders>
              <w:top w:val="single" w:sz="4" w:space="0" w:color="auto"/>
              <w:left w:val="single" w:sz="4" w:space="0" w:color="auto"/>
              <w:bottom w:val="single" w:sz="4" w:space="0" w:color="auto"/>
              <w:right w:val="single" w:sz="4" w:space="0" w:color="auto"/>
            </w:tcBorders>
            <w:shd w:val="clear" w:color="auto" w:fill="auto"/>
          </w:tcPr>
          <w:p w14:paraId="7EA2D6D5" w14:textId="77777777" w:rsidR="005F1859" w:rsidRPr="00E63F42" w:rsidRDefault="005F1859" w:rsidP="00EF5C9A">
            <w:pPr>
              <w:jc w:val="center"/>
              <w:rPr>
                <w:rFonts w:asciiTheme="minorHAnsi" w:hAnsiTheme="minorHAnsi" w:cs="Arial"/>
                <w:sz w:val="20"/>
                <w:szCs w:val="20"/>
              </w:rPr>
            </w:pPr>
            <w:r w:rsidRPr="00E63F42">
              <w:rPr>
                <w:rFonts w:asciiTheme="minorHAnsi" w:hAnsiTheme="minorHAnsi" w:cs="Arial"/>
                <w:sz w:val="20"/>
                <w:szCs w:val="20"/>
              </w:rPr>
              <w:t>0</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81894D3" w14:textId="77777777" w:rsidR="005F1859" w:rsidRPr="00E63F42" w:rsidRDefault="005F1859" w:rsidP="00EF5C9A">
            <w:pPr>
              <w:jc w:val="center"/>
              <w:rPr>
                <w:rFonts w:asciiTheme="minorHAnsi" w:hAnsiTheme="minorHAnsi" w:cs="Arial"/>
                <w:sz w:val="20"/>
                <w:szCs w:val="20"/>
              </w:rPr>
            </w:pPr>
            <w:r w:rsidRPr="00E63F42">
              <w:rPr>
                <w:rFonts w:asciiTheme="minorHAnsi" w:hAnsiTheme="minorHAnsi" w:cs="Arial"/>
                <w:sz w:val="20"/>
                <w:szCs w:val="20"/>
              </w:rPr>
              <w:t>0.3</w:t>
            </w:r>
          </w:p>
        </w:tc>
        <w:tc>
          <w:tcPr>
            <w:tcW w:w="1329" w:type="dxa"/>
            <w:tcBorders>
              <w:top w:val="single" w:sz="4" w:space="0" w:color="auto"/>
              <w:left w:val="single" w:sz="4" w:space="0" w:color="auto"/>
              <w:bottom w:val="single" w:sz="4" w:space="0" w:color="auto"/>
              <w:right w:val="single" w:sz="4" w:space="0" w:color="auto"/>
            </w:tcBorders>
            <w:shd w:val="clear" w:color="auto" w:fill="auto"/>
          </w:tcPr>
          <w:p w14:paraId="72124EC5" w14:textId="77777777" w:rsidR="005F1859" w:rsidRPr="00E63F42" w:rsidRDefault="005F1859" w:rsidP="00EF5C9A">
            <w:pPr>
              <w:jc w:val="center"/>
              <w:rPr>
                <w:rFonts w:asciiTheme="minorHAnsi" w:hAnsiTheme="minorHAnsi" w:cs="Arial"/>
                <w:sz w:val="20"/>
                <w:szCs w:val="20"/>
              </w:rPr>
            </w:pPr>
            <w:r w:rsidRPr="00E63F42">
              <w:rPr>
                <w:rFonts w:asciiTheme="minorHAnsi" w:hAnsiTheme="minorHAnsi" w:cs="Arial"/>
                <w:sz w:val="20"/>
                <w:szCs w:val="20"/>
              </w:rPr>
              <w:t>0</w:t>
            </w:r>
          </w:p>
        </w:tc>
      </w:tr>
      <w:tr w:rsidR="005F1859" w:rsidRPr="00F355E0" w14:paraId="534024FA" w14:textId="77777777" w:rsidTr="00EF5C9A">
        <w:trPr>
          <w:trHeight w:val="60"/>
          <w:jc w:val="center"/>
        </w:trPr>
        <w:tc>
          <w:tcPr>
            <w:tcW w:w="5098" w:type="dxa"/>
            <w:tcBorders>
              <w:top w:val="single" w:sz="4" w:space="0" w:color="auto"/>
              <w:left w:val="single" w:sz="4" w:space="0" w:color="auto"/>
              <w:bottom w:val="single" w:sz="4" w:space="0" w:color="auto"/>
              <w:right w:val="single" w:sz="4" w:space="0" w:color="auto"/>
            </w:tcBorders>
            <w:shd w:val="clear" w:color="auto" w:fill="auto"/>
          </w:tcPr>
          <w:p w14:paraId="0FEDFF47" w14:textId="77777777" w:rsidR="005F1859" w:rsidRPr="00E63F42" w:rsidRDefault="005F1859" w:rsidP="00EF5C9A">
            <w:pPr>
              <w:rPr>
                <w:rFonts w:asciiTheme="minorHAnsi" w:hAnsiTheme="minorHAnsi" w:cs="Arial"/>
                <w:sz w:val="20"/>
                <w:szCs w:val="20"/>
              </w:rPr>
            </w:pPr>
            <w:r w:rsidRPr="00E63F42">
              <w:rPr>
                <w:rFonts w:asciiTheme="minorHAnsi" w:hAnsiTheme="minorHAnsi" w:cs="Arial"/>
                <w:sz w:val="20"/>
                <w:szCs w:val="20"/>
              </w:rPr>
              <w:t>Other</w:t>
            </w:r>
          </w:p>
        </w:tc>
        <w:tc>
          <w:tcPr>
            <w:tcW w:w="1282" w:type="dxa"/>
            <w:tcBorders>
              <w:top w:val="single" w:sz="4" w:space="0" w:color="auto"/>
              <w:left w:val="single" w:sz="4" w:space="0" w:color="auto"/>
              <w:bottom w:val="single" w:sz="4" w:space="0" w:color="auto"/>
              <w:right w:val="single" w:sz="4" w:space="0" w:color="auto"/>
            </w:tcBorders>
            <w:shd w:val="clear" w:color="auto" w:fill="auto"/>
          </w:tcPr>
          <w:p w14:paraId="38670B47" w14:textId="77777777" w:rsidR="005F1859" w:rsidRPr="00E63F42" w:rsidRDefault="005F1859" w:rsidP="00EF5C9A">
            <w:pPr>
              <w:jc w:val="center"/>
              <w:rPr>
                <w:rFonts w:asciiTheme="minorHAnsi" w:hAnsiTheme="minorHAnsi" w:cs="Arial"/>
                <w:bCs/>
                <w:sz w:val="20"/>
                <w:szCs w:val="20"/>
              </w:rPr>
            </w:pPr>
            <w:r w:rsidRPr="00E63F42">
              <w:rPr>
                <w:rFonts w:asciiTheme="minorHAnsi" w:hAnsiTheme="minorHAnsi" w:cs="Arial"/>
                <w:bCs/>
                <w:sz w:val="20"/>
                <w:szCs w:val="20"/>
              </w:rPr>
              <w:t>0.3</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4287D61" w14:textId="77777777" w:rsidR="005F1859" w:rsidRPr="00E63F42" w:rsidRDefault="005F1859" w:rsidP="00EF5C9A">
            <w:pPr>
              <w:jc w:val="center"/>
              <w:rPr>
                <w:rFonts w:asciiTheme="minorHAnsi" w:hAnsiTheme="minorHAnsi" w:cs="Arial"/>
                <w:bCs/>
                <w:sz w:val="20"/>
                <w:szCs w:val="20"/>
              </w:rPr>
            </w:pPr>
            <w:r w:rsidRPr="00E63F42">
              <w:rPr>
                <w:rFonts w:asciiTheme="minorHAnsi" w:hAnsiTheme="minorHAnsi" w:cs="Arial"/>
                <w:bCs/>
                <w:sz w:val="20"/>
                <w:szCs w:val="20"/>
              </w:rPr>
              <w:t>0</w:t>
            </w:r>
          </w:p>
        </w:tc>
        <w:tc>
          <w:tcPr>
            <w:tcW w:w="1329" w:type="dxa"/>
            <w:tcBorders>
              <w:top w:val="single" w:sz="4" w:space="0" w:color="auto"/>
              <w:left w:val="single" w:sz="4" w:space="0" w:color="auto"/>
              <w:bottom w:val="single" w:sz="4" w:space="0" w:color="auto"/>
              <w:right w:val="single" w:sz="4" w:space="0" w:color="auto"/>
            </w:tcBorders>
            <w:shd w:val="clear" w:color="auto" w:fill="auto"/>
          </w:tcPr>
          <w:p w14:paraId="005EE33C" w14:textId="77777777" w:rsidR="005F1859" w:rsidRPr="00E63F42" w:rsidRDefault="005F1859" w:rsidP="00EF5C9A">
            <w:pPr>
              <w:jc w:val="center"/>
              <w:rPr>
                <w:rFonts w:asciiTheme="minorHAnsi" w:hAnsiTheme="minorHAnsi" w:cs="Arial"/>
                <w:bCs/>
                <w:sz w:val="20"/>
                <w:szCs w:val="20"/>
              </w:rPr>
            </w:pPr>
            <w:r w:rsidRPr="00E63F42">
              <w:rPr>
                <w:rFonts w:asciiTheme="minorHAnsi" w:hAnsiTheme="minorHAnsi" w:cs="Arial"/>
                <w:bCs/>
                <w:sz w:val="20"/>
                <w:szCs w:val="20"/>
              </w:rPr>
              <w:t>0.3</w:t>
            </w:r>
          </w:p>
        </w:tc>
      </w:tr>
      <w:tr w:rsidR="005F1859" w:rsidRPr="00F355E0" w14:paraId="3A914CDC" w14:textId="77777777" w:rsidTr="00EF5C9A">
        <w:trPr>
          <w:trHeight w:val="60"/>
          <w:jc w:val="center"/>
        </w:trPr>
        <w:tc>
          <w:tcPr>
            <w:tcW w:w="5098" w:type="dxa"/>
            <w:tcBorders>
              <w:top w:val="single" w:sz="4" w:space="0" w:color="auto"/>
              <w:left w:val="single" w:sz="4" w:space="0" w:color="auto"/>
              <w:bottom w:val="single" w:sz="4" w:space="0" w:color="auto"/>
              <w:right w:val="single" w:sz="4" w:space="0" w:color="auto"/>
            </w:tcBorders>
            <w:shd w:val="clear" w:color="auto" w:fill="auto"/>
            <w:hideMark/>
          </w:tcPr>
          <w:p w14:paraId="5ED75CCB" w14:textId="77777777" w:rsidR="005F1859" w:rsidRPr="00E63F42" w:rsidRDefault="005F1859" w:rsidP="00EF5C9A">
            <w:pPr>
              <w:rPr>
                <w:rFonts w:asciiTheme="minorHAnsi" w:hAnsiTheme="minorHAnsi" w:cs="Arial"/>
                <w:b/>
                <w:sz w:val="20"/>
                <w:szCs w:val="20"/>
              </w:rPr>
            </w:pPr>
            <w:r w:rsidRPr="00E63F42">
              <w:rPr>
                <w:rFonts w:asciiTheme="minorHAnsi" w:hAnsiTheme="minorHAnsi" w:cs="Arial"/>
                <w:b/>
                <w:sz w:val="20"/>
                <w:szCs w:val="20"/>
              </w:rPr>
              <w:t>Total</w:t>
            </w:r>
          </w:p>
        </w:tc>
        <w:tc>
          <w:tcPr>
            <w:tcW w:w="1282" w:type="dxa"/>
            <w:tcBorders>
              <w:top w:val="single" w:sz="4" w:space="0" w:color="auto"/>
              <w:left w:val="single" w:sz="4" w:space="0" w:color="auto"/>
              <w:bottom w:val="single" w:sz="4" w:space="0" w:color="auto"/>
              <w:right w:val="single" w:sz="4" w:space="0" w:color="auto"/>
            </w:tcBorders>
            <w:shd w:val="clear" w:color="auto" w:fill="auto"/>
          </w:tcPr>
          <w:p w14:paraId="070FB509" w14:textId="77777777" w:rsidR="005F1859" w:rsidRPr="00E63F42" w:rsidRDefault="005F1859" w:rsidP="00EF5C9A">
            <w:pPr>
              <w:jc w:val="center"/>
              <w:rPr>
                <w:rFonts w:asciiTheme="minorHAnsi" w:hAnsiTheme="minorHAnsi" w:cs="Arial"/>
                <w:b/>
                <w:bCs/>
                <w:sz w:val="20"/>
                <w:szCs w:val="20"/>
              </w:rPr>
            </w:pPr>
            <w:r w:rsidRPr="00E63F42">
              <w:rPr>
                <w:rFonts w:asciiTheme="minorHAnsi" w:hAnsiTheme="minorHAnsi" w:cs="Arial"/>
                <w:b/>
                <w:bCs/>
                <w:sz w:val="20"/>
                <w:szCs w:val="20"/>
              </w:rPr>
              <w:t>0.3</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0A0D338" w14:textId="77777777" w:rsidR="005F1859" w:rsidRPr="00E63F42" w:rsidRDefault="005F1859" w:rsidP="00EF5C9A">
            <w:pPr>
              <w:jc w:val="center"/>
              <w:rPr>
                <w:rFonts w:asciiTheme="minorHAnsi" w:hAnsiTheme="minorHAnsi" w:cs="Arial"/>
                <w:b/>
                <w:bCs/>
                <w:sz w:val="20"/>
                <w:szCs w:val="20"/>
              </w:rPr>
            </w:pPr>
            <w:r w:rsidRPr="00E63F42">
              <w:rPr>
                <w:rFonts w:asciiTheme="minorHAnsi" w:hAnsiTheme="minorHAnsi" w:cs="Arial"/>
                <w:b/>
                <w:bCs/>
                <w:sz w:val="20"/>
                <w:szCs w:val="20"/>
              </w:rPr>
              <w:t>0.3</w:t>
            </w:r>
          </w:p>
        </w:tc>
        <w:tc>
          <w:tcPr>
            <w:tcW w:w="1329" w:type="dxa"/>
            <w:tcBorders>
              <w:top w:val="single" w:sz="4" w:space="0" w:color="auto"/>
              <w:left w:val="single" w:sz="4" w:space="0" w:color="auto"/>
              <w:bottom w:val="single" w:sz="4" w:space="0" w:color="auto"/>
              <w:right w:val="single" w:sz="4" w:space="0" w:color="auto"/>
            </w:tcBorders>
            <w:shd w:val="clear" w:color="auto" w:fill="auto"/>
          </w:tcPr>
          <w:p w14:paraId="34D3C09E" w14:textId="77777777" w:rsidR="005F1859" w:rsidRPr="00E63F42" w:rsidRDefault="005F1859" w:rsidP="00EF5C9A">
            <w:pPr>
              <w:jc w:val="center"/>
              <w:rPr>
                <w:rFonts w:asciiTheme="minorHAnsi" w:hAnsiTheme="minorHAnsi" w:cs="Arial"/>
                <w:b/>
                <w:bCs/>
                <w:sz w:val="20"/>
                <w:szCs w:val="20"/>
              </w:rPr>
            </w:pPr>
            <w:r w:rsidRPr="00E63F42">
              <w:rPr>
                <w:rFonts w:asciiTheme="minorHAnsi" w:hAnsiTheme="minorHAnsi" w:cs="Arial"/>
                <w:b/>
                <w:bCs/>
                <w:sz w:val="20"/>
                <w:szCs w:val="20"/>
              </w:rPr>
              <w:t>0.3</w:t>
            </w:r>
          </w:p>
        </w:tc>
      </w:tr>
    </w:tbl>
    <w:p w14:paraId="733E62A2" w14:textId="77777777" w:rsidR="005F1859" w:rsidRDefault="005F1859" w:rsidP="005F1859">
      <w:pPr>
        <w:rPr>
          <w:highlight w:val="yellow"/>
        </w:rPr>
      </w:pPr>
    </w:p>
    <w:p w14:paraId="3B5AC6C1" w14:textId="77777777" w:rsidR="005F1859" w:rsidRDefault="005F1859" w:rsidP="005F1859">
      <w:r w:rsidRPr="008A6992">
        <w:t xml:space="preserve">The £0.3m </w:t>
      </w:r>
      <w:r>
        <w:t xml:space="preserve">for </w:t>
      </w:r>
      <w:r w:rsidRPr="008A6992">
        <w:t xml:space="preserve">2020/21 represents a 1.5% increase on the £20m LTA value and is in addition to £0.4m (2%) funding for inflation. </w:t>
      </w:r>
    </w:p>
    <w:p w14:paraId="2487B527" w14:textId="77777777" w:rsidR="005F1859" w:rsidRPr="00986EAA" w:rsidRDefault="005F1859" w:rsidP="005F1859">
      <w:pPr>
        <w:pStyle w:val="Heading2"/>
        <w:ind w:left="1077" w:hanging="1077"/>
      </w:pPr>
      <w:bookmarkStart w:id="182" w:name="_Toc536195581"/>
      <w:bookmarkStart w:id="183" w:name="_Toc536528063"/>
      <w:r w:rsidRPr="00986EAA">
        <w:t xml:space="preserve">Investment in </w:t>
      </w:r>
      <w:r>
        <w:t>Service Improvement</w:t>
      </w:r>
      <w:bookmarkEnd w:id="182"/>
      <w:bookmarkEnd w:id="183"/>
      <w:r w:rsidRPr="00986EAA">
        <w:t xml:space="preserve">  </w:t>
      </w:r>
    </w:p>
    <w:p w14:paraId="053D673F" w14:textId="77777777" w:rsidR="005F1859" w:rsidRDefault="005F1859" w:rsidP="005F1859">
      <w:r w:rsidRPr="00113F86">
        <w:rPr>
          <w:bCs/>
        </w:rPr>
        <w:t xml:space="preserve">The following table </w:t>
      </w:r>
      <w:r w:rsidRPr="00113F86">
        <w:t>sets out the planned investments over the three year period:</w:t>
      </w:r>
    </w:p>
    <w:p w14:paraId="1FAE99B4" w14:textId="77777777" w:rsidR="005F1859" w:rsidRPr="00113F86" w:rsidRDefault="005F1859" w:rsidP="005F1859">
      <w:r w:rsidRPr="00113F86">
        <w:t xml:space="preserve">  </w:t>
      </w:r>
    </w:p>
    <w:tbl>
      <w:tblPr>
        <w:tblStyle w:val="TableGrid"/>
        <w:tblW w:w="8875" w:type="dxa"/>
        <w:jc w:val="center"/>
        <w:tblLook w:val="04A0" w:firstRow="1" w:lastRow="0" w:firstColumn="1" w:lastColumn="0" w:noHBand="0" w:noVBand="1"/>
      </w:tblPr>
      <w:tblGrid>
        <w:gridCol w:w="5676"/>
        <w:gridCol w:w="992"/>
        <w:gridCol w:w="1134"/>
        <w:gridCol w:w="1073"/>
      </w:tblGrid>
      <w:tr w:rsidR="005F1859" w:rsidRPr="00113F86" w14:paraId="603525E2" w14:textId="77777777" w:rsidTr="00EF5C9A">
        <w:trPr>
          <w:trHeight w:val="558"/>
          <w:jc w:val="center"/>
        </w:trPr>
        <w:tc>
          <w:tcPr>
            <w:tcW w:w="56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084B629D" w14:textId="77777777" w:rsidR="005F1859" w:rsidRPr="00113F86" w:rsidRDefault="005F1859" w:rsidP="00EF5C9A">
            <w:pPr>
              <w:rPr>
                <w:rFonts w:cs="Arial"/>
                <w:b/>
              </w:rPr>
            </w:pPr>
            <w:r w:rsidRPr="00113F86">
              <w:rPr>
                <w:rFonts w:cs="Arial"/>
                <w:b/>
              </w:rPr>
              <w:t>Service improvement</w:t>
            </w:r>
          </w:p>
        </w:tc>
        <w:tc>
          <w:tcPr>
            <w:tcW w:w="9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4F12DACE" w14:textId="77777777" w:rsidR="005F1859" w:rsidRPr="00113F86" w:rsidRDefault="005F1859" w:rsidP="00EF5C9A">
            <w:pPr>
              <w:jc w:val="center"/>
              <w:rPr>
                <w:rFonts w:cs="Arial"/>
                <w:b/>
              </w:rPr>
            </w:pPr>
            <w:r>
              <w:rPr>
                <w:rFonts w:cs="Arial"/>
                <w:b/>
                <w:bCs/>
              </w:rPr>
              <w:t>20/21</w:t>
            </w:r>
            <w:r w:rsidRPr="00113F86">
              <w:rPr>
                <w:rFonts w:cs="Arial"/>
                <w:b/>
                <w:bCs/>
              </w:rPr>
              <w:t xml:space="preserve"> </w:t>
            </w:r>
          </w:p>
          <w:p w14:paraId="2160EC67" w14:textId="77777777" w:rsidR="005F1859" w:rsidRPr="00113F86" w:rsidRDefault="005F1859" w:rsidP="00EF5C9A">
            <w:pPr>
              <w:jc w:val="center"/>
              <w:rPr>
                <w:rFonts w:cs="Arial"/>
                <w:b/>
              </w:rPr>
            </w:pPr>
            <w:r w:rsidRPr="00113F86">
              <w:rPr>
                <w:rFonts w:cs="Arial"/>
                <w:b/>
                <w:bCs/>
              </w:rPr>
              <w:t>£m</w:t>
            </w:r>
          </w:p>
        </w:tc>
        <w:tc>
          <w:tcPr>
            <w:tcW w:w="113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1E59DD8C" w14:textId="77777777" w:rsidR="005F1859" w:rsidRPr="00113F86" w:rsidRDefault="005F1859" w:rsidP="00EF5C9A">
            <w:pPr>
              <w:jc w:val="center"/>
              <w:rPr>
                <w:rFonts w:cs="Arial"/>
                <w:b/>
                <w:bCs/>
              </w:rPr>
            </w:pPr>
            <w:r w:rsidRPr="00113F86">
              <w:rPr>
                <w:rFonts w:cs="Arial"/>
                <w:b/>
                <w:bCs/>
              </w:rPr>
              <w:t>2</w:t>
            </w:r>
            <w:r>
              <w:rPr>
                <w:rFonts w:cs="Arial"/>
                <w:b/>
                <w:bCs/>
              </w:rPr>
              <w:t>1</w:t>
            </w:r>
            <w:r w:rsidRPr="00113F86">
              <w:rPr>
                <w:rFonts w:cs="Arial"/>
                <w:b/>
                <w:bCs/>
              </w:rPr>
              <w:t>/2</w:t>
            </w:r>
            <w:r>
              <w:rPr>
                <w:rFonts w:cs="Arial"/>
                <w:b/>
                <w:bCs/>
              </w:rPr>
              <w:t>2</w:t>
            </w:r>
          </w:p>
          <w:p w14:paraId="78950B30" w14:textId="77777777" w:rsidR="005F1859" w:rsidRPr="00113F86" w:rsidRDefault="005F1859" w:rsidP="00EF5C9A">
            <w:pPr>
              <w:jc w:val="center"/>
              <w:rPr>
                <w:rFonts w:cs="Arial"/>
                <w:b/>
              </w:rPr>
            </w:pPr>
            <w:r w:rsidRPr="00113F86">
              <w:rPr>
                <w:rFonts w:cs="Arial"/>
                <w:b/>
                <w:bCs/>
              </w:rPr>
              <w:t>£m</w:t>
            </w:r>
          </w:p>
        </w:tc>
        <w:tc>
          <w:tcPr>
            <w:tcW w:w="1073"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08DB2DA5" w14:textId="77777777" w:rsidR="005F1859" w:rsidRPr="00113F86" w:rsidRDefault="005F1859" w:rsidP="00EF5C9A">
            <w:pPr>
              <w:jc w:val="center"/>
              <w:rPr>
                <w:rFonts w:cs="Arial"/>
                <w:b/>
                <w:bCs/>
              </w:rPr>
            </w:pPr>
            <w:r w:rsidRPr="00113F86">
              <w:rPr>
                <w:rFonts w:cs="Arial"/>
                <w:b/>
                <w:bCs/>
              </w:rPr>
              <w:t>2</w:t>
            </w:r>
            <w:r>
              <w:rPr>
                <w:rFonts w:cs="Arial"/>
                <w:b/>
                <w:bCs/>
              </w:rPr>
              <w:t>2</w:t>
            </w:r>
            <w:r w:rsidRPr="00113F86">
              <w:rPr>
                <w:rFonts w:cs="Arial"/>
                <w:b/>
                <w:bCs/>
              </w:rPr>
              <w:t>/2</w:t>
            </w:r>
            <w:r>
              <w:rPr>
                <w:rFonts w:cs="Arial"/>
                <w:b/>
                <w:bCs/>
              </w:rPr>
              <w:t>3</w:t>
            </w:r>
          </w:p>
          <w:p w14:paraId="5B72DA7F" w14:textId="77777777" w:rsidR="005F1859" w:rsidRPr="00113F86" w:rsidRDefault="005F1859" w:rsidP="00EF5C9A">
            <w:pPr>
              <w:jc w:val="center"/>
              <w:rPr>
                <w:rFonts w:cs="Arial"/>
                <w:b/>
              </w:rPr>
            </w:pPr>
            <w:r w:rsidRPr="00113F86">
              <w:rPr>
                <w:rFonts w:cs="Arial"/>
                <w:b/>
                <w:bCs/>
              </w:rPr>
              <w:t>£m</w:t>
            </w:r>
          </w:p>
        </w:tc>
      </w:tr>
      <w:tr w:rsidR="005F1859" w14:paraId="0E8F823E" w14:textId="77777777" w:rsidTr="00EF5C9A">
        <w:trPr>
          <w:trHeight w:val="255"/>
          <w:jc w:val="center"/>
        </w:trPr>
        <w:tc>
          <w:tcPr>
            <w:tcW w:w="5676" w:type="dxa"/>
            <w:tcBorders>
              <w:top w:val="single" w:sz="4" w:space="0" w:color="000000"/>
              <w:left w:val="single" w:sz="4" w:space="0" w:color="000000"/>
              <w:bottom w:val="single" w:sz="4" w:space="0" w:color="000000"/>
              <w:right w:val="single" w:sz="4" w:space="0" w:color="000000"/>
            </w:tcBorders>
          </w:tcPr>
          <w:p w14:paraId="71FB3095" w14:textId="77777777" w:rsidR="005F1859" w:rsidRPr="002A1D42" w:rsidRDefault="005F1859" w:rsidP="00EF5C9A">
            <w:pPr>
              <w:rPr>
                <w:rFonts w:cs="Arial"/>
                <w:b/>
              </w:rPr>
            </w:pPr>
            <w:r w:rsidRPr="00113F86">
              <w:rPr>
                <w:rFonts w:cs="Arial"/>
                <w:b/>
              </w:rPr>
              <w:t>Recurring investment:</w:t>
            </w:r>
          </w:p>
        </w:tc>
        <w:tc>
          <w:tcPr>
            <w:tcW w:w="992" w:type="dxa"/>
            <w:tcBorders>
              <w:top w:val="single" w:sz="4" w:space="0" w:color="000000"/>
              <w:left w:val="single" w:sz="4" w:space="0" w:color="000000"/>
              <w:bottom w:val="single" w:sz="4" w:space="0" w:color="000000"/>
              <w:right w:val="single" w:sz="4" w:space="0" w:color="000000"/>
            </w:tcBorders>
          </w:tcPr>
          <w:p w14:paraId="4C83AA08" w14:textId="77777777" w:rsidR="005F1859" w:rsidRPr="002A1D42" w:rsidRDefault="005F1859" w:rsidP="00EF5C9A">
            <w:pPr>
              <w:jc w:val="center"/>
              <w:rPr>
                <w:rFonts w:cs="Arial"/>
              </w:rPr>
            </w:pPr>
          </w:p>
        </w:tc>
        <w:tc>
          <w:tcPr>
            <w:tcW w:w="1134" w:type="dxa"/>
            <w:tcBorders>
              <w:top w:val="single" w:sz="4" w:space="0" w:color="000000"/>
              <w:left w:val="single" w:sz="4" w:space="0" w:color="000000"/>
              <w:bottom w:val="single" w:sz="4" w:space="0" w:color="000000"/>
              <w:right w:val="single" w:sz="4" w:space="0" w:color="000000"/>
            </w:tcBorders>
          </w:tcPr>
          <w:p w14:paraId="721ECFF1" w14:textId="77777777" w:rsidR="005F1859" w:rsidRPr="002A1D42" w:rsidRDefault="005F1859" w:rsidP="00EF5C9A">
            <w:pPr>
              <w:jc w:val="center"/>
              <w:rPr>
                <w:rFonts w:cs="Arial"/>
              </w:rPr>
            </w:pPr>
          </w:p>
        </w:tc>
        <w:tc>
          <w:tcPr>
            <w:tcW w:w="1073" w:type="dxa"/>
            <w:tcBorders>
              <w:top w:val="single" w:sz="4" w:space="0" w:color="000000"/>
              <w:left w:val="single" w:sz="4" w:space="0" w:color="000000"/>
              <w:bottom w:val="single" w:sz="4" w:space="0" w:color="000000"/>
              <w:right w:val="single" w:sz="4" w:space="0" w:color="000000"/>
            </w:tcBorders>
          </w:tcPr>
          <w:p w14:paraId="231C44FE" w14:textId="77777777" w:rsidR="005F1859" w:rsidRPr="002A1D42" w:rsidRDefault="005F1859" w:rsidP="00EF5C9A">
            <w:pPr>
              <w:jc w:val="center"/>
              <w:rPr>
                <w:rFonts w:cs="Arial"/>
              </w:rPr>
            </w:pPr>
          </w:p>
        </w:tc>
      </w:tr>
      <w:tr w:rsidR="005F1859" w14:paraId="708B68A7" w14:textId="77777777" w:rsidTr="00EF5C9A">
        <w:trPr>
          <w:trHeight w:val="361"/>
          <w:jc w:val="center"/>
        </w:trPr>
        <w:tc>
          <w:tcPr>
            <w:tcW w:w="5676" w:type="dxa"/>
            <w:tcBorders>
              <w:top w:val="single" w:sz="4" w:space="0" w:color="000000"/>
              <w:left w:val="single" w:sz="4" w:space="0" w:color="000000"/>
              <w:bottom w:val="single" w:sz="4" w:space="0" w:color="000000"/>
              <w:right w:val="single" w:sz="4" w:space="0" w:color="000000"/>
            </w:tcBorders>
          </w:tcPr>
          <w:p w14:paraId="32844051" w14:textId="77777777" w:rsidR="005F1859" w:rsidRPr="002A1D42" w:rsidRDefault="005F1859" w:rsidP="00EF5C9A">
            <w:pPr>
              <w:rPr>
                <w:rFonts w:cs="Arial"/>
                <w:bCs/>
              </w:rPr>
            </w:pPr>
            <w:r w:rsidRPr="002A1D42">
              <w:rPr>
                <w:rFonts w:cs="Arial"/>
              </w:rPr>
              <w:t xml:space="preserve">Locally </w:t>
            </w:r>
            <w:r>
              <w:rPr>
                <w:rFonts w:cs="Arial"/>
              </w:rPr>
              <w:t>determined developments</w:t>
            </w:r>
          </w:p>
        </w:tc>
        <w:tc>
          <w:tcPr>
            <w:tcW w:w="992" w:type="dxa"/>
            <w:tcBorders>
              <w:top w:val="single" w:sz="4" w:space="0" w:color="000000"/>
              <w:left w:val="single" w:sz="4" w:space="0" w:color="000000"/>
              <w:bottom w:val="single" w:sz="4" w:space="0" w:color="000000"/>
              <w:right w:val="single" w:sz="4" w:space="0" w:color="000000"/>
            </w:tcBorders>
          </w:tcPr>
          <w:p w14:paraId="16A43B52" w14:textId="77777777" w:rsidR="005F1859" w:rsidRPr="002A1D42" w:rsidRDefault="005F1859" w:rsidP="00EF5C9A">
            <w:pPr>
              <w:jc w:val="center"/>
              <w:rPr>
                <w:rFonts w:cs="Arial"/>
              </w:rPr>
            </w:pPr>
            <w:r>
              <w:rPr>
                <w:rFonts w:cs="Arial"/>
              </w:rPr>
              <w:t>1.0</w:t>
            </w:r>
          </w:p>
        </w:tc>
        <w:tc>
          <w:tcPr>
            <w:tcW w:w="1134" w:type="dxa"/>
            <w:tcBorders>
              <w:top w:val="single" w:sz="4" w:space="0" w:color="000000"/>
              <w:left w:val="single" w:sz="4" w:space="0" w:color="000000"/>
              <w:bottom w:val="single" w:sz="4" w:space="0" w:color="000000"/>
              <w:right w:val="single" w:sz="4" w:space="0" w:color="000000"/>
            </w:tcBorders>
          </w:tcPr>
          <w:p w14:paraId="35846EBD" w14:textId="77777777" w:rsidR="005F1859" w:rsidRPr="002A1D42" w:rsidRDefault="005F1859" w:rsidP="00EF5C9A">
            <w:pPr>
              <w:jc w:val="center"/>
              <w:rPr>
                <w:rFonts w:cs="Arial"/>
              </w:rPr>
            </w:pPr>
            <w:r>
              <w:rPr>
                <w:rFonts w:cs="Arial"/>
              </w:rPr>
              <w:t>1.0</w:t>
            </w:r>
          </w:p>
        </w:tc>
        <w:tc>
          <w:tcPr>
            <w:tcW w:w="1073" w:type="dxa"/>
            <w:tcBorders>
              <w:top w:val="single" w:sz="4" w:space="0" w:color="000000"/>
              <w:left w:val="single" w:sz="4" w:space="0" w:color="000000"/>
              <w:bottom w:val="single" w:sz="4" w:space="0" w:color="000000"/>
              <w:right w:val="single" w:sz="4" w:space="0" w:color="000000"/>
            </w:tcBorders>
          </w:tcPr>
          <w:p w14:paraId="34991A1C" w14:textId="77777777" w:rsidR="005F1859" w:rsidRPr="002A1D42" w:rsidRDefault="005F1859" w:rsidP="00EF5C9A">
            <w:pPr>
              <w:jc w:val="center"/>
              <w:rPr>
                <w:rFonts w:cs="Arial"/>
              </w:rPr>
            </w:pPr>
            <w:r>
              <w:rPr>
                <w:rFonts w:cs="Arial"/>
              </w:rPr>
              <w:t>1.7</w:t>
            </w:r>
          </w:p>
        </w:tc>
      </w:tr>
      <w:tr w:rsidR="005F1859" w14:paraId="5187A5A6" w14:textId="77777777" w:rsidTr="00EF5C9A">
        <w:trPr>
          <w:trHeight w:val="361"/>
          <w:jc w:val="center"/>
        </w:trPr>
        <w:tc>
          <w:tcPr>
            <w:tcW w:w="5676" w:type="dxa"/>
            <w:tcBorders>
              <w:top w:val="single" w:sz="4" w:space="0" w:color="000000"/>
              <w:left w:val="single" w:sz="4" w:space="0" w:color="000000"/>
              <w:bottom w:val="single" w:sz="4" w:space="0" w:color="000000"/>
              <w:right w:val="single" w:sz="4" w:space="0" w:color="000000"/>
            </w:tcBorders>
          </w:tcPr>
          <w:p w14:paraId="2F3ACF9F" w14:textId="77777777" w:rsidR="005F1859" w:rsidRPr="002A1D42" w:rsidRDefault="005F1859" w:rsidP="00EF5C9A">
            <w:pPr>
              <w:rPr>
                <w:rFonts w:cs="Arial"/>
              </w:rPr>
            </w:pPr>
            <w:r>
              <w:rPr>
                <w:rFonts w:cs="Arial"/>
              </w:rPr>
              <w:t xml:space="preserve">Actions to address TI status required recurrently after Welsh Government TI support funding has ended </w:t>
            </w:r>
            <w:r w:rsidRPr="00D54F7F">
              <w:rPr>
                <w:rFonts w:cs="Arial"/>
                <w:b/>
              </w:rPr>
              <w:t>( See Section 1.5.2)</w:t>
            </w:r>
          </w:p>
        </w:tc>
        <w:tc>
          <w:tcPr>
            <w:tcW w:w="992" w:type="dxa"/>
            <w:tcBorders>
              <w:top w:val="single" w:sz="4" w:space="0" w:color="000000"/>
              <w:left w:val="single" w:sz="4" w:space="0" w:color="000000"/>
              <w:bottom w:val="single" w:sz="4" w:space="0" w:color="000000"/>
              <w:right w:val="single" w:sz="4" w:space="0" w:color="000000"/>
            </w:tcBorders>
          </w:tcPr>
          <w:p w14:paraId="7E3BD176" w14:textId="77777777" w:rsidR="005F1859" w:rsidRDefault="005F1859" w:rsidP="00EF5C9A">
            <w:pPr>
              <w:jc w:val="center"/>
              <w:rPr>
                <w:rFonts w:cs="Arial"/>
              </w:rPr>
            </w:pPr>
            <w:r>
              <w:rPr>
                <w:rFonts w:cs="Arial"/>
              </w:rPr>
              <w:t>0</w:t>
            </w:r>
          </w:p>
        </w:tc>
        <w:tc>
          <w:tcPr>
            <w:tcW w:w="1134" w:type="dxa"/>
            <w:tcBorders>
              <w:top w:val="single" w:sz="4" w:space="0" w:color="000000"/>
              <w:left w:val="single" w:sz="4" w:space="0" w:color="000000"/>
              <w:bottom w:val="single" w:sz="4" w:space="0" w:color="000000"/>
              <w:right w:val="single" w:sz="4" w:space="0" w:color="000000"/>
            </w:tcBorders>
          </w:tcPr>
          <w:p w14:paraId="57DF9FBD" w14:textId="77777777" w:rsidR="005F1859" w:rsidRDefault="005F1859" w:rsidP="00EF5C9A">
            <w:pPr>
              <w:jc w:val="center"/>
              <w:rPr>
                <w:rFonts w:cs="Arial"/>
              </w:rPr>
            </w:pPr>
            <w:r>
              <w:rPr>
                <w:rFonts w:cs="Arial"/>
              </w:rPr>
              <w:t>0</w:t>
            </w:r>
          </w:p>
        </w:tc>
        <w:tc>
          <w:tcPr>
            <w:tcW w:w="1073" w:type="dxa"/>
            <w:tcBorders>
              <w:top w:val="single" w:sz="4" w:space="0" w:color="000000"/>
              <w:left w:val="single" w:sz="4" w:space="0" w:color="000000"/>
              <w:bottom w:val="single" w:sz="4" w:space="0" w:color="000000"/>
              <w:right w:val="single" w:sz="4" w:space="0" w:color="000000"/>
            </w:tcBorders>
          </w:tcPr>
          <w:p w14:paraId="390009E0" w14:textId="77777777" w:rsidR="005F1859" w:rsidRDefault="005F1859" w:rsidP="00EF5C9A">
            <w:pPr>
              <w:jc w:val="center"/>
              <w:rPr>
                <w:rFonts w:cs="Arial"/>
              </w:rPr>
            </w:pPr>
            <w:r>
              <w:rPr>
                <w:rFonts w:cs="Arial"/>
              </w:rPr>
              <w:t>1.5</w:t>
            </w:r>
          </w:p>
        </w:tc>
      </w:tr>
      <w:tr w:rsidR="005F1859" w14:paraId="5971A243" w14:textId="77777777" w:rsidTr="00EF5C9A">
        <w:trPr>
          <w:trHeight w:val="353"/>
          <w:jc w:val="center"/>
        </w:trPr>
        <w:tc>
          <w:tcPr>
            <w:tcW w:w="5676" w:type="dxa"/>
            <w:tcBorders>
              <w:top w:val="single" w:sz="4" w:space="0" w:color="000000"/>
              <w:left w:val="single" w:sz="4" w:space="0" w:color="000000"/>
              <w:bottom w:val="single" w:sz="4" w:space="0" w:color="000000"/>
              <w:right w:val="single" w:sz="4" w:space="0" w:color="000000"/>
            </w:tcBorders>
          </w:tcPr>
          <w:p w14:paraId="5BEAB1E3" w14:textId="77777777" w:rsidR="005F1859" w:rsidRPr="002A1D42" w:rsidRDefault="005F1859" w:rsidP="00EF5C9A">
            <w:pPr>
              <w:rPr>
                <w:rFonts w:cs="Arial"/>
              </w:rPr>
            </w:pPr>
            <w:r>
              <w:rPr>
                <w:rFonts w:cs="Arial"/>
              </w:rPr>
              <w:t>Investment in Clusters- nationally funded</w:t>
            </w:r>
          </w:p>
        </w:tc>
        <w:tc>
          <w:tcPr>
            <w:tcW w:w="992" w:type="dxa"/>
            <w:tcBorders>
              <w:top w:val="single" w:sz="4" w:space="0" w:color="000000"/>
              <w:left w:val="single" w:sz="4" w:space="0" w:color="000000"/>
              <w:bottom w:val="single" w:sz="4" w:space="0" w:color="000000"/>
              <w:right w:val="single" w:sz="4" w:space="0" w:color="000000"/>
            </w:tcBorders>
          </w:tcPr>
          <w:p w14:paraId="55B73079" w14:textId="77777777" w:rsidR="005F1859" w:rsidRDefault="005F1859" w:rsidP="00EF5C9A">
            <w:pPr>
              <w:jc w:val="center"/>
              <w:rPr>
                <w:rFonts w:cs="Arial"/>
              </w:rPr>
            </w:pPr>
            <w:r>
              <w:rPr>
                <w:rFonts w:cs="Arial"/>
              </w:rPr>
              <w:t>1.5</w:t>
            </w:r>
          </w:p>
        </w:tc>
        <w:tc>
          <w:tcPr>
            <w:tcW w:w="1134" w:type="dxa"/>
            <w:tcBorders>
              <w:top w:val="single" w:sz="4" w:space="0" w:color="000000"/>
              <w:left w:val="single" w:sz="4" w:space="0" w:color="000000"/>
              <w:bottom w:val="single" w:sz="4" w:space="0" w:color="000000"/>
              <w:right w:val="single" w:sz="4" w:space="0" w:color="000000"/>
            </w:tcBorders>
          </w:tcPr>
          <w:p w14:paraId="6FCB7815" w14:textId="77777777" w:rsidR="005F1859" w:rsidRDefault="005F1859" w:rsidP="00EF5C9A">
            <w:pPr>
              <w:jc w:val="center"/>
              <w:rPr>
                <w:rFonts w:cs="Arial"/>
              </w:rPr>
            </w:pPr>
            <w:r>
              <w:rPr>
                <w:rFonts w:cs="Arial"/>
              </w:rPr>
              <w:t>0</w:t>
            </w:r>
          </w:p>
        </w:tc>
        <w:tc>
          <w:tcPr>
            <w:tcW w:w="1073" w:type="dxa"/>
            <w:tcBorders>
              <w:top w:val="single" w:sz="4" w:space="0" w:color="000000"/>
              <w:left w:val="single" w:sz="4" w:space="0" w:color="000000"/>
              <w:bottom w:val="single" w:sz="4" w:space="0" w:color="000000"/>
              <w:right w:val="single" w:sz="4" w:space="0" w:color="000000"/>
            </w:tcBorders>
          </w:tcPr>
          <w:p w14:paraId="6BCAAD92" w14:textId="77777777" w:rsidR="005F1859" w:rsidRDefault="005F1859" w:rsidP="00EF5C9A">
            <w:pPr>
              <w:jc w:val="center"/>
              <w:rPr>
                <w:rFonts w:cs="Arial"/>
              </w:rPr>
            </w:pPr>
            <w:r>
              <w:rPr>
                <w:rFonts w:cs="Arial"/>
              </w:rPr>
              <w:t>0</w:t>
            </w:r>
          </w:p>
        </w:tc>
      </w:tr>
      <w:tr w:rsidR="005F1859" w14:paraId="67E8F17E" w14:textId="77777777" w:rsidTr="00EF5C9A">
        <w:trPr>
          <w:trHeight w:val="353"/>
          <w:jc w:val="center"/>
        </w:trPr>
        <w:tc>
          <w:tcPr>
            <w:tcW w:w="5676" w:type="dxa"/>
            <w:tcBorders>
              <w:top w:val="single" w:sz="4" w:space="0" w:color="000000"/>
              <w:left w:val="single" w:sz="4" w:space="0" w:color="000000"/>
              <w:bottom w:val="single" w:sz="4" w:space="0" w:color="000000"/>
              <w:right w:val="single" w:sz="4" w:space="0" w:color="000000"/>
            </w:tcBorders>
          </w:tcPr>
          <w:p w14:paraId="776AD7A7" w14:textId="77777777" w:rsidR="005F1859" w:rsidRPr="002A1D42" w:rsidRDefault="005F1859" w:rsidP="00EF5C9A">
            <w:pPr>
              <w:rPr>
                <w:rFonts w:cs="Arial"/>
              </w:rPr>
            </w:pPr>
            <w:r>
              <w:rPr>
                <w:rFonts w:cs="Arial"/>
              </w:rPr>
              <w:t>Investment in Mental Health services – nationally funded</w:t>
            </w:r>
          </w:p>
        </w:tc>
        <w:tc>
          <w:tcPr>
            <w:tcW w:w="992" w:type="dxa"/>
            <w:tcBorders>
              <w:top w:val="single" w:sz="4" w:space="0" w:color="000000"/>
              <w:left w:val="single" w:sz="4" w:space="0" w:color="000000"/>
              <w:bottom w:val="single" w:sz="4" w:space="0" w:color="000000"/>
              <w:right w:val="single" w:sz="4" w:space="0" w:color="000000"/>
            </w:tcBorders>
          </w:tcPr>
          <w:p w14:paraId="58E01069" w14:textId="77777777" w:rsidR="005F1859" w:rsidRDefault="005F1859" w:rsidP="00EF5C9A">
            <w:pPr>
              <w:jc w:val="center"/>
              <w:rPr>
                <w:rFonts w:cs="Arial"/>
              </w:rPr>
            </w:pPr>
            <w:r>
              <w:rPr>
                <w:rFonts w:cs="Arial"/>
              </w:rPr>
              <w:t>1.0</w:t>
            </w:r>
          </w:p>
        </w:tc>
        <w:tc>
          <w:tcPr>
            <w:tcW w:w="1134" w:type="dxa"/>
            <w:tcBorders>
              <w:top w:val="single" w:sz="4" w:space="0" w:color="000000"/>
              <w:left w:val="single" w:sz="4" w:space="0" w:color="000000"/>
              <w:bottom w:val="single" w:sz="4" w:space="0" w:color="000000"/>
              <w:right w:val="single" w:sz="4" w:space="0" w:color="000000"/>
            </w:tcBorders>
          </w:tcPr>
          <w:p w14:paraId="26E277F8" w14:textId="77777777" w:rsidR="005F1859" w:rsidRDefault="005F1859" w:rsidP="00EF5C9A">
            <w:pPr>
              <w:jc w:val="center"/>
              <w:rPr>
                <w:rFonts w:cs="Arial"/>
              </w:rPr>
            </w:pPr>
            <w:r>
              <w:rPr>
                <w:rFonts w:cs="Arial"/>
              </w:rPr>
              <w:t>0</w:t>
            </w:r>
          </w:p>
        </w:tc>
        <w:tc>
          <w:tcPr>
            <w:tcW w:w="1073" w:type="dxa"/>
            <w:tcBorders>
              <w:top w:val="single" w:sz="4" w:space="0" w:color="000000"/>
              <w:left w:val="single" w:sz="4" w:space="0" w:color="000000"/>
              <w:bottom w:val="single" w:sz="4" w:space="0" w:color="000000"/>
              <w:right w:val="single" w:sz="4" w:space="0" w:color="000000"/>
            </w:tcBorders>
          </w:tcPr>
          <w:p w14:paraId="5921272E" w14:textId="77777777" w:rsidR="005F1859" w:rsidRDefault="005F1859" w:rsidP="00EF5C9A">
            <w:pPr>
              <w:jc w:val="center"/>
              <w:rPr>
                <w:rFonts w:cs="Arial"/>
              </w:rPr>
            </w:pPr>
            <w:r>
              <w:rPr>
                <w:rFonts w:cs="Arial"/>
              </w:rPr>
              <w:t>0</w:t>
            </w:r>
          </w:p>
        </w:tc>
      </w:tr>
      <w:tr w:rsidR="005F1859" w14:paraId="0EF3D684" w14:textId="77777777" w:rsidTr="00EF5C9A">
        <w:trPr>
          <w:trHeight w:val="353"/>
          <w:jc w:val="center"/>
        </w:trPr>
        <w:tc>
          <w:tcPr>
            <w:tcW w:w="5676" w:type="dxa"/>
            <w:tcBorders>
              <w:top w:val="single" w:sz="4" w:space="0" w:color="000000"/>
              <w:left w:val="single" w:sz="4" w:space="0" w:color="000000"/>
              <w:bottom w:val="single" w:sz="4" w:space="0" w:color="000000"/>
              <w:right w:val="single" w:sz="4" w:space="0" w:color="000000"/>
            </w:tcBorders>
            <w:hideMark/>
          </w:tcPr>
          <w:p w14:paraId="6E854A2F" w14:textId="77777777" w:rsidR="005F1859" w:rsidRPr="002A1D42" w:rsidRDefault="005F1859" w:rsidP="00EF5C9A">
            <w:pPr>
              <w:rPr>
                <w:rFonts w:cs="Arial"/>
                <w:bCs/>
              </w:rPr>
            </w:pPr>
            <w:r w:rsidRPr="002A1D42">
              <w:rPr>
                <w:rFonts w:cs="Arial"/>
              </w:rPr>
              <w:t>All Wales initiatives/top slices</w:t>
            </w:r>
          </w:p>
        </w:tc>
        <w:tc>
          <w:tcPr>
            <w:tcW w:w="992" w:type="dxa"/>
            <w:tcBorders>
              <w:top w:val="single" w:sz="4" w:space="0" w:color="000000"/>
              <w:left w:val="single" w:sz="4" w:space="0" w:color="000000"/>
              <w:bottom w:val="single" w:sz="4" w:space="0" w:color="000000"/>
              <w:right w:val="single" w:sz="4" w:space="0" w:color="000000"/>
            </w:tcBorders>
            <w:hideMark/>
          </w:tcPr>
          <w:p w14:paraId="0A7BDDFF" w14:textId="77777777" w:rsidR="005F1859" w:rsidRPr="002A1D42" w:rsidRDefault="005F1859" w:rsidP="00EF5C9A">
            <w:pPr>
              <w:jc w:val="center"/>
              <w:rPr>
                <w:rFonts w:cs="Arial"/>
              </w:rPr>
            </w:pPr>
            <w:r>
              <w:rPr>
                <w:rFonts w:cs="Arial"/>
              </w:rPr>
              <w:t>0.5</w:t>
            </w:r>
          </w:p>
        </w:tc>
        <w:tc>
          <w:tcPr>
            <w:tcW w:w="1134" w:type="dxa"/>
            <w:tcBorders>
              <w:top w:val="single" w:sz="4" w:space="0" w:color="000000"/>
              <w:left w:val="single" w:sz="4" w:space="0" w:color="000000"/>
              <w:bottom w:val="single" w:sz="4" w:space="0" w:color="000000"/>
              <w:right w:val="single" w:sz="4" w:space="0" w:color="000000"/>
            </w:tcBorders>
          </w:tcPr>
          <w:p w14:paraId="4D0028EC" w14:textId="77777777" w:rsidR="005F1859" w:rsidRPr="002A1D42" w:rsidRDefault="005F1859" w:rsidP="00EF5C9A">
            <w:pPr>
              <w:jc w:val="center"/>
              <w:rPr>
                <w:rFonts w:cs="Arial"/>
              </w:rPr>
            </w:pPr>
            <w:r>
              <w:rPr>
                <w:rFonts w:cs="Arial"/>
              </w:rPr>
              <w:t>0.5</w:t>
            </w:r>
          </w:p>
        </w:tc>
        <w:tc>
          <w:tcPr>
            <w:tcW w:w="1073" w:type="dxa"/>
            <w:tcBorders>
              <w:top w:val="single" w:sz="4" w:space="0" w:color="000000"/>
              <w:left w:val="single" w:sz="4" w:space="0" w:color="000000"/>
              <w:bottom w:val="single" w:sz="4" w:space="0" w:color="000000"/>
              <w:right w:val="single" w:sz="4" w:space="0" w:color="000000"/>
            </w:tcBorders>
          </w:tcPr>
          <w:p w14:paraId="1A2EC2CC" w14:textId="77777777" w:rsidR="005F1859" w:rsidRPr="002A1D42" w:rsidRDefault="005F1859" w:rsidP="00EF5C9A">
            <w:pPr>
              <w:jc w:val="center"/>
              <w:rPr>
                <w:rFonts w:cs="Arial"/>
              </w:rPr>
            </w:pPr>
            <w:r>
              <w:rPr>
                <w:rFonts w:cs="Arial"/>
              </w:rPr>
              <w:t>0.5</w:t>
            </w:r>
          </w:p>
        </w:tc>
      </w:tr>
      <w:tr w:rsidR="005F1859" w14:paraId="0DE67452" w14:textId="77777777" w:rsidTr="00EF5C9A">
        <w:trPr>
          <w:trHeight w:val="337"/>
          <w:jc w:val="center"/>
        </w:trPr>
        <w:tc>
          <w:tcPr>
            <w:tcW w:w="5676" w:type="dxa"/>
            <w:tcBorders>
              <w:top w:val="single" w:sz="4" w:space="0" w:color="000000"/>
              <w:left w:val="single" w:sz="4" w:space="0" w:color="000000"/>
              <w:bottom w:val="single" w:sz="4" w:space="0" w:color="000000"/>
              <w:right w:val="single" w:sz="4" w:space="0" w:color="000000"/>
            </w:tcBorders>
          </w:tcPr>
          <w:p w14:paraId="3B794797" w14:textId="77777777" w:rsidR="005F1859" w:rsidRPr="00F355E0" w:rsidRDefault="005F1859" w:rsidP="00EF5C9A">
            <w:pPr>
              <w:rPr>
                <w:rFonts w:cs="Arial"/>
                <w:bCs/>
              </w:rPr>
            </w:pPr>
            <w:r w:rsidRPr="00F355E0">
              <w:rPr>
                <w:rFonts w:cs="Arial"/>
                <w:bCs/>
              </w:rPr>
              <w:t>Major Trauma</w:t>
            </w:r>
            <w:r>
              <w:rPr>
                <w:rFonts w:cs="Arial"/>
                <w:bCs/>
              </w:rPr>
              <w:t xml:space="preserve"> local investment (The £2.2m commissioned development is funded directly by WG))</w:t>
            </w:r>
          </w:p>
        </w:tc>
        <w:tc>
          <w:tcPr>
            <w:tcW w:w="992" w:type="dxa"/>
            <w:tcBorders>
              <w:top w:val="single" w:sz="4" w:space="0" w:color="000000"/>
              <w:left w:val="single" w:sz="4" w:space="0" w:color="000000"/>
              <w:bottom w:val="single" w:sz="4" w:space="0" w:color="000000"/>
              <w:right w:val="single" w:sz="4" w:space="0" w:color="000000"/>
            </w:tcBorders>
          </w:tcPr>
          <w:p w14:paraId="36BC4A31" w14:textId="77777777" w:rsidR="005F1859" w:rsidRPr="00F355E0" w:rsidRDefault="005F1859" w:rsidP="00EF5C9A">
            <w:pPr>
              <w:jc w:val="center"/>
              <w:rPr>
                <w:rFonts w:cs="Arial"/>
                <w:bCs/>
              </w:rPr>
            </w:pPr>
            <w:r>
              <w:rPr>
                <w:rFonts w:cs="Arial"/>
                <w:bCs/>
              </w:rPr>
              <w:t>0.5</w:t>
            </w:r>
          </w:p>
        </w:tc>
        <w:tc>
          <w:tcPr>
            <w:tcW w:w="1134" w:type="dxa"/>
            <w:tcBorders>
              <w:top w:val="single" w:sz="4" w:space="0" w:color="000000"/>
              <w:left w:val="single" w:sz="4" w:space="0" w:color="000000"/>
              <w:bottom w:val="single" w:sz="4" w:space="0" w:color="000000"/>
              <w:right w:val="single" w:sz="4" w:space="0" w:color="000000"/>
            </w:tcBorders>
          </w:tcPr>
          <w:p w14:paraId="70770793" w14:textId="77777777" w:rsidR="005F1859" w:rsidRPr="004D2CAB" w:rsidRDefault="005F1859" w:rsidP="00EF5C9A">
            <w:pPr>
              <w:tabs>
                <w:tab w:val="center" w:pos="398"/>
                <w:tab w:val="right" w:pos="796"/>
              </w:tabs>
              <w:jc w:val="center"/>
              <w:rPr>
                <w:rFonts w:cs="Arial"/>
                <w:bCs/>
              </w:rPr>
            </w:pPr>
            <w:r w:rsidRPr="004D2CAB">
              <w:rPr>
                <w:rFonts w:cs="Arial"/>
                <w:bCs/>
              </w:rPr>
              <w:t>0</w:t>
            </w:r>
          </w:p>
        </w:tc>
        <w:tc>
          <w:tcPr>
            <w:tcW w:w="1073" w:type="dxa"/>
            <w:tcBorders>
              <w:top w:val="single" w:sz="4" w:space="0" w:color="000000"/>
              <w:left w:val="single" w:sz="4" w:space="0" w:color="000000"/>
              <w:bottom w:val="single" w:sz="4" w:space="0" w:color="000000"/>
              <w:right w:val="single" w:sz="4" w:space="0" w:color="000000"/>
            </w:tcBorders>
          </w:tcPr>
          <w:p w14:paraId="216A8113" w14:textId="77777777" w:rsidR="005F1859" w:rsidRPr="004D2CAB" w:rsidRDefault="005F1859" w:rsidP="00EF5C9A">
            <w:pPr>
              <w:tabs>
                <w:tab w:val="center" w:pos="398"/>
                <w:tab w:val="right" w:pos="796"/>
              </w:tabs>
              <w:jc w:val="center"/>
              <w:rPr>
                <w:rFonts w:cs="Arial"/>
                <w:bCs/>
              </w:rPr>
            </w:pPr>
            <w:r w:rsidRPr="004D2CAB">
              <w:rPr>
                <w:rFonts w:cs="Arial"/>
                <w:bCs/>
              </w:rPr>
              <w:t>0</w:t>
            </w:r>
          </w:p>
        </w:tc>
      </w:tr>
      <w:tr w:rsidR="005F1859" w14:paraId="7C4EE824" w14:textId="77777777" w:rsidTr="00EF5C9A">
        <w:trPr>
          <w:trHeight w:val="337"/>
          <w:jc w:val="center"/>
        </w:trPr>
        <w:tc>
          <w:tcPr>
            <w:tcW w:w="5676" w:type="dxa"/>
            <w:tcBorders>
              <w:top w:val="single" w:sz="4" w:space="0" w:color="000000"/>
              <w:left w:val="single" w:sz="4" w:space="0" w:color="000000"/>
              <w:bottom w:val="single" w:sz="4" w:space="0" w:color="000000"/>
              <w:right w:val="single" w:sz="4" w:space="0" w:color="000000"/>
            </w:tcBorders>
            <w:hideMark/>
          </w:tcPr>
          <w:p w14:paraId="5D092D07" w14:textId="77777777" w:rsidR="005F1859" w:rsidRPr="002A1D42" w:rsidRDefault="005F1859" w:rsidP="00EF5C9A">
            <w:pPr>
              <w:rPr>
                <w:rFonts w:cs="Arial"/>
                <w:b/>
                <w:bCs/>
              </w:rPr>
            </w:pPr>
            <w:r w:rsidRPr="002A1D42">
              <w:rPr>
                <w:rFonts w:cs="Arial"/>
                <w:b/>
                <w:bCs/>
              </w:rPr>
              <w:t>Total Recurring</w:t>
            </w:r>
            <w:r>
              <w:rPr>
                <w:rFonts w:cs="Arial"/>
                <w:b/>
                <w:bCs/>
              </w:rPr>
              <w:t xml:space="preserve"> investment</w:t>
            </w:r>
          </w:p>
        </w:tc>
        <w:tc>
          <w:tcPr>
            <w:tcW w:w="992" w:type="dxa"/>
            <w:tcBorders>
              <w:top w:val="single" w:sz="4" w:space="0" w:color="000000"/>
              <w:left w:val="single" w:sz="4" w:space="0" w:color="000000"/>
              <w:bottom w:val="single" w:sz="4" w:space="0" w:color="000000"/>
              <w:right w:val="single" w:sz="4" w:space="0" w:color="000000"/>
            </w:tcBorders>
            <w:hideMark/>
          </w:tcPr>
          <w:p w14:paraId="44114B12" w14:textId="77777777" w:rsidR="005F1859" w:rsidRPr="002A1D42" w:rsidRDefault="005F1859" w:rsidP="00EF5C9A">
            <w:pPr>
              <w:jc w:val="center"/>
              <w:rPr>
                <w:rFonts w:cs="Arial"/>
                <w:b/>
                <w:bCs/>
              </w:rPr>
            </w:pPr>
            <w:r>
              <w:rPr>
                <w:rFonts w:cs="Arial"/>
                <w:b/>
                <w:bCs/>
              </w:rPr>
              <w:t>4.5</w:t>
            </w:r>
          </w:p>
        </w:tc>
        <w:tc>
          <w:tcPr>
            <w:tcW w:w="1134" w:type="dxa"/>
            <w:tcBorders>
              <w:top w:val="single" w:sz="4" w:space="0" w:color="000000"/>
              <w:left w:val="single" w:sz="4" w:space="0" w:color="000000"/>
              <w:bottom w:val="single" w:sz="4" w:space="0" w:color="000000"/>
              <w:right w:val="single" w:sz="4" w:space="0" w:color="000000"/>
            </w:tcBorders>
          </w:tcPr>
          <w:p w14:paraId="6679D019" w14:textId="77777777" w:rsidR="005F1859" w:rsidRPr="002A1D42" w:rsidRDefault="005F1859" w:rsidP="00EF5C9A">
            <w:pPr>
              <w:tabs>
                <w:tab w:val="center" w:pos="398"/>
                <w:tab w:val="right" w:pos="796"/>
              </w:tabs>
              <w:jc w:val="center"/>
              <w:rPr>
                <w:rFonts w:cs="Arial"/>
                <w:b/>
                <w:bCs/>
              </w:rPr>
            </w:pPr>
            <w:r>
              <w:rPr>
                <w:rFonts w:cs="Arial"/>
                <w:b/>
                <w:bCs/>
              </w:rPr>
              <w:t>1.5</w:t>
            </w:r>
          </w:p>
        </w:tc>
        <w:tc>
          <w:tcPr>
            <w:tcW w:w="1073" w:type="dxa"/>
            <w:tcBorders>
              <w:top w:val="single" w:sz="4" w:space="0" w:color="000000"/>
              <w:left w:val="single" w:sz="4" w:space="0" w:color="000000"/>
              <w:bottom w:val="single" w:sz="4" w:space="0" w:color="000000"/>
              <w:right w:val="single" w:sz="4" w:space="0" w:color="000000"/>
            </w:tcBorders>
          </w:tcPr>
          <w:p w14:paraId="6A3131C3" w14:textId="77777777" w:rsidR="005F1859" w:rsidRPr="002A1D42" w:rsidRDefault="005F1859" w:rsidP="00EF5C9A">
            <w:pPr>
              <w:tabs>
                <w:tab w:val="center" w:pos="398"/>
                <w:tab w:val="right" w:pos="796"/>
              </w:tabs>
              <w:jc w:val="center"/>
              <w:rPr>
                <w:rFonts w:cs="Arial"/>
                <w:b/>
                <w:bCs/>
              </w:rPr>
            </w:pPr>
            <w:r>
              <w:rPr>
                <w:rFonts w:cs="Arial"/>
                <w:b/>
                <w:bCs/>
              </w:rPr>
              <w:t>3.7</w:t>
            </w:r>
          </w:p>
        </w:tc>
      </w:tr>
    </w:tbl>
    <w:p w14:paraId="7A2CB944" w14:textId="77777777" w:rsidR="005F1859" w:rsidRPr="00986EAA" w:rsidRDefault="005F1859" w:rsidP="005F1859">
      <w:pPr>
        <w:pStyle w:val="Heading3"/>
        <w:ind w:left="1146" w:hanging="720"/>
      </w:pPr>
      <w:r>
        <w:t>Service I</w:t>
      </w:r>
      <w:r w:rsidRPr="00986EAA">
        <w:t xml:space="preserve">mprovement – </w:t>
      </w:r>
      <w:r>
        <w:t>L</w:t>
      </w:r>
      <w:r w:rsidRPr="00986EAA">
        <w:t xml:space="preserve">ocally </w:t>
      </w:r>
      <w:r>
        <w:t>D</w:t>
      </w:r>
      <w:r w:rsidRPr="00986EAA">
        <w:t xml:space="preserve">etermined  </w:t>
      </w:r>
    </w:p>
    <w:p w14:paraId="20CC6037" w14:textId="77777777" w:rsidR="005F1859" w:rsidRDefault="005F1859" w:rsidP="005F1859">
      <w:r w:rsidRPr="00460F4E">
        <w:t>The financial plan for 2020/21 includes £1.0m for locally determined investment decisions.</w:t>
      </w:r>
      <w:r>
        <w:t xml:space="preserve"> The planned allocation of this £1.0m is set out below. </w:t>
      </w:r>
    </w:p>
    <w:p w14:paraId="5B93D0DB" w14:textId="77777777" w:rsidR="005F1859" w:rsidRDefault="005F1859" w:rsidP="005F1859">
      <w:r w:rsidRPr="00460F4E">
        <w:t xml:space="preserve"> </w:t>
      </w:r>
    </w:p>
    <w:tbl>
      <w:tblPr>
        <w:tblStyle w:val="TableGrid"/>
        <w:tblW w:w="8875" w:type="dxa"/>
        <w:jc w:val="center"/>
        <w:tblLook w:val="04A0" w:firstRow="1" w:lastRow="0" w:firstColumn="1" w:lastColumn="0" w:noHBand="0" w:noVBand="1"/>
      </w:tblPr>
      <w:tblGrid>
        <w:gridCol w:w="6457"/>
        <w:gridCol w:w="1128"/>
        <w:gridCol w:w="1290"/>
      </w:tblGrid>
      <w:tr w:rsidR="005F1859" w:rsidRPr="00113F86" w14:paraId="6C948B6F" w14:textId="77777777" w:rsidTr="00EF5C9A">
        <w:trPr>
          <w:trHeight w:val="558"/>
          <w:jc w:val="center"/>
        </w:trPr>
        <w:tc>
          <w:tcPr>
            <w:tcW w:w="6457"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50C04836" w14:textId="77777777" w:rsidR="005F1859" w:rsidRPr="00113F86" w:rsidRDefault="005F1859" w:rsidP="00EF5C9A">
            <w:pPr>
              <w:rPr>
                <w:rFonts w:cs="Arial"/>
                <w:b/>
              </w:rPr>
            </w:pPr>
            <w:r w:rsidRPr="00113F86">
              <w:rPr>
                <w:rFonts w:cs="Arial"/>
                <w:b/>
              </w:rPr>
              <w:t>Service improvement</w:t>
            </w:r>
          </w:p>
        </w:tc>
        <w:tc>
          <w:tcPr>
            <w:tcW w:w="1128"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7B9F139C" w14:textId="77777777" w:rsidR="005F1859" w:rsidRPr="00113F86" w:rsidRDefault="005F1859" w:rsidP="00EF5C9A">
            <w:pPr>
              <w:jc w:val="center"/>
              <w:rPr>
                <w:rFonts w:cs="Arial"/>
                <w:b/>
              </w:rPr>
            </w:pPr>
            <w:r>
              <w:rPr>
                <w:rFonts w:cs="Arial"/>
                <w:b/>
                <w:bCs/>
              </w:rPr>
              <w:t>20/21</w:t>
            </w:r>
            <w:r w:rsidRPr="00113F86">
              <w:rPr>
                <w:rFonts w:cs="Arial"/>
                <w:b/>
                <w:bCs/>
              </w:rPr>
              <w:t xml:space="preserve"> </w:t>
            </w:r>
          </w:p>
          <w:p w14:paraId="20C03944" w14:textId="77777777" w:rsidR="005F1859" w:rsidRPr="00113F86" w:rsidRDefault="005F1859" w:rsidP="00EF5C9A">
            <w:pPr>
              <w:jc w:val="center"/>
              <w:rPr>
                <w:rFonts w:cs="Arial"/>
                <w:b/>
              </w:rPr>
            </w:pPr>
            <w:r w:rsidRPr="00113F86">
              <w:rPr>
                <w:rFonts w:cs="Arial"/>
                <w:b/>
                <w:bCs/>
              </w:rPr>
              <w:t>£</w:t>
            </w:r>
            <w:r>
              <w:rPr>
                <w:rFonts w:cs="Arial"/>
                <w:b/>
                <w:bCs/>
              </w:rPr>
              <w:t>k</w:t>
            </w:r>
          </w:p>
        </w:tc>
        <w:tc>
          <w:tcPr>
            <w:tcW w:w="1290"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0961A745" w14:textId="77777777" w:rsidR="005F1859" w:rsidRPr="00113F86" w:rsidRDefault="005F1859" w:rsidP="00EF5C9A">
            <w:pPr>
              <w:jc w:val="center"/>
              <w:rPr>
                <w:rFonts w:cs="Arial"/>
                <w:b/>
                <w:bCs/>
              </w:rPr>
            </w:pPr>
            <w:r w:rsidRPr="00113F86">
              <w:rPr>
                <w:rFonts w:cs="Arial"/>
                <w:b/>
                <w:bCs/>
              </w:rPr>
              <w:t>2</w:t>
            </w:r>
            <w:r>
              <w:rPr>
                <w:rFonts w:cs="Arial"/>
                <w:b/>
                <w:bCs/>
              </w:rPr>
              <w:t>1</w:t>
            </w:r>
            <w:r w:rsidRPr="00113F86">
              <w:rPr>
                <w:rFonts w:cs="Arial"/>
                <w:b/>
                <w:bCs/>
              </w:rPr>
              <w:t>/2</w:t>
            </w:r>
            <w:r>
              <w:rPr>
                <w:rFonts w:cs="Arial"/>
                <w:b/>
                <w:bCs/>
              </w:rPr>
              <w:t>2</w:t>
            </w:r>
          </w:p>
          <w:p w14:paraId="025AB313" w14:textId="77777777" w:rsidR="005F1859" w:rsidRPr="00113F86" w:rsidRDefault="005F1859" w:rsidP="00EF5C9A">
            <w:pPr>
              <w:jc w:val="center"/>
              <w:rPr>
                <w:rFonts w:cs="Arial"/>
                <w:b/>
              </w:rPr>
            </w:pPr>
            <w:r w:rsidRPr="00113F86">
              <w:rPr>
                <w:rFonts w:cs="Arial"/>
                <w:b/>
                <w:bCs/>
              </w:rPr>
              <w:t>£m</w:t>
            </w:r>
          </w:p>
        </w:tc>
      </w:tr>
      <w:tr w:rsidR="005F1859" w:rsidRPr="002A1D42" w14:paraId="2FAAE140" w14:textId="77777777" w:rsidTr="00EF5C9A">
        <w:trPr>
          <w:trHeight w:val="255"/>
          <w:jc w:val="center"/>
        </w:trPr>
        <w:tc>
          <w:tcPr>
            <w:tcW w:w="6457" w:type="dxa"/>
            <w:tcBorders>
              <w:top w:val="single" w:sz="4" w:space="0" w:color="000000"/>
              <w:left w:val="single" w:sz="4" w:space="0" w:color="000000"/>
              <w:bottom w:val="single" w:sz="4" w:space="0" w:color="000000"/>
              <w:right w:val="single" w:sz="4" w:space="0" w:color="000000"/>
            </w:tcBorders>
          </w:tcPr>
          <w:p w14:paraId="19B60FA0" w14:textId="77777777" w:rsidR="005F1859" w:rsidRPr="002A1D42" w:rsidRDefault="005F1859" w:rsidP="00EF5C9A">
            <w:pPr>
              <w:rPr>
                <w:rFonts w:cs="Arial"/>
                <w:b/>
              </w:rPr>
            </w:pPr>
            <w:r w:rsidRPr="00113F86">
              <w:rPr>
                <w:rFonts w:cs="Arial"/>
                <w:b/>
              </w:rPr>
              <w:t>Recurring investment:</w:t>
            </w:r>
          </w:p>
        </w:tc>
        <w:tc>
          <w:tcPr>
            <w:tcW w:w="1128" w:type="dxa"/>
            <w:tcBorders>
              <w:top w:val="single" w:sz="4" w:space="0" w:color="000000"/>
              <w:left w:val="single" w:sz="4" w:space="0" w:color="000000"/>
              <w:bottom w:val="single" w:sz="4" w:space="0" w:color="000000"/>
              <w:right w:val="single" w:sz="4" w:space="0" w:color="000000"/>
            </w:tcBorders>
          </w:tcPr>
          <w:p w14:paraId="78821FB3" w14:textId="77777777" w:rsidR="005F1859" w:rsidRPr="002A1D42" w:rsidRDefault="005F1859" w:rsidP="00EF5C9A">
            <w:pPr>
              <w:jc w:val="center"/>
              <w:rPr>
                <w:rFonts w:cs="Arial"/>
              </w:rPr>
            </w:pPr>
          </w:p>
        </w:tc>
        <w:tc>
          <w:tcPr>
            <w:tcW w:w="1290" w:type="dxa"/>
            <w:tcBorders>
              <w:top w:val="single" w:sz="4" w:space="0" w:color="000000"/>
              <w:left w:val="single" w:sz="4" w:space="0" w:color="000000"/>
              <w:bottom w:val="single" w:sz="4" w:space="0" w:color="000000"/>
              <w:right w:val="single" w:sz="4" w:space="0" w:color="000000"/>
            </w:tcBorders>
          </w:tcPr>
          <w:p w14:paraId="3307072C" w14:textId="77777777" w:rsidR="005F1859" w:rsidRPr="002A1D42" w:rsidRDefault="005F1859" w:rsidP="00EF5C9A">
            <w:pPr>
              <w:jc w:val="center"/>
              <w:rPr>
                <w:rFonts w:cs="Arial"/>
              </w:rPr>
            </w:pPr>
          </w:p>
        </w:tc>
      </w:tr>
      <w:tr w:rsidR="005F1859" w14:paraId="1B50042C" w14:textId="77777777" w:rsidTr="00EF5C9A">
        <w:trPr>
          <w:trHeight w:val="361"/>
          <w:jc w:val="center"/>
        </w:trPr>
        <w:tc>
          <w:tcPr>
            <w:tcW w:w="6457" w:type="dxa"/>
            <w:tcBorders>
              <w:top w:val="single" w:sz="4" w:space="0" w:color="000000"/>
              <w:left w:val="single" w:sz="4" w:space="0" w:color="000000"/>
              <w:bottom w:val="single" w:sz="4" w:space="0" w:color="000000"/>
              <w:right w:val="single" w:sz="4" w:space="0" w:color="000000"/>
            </w:tcBorders>
          </w:tcPr>
          <w:p w14:paraId="49902BEA" w14:textId="77777777" w:rsidR="005F1859" w:rsidRPr="002A1D42" w:rsidRDefault="005F1859" w:rsidP="00EF5C9A">
            <w:pPr>
              <w:rPr>
                <w:rFonts w:cs="Arial"/>
              </w:rPr>
            </w:pPr>
            <w:r>
              <w:rPr>
                <w:rFonts w:cs="Arial"/>
              </w:rPr>
              <w:t>DER infusion pump system</w:t>
            </w:r>
          </w:p>
        </w:tc>
        <w:tc>
          <w:tcPr>
            <w:tcW w:w="1128" w:type="dxa"/>
            <w:tcBorders>
              <w:top w:val="single" w:sz="4" w:space="0" w:color="000000"/>
              <w:left w:val="single" w:sz="4" w:space="0" w:color="000000"/>
              <w:bottom w:val="single" w:sz="4" w:space="0" w:color="000000"/>
              <w:right w:val="single" w:sz="4" w:space="0" w:color="000000"/>
            </w:tcBorders>
          </w:tcPr>
          <w:p w14:paraId="3AF19DC7" w14:textId="77777777" w:rsidR="005F1859" w:rsidRDefault="005F1859" w:rsidP="00EF5C9A">
            <w:pPr>
              <w:jc w:val="center"/>
              <w:rPr>
                <w:rFonts w:cs="Arial"/>
              </w:rPr>
            </w:pPr>
            <w:r>
              <w:rPr>
                <w:rFonts w:cs="Arial"/>
              </w:rPr>
              <w:t>104</w:t>
            </w:r>
          </w:p>
        </w:tc>
        <w:tc>
          <w:tcPr>
            <w:tcW w:w="1290" w:type="dxa"/>
            <w:tcBorders>
              <w:top w:val="single" w:sz="4" w:space="0" w:color="000000"/>
              <w:left w:val="single" w:sz="4" w:space="0" w:color="000000"/>
              <w:bottom w:val="single" w:sz="4" w:space="0" w:color="000000"/>
              <w:right w:val="single" w:sz="4" w:space="0" w:color="000000"/>
            </w:tcBorders>
          </w:tcPr>
          <w:p w14:paraId="623EB91A" w14:textId="77777777" w:rsidR="005F1859" w:rsidRDefault="005F1859" w:rsidP="00EF5C9A">
            <w:pPr>
              <w:jc w:val="center"/>
              <w:rPr>
                <w:rFonts w:cs="Arial"/>
              </w:rPr>
            </w:pPr>
            <w:r>
              <w:rPr>
                <w:rFonts w:cs="Arial"/>
              </w:rPr>
              <w:t>0</w:t>
            </w:r>
          </w:p>
        </w:tc>
      </w:tr>
      <w:tr w:rsidR="005F1859" w14:paraId="1AB67786" w14:textId="77777777" w:rsidTr="00EF5C9A">
        <w:trPr>
          <w:trHeight w:val="353"/>
          <w:jc w:val="center"/>
        </w:trPr>
        <w:tc>
          <w:tcPr>
            <w:tcW w:w="6457" w:type="dxa"/>
            <w:tcBorders>
              <w:top w:val="single" w:sz="4" w:space="0" w:color="000000"/>
              <w:left w:val="single" w:sz="4" w:space="0" w:color="000000"/>
              <w:bottom w:val="single" w:sz="4" w:space="0" w:color="000000"/>
              <w:right w:val="single" w:sz="4" w:space="0" w:color="000000"/>
            </w:tcBorders>
          </w:tcPr>
          <w:p w14:paraId="67BCCAC6" w14:textId="77777777" w:rsidR="005F1859" w:rsidRPr="002A1D42" w:rsidRDefault="005F1859" w:rsidP="00EF5C9A">
            <w:pPr>
              <w:rPr>
                <w:rFonts w:cs="Arial"/>
              </w:rPr>
            </w:pPr>
            <w:r>
              <w:rPr>
                <w:rFonts w:cs="Arial"/>
              </w:rPr>
              <w:t>Maternity records data quality/merge</w:t>
            </w:r>
          </w:p>
        </w:tc>
        <w:tc>
          <w:tcPr>
            <w:tcW w:w="1128" w:type="dxa"/>
            <w:tcBorders>
              <w:top w:val="single" w:sz="4" w:space="0" w:color="000000"/>
              <w:left w:val="single" w:sz="4" w:space="0" w:color="000000"/>
              <w:bottom w:val="single" w:sz="4" w:space="0" w:color="000000"/>
              <w:right w:val="single" w:sz="4" w:space="0" w:color="000000"/>
            </w:tcBorders>
          </w:tcPr>
          <w:p w14:paraId="50BBF003" w14:textId="77777777" w:rsidR="005F1859" w:rsidRDefault="005F1859" w:rsidP="00EF5C9A">
            <w:pPr>
              <w:jc w:val="center"/>
              <w:rPr>
                <w:rFonts w:cs="Arial"/>
              </w:rPr>
            </w:pPr>
            <w:r>
              <w:rPr>
                <w:rFonts w:cs="Arial"/>
              </w:rPr>
              <w:t>59</w:t>
            </w:r>
          </w:p>
        </w:tc>
        <w:tc>
          <w:tcPr>
            <w:tcW w:w="1290" w:type="dxa"/>
            <w:tcBorders>
              <w:top w:val="single" w:sz="4" w:space="0" w:color="000000"/>
              <w:left w:val="single" w:sz="4" w:space="0" w:color="000000"/>
              <w:bottom w:val="single" w:sz="4" w:space="0" w:color="000000"/>
              <w:right w:val="single" w:sz="4" w:space="0" w:color="000000"/>
            </w:tcBorders>
          </w:tcPr>
          <w:p w14:paraId="54F37403" w14:textId="77777777" w:rsidR="005F1859" w:rsidRDefault="005F1859" w:rsidP="00EF5C9A">
            <w:pPr>
              <w:jc w:val="center"/>
              <w:rPr>
                <w:rFonts w:cs="Arial"/>
              </w:rPr>
            </w:pPr>
            <w:r>
              <w:rPr>
                <w:rFonts w:cs="Arial"/>
              </w:rPr>
              <w:t>0</w:t>
            </w:r>
          </w:p>
        </w:tc>
      </w:tr>
      <w:tr w:rsidR="005F1859" w14:paraId="02C04B7A" w14:textId="77777777" w:rsidTr="00EF5C9A">
        <w:trPr>
          <w:trHeight w:val="353"/>
          <w:jc w:val="center"/>
        </w:trPr>
        <w:tc>
          <w:tcPr>
            <w:tcW w:w="6457" w:type="dxa"/>
            <w:tcBorders>
              <w:top w:val="single" w:sz="4" w:space="0" w:color="000000"/>
              <w:left w:val="single" w:sz="4" w:space="0" w:color="000000"/>
              <w:bottom w:val="single" w:sz="4" w:space="0" w:color="000000"/>
              <w:right w:val="single" w:sz="4" w:space="0" w:color="000000"/>
            </w:tcBorders>
          </w:tcPr>
          <w:p w14:paraId="651420C0" w14:textId="77777777" w:rsidR="005F1859" w:rsidRPr="002A1D42" w:rsidRDefault="005F1859" w:rsidP="00EF5C9A">
            <w:pPr>
              <w:rPr>
                <w:rFonts w:cs="Arial"/>
              </w:rPr>
            </w:pPr>
            <w:r>
              <w:rPr>
                <w:rFonts w:cs="Arial"/>
              </w:rPr>
              <w:lastRenderedPageBreak/>
              <w:t>BI/data quality to support Quality governance</w:t>
            </w:r>
          </w:p>
        </w:tc>
        <w:tc>
          <w:tcPr>
            <w:tcW w:w="1128" w:type="dxa"/>
            <w:tcBorders>
              <w:top w:val="single" w:sz="4" w:space="0" w:color="000000"/>
              <w:left w:val="single" w:sz="4" w:space="0" w:color="000000"/>
              <w:bottom w:val="single" w:sz="4" w:space="0" w:color="000000"/>
              <w:right w:val="single" w:sz="4" w:space="0" w:color="000000"/>
            </w:tcBorders>
          </w:tcPr>
          <w:p w14:paraId="5039541E" w14:textId="77777777" w:rsidR="005F1859" w:rsidRDefault="005F1859" w:rsidP="00EF5C9A">
            <w:pPr>
              <w:jc w:val="center"/>
              <w:rPr>
                <w:rFonts w:cs="Arial"/>
              </w:rPr>
            </w:pPr>
            <w:r>
              <w:rPr>
                <w:rFonts w:cs="Arial"/>
              </w:rPr>
              <w:t>207</w:t>
            </w:r>
          </w:p>
        </w:tc>
        <w:tc>
          <w:tcPr>
            <w:tcW w:w="1290" w:type="dxa"/>
            <w:tcBorders>
              <w:top w:val="single" w:sz="4" w:space="0" w:color="000000"/>
              <w:left w:val="single" w:sz="4" w:space="0" w:color="000000"/>
              <w:bottom w:val="single" w:sz="4" w:space="0" w:color="000000"/>
              <w:right w:val="single" w:sz="4" w:space="0" w:color="000000"/>
            </w:tcBorders>
          </w:tcPr>
          <w:p w14:paraId="425CF218" w14:textId="77777777" w:rsidR="005F1859" w:rsidRDefault="005F1859" w:rsidP="00EF5C9A">
            <w:pPr>
              <w:jc w:val="center"/>
              <w:rPr>
                <w:rFonts w:cs="Arial"/>
              </w:rPr>
            </w:pPr>
            <w:r>
              <w:rPr>
                <w:rFonts w:cs="Arial"/>
              </w:rPr>
              <w:t>0</w:t>
            </w:r>
          </w:p>
        </w:tc>
      </w:tr>
      <w:tr w:rsidR="005F1859" w:rsidRPr="002A1D42" w14:paraId="2230109D" w14:textId="77777777" w:rsidTr="00EF5C9A">
        <w:trPr>
          <w:trHeight w:val="353"/>
          <w:jc w:val="center"/>
        </w:trPr>
        <w:tc>
          <w:tcPr>
            <w:tcW w:w="6457" w:type="dxa"/>
            <w:tcBorders>
              <w:top w:val="single" w:sz="4" w:space="0" w:color="000000"/>
              <w:left w:val="single" w:sz="4" w:space="0" w:color="000000"/>
              <w:bottom w:val="single" w:sz="4" w:space="0" w:color="000000"/>
              <w:right w:val="single" w:sz="4" w:space="0" w:color="000000"/>
            </w:tcBorders>
          </w:tcPr>
          <w:p w14:paraId="261C491C" w14:textId="77777777" w:rsidR="005F1859" w:rsidRPr="002A1D42" w:rsidRDefault="005F1859" w:rsidP="00EF5C9A">
            <w:pPr>
              <w:rPr>
                <w:rFonts w:cs="Arial"/>
                <w:bCs/>
              </w:rPr>
            </w:pPr>
            <w:r>
              <w:rPr>
                <w:rFonts w:cs="Arial"/>
                <w:bCs/>
              </w:rPr>
              <w:t>Vascular reconfiguration</w:t>
            </w:r>
          </w:p>
        </w:tc>
        <w:tc>
          <w:tcPr>
            <w:tcW w:w="1128" w:type="dxa"/>
            <w:tcBorders>
              <w:top w:val="single" w:sz="4" w:space="0" w:color="000000"/>
              <w:left w:val="single" w:sz="4" w:space="0" w:color="000000"/>
              <w:bottom w:val="single" w:sz="4" w:space="0" w:color="000000"/>
              <w:right w:val="single" w:sz="4" w:space="0" w:color="000000"/>
            </w:tcBorders>
            <w:hideMark/>
          </w:tcPr>
          <w:p w14:paraId="262D7D16" w14:textId="77777777" w:rsidR="005F1859" w:rsidRPr="002A1D42" w:rsidRDefault="005F1859" w:rsidP="00EF5C9A">
            <w:pPr>
              <w:jc w:val="center"/>
              <w:rPr>
                <w:rFonts w:cs="Arial"/>
              </w:rPr>
            </w:pPr>
            <w:r>
              <w:rPr>
                <w:rFonts w:cs="Arial"/>
              </w:rPr>
              <w:t>250</w:t>
            </w:r>
          </w:p>
        </w:tc>
        <w:tc>
          <w:tcPr>
            <w:tcW w:w="1290" w:type="dxa"/>
            <w:tcBorders>
              <w:top w:val="single" w:sz="4" w:space="0" w:color="000000"/>
              <w:left w:val="single" w:sz="4" w:space="0" w:color="000000"/>
              <w:bottom w:val="single" w:sz="4" w:space="0" w:color="000000"/>
              <w:right w:val="single" w:sz="4" w:space="0" w:color="000000"/>
            </w:tcBorders>
          </w:tcPr>
          <w:p w14:paraId="3A246B2B" w14:textId="77777777" w:rsidR="005F1859" w:rsidRPr="002A1D42" w:rsidRDefault="005F1859" w:rsidP="00EF5C9A">
            <w:pPr>
              <w:jc w:val="center"/>
              <w:rPr>
                <w:rFonts w:cs="Arial"/>
              </w:rPr>
            </w:pPr>
            <w:r>
              <w:rPr>
                <w:rFonts w:cs="Arial"/>
              </w:rPr>
              <w:t>500</w:t>
            </w:r>
          </w:p>
        </w:tc>
      </w:tr>
      <w:tr w:rsidR="005F1859" w:rsidRPr="004D2CAB" w14:paraId="15BA34BC" w14:textId="77777777" w:rsidTr="00EF5C9A">
        <w:trPr>
          <w:trHeight w:val="337"/>
          <w:jc w:val="center"/>
        </w:trPr>
        <w:tc>
          <w:tcPr>
            <w:tcW w:w="6457" w:type="dxa"/>
            <w:tcBorders>
              <w:top w:val="single" w:sz="4" w:space="0" w:color="000000"/>
              <w:left w:val="single" w:sz="4" w:space="0" w:color="000000"/>
              <w:bottom w:val="single" w:sz="4" w:space="0" w:color="000000"/>
              <w:right w:val="single" w:sz="4" w:space="0" w:color="000000"/>
            </w:tcBorders>
          </w:tcPr>
          <w:p w14:paraId="28FA0F28" w14:textId="77777777" w:rsidR="005F1859" w:rsidRPr="00F355E0" w:rsidRDefault="005F1859" w:rsidP="00EF5C9A">
            <w:pPr>
              <w:rPr>
                <w:rFonts w:cs="Arial"/>
                <w:bCs/>
              </w:rPr>
            </w:pPr>
            <w:r>
              <w:rPr>
                <w:rFonts w:cs="Arial"/>
                <w:bCs/>
              </w:rPr>
              <w:t>To be prioritised</w:t>
            </w:r>
          </w:p>
        </w:tc>
        <w:tc>
          <w:tcPr>
            <w:tcW w:w="1128" w:type="dxa"/>
            <w:tcBorders>
              <w:top w:val="single" w:sz="4" w:space="0" w:color="000000"/>
              <w:left w:val="single" w:sz="4" w:space="0" w:color="000000"/>
              <w:bottom w:val="single" w:sz="4" w:space="0" w:color="000000"/>
              <w:right w:val="single" w:sz="4" w:space="0" w:color="000000"/>
            </w:tcBorders>
          </w:tcPr>
          <w:p w14:paraId="1C244D3F" w14:textId="77777777" w:rsidR="005F1859" w:rsidRPr="00F355E0" w:rsidRDefault="005F1859" w:rsidP="00EF5C9A">
            <w:pPr>
              <w:jc w:val="center"/>
              <w:rPr>
                <w:rFonts w:cs="Arial"/>
                <w:bCs/>
              </w:rPr>
            </w:pPr>
            <w:r>
              <w:rPr>
                <w:rFonts w:cs="Arial"/>
                <w:bCs/>
              </w:rPr>
              <w:t>380</w:t>
            </w:r>
          </w:p>
        </w:tc>
        <w:tc>
          <w:tcPr>
            <w:tcW w:w="1290" w:type="dxa"/>
            <w:tcBorders>
              <w:top w:val="single" w:sz="4" w:space="0" w:color="000000"/>
              <w:left w:val="single" w:sz="4" w:space="0" w:color="000000"/>
              <w:bottom w:val="single" w:sz="4" w:space="0" w:color="000000"/>
              <w:right w:val="single" w:sz="4" w:space="0" w:color="000000"/>
            </w:tcBorders>
          </w:tcPr>
          <w:p w14:paraId="37B429F4" w14:textId="77777777" w:rsidR="005F1859" w:rsidRPr="004D2CAB" w:rsidRDefault="005F1859" w:rsidP="00EF5C9A">
            <w:pPr>
              <w:tabs>
                <w:tab w:val="center" w:pos="398"/>
                <w:tab w:val="right" w:pos="796"/>
              </w:tabs>
              <w:jc w:val="center"/>
              <w:rPr>
                <w:rFonts w:cs="Arial"/>
                <w:bCs/>
              </w:rPr>
            </w:pPr>
            <w:r>
              <w:rPr>
                <w:rFonts w:cs="Arial"/>
                <w:bCs/>
              </w:rPr>
              <w:t>500</w:t>
            </w:r>
          </w:p>
        </w:tc>
      </w:tr>
      <w:tr w:rsidR="005F1859" w:rsidRPr="002A1D42" w14:paraId="49FD5862" w14:textId="77777777" w:rsidTr="00EF5C9A">
        <w:trPr>
          <w:trHeight w:val="337"/>
          <w:jc w:val="center"/>
        </w:trPr>
        <w:tc>
          <w:tcPr>
            <w:tcW w:w="6457" w:type="dxa"/>
            <w:tcBorders>
              <w:top w:val="single" w:sz="4" w:space="0" w:color="000000"/>
              <w:left w:val="single" w:sz="4" w:space="0" w:color="000000"/>
              <w:bottom w:val="single" w:sz="4" w:space="0" w:color="000000"/>
              <w:right w:val="single" w:sz="4" w:space="0" w:color="000000"/>
            </w:tcBorders>
            <w:hideMark/>
          </w:tcPr>
          <w:p w14:paraId="2385C187" w14:textId="77777777" w:rsidR="005F1859" w:rsidRPr="002A1D42" w:rsidRDefault="005F1859" w:rsidP="00EF5C9A">
            <w:pPr>
              <w:rPr>
                <w:rFonts w:cs="Arial"/>
                <w:b/>
                <w:bCs/>
              </w:rPr>
            </w:pPr>
            <w:r w:rsidRPr="002A1D42">
              <w:rPr>
                <w:rFonts w:cs="Arial"/>
                <w:b/>
                <w:bCs/>
              </w:rPr>
              <w:t>Total Recurring</w:t>
            </w:r>
            <w:r>
              <w:rPr>
                <w:rFonts w:cs="Arial"/>
                <w:b/>
                <w:bCs/>
              </w:rPr>
              <w:t xml:space="preserve"> investment</w:t>
            </w:r>
          </w:p>
        </w:tc>
        <w:tc>
          <w:tcPr>
            <w:tcW w:w="1128" w:type="dxa"/>
            <w:tcBorders>
              <w:top w:val="single" w:sz="4" w:space="0" w:color="000000"/>
              <w:left w:val="single" w:sz="4" w:space="0" w:color="000000"/>
              <w:bottom w:val="single" w:sz="4" w:space="0" w:color="000000"/>
              <w:right w:val="single" w:sz="4" w:space="0" w:color="000000"/>
            </w:tcBorders>
            <w:hideMark/>
          </w:tcPr>
          <w:p w14:paraId="5D5E187B" w14:textId="77777777" w:rsidR="005F1859" w:rsidRPr="002A1D42" w:rsidRDefault="005F1859" w:rsidP="00EF5C9A">
            <w:pPr>
              <w:jc w:val="center"/>
              <w:rPr>
                <w:rFonts w:cs="Arial"/>
                <w:b/>
                <w:bCs/>
              </w:rPr>
            </w:pPr>
            <w:r>
              <w:rPr>
                <w:rFonts w:cs="Arial"/>
                <w:b/>
                <w:bCs/>
              </w:rPr>
              <w:t>1,000</w:t>
            </w:r>
          </w:p>
        </w:tc>
        <w:tc>
          <w:tcPr>
            <w:tcW w:w="1290" w:type="dxa"/>
            <w:tcBorders>
              <w:top w:val="single" w:sz="4" w:space="0" w:color="000000"/>
              <w:left w:val="single" w:sz="4" w:space="0" w:color="000000"/>
              <w:bottom w:val="single" w:sz="4" w:space="0" w:color="000000"/>
              <w:right w:val="single" w:sz="4" w:space="0" w:color="000000"/>
            </w:tcBorders>
          </w:tcPr>
          <w:p w14:paraId="7DDE089D" w14:textId="77777777" w:rsidR="005F1859" w:rsidRPr="002A1D42" w:rsidRDefault="005F1859" w:rsidP="00EF5C9A">
            <w:pPr>
              <w:tabs>
                <w:tab w:val="center" w:pos="398"/>
                <w:tab w:val="right" w:pos="796"/>
              </w:tabs>
              <w:jc w:val="center"/>
              <w:rPr>
                <w:rFonts w:cs="Arial"/>
                <w:b/>
                <w:bCs/>
              </w:rPr>
            </w:pPr>
            <w:r>
              <w:rPr>
                <w:rFonts w:cs="Arial"/>
                <w:b/>
                <w:bCs/>
              </w:rPr>
              <w:t>1,000</w:t>
            </w:r>
          </w:p>
        </w:tc>
      </w:tr>
    </w:tbl>
    <w:p w14:paraId="1734906E" w14:textId="77777777" w:rsidR="005F1859" w:rsidRDefault="005F1859" w:rsidP="005F1859"/>
    <w:p w14:paraId="569583DB" w14:textId="77777777" w:rsidR="005F1859" w:rsidRPr="00460F4E" w:rsidRDefault="005F1859" w:rsidP="005F1859">
      <w:r w:rsidRPr="00460F4E">
        <w:t>There are a number of planned areas of development within the service change section of the IMTP. In most cases these require detailed proposals to be developed for corporate consideration. The potential funding sources for these schemes within the overall financia</w:t>
      </w:r>
      <w:r>
        <w:t>l plan are as follows:</w:t>
      </w:r>
    </w:p>
    <w:p w14:paraId="40F055BB" w14:textId="77777777" w:rsidR="005F1859" w:rsidRPr="00460F4E" w:rsidRDefault="005F1859" w:rsidP="005F1859"/>
    <w:p w14:paraId="5F15B35C" w14:textId="77777777" w:rsidR="005F1859" w:rsidRPr="00460F4E" w:rsidRDefault="005F1859" w:rsidP="005F1859">
      <w:pPr>
        <w:pStyle w:val="ListParagraph"/>
        <w:numPr>
          <w:ilvl w:val="0"/>
          <w:numId w:val="121"/>
        </w:numPr>
      </w:pPr>
      <w:r w:rsidRPr="00460F4E">
        <w:t>From re-allocation of existing resources within the relevant service area or locality, including on an invest to save basis</w:t>
      </w:r>
      <w:r>
        <w:t>.</w:t>
      </w:r>
    </w:p>
    <w:p w14:paraId="5E8EB4C0" w14:textId="77777777" w:rsidR="005F1859" w:rsidRPr="00460F4E" w:rsidRDefault="005F1859" w:rsidP="005F1859">
      <w:pPr>
        <w:ind w:left="465"/>
      </w:pPr>
      <w:r w:rsidRPr="00460F4E">
        <w:t>or</w:t>
      </w:r>
    </w:p>
    <w:p w14:paraId="23B90BE8" w14:textId="77777777" w:rsidR="005F1859" w:rsidRPr="00460F4E" w:rsidRDefault="005F1859" w:rsidP="005F1859">
      <w:pPr>
        <w:pStyle w:val="ListParagraph"/>
        <w:numPr>
          <w:ilvl w:val="0"/>
          <w:numId w:val="121"/>
        </w:numPr>
      </w:pPr>
      <w:r w:rsidRPr="00460F4E">
        <w:t>From the overall internal development resource provision outlined above</w:t>
      </w:r>
      <w:r>
        <w:t>.</w:t>
      </w:r>
    </w:p>
    <w:p w14:paraId="0D0A9B2D" w14:textId="77777777" w:rsidR="005F1859" w:rsidRPr="00460F4E" w:rsidRDefault="005F1859" w:rsidP="005F1859">
      <w:pPr>
        <w:ind w:left="465"/>
      </w:pPr>
      <w:r w:rsidRPr="00460F4E">
        <w:t xml:space="preserve">or </w:t>
      </w:r>
    </w:p>
    <w:p w14:paraId="6AEFC34B" w14:textId="77777777" w:rsidR="005F1859" w:rsidRPr="00460F4E" w:rsidRDefault="005F1859" w:rsidP="005F1859">
      <w:pPr>
        <w:pStyle w:val="ListParagraph"/>
        <w:numPr>
          <w:ilvl w:val="0"/>
          <w:numId w:val="121"/>
        </w:numPr>
      </w:pPr>
      <w:r w:rsidRPr="00460F4E">
        <w:t>From any relevant Welsh Government specific funding</w:t>
      </w:r>
      <w:r>
        <w:t>.</w:t>
      </w:r>
      <w:r w:rsidRPr="00460F4E">
        <w:t xml:space="preserve"> </w:t>
      </w:r>
    </w:p>
    <w:p w14:paraId="0B240C0F" w14:textId="77777777" w:rsidR="005F1859" w:rsidRPr="00986EAA" w:rsidRDefault="005F1859" w:rsidP="005F1859">
      <w:pPr>
        <w:pStyle w:val="Heading3"/>
        <w:ind w:left="1146" w:hanging="720"/>
      </w:pPr>
      <w:r>
        <w:t>Service I</w:t>
      </w:r>
      <w:r w:rsidRPr="00986EAA">
        <w:t>mprovement – All Wales</w:t>
      </w:r>
    </w:p>
    <w:p w14:paraId="00EF6003" w14:textId="77777777" w:rsidR="005F1859" w:rsidRDefault="005F1859" w:rsidP="005F1859">
      <w:pPr>
        <w:rPr>
          <w:bCs/>
        </w:rPr>
      </w:pPr>
      <w:r>
        <w:rPr>
          <w:bCs/>
        </w:rPr>
        <w:t>The Health Board has supported a number of All Wales initiatives in previous years in areas such as paramedic banding, non-medical education, postgraduate medical education, 111 roll out etc. The following additional top slices have been included in the 2020/</w:t>
      </w:r>
      <w:r w:rsidRPr="00544C36">
        <w:rPr>
          <w:bCs/>
        </w:rPr>
        <w:t>21 Allocation Letter:</w:t>
      </w:r>
    </w:p>
    <w:p w14:paraId="7A430E48" w14:textId="77777777" w:rsidR="005F1859" w:rsidRDefault="005F1859" w:rsidP="005F1859">
      <w:pPr>
        <w:jc w:val="left"/>
        <w:rPr>
          <w:b/>
          <w:bCs/>
        </w:rPr>
      </w:pPr>
    </w:p>
    <w:tbl>
      <w:tblPr>
        <w:tblStyle w:val="TableGrid"/>
        <w:tblW w:w="8500" w:type="dxa"/>
        <w:jc w:val="center"/>
        <w:tblLook w:val="04A0" w:firstRow="1" w:lastRow="0" w:firstColumn="1" w:lastColumn="0" w:noHBand="0" w:noVBand="1"/>
      </w:tblPr>
      <w:tblGrid>
        <w:gridCol w:w="5382"/>
        <w:gridCol w:w="992"/>
        <w:gridCol w:w="992"/>
        <w:gridCol w:w="1134"/>
      </w:tblGrid>
      <w:tr w:rsidR="005F1859" w14:paraId="527C4DA3" w14:textId="77777777" w:rsidTr="00EF5C9A">
        <w:trPr>
          <w:trHeight w:val="315"/>
          <w:jc w:val="center"/>
        </w:trPr>
        <w:tc>
          <w:tcPr>
            <w:tcW w:w="538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noWrap/>
            <w:hideMark/>
          </w:tcPr>
          <w:p w14:paraId="7987CD06" w14:textId="77777777" w:rsidR="005F1859" w:rsidRPr="002A1D42" w:rsidRDefault="005F1859" w:rsidP="00EF5C9A">
            <w:pPr>
              <w:jc w:val="left"/>
              <w:rPr>
                <w:rFonts w:ascii="Times New Roman" w:hAnsi="Times New Roman"/>
              </w:rPr>
            </w:pPr>
          </w:p>
        </w:tc>
        <w:tc>
          <w:tcPr>
            <w:tcW w:w="9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noWrap/>
            <w:hideMark/>
          </w:tcPr>
          <w:p w14:paraId="69D16812" w14:textId="77777777" w:rsidR="005F1859" w:rsidRPr="002A1D42" w:rsidRDefault="005F1859" w:rsidP="00EF5C9A">
            <w:pPr>
              <w:jc w:val="center"/>
              <w:rPr>
                <w:rFonts w:cs="Arial"/>
                <w:b/>
                <w:bCs/>
              </w:rPr>
            </w:pPr>
            <w:r w:rsidRPr="002A1D42">
              <w:rPr>
                <w:rFonts w:cs="Arial"/>
                <w:b/>
                <w:bCs/>
              </w:rPr>
              <w:t>20</w:t>
            </w:r>
            <w:r>
              <w:rPr>
                <w:rFonts w:cs="Arial"/>
                <w:b/>
                <w:bCs/>
              </w:rPr>
              <w:t>/21</w:t>
            </w:r>
          </w:p>
          <w:p w14:paraId="21927559" w14:textId="77777777" w:rsidR="005F1859" w:rsidRPr="002A1D42" w:rsidRDefault="005F1859" w:rsidP="00EF5C9A">
            <w:pPr>
              <w:jc w:val="center"/>
              <w:rPr>
                <w:rFonts w:cs="Arial"/>
                <w:b/>
                <w:bCs/>
              </w:rPr>
            </w:pPr>
            <w:r w:rsidRPr="002A1D42">
              <w:rPr>
                <w:rFonts w:cs="Arial"/>
                <w:b/>
                <w:bCs/>
              </w:rPr>
              <w:t>£m</w:t>
            </w:r>
          </w:p>
        </w:tc>
        <w:tc>
          <w:tcPr>
            <w:tcW w:w="9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0AACA603" w14:textId="77777777" w:rsidR="005F1859" w:rsidRPr="002A1D42" w:rsidRDefault="005F1859" w:rsidP="00EF5C9A">
            <w:pPr>
              <w:jc w:val="center"/>
              <w:rPr>
                <w:rFonts w:cs="Arial"/>
                <w:b/>
                <w:bCs/>
              </w:rPr>
            </w:pPr>
            <w:r w:rsidRPr="002A1D42">
              <w:rPr>
                <w:rFonts w:cs="Arial"/>
                <w:b/>
                <w:bCs/>
              </w:rPr>
              <w:t>2</w:t>
            </w:r>
            <w:r>
              <w:rPr>
                <w:rFonts w:cs="Arial"/>
                <w:b/>
                <w:bCs/>
              </w:rPr>
              <w:t>1/22</w:t>
            </w:r>
          </w:p>
          <w:p w14:paraId="1C6969EE" w14:textId="77777777" w:rsidR="005F1859" w:rsidRPr="002A1D42" w:rsidRDefault="005F1859" w:rsidP="00EF5C9A">
            <w:pPr>
              <w:jc w:val="center"/>
              <w:rPr>
                <w:rFonts w:cs="Arial"/>
                <w:b/>
                <w:bCs/>
              </w:rPr>
            </w:pPr>
            <w:r w:rsidRPr="002A1D42">
              <w:rPr>
                <w:rFonts w:cs="Arial"/>
                <w:b/>
                <w:bCs/>
              </w:rPr>
              <w:t>£m</w:t>
            </w:r>
          </w:p>
        </w:tc>
        <w:tc>
          <w:tcPr>
            <w:tcW w:w="113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131182B7" w14:textId="77777777" w:rsidR="005F1859" w:rsidRPr="002A1D42" w:rsidRDefault="005F1859" w:rsidP="00EF5C9A">
            <w:pPr>
              <w:jc w:val="center"/>
              <w:rPr>
                <w:rFonts w:cs="Arial"/>
                <w:b/>
                <w:bCs/>
              </w:rPr>
            </w:pPr>
            <w:r w:rsidRPr="002A1D42">
              <w:rPr>
                <w:rFonts w:cs="Arial"/>
                <w:b/>
                <w:bCs/>
              </w:rPr>
              <w:t>2</w:t>
            </w:r>
            <w:r>
              <w:rPr>
                <w:rFonts w:cs="Arial"/>
                <w:b/>
                <w:bCs/>
              </w:rPr>
              <w:t>2</w:t>
            </w:r>
            <w:r w:rsidRPr="002A1D42">
              <w:rPr>
                <w:rFonts w:cs="Arial"/>
                <w:b/>
                <w:bCs/>
              </w:rPr>
              <w:t>/2</w:t>
            </w:r>
            <w:r>
              <w:rPr>
                <w:rFonts w:cs="Arial"/>
                <w:b/>
                <w:bCs/>
              </w:rPr>
              <w:t>3</w:t>
            </w:r>
          </w:p>
          <w:p w14:paraId="21D06340" w14:textId="77777777" w:rsidR="005F1859" w:rsidRPr="002A1D42" w:rsidRDefault="005F1859" w:rsidP="00EF5C9A">
            <w:pPr>
              <w:jc w:val="center"/>
              <w:rPr>
                <w:b/>
              </w:rPr>
            </w:pPr>
            <w:r w:rsidRPr="002A1D42">
              <w:rPr>
                <w:rFonts w:cs="Arial"/>
                <w:b/>
                <w:bCs/>
              </w:rPr>
              <w:t>£m</w:t>
            </w:r>
          </w:p>
        </w:tc>
      </w:tr>
      <w:tr w:rsidR="005F1859" w14:paraId="589BD445" w14:textId="77777777" w:rsidTr="00EF5C9A">
        <w:trPr>
          <w:trHeight w:val="315"/>
          <w:jc w:val="center"/>
        </w:trPr>
        <w:tc>
          <w:tcPr>
            <w:tcW w:w="5382" w:type="dxa"/>
            <w:tcBorders>
              <w:top w:val="single" w:sz="4" w:space="0" w:color="000000"/>
              <w:left w:val="single" w:sz="4" w:space="0" w:color="000000"/>
              <w:bottom w:val="single" w:sz="4" w:space="0" w:color="000000"/>
              <w:right w:val="single" w:sz="4" w:space="0" w:color="000000"/>
            </w:tcBorders>
            <w:noWrap/>
          </w:tcPr>
          <w:p w14:paraId="05BB59AF" w14:textId="77777777" w:rsidR="005F1859" w:rsidRPr="00544C36" w:rsidRDefault="005F1859" w:rsidP="00EF5C9A">
            <w:pPr>
              <w:jc w:val="left"/>
              <w:rPr>
                <w:rFonts w:cs="Arial"/>
                <w:bCs/>
              </w:rPr>
            </w:pPr>
            <w:r w:rsidRPr="00544C36">
              <w:rPr>
                <w:rFonts w:cs="Arial"/>
                <w:bCs/>
              </w:rPr>
              <w:t>Paramedic banding</w:t>
            </w:r>
          </w:p>
        </w:tc>
        <w:tc>
          <w:tcPr>
            <w:tcW w:w="992" w:type="dxa"/>
            <w:tcBorders>
              <w:top w:val="single" w:sz="4" w:space="0" w:color="000000"/>
              <w:left w:val="single" w:sz="4" w:space="0" w:color="000000"/>
              <w:bottom w:val="single" w:sz="4" w:space="0" w:color="000000"/>
              <w:right w:val="single" w:sz="4" w:space="0" w:color="000000"/>
            </w:tcBorders>
            <w:noWrap/>
          </w:tcPr>
          <w:p w14:paraId="7F6C3E86" w14:textId="77777777" w:rsidR="005F1859" w:rsidRPr="00544C36" w:rsidRDefault="005F1859" w:rsidP="00EF5C9A">
            <w:pPr>
              <w:jc w:val="center"/>
              <w:rPr>
                <w:bCs/>
              </w:rPr>
            </w:pPr>
            <w:r w:rsidRPr="00544C36">
              <w:rPr>
                <w:bCs/>
              </w:rPr>
              <w:t>0.2</w:t>
            </w:r>
          </w:p>
        </w:tc>
        <w:tc>
          <w:tcPr>
            <w:tcW w:w="992" w:type="dxa"/>
            <w:tcBorders>
              <w:top w:val="single" w:sz="4" w:space="0" w:color="000000"/>
              <w:left w:val="single" w:sz="4" w:space="0" w:color="000000"/>
              <w:bottom w:val="single" w:sz="4" w:space="0" w:color="000000"/>
              <w:right w:val="single" w:sz="4" w:space="0" w:color="000000"/>
            </w:tcBorders>
          </w:tcPr>
          <w:p w14:paraId="76A7A478" w14:textId="77777777" w:rsidR="005F1859" w:rsidRPr="00544C36" w:rsidRDefault="005F1859" w:rsidP="00EF5C9A">
            <w:pPr>
              <w:jc w:val="center"/>
              <w:rPr>
                <w:bCs/>
              </w:rPr>
            </w:pPr>
            <w:r w:rsidRPr="00544C36">
              <w:rPr>
                <w:bCs/>
              </w:rPr>
              <w:t>0</w:t>
            </w:r>
          </w:p>
        </w:tc>
        <w:tc>
          <w:tcPr>
            <w:tcW w:w="1134" w:type="dxa"/>
            <w:tcBorders>
              <w:top w:val="single" w:sz="4" w:space="0" w:color="000000"/>
              <w:left w:val="single" w:sz="4" w:space="0" w:color="000000"/>
              <w:bottom w:val="single" w:sz="4" w:space="0" w:color="000000"/>
              <w:right w:val="single" w:sz="4" w:space="0" w:color="000000"/>
            </w:tcBorders>
          </w:tcPr>
          <w:p w14:paraId="185D914C" w14:textId="77777777" w:rsidR="005F1859" w:rsidRPr="00544C36" w:rsidRDefault="005F1859" w:rsidP="00EF5C9A">
            <w:pPr>
              <w:jc w:val="center"/>
              <w:rPr>
                <w:bCs/>
              </w:rPr>
            </w:pPr>
            <w:r w:rsidRPr="00544C36">
              <w:rPr>
                <w:bCs/>
              </w:rPr>
              <w:t>0</w:t>
            </w:r>
          </w:p>
        </w:tc>
      </w:tr>
      <w:tr w:rsidR="005F1859" w14:paraId="2B13830E" w14:textId="77777777" w:rsidTr="00EF5C9A">
        <w:trPr>
          <w:trHeight w:val="315"/>
          <w:jc w:val="center"/>
        </w:trPr>
        <w:tc>
          <w:tcPr>
            <w:tcW w:w="5382" w:type="dxa"/>
            <w:tcBorders>
              <w:top w:val="single" w:sz="4" w:space="0" w:color="000000"/>
              <w:left w:val="single" w:sz="4" w:space="0" w:color="000000"/>
              <w:bottom w:val="single" w:sz="4" w:space="0" w:color="000000"/>
              <w:right w:val="single" w:sz="4" w:space="0" w:color="000000"/>
            </w:tcBorders>
            <w:noWrap/>
          </w:tcPr>
          <w:p w14:paraId="6D2B35BA" w14:textId="77777777" w:rsidR="005F1859" w:rsidRPr="00544C36" w:rsidRDefault="005F1859" w:rsidP="00EF5C9A">
            <w:pPr>
              <w:jc w:val="left"/>
              <w:rPr>
                <w:rFonts w:cs="Arial"/>
                <w:bCs/>
              </w:rPr>
            </w:pPr>
            <w:r w:rsidRPr="00544C36">
              <w:rPr>
                <w:rFonts w:cs="Arial"/>
                <w:bCs/>
              </w:rPr>
              <w:t>Genomics strategy</w:t>
            </w:r>
          </w:p>
        </w:tc>
        <w:tc>
          <w:tcPr>
            <w:tcW w:w="992" w:type="dxa"/>
            <w:tcBorders>
              <w:top w:val="single" w:sz="4" w:space="0" w:color="000000"/>
              <w:left w:val="single" w:sz="4" w:space="0" w:color="000000"/>
              <w:bottom w:val="single" w:sz="4" w:space="0" w:color="000000"/>
              <w:right w:val="single" w:sz="4" w:space="0" w:color="000000"/>
            </w:tcBorders>
            <w:noWrap/>
          </w:tcPr>
          <w:p w14:paraId="2DB91888" w14:textId="77777777" w:rsidR="005F1859" w:rsidRPr="00544C36" w:rsidRDefault="005F1859" w:rsidP="00EF5C9A">
            <w:pPr>
              <w:jc w:val="center"/>
              <w:rPr>
                <w:bCs/>
              </w:rPr>
            </w:pPr>
            <w:r w:rsidRPr="00544C36">
              <w:rPr>
                <w:bCs/>
              </w:rPr>
              <w:t>0.3</w:t>
            </w:r>
          </w:p>
        </w:tc>
        <w:tc>
          <w:tcPr>
            <w:tcW w:w="992" w:type="dxa"/>
            <w:tcBorders>
              <w:top w:val="single" w:sz="4" w:space="0" w:color="000000"/>
              <w:left w:val="single" w:sz="4" w:space="0" w:color="000000"/>
              <w:bottom w:val="single" w:sz="4" w:space="0" w:color="000000"/>
              <w:right w:val="single" w:sz="4" w:space="0" w:color="000000"/>
            </w:tcBorders>
          </w:tcPr>
          <w:p w14:paraId="30EEEBE7" w14:textId="77777777" w:rsidR="005F1859" w:rsidRPr="00544C36" w:rsidRDefault="005F1859" w:rsidP="00EF5C9A">
            <w:pPr>
              <w:jc w:val="center"/>
              <w:rPr>
                <w:bCs/>
              </w:rPr>
            </w:pPr>
            <w:r w:rsidRPr="00544C36">
              <w:rPr>
                <w:bCs/>
              </w:rPr>
              <w:t>0</w:t>
            </w:r>
          </w:p>
        </w:tc>
        <w:tc>
          <w:tcPr>
            <w:tcW w:w="1134" w:type="dxa"/>
            <w:tcBorders>
              <w:top w:val="single" w:sz="4" w:space="0" w:color="000000"/>
              <w:left w:val="single" w:sz="4" w:space="0" w:color="000000"/>
              <w:bottom w:val="single" w:sz="4" w:space="0" w:color="000000"/>
              <w:right w:val="single" w:sz="4" w:space="0" w:color="000000"/>
            </w:tcBorders>
          </w:tcPr>
          <w:p w14:paraId="58DCD63B" w14:textId="77777777" w:rsidR="005F1859" w:rsidRPr="00544C36" w:rsidRDefault="005F1859" w:rsidP="00EF5C9A">
            <w:pPr>
              <w:jc w:val="center"/>
              <w:rPr>
                <w:bCs/>
              </w:rPr>
            </w:pPr>
            <w:r w:rsidRPr="00544C36">
              <w:rPr>
                <w:bCs/>
              </w:rPr>
              <w:t>0</w:t>
            </w:r>
          </w:p>
        </w:tc>
      </w:tr>
      <w:tr w:rsidR="005F1859" w14:paraId="151A601D" w14:textId="77777777" w:rsidTr="00EF5C9A">
        <w:trPr>
          <w:trHeight w:val="315"/>
          <w:jc w:val="center"/>
        </w:trPr>
        <w:tc>
          <w:tcPr>
            <w:tcW w:w="5382" w:type="dxa"/>
            <w:tcBorders>
              <w:top w:val="single" w:sz="4" w:space="0" w:color="000000"/>
              <w:left w:val="single" w:sz="4" w:space="0" w:color="000000"/>
              <w:bottom w:val="single" w:sz="4" w:space="0" w:color="000000"/>
              <w:right w:val="single" w:sz="4" w:space="0" w:color="000000"/>
            </w:tcBorders>
            <w:noWrap/>
          </w:tcPr>
          <w:p w14:paraId="26977FF6" w14:textId="77777777" w:rsidR="005F1859" w:rsidRPr="00544C36" w:rsidRDefault="005F1859" w:rsidP="00EF5C9A">
            <w:pPr>
              <w:jc w:val="left"/>
              <w:rPr>
                <w:rFonts w:cs="Arial"/>
                <w:bCs/>
              </w:rPr>
            </w:pPr>
            <w:r w:rsidRPr="00544C36">
              <w:rPr>
                <w:rFonts w:cs="Arial"/>
                <w:bCs/>
              </w:rPr>
              <w:t xml:space="preserve">Provisional estimate </w:t>
            </w:r>
          </w:p>
        </w:tc>
        <w:tc>
          <w:tcPr>
            <w:tcW w:w="992" w:type="dxa"/>
            <w:tcBorders>
              <w:top w:val="single" w:sz="4" w:space="0" w:color="000000"/>
              <w:left w:val="single" w:sz="4" w:space="0" w:color="000000"/>
              <w:bottom w:val="single" w:sz="4" w:space="0" w:color="000000"/>
              <w:right w:val="single" w:sz="4" w:space="0" w:color="000000"/>
            </w:tcBorders>
            <w:noWrap/>
          </w:tcPr>
          <w:p w14:paraId="1D14CBF9" w14:textId="77777777" w:rsidR="005F1859" w:rsidRPr="00544C36" w:rsidRDefault="005F1859" w:rsidP="00EF5C9A">
            <w:pPr>
              <w:jc w:val="center"/>
              <w:rPr>
                <w:bCs/>
              </w:rPr>
            </w:pPr>
            <w:r w:rsidRPr="00544C36">
              <w:rPr>
                <w:bCs/>
              </w:rPr>
              <w:t>0</w:t>
            </w:r>
          </w:p>
        </w:tc>
        <w:tc>
          <w:tcPr>
            <w:tcW w:w="992" w:type="dxa"/>
            <w:tcBorders>
              <w:top w:val="single" w:sz="4" w:space="0" w:color="000000"/>
              <w:left w:val="single" w:sz="4" w:space="0" w:color="000000"/>
              <w:bottom w:val="single" w:sz="4" w:space="0" w:color="000000"/>
              <w:right w:val="single" w:sz="4" w:space="0" w:color="000000"/>
            </w:tcBorders>
          </w:tcPr>
          <w:p w14:paraId="41E1CD7F" w14:textId="77777777" w:rsidR="005F1859" w:rsidRPr="00544C36" w:rsidRDefault="005F1859" w:rsidP="00EF5C9A">
            <w:pPr>
              <w:jc w:val="center"/>
              <w:rPr>
                <w:bCs/>
              </w:rPr>
            </w:pPr>
            <w:r w:rsidRPr="00544C36">
              <w:rPr>
                <w:bCs/>
              </w:rPr>
              <w:t>0.5</w:t>
            </w:r>
          </w:p>
        </w:tc>
        <w:tc>
          <w:tcPr>
            <w:tcW w:w="1134" w:type="dxa"/>
            <w:tcBorders>
              <w:top w:val="single" w:sz="4" w:space="0" w:color="000000"/>
              <w:left w:val="single" w:sz="4" w:space="0" w:color="000000"/>
              <w:bottom w:val="single" w:sz="4" w:space="0" w:color="000000"/>
              <w:right w:val="single" w:sz="4" w:space="0" w:color="000000"/>
            </w:tcBorders>
          </w:tcPr>
          <w:p w14:paraId="0E956A44" w14:textId="77777777" w:rsidR="005F1859" w:rsidRPr="00544C36" w:rsidRDefault="005F1859" w:rsidP="00EF5C9A">
            <w:pPr>
              <w:jc w:val="center"/>
              <w:rPr>
                <w:bCs/>
              </w:rPr>
            </w:pPr>
            <w:r w:rsidRPr="00544C36">
              <w:rPr>
                <w:bCs/>
              </w:rPr>
              <w:t>0.5</w:t>
            </w:r>
          </w:p>
        </w:tc>
      </w:tr>
      <w:tr w:rsidR="005F1859" w14:paraId="02BF2A2C" w14:textId="77777777" w:rsidTr="00EF5C9A">
        <w:trPr>
          <w:trHeight w:val="315"/>
          <w:jc w:val="center"/>
        </w:trPr>
        <w:tc>
          <w:tcPr>
            <w:tcW w:w="5382" w:type="dxa"/>
            <w:tcBorders>
              <w:top w:val="single" w:sz="4" w:space="0" w:color="000000"/>
              <w:left w:val="single" w:sz="4" w:space="0" w:color="000000"/>
              <w:bottom w:val="single" w:sz="4" w:space="0" w:color="000000"/>
              <w:right w:val="single" w:sz="4" w:space="0" w:color="000000"/>
            </w:tcBorders>
            <w:noWrap/>
            <w:hideMark/>
          </w:tcPr>
          <w:p w14:paraId="2FE5EEDC" w14:textId="77777777" w:rsidR="005F1859" w:rsidRPr="00544C36" w:rsidRDefault="005F1859" w:rsidP="00EF5C9A">
            <w:pPr>
              <w:jc w:val="left"/>
              <w:rPr>
                <w:rFonts w:cs="Arial"/>
                <w:b/>
                <w:bCs/>
              </w:rPr>
            </w:pPr>
            <w:r w:rsidRPr="00544C36">
              <w:rPr>
                <w:rFonts w:cs="Arial"/>
                <w:b/>
                <w:bCs/>
              </w:rPr>
              <w:t xml:space="preserve">Total </w:t>
            </w:r>
          </w:p>
        </w:tc>
        <w:tc>
          <w:tcPr>
            <w:tcW w:w="992" w:type="dxa"/>
            <w:tcBorders>
              <w:top w:val="single" w:sz="4" w:space="0" w:color="000000"/>
              <w:left w:val="single" w:sz="4" w:space="0" w:color="000000"/>
              <w:bottom w:val="single" w:sz="4" w:space="0" w:color="000000"/>
              <w:right w:val="single" w:sz="4" w:space="0" w:color="000000"/>
            </w:tcBorders>
            <w:noWrap/>
            <w:hideMark/>
          </w:tcPr>
          <w:p w14:paraId="23093BD9" w14:textId="77777777" w:rsidR="005F1859" w:rsidRPr="00544C36" w:rsidRDefault="005F1859" w:rsidP="00EF5C9A">
            <w:pPr>
              <w:jc w:val="center"/>
              <w:rPr>
                <w:b/>
                <w:bCs/>
              </w:rPr>
            </w:pPr>
            <w:r w:rsidRPr="00544C36">
              <w:rPr>
                <w:b/>
                <w:bCs/>
              </w:rPr>
              <w:t>0.5</w:t>
            </w:r>
          </w:p>
        </w:tc>
        <w:tc>
          <w:tcPr>
            <w:tcW w:w="992" w:type="dxa"/>
            <w:tcBorders>
              <w:top w:val="single" w:sz="4" w:space="0" w:color="000000"/>
              <w:left w:val="single" w:sz="4" w:space="0" w:color="000000"/>
              <w:bottom w:val="single" w:sz="4" w:space="0" w:color="000000"/>
              <w:right w:val="single" w:sz="4" w:space="0" w:color="000000"/>
            </w:tcBorders>
          </w:tcPr>
          <w:p w14:paraId="3449CA13" w14:textId="77777777" w:rsidR="005F1859" w:rsidRPr="00544C36" w:rsidRDefault="005F1859" w:rsidP="00EF5C9A">
            <w:pPr>
              <w:jc w:val="center"/>
              <w:rPr>
                <w:b/>
                <w:bCs/>
              </w:rPr>
            </w:pPr>
            <w:r w:rsidRPr="00544C36">
              <w:rPr>
                <w:b/>
                <w:bCs/>
              </w:rPr>
              <w:t>0.5</w:t>
            </w:r>
          </w:p>
        </w:tc>
        <w:tc>
          <w:tcPr>
            <w:tcW w:w="1134" w:type="dxa"/>
            <w:tcBorders>
              <w:top w:val="single" w:sz="4" w:space="0" w:color="000000"/>
              <w:left w:val="single" w:sz="4" w:space="0" w:color="000000"/>
              <w:bottom w:val="single" w:sz="4" w:space="0" w:color="000000"/>
              <w:right w:val="single" w:sz="4" w:space="0" w:color="000000"/>
            </w:tcBorders>
          </w:tcPr>
          <w:p w14:paraId="0DDA175E" w14:textId="77777777" w:rsidR="005F1859" w:rsidRPr="00544C36" w:rsidRDefault="005F1859" w:rsidP="00EF5C9A">
            <w:pPr>
              <w:jc w:val="center"/>
              <w:rPr>
                <w:b/>
                <w:bCs/>
              </w:rPr>
            </w:pPr>
            <w:r w:rsidRPr="00544C36">
              <w:rPr>
                <w:b/>
                <w:bCs/>
              </w:rPr>
              <w:t>0.5</w:t>
            </w:r>
          </w:p>
        </w:tc>
      </w:tr>
    </w:tbl>
    <w:p w14:paraId="7AC19639" w14:textId="77777777" w:rsidR="005F1859" w:rsidRDefault="005F1859" w:rsidP="005F1859">
      <w:pPr>
        <w:rPr>
          <w:rFonts w:cs="Arial"/>
          <w:szCs w:val="28"/>
          <w:lang w:eastAsia="en-US"/>
        </w:rPr>
      </w:pPr>
      <w:bookmarkStart w:id="184" w:name="_Toc536195582"/>
      <w:bookmarkStart w:id="185" w:name="_Toc536528064"/>
    </w:p>
    <w:p w14:paraId="6FAD0A68" w14:textId="77777777" w:rsidR="005F1859" w:rsidRDefault="005F1859" w:rsidP="005F1859">
      <w:pPr>
        <w:rPr>
          <w:lang w:eastAsia="en-US"/>
        </w:rPr>
      </w:pPr>
      <w:r>
        <w:rPr>
          <w:lang w:eastAsia="en-US"/>
        </w:rPr>
        <w:br w:type="page"/>
      </w:r>
    </w:p>
    <w:p w14:paraId="5C7538BB" w14:textId="77777777" w:rsidR="005F1859" w:rsidRPr="00986EAA" w:rsidRDefault="005F1859" w:rsidP="005F1859">
      <w:pPr>
        <w:pStyle w:val="Heading2"/>
        <w:ind w:left="1077" w:hanging="1077"/>
      </w:pPr>
      <w:r w:rsidRPr="00986EAA">
        <w:lastRenderedPageBreak/>
        <w:t>Non Recurring Costs and Benefits</w:t>
      </w:r>
      <w:bookmarkEnd w:id="184"/>
      <w:bookmarkEnd w:id="185"/>
    </w:p>
    <w:tbl>
      <w:tblPr>
        <w:tblStyle w:val="TableGrid"/>
        <w:tblW w:w="8303" w:type="dxa"/>
        <w:jc w:val="center"/>
        <w:tblLook w:val="04A0" w:firstRow="1" w:lastRow="0" w:firstColumn="1" w:lastColumn="0" w:noHBand="0" w:noVBand="1"/>
      </w:tblPr>
      <w:tblGrid>
        <w:gridCol w:w="5240"/>
        <w:gridCol w:w="992"/>
        <w:gridCol w:w="993"/>
        <w:gridCol w:w="1078"/>
      </w:tblGrid>
      <w:tr w:rsidR="005F1859" w14:paraId="230BDA13" w14:textId="77777777" w:rsidTr="00EF5C9A">
        <w:trPr>
          <w:trHeight w:val="586"/>
          <w:jc w:val="center"/>
        </w:trPr>
        <w:tc>
          <w:tcPr>
            <w:tcW w:w="5240"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180E4F01" w14:textId="77777777" w:rsidR="005F1859" w:rsidRDefault="005F1859" w:rsidP="00EF5C9A">
            <w:pPr>
              <w:jc w:val="center"/>
              <w:rPr>
                <w:rFonts w:cs="Arial"/>
                <w:b/>
              </w:rPr>
            </w:pPr>
          </w:p>
          <w:p w14:paraId="77F99082" w14:textId="77777777" w:rsidR="005F1859" w:rsidRPr="002A1D42" w:rsidRDefault="005F1859" w:rsidP="00EF5C9A">
            <w:pPr>
              <w:rPr>
                <w:rFonts w:cs="Arial"/>
                <w:b/>
              </w:rPr>
            </w:pPr>
            <w:r>
              <w:rPr>
                <w:rFonts w:cs="Arial"/>
                <w:b/>
              </w:rPr>
              <w:t>Non Recurring costs</w:t>
            </w:r>
          </w:p>
        </w:tc>
        <w:tc>
          <w:tcPr>
            <w:tcW w:w="9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3C29BF71" w14:textId="77777777" w:rsidR="005F1859" w:rsidRPr="002A1D42" w:rsidRDefault="005F1859" w:rsidP="00EF5C9A">
            <w:pPr>
              <w:jc w:val="center"/>
              <w:rPr>
                <w:rFonts w:cs="Arial"/>
                <w:b/>
              </w:rPr>
            </w:pPr>
            <w:r>
              <w:rPr>
                <w:rFonts w:cs="Arial"/>
                <w:b/>
                <w:bCs/>
              </w:rPr>
              <w:t>20</w:t>
            </w:r>
            <w:r w:rsidRPr="002A1D42">
              <w:rPr>
                <w:rFonts w:cs="Arial"/>
                <w:b/>
                <w:bCs/>
              </w:rPr>
              <w:t>/2</w:t>
            </w:r>
            <w:r>
              <w:rPr>
                <w:rFonts w:cs="Arial"/>
                <w:b/>
                <w:bCs/>
              </w:rPr>
              <w:t>1</w:t>
            </w:r>
          </w:p>
          <w:p w14:paraId="28A22167" w14:textId="77777777" w:rsidR="005F1859" w:rsidRPr="002A1D42" w:rsidRDefault="005F1859" w:rsidP="00EF5C9A">
            <w:pPr>
              <w:jc w:val="center"/>
              <w:rPr>
                <w:rFonts w:cs="Arial"/>
                <w:b/>
              </w:rPr>
            </w:pPr>
            <w:r w:rsidRPr="002A1D42">
              <w:rPr>
                <w:rFonts w:cs="Arial"/>
                <w:b/>
                <w:bCs/>
              </w:rPr>
              <w:t>£m</w:t>
            </w:r>
          </w:p>
        </w:tc>
        <w:tc>
          <w:tcPr>
            <w:tcW w:w="993"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6EE82D9A" w14:textId="77777777" w:rsidR="005F1859" w:rsidRPr="002A1D42" w:rsidRDefault="005F1859" w:rsidP="00EF5C9A">
            <w:pPr>
              <w:jc w:val="center"/>
              <w:rPr>
                <w:rFonts w:cs="Arial"/>
                <w:b/>
              </w:rPr>
            </w:pPr>
            <w:r w:rsidRPr="002A1D42">
              <w:rPr>
                <w:rFonts w:cs="Arial"/>
                <w:b/>
                <w:bCs/>
              </w:rPr>
              <w:t>2</w:t>
            </w:r>
            <w:r>
              <w:rPr>
                <w:rFonts w:cs="Arial"/>
                <w:b/>
                <w:bCs/>
              </w:rPr>
              <w:t>1</w:t>
            </w:r>
            <w:r w:rsidRPr="002A1D42">
              <w:rPr>
                <w:rFonts w:cs="Arial"/>
                <w:b/>
                <w:bCs/>
              </w:rPr>
              <w:t>/2</w:t>
            </w:r>
            <w:r>
              <w:rPr>
                <w:rFonts w:cs="Arial"/>
                <w:b/>
                <w:bCs/>
              </w:rPr>
              <w:t>2</w:t>
            </w:r>
          </w:p>
          <w:p w14:paraId="5C2A6E32" w14:textId="77777777" w:rsidR="005F1859" w:rsidRPr="002A1D42" w:rsidRDefault="005F1859" w:rsidP="00EF5C9A">
            <w:pPr>
              <w:jc w:val="center"/>
              <w:rPr>
                <w:rFonts w:cs="Arial"/>
                <w:b/>
              </w:rPr>
            </w:pPr>
            <w:r w:rsidRPr="002A1D42">
              <w:rPr>
                <w:rFonts w:cs="Arial"/>
                <w:b/>
                <w:bCs/>
              </w:rPr>
              <w:t>£m</w:t>
            </w:r>
          </w:p>
        </w:tc>
        <w:tc>
          <w:tcPr>
            <w:tcW w:w="1078"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62D25ABD" w14:textId="77777777" w:rsidR="005F1859" w:rsidRPr="002A1D42" w:rsidRDefault="005F1859" w:rsidP="00EF5C9A">
            <w:pPr>
              <w:jc w:val="center"/>
              <w:rPr>
                <w:rFonts w:cs="Arial"/>
                <w:b/>
              </w:rPr>
            </w:pPr>
            <w:r w:rsidRPr="002A1D42">
              <w:rPr>
                <w:rFonts w:cs="Arial"/>
                <w:b/>
                <w:bCs/>
              </w:rPr>
              <w:t>2</w:t>
            </w:r>
            <w:r>
              <w:rPr>
                <w:rFonts w:cs="Arial"/>
                <w:b/>
                <w:bCs/>
              </w:rPr>
              <w:t>2</w:t>
            </w:r>
            <w:r w:rsidRPr="002A1D42">
              <w:rPr>
                <w:rFonts w:cs="Arial"/>
                <w:b/>
                <w:bCs/>
              </w:rPr>
              <w:t>/2</w:t>
            </w:r>
            <w:r>
              <w:rPr>
                <w:rFonts w:cs="Arial"/>
                <w:b/>
                <w:bCs/>
              </w:rPr>
              <w:t>3</w:t>
            </w:r>
          </w:p>
          <w:p w14:paraId="3AEFF80D" w14:textId="77777777" w:rsidR="005F1859" w:rsidRPr="002A1D42" w:rsidRDefault="005F1859" w:rsidP="00EF5C9A">
            <w:pPr>
              <w:jc w:val="center"/>
              <w:rPr>
                <w:rFonts w:cs="Arial"/>
                <w:b/>
              </w:rPr>
            </w:pPr>
            <w:r w:rsidRPr="002A1D42">
              <w:rPr>
                <w:rFonts w:cs="Arial"/>
                <w:b/>
                <w:bCs/>
              </w:rPr>
              <w:t>£m</w:t>
            </w:r>
          </w:p>
        </w:tc>
      </w:tr>
      <w:tr w:rsidR="005F1859" w14:paraId="5D2BB76A" w14:textId="77777777" w:rsidTr="00EF5C9A">
        <w:trPr>
          <w:trHeight w:val="375"/>
          <w:jc w:val="center"/>
        </w:trPr>
        <w:tc>
          <w:tcPr>
            <w:tcW w:w="5240" w:type="dxa"/>
            <w:tcBorders>
              <w:top w:val="single" w:sz="4" w:space="0" w:color="000000"/>
              <w:left w:val="single" w:sz="4" w:space="0" w:color="000000"/>
              <w:bottom w:val="single" w:sz="4" w:space="0" w:color="000000"/>
              <w:right w:val="single" w:sz="4" w:space="0" w:color="000000"/>
            </w:tcBorders>
            <w:hideMark/>
          </w:tcPr>
          <w:p w14:paraId="18B9CC18" w14:textId="77777777" w:rsidR="005F1859" w:rsidRPr="002A1D42" w:rsidRDefault="005F1859" w:rsidP="00EF5C9A">
            <w:pPr>
              <w:rPr>
                <w:rFonts w:cs="Arial"/>
              </w:rPr>
            </w:pPr>
            <w:r w:rsidRPr="002A1D42">
              <w:rPr>
                <w:rFonts w:cs="Arial"/>
              </w:rPr>
              <w:t xml:space="preserve">Retrospective CHC claims </w:t>
            </w:r>
            <w:r>
              <w:rPr>
                <w:rFonts w:cs="Arial"/>
              </w:rPr>
              <w:t>( matched with  assume WG income)</w:t>
            </w:r>
          </w:p>
        </w:tc>
        <w:tc>
          <w:tcPr>
            <w:tcW w:w="992" w:type="dxa"/>
            <w:tcBorders>
              <w:top w:val="single" w:sz="4" w:space="0" w:color="000000"/>
              <w:left w:val="single" w:sz="4" w:space="0" w:color="000000"/>
              <w:bottom w:val="single" w:sz="4" w:space="0" w:color="000000"/>
              <w:right w:val="single" w:sz="4" w:space="0" w:color="000000"/>
            </w:tcBorders>
            <w:hideMark/>
          </w:tcPr>
          <w:p w14:paraId="2AD7693F" w14:textId="77777777" w:rsidR="005F1859" w:rsidRPr="002A1D42" w:rsidRDefault="005F1859" w:rsidP="00EF5C9A">
            <w:pPr>
              <w:jc w:val="center"/>
              <w:rPr>
                <w:rFonts w:cs="Arial"/>
              </w:rPr>
            </w:pPr>
            <w:r w:rsidRPr="002A1D42">
              <w:rPr>
                <w:rFonts w:cs="Arial"/>
              </w:rPr>
              <w:t>0.</w:t>
            </w:r>
            <w:r>
              <w:rPr>
                <w:rFonts w:cs="Arial"/>
              </w:rPr>
              <w:t>5</w:t>
            </w:r>
          </w:p>
        </w:tc>
        <w:tc>
          <w:tcPr>
            <w:tcW w:w="993" w:type="dxa"/>
            <w:tcBorders>
              <w:top w:val="single" w:sz="4" w:space="0" w:color="000000"/>
              <w:left w:val="single" w:sz="4" w:space="0" w:color="000000"/>
              <w:bottom w:val="single" w:sz="4" w:space="0" w:color="000000"/>
              <w:right w:val="single" w:sz="4" w:space="0" w:color="000000"/>
            </w:tcBorders>
          </w:tcPr>
          <w:p w14:paraId="24ED5607" w14:textId="77777777" w:rsidR="005F1859" w:rsidRPr="002A1D42" w:rsidRDefault="005F1859" w:rsidP="00EF5C9A">
            <w:pPr>
              <w:jc w:val="center"/>
              <w:rPr>
                <w:rFonts w:cs="Arial"/>
              </w:rPr>
            </w:pPr>
            <w:r>
              <w:rPr>
                <w:rFonts w:cs="Arial"/>
              </w:rPr>
              <w:t>0.5</w:t>
            </w:r>
          </w:p>
        </w:tc>
        <w:tc>
          <w:tcPr>
            <w:tcW w:w="1078" w:type="dxa"/>
            <w:tcBorders>
              <w:top w:val="single" w:sz="4" w:space="0" w:color="000000"/>
              <w:left w:val="single" w:sz="4" w:space="0" w:color="000000"/>
              <w:bottom w:val="single" w:sz="4" w:space="0" w:color="000000"/>
              <w:right w:val="single" w:sz="4" w:space="0" w:color="000000"/>
            </w:tcBorders>
          </w:tcPr>
          <w:p w14:paraId="400A109A" w14:textId="77777777" w:rsidR="005F1859" w:rsidRPr="002A1D42" w:rsidRDefault="005F1859" w:rsidP="00EF5C9A">
            <w:pPr>
              <w:jc w:val="center"/>
              <w:rPr>
                <w:rFonts w:cs="Arial"/>
              </w:rPr>
            </w:pPr>
            <w:r>
              <w:rPr>
                <w:rFonts w:cs="Arial"/>
              </w:rPr>
              <w:t>0.5</w:t>
            </w:r>
          </w:p>
        </w:tc>
      </w:tr>
      <w:tr w:rsidR="005F1859" w14:paraId="3BE40D0A"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tcPr>
          <w:p w14:paraId="712844AE" w14:textId="77777777" w:rsidR="005F1859" w:rsidRPr="00B23D49" w:rsidRDefault="005F1859" w:rsidP="00EF5C9A">
            <w:pPr>
              <w:rPr>
                <w:rFonts w:cs="Arial"/>
              </w:rPr>
            </w:pPr>
            <w:r w:rsidRPr="00B23D49">
              <w:rPr>
                <w:rFonts w:cs="Arial"/>
              </w:rPr>
              <w:t>Laboratory Information Network Cymru Programme ( LINC) costs</w:t>
            </w:r>
          </w:p>
        </w:tc>
        <w:tc>
          <w:tcPr>
            <w:tcW w:w="992" w:type="dxa"/>
            <w:tcBorders>
              <w:top w:val="single" w:sz="4" w:space="0" w:color="000000"/>
              <w:left w:val="single" w:sz="4" w:space="0" w:color="000000"/>
              <w:bottom w:val="single" w:sz="4" w:space="0" w:color="000000"/>
              <w:right w:val="single" w:sz="4" w:space="0" w:color="000000"/>
            </w:tcBorders>
          </w:tcPr>
          <w:p w14:paraId="30DFCBFC" w14:textId="77777777" w:rsidR="005F1859" w:rsidRPr="00B23D49" w:rsidRDefault="005F1859" w:rsidP="00EF5C9A">
            <w:pPr>
              <w:jc w:val="center"/>
              <w:rPr>
                <w:rFonts w:cs="Arial"/>
              </w:rPr>
            </w:pPr>
            <w:r w:rsidRPr="00B23D49">
              <w:rPr>
                <w:rFonts w:cs="Arial"/>
              </w:rPr>
              <w:t>0.4</w:t>
            </w:r>
          </w:p>
        </w:tc>
        <w:tc>
          <w:tcPr>
            <w:tcW w:w="993" w:type="dxa"/>
            <w:tcBorders>
              <w:top w:val="single" w:sz="4" w:space="0" w:color="000000"/>
              <w:left w:val="single" w:sz="4" w:space="0" w:color="000000"/>
              <w:bottom w:val="single" w:sz="4" w:space="0" w:color="000000"/>
              <w:right w:val="single" w:sz="4" w:space="0" w:color="000000"/>
            </w:tcBorders>
          </w:tcPr>
          <w:p w14:paraId="14A1574B" w14:textId="77777777" w:rsidR="005F1859" w:rsidRPr="00B23D49" w:rsidRDefault="005F1859" w:rsidP="00EF5C9A">
            <w:pPr>
              <w:jc w:val="center"/>
              <w:rPr>
                <w:rFonts w:cs="Arial"/>
              </w:rPr>
            </w:pPr>
            <w:r w:rsidRPr="00B23D49">
              <w:rPr>
                <w:rFonts w:cs="Arial"/>
              </w:rPr>
              <w:t>0.8</w:t>
            </w:r>
          </w:p>
        </w:tc>
        <w:tc>
          <w:tcPr>
            <w:tcW w:w="1078" w:type="dxa"/>
            <w:tcBorders>
              <w:top w:val="single" w:sz="4" w:space="0" w:color="000000"/>
              <w:left w:val="single" w:sz="4" w:space="0" w:color="000000"/>
              <w:bottom w:val="single" w:sz="4" w:space="0" w:color="000000"/>
              <w:right w:val="single" w:sz="4" w:space="0" w:color="000000"/>
            </w:tcBorders>
          </w:tcPr>
          <w:p w14:paraId="0C9E9C6F" w14:textId="77777777" w:rsidR="005F1859" w:rsidRPr="00B23D49" w:rsidRDefault="005F1859" w:rsidP="00EF5C9A">
            <w:pPr>
              <w:jc w:val="center"/>
              <w:rPr>
                <w:rFonts w:cs="Arial"/>
              </w:rPr>
            </w:pPr>
            <w:r w:rsidRPr="00B23D49">
              <w:rPr>
                <w:rFonts w:cs="Arial"/>
              </w:rPr>
              <w:t>0.7</w:t>
            </w:r>
          </w:p>
        </w:tc>
      </w:tr>
      <w:tr w:rsidR="005F1859" w14:paraId="73055FC1"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tcPr>
          <w:p w14:paraId="36D513BF" w14:textId="77777777" w:rsidR="005F1859" w:rsidRPr="00B23D49" w:rsidRDefault="005F1859" w:rsidP="00EF5C9A">
            <w:pPr>
              <w:rPr>
                <w:rFonts w:cs="Arial"/>
              </w:rPr>
            </w:pPr>
            <w:r w:rsidRPr="00B23D49">
              <w:rPr>
                <w:rFonts w:cs="Arial"/>
              </w:rPr>
              <w:t>Bridgend transition – planning and change resources</w:t>
            </w:r>
          </w:p>
        </w:tc>
        <w:tc>
          <w:tcPr>
            <w:tcW w:w="992" w:type="dxa"/>
            <w:tcBorders>
              <w:top w:val="single" w:sz="4" w:space="0" w:color="000000"/>
              <w:left w:val="single" w:sz="4" w:space="0" w:color="000000"/>
              <w:bottom w:val="single" w:sz="4" w:space="0" w:color="000000"/>
              <w:right w:val="single" w:sz="4" w:space="0" w:color="000000"/>
            </w:tcBorders>
          </w:tcPr>
          <w:p w14:paraId="27635B6F" w14:textId="77777777" w:rsidR="005F1859" w:rsidRPr="00B23D49" w:rsidRDefault="005F1859" w:rsidP="00EF5C9A">
            <w:pPr>
              <w:jc w:val="center"/>
              <w:rPr>
                <w:rFonts w:cs="Arial"/>
              </w:rPr>
            </w:pPr>
            <w:r w:rsidRPr="00B23D49">
              <w:rPr>
                <w:rFonts w:cs="Arial"/>
              </w:rPr>
              <w:t>0.2</w:t>
            </w:r>
          </w:p>
        </w:tc>
        <w:tc>
          <w:tcPr>
            <w:tcW w:w="993" w:type="dxa"/>
            <w:tcBorders>
              <w:top w:val="single" w:sz="4" w:space="0" w:color="000000"/>
              <w:left w:val="single" w:sz="4" w:space="0" w:color="000000"/>
              <w:bottom w:val="single" w:sz="4" w:space="0" w:color="000000"/>
              <w:right w:val="single" w:sz="4" w:space="0" w:color="000000"/>
            </w:tcBorders>
          </w:tcPr>
          <w:p w14:paraId="29B76B05" w14:textId="77777777" w:rsidR="005F1859" w:rsidRPr="00B23D49" w:rsidRDefault="005F1859" w:rsidP="00EF5C9A">
            <w:pPr>
              <w:jc w:val="center"/>
              <w:rPr>
                <w:rFonts w:cs="Arial"/>
              </w:rPr>
            </w:pPr>
            <w:r w:rsidRPr="00B23D49">
              <w:rPr>
                <w:rFonts w:cs="Arial"/>
              </w:rPr>
              <w:t>0</w:t>
            </w:r>
          </w:p>
        </w:tc>
        <w:tc>
          <w:tcPr>
            <w:tcW w:w="1078" w:type="dxa"/>
            <w:tcBorders>
              <w:top w:val="single" w:sz="4" w:space="0" w:color="000000"/>
              <w:left w:val="single" w:sz="4" w:space="0" w:color="000000"/>
              <w:bottom w:val="single" w:sz="4" w:space="0" w:color="000000"/>
              <w:right w:val="single" w:sz="4" w:space="0" w:color="000000"/>
            </w:tcBorders>
          </w:tcPr>
          <w:p w14:paraId="7C917368" w14:textId="77777777" w:rsidR="005F1859" w:rsidRPr="00B23D49" w:rsidRDefault="005F1859" w:rsidP="00EF5C9A">
            <w:pPr>
              <w:jc w:val="center"/>
              <w:rPr>
                <w:rFonts w:cs="Arial"/>
              </w:rPr>
            </w:pPr>
            <w:r w:rsidRPr="00B23D49">
              <w:rPr>
                <w:rFonts w:cs="Arial"/>
              </w:rPr>
              <w:t>0</w:t>
            </w:r>
          </w:p>
        </w:tc>
      </w:tr>
      <w:tr w:rsidR="005F1859" w14:paraId="72F8160A"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tcPr>
          <w:p w14:paraId="30375C6F" w14:textId="77777777" w:rsidR="005F1859" w:rsidRPr="00B23D49" w:rsidRDefault="005F1859" w:rsidP="00EF5C9A">
            <w:pPr>
              <w:rPr>
                <w:rFonts w:cs="Arial"/>
              </w:rPr>
            </w:pPr>
            <w:r w:rsidRPr="00B23D49">
              <w:rPr>
                <w:rFonts w:cs="Arial"/>
              </w:rPr>
              <w:t xml:space="preserve">ED </w:t>
            </w:r>
            <w:r>
              <w:rPr>
                <w:rFonts w:cs="Arial"/>
              </w:rPr>
              <w:t xml:space="preserve">&amp; </w:t>
            </w:r>
            <w:r w:rsidRPr="00B23D49">
              <w:rPr>
                <w:rFonts w:cs="Arial"/>
              </w:rPr>
              <w:t>paed</w:t>
            </w:r>
            <w:r>
              <w:rPr>
                <w:rFonts w:cs="Arial"/>
              </w:rPr>
              <w:t xml:space="preserve">iatrics </w:t>
            </w:r>
            <w:r w:rsidRPr="00B23D49">
              <w:rPr>
                <w:rFonts w:cs="Arial"/>
              </w:rPr>
              <w:t>reconfiguration – project resources</w:t>
            </w:r>
          </w:p>
        </w:tc>
        <w:tc>
          <w:tcPr>
            <w:tcW w:w="992" w:type="dxa"/>
            <w:tcBorders>
              <w:top w:val="single" w:sz="4" w:space="0" w:color="000000"/>
              <w:left w:val="single" w:sz="4" w:space="0" w:color="000000"/>
              <w:bottom w:val="single" w:sz="4" w:space="0" w:color="000000"/>
              <w:right w:val="single" w:sz="4" w:space="0" w:color="000000"/>
            </w:tcBorders>
          </w:tcPr>
          <w:p w14:paraId="56E1E8C3" w14:textId="77777777" w:rsidR="005F1859" w:rsidRPr="00B23D49" w:rsidRDefault="005F1859" w:rsidP="00EF5C9A">
            <w:pPr>
              <w:jc w:val="center"/>
              <w:rPr>
                <w:rFonts w:cs="Arial"/>
              </w:rPr>
            </w:pPr>
            <w:r w:rsidRPr="00B23D49">
              <w:rPr>
                <w:rFonts w:cs="Arial"/>
              </w:rPr>
              <w:t>0.2</w:t>
            </w:r>
          </w:p>
        </w:tc>
        <w:tc>
          <w:tcPr>
            <w:tcW w:w="993" w:type="dxa"/>
            <w:tcBorders>
              <w:top w:val="single" w:sz="4" w:space="0" w:color="000000"/>
              <w:left w:val="single" w:sz="4" w:space="0" w:color="000000"/>
              <w:bottom w:val="single" w:sz="4" w:space="0" w:color="000000"/>
              <w:right w:val="single" w:sz="4" w:space="0" w:color="000000"/>
            </w:tcBorders>
          </w:tcPr>
          <w:p w14:paraId="33AB63E5" w14:textId="77777777" w:rsidR="005F1859" w:rsidRPr="00B23D49" w:rsidRDefault="005F1859" w:rsidP="00EF5C9A">
            <w:pPr>
              <w:jc w:val="center"/>
              <w:rPr>
                <w:rFonts w:cs="Arial"/>
              </w:rPr>
            </w:pPr>
            <w:r w:rsidRPr="00B23D49">
              <w:rPr>
                <w:rFonts w:cs="Arial"/>
              </w:rPr>
              <w:t>0</w:t>
            </w:r>
          </w:p>
        </w:tc>
        <w:tc>
          <w:tcPr>
            <w:tcW w:w="1078" w:type="dxa"/>
            <w:tcBorders>
              <w:top w:val="single" w:sz="4" w:space="0" w:color="000000"/>
              <w:left w:val="single" w:sz="4" w:space="0" w:color="000000"/>
              <w:bottom w:val="single" w:sz="4" w:space="0" w:color="000000"/>
              <w:right w:val="single" w:sz="4" w:space="0" w:color="000000"/>
            </w:tcBorders>
          </w:tcPr>
          <w:p w14:paraId="512426FA" w14:textId="77777777" w:rsidR="005F1859" w:rsidRPr="00B23D49" w:rsidRDefault="005F1859" w:rsidP="00EF5C9A">
            <w:pPr>
              <w:jc w:val="center"/>
              <w:rPr>
                <w:rFonts w:cs="Arial"/>
              </w:rPr>
            </w:pPr>
            <w:r w:rsidRPr="00B23D49">
              <w:rPr>
                <w:rFonts w:cs="Arial"/>
              </w:rPr>
              <w:t>0</w:t>
            </w:r>
          </w:p>
        </w:tc>
      </w:tr>
      <w:tr w:rsidR="005F1859" w14:paraId="40D4752A"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tcPr>
          <w:p w14:paraId="327279F1" w14:textId="77777777" w:rsidR="005F1859" w:rsidRPr="00B23D49" w:rsidRDefault="005F1859" w:rsidP="00EF5C9A">
            <w:pPr>
              <w:rPr>
                <w:rFonts w:cs="Arial"/>
              </w:rPr>
            </w:pPr>
            <w:r w:rsidRPr="00B23D49">
              <w:rPr>
                <w:rFonts w:cs="Arial"/>
              </w:rPr>
              <w:t>Equipment replacement</w:t>
            </w:r>
          </w:p>
        </w:tc>
        <w:tc>
          <w:tcPr>
            <w:tcW w:w="992" w:type="dxa"/>
            <w:tcBorders>
              <w:top w:val="single" w:sz="4" w:space="0" w:color="000000"/>
              <w:left w:val="single" w:sz="4" w:space="0" w:color="000000"/>
              <w:bottom w:val="single" w:sz="4" w:space="0" w:color="000000"/>
              <w:right w:val="single" w:sz="4" w:space="0" w:color="000000"/>
            </w:tcBorders>
          </w:tcPr>
          <w:p w14:paraId="6CBCD336" w14:textId="77777777" w:rsidR="005F1859" w:rsidRPr="00B23D49" w:rsidRDefault="005F1859" w:rsidP="00EF5C9A">
            <w:pPr>
              <w:jc w:val="center"/>
              <w:rPr>
                <w:rFonts w:cs="Arial"/>
              </w:rPr>
            </w:pPr>
            <w:r w:rsidRPr="00B23D49">
              <w:rPr>
                <w:rFonts w:cs="Arial"/>
              </w:rPr>
              <w:t>0.5</w:t>
            </w:r>
          </w:p>
        </w:tc>
        <w:tc>
          <w:tcPr>
            <w:tcW w:w="993" w:type="dxa"/>
            <w:tcBorders>
              <w:top w:val="single" w:sz="4" w:space="0" w:color="000000"/>
              <w:left w:val="single" w:sz="4" w:space="0" w:color="000000"/>
              <w:bottom w:val="single" w:sz="4" w:space="0" w:color="000000"/>
              <w:right w:val="single" w:sz="4" w:space="0" w:color="000000"/>
            </w:tcBorders>
          </w:tcPr>
          <w:p w14:paraId="22FFB575" w14:textId="77777777" w:rsidR="005F1859" w:rsidRPr="00B23D49" w:rsidRDefault="005F1859" w:rsidP="00EF5C9A">
            <w:pPr>
              <w:jc w:val="center"/>
              <w:rPr>
                <w:rFonts w:cs="Arial"/>
              </w:rPr>
            </w:pPr>
            <w:r w:rsidRPr="00B23D49">
              <w:rPr>
                <w:rFonts w:cs="Arial"/>
              </w:rPr>
              <w:t>0.5</w:t>
            </w:r>
          </w:p>
        </w:tc>
        <w:tc>
          <w:tcPr>
            <w:tcW w:w="1078" w:type="dxa"/>
            <w:tcBorders>
              <w:top w:val="single" w:sz="4" w:space="0" w:color="000000"/>
              <w:left w:val="single" w:sz="4" w:space="0" w:color="000000"/>
              <w:bottom w:val="single" w:sz="4" w:space="0" w:color="000000"/>
              <w:right w:val="single" w:sz="4" w:space="0" w:color="000000"/>
            </w:tcBorders>
          </w:tcPr>
          <w:p w14:paraId="46E10047" w14:textId="77777777" w:rsidR="005F1859" w:rsidRPr="00B23D49" w:rsidRDefault="005F1859" w:rsidP="00EF5C9A">
            <w:pPr>
              <w:jc w:val="center"/>
              <w:rPr>
                <w:rFonts w:cs="Arial"/>
              </w:rPr>
            </w:pPr>
            <w:r w:rsidRPr="00B23D49">
              <w:rPr>
                <w:rFonts w:cs="Arial"/>
              </w:rPr>
              <w:t>0.5</w:t>
            </w:r>
          </w:p>
        </w:tc>
      </w:tr>
      <w:tr w:rsidR="005F1859" w14:paraId="7F4FB38D"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tcPr>
          <w:p w14:paraId="319FB023" w14:textId="77777777" w:rsidR="005F1859" w:rsidRPr="00B23D49" w:rsidRDefault="005F1859" w:rsidP="00EF5C9A">
            <w:pPr>
              <w:rPr>
                <w:rFonts w:cs="Arial"/>
              </w:rPr>
            </w:pPr>
            <w:r>
              <w:rPr>
                <w:rFonts w:cs="Arial"/>
              </w:rPr>
              <w:t xml:space="preserve">Local </w:t>
            </w:r>
            <w:r w:rsidRPr="00B23D49">
              <w:rPr>
                <w:rFonts w:cs="Arial"/>
              </w:rPr>
              <w:t xml:space="preserve">Invest to save schemes </w:t>
            </w:r>
          </w:p>
        </w:tc>
        <w:tc>
          <w:tcPr>
            <w:tcW w:w="992" w:type="dxa"/>
            <w:tcBorders>
              <w:top w:val="single" w:sz="4" w:space="0" w:color="000000"/>
              <w:left w:val="single" w:sz="4" w:space="0" w:color="000000"/>
              <w:bottom w:val="single" w:sz="4" w:space="0" w:color="000000"/>
              <w:right w:val="single" w:sz="4" w:space="0" w:color="000000"/>
            </w:tcBorders>
          </w:tcPr>
          <w:p w14:paraId="56350D6C" w14:textId="77777777" w:rsidR="005F1859" w:rsidRPr="00B23D49" w:rsidRDefault="005F1859" w:rsidP="00EF5C9A">
            <w:pPr>
              <w:jc w:val="center"/>
              <w:rPr>
                <w:rFonts w:cs="Arial"/>
              </w:rPr>
            </w:pPr>
            <w:r w:rsidRPr="00B23D49">
              <w:rPr>
                <w:rFonts w:cs="Arial"/>
              </w:rPr>
              <w:t>0.6</w:t>
            </w:r>
          </w:p>
        </w:tc>
        <w:tc>
          <w:tcPr>
            <w:tcW w:w="993" w:type="dxa"/>
            <w:tcBorders>
              <w:top w:val="single" w:sz="4" w:space="0" w:color="000000"/>
              <w:left w:val="single" w:sz="4" w:space="0" w:color="000000"/>
              <w:bottom w:val="single" w:sz="4" w:space="0" w:color="000000"/>
              <w:right w:val="single" w:sz="4" w:space="0" w:color="000000"/>
            </w:tcBorders>
          </w:tcPr>
          <w:p w14:paraId="4C50D8DA" w14:textId="77777777" w:rsidR="005F1859" w:rsidRPr="00B23D49" w:rsidRDefault="005F1859" w:rsidP="00EF5C9A">
            <w:pPr>
              <w:jc w:val="center"/>
              <w:rPr>
                <w:rFonts w:cs="Arial"/>
              </w:rPr>
            </w:pPr>
            <w:r w:rsidRPr="00B23D49">
              <w:rPr>
                <w:rFonts w:cs="Arial"/>
              </w:rPr>
              <w:t>0.</w:t>
            </w:r>
            <w:r>
              <w:rPr>
                <w:rFonts w:cs="Arial"/>
              </w:rPr>
              <w:t>6</w:t>
            </w:r>
          </w:p>
        </w:tc>
        <w:tc>
          <w:tcPr>
            <w:tcW w:w="1078" w:type="dxa"/>
            <w:tcBorders>
              <w:top w:val="single" w:sz="4" w:space="0" w:color="000000"/>
              <w:left w:val="single" w:sz="4" w:space="0" w:color="000000"/>
              <w:bottom w:val="single" w:sz="4" w:space="0" w:color="000000"/>
              <w:right w:val="single" w:sz="4" w:space="0" w:color="000000"/>
            </w:tcBorders>
          </w:tcPr>
          <w:p w14:paraId="549BFD42" w14:textId="77777777" w:rsidR="005F1859" w:rsidRPr="00B23D49" w:rsidRDefault="005F1859" w:rsidP="00EF5C9A">
            <w:pPr>
              <w:jc w:val="center"/>
              <w:rPr>
                <w:rFonts w:cs="Arial"/>
              </w:rPr>
            </w:pPr>
            <w:r w:rsidRPr="00B23D49">
              <w:rPr>
                <w:rFonts w:cs="Arial"/>
              </w:rPr>
              <w:t>0.</w:t>
            </w:r>
            <w:r>
              <w:rPr>
                <w:rFonts w:cs="Arial"/>
              </w:rPr>
              <w:t>6</w:t>
            </w:r>
          </w:p>
        </w:tc>
      </w:tr>
      <w:tr w:rsidR="005F1859" w14:paraId="3F914E97"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hideMark/>
          </w:tcPr>
          <w:p w14:paraId="2FA81B9D" w14:textId="77777777" w:rsidR="005F1859" w:rsidRPr="00B23D49" w:rsidRDefault="005F1859" w:rsidP="00EF5C9A">
            <w:pPr>
              <w:rPr>
                <w:rFonts w:cs="Arial"/>
                <w:bCs/>
              </w:rPr>
            </w:pPr>
            <w:r w:rsidRPr="00B23D49">
              <w:rPr>
                <w:rFonts w:cs="Arial"/>
              </w:rPr>
              <w:t>Other non</w:t>
            </w:r>
            <w:r>
              <w:rPr>
                <w:rFonts w:cs="Arial"/>
              </w:rPr>
              <w:t>-</w:t>
            </w:r>
            <w:r w:rsidRPr="00B23D49">
              <w:rPr>
                <w:rFonts w:cs="Arial"/>
              </w:rPr>
              <w:t>recurring costs</w:t>
            </w:r>
          </w:p>
        </w:tc>
        <w:tc>
          <w:tcPr>
            <w:tcW w:w="992" w:type="dxa"/>
            <w:tcBorders>
              <w:top w:val="single" w:sz="4" w:space="0" w:color="000000"/>
              <w:left w:val="single" w:sz="4" w:space="0" w:color="000000"/>
              <w:bottom w:val="single" w:sz="4" w:space="0" w:color="000000"/>
              <w:right w:val="single" w:sz="4" w:space="0" w:color="000000"/>
            </w:tcBorders>
            <w:hideMark/>
          </w:tcPr>
          <w:p w14:paraId="5F382562" w14:textId="77777777" w:rsidR="005F1859" w:rsidRPr="00B23D49" w:rsidRDefault="005F1859" w:rsidP="00EF5C9A">
            <w:pPr>
              <w:jc w:val="center"/>
              <w:rPr>
                <w:rFonts w:cs="Arial"/>
              </w:rPr>
            </w:pPr>
            <w:r w:rsidRPr="00B23D49">
              <w:rPr>
                <w:rFonts w:cs="Arial"/>
              </w:rPr>
              <w:t>0.3</w:t>
            </w:r>
          </w:p>
        </w:tc>
        <w:tc>
          <w:tcPr>
            <w:tcW w:w="993" w:type="dxa"/>
            <w:tcBorders>
              <w:top w:val="single" w:sz="4" w:space="0" w:color="000000"/>
              <w:left w:val="single" w:sz="4" w:space="0" w:color="000000"/>
              <w:bottom w:val="single" w:sz="4" w:space="0" w:color="000000"/>
              <w:right w:val="single" w:sz="4" w:space="0" w:color="000000"/>
            </w:tcBorders>
          </w:tcPr>
          <w:p w14:paraId="07FF0828" w14:textId="77777777" w:rsidR="005F1859" w:rsidRPr="00B23D49" w:rsidRDefault="005F1859" w:rsidP="00EF5C9A">
            <w:pPr>
              <w:jc w:val="center"/>
              <w:rPr>
                <w:rFonts w:cs="Arial"/>
              </w:rPr>
            </w:pPr>
            <w:r w:rsidRPr="00B23D49">
              <w:rPr>
                <w:rFonts w:cs="Arial"/>
              </w:rPr>
              <w:t>0.3</w:t>
            </w:r>
          </w:p>
        </w:tc>
        <w:tc>
          <w:tcPr>
            <w:tcW w:w="1078" w:type="dxa"/>
            <w:tcBorders>
              <w:top w:val="single" w:sz="4" w:space="0" w:color="000000"/>
              <w:left w:val="single" w:sz="4" w:space="0" w:color="000000"/>
              <w:bottom w:val="single" w:sz="4" w:space="0" w:color="000000"/>
              <w:right w:val="single" w:sz="4" w:space="0" w:color="000000"/>
            </w:tcBorders>
          </w:tcPr>
          <w:p w14:paraId="5DE89B0E" w14:textId="77777777" w:rsidR="005F1859" w:rsidRPr="00B23D49" w:rsidRDefault="005F1859" w:rsidP="00EF5C9A">
            <w:pPr>
              <w:jc w:val="center"/>
              <w:rPr>
                <w:rFonts w:cs="Arial"/>
              </w:rPr>
            </w:pPr>
            <w:r w:rsidRPr="00B23D49">
              <w:rPr>
                <w:rFonts w:cs="Arial"/>
              </w:rPr>
              <w:t>0.</w:t>
            </w:r>
            <w:r>
              <w:rPr>
                <w:rFonts w:cs="Arial"/>
              </w:rPr>
              <w:t>3</w:t>
            </w:r>
          </w:p>
        </w:tc>
      </w:tr>
      <w:tr w:rsidR="005F1859" w14:paraId="2AD8349B" w14:textId="77777777" w:rsidTr="00EF5C9A">
        <w:trPr>
          <w:trHeight w:val="375"/>
          <w:jc w:val="center"/>
        </w:trPr>
        <w:tc>
          <w:tcPr>
            <w:tcW w:w="5240" w:type="dxa"/>
            <w:tcBorders>
              <w:top w:val="single" w:sz="4" w:space="0" w:color="000000"/>
              <w:left w:val="single" w:sz="4" w:space="0" w:color="000000"/>
              <w:bottom w:val="single" w:sz="4" w:space="0" w:color="000000"/>
              <w:right w:val="single" w:sz="4" w:space="0" w:color="000000"/>
            </w:tcBorders>
          </w:tcPr>
          <w:p w14:paraId="4480BCEA" w14:textId="77777777" w:rsidR="005F1859" w:rsidRPr="00B23D49" w:rsidRDefault="005F1859" w:rsidP="00EF5C9A">
            <w:pPr>
              <w:rPr>
                <w:rFonts w:cs="Arial"/>
                <w:b/>
                <w:bCs/>
              </w:rPr>
            </w:pPr>
            <w:r>
              <w:rPr>
                <w:rFonts w:cs="Arial"/>
                <w:b/>
                <w:bCs/>
              </w:rPr>
              <w:t xml:space="preserve">Total </w:t>
            </w:r>
          </w:p>
        </w:tc>
        <w:tc>
          <w:tcPr>
            <w:tcW w:w="992" w:type="dxa"/>
            <w:tcBorders>
              <w:top w:val="single" w:sz="4" w:space="0" w:color="000000"/>
              <w:left w:val="single" w:sz="4" w:space="0" w:color="000000"/>
              <w:bottom w:val="single" w:sz="4" w:space="0" w:color="000000"/>
              <w:right w:val="single" w:sz="4" w:space="0" w:color="000000"/>
            </w:tcBorders>
          </w:tcPr>
          <w:p w14:paraId="19DC307B" w14:textId="77777777" w:rsidR="005F1859" w:rsidRPr="00B23D49" w:rsidRDefault="005F1859" w:rsidP="00EF5C9A">
            <w:pPr>
              <w:jc w:val="center"/>
              <w:rPr>
                <w:rFonts w:cs="Arial"/>
                <w:b/>
                <w:bCs/>
              </w:rPr>
            </w:pPr>
            <w:r w:rsidRPr="00B23D49">
              <w:rPr>
                <w:rFonts w:cs="Arial"/>
                <w:b/>
                <w:bCs/>
              </w:rPr>
              <w:t>2.7</w:t>
            </w:r>
          </w:p>
        </w:tc>
        <w:tc>
          <w:tcPr>
            <w:tcW w:w="993" w:type="dxa"/>
            <w:tcBorders>
              <w:top w:val="single" w:sz="4" w:space="0" w:color="000000"/>
              <w:left w:val="single" w:sz="4" w:space="0" w:color="000000"/>
              <w:bottom w:val="single" w:sz="4" w:space="0" w:color="000000"/>
              <w:right w:val="single" w:sz="4" w:space="0" w:color="000000"/>
            </w:tcBorders>
          </w:tcPr>
          <w:p w14:paraId="2F3C9F7F" w14:textId="77777777" w:rsidR="005F1859" w:rsidRPr="00B23D49" w:rsidRDefault="005F1859" w:rsidP="00EF5C9A">
            <w:pPr>
              <w:tabs>
                <w:tab w:val="center" w:pos="398"/>
                <w:tab w:val="right" w:pos="796"/>
              </w:tabs>
              <w:jc w:val="center"/>
              <w:rPr>
                <w:rFonts w:cs="Arial"/>
                <w:b/>
                <w:bCs/>
              </w:rPr>
            </w:pPr>
            <w:r w:rsidRPr="00B23D49">
              <w:rPr>
                <w:rFonts w:cs="Arial"/>
                <w:b/>
                <w:bCs/>
              </w:rPr>
              <w:t>2.</w:t>
            </w:r>
            <w:r>
              <w:rPr>
                <w:rFonts w:cs="Arial"/>
                <w:b/>
                <w:bCs/>
              </w:rPr>
              <w:t>7</w:t>
            </w:r>
          </w:p>
        </w:tc>
        <w:tc>
          <w:tcPr>
            <w:tcW w:w="1078" w:type="dxa"/>
            <w:tcBorders>
              <w:top w:val="single" w:sz="4" w:space="0" w:color="000000"/>
              <w:left w:val="single" w:sz="4" w:space="0" w:color="000000"/>
              <w:bottom w:val="single" w:sz="4" w:space="0" w:color="000000"/>
              <w:right w:val="single" w:sz="4" w:space="0" w:color="000000"/>
            </w:tcBorders>
          </w:tcPr>
          <w:p w14:paraId="43BFA98C" w14:textId="77777777" w:rsidR="005F1859" w:rsidRPr="00B23D49" w:rsidRDefault="005F1859" w:rsidP="00EF5C9A">
            <w:pPr>
              <w:tabs>
                <w:tab w:val="center" w:pos="398"/>
                <w:tab w:val="right" w:pos="796"/>
              </w:tabs>
              <w:jc w:val="center"/>
              <w:rPr>
                <w:rFonts w:cs="Arial"/>
                <w:b/>
                <w:bCs/>
              </w:rPr>
            </w:pPr>
            <w:r w:rsidRPr="00B23D49">
              <w:rPr>
                <w:rFonts w:cs="Arial"/>
                <w:b/>
                <w:bCs/>
              </w:rPr>
              <w:t>2.</w:t>
            </w:r>
            <w:r>
              <w:rPr>
                <w:rFonts w:cs="Arial"/>
                <w:b/>
                <w:bCs/>
              </w:rPr>
              <w:t>6</w:t>
            </w:r>
          </w:p>
        </w:tc>
      </w:tr>
    </w:tbl>
    <w:p w14:paraId="4366E27E" w14:textId="77777777" w:rsidR="005F1859" w:rsidRDefault="005F1859" w:rsidP="005F1859">
      <w:pPr>
        <w:pStyle w:val="Heading2"/>
        <w:numPr>
          <w:ilvl w:val="0"/>
          <w:numId w:val="0"/>
        </w:numPr>
        <w:ind w:left="1072" w:hanging="1072"/>
      </w:pPr>
      <w:bookmarkStart w:id="186" w:name="_Toc536195583"/>
      <w:bookmarkStart w:id="187" w:name="_Toc536528065"/>
    </w:p>
    <w:tbl>
      <w:tblPr>
        <w:tblStyle w:val="TableGrid"/>
        <w:tblW w:w="8303" w:type="dxa"/>
        <w:jc w:val="center"/>
        <w:tblLook w:val="04A0" w:firstRow="1" w:lastRow="0" w:firstColumn="1" w:lastColumn="0" w:noHBand="0" w:noVBand="1"/>
      </w:tblPr>
      <w:tblGrid>
        <w:gridCol w:w="5240"/>
        <w:gridCol w:w="992"/>
        <w:gridCol w:w="993"/>
        <w:gridCol w:w="1078"/>
      </w:tblGrid>
      <w:tr w:rsidR="005F1859" w:rsidRPr="002A1D42" w14:paraId="7BBC39D5" w14:textId="77777777" w:rsidTr="00EF5C9A">
        <w:trPr>
          <w:trHeight w:val="586"/>
          <w:jc w:val="center"/>
        </w:trPr>
        <w:tc>
          <w:tcPr>
            <w:tcW w:w="5240"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5D0BE0DA" w14:textId="77777777" w:rsidR="005F1859" w:rsidRDefault="005F1859" w:rsidP="00EF5C9A">
            <w:pPr>
              <w:jc w:val="center"/>
              <w:rPr>
                <w:rFonts w:cs="Arial"/>
                <w:b/>
              </w:rPr>
            </w:pPr>
          </w:p>
          <w:p w14:paraId="2BBDE64F" w14:textId="77777777" w:rsidR="005F1859" w:rsidRPr="002A1D42" w:rsidRDefault="005F1859" w:rsidP="00EF5C9A">
            <w:pPr>
              <w:rPr>
                <w:rFonts w:cs="Arial"/>
                <w:b/>
              </w:rPr>
            </w:pPr>
            <w:r>
              <w:rPr>
                <w:rFonts w:cs="Arial"/>
                <w:b/>
              </w:rPr>
              <w:t xml:space="preserve">Non Recurring benefits </w:t>
            </w:r>
          </w:p>
        </w:tc>
        <w:tc>
          <w:tcPr>
            <w:tcW w:w="9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2F3939BF" w14:textId="77777777" w:rsidR="005F1859" w:rsidRPr="002A1D42" w:rsidRDefault="005F1859" w:rsidP="00EF5C9A">
            <w:pPr>
              <w:jc w:val="center"/>
              <w:rPr>
                <w:rFonts w:cs="Arial"/>
                <w:b/>
              </w:rPr>
            </w:pPr>
            <w:r>
              <w:rPr>
                <w:rFonts w:cs="Arial"/>
                <w:b/>
                <w:bCs/>
              </w:rPr>
              <w:t>20</w:t>
            </w:r>
            <w:r w:rsidRPr="002A1D42">
              <w:rPr>
                <w:rFonts w:cs="Arial"/>
                <w:b/>
                <w:bCs/>
              </w:rPr>
              <w:t>/2</w:t>
            </w:r>
            <w:r>
              <w:rPr>
                <w:rFonts w:cs="Arial"/>
                <w:b/>
                <w:bCs/>
              </w:rPr>
              <w:t>1</w:t>
            </w:r>
          </w:p>
          <w:p w14:paraId="41690E15" w14:textId="77777777" w:rsidR="005F1859" w:rsidRPr="002A1D42" w:rsidRDefault="005F1859" w:rsidP="00EF5C9A">
            <w:pPr>
              <w:jc w:val="center"/>
              <w:rPr>
                <w:rFonts w:cs="Arial"/>
                <w:b/>
              </w:rPr>
            </w:pPr>
            <w:r w:rsidRPr="002A1D42">
              <w:rPr>
                <w:rFonts w:cs="Arial"/>
                <w:b/>
                <w:bCs/>
              </w:rPr>
              <w:t>£m</w:t>
            </w:r>
          </w:p>
        </w:tc>
        <w:tc>
          <w:tcPr>
            <w:tcW w:w="993"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764E1038" w14:textId="77777777" w:rsidR="005F1859" w:rsidRPr="002A1D42" w:rsidRDefault="005F1859" w:rsidP="00EF5C9A">
            <w:pPr>
              <w:jc w:val="center"/>
              <w:rPr>
                <w:rFonts w:cs="Arial"/>
                <w:b/>
              </w:rPr>
            </w:pPr>
            <w:r w:rsidRPr="002A1D42">
              <w:rPr>
                <w:rFonts w:cs="Arial"/>
                <w:b/>
                <w:bCs/>
              </w:rPr>
              <w:t>2</w:t>
            </w:r>
            <w:r>
              <w:rPr>
                <w:rFonts w:cs="Arial"/>
                <w:b/>
                <w:bCs/>
              </w:rPr>
              <w:t>1</w:t>
            </w:r>
            <w:r w:rsidRPr="002A1D42">
              <w:rPr>
                <w:rFonts w:cs="Arial"/>
                <w:b/>
                <w:bCs/>
              </w:rPr>
              <w:t>/2</w:t>
            </w:r>
            <w:r>
              <w:rPr>
                <w:rFonts w:cs="Arial"/>
                <w:b/>
                <w:bCs/>
              </w:rPr>
              <w:t>2</w:t>
            </w:r>
          </w:p>
          <w:p w14:paraId="2BD13752" w14:textId="77777777" w:rsidR="005F1859" w:rsidRPr="002A1D42" w:rsidRDefault="005F1859" w:rsidP="00EF5C9A">
            <w:pPr>
              <w:jc w:val="center"/>
              <w:rPr>
                <w:rFonts w:cs="Arial"/>
                <w:b/>
              </w:rPr>
            </w:pPr>
            <w:r w:rsidRPr="002A1D42">
              <w:rPr>
                <w:rFonts w:cs="Arial"/>
                <w:b/>
                <w:bCs/>
              </w:rPr>
              <w:t>£m</w:t>
            </w:r>
          </w:p>
        </w:tc>
        <w:tc>
          <w:tcPr>
            <w:tcW w:w="1078"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14440BC0" w14:textId="77777777" w:rsidR="005F1859" w:rsidRPr="002A1D42" w:rsidRDefault="005F1859" w:rsidP="00EF5C9A">
            <w:pPr>
              <w:jc w:val="center"/>
              <w:rPr>
                <w:rFonts w:cs="Arial"/>
                <w:b/>
              </w:rPr>
            </w:pPr>
            <w:r w:rsidRPr="002A1D42">
              <w:rPr>
                <w:rFonts w:cs="Arial"/>
                <w:b/>
                <w:bCs/>
              </w:rPr>
              <w:t>2</w:t>
            </w:r>
            <w:r>
              <w:rPr>
                <w:rFonts w:cs="Arial"/>
                <w:b/>
                <w:bCs/>
              </w:rPr>
              <w:t>2</w:t>
            </w:r>
            <w:r w:rsidRPr="002A1D42">
              <w:rPr>
                <w:rFonts w:cs="Arial"/>
                <w:b/>
                <w:bCs/>
              </w:rPr>
              <w:t>/2</w:t>
            </w:r>
            <w:r>
              <w:rPr>
                <w:rFonts w:cs="Arial"/>
                <w:b/>
                <w:bCs/>
              </w:rPr>
              <w:t>3</w:t>
            </w:r>
          </w:p>
          <w:p w14:paraId="118378C1" w14:textId="77777777" w:rsidR="005F1859" w:rsidRPr="002A1D42" w:rsidRDefault="005F1859" w:rsidP="00EF5C9A">
            <w:pPr>
              <w:jc w:val="center"/>
              <w:rPr>
                <w:rFonts w:cs="Arial"/>
                <w:b/>
              </w:rPr>
            </w:pPr>
            <w:r w:rsidRPr="002A1D42">
              <w:rPr>
                <w:rFonts w:cs="Arial"/>
                <w:b/>
                <w:bCs/>
              </w:rPr>
              <w:t>£m</w:t>
            </w:r>
          </w:p>
        </w:tc>
      </w:tr>
      <w:tr w:rsidR="005F1859" w:rsidRPr="002A1D42" w14:paraId="2D5290E2" w14:textId="77777777" w:rsidTr="00EF5C9A">
        <w:trPr>
          <w:trHeight w:val="375"/>
          <w:jc w:val="center"/>
        </w:trPr>
        <w:tc>
          <w:tcPr>
            <w:tcW w:w="5240" w:type="dxa"/>
            <w:tcBorders>
              <w:top w:val="single" w:sz="4" w:space="0" w:color="000000"/>
              <w:left w:val="single" w:sz="4" w:space="0" w:color="000000"/>
              <w:bottom w:val="single" w:sz="4" w:space="0" w:color="000000"/>
              <w:right w:val="single" w:sz="4" w:space="0" w:color="000000"/>
            </w:tcBorders>
          </w:tcPr>
          <w:p w14:paraId="7F03A9A5" w14:textId="77777777" w:rsidR="005F1859" w:rsidRPr="002A1D42" w:rsidRDefault="005F1859" w:rsidP="00EF5C9A">
            <w:pPr>
              <w:rPr>
                <w:rFonts w:cs="Arial"/>
              </w:rPr>
            </w:pPr>
            <w:r>
              <w:rPr>
                <w:rFonts w:cs="Arial"/>
              </w:rPr>
              <w:t>Release of recurrent reserve for increased demand for beds (Section 1.6.8)</w:t>
            </w:r>
          </w:p>
        </w:tc>
        <w:tc>
          <w:tcPr>
            <w:tcW w:w="992" w:type="dxa"/>
            <w:tcBorders>
              <w:top w:val="single" w:sz="4" w:space="0" w:color="000000"/>
              <w:left w:val="single" w:sz="4" w:space="0" w:color="000000"/>
              <w:bottom w:val="single" w:sz="4" w:space="0" w:color="000000"/>
              <w:right w:val="single" w:sz="4" w:space="0" w:color="000000"/>
            </w:tcBorders>
          </w:tcPr>
          <w:p w14:paraId="4A901627" w14:textId="77777777" w:rsidR="005F1859" w:rsidRPr="002A1D42" w:rsidRDefault="005F1859" w:rsidP="00EF5C9A">
            <w:pPr>
              <w:jc w:val="center"/>
              <w:rPr>
                <w:rFonts w:cs="Arial"/>
              </w:rPr>
            </w:pPr>
            <w:r>
              <w:rPr>
                <w:rFonts w:cs="Arial"/>
              </w:rPr>
              <w:t>(3.2)</w:t>
            </w:r>
          </w:p>
        </w:tc>
        <w:tc>
          <w:tcPr>
            <w:tcW w:w="993" w:type="dxa"/>
            <w:tcBorders>
              <w:top w:val="single" w:sz="4" w:space="0" w:color="000000"/>
              <w:left w:val="single" w:sz="4" w:space="0" w:color="000000"/>
              <w:bottom w:val="single" w:sz="4" w:space="0" w:color="000000"/>
              <w:right w:val="single" w:sz="4" w:space="0" w:color="000000"/>
            </w:tcBorders>
          </w:tcPr>
          <w:p w14:paraId="14AEAFB6" w14:textId="77777777" w:rsidR="005F1859" w:rsidRPr="002A1D42" w:rsidRDefault="005F1859" w:rsidP="00EF5C9A">
            <w:pPr>
              <w:jc w:val="center"/>
              <w:rPr>
                <w:rFonts w:cs="Arial"/>
              </w:rPr>
            </w:pPr>
            <w:r>
              <w:rPr>
                <w:rFonts w:cs="Arial"/>
              </w:rPr>
              <w:t>0</w:t>
            </w:r>
          </w:p>
        </w:tc>
        <w:tc>
          <w:tcPr>
            <w:tcW w:w="1078" w:type="dxa"/>
            <w:tcBorders>
              <w:top w:val="single" w:sz="4" w:space="0" w:color="000000"/>
              <w:left w:val="single" w:sz="4" w:space="0" w:color="000000"/>
              <w:bottom w:val="single" w:sz="4" w:space="0" w:color="000000"/>
              <w:right w:val="single" w:sz="4" w:space="0" w:color="000000"/>
            </w:tcBorders>
          </w:tcPr>
          <w:p w14:paraId="0C978EEB" w14:textId="77777777" w:rsidR="005F1859" w:rsidRPr="002A1D42" w:rsidRDefault="005F1859" w:rsidP="00EF5C9A">
            <w:pPr>
              <w:jc w:val="center"/>
              <w:rPr>
                <w:rFonts w:cs="Arial"/>
              </w:rPr>
            </w:pPr>
            <w:r>
              <w:rPr>
                <w:rFonts w:cs="Arial"/>
              </w:rPr>
              <w:t>0</w:t>
            </w:r>
          </w:p>
        </w:tc>
      </w:tr>
      <w:tr w:rsidR="005F1859" w:rsidRPr="00B23D49" w14:paraId="1B5687E1"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tcPr>
          <w:p w14:paraId="538CFAD4" w14:textId="77777777" w:rsidR="005F1859" w:rsidRPr="00B23D49" w:rsidRDefault="005F1859" w:rsidP="00EF5C9A">
            <w:pPr>
              <w:rPr>
                <w:rFonts w:cs="Arial"/>
              </w:rPr>
            </w:pPr>
            <w:r>
              <w:rPr>
                <w:rFonts w:cs="Arial"/>
              </w:rPr>
              <w:t>Slippage on recurrent investments in service improvement (Section 1.7)</w:t>
            </w:r>
          </w:p>
        </w:tc>
        <w:tc>
          <w:tcPr>
            <w:tcW w:w="992" w:type="dxa"/>
            <w:tcBorders>
              <w:top w:val="single" w:sz="4" w:space="0" w:color="000000"/>
              <w:left w:val="single" w:sz="4" w:space="0" w:color="000000"/>
              <w:bottom w:val="single" w:sz="4" w:space="0" w:color="000000"/>
              <w:right w:val="single" w:sz="4" w:space="0" w:color="000000"/>
            </w:tcBorders>
          </w:tcPr>
          <w:p w14:paraId="627F70DA" w14:textId="77777777" w:rsidR="005F1859" w:rsidRPr="00B23D49" w:rsidRDefault="005F1859" w:rsidP="00EF5C9A">
            <w:pPr>
              <w:jc w:val="center"/>
              <w:rPr>
                <w:rFonts w:cs="Arial"/>
              </w:rPr>
            </w:pPr>
            <w:r>
              <w:rPr>
                <w:rFonts w:cs="Arial"/>
              </w:rPr>
              <w:t>(1.0)</w:t>
            </w:r>
          </w:p>
        </w:tc>
        <w:tc>
          <w:tcPr>
            <w:tcW w:w="993" w:type="dxa"/>
            <w:tcBorders>
              <w:top w:val="single" w:sz="4" w:space="0" w:color="000000"/>
              <w:left w:val="single" w:sz="4" w:space="0" w:color="000000"/>
              <w:bottom w:val="single" w:sz="4" w:space="0" w:color="000000"/>
              <w:right w:val="single" w:sz="4" w:space="0" w:color="000000"/>
            </w:tcBorders>
          </w:tcPr>
          <w:p w14:paraId="4E19533B" w14:textId="77777777" w:rsidR="005F1859" w:rsidRPr="00B23D49" w:rsidRDefault="005F1859" w:rsidP="00EF5C9A">
            <w:pPr>
              <w:jc w:val="center"/>
              <w:rPr>
                <w:rFonts w:cs="Arial"/>
              </w:rPr>
            </w:pPr>
            <w:r>
              <w:rPr>
                <w:rFonts w:cs="Arial"/>
              </w:rPr>
              <w:t>(1.0)</w:t>
            </w:r>
          </w:p>
        </w:tc>
        <w:tc>
          <w:tcPr>
            <w:tcW w:w="1078" w:type="dxa"/>
            <w:tcBorders>
              <w:top w:val="single" w:sz="4" w:space="0" w:color="000000"/>
              <w:left w:val="single" w:sz="4" w:space="0" w:color="000000"/>
              <w:bottom w:val="single" w:sz="4" w:space="0" w:color="000000"/>
              <w:right w:val="single" w:sz="4" w:space="0" w:color="000000"/>
            </w:tcBorders>
          </w:tcPr>
          <w:p w14:paraId="3C9AD7D3" w14:textId="77777777" w:rsidR="005F1859" w:rsidRPr="00B23D49" w:rsidRDefault="005F1859" w:rsidP="00EF5C9A">
            <w:pPr>
              <w:jc w:val="center"/>
              <w:rPr>
                <w:rFonts w:cs="Arial"/>
              </w:rPr>
            </w:pPr>
            <w:r>
              <w:rPr>
                <w:rFonts w:cs="Arial"/>
              </w:rPr>
              <w:t>(1.0)</w:t>
            </w:r>
          </w:p>
        </w:tc>
      </w:tr>
      <w:tr w:rsidR="005F1859" w:rsidRPr="00B23D49" w14:paraId="288F661A"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tcPr>
          <w:p w14:paraId="61A78E7D" w14:textId="77777777" w:rsidR="005F1859" w:rsidRPr="00B23D49" w:rsidRDefault="005F1859" w:rsidP="00EF5C9A">
            <w:pPr>
              <w:rPr>
                <w:rFonts w:cs="Arial"/>
              </w:rPr>
            </w:pPr>
            <w:r>
              <w:rPr>
                <w:rFonts w:cs="Arial"/>
              </w:rPr>
              <w:t>Contribution towards existing cost pressures from non-recurring In year WG allocations</w:t>
            </w:r>
          </w:p>
        </w:tc>
        <w:tc>
          <w:tcPr>
            <w:tcW w:w="992" w:type="dxa"/>
            <w:tcBorders>
              <w:top w:val="single" w:sz="4" w:space="0" w:color="000000"/>
              <w:left w:val="single" w:sz="4" w:space="0" w:color="000000"/>
              <w:bottom w:val="single" w:sz="4" w:space="0" w:color="000000"/>
              <w:right w:val="single" w:sz="4" w:space="0" w:color="000000"/>
            </w:tcBorders>
          </w:tcPr>
          <w:p w14:paraId="741243BF" w14:textId="77777777" w:rsidR="005F1859" w:rsidRPr="00B23D49" w:rsidRDefault="005F1859" w:rsidP="00EF5C9A">
            <w:pPr>
              <w:jc w:val="center"/>
              <w:rPr>
                <w:rFonts w:cs="Arial"/>
              </w:rPr>
            </w:pPr>
            <w:r>
              <w:rPr>
                <w:rFonts w:cs="Arial"/>
              </w:rPr>
              <w:t>(2.0)</w:t>
            </w:r>
          </w:p>
        </w:tc>
        <w:tc>
          <w:tcPr>
            <w:tcW w:w="993" w:type="dxa"/>
            <w:tcBorders>
              <w:top w:val="single" w:sz="4" w:space="0" w:color="000000"/>
              <w:left w:val="single" w:sz="4" w:space="0" w:color="000000"/>
              <w:bottom w:val="single" w:sz="4" w:space="0" w:color="000000"/>
              <w:right w:val="single" w:sz="4" w:space="0" w:color="000000"/>
            </w:tcBorders>
          </w:tcPr>
          <w:p w14:paraId="7BBDFDA1" w14:textId="77777777" w:rsidR="005F1859" w:rsidRPr="00B23D49" w:rsidRDefault="005F1859" w:rsidP="00EF5C9A">
            <w:pPr>
              <w:jc w:val="center"/>
              <w:rPr>
                <w:rFonts w:cs="Arial"/>
              </w:rPr>
            </w:pPr>
            <w:r>
              <w:rPr>
                <w:rFonts w:cs="Arial"/>
              </w:rPr>
              <w:t>(2.0)</w:t>
            </w:r>
          </w:p>
        </w:tc>
        <w:tc>
          <w:tcPr>
            <w:tcW w:w="1078" w:type="dxa"/>
            <w:tcBorders>
              <w:top w:val="single" w:sz="4" w:space="0" w:color="000000"/>
              <w:left w:val="single" w:sz="4" w:space="0" w:color="000000"/>
              <w:bottom w:val="single" w:sz="4" w:space="0" w:color="000000"/>
              <w:right w:val="single" w:sz="4" w:space="0" w:color="000000"/>
            </w:tcBorders>
          </w:tcPr>
          <w:p w14:paraId="42B80472" w14:textId="77777777" w:rsidR="005F1859" w:rsidRPr="00B23D49" w:rsidRDefault="005F1859" w:rsidP="00EF5C9A">
            <w:pPr>
              <w:jc w:val="center"/>
              <w:rPr>
                <w:rFonts w:cs="Arial"/>
              </w:rPr>
            </w:pPr>
            <w:r>
              <w:rPr>
                <w:rFonts w:cs="Arial"/>
              </w:rPr>
              <w:t>(2.0)</w:t>
            </w:r>
          </w:p>
        </w:tc>
      </w:tr>
      <w:tr w:rsidR="005F1859" w:rsidRPr="00B23D49" w14:paraId="6D5A82B3"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tcPr>
          <w:p w14:paraId="204CC15F" w14:textId="77777777" w:rsidR="005F1859" w:rsidRPr="00B23D49" w:rsidRDefault="005F1859" w:rsidP="00EF5C9A">
            <w:pPr>
              <w:rPr>
                <w:rFonts w:cs="Arial"/>
              </w:rPr>
            </w:pPr>
            <w:r>
              <w:rPr>
                <w:rFonts w:cs="Arial"/>
              </w:rPr>
              <w:t>Accountancy gains</w:t>
            </w:r>
          </w:p>
        </w:tc>
        <w:tc>
          <w:tcPr>
            <w:tcW w:w="992" w:type="dxa"/>
            <w:tcBorders>
              <w:top w:val="single" w:sz="4" w:space="0" w:color="000000"/>
              <w:left w:val="single" w:sz="4" w:space="0" w:color="000000"/>
              <w:bottom w:val="single" w:sz="4" w:space="0" w:color="000000"/>
              <w:right w:val="single" w:sz="4" w:space="0" w:color="000000"/>
            </w:tcBorders>
          </w:tcPr>
          <w:p w14:paraId="3BA32FC1" w14:textId="77777777" w:rsidR="005F1859" w:rsidRPr="00B23D49" w:rsidRDefault="005F1859" w:rsidP="00EF5C9A">
            <w:pPr>
              <w:jc w:val="center"/>
              <w:rPr>
                <w:rFonts w:cs="Arial"/>
              </w:rPr>
            </w:pPr>
            <w:r>
              <w:rPr>
                <w:rFonts w:cs="Arial"/>
              </w:rPr>
              <w:t>(4.3)</w:t>
            </w:r>
          </w:p>
        </w:tc>
        <w:tc>
          <w:tcPr>
            <w:tcW w:w="993" w:type="dxa"/>
            <w:tcBorders>
              <w:top w:val="single" w:sz="4" w:space="0" w:color="000000"/>
              <w:left w:val="single" w:sz="4" w:space="0" w:color="000000"/>
              <w:bottom w:val="single" w:sz="4" w:space="0" w:color="000000"/>
              <w:right w:val="single" w:sz="4" w:space="0" w:color="000000"/>
            </w:tcBorders>
          </w:tcPr>
          <w:p w14:paraId="7E6BDB92" w14:textId="77777777" w:rsidR="005F1859" w:rsidRPr="00B23D49" w:rsidRDefault="005F1859" w:rsidP="00EF5C9A">
            <w:pPr>
              <w:jc w:val="center"/>
              <w:rPr>
                <w:rFonts w:cs="Arial"/>
              </w:rPr>
            </w:pPr>
            <w:r>
              <w:rPr>
                <w:rFonts w:cs="Arial"/>
              </w:rPr>
              <w:t>(1.8)</w:t>
            </w:r>
          </w:p>
        </w:tc>
        <w:tc>
          <w:tcPr>
            <w:tcW w:w="1078" w:type="dxa"/>
            <w:tcBorders>
              <w:top w:val="single" w:sz="4" w:space="0" w:color="000000"/>
              <w:left w:val="single" w:sz="4" w:space="0" w:color="000000"/>
              <w:bottom w:val="single" w:sz="4" w:space="0" w:color="000000"/>
              <w:right w:val="single" w:sz="4" w:space="0" w:color="000000"/>
            </w:tcBorders>
          </w:tcPr>
          <w:p w14:paraId="0AD375CA" w14:textId="77777777" w:rsidR="005F1859" w:rsidRPr="00B23D49" w:rsidRDefault="005F1859" w:rsidP="00EF5C9A">
            <w:pPr>
              <w:jc w:val="center"/>
              <w:rPr>
                <w:rFonts w:cs="Arial"/>
              </w:rPr>
            </w:pPr>
            <w:r>
              <w:rPr>
                <w:rFonts w:cs="Arial"/>
              </w:rPr>
              <w:t>0</w:t>
            </w:r>
          </w:p>
        </w:tc>
      </w:tr>
      <w:tr w:rsidR="005F1859" w:rsidRPr="00B23D49" w14:paraId="1A472CB7" w14:textId="77777777" w:rsidTr="00EF5C9A">
        <w:trPr>
          <w:trHeight w:val="353"/>
          <w:jc w:val="center"/>
        </w:trPr>
        <w:tc>
          <w:tcPr>
            <w:tcW w:w="5240" w:type="dxa"/>
            <w:tcBorders>
              <w:top w:val="single" w:sz="4" w:space="0" w:color="000000"/>
              <w:left w:val="single" w:sz="4" w:space="0" w:color="000000"/>
              <w:bottom w:val="single" w:sz="4" w:space="0" w:color="000000"/>
              <w:right w:val="single" w:sz="4" w:space="0" w:color="000000"/>
            </w:tcBorders>
          </w:tcPr>
          <w:p w14:paraId="4454EF55" w14:textId="77777777" w:rsidR="005F1859" w:rsidRPr="00B23D49" w:rsidRDefault="005F1859" w:rsidP="00EF5C9A">
            <w:pPr>
              <w:rPr>
                <w:rFonts w:cs="Arial"/>
              </w:rPr>
            </w:pPr>
            <w:r>
              <w:rPr>
                <w:rFonts w:cs="Arial"/>
              </w:rPr>
              <w:t>Other non-recurring expenditure reductions</w:t>
            </w:r>
          </w:p>
        </w:tc>
        <w:tc>
          <w:tcPr>
            <w:tcW w:w="992" w:type="dxa"/>
            <w:tcBorders>
              <w:top w:val="single" w:sz="4" w:space="0" w:color="000000"/>
              <w:left w:val="single" w:sz="4" w:space="0" w:color="000000"/>
              <w:bottom w:val="single" w:sz="4" w:space="0" w:color="000000"/>
              <w:right w:val="single" w:sz="4" w:space="0" w:color="000000"/>
            </w:tcBorders>
          </w:tcPr>
          <w:p w14:paraId="096E75B6" w14:textId="77777777" w:rsidR="005F1859" w:rsidRPr="00B23D49" w:rsidRDefault="005F1859" w:rsidP="00EF5C9A">
            <w:pPr>
              <w:jc w:val="center"/>
              <w:rPr>
                <w:rFonts w:cs="Arial"/>
              </w:rPr>
            </w:pPr>
            <w:r>
              <w:rPr>
                <w:rFonts w:cs="Arial"/>
              </w:rPr>
              <w:t>(1.0)</w:t>
            </w:r>
          </w:p>
        </w:tc>
        <w:tc>
          <w:tcPr>
            <w:tcW w:w="993" w:type="dxa"/>
            <w:tcBorders>
              <w:top w:val="single" w:sz="4" w:space="0" w:color="000000"/>
              <w:left w:val="single" w:sz="4" w:space="0" w:color="000000"/>
              <w:bottom w:val="single" w:sz="4" w:space="0" w:color="000000"/>
              <w:right w:val="single" w:sz="4" w:space="0" w:color="000000"/>
            </w:tcBorders>
          </w:tcPr>
          <w:p w14:paraId="6DA674D2" w14:textId="77777777" w:rsidR="005F1859" w:rsidRPr="00B23D49" w:rsidRDefault="005F1859" w:rsidP="00EF5C9A">
            <w:pPr>
              <w:jc w:val="center"/>
              <w:rPr>
                <w:rFonts w:cs="Arial"/>
              </w:rPr>
            </w:pPr>
            <w:r>
              <w:rPr>
                <w:rFonts w:cs="Arial"/>
              </w:rPr>
              <w:t>(1.0)</w:t>
            </w:r>
          </w:p>
        </w:tc>
        <w:tc>
          <w:tcPr>
            <w:tcW w:w="1078" w:type="dxa"/>
            <w:tcBorders>
              <w:top w:val="single" w:sz="4" w:space="0" w:color="000000"/>
              <w:left w:val="single" w:sz="4" w:space="0" w:color="000000"/>
              <w:bottom w:val="single" w:sz="4" w:space="0" w:color="000000"/>
              <w:right w:val="single" w:sz="4" w:space="0" w:color="000000"/>
            </w:tcBorders>
          </w:tcPr>
          <w:p w14:paraId="25DC94DA" w14:textId="77777777" w:rsidR="005F1859" w:rsidRPr="00B23D49" w:rsidRDefault="005F1859" w:rsidP="00EF5C9A">
            <w:pPr>
              <w:jc w:val="center"/>
              <w:rPr>
                <w:rFonts w:cs="Arial"/>
              </w:rPr>
            </w:pPr>
            <w:r>
              <w:rPr>
                <w:rFonts w:cs="Arial"/>
              </w:rPr>
              <w:t>(1.0)</w:t>
            </w:r>
          </w:p>
        </w:tc>
      </w:tr>
      <w:tr w:rsidR="005F1859" w:rsidRPr="002A1D42" w14:paraId="11222372" w14:textId="77777777" w:rsidTr="00EF5C9A">
        <w:trPr>
          <w:trHeight w:val="266"/>
          <w:jc w:val="center"/>
        </w:trPr>
        <w:tc>
          <w:tcPr>
            <w:tcW w:w="5240" w:type="dxa"/>
            <w:tcBorders>
              <w:top w:val="single" w:sz="4" w:space="0" w:color="000000"/>
              <w:left w:val="single" w:sz="4" w:space="0" w:color="000000"/>
              <w:bottom w:val="single" w:sz="4" w:space="0" w:color="000000"/>
              <w:right w:val="single" w:sz="4" w:space="0" w:color="000000"/>
            </w:tcBorders>
            <w:hideMark/>
          </w:tcPr>
          <w:p w14:paraId="378B20D4" w14:textId="77777777" w:rsidR="005F1859" w:rsidRPr="002A1D42" w:rsidRDefault="005F1859" w:rsidP="00EF5C9A">
            <w:pPr>
              <w:rPr>
                <w:rFonts w:cs="Arial"/>
                <w:b/>
                <w:bCs/>
              </w:rPr>
            </w:pPr>
            <w:r w:rsidRPr="002A1D42">
              <w:rPr>
                <w:rFonts w:cs="Arial"/>
                <w:b/>
                <w:bCs/>
              </w:rPr>
              <w:t xml:space="preserve">Total </w:t>
            </w:r>
          </w:p>
        </w:tc>
        <w:tc>
          <w:tcPr>
            <w:tcW w:w="992" w:type="dxa"/>
            <w:tcBorders>
              <w:top w:val="single" w:sz="4" w:space="0" w:color="000000"/>
              <w:left w:val="single" w:sz="4" w:space="0" w:color="000000"/>
              <w:bottom w:val="single" w:sz="4" w:space="0" w:color="000000"/>
              <w:right w:val="single" w:sz="4" w:space="0" w:color="000000"/>
            </w:tcBorders>
            <w:hideMark/>
          </w:tcPr>
          <w:p w14:paraId="6F772F44" w14:textId="77777777" w:rsidR="005F1859" w:rsidRPr="002A1D42" w:rsidRDefault="005F1859" w:rsidP="00EF5C9A">
            <w:pPr>
              <w:jc w:val="center"/>
              <w:rPr>
                <w:rFonts w:cs="Arial"/>
                <w:b/>
                <w:bCs/>
              </w:rPr>
            </w:pPr>
            <w:r>
              <w:rPr>
                <w:rFonts w:cs="Arial"/>
                <w:b/>
                <w:bCs/>
              </w:rPr>
              <w:t>(11.5)</w:t>
            </w:r>
          </w:p>
        </w:tc>
        <w:tc>
          <w:tcPr>
            <w:tcW w:w="993" w:type="dxa"/>
            <w:tcBorders>
              <w:top w:val="single" w:sz="4" w:space="0" w:color="000000"/>
              <w:left w:val="single" w:sz="4" w:space="0" w:color="000000"/>
              <w:bottom w:val="single" w:sz="4" w:space="0" w:color="000000"/>
              <w:right w:val="single" w:sz="4" w:space="0" w:color="000000"/>
            </w:tcBorders>
          </w:tcPr>
          <w:p w14:paraId="4A5D4421" w14:textId="77777777" w:rsidR="005F1859" w:rsidRPr="002A1D42" w:rsidRDefault="005F1859" w:rsidP="00EF5C9A">
            <w:pPr>
              <w:tabs>
                <w:tab w:val="center" w:pos="398"/>
                <w:tab w:val="right" w:pos="796"/>
              </w:tabs>
              <w:jc w:val="center"/>
              <w:rPr>
                <w:rFonts w:cs="Arial"/>
                <w:b/>
                <w:bCs/>
              </w:rPr>
            </w:pPr>
            <w:r>
              <w:rPr>
                <w:rFonts w:cs="Arial"/>
                <w:b/>
                <w:bCs/>
              </w:rPr>
              <w:t>(5.8)</w:t>
            </w:r>
          </w:p>
        </w:tc>
        <w:tc>
          <w:tcPr>
            <w:tcW w:w="1078" w:type="dxa"/>
            <w:tcBorders>
              <w:top w:val="single" w:sz="4" w:space="0" w:color="000000"/>
              <w:left w:val="single" w:sz="4" w:space="0" w:color="000000"/>
              <w:bottom w:val="single" w:sz="4" w:space="0" w:color="000000"/>
              <w:right w:val="single" w:sz="4" w:space="0" w:color="000000"/>
            </w:tcBorders>
          </w:tcPr>
          <w:p w14:paraId="770B8CB6" w14:textId="77777777" w:rsidR="005F1859" w:rsidRPr="002A1D42" w:rsidRDefault="005F1859" w:rsidP="00EF5C9A">
            <w:pPr>
              <w:tabs>
                <w:tab w:val="center" w:pos="398"/>
                <w:tab w:val="right" w:pos="796"/>
              </w:tabs>
              <w:jc w:val="center"/>
              <w:rPr>
                <w:rFonts w:cs="Arial"/>
                <w:b/>
                <w:bCs/>
              </w:rPr>
            </w:pPr>
            <w:r>
              <w:rPr>
                <w:rFonts w:cs="Arial"/>
                <w:b/>
                <w:bCs/>
              </w:rPr>
              <w:t>(4.0)</w:t>
            </w:r>
          </w:p>
        </w:tc>
      </w:tr>
    </w:tbl>
    <w:p w14:paraId="65B693AB" w14:textId="77777777" w:rsidR="005F1859" w:rsidRDefault="005F1859" w:rsidP="005F1859">
      <w:pPr>
        <w:rPr>
          <w:rFonts w:cs="Arial"/>
          <w:szCs w:val="28"/>
          <w:lang w:eastAsia="en-US"/>
        </w:rPr>
      </w:pPr>
      <w:r>
        <w:br w:type="page"/>
      </w:r>
    </w:p>
    <w:p w14:paraId="284BFD5C" w14:textId="77777777" w:rsidR="005F1859" w:rsidRPr="00EB133C" w:rsidRDefault="005F1859" w:rsidP="005F1859">
      <w:pPr>
        <w:pStyle w:val="Heading2"/>
        <w:ind w:left="1077" w:hanging="1077"/>
      </w:pPr>
      <w:r>
        <w:lastRenderedPageBreak/>
        <w:t>Medium Term Savings Plan 2020</w:t>
      </w:r>
      <w:r w:rsidRPr="00EB133C">
        <w:t>/2</w:t>
      </w:r>
      <w:r>
        <w:t>1</w:t>
      </w:r>
      <w:r w:rsidRPr="00EB133C">
        <w:t xml:space="preserve"> to 202</w:t>
      </w:r>
      <w:r>
        <w:t>2</w:t>
      </w:r>
      <w:r w:rsidRPr="00EB133C">
        <w:t>/2</w:t>
      </w:r>
      <w:r>
        <w:t>3</w:t>
      </w:r>
      <w:bookmarkEnd w:id="186"/>
      <w:bookmarkEnd w:id="187"/>
    </w:p>
    <w:p w14:paraId="06437E07" w14:textId="77777777" w:rsidR="005F1859" w:rsidRDefault="005F1859" w:rsidP="005F1859">
      <w:r>
        <w:rPr>
          <w:bCs/>
        </w:rPr>
        <w:t xml:space="preserve">The following table </w:t>
      </w:r>
      <w:r>
        <w:t>sets out the planned savings over the three year period:</w:t>
      </w:r>
    </w:p>
    <w:p w14:paraId="66469095" w14:textId="77777777" w:rsidR="005F1859" w:rsidRDefault="005F1859" w:rsidP="005F1859"/>
    <w:tbl>
      <w:tblPr>
        <w:tblStyle w:val="TableGrid"/>
        <w:tblW w:w="8221" w:type="dxa"/>
        <w:jc w:val="center"/>
        <w:tblLook w:val="04A0" w:firstRow="1" w:lastRow="0" w:firstColumn="1" w:lastColumn="0" w:noHBand="0" w:noVBand="1"/>
      </w:tblPr>
      <w:tblGrid>
        <w:gridCol w:w="3539"/>
        <w:gridCol w:w="1276"/>
        <w:gridCol w:w="1134"/>
        <w:gridCol w:w="1276"/>
        <w:gridCol w:w="996"/>
      </w:tblGrid>
      <w:tr w:rsidR="005F1859" w:rsidRPr="002A1D42" w14:paraId="7E0707C0" w14:textId="77777777" w:rsidTr="00EF5C9A">
        <w:trPr>
          <w:trHeight w:val="594"/>
          <w:jc w:val="center"/>
        </w:trPr>
        <w:tc>
          <w:tcPr>
            <w:tcW w:w="3539"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3C258D41" w14:textId="77777777" w:rsidR="005F1859" w:rsidRPr="002A1D42" w:rsidRDefault="005F1859" w:rsidP="00EF5C9A">
            <w:pPr>
              <w:spacing w:before="120"/>
              <w:jc w:val="center"/>
              <w:rPr>
                <w:rFonts w:cs="Arial"/>
                <w:b/>
              </w:rPr>
            </w:pPr>
            <w:r w:rsidRPr="002A1D42">
              <w:rPr>
                <w:b/>
                <w:bCs/>
              </w:rPr>
              <w:br w:type="page"/>
            </w:r>
          </w:p>
        </w:tc>
        <w:tc>
          <w:tcPr>
            <w:tcW w:w="12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07A8CA63" w14:textId="77777777" w:rsidR="005F1859" w:rsidRPr="002A1D42" w:rsidRDefault="005F1859" w:rsidP="00EF5C9A">
            <w:pPr>
              <w:jc w:val="center"/>
              <w:rPr>
                <w:rFonts w:cs="Arial"/>
                <w:b/>
              </w:rPr>
            </w:pPr>
            <w:r>
              <w:rPr>
                <w:rFonts w:cs="Arial"/>
                <w:b/>
                <w:bCs/>
              </w:rPr>
              <w:t>20</w:t>
            </w:r>
            <w:r w:rsidRPr="002A1D42">
              <w:rPr>
                <w:rFonts w:cs="Arial"/>
                <w:b/>
                <w:bCs/>
              </w:rPr>
              <w:t>/2</w:t>
            </w:r>
            <w:r>
              <w:rPr>
                <w:rFonts w:cs="Arial"/>
                <w:b/>
                <w:bCs/>
              </w:rPr>
              <w:t>1</w:t>
            </w:r>
          </w:p>
          <w:p w14:paraId="7168EE49" w14:textId="77777777" w:rsidR="005F1859" w:rsidRPr="002A1D42" w:rsidRDefault="005F1859" w:rsidP="00EF5C9A">
            <w:pPr>
              <w:jc w:val="center"/>
              <w:rPr>
                <w:rFonts w:cs="Arial"/>
                <w:b/>
              </w:rPr>
            </w:pPr>
            <w:r w:rsidRPr="002A1D42">
              <w:rPr>
                <w:rFonts w:cs="Arial"/>
                <w:b/>
                <w:bCs/>
              </w:rPr>
              <w:t>£m</w:t>
            </w:r>
          </w:p>
        </w:tc>
        <w:tc>
          <w:tcPr>
            <w:tcW w:w="113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618A5ACE" w14:textId="77777777" w:rsidR="005F1859" w:rsidRPr="002A1D42" w:rsidRDefault="005F1859" w:rsidP="00EF5C9A">
            <w:pPr>
              <w:jc w:val="center"/>
              <w:rPr>
                <w:rFonts w:cs="Arial"/>
                <w:b/>
              </w:rPr>
            </w:pPr>
            <w:r w:rsidRPr="002A1D42">
              <w:rPr>
                <w:rFonts w:cs="Arial"/>
                <w:b/>
                <w:bCs/>
              </w:rPr>
              <w:t>2</w:t>
            </w:r>
            <w:r>
              <w:rPr>
                <w:rFonts w:cs="Arial"/>
                <w:b/>
                <w:bCs/>
              </w:rPr>
              <w:t>1</w:t>
            </w:r>
            <w:r w:rsidRPr="002A1D42">
              <w:rPr>
                <w:rFonts w:cs="Arial"/>
                <w:b/>
                <w:bCs/>
              </w:rPr>
              <w:t>/2</w:t>
            </w:r>
            <w:r>
              <w:rPr>
                <w:rFonts w:cs="Arial"/>
                <w:b/>
                <w:bCs/>
              </w:rPr>
              <w:t>2</w:t>
            </w:r>
          </w:p>
          <w:p w14:paraId="13CA8D72" w14:textId="77777777" w:rsidR="005F1859" w:rsidRPr="002A1D42" w:rsidRDefault="005F1859" w:rsidP="00EF5C9A">
            <w:pPr>
              <w:jc w:val="center"/>
              <w:rPr>
                <w:rFonts w:cs="Arial"/>
                <w:b/>
              </w:rPr>
            </w:pPr>
            <w:r w:rsidRPr="002A1D42">
              <w:rPr>
                <w:rFonts w:cs="Arial"/>
                <w:b/>
                <w:bCs/>
              </w:rPr>
              <w:t>£m</w:t>
            </w:r>
          </w:p>
        </w:tc>
        <w:tc>
          <w:tcPr>
            <w:tcW w:w="12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CA10483" w14:textId="77777777" w:rsidR="005F1859" w:rsidRPr="002A1D42" w:rsidRDefault="005F1859" w:rsidP="00EF5C9A">
            <w:pPr>
              <w:jc w:val="center"/>
              <w:rPr>
                <w:rFonts w:cs="Arial"/>
                <w:b/>
              </w:rPr>
            </w:pPr>
            <w:r w:rsidRPr="002A1D42">
              <w:rPr>
                <w:rFonts w:cs="Arial"/>
                <w:b/>
                <w:bCs/>
              </w:rPr>
              <w:t>2</w:t>
            </w:r>
            <w:r>
              <w:rPr>
                <w:rFonts w:cs="Arial"/>
                <w:b/>
                <w:bCs/>
              </w:rPr>
              <w:t>2</w:t>
            </w:r>
            <w:r w:rsidRPr="002A1D42">
              <w:rPr>
                <w:rFonts w:cs="Arial"/>
                <w:b/>
                <w:bCs/>
              </w:rPr>
              <w:t>/2</w:t>
            </w:r>
            <w:r>
              <w:rPr>
                <w:rFonts w:cs="Arial"/>
                <w:b/>
                <w:bCs/>
              </w:rPr>
              <w:t>3</w:t>
            </w:r>
          </w:p>
          <w:p w14:paraId="2836F4FA" w14:textId="77777777" w:rsidR="005F1859" w:rsidRPr="002A1D42" w:rsidRDefault="005F1859" w:rsidP="00EF5C9A">
            <w:pPr>
              <w:jc w:val="center"/>
              <w:rPr>
                <w:rFonts w:cs="Arial"/>
                <w:b/>
              </w:rPr>
            </w:pPr>
            <w:r w:rsidRPr="002A1D42">
              <w:rPr>
                <w:rFonts w:cs="Arial"/>
                <w:b/>
                <w:bCs/>
              </w:rPr>
              <w:t>£m</w:t>
            </w:r>
          </w:p>
        </w:tc>
        <w:tc>
          <w:tcPr>
            <w:tcW w:w="99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F60D710" w14:textId="77777777" w:rsidR="005F1859" w:rsidRPr="002A1D42" w:rsidRDefault="005F1859" w:rsidP="00EF5C9A">
            <w:pPr>
              <w:jc w:val="center"/>
              <w:rPr>
                <w:rFonts w:cs="Arial"/>
                <w:b/>
              </w:rPr>
            </w:pPr>
            <w:r w:rsidRPr="002A1D42">
              <w:rPr>
                <w:rFonts w:cs="Arial"/>
                <w:b/>
                <w:bCs/>
              </w:rPr>
              <w:t>Total</w:t>
            </w:r>
          </w:p>
          <w:p w14:paraId="21275C27" w14:textId="77777777" w:rsidR="005F1859" w:rsidRPr="002A1D42" w:rsidRDefault="005F1859" w:rsidP="00EF5C9A">
            <w:pPr>
              <w:jc w:val="center"/>
              <w:rPr>
                <w:rFonts w:cs="Arial"/>
                <w:b/>
              </w:rPr>
            </w:pPr>
            <w:r w:rsidRPr="002A1D42">
              <w:rPr>
                <w:rFonts w:cs="Arial"/>
                <w:b/>
                <w:bCs/>
              </w:rPr>
              <w:t>£m</w:t>
            </w:r>
          </w:p>
        </w:tc>
      </w:tr>
      <w:tr w:rsidR="005F1859" w:rsidRPr="002A1D42" w14:paraId="30CAD024"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hideMark/>
          </w:tcPr>
          <w:p w14:paraId="6EC14ACE" w14:textId="77777777" w:rsidR="005F1859" w:rsidRPr="00B26563" w:rsidRDefault="005F1859" w:rsidP="00EF5C9A">
            <w:pPr>
              <w:rPr>
                <w:rFonts w:cs="Arial"/>
                <w:bCs/>
              </w:rPr>
            </w:pPr>
            <w:r w:rsidRPr="00B26563">
              <w:rPr>
                <w:rFonts w:cs="Arial"/>
                <w:bCs/>
              </w:rPr>
              <w:t>General recurring efficiency and redesign savings</w:t>
            </w:r>
            <w:r>
              <w:rPr>
                <w:rFonts w:cs="Arial"/>
                <w:bCs/>
              </w:rPr>
              <w:t>(2% of pay and non-pay budgets in 20/21, reducing to 1.75% and 1.5% in 21/22 and 22/23)</w:t>
            </w:r>
          </w:p>
        </w:tc>
        <w:tc>
          <w:tcPr>
            <w:tcW w:w="1276" w:type="dxa"/>
            <w:tcBorders>
              <w:top w:val="single" w:sz="4" w:space="0" w:color="000000"/>
              <w:left w:val="single" w:sz="4" w:space="0" w:color="000000"/>
              <w:bottom w:val="single" w:sz="4" w:space="0" w:color="000000"/>
              <w:right w:val="single" w:sz="4" w:space="0" w:color="000000"/>
            </w:tcBorders>
            <w:hideMark/>
          </w:tcPr>
          <w:p w14:paraId="085FBCFF" w14:textId="77777777" w:rsidR="005F1859" w:rsidRPr="00B26563" w:rsidRDefault="005F1859" w:rsidP="00EF5C9A">
            <w:pPr>
              <w:jc w:val="center"/>
              <w:rPr>
                <w:rFonts w:cs="Arial"/>
                <w:bCs/>
              </w:rPr>
            </w:pPr>
            <w:r w:rsidRPr="00B26563">
              <w:rPr>
                <w:rFonts w:cs="Arial"/>
                <w:bCs/>
              </w:rPr>
              <w:t>(1</w:t>
            </w:r>
            <w:r>
              <w:rPr>
                <w:rFonts w:cs="Arial"/>
                <w:bCs/>
              </w:rPr>
              <w:t>5</w:t>
            </w:r>
            <w:r w:rsidRPr="00B26563">
              <w:rPr>
                <w:rFonts w:cs="Arial"/>
                <w:bCs/>
              </w:rPr>
              <w:t>.</w:t>
            </w:r>
            <w:r>
              <w:rPr>
                <w:rFonts w:cs="Arial"/>
                <w:bCs/>
              </w:rPr>
              <w:t>7</w:t>
            </w:r>
            <w:r w:rsidRPr="00B26563">
              <w:rPr>
                <w:rFonts w:cs="Arial"/>
                <w:bCs/>
              </w:rPr>
              <w:t>)</w:t>
            </w:r>
          </w:p>
        </w:tc>
        <w:tc>
          <w:tcPr>
            <w:tcW w:w="1134" w:type="dxa"/>
            <w:tcBorders>
              <w:top w:val="single" w:sz="4" w:space="0" w:color="000000"/>
              <w:left w:val="single" w:sz="4" w:space="0" w:color="000000"/>
              <w:bottom w:val="single" w:sz="4" w:space="0" w:color="000000"/>
              <w:right w:val="single" w:sz="4" w:space="0" w:color="000000"/>
            </w:tcBorders>
          </w:tcPr>
          <w:p w14:paraId="5BE2355D" w14:textId="77777777" w:rsidR="005F1859" w:rsidRPr="002A1D42" w:rsidRDefault="005F1859" w:rsidP="00EF5C9A">
            <w:pPr>
              <w:jc w:val="center"/>
              <w:rPr>
                <w:rFonts w:cs="Arial"/>
                <w:bCs/>
              </w:rPr>
            </w:pPr>
            <w:r>
              <w:rPr>
                <w:rFonts w:cs="Arial"/>
                <w:bCs/>
              </w:rPr>
              <w:t>(14.1)</w:t>
            </w:r>
          </w:p>
        </w:tc>
        <w:tc>
          <w:tcPr>
            <w:tcW w:w="1276" w:type="dxa"/>
            <w:tcBorders>
              <w:top w:val="single" w:sz="4" w:space="0" w:color="000000"/>
              <w:left w:val="single" w:sz="4" w:space="0" w:color="000000"/>
              <w:bottom w:val="single" w:sz="4" w:space="0" w:color="000000"/>
              <w:right w:val="single" w:sz="4" w:space="0" w:color="000000"/>
            </w:tcBorders>
          </w:tcPr>
          <w:p w14:paraId="10260981" w14:textId="77777777" w:rsidR="005F1859" w:rsidRPr="002A1D42" w:rsidRDefault="005F1859" w:rsidP="00EF5C9A">
            <w:pPr>
              <w:jc w:val="center"/>
              <w:rPr>
                <w:rFonts w:cs="Arial"/>
                <w:bCs/>
              </w:rPr>
            </w:pPr>
            <w:r>
              <w:rPr>
                <w:rFonts w:cs="Arial"/>
                <w:bCs/>
              </w:rPr>
              <w:t>(12.5)</w:t>
            </w:r>
          </w:p>
        </w:tc>
        <w:tc>
          <w:tcPr>
            <w:tcW w:w="996" w:type="dxa"/>
            <w:tcBorders>
              <w:top w:val="single" w:sz="4" w:space="0" w:color="000000"/>
              <w:left w:val="single" w:sz="4" w:space="0" w:color="000000"/>
              <w:bottom w:val="single" w:sz="4" w:space="0" w:color="000000"/>
              <w:right w:val="single" w:sz="4" w:space="0" w:color="000000"/>
            </w:tcBorders>
          </w:tcPr>
          <w:p w14:paraId="1E474FBD" w14:textId="77777777" w:rsidR="005F1859" w:rsidRPr="002A1D42" w:rsidRDefault="005F1859" w:rsidP="00EF5C9A">
            <w:pPr>
              <w:jc w:val="center"/>
              <w:rPr>
                <w:rFonts w:cs="Arial"/>
                <w:bCs/>
              </w:rPr>
            </w:pPr>
            <w:r>
              <w:rPr>
                <w:rFonts w:cs="Arial"/>
                <w:bCs/>
              </w:rPr>
              <w:t>(42.3)</w:t>
            </w:r>
          </w:p>
        </w:tc>
      </w:tr>
      <w:tr w:rsidR="005F1859" w14:paraId="531CFC28"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6F9FBDAE" w14:textId="77777777" w:rsidR="005F1859" w:rsidRPr="00B26563" w:rsidRDefault="005F1859" w:rsidP="00EF5C9A">
            <w:pPr>
              <w:rPr>
                <w:rFonts w:cs="Arial"/>
                <w:bCs/>
              </w:rPr>
            </w:pPr>
            <w:r w:rsidRPr="00B26563">
              <w:rPr>
                <w:rFonts w:cs="Arial"/>
                <w:bCs/>
              </w:rPr>
              <w:t>Specific recurring efficiency and redesign savings</w:t>
            </w:r>
            <w:r>
              <w:rPr>
                <w:rFonts w:cs="Arial"/>
                <w:bCs/>
              </w:rPr>
              <w:t>:</w:t>
            </w:r>
          </w:p>
        </w:tc>
        <w:tc>
          <w:tcPr>
            <w:tcW w:w="1276" w:type="dxa"/>
            <w:tcBorders>
              <w:top w:val="single" w:sz="4" w:space="0" w:color="000000"/>
              <w:left w:val="single" w:sz="4" w:space="0" w:color="000000"/>
              <w:bottom w:val="single" w:sz="4" w:space="0" w:color="000000"/>
              <w:right w:val="single" w:sz="4" w:space="0" w:color="000000"/>
            </w:tcBorders>
          </w:tcPr>
          <w:p w14:paraId="5E3CBCC9" w14:textId="77777777" w:rsidR="005F1859" w:rsidRPr="00B26563" w:rsidRDefault="005F1859" w:rsidP="00EF5C9A">
            <w:pPr>
              <w:jc w:val="center"/>
              <w:rPr>
                <w:rFonts w:cs="Arial"/>
                <w:bCs/>
              </w:rPr>
            </w:pPr>
          </w:p>
        </w:tc>
        <w:tc>
          <w:tcPr>
            <w:tcW w:w="1134" w:type="dxa"/>
            <w:tcBorders>
              <w:top w:val="single" w:sz="4" w:space="0" w:color="000000"/>
              <w:left w:val="single" w:sz="4" w:space="0" w:color="000000"/>
              <w:bottom w:val="single" w:sz="4" w:space="0" w:color="000000"/>
              <w:right w:val="single" w:sz="4" w:space="0" w:color="000000"/>
            </w:tcBorders>
          </w:tcPr>
          <w:p w14:paraId="5B235F88" w14:textId="77777777" w:rsidR="005F1859" w:rsidRDefault="005F1859" w:rsidP="00EF5C9A">
            <w:pPr>
              <w:jc w:val="center"/>
              <w:rPr>
                <w:rFonts w:cs="Arial"/>
                <w:b/>
                <w:bCs/>
              </w:rPr>
            </w:pPr>
          </w:p>
        </w:tc>
        <w:tc>
          <w:tcPr>
            <w:tcW w:w="1276" w:type="dxa"/>
            <w:tcBorders>
              <w:top w:val="single" w:sz="4" w:space="0" w:color="000000"/>
              <w:left w:val="single" w:sz="4" w:space="0" w:color="000000"/>
              <w:bottom w:val="single" w:sz="4" w:space="0" w:color="000000"/>
              <w:right w:val="single" w:sz="4" w:space="0" w:color="000000"/>
            </w:tcBorders>
          </w:tcPr>
          <w:p w14:paraId="7714CF8D" w14:textId="77777777" w:rsidR="005F1859" w:rsidRDefault="005F1859" w:rsidP="00EF5C9A">
            <w:pPr>
              <w:jc w:val="center"/>
              <w:rPr>
                <w:rFonts w:cs="Arial"/>
                <w:b/>
                <w:bCs/>
              </w:rPr>
            </w:pPr>
          </w:p>
        </w:tc>
        <w:tc>
          <w:tcPr>
            <w:tcW w:w="996" w:type="dxa"/>
            <w:tcBorders>
              <w:top w:val="single" w:sz="4" w:space="0" w:color="000000"/>
              <w:left w:val="single" w:sz="4" w:space="0" w:color="000000"/>
              <w:bottom w:val="single" w:sz="4" w:space="0" w:color="000000"/>
              <w:right w:val="single" w:sz="4" w:space="0" w:color="000000"/>
            </w:tcBorders>
          </w:tcPr>
          <w:p w14:paraId="746B4AAE" w14:textId="77777777" w:rsidR="005F1859" w:rsidRDefault="005F1859" w:rsidP="00EF5C9A">
            <w:pPr>
              <w:jc w:val="center"/>
              <w:rPr>
                <w:rFonts w:cs="Arial"/>
                <w:b/>
                <w:bCs/>
              </w:rPr>
            </w:pPr>
          </w:p>
        </w:tc>
      </w:tr>
      <w:tr w:rsidR="005F1859" w:rsidRPr="0039170E" w14:paraId="56D6B025"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1A02699E" w14:textId="77777777" w:rsidR="005F1859" w:rsidRPr="00B26563" w:rsidRDefault="005F1859" w:rsidP="00EF5C9A">
            <w:pPr>
              <w:rPr>
                <w:rFonts w:cs="Arial"/>
                <w:bCs/>
              </w:rPr>
            </w:pPr>
            <w:r w:rsidRPr="00B26563">
              <w:rPr>
                <w:rFonts w:cs="Arial"/>
                <w:bCs/>
              </w:rPr>
              <w:t>Primary care prescribing</w:t>
            </w:r>
          </w:p>
        </w:tc>
        <w:tc>
          <w:tcPr>
            <w:tcW w:w="1276" w:type="dxa"/>
            <w:tcBorders>
              <w:top w:val="single" w:sz="4" w:space="0" w:color="000000"/>
              <w:left w:val="single" w:sz="4" w:space="0" w:color="000000"/>
              <w:bottom w:val="single" w:sz="4" w:space="0" w:color="000000"/>
              <w:right w:val="single" w:sz="4" w:space="0" w:color="000000"/>
            </w:tcBorders>
          </w:tcPr>
          <w:p w14:paraId="699A9921" w14:textId="77777777" w:rsidR="005F1859" w:rsidRPr="00B26563" w:rsidRDefault="005F1859" w:rsidP="00EF5C9A">
            <w:pPr>
              <w:jc w:val="center"/>
              <w:rPr>
                <w:rFonts w:cs="Arial"/>
                <w:bCs/>
              </w:rPr>
            </w:pPr>
            <w:r w:rsidRPr="00B26563">
              <w:rPr>
                <w:rFonts w:cs="Arial"/>
                <w:bCs/>
              </w:rPr>
              <w:t>(</w:t>
            </w:r>
            <w:r>
              <w:rPr>
                <w:rFonts w:cs="Arial"/>
                <w:bCs/>
              </w:rPr>
              <w:t>2.3</w:t>
            </w:r>
            <w:r w:rsidRPr="00B26563">
              <w:rPr>
                <w:rFonts w:cs="Arial"/>
                <w:bCs/>
              </w:rPr>
              <w:t>)</w:t>
            </w:r>
          </w:p>
        </w:tc>
        <w:tc>
          <w:tcPr>
            <w:tcW w:w="1134" w:type="dxa"/>
            <w:tcBorders>
              <w:top w:val="single" w:sz="4" w:space="0" w:color="000000"/>
              <w:left w:val="single" w:sz="4" w:space="0" w:color="000000"/>
              <w:bottom w:val="single" w:sz="4" w:space="0" w:color="000000"/>
              <w:right w:val="single" w:sz="4" w:space="0" w:color="000000"/>
            </w:tcBorders>
          </w:tcPr>
          <w:p w14:paraId="6AF172CF" w14:textId="77777777" w:rsidR="005F1859" w:rsidRPr="0039170E" w:rsidRDefault="005F1859" w:rsidP="00EF5C9A">
            <w:pPr>
              <w:jc w:val="center"/>
              <w:rPr>
                <w:rFonts w:cs="Arial"/>
                <w:bCs/>
              </w:rPr>
            </w:pPr>
            <w:r w:rsidRPr="0039170E">
              <w:rPr>
                <w:rFonts w:cs="Arial"/>
                <w:bCs/>
              </w:rPr>
              <w:t>(2.</w:t>
            </w:r>
            <w:r>
              <w:rPr>
                <w:rFonts w:cs="Arial"/>
                <w:bCs/>
              </w:rPr>
              <w:t>3</w:t>
            </w:r>
            <w:r w:rsidRPr="0039170E">
              <w:rPr>
                <w:rFonts w:cs="Arial"/>
                <w:bCs/>
              </w:rPr>
              <w:t>)</w:t>
            </w:r>
          </w:p>
        </w:tc>
        <w:tc>
          <w:tcPr>
            <w:tcW w:w="1276" w:type="dxa"/>
            <w:tcBorders>
              <w:top w:val="single" w:sz="4" w:space="0" w:color="000000"/>
              <w:left w:val="single" w:sz="4" w:space="0" w:color="000000"/>
              <w:bottom w:val="single" w:sz="4" w:space="0" w:color="000000"/>
              <w:right w:val="single" w:sz="4" w:space="0" w:color="000000"/>
            </w:tcBorders>
          </w:tcPr>
          <w:p w14:paraId="4BCE57A6" w14:textId="77777777" w:rsidR="005F1859" w:rsidRPr="0039170E" w:rsidRDefault="005F1859" w:rsidP="00EF5C9A">
            <w:pPr>
              <w:jc w:val="center"/>
              <w:rPr>
                <w:rFonts w:cs="Arial"/>
                <w:bCs/>
              </w:rPr>
            </w:pPr>
            <w:r w:rsidRPr="0039170E">
              <w:rPr>
                <w:rFonts w:cs="Arial"/>
                <w:bCs/>
              </w:rPr>
              <w:t>(2.</w:t>
            </w:r>
            <w:r>
              <w:rPr>
                <w:rFonts w:cs="Arial"/>
                <w:bCs/>
              </w:rPr>
              <w:t>3</w:t>
            </w:r>
            <w:r w:rsidRPr="0039170E">
              <w:rPr>
                <w:rFonts w:cs="Arial"/>
                <w:bCs/>
              </w:rPr>
              <w:t>)</w:t>
            </w:r>
          </w:p>
        </w:tc>
        <w:tc>
          <w:tcPr>
            <w:tcW w:w="996" w:type="dxa"/>
            <w:tcBorders>
              <w:top w:val="single" w:sz="4" w:space="0" w:color="000000"/>
              <w:left w:val="single" w:sz="4" w:space="0" w:color="000000"/>
              <w:bottom w:val="single" w:sz="4" w:space="0" w:color="000000"/>
              <w:right w:val="single" w:sz="4" w:space="0" w:color="000000"/>
            </w:tcBorders>
          </w:tcPr>
          <w:p w14:paraId="46055D3C" w14:textId="77777777" w:rsidR="005F1859" w:rsidRPr="0039170E" w:rsidRDefault="005F1859" w:rsidP="00EF5C9A">
            <w:pPr>
              <w:jc w:val="center"/>
              <w:rPr>
                <w:rFonts w:cs="Arial"/>
                <w:bCs/>
              </w:rPr>
            </w:pPr>
            <w:r w:rsidRPr="0039170E">
              <w:rPr>
                <w:rFonts w:cs="Arial"/>
                <w:bCs/>
              </w:rPr>
              <w:t>(</w:t>
            </w:r>
            <w:r>
              <w:rPr>
                <w:rFonts w:cs="Arial"/>
                <w:bCs/>
              </w:rPr>
              <w:t>6.9</w:t>
            </w:r>
            <w:r w:rsidRPr="0039170E">
              <w:rPr>
                <w:rFonts w:cs="Arial"/>
                <w:bCs/>
              </w:rPr>
              <w:t>)</w:t>
            </w:r>
          </w:p>
        </w:tc>
      </w:tr>
      <w:tr w:rsidR="005F1859" w:rsidRPr="0039170E" w14:paraId="67C947E0"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0530641F" w14:textId="77777777" w:rsidR="005F1859" w:rsidRDefault="005F1859" w:rsidP="00EF5C9A">
            <w:pPr>
              <w:rPr>
                <w:rFonts w:cs="Arial"/>
                <w:bCs/>
              </w:rPr>
            </w:pPr>
            <w:r>
              <w:rPr>
                <w:rFonts w:cs="Arial"/>
                <w:bCs/>
              </w:rPr>
              <w:t>Medical staffing</w:t>
            </w:r>
          </w:p>
        </w:tc>
        <w:tc>
          <w:tcPr>
            <w:tcW w:w="1276" w:type="dxa"/>
            <w:tcBorders>
              <w:top w:val="single" w:sz="4" w:space="0" w:color="000000"/>
              <w:left w:val="single" w:sz="4" w:space="0" w:color="000000"/>
              <w:bottom w:val="single" w:sz="4" w:space="0" w:color="000000"/>
              <w:right w:val="single" w:sz="4" w:space="0" w:color="000000"/>
            </w:tcBorders>
          </w:tcPr>
          <w:p w14:paraId="2C7DA339" w14:textId="77777777" w:rsidR="005F1859" w:rsidRDefault="005F1859" w:rsidP="00EF5C9A">
            <w:pPr>
              <w:jc w:val="center"/>
              <w:rPr>
                <w:rFonts w:cs="Arial"/>
                <w:bCs/>
              </w:rPr>
            </w:pPr>
            <w:r>
              <w:rPr>
                <w:rFonts w:cs="Arial"/>
                <w:bCs/>
              </w:rPr>
              <w:t>(1.0)</w:t>
            </w:r>
          </w:p>
        </w:tc>
        <w:tc>
          <w:tcPr>
            <w:tcW w:w="1134" w:type="dxa"/>
            <w:tcBorders>
              <w:top w:val="single" w:sz="4" w:space="0" w:color="000000"/>
              <w:left w:val="single" w:sz="4" w:space="0" w:color="000000"/>
              <w:bottom w:val="single" w:sz="4" w:space="0" w:color="000000"/>
              <w:right w:val="single" w:sz="4" w:space="0" w:color="000000"/>
            </w:tcBorders>
          </w:tcPr>
          <w:p w14:paraId="6AEB90C1" w14:textId="77777777" w:rsidR="005F1859" w:rsidRPr="0039170E" w:rsidRDefault="005F1859" w:rsidP="00EF5C9A">
            <w:pPr>
              <w:jc w:val="center"/>
              <w:rPr>
                <w:rFonts w:cs="Arial"/>
                <w:bCs/>
              </w:rPr>
            </w:pPr>
            <w:r w:rsidRPr="0039170E">
              <w:rPr>
                <w:rFonts w:cs="Arial"/>
                <w:bCs/>
              </w:rPr>
              <w:t>(1.0)</w:t>
            </w:r>
          </w:p>
        </w:tc>
        <w:tc>
          <w:tcPr>
            <w:tcW w:w="1276" w:type="dxa"/>
            <w:tcBorders>
              <w:top w:val="single" w:sz="4" w:space="0" w:color="000000"/>
              <w:left w:val="single" w:sz="4" w:space="0" w:color="000000"/>
              <w:bottom w:val="single" w:sz="4" w:space="0" w:color="000000"/>
              <w:right w:val="single" w:sz="4" w:space="0" w:color="000000"/>
            </w:tcBorders>
          </w:tcPr>
          <w:p w14:paraId="6A1D2E27" w14:textId="77777777" w:rsidR="005F1859" w:rsidRPr="0039170E" w:rsidRDefault="005F1859" w:rsidP="00EF5C9A">
            <w:pPr>
              <w:jc w:val="center"/>
              <w:rPr>
                <w:rFonts w:cs="Arial"/>
                <w:bCs/>
              </w:rPr>
            </w:pPr>
            <w:r w:rsidRPr="0039170E">
              <w:rPr>
                <w:rFonts w:cs="Arial"/>
                <w:bCs/>
              </w:rPr>
              <w:t>(1.0)</w:t>
            </w:r>
          </w:p>
        </w:tc>
        <w:tc>
          <w:tcPr>
            <w:tcW w:w="996" w:type="dxa"/>
            <w:tcBorders>
              <w:top w:val="single" w:sz="4" w:space="0" w:color="000000"/>
              <w:left w:val="single" w:sz="4" w:space="0" w:color="000000"/>
              <w:bottom w:val="single" w:sz="4" w:space="0" w:color="000000"/>
              <w:right w:val="single" w:sz="4" w:space="0" w:color="000000"/>
            </w:tcBorders>
          </w:tcPr>
          <w:p w14:paraId="7C8079B0" w14:textId="77777777" w:rsidR="005F1859" w:rsidRPr="0039170E" w:rsidRDefault="005F1859" w:rsidP="00EF5C9A">
            <w:pPr>
              <w:jc w:val="center"/>
              <w:rPr>
                <w:rFonts w:cs="Arial"/>
                <w:bCs/>
              </w:rPr>
            </w:pPr>
            <w:r w:rsidRPr="0039170E">
              <w:rPr>
                <w:rFonts w:cs="Arial"/>
                <w:bCs/>
              </w:rPr>
              <w:t>(3.0)</w:t>
            </w:r>
          </w:p>
        </w:tc>
      </w:tr>
      <w:tr w:rsidR="005F1859" w:rsidRPr="0039170E" w14:paraId="3517AD20"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2FD74ECB" w14:textId="77777777" w:rsidR="005F1859" w:rsidRDefault="005F1859" w:rsidP="00EF5C9A">
            <w:pPr>
              <w:rPr>
                <w:rFonts w:cs="Arial"/>
                <w:bCs/>
              </w:rPr>
            </w:pPr>
            <w:r>
              <w:rPr>
                <w:rFonts w:cs="Arial"/>
                <w:bCs/>
              </w:rPr>
              <w:t>Reduced bed requirements resulting from improvement to inpatient delays and discharge</w:t>
            </w:r>
          </w:p>
        </w:tc>
        <w:tc>
          <w:tcPr>
            <w:tcW w:w="1276" w:type="dxa"/>
            <w:tcBorders>
              <w:top w:val="single" w:sz="4" w:space="0" w:color="000000"/>
              <w:left w:val="single" w:sz="4" w:space="0" w:color="000000"/>
              <w:bottom w:val="single" w:sz="4" w:space="0" w:color="000000"/>
              <w:right w:val="single" w:sz="4" w:space="0" w:color="000000"/>
            </w:tcBorders>
          </w:tcPr>
          <w:p w14:paraId="71F6833B" w14:textId="77777777" w:rsidR="005F1859" w:rsidRDefault="005F1859" w:rsidP="00EF5C9A">
            <w:pPr>
              <w:jc w:val="center"/>
              <w:rPr>
                <w:rFonts w:cs="Arial"/>
                <w:bCs/>
              </w:rPr>
            </w:pPr>
            <w:r>
              <w:rPr>
                <w:rFonts w:cs="Arial"/>
                <w:bCs/>
              </w:rPr>
              <w:t>(0.3)</w:t>
            </w:r>
          </w:p>
        </w:tc>
        <w:tc>
          <w:tcPr>
            <w:tcW w:w="1134" w:type="dxa"/>
            <w:tcBorders>
              <w:top w:val="single" w:sz="4" w:space="0" w:color="000000"/>
              <w:left w:val="single" w:sz="4" w:space="0" w:color="000000"/>
              <w:bottom w:val="single" w:sz="4" w:space="0" w:color="000000"/>
              <w:right w:val="single" w:sz="4" w:space="0" w:color="000000"/>
            </w:tcBorders>
          </w:tcPr>
          <w:p w14:paraId="19156533" w14:textId="77777777" w:rsidR="005F1859" w:rsidRPr="0039170E" w:rsidRDefault="005F1859" w:rsidP="00EF5C9A">
            <w:pPr>
              <w:jc w:val="center"/>
              <w:rPr>
                <w:rFonts w:cs="Arial"/>
                <w:bCs/>
              </w:rPr>
            </w:pPr>
            <w:r>
              <w:rPr>
                <w:rFonts w:cs="Arial"/>
                <w:bCs/>
              </w:rPr>
              <w:t>(0.9)</w:t>
            </w:r>
          </w:p>
        </w:tc>
        <w:tc>
          <w:tcPr>
            <w:tcW w:w="1276" w:type="dxa"/>
            <w:tcBorders>
              <w:top w:val="single" w:sz="4" w:space="0" w:color="000000"/>
              <w:left w:val="single" w:sz="4" w:space="0" w:color="000000"/>
              <w:bottom w:val="single" w:sz="4" w:space="0" w:color="000000"/>
              <w:right w:val="single" w:sz="4" w:space="0" w:color="000000"/>
            </w:tcBorders>
          </w:tcPr>
          <w:p w14:paraId="64D80541" w14:textId="77777777" w:rsidR="005F1859" w:rsidRPr="0039170E" w:rsidRDefault="005F1859" w:rsidP="00EF5C9A">
            <w:pPr>
              <w:jc w:val="center"/>
              <w:rPr>
                <w:rFonts w:cs="Arial"/>
                <w:bCs/>
              </w:rPr>
            </w:pPr>
            <w:r w:rsidRPr="0039170E">
              <w:rPr>
                <w:rFonts w:cs="Arial"/>
                <w:bCs/>
              </w:rPr>
              <w:t>0</w:t>
            </w:r>
          </w:p>
        </w:tc>
        <w:tc>
          <w:tcPr>
            <w:tcW w:w="996" w:type="dxa"/>
            <w:tcBorders>
              <w:top w:val="single" w:sz="4" w:space="0" w:color="000000"/>
              <w:left w:val="single" w:sz="4" w:space="0" w:color="000000"/>
              <w:bottom w:val="single" w:sz="4" w:space="0" w:color="000000"/>
              <w:right w:val="single" w:sz="4" w:space="0" w:color="000000"/>
            </w:tcBorders>
          </w:tcPr>
          <w:p w14:paraId="4E4E8380" w14:textId="77777777" w:rsidR="005F1859" w:rsidRPr="0039170E" w:rsidRDefault="005F1859" w:rsidP="00EF5C9A">
            <w:pPr>
              <w:jc w:val="center"/>
              <w:rPr>
                <w:rFonts w:cs="Arial"/>
                <w:bCs/>
              </w:rPr>
            </w:pPr>
            <w:r w:rsidRPr="0039170E">
              <w:rPr>
                <w:rFonts w:cs="Arial"/>
                <w:bCs/>
              </w:rPr>
              <w:t>(1.</w:t>
            </w:r>
            <w:r>
              <w:rPr>
                <w:rFonts w:cs="Arial"/>
                <w:bCs/>
              </w:rPr>
              <w:t>2)</w:t>
            </w:r>
          </w:p>
        </w:tc>
      </w:tr>
      <w:tr w:rsidR="005F1859" w:rsidRPr="0039170E" w14:paraId="1FB56450"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6859867B" w14:textId="77777777" w:rsidR="005F1859" w:rsidRDefault="005F1859" w:rsidP="00EF5C9A">
            <w:pPr>
              <w:rPr>
                <w:rFonts w:cs="Arial"/>
                <w:bCs/>
              </w:rPr>
            </w:pPr>
            <w:r>
              <w:rPr>
                <w:rFonts w:cs="Arial"/>
                <w:bCs/>
              </w:rPr>
              <w:t>Records digitisation I2S project</w:t>
            </w:r>
          </w:p>
        </w:tc>
        <w:tc>
          <w:tcPr>
            <w:tcW w:w="1276" w:type="dxa"/>
            <w:tcBorders>
              <w:top w:val="single" w:sz="4" w:space="0" w:color="000000"/>
              <w:left w:val="single" w:sz="4" w:space="0" w:color="000000"/>
              <w:bottom w:val="single" w:sz="4" w:space="0" w:color="000000"/>
              <w:right w:val="single" w:sz="4" w:space="0" w:color="000000"/>
            </w:tcBorders>
          </w:tcPr>
          <w:p w14:paraId="4D88FF10" w14:textId="77777777" w:rsidR="005F1859" w:rsidRDefault="005F1859" w:rsidP="00EF5C9A">
            <w:pPr>
              <w:jc w:val="center"/>
              <w:rPr>
                <w:rFonts w:cs="Arial"/>
                <w:bCs/>
              </w:rPr>
            </w:pPr>
            <w:r>
              <w:rPr>
                <w:rFonts w:cs="Arial"/>
                <w:bCs/>
              </w:rPr>
              <w:t>(0.6)</w:t>
            </w:r>
          </w:p>
        </w:tc>
        <w:tc>
          <w:tcPr>
            <w:tcW w:w="1134" w:type="dxa"/>
            <w:tcBorders>
              <w:top w:val="single" w:sz="4" w:space="0" w:color="000000"/>
              <w:left w:val="single" w:sz="4" w:space="0" w:color="000000"/>
              <w:bottom w:val="single" w:sz="4" w:space="0" w:color="000000"/>
              <w:right w:val="single" w:sz="4" w:space="0" w:color="000000"/>
            </w:tcBorders>
          </w:tcPr>
          <w:p w14:paraId="1BADF59C" w14:textId="77777777" w:rsidR="005F1859" w:rsidRPr="0039170E" w:rsidRDefault="005F1859" w:rsidP="00EF5C9A">
            <w:pPr>
              <w:jc w:val="center"/>
              <w:rPr>
                <w:rFonts w:cs="Arial"/>
                <w:bCs/>
              </w:rPr>
            </w:pPr>
            <w:r>
              <w:rPr>
                <w:rFonts w:cs="Arial"/>
                <w:bCs/>
              </w:rPr>
              <w:t>(0.3)</w:t>
            </w:r>
          </w:p>
        </w:tc>
        <w:tc>
          <w:tcPr>
            <w:tcW w:w="1276" w:type="dxa"/>
            <w:tcBorders>
              <w:top w:val="single" w:sz="4" w:space="0" w:color="000000"/>
              <w:left w:val="single" w:sz="4" w:space="0" w:color="000000"/>
              <w:bottom w:val="single" w:sz="4" w:space="0" w:color="000000"/>
              <w:right w:val="single" w:sz="4" w:space="0" w:color="000000"/>
            </w:tcBorders>
          </w:tcPr>
          <w:p w14:paraId="7BB4319E" w14:textId="77777777" w:rsidR="005F1859" w:rsidRPr="0039170E" w:rsidRDefault="005F1859" w:rsidP="00EF5C9A">
            <w:pPr>
              <w:jc w:val="center"/>
              <w:rPr>
                <w:rFonts w:cs="Arial"/>
                <w:bCs/>
              </w:rPr>
            </w:pPr>
            <w:r>
              <w:rPr>
                <w:rFonts w:cs="Arial"/>
                <w:bCs/>
              </w:rPr>
              <w:t>(0.1)</w:t>
            </w:r>
          </w:p>
        </w:tc>
        <w:tc>
          <w:tcPr>
            <w:tcW w:w="996" w:type="dxa"/>
            <w:tcBorders>
              <w:top w:val="single" w:sz="4" w:space="0" w:color="000000"/>
              <w:left w:val="single" w:sz="4" w:space="0" w:color="000000"/>
              <w:bottom w:val="single" w:sz="4" w:space="0" w:color="000000"/>
              <w:right w:val="single" w:sz="4" w:space="0" w:color="000000"/>
            </w:tcBorders>
          </w:tcPr>
          <w:p w14:paraId="4AE07355" w14:textId="77777777" w:rsidR="005F1859" w:rsidRPr="0039170E" w:rsidRDefault="005F1859" w:rsidP="00EF5C9A">
            <w:pPr>
              <w:jc w:val="center"/>
              <w:rPr>
                <w:rFonts w:cs="Arial"/>
                <w:bCs/>
              </w:rPr>
            </w:pPr>
            <w:r>
              <w:rPr>
                <w:rFonts w:cs="Arial"/>
                <w:bCs/>
              </w:rPr>
              <w:t>(1.0)</w:t>
            </w:r>
          </w:p>
        </w:tc>
      </w:tr>
      <w:tr w:rsidR="005F1859" w:rsidRPr="0039170E" w14:paraId="4068BCCF"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0CD62223" w14:textId="77777777" w:rsidR="005F1859" w:rsidRPr="00B26563" w:rsidRDefault="005F1859" w:rsidP="00EF5C9A">
            <w:pPr>
              <w:rPr>
                <w:rFonts w:cs="Arial"/>
                <w:bCs/>
              </w:rPr>
            </w:pPr>
            <w:r>
              <w:rPr>
                <w:rFonts w:cs="Arial"/>
                <w:bCs/>
              </w:rPr>
              <w:t>Overseas nurse recruitment</w:t>
            </w:r>
          </w:p>
        </w:tc>
        <w:tc>
          <w:tcPr>
            <w:tcW w:w="1276" w:type="dxa"/>
            <w:tcBorders>
              <w:top w:val="single" w:sz="4" w:space="0" w:color="000000"/>
              <w:left w:val="single" w:sz="4" w:space="0" w:color="000000"/>
              <w:bottom w:val="single" w:sz="4" w:space="0" w:color="000000"/>
              <w:right w:val="single" w:sz="4" w:space="0" w:color="000000"/>
            </w:tcBorders>
          </w:tcPr>
          <w:p w14:paraId="0DE860B9" w14:textId="77777777" w:rsidR="005F1859" w:rsidRPr="00B26563" w:rsidRDefault="005F1859" w:rsidP="00EF5C9A">
            <w:pPr>
              <w:jc w:val="center"/>
              <w:rPr>
                <w:rFonts w:cs="Arial"/>
                <w:bCs/>
              </w:rPr>
            </w:pPr>
            <w:r>
              <w:rPr>
                <w:rFonts w:cs="Arial"/>
                <w:bCs/>
              </w:rPr>
              <w:t>0</w:t>
            </w:r>
          </w:p>
        </w:tc>
        <w:tc>
          <w:tcPr>
            <w:tcW w:w="1134" w:type="dxa"/>
            <w:tcBorders>
              <w:top w:val="single" w:sz="4" w:space="0" w:color="000000"/>
              <w:left w:val="single" w:sz="4" w:space="0" w:color="000000"/>
              <w:bottom w:val="single" w:sz="4" w:space="0" w:color="000000"/>
              <w:right w:val="single" w:sz="4" w:space="0" w:color="000000"/>
            </w:tcBorders>
          </w:tcPr>
          <w:p w14:paraId="26D3620A" w14:textId="77777777" w:rsidR="005F1859" w:rsidRPr="0039170E" w:rsidRDefault="005F1859" w:rsidP="00EF5C9A">
            <w:pPr>
              <w:jc w:val="center"/>
              <w:rPr>
                <w:rFonts w:cs="Arial"/>
                <w:bCs/>
              </w:rPr>
            </w:pPr>
            <w:r w:rsidRPr="0039170E">
              <w:rPr>
                <w:rFonts w:cs="Arial"/>
                <w:bCs/>
              </w:rPr>
              <w:t>(2.2)</w:t>
            </w:r>
          </w:p>
        </w:tc>
        <w:tc>
          <w:tcPr>
            <w:tcW w:w="1276" w:type="dxa"/>
            <w:tcBorders>
              <w:top w:val="single" w:sz="4" w:space="0" w:color="000000"/>
              <w:left w:val="single" w:sz="4" w:space="0" w:color="000000"/>
              <w:bottom w:val="single" w:sz="4" w:space="0" w:color="000000"/>
              <w:right w:val="single" w:sz="4" w:space="0" w:color="000000"/>
            </w:tcBorders>
          </w:tcPr>
          <w:p w14:paraId="1664E264" w14:textId="77777777" w:rsidR="005F1859" w:rsidRPr="0039170E" w:rsidRDefault="005F1859" w:rsidP="00EF5C9A">
            <w:pPr>
              <w:jc w:val="center"/>
              <w:rPr>
                <w:rFonts w:cs="Arial"/>
                <w:bCs/>
              </w:rPr>
            </w:pPr>
            <w:r w:rsidRPr="0039170E">
              <w:rPr>
                <w:rFonts w:cs="Arial"/>
                <w:bCs/>
              </w:rPr>
              <w:t>0</w:t>
            </w:r>
          </w:p>
        </w:tc>
        <w:tc>
          <w:tcPr>
            <w:tcW w:w="996" w:type="dxa"/>
            <w:tcBorders>
              <w:top w:val="single" w:sz="4" w:space="0" w:color="000000"/>
              <w:left w:val="single" w:sz="4" w:space="0" w:color="000000"/>
              <w:bottom w:val="single" w:sz="4" w:space="0" w:color="000000"/>
              <w:right w:val="single" w:sz="4" w:space="0" w:color="000000"/>
            </w:tcBorders>
          </w:tcPr>
          <w:p w14:paraId="374DD81E" w14:textId="77777777" w:rsidR="005F1859" w:rsidRPr="0039170E" w:rsidRDefault="005F1859" w:rsidP="00EF5C9A">
            <w:pPr>
              <w:jc w:val="center"/>
              <w:rPr>
                <w:rFonts w:cs="Arial"/>
                <w:bCs/>
              </w:rPr>
            </w:pPr>
            <w:r w:rsidRPr="0039170E">
              <w:rPr>
                <w:rFonts w:cs="Arial"/>
                <w:bCs/>
              </w:rPr>
              <w:t>(2.2)</w:t>
            </w:r>
          </w:p>
        </w:tc>
      </w:tr>
      <w:tr w:rsidR="005F1859" w:rsidRPr="0039170E" w14:paraId="4A4D317D"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0D2016BC" w14:textId="77777777" w:rsidR="005F1859" w:rsidRDefault="005F1859" w:rsidP="00EF5C9A">
            <w:pPr>
              <w:rPr>
                <w:rFonts w:cs="Arial"/>
                <w:bCs/>
              </w:rPr>
            </w:pPr>
            <w:r>
              <w:rPr>
                <w:rFonts w:cs="Arial"/>
                <w:bCs/>
              </w:rPr>
              <w:t>Other strategic savings schemes including reconfiguration , redesign and pathways</w:t>
            </w:r>
          </w:p>
        </w:tc>
        <w:tc>
          <w:tcPr>
            <w:tcW w:w="1276" w:type="dxa"/>
            <w:tcBorders>
              <w:top w:val="single" w:sz="4" w:space="0" w:color="000000"/>
              <w:left w:val="single" w:sz="4" w:space="0" w:color="000000"/>
              <w:bottom w:val="single" w:sz="4" w:space="0" w:color="000000"/>
              <w:right w:val="single" w:sz="4" w:space="0" w:color="000000"/>
            </w:tcBorders>
          </w:tcPr>
          <w:p w14:paraId="2314F35B" w14:textId="77777777" w:rsidR="005F1859" w:rsidRDefault="005F1859" w:rsidP="00EF5C9A">
            <w:pPr>
              <w:jc w:val="center"/>
              <w:rPr>
                <w:rFonts w:cs="Arial"/>
                <w:bCs/>
              </w:rPr>
            </w:pPr>
            <w:r>
              <w:rPr>
                <w:rFonts w:cs="Arial"/>
                <w:bCs/>
              </w:rPr>
              <w:t>(0.7)</w:t>
            </w:r>
          </w:p>
        </w:tc>
        <w:tc>
          <w:tcPr>
            <w:tcW w:w="1134" w:type="dxa"/>
            <w:tcBorders>
              <w:top w:val="single" w:sz="4" w:space="0" w:color="000000"/>
              <w:left w:val="single" w:sz="4" w:space="0" w:color="000000"/>
              <w:bottom w:val="single" w:sz="4" w:space="0" w:color="000000"/>
              <w:right w:val="single" w:sz="4" w:space="0" w:color="000000"/>
            </w:tcBorders>
          </w:tcPr>
          <w:p w14:paraId="75C8A15A" w14:textId="77777777" w:rsidR="005F1859" w:rsidRPr="0039170E" w:rsidRDefault="005F1859" w:rsidP="00EF5C9A">
            <w:pPr>
              <w:jc w:val="center"/>
              <w:rPr>
                <w:rFonts w:cs="Arial"/>
                <w:bCs/>
              </w:rPr>
            </w:pPr>
            <w:r w:rsidRPr="0039170E">
              <w:rPr>
                <w:rFonts w:cs="Arial"/>
                <w:bCs/>
              </w:rPr>
              <w:t>(</w:t>
            </w:r>
            <w:r>
              <w:rPr>
                <w:rFonts w:cs="Arial"/>
                <w:bCs/>
              </w:rPr>
              <w:t>2.3</w:t>
            </w:r>
            <w:r w:rsidRPr="0039170E">
              <w:rPr>
                <w:rFonts w:cs="Arial"/>
                <w:bCs/>
              </w:rPr>
              <w:t>)</w:t>
            </w:r>
          </w:p>
        </w:tc>
        <w:tc>
          <w:tcPr>
            <w:tcW w:w="1276" w:type="dxa"/>
            <w:tcBorders>
              <w:top w:val="single" w:sz="4" w:space="0" w:color="000000"/>
              <w:left w:val="single" w:sz="4" w:space="0" w:color="000000"/>
              <w:bottom w:val="single" w:sz="4" w:space="0" w:color="000000"/>
              <w:right w:val="single" w:sz="4" w:space="0" w:color="000000"/>
            </w:tcBorders>
          </w:tcPr>
          <w:p w14:paraId="2CE2FBD9" w14:textId="77777777" w:rsidR="005F1859" w:rsidRPr="0039170E" w:rsidRDefault="005F1859" w:rsidP="00EF5C9A">
            <w:pPr>
              <w:jc w:val="center"/>
              <w:rPr>
                <w:rFonts w:cs="Arial"/>
                <w:bCs/>
              </w:rPr>
            </w:pPr>
            <w:r w:rsidRPr="0039170E">
              <w:rPr>
                <w:rFonts w:cs="Arial"/>
                <w:bCs/>
              </w:rPr>
              <w:t>(</w:t>
            </w:r>
            <w:r>
              <w:rPr>
                <w:rFonts w:cs="Arial"/>
                <w:bCs/>
              </w:rPr>
              <w:t>3.6</w:t>
            </w:r>
            <w:r w:rsidRPr="0039170E">
              <w:rPr>
                <w:rFonts w:cs="Arial"/>
                <w:bCs/>
              </w:rPr>
              <w:t>)</w:t>
            </w:r>
          </w:p>
        </w:tc>
        <w:tc>
          <w:tcPr>
            <w:tcW w:w="996" w:type="dxa"/>
            <w:tcBorders>
              <w:top w:val="single" w:sz="4" w:space="0" w:color="000000"/>
              <w:left w:val="single" w:sz="4" w:space="0" w:color="000000"/>
              <w:bottom w:val="single" w:sz="4" w:space="0" w:color="000000"/>
              <w:right w:val="single" w:sz="4" w:space="0" w:color="000000"/>
            </w:tcBorders>
          </w:tcPr>
          <w:p w14:paraId="1AE47AF1" w14:textId="77777777" w:rsidR="005F1859" w:rsidRPr="0039170E" w:rsidRDefault="005F1859" w:rsidP="00EF5C9A">
            <w:pPr>
              <w:jc w:val="center"/>
              <w:rPr>
                <w:rFonts w:cs="Arial"/>
                <w:bCs/>
              </w:rPr>
            </w:pPr>
            <w:r w:rsidRPr="0039170E">
              <w:rPr>
                <w:rFonts w:cs="Arial"/>
                <w:bCs/>
              </w:rPr>
              <w:t>(</w:t>
            </w:r>
            <w:r>
              <w:rPr>
                <w:rFonts w:cs="Arial"/>
                <w:bCs/>
              </w:rPr>
              <w:t>6.6</w:t>
            </w:r>
            <w:r w:rsidRPr="0039170E">
              <w:rPr>
                <w:rFonts w:cs="Arial"/>
                <w:bCs/>
              </w:rPr>
              <w:t>)</w:t>
            </w:r>
          </w:p>
        </w:tc>
      </w:tr>
      <w:tr w:rsidR="005F1859" w:rsidRPr="0039170E" w14:paraId="2B1901BE"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0E705C42" w14:textId="77777777" w:rsidR="005F1859" w:rsidRPr="0039170E" w:rsidRDefault="005F1859" w:rsidP="00EF5C9A">
            <w:pPr>
              <w:rPr>
                <w:rFonts w:cs="Arial"/>
                <w:b/>
                <w:bCs/>
              </w:rPr>
            </w:pPr>
            <w:r>
              <w:rPr>
                <w:rFonts w:cs="Arial"/>
                <w:b/>
                <w:bCs/>
              </w:rPr>
              <w:t>Total recurring savings</w:t>
            </w:r>
          </w:p>
        </w:tc>
        <w:tc>
          <w:tcPr>
            <w:tcW w:w="1276" w:type="dxa"/>
            <w:tcBorders>
              <w:top w:val="single" w:sz="4" w:space="0" w:color="000000"/>
              <w:left w:val="single" w:sz="4" w:space="0" w:color="000000"/>
              <w:bottom w:val="single" w:sz="4" w:space="0" w:color="000000"/>
              <w:right w:val="single" w:sz="4" w:space="0" w:color="000000"/>
            </w:tcBorders>
          </w:tcPr>
          <w:p w14:paraId="07900D46" w14:textId="77777777" w:rsidR="005F1859" w:rsidRPr="0039170E" w:rsidRDefault="005F1859" w:rsidP="00EF5C9A">
            <w:pPr>
              <w:jc w:val="center"/>
              <w:rPr>
                <w:rFonts w:cs="Arial"/>
                <w:b/>
                <w:bCs/>
              </w:rPr>
            </w:pPr>
            <w:r>
              <w:rPr>
                <w:rFonts w:cs="Arial"/>
                <w:b/>
                <w:bCs/>
              </w:rPr>
              <w:t>(20.6)</w:t>
            </w:r>
          </w:p>
        </w:tc>
        <w:tc>
          <w:tcPr>
            <w:tcW w:w="1134" w:type="dxa"/>
            <w:tcBorders>
              <w:top w:val="single" w:sz="4" w:space="0" w:color="000000"/>
              <w:left w:val="single" w:sz="4" w:space="0" w:color="000000"/>
              <w:bottom w:val="single" w:sz="4" w:space="0" w:color="000000"/>
              <w:right w:val="single" w:sz="4" w:space="0" w:color="000000"/>
            </w:tcBorders>
          </w:tcPr>
          <w:p w14:paraId="3C59D9DF" w14:textId="77777777" w:rsidR="005F1859" w:rsidRPr="0039170E" w:rsidRDefault="005F1859" w:rsidP="00EF5C9A">
            <w:pPr>
              <w:jc w:val="center"/>
              <w:rPr>
                <w:rFonts w:cs="Arial"/>
                <w:b/>
                <w:bCs/>
              </w:rPr>
            </w:pPr>
            <w:r>
              <w:rPr>
                <w:rFonts w:cs="Arial"/>
                <w:b/>
                <w:bCs/>
              </w:rPr>
              <w:t>(23.1)</w:t>
            </w:r>
          </w:p>
        </w:tc>
        <w:tc>
          <w:tcPr>
            <w:tcW w:w="1276" w:type="dxa"/>
            <w:tcBorders>
              <w:top w:val="single" w:sz="4" w:space="0" w:color="000000"/>
              <w:left w:val="single" w:sz="4" w:space="0" w:color="000000"/>
              <w:bottom w:val="single" w:sz="4" w:space="0" w:color="000000"/>
              <w:right w:val="single" w:sz="4" w:space="0" w:color="000000"/>
            </w:tcBorders>
          </w:tcPr>
          <w:p w14:paraId="5E0816A1" w14:textId="77777777" w:rsidR="005F1859" w:rsidRPr="0039170E" w:rsidRDefault="005F1859" w:rsidP="00EF5C9A">
            <w:pPr>
              <w:jc w:val="center"/>
              <w:rPr>
                <w:rFonts w:cs="Arial"/>
                <w:b/>
                <w:bCs/>
              </w:rPr>
            </w:pPr>
            <w:r>
              <w:rPr>
                <w:rFonts w:cs="Arial"/>
                <w:b/>
                <w:bCs/>
              </w:rPr>
              <w:t>(19.5)</w:t>
            </w:r>
          </w:p>
        </w:tc>
        <w:tc>
          <w:tcPr>
            <w:tcW w:w="996" w:type="dxa"/>
            <w:tcBorders>
              <w:top w:val="single" w:sz="4" w:space="0" w:color="000000"/>
              <w:left w:val="single" w:sz="4" w:space="0" w:color="000000"/>
              <w:bottom w:val="single" w:sz="4" w:space="0" w:color="000000"/>
              <w:right w:val="single" w:sz="4" w:space="0" w:color="000000"/>
            </w:tcBorders>
          </w:tcPr>
          <w:p w14:paraId="7758F76D" w14:textId="77777777" w:rsidR="005F1859" w:rsidRPr="0039170E" w:rsidRDefault="005F1859" w:rsidP="00EF5C9A">
            <w:pPr>
              <w:jc w:val="center"/>
              <w:rPr>
                <w:rFonts w:cs="Arial"/>
                <w:b/>
                <w:bCs/>
              </w:rPr>
            </w:pPr>
            <w:r>
              <w:rPr>
                <w:rFonts w:cs="Arial"/>
                <w:b/>
                <w:bCs/>
              </w:rPr>
              <w:t>(63.2)</w:t>
            </w:r>
          </w:p>
        </w:tc>
      </w:tr>
      <w:tr w:rsidR="005F1859" w:rsidRPr="0039170E" w14:paraId="498D4341"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79649449" w14:textId="77777777" w:rsidR="005F1859" w:rsidRDefault="005F1859" w:rsidP="00EF5C9A">
            <w:pPr>
              <w:rPr>
                <w:rFonts w:cs="Arial"/>
                <w:bCs/>
              </w:rPr>
            </w:pPr>
            <w:r>
              <w:rPr>
                <w:rFonts w:cs="Arial"/>
                <w:bCs/>
              </w:rPr>
              <w:t>Non recurring contingency</w:t>
            </w:r>
          </w:p>
        </w:tc>
        <w:tc>
          <w:tcPr>
            <w:tcW w:w="1276" w:type="dxa"/>
            <w:tcBorders>
              <w:top w:val="single" w:sz="4" w:space="0" w:color="000000"/>
              <w:left w:val="single" w:sz="4" w:space="0" w:color="000000"/>
              <w:bottom w:val="single" w:sz="4" w:space="0" w:color="000000"/>
              <w:right w:val="single" w:sz="4" w:space="0" w:color="000000"/>
            </w:tcBorders>
          </w:tcPr>
          <w:p w14:paraId="2299B28D" w14:textId="77777777" w:rsidR="005F1859" w:rsidRDefault="005F1859" w:rsidP="00EF5C9A">
            <w:pPr>
              <w:jc w:val="center"/>
              <w:rPr>
                <w:rFonts w:cs="Arial"/>
                <w:bCs/>
              </w:rPr>
            </w:pPr>
            <w:r>
              <w:rPr>
                <w:rFonts w:cs="Arial"/>
                <w:bCs/>
              </w:rPr>
              <w:t>0</w:t>
            </w:r>
          </w:p>
        </w:tc>
        <w:tc>
          <w:tcPr>
            <w:tcW w:w="1134" w:type="dxa"/>
            <w:tcBorders>
              <w:top w:val="single" w:sz="4" w:space="0" w:color="000000"/>
              <w:left w:val="single" w:sz="4" w:space="0" w:color="000000"/>
              <w:bottom w:val="single" w:sz="4" w:space="0" w:color="000000"/>
              <w:right w:val="single" w:sz="4" w:space="0" w:color="000000"/>
            </w:tcBorders>
          </w:tcPr>
          <w:p w14:paraId="7D6392C7" w14:textId="77777777" w:rsidR="005F1859" w:rsidRPr="0039170E" w:rsidRDefault="005F1859" w:rsidP="00EF5C9A">
            <w:pPr>
              <w:jc w:val="center"/>
              <w:rPr>
                <w:rFonts w:cs="Arial"/>
                <w:bCs/>
              </w:rPr>
            </w:pPr>
            <w:r>
              <w:rPr>
                <w:rFonts w:cs="Arial"/>
                <w:bCs/>
              </w:rPr>
              <w:t>0</w:t>
            </w:r>
          </w:p>
        </w:tc>
        <w:tc>
          <w:tcPr>
            <w:tcW w:w="1276" w:type="dxa"/>
            <w:tcBorders>
              <w:top w:val="single" w:sz="4" w:space="0" w:color="000000"/>
              <w:left w:val="single" w:sz="4" w:space="0" w:color="000000"/>
              <w:bottom w:val="single" w:sz="4" w:space="0" w:color="000000"/>
              <w:right w:val="single" w:sz="4" w:space="0" w:color="000000"/>
            </w:tcBorders>
          </w:tcPr>
          <w:p w14:paraId="7002C80A" w14:textId="77777777" w:rsidR="005F1859" w:rsidRPr="0039170E" w:rsidRDefault="005F1859" w:rsidP="00EF5C9A">
            <w:pPr>
              <w:jc w:val="center"/>
              <w:rPr>
                <w:rFonts w:cs="Arial"/>
                <w:bCs/>
              </w:rPr>
            </w:pPr>
            <w:r>
              <w:rPr>
                <w:rFonts w:cs="Arial"/>
                <w:bCs/>
              </w:rPr>
              <w:t>0</w:t>
            </w:r>
          </w:p>
        </w:tc>
        <w:tc>
          <w:tcPr>
            <w:tcW w:w="996" w:type="dxa"/>
            <w:tcBorders>
              <w:top w:val="single" w:sz="4" w:space="0" w:color="000000"/>
              <w:left w:val="single" w:sz="4" w:space="0" w:color="000000"/>
              <w:bottom w:val="single" w:sz="4" w:space="0" w:color="000000"/>
              <w:right w:val="single" w:sz="4" w:space="0" w:color="000000"/>
            </w:tcBorders>
          </w:tcPr>
          <w:p w14:paraId="35C10944" w14:textId="77777777" w:rsidR="005F1859" w:rsidRPr="0039170E" w:rsidRDefault="005F1859" w:rsidP="00EF5C9A">
            <w:pPr>
              <w:jc w:val="center"/>
              <w:rPr>
                <w:rFonts w:cs="Arial"/>
                <w:bCs/>
              </w:rPr>
            </w:pPr>
            <w:r>
              <w:rPr>
                <w:rFonts w:cs="Arial"/>
                <w:bCs/>
              </w:rPr>
              <w:t>0</w:t>
            </w:r>
          </w:p>
        </w:tc>
      </w:tr>
      <w:tr w:rsidR="005F1859" w:rsidRPr="0039170E" w14:paraId="692CA37D"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4B59EE61" w14:textId="77777777" w:rsidR="005F1859" w:rsidRPr="0039170E" w:rsidRDefault="005F1859" w:rsidP="00EF5C9A">
            <w:pPr>
              <w:rPr>
                <w:rFonts w:cs="Arial"/>
                <w:b/>
                <w:bCs/>
              </w:rPr>
            </w:pPr>
            <w:r w:rsidRPr="0039170E">
              <w:rPr>
                <w:rFonts w:cs="Arial"/>
                <w:b/>
                <w:bCs/>
              </w:rPr>
              <w:t>Total</w:t>
            </w:r>
          </w:p>
        </w:tc>
        <w:tc>
          <w:tcPr>
            <w:tcW w:w="1276" w:type="dxa"/>
            <w:tcBorders>
              <w:top w:val="single" w:sz="4" w:space="0" w:color="000000"/>
              <w:left w:val="single" w:sz="4" w:space="0" w:color="000000"/>
              <w:bottom w:val="single" w:sz="4" w:space="0" w:color="000000"/>
              <w:right w:val="single" w:sz="4" w:space="0" w:color="000000"/>
            </w:tcBorders>
          </w:tcPr>
          <w:p w14:paraId="541AC9F1" w14:textId="77777777" w:rsidR="005F1859" w:rsidRPr="0039170E" w:rsidRDefault="005F1859" w:rsidP="00EF5C9A">
            <w:pPr>
              <w:jc w:val="center"/>
              <w:rPr>
                <w:rFonts w:cs="Arial"/>
                <w:b/>
                <w:bCs/>
              </w:rPr>
            </w:pPr>
            <w:r>
              <w:rPr>
                <w:rFonts w:cs="Arial"/>
                <w:b/>
                <w:bCs/>
              </w:rPr>
              <w:t>(20.6)</w:t>
            </w:r>
          </w:p>
        </w:tc>
        <w:tc>
          <w:tcPr>
            <w:tcW w:w="1134" w:type="dxa"/>
            <w:tcBorders>
              <w:top w:val="single" w:sz="4" w:space="0" w:color="000000"/>
              <w:left w:val="single" w:sz="4" w:space="0" w:color="000000"/>
              <w:bottom w:val="single" w:sz="4" w:space="0" w:color="000000"/>
              <w:right w:val="single" w:sz="4" w:space="0" w:color="000000"/>
            </w:tcBorders>
          </w:tcPr>
          <w:p w14:paraId="22C20010" w14:textId="77777777" w:rsidR="005F1859" w:rsidRPr="0039170E" w:rsidRDefault="005F1859" w:rsidP="00EF5C9A">
            <w:pPr>
              <w:jc w:val="center"/>
              <w:rPr>
                <w:rFonts w:cs="Arial"/>
                <w:b/>
                <w:bCs/>
              </w:rPr>
            </w:pPr>
            <w:r>
              <w:rPr>
                <w:rFonts w:cs="Arial"/>
                <w:b/>
                <w:bCs/>
              </w:rPr>
              <w:t>(23.1)</w:t>
            </w:r>
          </w:p>
        </w:tc>
        <w:tc>
          <w:tcPr>
            <w:tcW w:w="1276" w:type="dxa"/>
            <w:tcBorders>
              <w:top w:val="single" w:sz="4" w:space="0" w:color="000000"/>
              <w:left w:val="single" w:sz="4" w:space="0" w:color="000000"/>
              <w:bottom w:val="single" w:sz="4" w:space="0" w:color="000000"/>
              <w:right w:val="single" w:sz="4" w:space="0" w:color="000000"/>
            </w:tcBorders>
          </w:tcPr>
          <w:p w14:paraId="078933AB" w14:textId="77777777" w:rsidR="005F1859" w:rsidRPr="0039170E" w:rsidRDefault="005F1859" w:rsidP="00EF5C9A">
            <w:pPr>
              <w:jc w:val="center"/>
              <w:rPr>
                <w:rFonts w:cs="Arial"/>
                <w:b/>
                <w:bCs/>
              </w:rPr>
            </w:pPr>
            <w:r>
              <w:rPr>
                <w:rFonts w:cs="Arial"/>
                <w:b/>
                <w:bCs/>
              </w:rPr>
              <w:t>(19.5)</w:t>
            </w:r>
          </w:p>
        </w:tc>
        <w:tc>
          <w:tcPr>
            <w:tcW w:w="996" w:type="dxa"/>
            <w:tcBorders>
              <w:top w:val="single" w:sz="4" w:space="0" w:color="000000"/>
              <w:left w:val="single" w:sz="4" w:space="0" w:color="000000"/>
              <w:bottom w:val="single" w:sz="4" w:space="0" w:color="000000"/>
              <w:right w:val="single" w:sz="4" w:space="0" w:color="000000"/>
            </w:tcBorders>
          </w:tcPr>
          <w:p w14:paraId="358FD008" w14:textId="77777777" w:rsidR="005F1859" w:rsidRPr="0039170E" w:rsidRDefault="005F1859" w:rsidP="00EF5C9A">
            <w:pPr>
              <w:jc w:val="center"/>
              <w:rPr>
                <w:rFonts w:cs="Arial"/>
                <w:b/>
                <w:bCs/>
              </w:rPr>
            </w:pPr>
            <w:r>
              <w:rPr>
                <w:rFonts w:cs="Arial"/>
                <w:b/>
                <w:bCs/>
              </w:rPr>
              <w:t>(63.2)</w:t>
            </w:r>
          </w:p>
        </w:tc>
      </w:tr>
      <w:tr w:rsidR="005F1859" w:rsidRPr="0039170E" w14:paraId="1C5C6501"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7088D16B" w14:textId="77777777" w:rsidR="005F1859" w:rsidRPr="00B26563" w:rsidRDefault="005F1859" w:rsidP="00EF5C9A">
            <w:pPr>
              <w:rPr>
                <w:rFonts w:cs="Arial"/>
                <w:bCs/>
              </w:rPr>
            </w:pPr>
            <w:r>
              <w:rPr>
                <w:rFonts w:cs="Arial"/>
                <w:bCs/>
              </w:rPr>
              <w:t>Recurrent cost release resulting from transformation investment</w:t>
            </w:r>
          </w:p>
        </w:tc>
        <w:tc>
          <w:tcPr>
            <w:tcW w:w="1276" w:type="dxa"/>
            <w:tcBorders>
              <w:top w:val="single" w:sz="4" w:space="0" w:color="000000"/>
              <w:left w:val="single" w:sz="4" w:space="0" w:color="000000"/>
              <w:bottom w:val="single" w:sz="4" w:space="0" w:color="000000"/>
              <w:right w:val="single" w:sz="4" w:space="0" w:color="000000"/>
            </w:tcBorders>
          </w:tcPr>
          <w:p w14:paraId="4BD6DBFF" w14:textId="77777777" w:rsidR="005F1859" w:rsidRPr="00B26563" w:rsidRDefault="005F1859" w:rsidP="00EF5C9A">
            <w:pPr>
              <w:jc w:val="center"/>
              <w:rPr>
                <w:rFonts w:cs="Arial"/>
                <w:bCs/>
              </w:rPr>
            </w:pPr>
            <w:r>
              <w:rPr>
                <w:rFonts w:cs="Arial"/>
                <w:bCs/>
              </w:rPr>
              <w:t>0</w:t>
            </w:r>
          </w:p>
        </w:tc>
        <w:tc>
          <w:tcPr>
            <w:tcW w:w="1134" w:type="dxa"/>
            <w:tcBorders>
              <w:top w:val="single" w:sz="4" w:space="0" w:color="000000"/>
              <w:left w:val="single" w:sz="4" w:space="0" w:color="000000"/>
              <w:bottom w:val="single" w:sz="4" w:space="0" w:color="000000"/>
              <w:right w:val="single" w:sz="4" w:space="0" w:color="000000"/>
            </w:tcBorders>
          </w:tcPr>
          <w:p w14:paraId="0CC2B5A8" w14:textId="77777777" w:rsidR="005F1859" w:rsidRPr="0039170E" w:rsidRDefault="005F1859" w:rsidP="00EF5C9A">
            <w:pPr>
              <w:jc w:val="center"/>
              <w:rPr>
                <w:rFonts w:cs="Arial"/>
                <w:bCs/>
              </w:rPr>
            </w:pPr>
            <w:r w:rsidRPr="0039170E">
              <w:rPr>
                <w:rFonts w:cs="Arial"/>
                <w:bCs/>
              </w:rPr>
              <w:t>(6.2)</w:t>
            </w:r>
          </w:p>
        </w:tc>
        <w:tc>
          <w:tcPr>
            <w:tcW w:w="1276" w:type="dxa"/>
            <w:tcBorders>
              <w:top w:val="single" w:sz="4" w:space="0" w:color="000000"/>
              <w:left w:val="single" w:sz="4" w:space="0" w:color="000000"/>
              <w:bottom w:val="single" w:sz="4" w:space="0" w:color="000000"/>
              <w:right w:val="single" w:sz="4" w:space="0" w:color="000000"/>
            </w:tcBorders>
          </w:tcPr>
          <w:p w14:paraId="24BFB6B7" w14:textId="77777777" w:rsidR="005F1859" w:rsidRPr="0039170E" w:rsidRDefault="005F1859" w:rsidP="00EF5C9A">
            <w:pPr>
              <w:jc w:val="center"/>
              <w:rPr>
                <w:rFonts w:cs="Arial"/>
                <w:bCs/>
              </w:rPr>
            </w:pPr>
            <w:r w:rsidRPr="0039170E">
              <w:rPr>
                <w:rFonts w:cs="Arial"/>
                <w:bCs/>
              </w:rPr>
              <w:t>0</w:t>
            </w:r>
          </w:p>
        </w:tc>
        <w:tc>
          <w:tcPr>
            <w:tcW w:w="996" w:type="dxa"/>
            <w:tcBorders>
              <w:top w:val="single" w:sz="4" w:space="0" w:color="000000"/>
              <w:left w:val="single" w:sz="4" w:space="0" w:color="000000"/>
              <w:bottom w:val="single" w:sz="4" w:space="0" w:color="000000"/>
              <w:right w:val="single" w:sz="4" w:space="0" w:color="000000"/>
            </w:tcBorders>
          </w:tcPr>
          <w:p w14:paraId="69D1454C" w14:textId="77777777" w:rsidR="005F1859" w:rsidRPr="0039170E" w:rsidRDefault="005F1859" w:rsidP="00EF5C9A">
            <w:pPr>
              <w:jc w:val="center"/>
              <w:rPr>
                <w:rFonts w:cs="Arial"/>
                <w:bCs/>
              </w:rPr>
            </w:pPr>
            <w:r w:rsidRPr="0039170E">
              <w:rPr>
                <w:rFonts w:cs="Arial"/>
                <w:bCs/>
              </w:rPr>
              <w:t>(6.2)</w:t>
            </w:r>
          </w:p>
        </w:tc>
      </w:tr>
      <w:tr w:rsidR="005F1859" w:rsidRPr="002A1D42" w14:paraId="0DB90FF9" w14:textId="77777777" w:rsidTr="00EF5C9A">
        <w:trPr>
          <w:trHeight w:val="270"/>
          <w:jc w:val="center"/>
        </w:trPr>
        <w:tc>
          <w:tcPr>
            <w:tcW w:w="3539" w:type="dxa"/>
            <w:tcBorders>
              <w:top w:val="single" w:sz="4" w:space="0" w:color="000000"/>
              <w:left w:val="single" w:sz="4" w:space="0" w:color="000000"/>
              <w:bottom w:val="single" w:sz="4" w:space="0" w:color="000000"/>
              <w:right w:val="single" w:sz="4" w:space="0" w:color="000000"/>
            </w:tcBorders>
            <w:hideMark/>
          </w:tcPr>
          <w:p w14:paraId="1F9B9C86" w14:textId="77777777" w:rsidR="005F1859" w:rsidRPr="002A1D42" w:rsidRDefault="005F1859" w:rsidP="00EF5C9A">
            <w:pPr>
              <w:rPr>
                <w:rFonts w:cs="Arial"/>
                <w:b/>
                <w:bCs/>
              </w:rPr>
            </w:pPr>
            <w:r>
              <w:rPr>
                <w:rFonts w:cs="Arial"/>
                <w:b/>
                <w:bCs/>
              </w:rPr>
              <w:t>Grand T</w:t>
            </w:r>
            <w:r w:rsidRPr="002A1D42">
              <w:rPr>
                <w:rFonts w:cs="Arial"/>
                <w:b/>
                <w:bCs/>
              </w:rPr>
              <w:t xml:space="preserve">otal </w:t>
            </w:r>
          </w:p>
        </w:tc>
        <w:tc>
          <w:tcPr>
            <w:tcW w:w="1276" w:type="dxa"/>
            <w:tcBorders>
              <w:top w:val="single" w:sz="4" w:space="0" w:color="000000"/>
              <w:left w:val="single" w:sz="4" w:space="0" w:color="000000"/>
              <w:bottom w:val="single" w:sz="4" w:space="0" w:color="000000"/>
              <w:right w:val="single" w:sz="4" w:space="0" w:color="000000"/>
            </w:tcBorders>
            <w:hideMark/>
          </w:tcPr>
          <w:p w14:paraId="2FD08D42" w14:textId="77777777" w:rsidR="005F1859" w:rsidRPr="002A1D42" w:rsidRDefault="005F1859" w:rsidP="00EF5C9A">
            <w:pPr>
              <w:jc w:val="center"/>
              <w:rPr>
                <w:rFonts w:cs="Arial"/>
                <w:b/>
                <w:bCs/>
              </w:rPr>
            </w:pPr>
            <w:r w:rsidRPr="002A1D42">
              <w:rPr>
                <w:rFonts w:cs="Arial"/>
                <w:b/>
                <w:bCs/>
              </w:rPr>
              <w:t>(</w:t>
            </w:r>
            <w:r>
              <w:rPr>
                <w:rFonts w:cs="Arial"/>
                <w:b/>
                <w:bCs/>
              </w:rPr>
              <w:t>20.6)</w:t>
            </w:r>
          </w:p>
        </w:tc>
        <w:tc>
          <w:tcPr>
            <w:tcW w:w="1134" w:type="dxa"/>
            <w:tcBorders>
              <w:top w:val="single" w:sz="4" w:space="0" w:color="000000"/>
              <w:left w:val="single" w:sz="4" w:space="0" w:color="000000"/>
              <w:bottom w:val="single" w:sz="4" w:space="0" w:color="000000"/>
              <w:right w:val="single" w:sz="4" w:space="0" w:color="000000"/>
            </w:tcBorders>
          </w:tcPr>
          <w:p w14:paraId="6EC7E8E0" w14:textId="77777777" w:rsidR="005F1859" w:rsidRPr="002A1D42" w:rsidRDefault="005F1859" w:rsidP="00EF5C9A">
            <w:pPr>
              <w:jc w:val="center"/>
              <w:rPr>
                <w:rFonts w:cs="Arial"/>
                <w:b/>
                <w:bCs/>
              </w:rPr>
            </w:pPr>
            <w:r>
              <w:rPr>
                <w:rFonts w:cs="Arial"/>
                <w:b/>
                <w:bCs/>
              </w:rPr>
              <w:t>(29.3)</w:t>
            </w:r>
          </w:p>
        </w:tc>
        <w:tc>
          <w:tcPr>
            <w:tcW w:w="1276" w:type="dxa"/>
            <w:tcBorders>
              <w:top w:val="single" w:sz="4" w:space="0" w:color="000000"/>
              <w:left w:val="single" w:sz="4" w:space="0" w:color="000000"/>
              <w:bottom w:val="single" w:sz="4" w:space="0" w:color="000000"/>
              <w:right w:val="single" w:sz="4" w:space="0" w:color="000000"/>
            </w:tcBorders>
          </w:tcPr>
          <w:p w14:paraId="063DD9A8" w14:textId="77777777" w:rsidR="005F1859" w:rsidRPr="002A1D42" w:rsidRDefault="005F1859" w:rsidP="00EF5C9A">
            <w:pPr>
              <w:jc w:val="center"/>
              <w:rPr>
                <w:rFonts w:cs="Arial"/>
                <w:b/>
                <w:bCs/>
              </w:rPr>
            </w:pPr>
            <w:r>
              <w:rPr>
                <w:rFonts w:cs="Arial"/>
                <w:b/>
                <w:bCs/>
              </w:rPr>
              <w:t>(19.5)</w:t>
            </w:r>
          </w:p>
        </w:tc>
        <w:tc>
          <w:tcPr>
            <w:tcW w:w="996" w:type="dxa"/>
            <w:tcBorders>
              <w:top w:val="single" w:sz="4" w:space="0" w:color="000000"/>
              <w:left w:val="single" w:sz="4" w:space="0" w:color="000000"/>
              <w:bottom w:val="single" w:sz="4" w:space="0" w:color="000000"/>
              <w:right w:val="single" w:sz="4" w:space="0" w:color="000000"/>
            </w:tcBorders>
          </w:tcPr>
          <w:p w14:paraId="0DD3B450" w14:textId="77777777" w:rsidR="005F1859" w:rsidRPr="002A1D42" w:rsidRDefault="005F1859" w:rsidP="00EF5C9A">
            <w:pPr>
              <w:jc w:val="center"/>
              <w:rPr>
                <w:rFonts w:cs="Arial"/>
                <w:b/>
                <w:bCs/>
              </w:rPr>
            </w:pPr>
            <w:r>
              <w:rPr>
                <w:rFonts w:cs="Arial"/>
                <w:b/>
                <w:bCs/>
              </w:rPr>
              <w:t>(69.4)</w:t>
            </w:r>
          </w:p>
        </w:tc>
      </w:tr>
    </w:tbl>
    <w:p w14:paraId="0FA66BB2" w14:textId="77777777" w:rsidR="005F1859" w:rsidRDefault="005F1859" w:rsidP="005F1859"/>
    <w:p w14:paraId="7E7E53E4" w14:textId="77777777" w:rsidR="005F1859" w:rsidRDefault="005F1859" w:rsidP="005F1859">
      <w:r w:rsidRPr="007E2D76">
        <w:t>The total recurring savings over the three year period is £</w:t>
      </w:r>
      <w:r>
        <w:t>69.4</w:t>
      </w:r>
      <w:r w:rsidRPr="007E2D76">
        <w:t xml:space="preserve">m which is around </w:t>
      </w:r>
      <w:r>
        <w:t>7.7</w:t>
      </w:r>
      <w:r w:rsidRPr="007E2D76">
        <w:t>% of the Health Board’s controllable expenditure (excluding capital charges and primary care contracts) of circa £900m.</w:t>
      </w:r>
      <w:r>
        <w:t xml:space="preserve"> </w:t>
      </w:r>
    </w:p>
    <w:p w14:paraId="4F6555ED" w14:textId="77777777" w:rsidR="005F1859" w:rsidRDefault="005F1859" w:rsidP="005F1859"/>
    <w:p w14:paraId="7D9E47ED" w14:textId="77777777" w:rsidR="005F1859" w:rsidRPr="00370115" w:rsidRDefault="005F1859" w:rsidP="005F1859">
      <w:pPr>
        <w:rPr>
          <w:rFonts w:cs="Arial"/>
          <w:b/>
        </w:rPr>
      </w:pPr>
      <w:r w:rsidRPr="00370115">
        <w:rPr>
          <w:rFonts w:cs="Arial"/>
        </w:rPr>
        <w:t xml:space="preserve">The plan includes £6.2m of cost reductions resulting from transformation investment. Of this £4.7m is assumed to be cost avoidance (£1.7m in 2019/20, £1.5m in 2020/21 and £1.5m in 2021/22), and £1.5m from absolute cost reduction in 2021/22 </w:t>
      </w:r>
      <w:r w:rsidRPr="00370115">
        <w:rPr>
          <w:rFonts w:cs="Arial"/>
          <w:b/>
        </w:rPr>
        <w:t>(see section 1.5.4).</w:t>
      </w:r>
    </w:p>
    <w:p w14:paraId="3C3A3F57" w14:textId="77777777" w:rsidR="005F1859" w:rsidRPr="00370115" w:rsidRDefault="005F1859" w:rsidP="005F1859"/>
    <w:p w14:paraId="219CCA58" w14:textId="77777777" w:rsidR="005F1859" w:rsidRPr="00AE74C1" w:rsidRDefault="005F1859" w:rsidP="005F1859">
      <w:r w:rsidRPr="00370115">
        <w:t>It is important to note that the £2</w:t>
      </w:r>
      <w:r>
        <w:t>.3m</w:t>
      </w:r>
      <w:r w:rsidRPr="00370115">
        <w:t xml:space="preserve">m per annum for demand and activity growth in </w:t>
      </w:r>
      <w:r w:rsidRPr="00370115">
        <w:rPr>
          <w:b/>
        </w:rPr>
        <w:t>Section 1.6.7</w:t>
      </w:r>
      <w:r w:rsidRPr="00370115">
        <w:t xml:space="preserve"> above is for new growth only.  The planning assumption is that recurring demand and capacity gaps</w:t>
      </w:r>
      <w:r w:rsidRPr="00E12345">
        <w:t xml:space="preserve"> will need to be managed from </w:t>
      </w:r>
      <w:r>
        <w:t xml:space="preserve">a combination of </w:t>
      </w:r>
      <w:r w:rsidRPr="00E12345">
        <w:t>additional productivity gains in 2020/21</w:t>
      </w:r>
      <w:r>
        <w:t xml:space="preserve"> (</w:t>
      </w:r>
      <w:r w:rsidRPr="00E12345">
        <w:t>which are over and above the £2</w:t>
      </w:r>
      <w:r>
        <w:t>0.6</w:t>
      </w:r>
      <w:r w:rsidRPr="00E12345">
        <w:t>m cash releasing savings requirement noted above</w:t>
      </w:r>
      <w:r>
        <w:t>) and Welsh Government funding</w:t>
      </w:r>
      <w:r w:rsidRPr="00E12345">
        <w:t>.</w:t>
      </w:r>
      <w:r w:rsidRPr="00AE74C1">
        <w:t xml:space="preserve"> </w:t>
      </w:r>
    </w:p>
    <w:p w14:paraId="170B4E5D" w14:textId="77777777" w:rsidR="005F1859" w:rsidRPr="00986EAA" w:rsidRDefault="005F1859" w:rsidP="005F1859">
      <w:pPr>
        <w:pStyle w:val="Heading3"/>
        <w:ind w:left="1146" w:hanging="720"/>
      </w:pPr>
      <w:r>
        <w:t>Savings P</w:t>
      </w:r>
      <w:r w:rsidRPr="00986EAA">
        <w:t>lans for 20</w:t>
      </w:r>
      <w:r>
        <w:t>20/21</w:t>
      </w:r>
    </w:p>
    <w:p w14:paraId="27CA08B3" w14:textId="77777777" w:rsidR="005F1859" w:rsidRDefault="005F1859" w:rsidP="005F1859">
      <w:r w:rsidRPr="00976507">
        <w:t xml:space="preserve">Further information on the latest savings plans </w:t>
      </w:r>
      <w:r>
        <w:t xml:space="preserve">for 2020/21 </w:t>
      </w:r>
      <w:r w:rsidRPr="00976507">
        <w:t xml:space="preserve">is provided in </w:t>
      </w:r>
      <w:r w:rsidRPr="00D75E09">
        <w:t xml:space="preserve">the Savings Plan Annex </w:t>
      </w:r>
      <w:r>
        <w:t>and is summarised below:</w:t>
      </w:r>
    </w:p>
    <w:p w14:paraId="0CBC7660" w14:textId="77777777" w:rsidR="005F1859" w:rsidRDefault="005F1859" w:rsidP="005F1859">
      <w:pPr>
        <w:spacing w:after="160" w:line="259" w:lineRule="auto"/>
        <w:jc w:val="left"/>
      </w:pPr>
      <w:r>
        <w:br w:type="page"/>
      </w:r>
    </w:p>
    <w:tbl>
      <w:tblPr>
        <w:tblStyle w:val="TableGrid"/>
        <w:tblW w:w="9016" w:type="dxa"/>
        <w:jc w:val="center"/>
        <w:tblLook w:val="04A0" w:firstRow="1" w:lastRow="0" w:firstColumn="1" w:lastColumn="0" w:noHBand="0" w:noVBand="1"/>
      </w:tblPr>
      <w:tblGrid>
        <w:gridCol w:w="3308"/>
        <w:gridCol w:w="1217"/>
        <w:gridCol w:w="1107"/>
        <w:gridCol w:w="1158"/>
        <w:gridCol w:w="1237"/>
        <w:gridCol w:w="989"/>
      </w:tblGrid>
      <w:tr w:rsidR="005F1859" w:rsidRPr="002A1D42" w14:paraId="5A789277" w14:textId="77777777" w:rsidTr="00EF5C9A">
        <w:trPr>
          <w:trHeight w:val="594"/>
          <w:jc w:val="center"/>
        </w:trPr>
        <w:tc>
          <w:tcPr>
            <w:tcW w:w="3308"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3515EEF5" w14:textId="77777777" w:rsidR="005F1859" w:rsidRPr="002A1D42" w:rsidRDefault="005F1859" w:rsidP="00EF5C9A">
            <w:pPr>
              <w:spacing w:before="120"/>
              <w:jc w:val="center"/>
              <w:rPr>
                <w:rFonts w:cs="Arial"/>
                <w:b/>
              </w:rPr>
            </w:pPr>
            <w:r w:rsidRPr="002A1D42">
              <w:rPr>
                <w:b/>
                <w:bCs/>
              </w:rPr>
              <w:lastRenderedPageBreak/>
              <w:br w:type="page"/>
            </w:r>
          </w:p>
        </w:tc>
        <w:tc>
          <w:tcPr>
            <w:tcW w:w="1217"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257CFBAE" w14:textId="77777777" w:rsidR="005F1859" w:rsidRPr="002A1D42" w:rsidRDefault="005F1859" w:rsidP="00EF5C9A">
            <w:pPr>
              <w:jc w:val="center"/>
              <w:rPr>
                <w:rFonts w:cs="Arial"/>
                <w:b/>
              </w:rPr>
            </w:pPr>
            <w:r>
              <w:rPr>
                <w:rFonts w:cs="Arial"/>
                <w:b/>
                <w:bCs/>
              </w:rPr>
              <w:t xml:space="preserve">Target </w:t>
            </w:r>
          </w:p>
          <w:p w14:paraId="46D01169" w14:textId="77777777" w:rsidR="005F1859" w:rsidRPr="002A1D42" w:rsidRDefault="005F1859" w:rsidP="00EF5C9A">
            <w:pPr>
              <w:jc w:val="center"/>
              <w:rPr>
                <w:rFonts w:cs="Arial"/>
                <w:b/>
              </w:rPr>
            </w:pPr>
          </w:p>
        </w:tc>
        <w:tc>
          <w:tcPr>
            <w:tcW w:w="1107"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3738C2C2" w14:textId="77777777" w:rsidR="005F1859" w:rsidRPr="002A1D42" w:rsidRDefault="005F1859" w:rsidP="00EF5C9A">
            <w:pPr>
              <w:jc w:val="center"/>
              <w:rPr>
                <w:rFonts w:cs="Arial"/>
                <w:b/>
              </w:rPr>
            </w:pPr>
            <w:r>
              <w:rPr>
                <w:rFonts w:cs="Arial"/>
                <w:b/>
                <w:bCs/>
              </w:rPr>
              <w:t xml:space="preserve">Latest forecast as at 13 March </w:t>
            </w:r>
          </w:p>
        </w:tc>
        <w:tc>
          <w:tcPr>
            <w:tcW w:w="1158"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17946F9C" w14:textId="77777777" w:rsidR="005F1859" w:rsidRDefault="005F1859" w:rsidP="00EF5C9A">
            <w:pPr>
              <w:jc w:val="center"/>
              <w:rPr>
                <w:rFonts w:cs="Arial"/>
                <w:b/>
              </w:rPr>
            </w:pPr>
            <w:r>
              <w:rPr>
                <w:rFonts w:cs="Arial"/>
                <w:b/>
                <w:bCs/>
              </w:rPr>
              <w:t>Latest forecast as at 13 March</w:t>
            </w:r>
          </w:p>
        </w:tc>
        <w:tc>
          <w:tcPr>
            <w:tcW w:w="1237"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348A7310" w14:textId="77777777" w:rsidR="005F1859" w:rsidRDefault="005F1859" w:rsidP="00EF5C9A">
            <w:pPr>
              <w:jc w:val="center"/>
              <w:rPr>
                <w:rFonts w:cs="Arial"/>
                <w:b/>
              </w:rPr>
            </w:pPr>
            <w:r>
              <w:rPr>
                <w:rFonts w:cs="Arial"/>
                <w:b/>
              </w:rPr>
              <w:t xml:space="preserve">Green &amp; Amber schemes </w:t>
            </w:r>
          </w:p>
          <w:p w14:paraId="3E6CF9EA" w14:textId="77777777" w:rsidR="005F1859" w:rsidRPr="002A1D42" w:rsidRDefault="005F1859" w:rsidP="00EF5C9A">
            <w:pPr>
              <w:jc w:val="center"/>
              <w:rPr>
                <w:rFonts w:cs="Arial"/>
                <w:b/>
              </w:rPr>
            </w:pPr>
          </w:p>
        </w:tc>
        <w:tc>
          <w:tcPr>
            <w:tcW w:w="989"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75BC5C52" w14:textId="77777777" w:rsidR="005F1859" w:rsidRDefault="005F1859" w:rsidP="00EF5C9A">
            <w:pPr>
              <w:jc w:val="center"/>
              <w:rPr>
                <w:rFonts w:cs="Arial"/>
                <w:b/>
              </w:rPr>
            </w:pPr>
            <w:r>
              <w:rPr>
                <w:rFonts w:cs="Arial"/>
                <w:b/>
              </w:rPr>
              <w:t xml:space="preserve">Green &amp; Amber schemes </w:t>
            </w:r>
          </w:p>
          <w:p w14:paraId="562EBF95" w14:textId="77777777" w:rsidR="005F1859" w:rsidRPr="002A1D42" w:rsidRDefault="005F1859" w:rsidP="00EF5C9A">
            <w:pPr>
              <w:jc w:val="center"/>
              <w:rPr>
                <w:rFonts w:cs="Arial"/>
                <w:b/>
              </w:rPr>
            </w:pPr>
          </w:p>
        </w:tc>
      </w:tr>
      <w:tr w:rsidR="005F1859" w:rsidRPr="002A1D42" w14:paraId="71D9644F"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5E97C92D" w14:textId="77777777" w:rsidR="005F1859" w:rsidRPr="00B26563" w:rsidRDefault="005F1859" w:rsidP="00EF5C9A">
            <w:pPr>
              <w:rPr>
                <w:rFonts w:cs="Arial"/>
                <w:bCs/>
              </w:rPr>
            </w:pPr>
          </w:p>
        </w:tc>
        <w:tc>
          <w:tcPr>
            <w:tcW w:w="1217" w:type="dxa"/>
            <w:tcBorders>
              <w:top w:val="single" w:sz="4" w:space="0" w:color="000000"/>
              <w:left w:val="single" w:sz="4" w:space="0" w:color="000000"/>
              <w:bottom w:val="single" w:sz="4" w:space="0" w:color="000000"/>
              <w:right w:val="single" w:sz="4" w:space="0" w:color="000000"/>
            </w:tcBorders>
          </w:tcPr>
          <w:p w14:paraId="000DBD69" w14:textId="77777777" w:rsidR="005F1859" w:rsidRPr="00B26563" w:rsidRDefault="005F1859" w:rsidP="00EF5C9A">
            <w:pPr>
              <w:jc w:val="center"/>
              <w:rPr>
                <w:rFonts w:cs="Arial"/>
                <w:bCs/>
              </w:rPr>
            </w:pPr>
            <w:r>
              <w:rPr>
                <w:rFonts w:cs="Arial"/>
                <w:bCs/>
              </w:rPr>
              <w:t>£m</w:t>
            </w:r>
          </w:p>
        </w:tc>
        <w:tc>
          <w:tcPr>
            <w:tcW w:w="1107" w:type="dxa"/>
            <w:tcBorders>
              <w:top w:val="single" w:sz="4" w:space="0" w:color="000000"/>
              <w:left w:val="single" w:sz="4" w:space="0" w:color="000000"/>
              <w:bottom w:val="single" w:sz="4" w:space="0" w:color="000000"/>
              <w:right w:val="single" w:sz="4" w:space="0" w:color="000000"/>
            </w:tcBorders>
          </w:tcPr>
          <w:p w14:paraId="2A281480" w14:textId="77777777" w:rsidR="005F1859" w:rsidRDefault="005F1859" w:rsidP="00EF5C9A">
            <w:pPr>
              <w:jc w:val="center"/>
              <w:rPr>
                <w:rFonts w:cs="Arial"/>
                <w:bCs/>
              </w:rPr>
            </w:pPr>
            <w:r>
              <w:rPr>
                <w:rFonts w:cs="Arial"/>
                <w:bCs/>
              </w:rPr>
              <w:t>£m</w:t>
            </w:r>
          </w:p>
        </w:tc>
        <w:tc>
          <w:tcPr>
            <w:tcW w:w="1158" w:type="dxa"/>
            <w:tcBorders>
              <w:top w:val="single" w:sz="4" w:space="0" w:color="000000"/>
              <w:left w:val="single" w:sz="4" w:space="0" w:color="000000"/>
              <w:bottom w:val="single" w:sz="4" w:space="0" w:color="000000"/>
              <w:right w:val="single" w:sz="4" w:space="0" w:color="000000"/>
            </w:tcBorders>
          </w:tcPr>
          <w:p w14:paraId="5EA7448C" w14:textId="77777777" w:rsidR="005F1859" w:rsidRDefault="005F1859" w:rsidP="00EF5C9A">
            <w:pPr>
              <w:jc w:val="center"/>
              <w:rPr>
                <w:rFonts w:cs="Arial"/>
                <w:bCs/>
              </w:rPr>
            </w:pPr>
            <w:r>
              <w:rPr>
                <w:rFonts w:cs="Arial"/>
                <w:bCs/>
              </w:rPr>
              <w:t>%</w:t>
            </w:r>
          </w:p>
        </w:tc>
        <w:tc>
          <w:tcPr>
            <w:tcW w:w="1237" w:type="dxa"/>
            <w:tcBorders>
              <w:top w:val="single" w:sz="4" w:space="0" w:color="000000"/>
              <w:left w:val="single" w:sz="4" w:space="0" w:color="000000"/>
              <w:bottom w:val="single" w:sz="4" w:space="0" w:color="000000"/>
              <w:right w:val="single" w:sz="4" w:space="0" w:color="000000"/>
            </w:tcBorders>
          </w:tcPr>
          <w:p w14:paraId="51FD925D" w14:textId="77777777" w:rsidR="005F1859" w:rsidRPr="002A1D42" w:rsidRDefault="005F1859" w:rsidP="00EF5C9A">
            <w:pPr>
              <w:jc w:val="center"/>
              <w:rPr>
                <w:rFonts w:cs="Arial"/>
                <w:bCs/>
              </w:rPr>
            </w:pPr>
            <w:r>
              <w:rPr>
                <w:rFonts w:cs="Arial"/>
                <w:bCs/>
              </w:rPr>
              <w:t>£m</w:t>
            </w:r>
          </w:p>
        </w:tc>
        <w:tc>
          <w:tcPr>
            <w:tcW w:w="989" w:type="dxa"/>
            <w:tcBorders>
              <w:top w:val="single" w:sz="4" w:space="0" w:color="000000"/>
              <w:left w:val="single" w:sz="4" w:space="0" w:color="000000"/>
              <w:bottom w:val="single" w:sz="4" w:space="0" w:color="000000"/>
              <w:right w:val="single" w:sz="4" w:space="0" w:color="000000"/>
            </w:tcBorders>
          </w:tcPr>
          <w:p w14:paraId="07E4DC05" w14:textId="77777777" w:rsidR="005F1859" w:rsidRPr="002A1D42" w:rsidRDefault="005F1859" w:rsidP="00EF5C9A">
            <w:pPr>
              <w:jc w:val="center"/>
              <w:rPr>
                <w:rFonts w:cs="Arial"/>
                <w:bCs/>
              </w:rPr>
            </w:pPr>
            <w:r>
              <w:rPr>
                <w:rFonts w:cs="Arial"/>
                <w:bCs/>
              </w:rPr>
              <w:t>%</w:t>
            </w:r>
          </w:p>
        </w:tc>
      </w:tr>
      <w:tr w:rsidR="005F1859" w:rsidRPr="002A1D42" w14:paraId="5B2DA850"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hideMark/>
          </w:tcPr>
          <w:p w14:paraId="3BEA2941" w14:textId="77777777" w:rsidR="005F1859" w:rsidRPr="00B26563" w:rsidRDefault="005F1859" w:rsidP="00EF5C9A">
            <w:pPr>
              <w:rPr>
                <w:rFonts w:cs="Arial"/>
                <w:bCs/>
              </w:rPr>
            </w:pPr>
            <w:r w:rsidRPr="00B26563">
              <w:rPr>
                <w:rFonts w:cs="Arial"/>
                <w:bCs/>
              </w:rPr>
              <w:t>General recurring efficiency and redesign savings</w:t>
            </w:r>
            <w:r>
              <w:rPr>
                <w:rFonts w:cs="Arial"/>
                <w:bCs/>
              </w:rPr>
              <w:t xml:space="preserve">- 2% of pay and non-pay budgets in 20/21. </w:t>
            </w:r>
          </w:p>
        </w:tc>
        <w:tc>
          <w:tcPr>
            <w:tcW w:w="1217" w:type="dxa"/>
            <w:tcBorders>
              <w:top w:val="single" w:sz="4" w:space="0" w:color="000000"/>
              <w:left w:val="single" w:sz="4" w:space="0" w:color="000000"/>
              <w:bottom w:val="single" w:sz="4" w:space="0" w:color="000000"/>
              <w:right w:val="single" w:sz="4" w:space="0" w:color="000000"/>
            </w:tcBorders>
            <w:hideMark/>
          </w:tcPr>
          <w:p w14:paraId="213D7483" w14:textId="77777777" w:rsidR="005F1859" w:rsidRPr="00A50B0B" w:rsidRDefault="005F1859" w:rsidP="00EF5C9A">
            <w:pPr>
              <w:jc w:val="center"/>
              <w:rPr>
                <w:rFonts w:cs="Arial"/>
                <w:bCs/>
              </w:rPr>
            </w:pPr>
            <w:r w:rsidRPr="00A50B0B">
              <w:rPr>
                <w:rFonts w:cs="Arial"/>
                <w:bCs/>
              </w:rPr>
              <w:t>(15.7)</w:t>
            </w:r>
          </w:p>
        </w:tc>
        <w:tc>
          <w:tcPr>
            <w:tcW w:w="1107" w:type="dxa"/>
            <w:tcBorders>
              <w:top w:val="single" w:sz="4" w:space="0" w:color="000000"/>
              <w:left w:val="single" w:sz="4" w:space="0" w:color="000000"/>
              <w:bottom w:val="single" w:sz="4" w:space="0" w:color="000000"/>
              <w:right w:val="single" w:sz="4" w:space="0" w:color="000000"/>
            </w:tcBorders>
          </w:tcPr>
          <w:p w14:paraId="4DAB8D85" w14:textId="77777777" w:rsidR="005F1859" w:rsidRPr="00784DA3" w:rsidRDefault="005F1859" w:rsidP="00EF5C9A">
            <w:pPr>
              <w:jc w:val="center"/>
              <w:rPr>
                <w:rFonts w:cs="Arial"/>
                <w:bCs/>
              </w:rPr>
            </w:pPr>
            <w:r w:rsidRPr="00784DA3">
              <w:rPr>
                <w:rFonts w:cs="Arial"/>
                <w:bCs/>
              </w:rPr>
              <w:t>(9.1)</w:t>
            </w:r>
          </w:p>
        </w:tc>
        <w:tc>
          <w:tcPr>
            <w:tcW w:w="1158" w:type="dxa"/>
            <w:tcBorders>
              <w:top w:val="single" w:sz="4" w:space="0" w:color="000000"/>
              <w:left w:val="single" w:sz="4" w:space="0" w:color="000000"/>
              <w:bottom w:val="single" w:sz="4" w:space="0" w:color="000000"/>
              <w:right w:val="single" w:sz="4" w:space="0" w:color="000000"/>
            </w:tcBorders>
          </w:tcPr>
          <w:p w14:paraId="49610F8B" w14:textId="77777777" w:rsidR="005F1859" w:rsidRPr="00784DA3" w:rsidRDefault="005F1859" w:rsidP="00EF5C9A">
            <w:pPr>
              <w:jc w:val="center"/>
              <w:rPr>
                <w:rFonts w:cs="Arial"/>
                <w:bCs/>
              </w:rPr>
            </w:pPr>
            <w:r w:rsidRPr="00784DA3">
              <w:rPr>
                <w:rFonts w:cs="Arial"/>
                <w:bCs/>
              </w:rPr>
              <w:t>57</w:t>
            </w:r>
          </w:p>
        </w:tc>
        <w:tc>
          <w:tcPr>
            <w:tcW w:w="1237" w:type="dxa"/>
            <w:tcBorders>
              <w:top w:val="single" w:sz="4" w:space="0" w:color="000000"/>
              <w:left w:val="single" w:sz="4" w:space="0" w:color="000000"/>
              <w:bottom w:val="single" w:sz="4" w:space="0" w:color="000000"/>
              <w:right w:val="single" w:sz="4" w:space="0" w:color="000000"/>
            </w:tcBorders>
          </w:tcPr>
          <w:p w14:paraId="2B9E1460" w14:textId="77777777" w:rsidR="005F1859" w:rsidRPr="00784DA3" w:rsidRDefault="005F1859" w:rsidP="00EF5C9A">
            <w:pPr>
              <w:jc w:val="center"/>
              <w:rPr>
                <w:rFonts w:cs="Arial"/>
                <w:bCs/>
              </w:rPr>
            </w:pPr>
            <w:r w:rsidRPr="00784DA3">
              <w:rPr>
                <w:rFonts w:cs="Arial"/>
                <w:bCs/>
              </w:rPr>
              <w:t>(8.6)</w:t>
            </w:r>
          </w:p>
        </w:tc>
        <w:tc>
          <w:tcPr>
            <w:tcW w:w="989" w:type="dxa"/>
            <w:tcBorders>
              <w:top w:val="single" w:sz="4" w:space="0" w:color="000000"/>
              <w:left w:val="single" w:sz="4" w:space="0" w:color="000000"/>
              <w:bottom w:val="single" w:sz="4" w:space="0" w:color="000000"/>
              <w:right w:val="single" w:sz="4" w:space="0" w:color="000000"/>
            </w:tcBorders>
          </w:tcPr>
          <w:p w14:paraId="6A806849" w14:textId="77777777" w:rsidR="005F1859" w:rsidRPr="00784DA3" w:rsidRDefault="005F1859" w:rsidP="00EF5C9A">
            <w:pPr>
              <w:jc w:val="center"/>
              <w:rPr>
                <w:rFonts w:cs="Arial"/>
                <w:bCs/>
              </w:rPr>
            </w:pPr>
            <w:r w:rsidRPr="00784DA3">
              <w:rPr>
                <w:rFonts w:cs="Arial"/>
                <w:bCs/>
              </w:rPr>
              <w:t>55</w:t>
            </w:r>
          </w:p>
        </w:tc>
      </w:tr>
      <w:tr w:rsidR="005F1859" w14:paraId="1EAAD657"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019EDF35" w14:textId="77777777" w:rsidR="005F1859" w:rsidRPr="00B26563" w:rsidRDefault="005F1859" w:rsidP="00EF5C9A">
            <w:pPr>
              <w:rPr>
                <w:rFonts w:cs="Arial"/>
                <w:bCs/>
              </w:rPr>
            </w:pPr>
            <w:r w:rsidRPr="00B26563">
              <w:rPr>
                <w:rFonts w:cs="Arial"/>
                <w:bCs/>
              </w:rPr>
              <w:t>Specific recurring efficiency and redesign savings</w:t>
            </w:r>
            <w:r>
              <w:rPr>
                <w:rFonts w:cs="Arial"/>
                <w:bCs/>
              </w:rPr>
              <w:t>:</w:t>
            </w:r>
          </w:p>
        </w:tc>
        <w:tc>
          <w:tcPr>
            <w:tcW w:w="1217" w:type="dxa"/>
            <w:tcBorders>
              <w:top w:val="single" w:sz="4" w:space="0" w:color="000000"/>
              <w:left w:val="single" w:sz="4" w:space="0" w:color="000000"/>
              <w:bottom w:val="single" w:sz="4" w:space="0" w:color="000000"/>
              <w:right w:val="single" w:sz="4" w:space="0" w:color="000000"/>
            </w:tcBorders>
          </w:tcPr>
          <w:p w14:paraId="46E59513" w14:textId="77777777" w:rsidR="005F1859" w:rsidRPr="00A50B0B" w:rsidRDefault="005F1859" w:rsidP="00EF5C9A">
            <w:pPr>
              <w:jc w:val="center"/>
              <w:rPr>
                <w:rFonts w:cs="Arial"/>
                <w:bCs/>
              </w:rPr>
            </w:pPr>
          </w:p>
        </w:tc>
        <w:tc>
          <w:tcPr>
            <w:tcW w:w="1107" w:type="dxa"/>
            <w:tcBorders>
              <w:top w:val="single" w:sz="4" w:space="0" w:color="000000"/>
              <w:left w:val="single" w:sz="4" w:space="0" w:color="000000"/>
              <w:bottom w:val="single" w:sz="4" w:space="0" w:color="000000"/>
              <w:right w:val="single" w:sz="4" w:space="0" w:color="000000"/>
            </w:tcBorders>
          </w:tcPr>
          <w:p w14:paraId="7094C2CE" w14:textId="77777777" w:rsidR="005F1859" w:rsidRPr="00784DA3" w:rsidRDefault="005F1859" w:rsidP="00EF5C9A">
            <w:pPr>
              <w:jc w:val="center"/>
              <w:rPr>
                <w:rFonts w:cs="Arial"/>
                <w:b/>
                <w:bCs/>
              </w:rPr>
            </w:pPr>
          </w:p>
        </w:tc>
        <w:tc>
          <w:tcPr>
            <w:tcW w:w="1158" w:type="dxa"/>
            <w:tcBorders>
              <w:top w:val="single" w:sz="4" w:space="0" w:color="000000"/>
              <w:left w:val="single" w:sz="4" w:space="0" w:color="000000"/>
              <w:bottom w:val="single" w:sz="4" w:space="0" w:color="000000"/>
              <w:right w:val="single" w:sz="4" w:space="0" w:color="000000"/>
            </w:tcBorders>
          </w:tcPr>
          <w:p w14:paraId="16025A64" w14:textId="77777777" w:rsidR="005F1859" w:rsidRPr="00784DA3" w:rsidRDefault="005F1859" w:rsidP="00EF5C9A">
            <w:pPr>
              <w:jc w:val="center"/>
              <w:rPr>
                <w:rFonts w:cs="Arial"/>
                <w:b/>
                <w:bCs/>
              </w:rPr>
            </w:pPr>
          </w:p>
        </w:tc>
        <w:tc>
          <w:tcPr>
            <w:tcW w:w="1237" w:type="dxa"/>
            <w:tcBorders>
              <w:top w:val="single" w:sz="4" w:space="0" w:color="000000"/>
              <w:left w:val="single" w:sz="4" w:space="0" w:color="000000"/>
              <w:bottom w:val="single" w:sz="4" w:space="0" w:color="000000"/>
              <w:right w:val="single" w:sz="4" w:space="0" w:color="000000"/>
            </w:tcBorders>
          </w:tcPr>
          <w:p w14:paraId="7352640D" w14:textId="77777777" w:rsidR="005F1859" w:rsidRPr="00784DA3" w:rsidRDefault="005F1859" w:rsidP="00EF5C9A">
            <w:pPr>
              <w:jc w:val="center"/>
              <w:rPr>
                <w:rFonts w:cs="Arial"/>
                <w:b/>
                <w:bCs/>
              </w:rPr>
            </w:pPr>
          </w:p>
        </w:tc>
        <w:tc>
          <w:tcPr>
            <w:tcW w:w="989" w:type="dxa"/>
            <w:tcBorders>
              <w:top w:val="single" w:sz="4" w:space="0" w:color="000000"/>
              <w:left w:val="single" w:sz="4" w:space="0" w:color="000000"/>
              <w:bottom w:val="single" w:sz="4" w:space="0" w:color="000000"/>
              <w:right w:val="single" w:sz="4" w:space="0" w:color="000000"/>
            </w:tcBorders>
          </w:tcPr>
          <w:p w14:paraId="3AD529A1" w14:textId="77777777" w:rsidR="005F1859" w:rsidRPr="00784DA3" w:rsidRDefault="005F1859" w:rsidP="00EF5C9A">
            <w:pPr>
              <w:jc w:val="center"/>
              <w:rPr>
                <w:rFonts w:cs="Arial"/>
                <w:b/>
                <w:bCs/>
              </w:rPr>
            </w:pPr>
          </w:p>
        </w:tc>
      </w:tr>
      <w:tr w:rsidR="005F1859" w:rsidRPr="0039170E" w14:paraId="07865C9A"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1AED7AB6" w14:textId="77777777" w:rsidR="005F1859" w:rsidRPr="00B26563" w:rsidRDefault="005F1859" w:rsidP="00EF5C9A">
            <w:pPr>
              <w:rPr>
                <w:rFonts w:cs="Arial"/>
                <w:bCs/>
              </w:rPr>
            </w:pPr>
            <w:r w:rsidRPr="00B26563">
              <w:rPr>
                <w:rFonts w:cs="Arial"/>
                <w:bCs/>
              </w:rPr>
              <w:t>Primary care prescribing</w:t>
            </w:r>
          </w:p>
        </w:tc>
        <w:tc>
          <w:tcPr>
            <w:tcW w:w="1217" w:type="dxa"/>
            <w:tcBorders>
              <w:top w:val="single" w:sz="4" w:space="0" w:color="000000"/>
              <w:left w:val="single" w:sz="4" w:space="0" w:color="000000"/>
              <w:bottom w:val="single" w:sz="4" w:space="0" w:color="000000"/>
              <w:right w:val="single" w:sz="4" w:space="0" w:color="000000"/>
            </w:tcBorders>
          </w:tcPr>
          <w:p w14:paraId="238946F3" w14:textId="77777777" w:rsidR="005F1859" w:rsidRPr="00A50B0B" w:rsidRDefault="005F1859" w:rsidP="00EF5C9A">
            <w:pPr>
              <w:jc w:val="center"/>
              <w:rPr>
                <w:rFonts w:cs="Arial"/>
                <w:bCs/>
              </w:rPr>
            </w:pPr>
            <w:r w:rsidRPr="00A50B0B">
              <w:rPr>
                <w:rFonts w:cs="Arial"/>
                <w:bCs/>
              </w:rPr>
              <w:t>(2.3)</w:t>
            </w:r>
          </w:p>
        </w:tc>
        <w:tc>
          <w:tcPr>
            <w:tcW w:w="1107" w:type="dxa"/>
            <w:tcBorders>
              <w:top w:val="single" w:sz="4" w:space="0" w:color="000000"/>
              <w:left w:val="single" w:sz="4" w:space="0" w:color="000000"/>
              <w:bottom w:val="single" w:sz="4" w:space="0" w:color="000000"/>
              <w:right w:val="single" w:sz="4" w:space="0" w:color="000000"/>
            </w:tcBorders>
          </w:tcPr>
          <w:p w14:paraId="64739FE8" w14:textId="77777777" w:rsidR="005F1859" w:rsidRPr="00784DA3" w:rsidRDefault="005F1859" w:rsidP="00EF5C9A">
            <w:pPr>
              <w:jc w:val="center"/>
              <w:rPr>
                <w:rFonts w:cs="Arial"/>
                <w:bCs/>
              </w:rPr>
            </w:pPr>
            <w:r w:rsidRPr="00784DA3">
              <w:rPr>
                <w:rFonts w:cs="Arial"/>
                <w:bCs/>
              </w:rPr>
              <w:t>(2.9)</w:t>
            </w:r>
          </w:p>
        </w:tc>
        <w:tc>
          <w:tcPr>
            <w:tcW w:w="1158" w:type="dxa"/>
            <w:tcBorders>
              <w:top w:val="single" w:sz="4" w:space="0" w:color="000000"/>
              <w:left w:val="single" w:sz="4" w:space="0" w:color="000000"/>
              <w:bottom w:val="single" w:sz="4" w:space="0" w:color="000000"/>
              <w:right w:val="single" w:sz="4" w:space="0" w:color="000000"/>
            </w:tcBorders>
          </w:tcPr>
          <w:p w14:paraId="42CA79FF" w14:textId="77777777" w:rsidR="005F1859" w:rsidRPr="00784DA3" w:rsidRDefault="005F1859" w:rsidP="00EF5C9A">
            <w:pPr>
              <w:jc w:val="center"/>
              <w:rPr>
                <w:rFonts w:cs="Arial"/>
                <w:bCs/>
              </w:rPr>
            </w:pPr>
            <w:r w:rsidRPr="00784DA3">
              <w:rPr>
                <w:rFonts w:cs="Arial"/>
                <w:bCs/>
              </w:rPr>
              <w:t>126</w:t>
            </w:r>
          </w:p>
        </w:tc>
        <w:tc>
          <w:tcPr>
            <w:tcW w:w="1237" w:type="dxa"/>
            <w:tcBorders>
              <w:top w:val="single" w:sz="4" w:space="0" w:color="000000"/>
              <w:left w:val="single" w:sz="4" w:space="0" w:color="000000"/>
              <w:bottom w:val="single" w:sz="4" w:space="0" w:color="000000"/>
              <w:right w:val="single" w:sz="4" w:space="0" w:color="000000"/>
            </w:tcBorders>
          </w:tcPr>
          <w:p w14:paraId="6CB708FF" w14:textId="77777777" w:rsidR="005F1859" w:rsidRPr="00784DA3" w:rsidRDefault="005F1859" w:rsidP="00EF5C9A">
            <w:pPr>
              <w:jc w:val="center"/>
              <w:rPr>
                <w:rFonts w:cs="Arial"/>
                <w:bCs/>
              </w:rPr>
            </w:pPr>
            <w:r w:rsidRPr="00784DA3">
              <w:rPr>
                <w:rFonts w:cs="Arial"/>
                <w:bCs/>
              </w:rPr>
              <w:t>(2.6)</w:t>
            </w:r>
          </w:p>
        </w:tc>
        <w:tc>
          <w:tcPr>
            <w:tcW w:w="989" w:type="dxa"/>
            <w:tcBorders>
              <w:top w:val="single" w:sz="4" w:space="0" w:color="000000"/>
              <w:left w:val="single" w:sz="4" w:space="0" w:color="000000"/>
              <w:bottom w:val="single" w:sz="4" w:space="0" w:color="000000"/>
              <w:right w:val="single" w:sz="4" w:space="0" w:color="000000"/>
            </w:tcBorders>
          </w:tcPr>
          <w:p w14:paraId="44E104EA" w14:textId="77777777" w:rsidR="005F1859" w:rsidRPr="00784DA3" w:rsidRDefault="005F1859" w:rsidP="00EF5C9A">
            <w:pPr>
              <w:jc w:val="center"/>
              <w:rPr>
                <w:rFonts w:cs="Arial"/>
                <w:bCs/>
              </w:rPr>
            </w:pPr>
            <w:r w:rsidRPr="00784DA3">
              <w:rPr>
                <w:rFonts w:cs="Arial"/>
                <w:bCs/>
              </w:rPr>
              <w:t>113</w:t>
            </w:r>
          </w:p>
        </w:tc>
      </w:tr>
      <w:tr w:rsidR="005F1859" w:rsidRPr="0039170E" w14:paraId="3F2B1268"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489B4062" w14:textId="77777777" w:rsidR="005F1859" w:rsidRDefault="005F1859" w:rsidP="00EF5C9A">
            <w:pPr>
              <w:rPr>
                <w:rFonts w:cs="Arial"/>
                <w:bCs/>
              </w:rPr>
            </w:pPr>
            <w:r>
              <w:rPr>
                <w:rFonts w:cs="Arial"/>
                <w:bCs/>
              </w:rPr>
              <w:t>Cross cutting medical staffing savings</w:t>
            </w:r>
          </w:p>
        </w:tc>
        <w:tc>
          <w:tcPr>
            <w:tcW w:w="1217" w:type="dxa"/>
            <w:tcBorders>
              <w:top w:val="single" w:sz="4" w:space="0" w:color="000000"/>
              <w:left w:val="single" w:sz="4" w:space="0" w:color="000000"/>
              <w:bottom w:val="single" w:sz="4" w:space="0" w:color="000000"/>
              <w:right w:val="single" w:sz="4" w:space="0" w:color="000000"/>
            </w:tcBorders>
          </w:tcPr>
          <w:p w14:paraId="0701D189" w14:textId="77777777" w:rsidR="005F1859" w:rsidRPr="00A50B0B" w:rsidRDefault="005F1859" w:rsidP="00EF5C9A">
            <w:pPr>
              <w:jc w:val="center"/>
              <w:rPr>
                <w:rFonts w:cs="Arial"/>
                <w:bCs/>
              </w:rPr>
            </w:pPr>
            <w:r w:rsidRPr="00A50B0B">
              <w:rPr>
                <w:rFonts w:cs="Arial"/>
                <w:bCs/>
              </w:rPr>
              <w:t>(1.0)</w:t>
            </w:r>
          </w:p>
        </w:tc>
        <w:tc>
          <w:tcPr>
            <w:tcW w:w="1107" w:type="dxa"/>
            <w:tcBorders>
              <w:top w:val="single" w:sz="4" w:space="0" w:color="000000"/>
              <w:left w:val="single" w:sz="4" w:space="0" w:color="000000"/>
              <w:bottom w:val="single" w:sz="4" w:space="0" w:color="000000"/>
              <w:right w:val="single" w:sz="4" w:space="0" w:color="000000"/>
            </w:tcBorders>
          </w:tcPr>
          <w:p w14:paraId="6BD037C1" w14:textId="77777777" w:rsidR="005F1859" w:rsidRPr="00784DA3" w:rsidRDefault="005F1859" w:rsidP="00EF5C9A">
            <w:pPr>
              <w:jc w:val="center"/>
              <w:rPr>
                <w:rFonts w:cs="Arial"/>
                <w:bCs/>
              </w:rPr>
            </w:pPr>
            <w:r w:rsidRPr="00784DA3">
              <w:rPr>
                <w:rFonts w:cs="Arial"/>
                <w:bCs/>
              </w:rPr>
              <w:t>(2.5)</w:t>
            </w:r>
          </w:p>
        </w:tc>
        <w:tc>
          <w:tcPr>
            <w:tcW w:w="1158" w:type="dxa"/>
            <w:tcBorders>
              <w:top w:val="single" w:sz="4" w:space="0" w:color="000000"/>
              <w:left w:val="single" w:sz="4" w:space="0" w:color="000000"/>
              <w:bottom w:val="single" w:sz="4" w:space="0" w:color="000000"/>
              <w:right w:val="single" w:sz="4" w:space="0" w:color="000000"/>
            </w:tcBorders>
          </w:tcPr>
          <w:p w14:paraId="2DF7CFCA" w14:textId="77777777" w:rsidR="005F1859" w:rsidRPr="00784DA3" w:rsidRDefault="005F1859" w:rsidP="00EF5C9A">
            <w:pPr>
              <w:jc w:val="center"/>
              <w:rPr>
                <w:rFonts w:cs="Arial"/>
                <w:bCs/>
              </w:rPr>
            </w:pPr>
            <w:r w:rsidRPr="00784DA3">
              <w:rPr>
                <w:rFonts w:cs="Arial"/>
                <w:bCs/>
              </w:rPr>
              <w:t>250</w:t>
            </w:r>
          </w:p>
        </w:tc>
        <w:tc>
          <w:tcPr>
            <w:tcW w:w="1237" w:type="dxa"/>
            <w:tcBorders>
              <w:top w:val="single" w:sz="4" w:space="0" w:color="000000"/>
              <w:left w:val="single" w:sz="4" w:space="0" w:color="000000"/>
              <w:bottom w:val="single" w:sz="4" w:space="0" w:color="000000"/>
              <w:right w:val="single" w:sz="4" w:space="0" w:color="000000"/>
            </w:tcBorders>
          </w:tcPr>
          <w:p w14:paraId="16EB48C9" w14:textId="77777777" w:rsidR="005F1859" w:rsidRPr="00784DA3" w:rsidRDefault="005F1859" w:rsidP="00EF5C9A">
            <w:pPr>
              <w:jc w:val="center"/>
              <w:rPr>
                <w:rFonts w:cs="Arial"/>
                <w:bCs/>
              </w:rPr>
            </w:pPr>
            <w:r w:rsidRPr="00784DA3">
              <w:rPr>
                <w:rFonts w:cs="Arial"/>
                <w:bCs/>
              </w:rPr>
              <w:t>(2.5)</w:t>
            </w:r>
          </w:p>
        </w:tc>
        <w:tc>
          <w:tcPr>
            <w:tcW w:w="989" w:type="dxa"/>
            <w:tcBorders>
              <w:top w:val="single" w:sz="4" w:space="0" w:color="000000"/>
              <w:left w:val="single" w:sz="4" w:space="0" w:color="000000"/>
              <w:bottom w:val="single" w:sz="4" w:space="0" w:color="000000"/>
              <w:right w:val="single" w:sz="4" w:space="0" w:color="000000"/>
            </w:tcBorders>
          </w:tcPr>
          <w:p w14:paraId="5B53F6AC" w14:textId="77777777" w:rsidR="005F1859" w:rsidRPr="00784DA3" w:rsidRDefault="005F1859" w:rsidP="00EF5C9A">
            <w:pPr>
              <w:jc w:val="center"/>
              <w:rPr>
                <w:rFonts w:cs="Arial"/>
                <w:bCs/>
              </w:rPr>
            </w:pPr>
            <w:r w:rsidRPr="00784DA3">
              <w:rPr>
                <w:rFonts w:cs="Arial"/>
                <w:bCs/>
              </w:rPr>
              <w:t>100</w:t>
            </w:r>
          </w:p>
        </w:tc>
      </w:tr>
      <w:tr w:rsidR="005F1859" w:rsidRPr="0039170E" w14:paraId="5FC8D62D"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726DE529" w14:textId="77777777" w:rsidR="005F1859" w:rsidRDefault="005F1859" w:rsidP="00EF5C9A">
            <w:pPr>
              <w:rPr>
                <w:rFonts w:cs="Arial"/>
                <w:bCs/>
              </w:rPr>
            </w:pPr>
            <w:r>
              <w:rPr>
                <w:rFonts w:cs="Arial"/>
                <w:bCs/>
              </w:rPr>
              <w:t>Reduced bed requirements resulting from improvement to inpatient delays and discharge</w:t>
            </w:r>
          </w:p>
        </w:tc>
        <w:tc>
          <w:tcPr>
            <w:tcW w:w="1217" w:type="dxa"/>
            <w:tcBorders>
              <w:top w:val="single" w:sz="4" w:space="0" w:color="000000"/>
              <w:left w:val="single" w:sz="4" w:space="0" w:color="000000"/>
              <w:bottom w:val="single" w:sz="4" w:space="0" w:color="000000"/>
              <w:right w:val="single" w:sz="4" w:space="0" w:color="000000"/>
            </w:tcBorders>
          </w:tcPr>
          <w:p w14:paraId="7CFD5DBC" w14:textId="77777777" w:rsidR="005F1859" w:rsidRPr="00A50B0B" w:rsidRDefault="005F1859" w:rsidP="00EF5C9A">
            <w:pPr>
              <w:jc w:val="center"/>
              <w:rPr>
                <w:rFonts w:cs="Arial"/>
                <w:bCs/>
              </w:rPr>
            </w:pPr>
            <w:r w:rsidRPr="00A50B0B">
              <w:rPr>
                <w:rFonts w:cs="Arial"/>
                <w:bCs/>
              </w:rPr>
              <w:t>(0.3)</w:t>
            </w:r>
          </w:p>
        </w:tc>
        <w:tc>
          <w:tcPr>
            <w:tcW w:w="1107" w:type="dxa"/>
            <w:tcBorders>
              <w:top w:val="single" w:sz="4" w:space="0" w:color="000000"/>
              <w:left w:val="single" w:sz="4" w:space="0" w:color="000000"/>
              <w:bottom w:val="single" w:sz="4" w:space="0" w:color="000000"/>
              <w:right w:val="single" w:sz="4" w:space="0" w:color="000000"/>
            </w:tcBorders>
          </w:tcPr>
          <w:p w14:paraId="1F0201A4" w14:textId="77777777" w:rsidR="005F1859" w:rsidRPr="00784DA3" w:rsidRDefault="005F1859" w:rsidP="00EF5C9A">
            <w:pPr>
              <w:jc w:val="center"/>
              <w:rPr>
                <w:rFonts w:cs="Arial"/>
                <w:bCs/>
              </w:rPr>
            </w:pPr>
            <w:r w:rsidRPr="00784DA3">
              <w:rPr>
                <w:rFonts w:cs="Arial"/>
                <w:bCs/>
              </w:rPr>
              <w:t>(0.3)</w:t>
            </w:r>
          </w:p>
        </w:tc>
        <w:tc>
          <w:tcPr>
            <w:tcW w:w="1158" w:type="dxa"/>
            <w:tcBorders>
              <w:top w:val="single" w:sz="4" w:space="0" w:color="000000"/>
              <w:left w:val="single" w:sz="4" w:space="0" w:color="000000"/>
              <w:bottom w:val="single" w:sz="4" w:space="0" w:color="000000"/>
              <w:right w:val="single" w:sz="4" w:space="0" w:color="000000"/>
            </w:tcBorders>
          </w:tcPr>
          <w:p w14:paraId="2B05AC4C" w14:textId="77777777" w:rsidR="005F1859" w:rsidRPr="00784DA3" w:rsidRDefault="005F1859" w:rsidP="00EF5C9A">
            <w:pPr>
              <w:jc w:val="center"/>
              <w:rPr>
                <w:rFonts w:cs="Arial"/>
                <w:bCs/>
              </w:rPr>
            </w:pPr>
            <w:r w:rsidRPr="00784DA3">
              <w:rPr>
                <w:rFonts w:cs="Arial"/>
                <w:bCs/>
              </w:rPr>
              <w:t>100</w:t>
            </w:r>
          </w:p>
        </w:tc>
        <w:tc>
          <w:tcPr>
            <w:tcW w:w="1237" w:type="dxa"/>
            <w:tcBorders>
              <w:top w:val="single" w:sz="4" w:space="0" w:color="000000"/>
              <w:left w:val="single" w:sz="4" w:space="0" w:color="000000"/>
              <w:bottom w:val="single" w:sz="4" w:space="0" w:color="000000"/>
              <w:right w:val="single" w:sz="4" w:space="0" w:color="000000"/>
            </w:tcBorders>
          </w:tcPr>
          <w:p w14:paraId="13AFB089" w14:textId="77777777" w:rsidR="005F1859" w:rsidRPr="00784DA3" w:rsidRDefault="005F1859" w:rsidP="00EF5C9A">
            <w:pPr>
              <w:jc w:val="center"/>
              <w:rPr>
                <w:rFonts w:cs="Arial"/>
                <w:bCs/>
              </w:rPr>
            </w:pPr>
            <w:r w:rsidRPr="00784DA3">
              <w:rPr>
                <w:rFonts w:cs="Arial"/>
                <w:bCs/>
              </w:rPr>
              <w:t>0</w:t>
            </w:r>
          </w:p>
        </w:tc>
        <w:tc>
          <w:tcPr>
            <w:tcW w:w="989" w:type="dxa"/>
            <w:tcBorders>
              <w:top w:val="single" w:sz="4" w:space="0" w:color="000000"/>
              <w:left w:val="single" w:sz="4" w:space="0" w:color="000000"/>
              <w:bottom w:val="single" w:sz="4" w:space="0" w:color="000000"/>
              <w:right w:val="single" w:sz="4" w:space="0" w:color="000000"/>
            </w:tcBorders>
          </w:tcPr>
          <w:p w14:paraId="561431D7" w14:textId="77777777" w:rsidR="005F1859" w:rsidRPr="00784DA3" w:rsidRDefault="005F1859" w:rsidP="00EF5C9A">
            <w:pPr>
              <w:jc w:val="center"/>
              <w:rPr>
                <w:rFonts w:cs="Arial"/>
                <w:bCs/>
              </w:rPr>
            </w:pPr>
            <w:r w:rsidRPr="00784DA3">
              <w:rPr>
                <w:rFonts w:cs="Arial"/>
                <w:bCs/>
              </w:rPr>
              <w:t>0</w:t>
            </w:r>
          </w:p>
        </w:tc>
      </w:tr>
      <w:tr w:rsidR="005F1859" w:rsidRPr="0039170E" w14:paraId="0722669B"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36CD6AB8" w14:textId="77777777" w:rsidR="005F1859" w:rsidRDefault="005F1859" w:rsidP="00EF5C9A">
            <w:pPr>
              <w:rPr>
                <w:rFonts w:cs="Arial"/>
                <w:bCs/>
              </w:rPr>
            </w:pPr>
            <w:r>
              <w:rPr>
                <w:rFonts w:cs="Arial"/>
                <w:bCs/>
              </w:rPr>
              <w:t>Records digitisation I2S project and Patient Care Administration</w:t>
            </w:r>
          </w:p>
        </w:tc>
        <w:tc>
          <w:tcPr>
            <w:tcW w:w="1217" w:type="dxa"/>
            <w:tcBorders>
              <w:top w:val="single" w:sz="4" w:space="0" w:color="000000"/>
              <w:left w:val="single" w:sz="4" w:space="0" w:color="000000"/>
              <w:bottom w:val="single" w:sz="4" w:space="0" w:color="000000"/>
              <w:right w:val="single" w:sz="4" w:space="0" w:color="000000"/>
            </w:tcBorders>
          </w:tcPr>
          <w:p w14:paraId="0183DDAE" w14:textId="77777777" w:rsidR="005F1859" w:rsidRPr="00A50B0B" w:rsidRDefault="005F1859" w:rsidP="00EF5C9A">
            <w:pPr>
              <w:jc w:val="center"/>
              <w:rPr>
                <w:rFonts w:cs="Arial"/>
                <w:bCs/>
              </w:rPr>
            </w:pPr>
            <w:r w:rsidRPr="00A50B0B">
              <w:rPr>
                <w:rFonts w:cs="Arial"/>
                <w:bCs/>
              </w:rPr>
              <w:t>(0.6)</w:t>
            </w:r>
          </w:p>
        </w:tc>
        <w:tc>
          <w:tcPr>
            <w:tcW w:w="1107" w:type="dxa"/>
            <w:tcBorders>
              <w:top w:val="single" w:sz="4" w:space="0" w:color="000000"/>
              <w:left w:val="single" w:sz="4" w:space="0" w:color="000000"/>
              <w:bottom w:val="single" w:sz="4" w:space="0" w:color="000000"/>
              <w:right w:val="single" w:sz="4" w:space="0" w:color="000000"/>
            </w:tcBorders>
          </w:tcPr>
          <w:p w14:paraId="3ADBFE9B" w14:textId="77777777" w:rsidR="005F1859" w:rsidRPr="00784DA3" w:rsidRDefault="005F1859" w:rsidP="00EF5C9A">
            <w:pPr>
              <w:jc w:val="center"/>
              <w:rPr>
                <w:rFonts w:cs="Arial"/>
                <w:bCs/>
              </w:rPr>
            </w:pPr>
            <w:r w:rsidRPr="00784DA3">
              <w:rPr>
                <w:rFonts w:cs="Arial"/>
                <w:bCs/>
              </w:rPr>
              <w:t>(0.4)</w:t>
            </w:r>
          </w:p>
        </w:tc>
        <w:tc>
          <w:tcPr>
            <w:tcW w:w="1158" w:type="dxa"/>
            <w:tcBorders>
              <w:top w:val="single" w:sz="4" w:space="0" w:color="000000"/>
              <w:left w:val="single" w:sz="4" w:space="0" w:color="000000"/>
              <w:bottom w:val="single" w:sz="4" w:space="0" w:color="000000"/>
              <w:right w:val="single" w:sz="4" w:space="0" w:color="000000"/>
            </w:tcBorders>
          </w:tcPr>
          <w:p w14:paraId="24C34219" w14:textId="77777777" w:rsidR="005F1859" w:rsidRPr="00784DA3" w:rsidRDefault="005F1859" w:rsidP="00EF5C9A">
            <w:pPr>
              <w:jc w:val="center"/>
              <w:rPr>
                <w:rFonts w:cs="Arial"/>
                <w:bCs/>
              </w:rPr>
            </w:pPr>
            <w:r w:rsidRPr="00784DA3">
              <w:rPr>
                <w:rFonts w:cs="Arial"/>
                <w:bCs/>
              </w:rPr>
              <w:t>67</w:t>
            </w:r>
          </w:p>
        </w:tc>
        <w:tc>
          <w:tcPr>
            <w:tcW w:w="1237" w:type="dxa"/>
            <w:tcBorders>
              <w:top w:val="single" w:sz="4" w:space="0" w:color="000000"/>
              <w:left w:val="single" w:sz="4" w:space="0" w:color="000000"/>
              <w:bottom w:val="single" w:sz="4" w:space="0" w:color="000000"/>
              <w:right w:val="single" w:sz="4" w:space="0" w:color="000000"/>
            </w:tcBorders>
          </w:tcPr>
          <w:p w14:paraId="71CB8A74" w14:textId="77777777" w:rsidR="005F1859" w:rsidRPr="00784DA3" w:rsidRDefault="005F1859" w:rsidP="00EF5C9A">
            <w:pPr>
              <w:jc w:val="center"/>
              <w:rPr>
                <w:rFonts w:cs="Arial"/>
                <w:bCs/>
              </w:rPr>
            </w:pPr>
            <w:r w:rsidRPr="00784DA3">
              <w:rPr>
                <w:rFonts w:cs="Arial"/>
                <w:bCs/>
              </w:rPr>
              <w:t>(0.4)</w:t>
            </w:r>
          </w:p>
        </w:tc>
        <w:tc>
          <w:tcPr>
            <w:tcW w:w="989" w:type="dxa"/>
            <w:tcBorders>
              <w:top w:val="single" w:sz="4" w:space="0" w:color="000000"/>
              <w:left w:val="single" w:sz="4" w:space="0" w:color="000000"/>
              <w:bottom w:val="single" w:sz="4" w:space="0" w:color="000000"/>
              <w:right w:val="single" w:sz="4" w:space="0" w:color="000000"/>
            </w:tcBorders>
          </w:tcPr>
          <w:p w14:paraId="288B6806" w14:textId="77777777" w:rsidR="005F1859" w:rsidRPr="00784DA3" w:rsidRDefault="005F1859" w:rsidP="00EF5C9A">
            <w:pPr>
              <w:jc w:val="center"/>
              <w:rPr>
                <w:rFonts w:cs="Arial"/>
                <w:bCs/>
              </w:rPr>
            </w:pPr>
            <w:r w:rsidRPr="00784DA3">
              <w:rPr>
                <w:rFonts w:cs="Arial"/>
                <w:bCs/>
              </w:rPr>
              <w:t>67</w:t>
            </w:r>
          </w:p>
        </w:tc>
      </w:tr>
      <w:tr w:rsidR="005F1859" w:rsidRPr="0039170E" w14:paraId="21EF9D1D"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4DC6F32B" w14:textId="77777777" w:rsidR="005F1859" w:rsidRDefault="005F1859" w:rsidP="00EF5C9A">
            <w:pPr>
              <w:rPr>
                <w:rFonts w:cs="Arial"/>
                <w:bCs/>
              </w:rPr>
            </w:pPr>
            <w:r>
              <w:rPr>
                <w:rFonts w:cs="Arial"/>
                <w:bCs/>
              </w:rPr>
              <w:t>Other strategic savings schemes including reconfiguration , redesign and pathways</w:t>
            </w:r>
          </w:p>
        </w:tc>
        <w:tc>
          <w:tcPr>
            <w:tcW w:w="1217" w:type="dxa"/>
            <w:tcBorders>
              <w:top w:val="single" w:sz="4" w:space="0" w:color="000000"/>
              <w:left w:val="single" w:sz="4" w:space="0" w:color="000000"/>
              <w:bottom w:val="single" w:sz="4" w:space="0" w:color="000000"/>
              <w:right w:val="single" w:sz="4" w:space="0" w:color="000000"/>
            </w:tcBorders>
          </w:tcPr>
          <w:p w14:paraId="646B8E90" w14:textId="77777777" w:rsidR="005F1859" w:rsidRPr="00A50B0B" w:rsidRDefault="005F1859" w:rsidP="00EF5C9A">
            <w:pPr>
              <w:jc w:val="center"/>
              <w:rPr>
                <w:rFonts w:cs="Arial"/>
                <w:bCs/>
              </w:rPr>
            </w:pPr>
            <w:r w:rsidRPr="00A50B0B">
              <w:rPr>
                <w:rFonts w:cs="Arial"/>
                <w:bCs/>
              </w:rPr>
              <w:t>(0.7)</w:t>
            </w:r>
          </w:p>
        </w:tc>
        <w:tc>
          <w:tcPr>
            <w:tcW w:w="1107" w:type="dxa"/>
            <w:tcBorders>
              <w:top w:val="single" w:sz="4" w:space="0" w:color="000000"/>
              <w:left w:val="single" w:sz="4" w:space="0" w:color="000000"/>
              <w:bottom w:val="single" w:sz="4" w:space="0" w:color="000000"/>
              <w:right w:val="single" w:sz="4" w:space="0" w:color="000000"/>
            </w:tcBorders>
          </w:tcPr>
          <w:p w14:paraId="0D491144" w14:textId="77777777" w:rsidR="005F1859" w:rsidRPr="00784DA3" w:rsidRDefault="005F1859" w:rsidP="00EF5C9A">
            <w:pPr>
              <w:jc w:val="center"/>
              <w:rPr>
                <w:rFonts w:cs="Arial"/>
                <w:bCs/>
              </w:rPr>
            </w:pPr>
            <w:r w:rsidRPr="00784DA3">
              <w:rPr>
                <w:rFonts w:cs="Arial"/>
                <w:bCs/>
              </w:rPr>
              <w:t>0</w:t>
            </w:r>
          </w:p>
        </w:tc>
        <w:tc>
          <w:tcPr>
            <w:tcW w:w="1158" w:type="dxa"/>
            <w:tcBorders>
              <w:top w:val="single" w:sz="4" w:space="0" w:color="000000"/>
              <w:left w:val="single" w:sz="4" w:space="0" w:color="000000"/>
              <w:bottom w:val="single" w:sz="4" w:space="0" w:color="000000"/>
              <w:right w:val="single" w:sz="4" w:space="0" w:color="000000"/>
            </w:tcBorders>
          </w:tcPr>
          <w:p w14:paraId="47282735" w14:textId="77777777" w:rsidR="005F1859" w:rsidRPr="00784DA3" w:rsidRDefault="005F1859" w:rsidP="00EF5C9A">
            <w:pPr>
              <w:jc w:val="center"/>
              <w:rPr>
                <w:rFonts w:cs="Arial"/>
                <w:bCs/>
              </w:rPr>
            </w:pPr>
            <w:r w:rsidRPr="00784DA3">
              <w:rPr>
                <w:rFonts w:cs="Arial"/>
                <w:bCs/>
              </w:rPr>
              <w:t>0</w:t>
            </w:r>
          </w:p>
        </w:tc>
        <w:tc>
          <w:tcPr>
            <w:tcW w:w="1237" w:type="dxa"/>
            <w:tcBorders>
              <w:top w:val="single" w:sz="4" w:space="0" w:color="000000"/>
              <w:left w:val="single" w:sz="4" w:space="0" w:color="000000"/>
              <w:bottom w:val="single" w:sz="4" w:space="0" w:color="000000"/>
              <w:right w:val="single" w:sz="4" w:space="0" w:color="000000"/>
            </w:tcBorders>
          </w:tcPr>
          <w:p w14:paraId="6A74FD5C" w14:textId="77777777" w:rsidR="005F1859" w:rsidRPr="00784DA3" w:rsidRDefault="005F1859" w:rsidP="00EF5C9A">
            <w:pPr>
              <w:jc w:val="center"/>
              <w:rPr>
                <w:rFonts w:cs="Arial"/>
                <w:bCs/>
              </w:rPr>
            </w:pPr>
            <w:r w:rsidRPr="00784DA3">
              <w:rPr>
                <w:rFonts w:cs="Arial"/>
                <w:bCs/>
              </w:rPr>
              <w:t>0</w:t>
            </w:r>
          </w:p>
        </w:tc>
        <w:tc>
          <w:tcPr>
            <w:tcW w:w="989" w:type="dxa"/>
            <w:tcBorders>
              <w:top w:val="single" w:sz="4" w:space="0" w:color="000000"/>
              <w:left w:val="single" w:sz="4" w:space="0" w:color="000000"/>
              <w:bottom w:val="single" w:sz="4" w:space="0" w:color="000000"/>
              <w:right w:val="single" w:sz="4" w:space="0" w:color="000000"/>
            </w:tcBorders>
          </w:tcPr>
          <w:p w14:paraId="25289BD9" w14:textId="77777777" w:rsidR="005F1859" w:rsidRPr="00784DA3" w:rsidRDefault="005F1859" w:rsidP="00EF5C9A">
            <w:pPr>
              <w:jc w:val="center"/>
              <w:rPr>
                <w:rFonts w:cs="Arial"/>
                <w:bCs/>
              </w:rPr>
            </w:pPr>
            <w:r w:rsidRPr="00784DA3">
              <w:rPr>
                <w:rFonts w:cs="Arial"/>
                <w:bCs/>
              </w:rPr>
              <w:t>0</w:t>
            </w:r>
          </w:p>
        </w:tc>
      </w:tr>
      <w:tr w:rsidR="005F1859" w:rsidRPr="0039170E" w14:paraId="68ECBF91"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006B2DBE" w14:textId="77777777" w:rsidR="005F1859" w:rsidRDefault="005F1859" w:rsidP="00EF5C9A">
            <w:pPr>
              <w:rPr>
                <w:rFonts w:cs="Arial"/>
                <w:bCs/>
              </w:rPr>
            </w:pPr>
            <w:r>
              <w:rPr>
                <w:rFonts w:cs="Arial"/>
                <w:bCs/>
              </w:rPr>
              <w:t>Cross cutting nursing productivity savings</w:t>
            </w:r>
          </w:p>
        </w:tc>
        <w:tc>
          <w:tcPr>
            <w:tcW w:w="1217" w:type="dxa"/>
            <w:tcBorders>
              <w:top w:val="single" w:sz="4" w:space="0" w:color="000000"/>
              <w:left w:val="single" w:sz="4" w:space="0" w:color="000000"/>
              <w:bottom w:val="single" w:sz="4" w:space="0" w:color="000000"/>
              <w:right w:val="single" w:sz="4" w:space="0" w:color="000000"/>
            </w:tcBorders>
          </w:tcPr>
          <w:p w14:paraId="2AC67B16" w14:textId="77777777" w:rsidR="005F1859" w:rsidRPr="00A50B0B" w:rsidRDefault="005F1859" w:rsidP="00EF5C9A">
            <w:pPr>
              <w:jc w:val="center"/>
              <w:rPr>
                <w:rFonts w:cs="Arial"/>
                <w:bCs/>
              </w:rPr>
            </w:pPr>
            <w:r>
              <w:rPr>
                <w:rFonts w:cs="Arial"/>
                <w:bCs/>
              </w:rPr>
              <w:t>0</w:t>
            </w:r>
          </w:p>
        </w:tc>
        <w:tc>
          <w:tcPr>
            <w:tcW w:w="1107" w:type="dxa"/>
            <w:tcBorders>
              <w:top w:val="single" w:sz="4" w:space="0" w:color="000000"/>
              <w:left w:val="single" w:sz="4" w:space="0" w:color="000000"/>
              <w:bottom w:val="single" w:sz="4" w:space="0" w:color="000000"/>
              <w:right w:val="single" w:sz="4" w:space="0" w:color="000000"/>
            </w:tcBorders>
          </w:tcPr>
          <w:p w14:paraId="1B6CC327" w14:textId="77777777" w:rsidR="005F1859" w:rsidRPr="00784DA3" w:rsidRDefault="005F1859" w:rsidP="00EF5C9A">
            <w:pPr>
              <w:jc w:val="center"/>
              <w:rPr>
                <w:rFonts w:cs="Arial"/>
                <w:bCs/>
              </w:rPr>
            </w:pPr>
            <w:r w:rsidRPr="00784DA3">
              <w:rPr>
                <w:rFonts w:cs="Arial"/>
                <w:bCs/>
              </w:rPr>
              <w:t>(0.6)</w:t>
            </w:r>
          </w:p>
        </w:tc>
        <w:tc>
          <w:tcPr>
            <w:tcW w:w="1158" w:type="dxa"/>
            <w:tcBorders>
              <w:top w:val="single" w:sz="4" w:space="0" w:color="000000"/>
              <w:left w:val="single" w:sz="4" w:space="0" w:color="000000"/>
              <w:bottom w:val="single" w:sz="4" w:space="0" w:color="000000"/>
              <w:right w:val="single" w:sz="4" w:space="0" w:color="000000"/>
            </w:tcBorders>
          </w:tcPr>
          <w:p w14:paraId="36876B13" w14:textId="77777777" w:rsidR="005F1859" w:rsidRPr="00784DA3" w:rsidRDefault="005F1859" w:rsidP="00EF5C9A">
            <w:pPr>
              <w:jc w:val="center"/>
              <w:rPr>
                <w:rFonts w:cs="Arial"/>
                <w:bCs/>
              </w:rPr>
            </w:pPr>
            <w:r w:rsidRPr="00784DA3">
              <w:rPr>
                <w:rFonts w:cs="Arial"/>
                <w:bCs/>
              </w:rPr>
              <w:t>0</w:t>
            </w:r>
          </w:p>
        </w:tc>
        <w:tc>
          <w:tcPr>
            <w:tcW w:w="1237" w:type="dxa"/>
            <w:tcBorders>
              <w:top w:val="single" w:sz="4" w:space="0" w:color="000000"/>
              <w:left w:val="single" w:sz="4" w:space="0" w:color="000000"/>
              <w:bottom w:val="single" w:sz="4" w:space="0" w:color="000000"/>
              <w:right w:val="single" w:sz="4" w:space="0" w:color="000000"/>
            </w:tcBorders>
          </w:tcPr>
          <w:p w14:paraId="04238711" w14:textId="77777777" w:rsidR="005F1859" w:rsidRPr="00784DA3" w:rsidRDefault="005F1859" w:rsidP="00EF5C9A">
            <w:pPr>
              <w:jc w:val="center"/>
              <w:rPr>
                <w:rFonts w:cs="Arial"/>
                <w:bCs/>
              </w:rPr>
            </w:pPr>
            <w:r w:rsidRPr="00784DA3">
              <w:rPr>
                <w:rFonts w:cs="Arial"/>
                <w:bCs/>
              </w:rPr>
              <w:t>(0.6)</w:t>
            </w:r>
          </w:p>
        </w:tc>
        <w:tc>
          <w:tcPr>
            <w:tcW w:w="989" w:type="dxa"/>
            <w:tcBorders>
              <w:top w:val="single" w:sz="4" w:space="0" w:color="000000"/>
              <w:left w:val="single" w:sz="4" w:space="0" w:color="000000"/>
              <w:bottom w:val="single" w:sz="4" w:space="0" w:color="000000"/>
              <w:right w:val="single" w:sz="4" w:space="0" w:color="000000"/>
            </w:tcBorders>
          </w:tcPr>
          <w:p w14:paraId="62015A29" w14:textId="77777777" w:rsidR="005F1859" w:rsidRPr="00784DA3" w:rsidRDefault="005F1859" w:rsidP="00EF5C9A">
            <w:pPr>
              <w:jc w:val="center"/>
              <w:rPr>
                <w:rFonts w:cs="Arial"/>
                <w:bCs/>
              </w:rPr>
            </w:pPr>
            <w:r w:rsidRPr="00784DA3">
              <w:rPr>
                <w:rFonts w:cs="Arial"/>
                <w:bCs/>
              </w:rPr>
              <w:t>0</w:t>
            </w:r>
          </w:p>
        </w:tc>
      </w:tr>
      <w:tr w:rsidR="005F1859" w:rsidRPr="0039170E" w14:paraId="08046F9B"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5D7E145C" w14:textId="77777777" w:rsidR="005F1859" w:rsidRDefault="005F1859" w:rsidP="00EF5C9A">
            <w:pPr>
              <w:rPr>
                <w:rFonts w:cs="Arial"/>
                <w:bCs/>
              </w:rPr>
            </w:pPr>
            <w:r>
              <w:rPr>
                <w:rFonts w:cs="Arial"/>
                <w:bCs/>
              </w:rPr>
              <w:t xml:space="preserve">Cross cutting procurement savings </w:t>
            </w:r>
          </w:p>
        </w:tc>
        <w:tc>
          <w:tcPr>
            <w:tcW w:w="1217" w:type="dxa"/>
            <w:tcBorders>
              <w:top w:val="single" w:sz="4" w:space="0" w:color="000000"/>
              <w:left w:val="single" w:sz="4" w:space="0" w:color="000000"/>
              <w:bottom w:val="single" w:sz="4" w:space="0" w:color="000000"/>
              <w:right w:val="single" w:sz="4" w:space="0" w:color="000000"/>
            </w:tcBorders>
          </w:tcPr>
          <w:p w14:paraId="48E002D6" w14:textId="77777777" w:rsidR="005F1859" w:rsidRPr="00A50B0B" w:rsidRDefault="005F1859" w:rsidP="00EF5C9A">
            <w:pPr>
              <w:jc w:val="center"/>
              <w:rPr>
                <w:rFonts w:cs="Arial"/>
                <w:bCs/>
              </w:rPr>
            </w:pPr>
            <w:r>
              <w:rPr>
                <w:rFonts w:cs="Arial"/>
                <w:bCs/>
              </w:rPr>
              <w:t>0</w:t>
            </w:r>
          </w:p>
        </w:tc>
        <w:tc>
          <w:tcPr>
            <w:tcW w:w="1107" w:type="dxa"/>
            <w:tcBorders>
              <w:top w:val="single" w:sz="4" w:space="0" w:color="000000"/>
              <w:left w:val="single" w:sz="4" w:space="0" w:color="000000"/>
              <w:bottom w:val="single" w:sz="4" w:space="0" w:color="000000"/>
              <w:right w:val="single" w:sz="4" w:space="0" w:color="000000"/>
            </w:tcBorders>
          </w:tcPr>
          <w:p w14:paraId="54D9976B" w14:textId="77777777" w:rsidR="005F1859" w:rsidRPr="00784DA3" w:rsidRDefault="005F1859" w:rsidP="00EF5C9A">
            <w:pPr>
              <w:jc w:val="center"/>
              <w:rPr>
                <w:rFonts w:cs="Arial"/>
                <w:bCs/>
              </w:rPr>
            </w:pPr>
            <w:r w:rsidRPr="00784DA3">
              <w:rPr>
                <w:rFonts w:cs="Arial"/>
                <w:bCs/>
              </w:rPr>
              <w:t>(0.5)</w:t>
            </w:r>
          </w:p>
        </w:tc>
        <w:tc>
          <w:tcPr>
            <w:tcW w:w="1158" w:type="dxa"/>
            <w:tcBorders>
              <w:top w:val="single" w:sz="4" w:space="0" w:color="000000"/>
              <w:left w:val="single" w:sz="4" w:space="0" w:color="000000"/>
              <w:bottom w:val="single" w:sz="4" w:space="0" w:color="000000"/>
              <w:right w:val="single" w:sz="4" w:space="0" w:color="000000"/>
            </w:tcBorders>
          </w:tcPr>
          <w:p w14:paraId="3A92CF3E" w14:textId="77777777" w:rsidR="005F1859" w:rsidRPr="00784DA3" w:rsidRDefault="005F1859" w:rsidP="00EF5C9A">
            <w:pPr>
              <w:jc w:val="center"/>
              <w:rPr>
                <w:rFonts w:cs="Arial"/>
                <w:bCs/>
              </w:rPr>
            </w:pPr>
            <w:r w:rsidRPr="00784DA3">
              <w:rPr>
                <w:rFonts w:cs="Arial"/>
                <w:bCs/>
              </w:rPr>
              <w:t>0</w:t>
            </w:r>
          </w:p>
        </w:tc>
        <w:tc>
          <w:tcPr>
            <w:tcW w:w="1237" w:type="dxa"/>
            <w:tcBorders>
              <w:top w:val="single" w:sz="4" w:space="0" w:color="000000"/>
              <w:left w:val="single" w:sz="4" w:space="0" w:color="000000"/>
              <w:bottom w:val="single" w:sz="4" w:space="0" w:color="000000"/>
              <w:right w:val="single" w:sz="4" w:space="0" w:color="000000"/>
            </w:tcBorders>
          </w:tcPr>
          <w:p w14:paraId="2D256287" w14:textId="77777777" w:rsidR="005F1859" w:rsidRPr="00784DA3" w:rsidRDefault="005F1859" w:rsidP="00EF5C9A">
            <w:pPr>
              <w:jc w:val="center"/>
              <w:rPr>
                <w:rFonts w:cs="Arial"/>
                <w:bCs/>
              </w:rPr>
            </w:pPr>
            <w:r w:rsidRPr="00784DA3">
              <w:rPr>
                <w:rFonts w:cs="Arial"/>
                <w:bCs/>
              </w:rPr>
              <w:t>(0.5)</w:t>
            </w:r>
          </w:p>
        </w:tc>
        <w:tc>
          <w:tcPr>
            <w:tcW w:w="989" w:type="dxa"/>
            <w:tcBorders>
              <w:top w:val="single" w:sz="4" w:space="0" w:color="000000"/>
              <w:left w:val="single" w:sz="4" w:space="0" w:color="000000"/>
              <w:bottom w:val="single" w:sz="4" w:space="0" w:color="000000"/>
              <w:right w:val="single" w:sz="4" w:space="0" w:color="000000"/>
            </w:tcBorders>
          </w:tcPr>
          <w:p w14:paraId="0E41A931" w14:textId="77777777" w:rsidR="005F1859" w:rsidRPr="00784DA3" w:rsidRDefault="005F1859" w:rsidP="00EF5C9A">
            <w:pPr>
              <w:jc w:val="center"/>
              <w:rPr>
                <w:rFonts w:cs="Arial"/>
                <w:bCs/>
              </w:rPr>
            </w:pPr>
            <w:r w:rsidRPr="00784DA3">
              <w:rPr>
                <w:rFonts w:cs="Arial"/>
                <w:bCs/>
              </w:rPr>
              <w:t>0</w:t>
            </w:r>
          </w:p>
        </w:tc>
      </w:tr>
      <w:tr w:rsidR="005F1859" w:rsidRPr="0039170E" w14:paraId="3FE637EC" w14:textId="77777777" w:rsidTr="00EF5C9A">
        <w:trPr>
          <w:trHeight w:val="270"/>
          <w:jc w:val="center"/>
        </w:trPr>
        <w:tc>
          <w:tcPr>
            <w:tcW w:w="3308" w:type="dxa"/>
            <w:tcBorders>
              <w:top w:val="single" w:sz="4" w:space="0" w:color="000000"/>
              <w:left w:val="single" w:sz="4" w:space="0" w:color="000000"/>
              <w:bottom w:val="single" w:sz="4" w:space="0" w:color="000000"/>
              <w:right w:val="single" w:sz="4" w:space="0" w:color="000000"/>
            </w:tcBorders>
          </w:tcPr>
          <w:p w14:paraId="2D3A46A1" w14:textId="77777777" w:rsidR="005F1859" w:rsidRPr="0039170E" w:rsidRDefault="005F1859" w:rsidP="00EF5C9A">
            <w:pPr>
              <w:rPr>
                <w:rFonts w:cs="Arial"/>
                <w:b/>
                <w:bCs/>
              </w:rPr>
            </w:pPr>
            <w:r>
              <w:rPr>
                <w:rFonts w:cs="Arial"/>
                <w:b/>
                <w:bCs/>
              </w:rPr>
              <w:t>Total savings</w:t>
            </w:r>
          </w:p>
        </w:tc>
        <w:tc>
          <w:tcPr>
            <w:tcW w:w="1217" w:type="dxa"/>
            <w:tcBorders>
              <w:top w:val="single" w:sz="4" w:space="0" w:color="000000"/>
              <w:left w:val="single" w:sz="4" w:space="0" w:color="000000"/>
              <w:bottom w:val="single" w:sz="4" w:space="0" w:color="000000"/>
              <w:right w:val="single" w:sz="4" w:space="0" w:color="000000"/>
            </w:tcBorders>
          </w:tcPr>
          <w:p w14:paraId="2FB4669B" w14:textId="77777777" w:rsidR="005F1859" w:rsidRPr="00A50B0B" w:rsidRDefault="005F1859" w:rsidP="00EF5C9A">
            <w:pPr>
              <w:jc w:val="center"/>
              <w:rPr>
                <w:rFonts w:cs="Arial"/>
                <w:b/>
                <w:bCs/>
              </w:rPr>
            </w:pPr>
            <w:r w:rsidRPr="00A50B0B">
              <w:rPr>
                <w:rFonts w:cs="Arial"/>
                <w:b/>
                <w:bCs/>
              </w:rPr>
              <w:t>(20.6)</w:t>
            </w:r>
          </w:p>
        </w:tc>
        <w:tc>
          <w:tcPr>
            <w:tcW w:w="1107" w:type="dxa"/>
            <w:tcBorders>
              <w:top w:val="single" w:sz="4" w:space="0" w:color="000000"/>
              <w:left w:val="single" w:sz="4" w:space="0" w:color="000000"/>
              <w:bottom w:val="single" w:sz="4" w:space="0" w:color="000000"/>
              <w:right w:val="single" w:sz="4" w:space="0" w:color="000000"/>
            </w:tcBorders>
          </w:tcPr>
          <w:p w14:paraId="36D1132A" w14:textId="77777777" w:rsidR="005F1859" w:rsidRPr="00784DA3" w:rsidRDefault="005F1859" w:rsidP="00EF5C9A">
            <w:pPr>
              <w:jc w:val="center"/>
              <w:rPr>
                <w:rFonts w:cs="Arial"/>
                <w:b/>
                <w:bCs/>
              </w:rPr>
            </w:pPr>
            <w:r w:rsidRPr="00784DA3">
              <w:rPr>
                <w:rFonts w:cs="Arial"/>
                <w:b/>
                <w:bCs/>
              </w:rPr>
              <w:t>(16.3)</w:t>
            </w:r>
          </w:p>
        </w:tc>
        <w:tc>
          <w:tcPr>
            <w:tcW w:w="1158" w:type="dxa"/>
            <w:tcBorders>
              <w:top w:val="single" w:sz="4" w:space="0" w:color="000000"/>
              <w:left w:val="single" w:sz="4" w:space="0" w:color="000000"/>
              <w:bottom w:val="single" w:sz="4" w:space="0" w:color="000000"/>
              <w:right w:val="single" w:sz="4" w:space="0" w:color="000000"/>
            </w:tcBorders>
          </w:tcPr>
          <w:p w14:paraId="0DD8F758" w14:textId="77777777" w:rsidR="005F1859" w:rsidRPr="00784DA3" w:rsidRDefault="005F1859" w:rsidP="00EF5C9A">
            <w:pPr>
              <w:jc w:val="center"/>
              <w:rPr>
                <w:rFonts w:cs="Arial"/>
                <w:b/>
                <w:bCs/>
              </w:rPr>
            </w:pPr>
            <w:r w:rsidRPr="00784DA3">
              <w:rPr>
                <w:rFonts w:cs="Arial"/>
                <w:b/>
                <w:bCs/>
              </w:rPr>
              <w:t>79</w:t>
            </w:r>
          </w:p>
        </w:tc>
        <w:tc>
          <w:tcPr>
            <w:tcW w:w="1237" w:type="dxa"/>
            <w:tcBorders>
              <w:top w:val="single" w:sz="4" w:space="0" w:color="000000"/>
              <w:left w:val="single" w:sz="4" w:space="0" w:color="000000"/>
              <w:bottom w:val="single" w:sz="4" w:space="0" w:color="000000"/>
              <w:right w:val="single" w:sz="4" w:space="0" w:color="000000"/>
            </w:tcBorders>
          </w:tcPr>
          <w:p w14:paraId="5795B093" w14:textId="77777777" w:rsidR="005F1859" w:rsidRPr="00784DA3" w:rsidRDefault="005F1859" w:rsidP="00EF5C9A">
            <w:pPr>
              <w:jc w:val="center"/>
              <w:rPr>
                <w:rFonts w:cs="Arial"/>
                <w:b/>
                <w:bCs/>
              </w:rPr>
            </w:pPr>
            <w:r w:rsidRPr="00784DA3">
              <w:rPr>
                <w:rFonts w:cs="Arial"/>
                <w:b/>
                <w:bCs/>
              </w:rPr>
              <w:t>(15.2)</w:t>
            </w:r>
          </w:p>
        </w:tc>
        <w:tc>
          <w:tcPr>
            <w:tcW w:w="989" w:type="dxa"/>
            <w:tcBorders>
              <w:top w:val="single" w:sz="4" w:space="0" w:color="000000"/>
              <w:left w:val="single" w:sz="4" w:space="0" w:color="000000"/>
              <w:bottom w:val="single" w:sz="4" w:space="0" w:color="000000"/>
              <w:right w:val="single" w:sz="4" w:space="0" w:color="000000"/>
            </w:tcBorders>
          </w:tcPr>
          <w:p w14:paraId="24A3EDCB" w14:textId="77777777" w:rsidR="005F1859" w:rsidRPr="00784DA3" w:rsidRDefault="005F1859" w:rsidP="00EF5C9A">
            <w:pPr>
              <w:jc w:val="center"/>
              <w:rPr>
                <w:rFonts w:cs="Arial"/>
                <w:b/>
                <w:bCs/>
              </w:rPr>
            </w:pPr>
            <w:r w:rsidRPr="00784DA3">
              <w:rPr>
                <w:rFonts w:cs="Arial"/>
                <w:b/>
                <w:bCs/>
              </w:rPr>
              <w:t>74</w:t>
            </w:r>
          </w:p>
        </w:tc>
      </w:tr>
    </w:tbl>
    <w:p w14:paraId="7DFC34E5" w14:textId="77777777" w:rsidR="005F1859" w:rsidRDefault="005F1859" w:rsidP="005F1859"/>
    <w:p w14:paraId="4F861F11" w14:textId="77777777" w:rsidR="005F1859" w:rsidRDefault="005F1859" w:rsidP="005F1859">
      <w:pPr>
        <w:rPr>
          <w:rFonts w:cs="Arial"/>
        </w:rPr>
      </w:pPr>
      <w:r>
        <w:rPr>
          <w:rFonts w:cs="Arial"/>
        </w:rPr>
        <w:t xml:space="preserve">The delivery methodologies and capabilities outlined in 1.9.2 to support medium term savings will only have a partial benefit during 2020/21, and so savings in 2020/21 will have a greater transactional focus, but implementation of improved capability and ways of working will be progressed as quickly as possible in 2020/21 to support delivery in 2020/21 and into 2021/22. </w:t>
      </w:r>
    </w:p>
    <w:p w14:paraId="67629BFA" w14:textId="77777777" w:rsidR="005F1859" w:rsidRDefault="005F1859" w:rsidP="005F1859">
      <w:pPr>
        <w:pStyle w:val="Heading3"/>
        <w:ind w:left="1146" w:hanging="720"/>
        <w:rPr>
          <w:rFonts w:cs="Arial"/>
        </w:rPr>
      </w:pPr>
      <w:r>
        <w:t>Savings P</w:t>
      </w:r>
      <w:r w:rsidRPr="00986EAA">
        <w:t xml:space="preserve">lans for Years </w:t>
      </w:r>
      <w:r>
        <w:t>2 and 3 (and subsequent years)</w:t>
      </w:r>
      <w:r w:rsidRPr="00E12345">
        <w:rPr>
          <w:rFonts w:cs="Arial"/>
        </w:rPr>
        <w:tab/>
      </w:r>
    </w:p>
    <w:p w14:paraId="4D06A6A1" w14:textId="77777777" w:rsidR="005F1859" w:rsidRDefault="005F1859" w:rsidP="005F1859">
      <w:r>
        <w:t xml:space="preserve">As described in the financial strategy, achieving financial sustainability and the broader objectives in the strategy around best value and improved quality and outcomes requires a deeper level of service improvement, including development involving new service models and pathways, service reconfiguration as well as productivity improvement. This will require investment in value based health care capability, improvement support for directorates, improved analytics as well an investments in digital functionality to support changes and in new workforce models. </w:t>
      </w:r>
    </w:p>
    <w:p w14:paraId="13333C0B" w14:textId="77777777" w:rsidR="005F1859" w:rsidRDefault="005F1859" w:rsidP="005F1859"/>
    <w:p w14:paraId="2F932566" w14:textId="77777777" w:rsidR="005F1859" w:rsidRDefault="005F1859" w:rsidP="005F1859">
      <w:r w:rsidRPr="00422D0E">
        <w:t xml:space="preserve">A summary of the medium term savings opportunities is provided below: </w:t>
      </w:r>
    </w:p>
    <w:p w14:paraId="3B0E84C2" w14:textId="77777777" w:rsidR="005F1859" w:rsidRPr="00327628" w:rsidRDefault="005F1859" w:rsidP="005F1859">
      <w:r w:rsidRPr="00923438">
        <w:rPr>
          <w:noProof/>
        </w:rPr>
        <w:lastRenderedPageBreak/>
        <w:drawing>
          <wp:inline distT="0" distB="0" distL="0" distR="0" wp14:anchorId="306F732F" wp14:editId="3EA29C7A">
            <wp:extent cx="5581387" cy="7206018"/>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586706" cy="7212886"/>
                    </a:xfrm>
                    <a:prstGeom prst="rect">
                      <a:avLst/>
                    </a:prstGeom>
                    <a:noFill/>
                    <a:ln>
                      <a:noFill/>
                    </a:ln>
                  </pic:spPr>
                </pic:pic>
              </a:graphicData>
            </a:graphic>
          </wp:inline>
        </w:drawing>
      </w:r>
    </w:p>
    <w:p w14:paraId="3707E3FD" w14:textId="77777777" w:rsidR="005F1859" w:rsidRPr="00986EAA" w:rsidRDefault="005F1859" w:rsidP="005F1859">
      <w:pPr>
        <w:pStyle w:val="Heading2"/>
        <w:ind w:left="1077" w:hanging="1077"/>
      </w:pPr>
      <w:bookmarkStart w:id="188" w:name="_Toc536195584"/>
      <w:bookmarkStart w:id="189" w:name="_Toc536528066"/>
      <w:r w:rsidRPr="00986EAA">
        <w:t>Key Risks to the 20</w:t>
      </w:r>
      <w:r>
        <w:t>20</w:t>
      </w:r>
      <w:r w:rsidRPr="00986EAA">
        <w:t>/2</w:t>
      </w:r>
      <w:r>
        <w:t>1</w:t>
      </w:r>
      <w:r w:rsidRPr="00986EAA">
        <w:t xml:space="preserve"> Financial Plan</w:t>
      </w:r>
      <w:bookmarkEnd w:id="188"/>
      <w:bookmarkEnd w:id="189"/>
      <w:r w:rsidRPr="00986EAA">
        <w:t xml:space="preserve">    </w:t>
      </w:r>
    </w:p>
    <w:p w14:paraId="44C22EC3" w14:textId="77777777" w:rsidR="005F1859" w:rsidRDefault="005F1859" w:rsidP="005F1859">
      <w:r w:rsidRPr="00E63F42">
        <w:t>The key risks to the 2020/21 financial plan are summarised in the following table.  The table shows the worst case position (as per the WG financial templates) and also a more realistic probability adjusted risk which applies probability assessments to the worse case position:</w:t>
      </w:r>
    </w:p>
    <w:p w14:paraId="6888BE1D" w14:textId="77777777" w:rsidR="005F1859" w:rsidRDefault="005F1859" w:rsidP="005F1859"/>
    <w:p w14:paraId="60F23F1E" w14:textId="77777777" w:rsidR="005F1859" w:rsidRDefault="005F1859" w:rsidP="005F1859">
      <w:pPr>
        <w:rPr>
          <w:rFonts w:cs="Arial"/>
          <w:highlight w:val="green"/>
        </w:rPr>
      </w:pPr>
    </w:p>
    <w:tbl>
      <w:tblPr>
        <w:tblW w:w="9067" w:type="dxa"/>
        <w:jc w:val="center"/>
        <w:tblLayout w:type="fixed"/>
        <w:tblLook w:val="04A0" w:firstRow="1" w:lastRow="0" w:firstColumn="1" w:lastColumn="0" w:noHBand="0" w:noVBand="1"/>
      </w:tblPr>
      <w:tblGrid>
        <w:gridCol w:w="4106"/>
        <w:gridCol w:w="1276"/>
        <w:gridCol w:w="1134"/>
        <w:gridCol w:w="1134"/>
        <w:gridCol w:w="1417"/>
      </w:tblGrid>
      <w:tr w:rsidR="005F1859" w:rsidRPr="002A1D42" w14:paraId="1D3BB158" w14:textId="77777777" w:rsidTr="00EF5C9A">
        <w:trPr>
          <w:trHeight w:val="900"/>
          <w:tblHeader/>
          <w:jc w:val="center"/>
        </w:trPr>
        <w:tc>
          <w:tcPr>
            <w:tcW w:w="4106"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486C40E8" w14:textId="77777777" w:rsidR="005F1859" w:rsidRPr="00DC06FC" w:rsidRDefault="005F1859" w:rsidP="00EF5C9A">
            <w:pPr>
              <w:jc w:val="center"/>
              <w:rPr>
                <w:rFonts w:asciiTheme="minorHAnsi" w:hAnsiTheme="minorHAnsi" w:cs="Times New Roman"/>
                <w:b/>
                <w:color w:val="000000"/>
                <w:sz w:val="20"/>
                <w:szCs w:val="20"/>
              </w:rPr>
            </w:pPr>
          </w:p>
          <w:p w14:paraId="7C02EA68"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Table 1</w:t>
            </w:r>
          </w:p>
          <w:p w14:paraId="16E787BA"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Risk Assessment of 2020/21 financial plan</w:t>
            </w:r>
          </w:p>
        </w:tc>
        <w:tc>
          <w:tcPr>
            <w:tcW w:w="1276" w:type="dxa"/>
            <w:tcBorders>
              <w:top w:val="single" w:sz="4" w:space="0" w:color="auto"/>
              <w:left w:val="nil"/>
              <w:bottom w:val="nil"/>
              <w:right w:val="single" w:sz="4" w:space="0" w:color="auto"/>
            </w:tcBorders>
            <w:shd w:val="clear" w:color="auto" w:fill="DBE5F1" w:themeFill="accent1" w:themeFillTint="33"/>
            <w:vAlign w:val="center"/>
            <w:hideMark/>
          </w:tcPr>
          <w:p w14:paraId="4B4EAC6F"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Plan Assumption</w:t>
            </w:r>
          </w:p>
        </w:tc>
        <w:tc>
          <w:tcPr>
            <w:tcW w:w="1134" w:type="dxa"/>
            <w:tcBorders>
              <w:top w:val="single" w:sz="4" w:space="0" w:color="auto"/>
              <w:left w:val="nil"/>
              <w:bottom w:val="nil"/>
              <w:right w:val="single" w:sz="4" w:space="0" w:color="auto"/>
            </w:tcBorders>
            <w:shd w:val="clear" w:color="auto" w:fill="DBE5F1" w:themeFill="accent1" w:themeFillTint="33"/>
            <w:vAlign w:val="center"/>
            <w:hideMark/>
          </w:tcPr>
          <w:p w14:paraId="2439EB34"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Worse Case Risk</w:t>
            </w:r>
          </w:p>
        </w:tc>
        <w:tc>
          <w:tcPr>
            <w:tcW w:w="1134" w:type="dxa"/>
            <w:tcBorders>
              <w:top w:val="single" w:sz="4" w:space="0" w:color="auto"/>
              <w:left w:val="nil"/>
              <w:bottom w:val="nil"/>
              <w:right w:val="single" w:sz="4" w:space="0" w:color="auto"/>
            </w:tcBorders>
            <w:shd w:val="clear" w:color="auto" w:fill="DBE5F1" w:themeFill="accent1" w:themeFillTint="33"/>
            <w:vAlign w:val="center"/>
            <w:hideMark/>
          </w:tcPr>
          <w:p w14:paraId="5D00EB4D"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 xml:space="preserve">Probability </w:t>
            </w:r>
          </w:p>
        </w:tc>
        <w:tc>
          <w:tcPr>
            <w:tcW w:w="1417" w:type="dxa"/>
            <w:tcBorders>
              <w:top w:val="single" w:sz="4" w:space="0" w:color="auto"/>
              <w:left w:val="nil"/>
              <w:bottom w:val="nil"/>
              <w:right w:val="single" w:sz="4" w:space="0" w:color="auto"/>
            </w:tcBorders>
            <w:shd w:val="clear" w:color="auto" w:fill="DBE5F1" w:themeFill="accent1" w:themeFillTint="33"/>
            <w:vAlign w:val="center"/>
            <w:hideMark/>
          </w:tcPr>
          <w:p w14:paraId="074FD8C5"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Probability Adjusted Risk</w:t>
            </w:r>
          </w:p>
        </w:tc>
      </w:tr>
      <w:tr w:rsidR="005F1859" w:rsidRPr="002A1D42" w14:paraId="318A42F0" w14:textId="77777777" w:rsidTr="00EF5C9A">
        <w:trPr>
          <w:trHeight w:val="87"/>
          <w:jc w:val="center"/>
        </w:trPr>
        <w:tc>
          <w:tcPr>
            <w:tcW w:w="4106" w:type="dxa"/>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160F4427" w14:textId="77777777" w:rsidR="005F1859" w:rsidRPr="00DC06FC" w:rsidRDefault="005F1859" w:rsidP="00EF5C9A">
            <w:pPr>
              <w:jc w:val="left"/>
              <w:rPr>
                <w:rFonts w:ascii="Times New Roman" w:hAnsi="Times New Roman" w:cs="Times New Roman"/>
                <w:sz w:val="20"/>
                <w:szCs w:val="20"/>
              </w:rPr>
            </w:pPr>
          </w:p>
        </w:tc>
        <w:tc>
          <w:tcPr>
            <w:tcW w:w="1276" w:type="dxa"/>
            <w:tcBorders>
              <w:top w:val="nil"/>
              <w:left w:val="nil"/>
              <w:bottom w:val="single" w:sz="4" w:space="0" w:color="auto"/>
              <w:right w:val="single" w:sz="4" w:space="0" w:color="auto"/>
            </w:tcBorders>
            <w:shd w:val="clear" w:color="auto" w:fill="DBE5F1" w:themeFill="accent1" w:themeFillTint="33"/>
            <w:noWrap/>
            <w:vAlign w:val="center"/>
            <w:hideMark/>
          </w:tcPr>
          <w:p w14:paraId="62B65512"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£m</w:t>
            </w:r>
          </w:p>
        </w:tc>
        <w:tc>
          <w:tcPr>
            <w:tcW w:w="1134" w:type="dxa"/>
            <w:tcBorders>
              <w:top w:val="nil"/>
              <w:left w:val="nil"/>
              <w:bottom w:val="single" w:sz="4" w:space="0" w:color="auto"/>
              <w:right w:val="single" w:sz="4" w:space="0" w:color="auto"/>
            </w:tcBorders>
            <w:shd w:val="clear" w:color="auto" w:fill="DBE5F1" w:themeFill="accent1" w:themeFillTint="33"/>
            <w:noWrap/>
            <w:vAlign w:val="center"/>
            <w:hideMark/>
          </w:tcPr>
          <w:p w14:paraId="07EA89A1"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£m</w:t>
            </w:r>
          </w:p>
        </w:tc>
        <w:tc>
          <w:tcPr>
            <w:tcW w:w="1134" w:type="dxa"/>
            <w:tcBorders>
              <w:top w:val="nil"/>
              <w:left w:val="nil"/>
              <w:bottom w:val="single" w:sz="4" w:space="0" w:color="auto"/>
              <w:right w:val="single" w:sz="4" w:space="0" w:color="auto"/>
            </w:tcBorders>
            <w:shd w:val="clear" w:color="auto" w:fill="DBE5F1" w:themeFill="accent1" w:themeFillTint="33"/>
            <w:noWrap/>
            <w:vAlign w:val="bottom"/>
            <w:hideMark/>
          </w:tcPr>
          <w:p w14:paraId="4BAEA327"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w:t>
            </w:r>
          </w:p>
        </w:tc>
        <w:tc>
          <w:tcPr>
            <w:tcW w:w="1417" w:type="dxa"/>
            <w:tcBorders>
              <w:top w:val="nil"/>
              <w:left w:val="nil"/>
              <w:bottom w:val="single" w:sz="4" w:space="0" w:color="auto"/>
              <w:right w:val="single" w:sz="4" w:space="0" w:color="auto"/>
            </w:tcBorders>
            <w:shd w:val="clear" w:color="auto" w:fill="DBE5F1" w:themeFill="accent1" w:themeFillTint="33"/>
            <w:noWrap/>
            <w:vAlign w:val="bottom"/>
            <w:hideMark/>
          </w:tcPr>
          <w:p w14:paraId="05B5FBD1" w14:textId="77777777" w:rsidR="005F1859" w:rsidRPr="00DC06FC" w:rsidRDefault="005F1859" w:rsidP="00EF5C9A">
            <w:pPr>
              <w:jc w:val="center"/>
              <w:rPr>
                <w:rFonts w:asciiTheme="minorHAnsi" w:hAnsiTheme="minorHAnsi" w:cs="Times New Roman"/>
                <w:b/>
                <w:color w:val="000000"/>
                <w:sz w:val="20"/>
                <w:szCs w:val="20"/>
              </w:rPr>
            </w:pPr>
            <w:r w:rsidRPr="00DC06FC">
              <w:rPr>
                <w:rFonts w:asciiTheme="minorHAnsi" w:hAnsiTheme="minorHAnsi" w:cs="Times New Roman"/>
                <w:b/>
                <w:color w:val="000000"/>
                <w:sz w:val="20"/>
                <w:szCs w:val="20"/>
              </w:rPr>
              <w:t>£m</w:t>
            </w:r>
          </w:p>
        </w:tc>
      </w:tr>
      <w:tr w:rsidR="005F1859" w:rsidRPr="00AE74C1" w14:paraId="3CAF480D"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center"/>
          </w:tcPr>
          <w:p w14:paraId="2036CC01" w14:textId="77777777" w:rsidR="005F1859" w:rsidRPr="006271F4" w:rsidRDefault="005F1859" w:rsidP="00EF5C9A">
            <w:pPr>
              <w:rPr>
                <w:rFonts w:asciiTheme="minorHAnsi" w:hAnsiTheme="minorHAnsi" w:cs="Times New Roman"/>
                <w:b/>
                <w:color w:val="000000"/>
                <w:sz w:val="20"/>
                <w:szCs w:val="20"/>
              </w:rPr>
            </w:pPr>
            <w:r w:rsidRPr="006271F4">
              <w:rPr>
                <w:rFonts w:asciiTheme="minorHAnsi" w:hAnsiTheme="minorHAnsi" w:cs="Times New Roman"/>
                <w:b/>
                <w:color w:val="000000"/>
                <w:sz w:val="20"/>
                <w:szCs w:val="20"/>
              </w:rPr>
              <w:lastRenderedPageBreak/>
              <w:t>Funding risks:</w:t>
            </w:r>
          </w:p>
        </w:tc>
        <w:tc>
          <w:tcPr>
            <w:tcW w:w="1276" w:type="dxa"/>
            <w:tcBorders>
              <w:top w:val="nil"/>
              <w:left w:val="nil"/>
              <w:bottom w:val="single" w:sz="4" w:space="0" w:color="auto"/>
              <w:right w:val="single" w:sz="4" w:space="0" w:color="auto"/>
            </w:tcBorders>
            <w:noWrap/>
            <w:vAlign w:val="center"/>
          </w:tcPr>
          <w:p w14:paraId="713CFB88" w14:textId="77777777" w:rsidR="005F1859" w:rsidRPr="006271F4" w:rsidRDefault="005F1859" w:rsidP="00EF5C9A">
            <w:pPr>
              <w:jc w:val="center"/>
              <w:rPr>
                <w:rFonts w:asciiTheme="minorHAnsi" w:hAnsiTheme="minorHAnsi" w:cs="Times New Roman"/>
                <w:color w:val="000000"/>
                <w:sz w:val="20"/>
                <w:szCs w:val="20"/>
              </w:rPr>
            </w:pPr>
          </w:p>
        </w:tc>
        <w:tc>
          <w:tcPr>
            <w:tcW w:w="1134" w:type="dxa"/>
            <w:tcBorders>
              <w:top w:val="nil"/>
              <w:left w:val="nil"/>
              <w:bottom w:val="single" w:sz="4" w:space="0" w:color="auto"/>
              <w:right w:val="single" w:sz="4" w:space="0" w:color="auto"/>
            </w:tcBorders>
            <w:noWrap/>
            <w:vAlign w:val="center"/>
          </w:tcPr>
          <w:p w14:paraId="4B8A80F3" w14:textId="77777777" w:rsidR="005F1859" w:rsidRPr="006271F4" w:rsidRDefault="005F1859" w:rsidP="00EF5C9A">
            <w:pPr>
              <w:jc w:val="center"/>
              <w:rPr>
                <w:rFonts w:asciiTheme="minorHAnsi" w:hAnsiTheme="minorHAnsi" w:cs="Times New Roman"/>
                <w:color w:val="000000"/>
                <w:sz w:val="20"/>
                <w:szCs w:val="20"/>
              </w:rPr>
            </w:pPr>
          </w:p>
        </w:tc>
        <w:tc>
          <w:tcPr>
            <w:tcW w:w="1134" w:type="dxa"/>
            <w:tcBorders>
              <w:top w:val="nil"/>
              <w:left w:val="nil"/>
              <w:bottom w:val="single" w:sz="4" w:space="0" w:color="auto"/>
              <w:right w:val="single" w:sz="4" w:space="0" w:color="auto"/>
            </w:tcBorders>
            <w:noWrap/>
            <w:vAlign w:val="center"/>
          </w:tcPr>
          <w:p w14:paraId="1B81BD86" w14:textId="77777777" w:rsidR="005F1859" w:rsidRPr="006271F4" w:rsidRDefault="005F1859" w:rsidP="00EF5C9A">
            <w:pPr>
              <w:jc w:val="center"/>
              <w:rPr>
                <w:rFonts w:asciiTheme="minorHAnsi" w:hAnsiTheme="minorHAnsi" w:cs="Times New Roman"/>
                <w:color w:val="000000"/>
                <w:sz w:val="20"/>
                <w:szCs w:val="20"/>
              </w:rPr>
            </w:pPr>
          </w:p>
        </w:tc>
        <w:tc>
          <w:tcPr>
            <w:tcW w:w="1417" w:type="dxa"/>
            <w:tcBorders>
              <w:top w:val="nil"/>
              <w:left w:val="nil"/>
              <w:bottom w:val="single" w:sz="4" w:space="0" w:color="auto"/>
              <w:right w:val="single" w:sz="4" w:space="0" w:color="auto"/>
            </w:tcBorders>
            <w:noWrap/>
            <w:vAlign w:val="center"/>
          </w:tcPr>
          <w:p w14:paraId="5B508FF3" w14:textId="77777777" w:rsidR="005F1859" w:rsidRPr="006271F4" w:rsidRDefault="005F1859" w:rsidP="00EF5C9A">
            <w:pPr>
              <w:jc w:val="center"/>
              <w:rPr>
                <w:rFonts w:asciiTheme="minorHAnsi" w:hAnsiTheme="minorHAnsi" w:cs="Times New Roman"/>
                <w:color w:val="000000"/>
                <w:sz w:val="20"/>
                <w:szCs w:val="20"/>
              </w:rPr>
            </w:pPr>
          </w:p>
        </w:tc>
      </w:tr>
      <w:tr w:rsidR="005F1859" w:rsidRPr="00AE74C1" w14:paraId="289F6D16"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center"/>
          </w:tcPr>
          <w:p w14:paraId="2B6BEE58" w14:textId="77777777" w:rsidR="005F1859" w:rsidRPr="006271F4" w:rsidRDefault="005F1859" w:rsidP="00EF5C9A">
            <w:pPr>
              <w:rPr>
                <w:rFonts w:asciiTheme="minorHAnsi" w:hAnsiTheme="minorHAnsi" w:cs="Times New Roman"/>
                <w:color w:val="000000"/>
                <w:sz w:val="20"/>
                <w:szCs w:val="20"/>
              </w:rPr>
            </w:pPr>
            <w:r w:rsidRPr="006271F4">
              <w:rPr>
                <w:rFonts w:asciiTheme="minorHAnsi" w:hAnsiTheme="minorHAnsi" w:cs="Times New Roman"/>
                <w:color w:val="000000"/>
                <w:sz w:val="20"/>
                <w:szCs w:val="20"/>
              </w:rPr>
              <w:t>New Treatment Fund - assumed continuation of non-recurrent funding received in 19/20.</w:t>
            </w:r>
          </w:p>
        </w:tc>
        <w:tc>
          <w:tcPr>
            <w:tcW w:w="1276" w:type="dxa"/>
            <w:tcBorders>
              <w:top w:val="nil"/>
              <w:left w:val="nil"/>
              <w:bottom w:val="single" w:sz="4" w:space="0" w:color="auto"/>
              <w:right w:val="single" w:sz="4" w:space="0" w:color="auto"/>
            </w:tcBorders>
            <w:noWrap/>
            <w:vAlign w:val="center"/>
          </w:tcPr>
          <w:p w14:paraId="66A374B7"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2.6</w:t>
            </w:r>
          </w:p>
        </w:tc>
        <w:tc>
          <w:tcPr>
            <w:tcW w:w="1134" w:type="dxa"/>
            <w:tcBorders>
              <w:top w:val="nil"/>
              <w:left w:val="nil"/>
              <w:bottom w:val="single" w:sz="4" w:space="0" w:color="auto"/>
              <w:right w:val="single" w:sz="4" w:space="0" w:color="auto"/>
            </w:tcBorders>
            <w:noWrap/>
            <w:vAlign w:val="center"/>
          </w:tcPr>
          <w:p w14:paraId="27C18D03"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2.6</w:t>
            </w:r>
          </w:p>
        </w:tc>
        <w:tc>
          <w:tcPr>
            <w:tcW w:w="1134" w:type="dxa"/>
            <w:tcBorders>
              <w:top w:val="nil"/>
              <w:left w:val="nil"/>
              <w:bottom w:val="single" w:sz="4" w:space="0" w:color="auto"/>
              <w:right w:val="single" w:sz="4" w:space="0" w:color="auto"/>
            </w:tcBorders>
            <w:noWrap/>
            <w:vAlign w:val="center"/>
          </w:tcPr>
          <w:p w14:paraId="474B8195"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10</w:t>
            </w:r>
          </w:p>
        </w:tc>
        <w:tc>
          <w:tcPr>
            <w:tcW w:w="1417" w:type="dxa"/>
            <w:tcBorders>
              <w:top w:val="nil"/>
              <w:left w:val="nil"/>
              <w:bottom w:val="single" w:sz="4" w:space="0" w:color="auto"/>
              <w:right w:val="single" w:sz="4" w:space="0" w:color="auto"/>
            </w:tcBorders>
            <w:noWrap/>
            <w:vAlign w:val="center"/>
          </w:tcPr>
          <w:p w14:paraId="36B714A2"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0.26</w:t>
            </w:r>
          </w:p>
        </w:tc>
      </w:tr>
      <w:tr w:rsidR="005F1859" w:rsidRPr="00AE74C1" w14:paraId="5A3CBED4"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bottom"/>
          </w:tcPr>
          <w:p w14:paraId="07289D7E" w14:textId="77777777" w:rsidR="005F1859" w:rsidRPr="006271F4" w:rsidRDefault="005F1859" w:rsidP="00EF5C9A">
            <w:pPr>
              <w:rPr>
                <w:sz w:val="20"/>
                <w:szCs w:val="20"/>
              </w:rPr>
            </w:pPr>
            <w:r w:rsidRPr="006271F4">
              <w:rPr>
                <w:sz w:val="20"/>
                <w:szCs w:val="20"/>
              </w:rPr>
              <w:t>Unavoidable costs associated with the Health Board’s Targeted Intervention status exceeding available funding from WG</w:t>
            </w:r>
          </w:p>
        </w:tc>
        <w:tc>
          <w:tcPr>
            <w:tcW w:w="1276" w:type="dxa"/>
            <w:tcBorders>
              <w:top w:val="single" w:sz="4" w:space="0" w:color="auto"/>
              <w:left w:val="nil"/>
              <w:bottom w:val="single" w:sz="4" w:space="0" w:color="auto"/>
              <w:right w:val="single" w:sz="4" w:space="0" w:color="auto"/>
            </w:tcBorders>
            <w:noWrap/>
            <w:vAlign w:val="center"/>
          </w:tcPr>
          <w:p w14:paraId="3C2E9C9A"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3.5</w:t>
            </w:r>
          </w:p>
        </w:tc>
        <w:tc>
          <w:tcPr>
            <w:tcW w:w="1134" w:type="dxa"/>
            <w:tcBorders>
              <w:top w:val="single" w:sz="4" w:space="0" w:color="auto"/>
              <w:left w:val="nil"/>
              <w:bottom w:val="single" w:sz="4" w:space="0" w:color="auto"/>
              <w:right w:val="single" w:sz="4" w:space="0" w:color="auto"/>
            </w:tcBorders>
            <w:noWrap/>
            <w:vAlign w:val="center"/>
          </w:tcPr>
          <w:p w14:paraId="633A91C4" w14:textId="77777777" w:rsidR="005F1859" w:rsidRPr="006271F4" w:rsidRDefault="005F1859" w:rsidP="00EF5C9A">
            <w:pPr>
              <w:jc w:val="center"/>
              <w:rPr>
                <w:rFonts w:asciiTheme="minorHAnsi" w:hAnsiTheme="minorHAnsi" w:cs="Times New Roman"/>
                <w:color w:val="000000"/>
                <w:sz w:val="20"/>
                <w:szCs w:val="20"/>
              </w:rPr>
            </w:pPr>
            <w:r>
              <w:rPr>
                <w:rFonts w:asciiTheme="minorHAnsi" w:hAnsiTheme="minorHAnsi" w:cs="Times New Roman"/>
                <w:color w:val="000000"/>
                <w:sz w:val="20"/>
                <w:szCs w:val="20"/>
              </w:rPr>
              <w:t>0.5</w:t>
            </w:r>
          </w:p>
        </w:tc>
        <w:tc>
          <w:tcPr>
            <w:tcW w:w="1134" w:type="dxa"/>
            <w:tcBorders>
              <w:top w:val="single" w:sz="4" w:space="0" w:color="auto"/>
              <w:left w:val="nil"/>
              <w:bottom w:val="single" w:sz="4" w:space="0" w:color="auto"/>
              <w:right w:val="single" w:sz="4" w:space="0" w:color="auto"/>
            </w:tcBorders>
            <w:noWrap/>
            <w:vAlign w:val="center"/>
          </w:tcPr>
          <w:p w14:paraId="58F6F387" w14:textId="77777777" w:rsidR="005F1859" w:rsidRPr="006271F4" w:rsidRDefault="005F1859" w:rsidP="00EF5C9A">
            <w:pPr>
              <w:jc w:val="center"/>
              <w:rPr>
                <w:rFonts w:asciiTheme="minorHAnsi" w:hAnsiTheme="minorHAnsi" w:cs="Times New Roman"/>
                <w:color w:val="000000"/>
                <w:sz w:val="20"/>
                <w:szCs w:val="20"/>
              </w:rPr>
            </w:pPr>
            <w:r>
              <w:rPr>
                <w:rFonts w:asciiTheme="minorHAnsi" w:hAnsiTheme="minorHAnsi" w:cs="Times New Roman"/>
                <w:color w:val="000000"/>
                <w:sz w:val="20"/>
                <w:szCs w:val="20"/>
              </w:rPr>
              <w:t>50</w:t>
            </w:r>
          </w:p>
        </w:tc>
        <w:tc>
          <w:tcPr>
            <w:tcW w:w="1417" w:type="dxa"/>
            <w:tcBorders>
              <w:top w:val="single" w:sz="4" w:space="0" w:color="auto"/>
              <w:left w:val="nil"/>
              <w:bottom w:val="single" w:sz="4" w:space="0" w:color="auto"/>
              <w:right w:val="single" w:sz="4" w:space="0" w:color="auto"/>
            </w:tcBorders>
            <w:noWrap/>
            <w:vAlign w:val="center"/>
          </w:tcPr>
          <w:p w14:paraId="14E96E64"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0.25</w:t>
            </w:r>
          </w:p>
        </w:tc>
      </w:tr>
      <w:tr w:rsidR="005F1859" w:rsidRPr="00AE74C1" w14:paraId="238F4CF4"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bottom"/>
          </w:tcPr>
          <w:p w14:paraId="6771B650" w14:textId="77777777" w:rsidR="005F1859" w:rsidRPr="006271F4" w:rsidRDefault="005F1859" w:rsidP="00EF5C9A">
            <w:pPr>
              <w:rPr>
                <w:rFonts w:asciiTheme="minorHAnsi" w:hAnsiTheme="minorHAnsi" w:cs="Times New Roman"/>
                <w:b/>
                <w:color w:val="000000"/>
                <w:sz w:val="20"/>
                <w:szCs w:val="20"/>
              </w:rPr>
            </w:pPr>
            <w:r w:rsidRPr="006271F4">
              <w:rPr>
                <w:rFonts w:asciiTheme="minorHAnsi" w:hAnsiTheme="minorHAnsi" w:cs="Times New Roman"/>
                <w:b/>
                <w:color w:val="000000"/>
                <w:sz w:val="20"/>
                <w:szCs w:val="20"/>
              </w:rPr>
              <w:t>Savings delivery risks:</w:t>
            </w:r>
          </w:p>
        </w:tc>
        <w:tc>
          <w:tcPr>
            <w:tcW w:w="1276" w:type="dxa"/>
            <w:tcBorders>
              <w:top w:val="single" w:sz="4" w:space="0" w:color="auto"/>
              <w:left w:val="nil"/>
              <w:bottom w:val="single" w:sz="4" w:space="0" w:color="auto"/>
              <w:right w:val="single" w:sz="4" w:space="0" w:color="auto"/>
            </w:tcBorders>
            <w:noWrap/>
            <w:vAlign w:val="center"/>
          </w:tcPr>
          <w:p w14:paraId="106BF91A" w14:textId="77777777" w:rsidR="005F1859" w:rsidRPr="006271F4" w:rsidRDefault="005F1859" w:rsidP="00EF5C9A">
            <w:pPr>
              <w:jc w:val="center"/>
              <w:rPr>
                <w:rFonts w:asciiTheme="minorHAnsi" w:hAnsiTheme="minorHAnsi" w:cs="Times New Roman"/>
                <w:color w:val="000000"/>
                <w:sz w:val="20"/>
                <w:szCs w:val="20"/>
              </w:rPr>
            </w:pPr>
          </w:p>
        </w:tc>
        <w:tc>
          <w:tcPr>
            <w:tcW w:w="1134" w:type="dxa"/>
            <w:tcBorders>
              <w:top w:val="single" w:sz="4" w:space="0" w:color="auto"/>
              <w:left w:val="nil"/>
              <w:bottom w:val="single" w:sz="4" w:space="0" w:color="auto"/>
              <w:right w:val="single" w:sz="4" w:space="0" w:color="auto"/>
            </w:tcBorders>
            <w:noWrap/>
            <w:vAlign w:val="center"/>
          </w:tcPr>
          <w:p w14:paraId="19400C5A" w14:textId="77777777" w:rsidR="005F1859" w:rsidRPr="006271F4" w:rsidRDefault="005F1859" w:rsidP="00EF5C9A">
            <w:pPr>
              <w:jc w:val="center"/>
              <w:rPr>
                <w:rFonts w:asciiTheme="minorHAnsi" w:hAnsiTheme="minorHAnsi" w:cs="Times New Roman"/>
                <w:color w:val="000000"/>
                <w:sz w:val="20"/>
                <w:szCs w:val="20"/>
              </w:rPr>
            </w:pPr>
          </w:p>
        </w:tc>
        <w:tc>
          <w:tcPr>
            <w:tcW w:w="1134" w:type="dxa"/>
            <w:tcBorders>
              <w:top w:val="single" w:sz="4" w:space="0" w:color="auto"/>
              <w:left w:val="nil"/>
              <w:bottom w:val="single" w:sz="4" w:space="0" w:color="auto"/>
              <w:right w:val="single" w:sz="4" w:space="0" w:color="auto"/>
            </w:tcBorders>
            <w:noWrap/>
            <w:vAlign w:val="center"/>
          </w:tcPr>
          <w:p w14:paraId="49268B1F" w14:textId="77777777" w:rsidR="005F1859" w:rsidRPr="006271F4" w:rsidRDefault="005F1859" w:rsidP="00EF5C9A">
            <w:pPr>
              <w:jc w:val="center"/>
              <w:rPr>
                <w:rFonts w:asciiTheme="minorHAnsi" w:hAnsiTheme="minorHAnsi" w:cs="Times New Roman"/>
                <w:color w:val="000000"/>
                <w:sz w:val="20"/>
                <w:szCs w:val="20"/>
              </w:rPr>
            </w:pPr>
          </w:p>
        </w:tc>
        <w:tc>
          <w:tcPr>
            <w:tcW w:w="1417" w:type="dxa"/>
            <w:tcBorders>
              <w:top w:val="single" w:sz="4" w:space="0" w:color="auto"/>
              <w:left w:val="nil"/>
              <w:bottom w:val="single" w:sz="4" w:space="0" w:color="auto"/>
              <w:right w:val="single" w:sz="4" w:space="0" w:color="auto"/>
            </w:tcBorders>
            <w:noWrap/>
            <w:vAlign w:val="center"/>
          </w:tcPr>
          <w:p w14:paraId="66B40777" w14:textId="77777777" w:rsidR="005F1859" w:rsidRPr="006271F4" w:rsidRDefault="005F1859" w:rsidP="00EF5C9A">
            <w:pPr>
              <w:jc w:val="center"/>
              <w:rPr>
                <w:rFonts w:asciiTheme="minorHAnsi" w:hAnsiTheme="minorHAnsi" w:cs="Times New Roman"/>
                <w:color w:val="000000"/>
                <w:sz w:val="20"/>
                <w:szCs w:val="20"/>
              </w:rPr>
            </w:pPr>
          </w:p>
        </w:tc>
      </w:tr>
      <w:tr w:rsidR="005F1859" w:rsidRPr="00AE74C1" w14:paraId="2FC57AEE"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bottom"/>
            <w:hideMark/>
          </w:tcPr>
          <w:p w14:paraId="4B87F59F" w14:textId="77777777" w:rsidR="005F1859" w:rsidRPr="006271F4" w:rsidRDefault="005F1859" w:rsidP="00EF5C9A">
            <w:pPr>
              <w:rPr>
                <w:rFonts w:asciiTheme="minorHAnsi" w:hAnsiTheme="minorHAnsi" w:cs="Times New Roman"/>
                <w:color w:val="000000"/>
                <w:sz w:val="20"/>
                <w:szCs w:val="20"/>
              </w:rPr>
            </w:pPr>
            <w:r w:rsidRPr="006271F4">
              <w:rPr>
                <w:rFonts w:asciiTheme="minorHAnsi" w:hAnsiTheme="minorHAnsi" w:cs="Times New Roman"/>
                <w:color w:val="000000"/>
                <w:sz w:val="20"/>
                <w:szCs w:val="20"/>
              </w:rPr>
              <w:t>Shortfall against planned savings delivery.</w:t>
            </w:r>
          </w:p>
        </w:tc>
        <w:tc>
          <w:tcPr>
            <w:tcW w:w="1276" w:type="dxa"/>
            <w:tcBorders>
              <w:top w:val="single" w:sz="4" w:space="0" w:color="auto"/>
              <w:left w:val="nil"/>
              <w:bottom w:val="single" w:sz="4" w:space="0" w:color="auto"/>
              <w:right w:val="single" w:sz="4" w:space="0" w:color="auto"/>
            </w:tcBorders>
            <w:noWrap/>
            <w:vAlign w:val="center"/>
          </w:tcPr>
          <w:p w14:paraId="39E6AB74"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20.6</w:t>
            </w:r>
          </w:p>
        </w:tc>
        <w:tc>
          <w:tcPr>
            <w:tcW w:w="1134" w:type="dxa"/>
            <w:tcBorders>
              <w:top w:val="single" w:sz="4" w:space="0" w:color="auto"/>
              <w:left w:val="nil"/>
              <w:bottom w:val="single" w:sz="4" w:space="0" w:color="auto"/>
              <w:right w:val="single" w:sz="4" w:space="0" w:color="auto"/>
            </w:tcBorders>
            <w:noWrap/>
            <w:vAlign w:val="center"/>
          </w:tcPr>
          <w:p w14:paraId="614C610C"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5.4</w:t>
            </w:r>
          </w:p>
        </w:tc>
        <w:tc>
          <w:tcPr>
            <w:tcW w:w="1134" w:type="dxa"/>
            <w:tcBorders>
              <w:top w:val="single" w:sz="4" w:space="0" w:color="auto"/>
              <w:left w:val="nil"/>
              <w:bottom w:val="single" w:sz="4" w:space="0" w:color="auto"/>
              <w:right w:val="single" w:sz="4" w:space="0" w:color="auto"/>
            </w:tcBorders>
            <w:noWrap/>
            <w:vAlign w:val="center"/>
          </w:tcPr>
          <w:p w14:paraId="4A33F661"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50</w:t>
            </w:r>
          </w:p>
        </w:tc>
        <w:tc>
          <w:tcPr>
            <w:tcW w:w="1417" w:type="dxa"/>
            <w:tcBorders>
              <w:top w:val="single" w:sz="4" w:space="0" w:color="auto"/>
              <w:left w:val="nil"/>
              <w:bottom w:val="single" w:sz="4" w:space="0" w:color="auto"/>
              <w:right w:val="single" w:sz="4" w:space="0" w:color="auto"/>
            </w:tcBorders>
            <w:noWrap/>
            <w:vAlign w:val="center"/>
          </w:tcPr>
          <w:p w14:paraId="467FCC17"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2.7</w:t>
            </w:r>
          </w:p>
        </w:tc>
      </w:tr>
      <w:tr w:rsidR="005F1859" w:rsidRPr="00AE74C1" w14:paraId="43902F65"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bottom"/>
          </w:tcPr>
          <w:p w14:paraId="4609B781" w14:textId="77777777" w:rsidR="005F1859" w:rsidRPr="006271F4" w:rsidRDefault="005F1859" w:rsidP="00EF5C9A">
            <w:pPr>
              <w:rPr>
                <w:rFonts w:asciiTheme="minorHAnsi" w:hAnsiTheme="minorHAnsi" w:cs="Times New Roman"/>
                <w:b/>
                <w:color w:val="000000"/>
                <w:sz w:val="20"/>
                <w:szCs w:val="20"/>
              </w:rPr>
            </w:pPr>
            <w:r w:rsidRPr="006271F4">
              <w:rPr>
                <w:rFonts w:asciiTheme="minorHAnsi" w:hAnsiTheme="minorHAnsi" w:cs="Times New Roman"/>
                <w:b/>
                <w:color w:val="000000"/>
                <w:sz w:val="20"/>
                <w:szCs w:val="20"/>
              </w:rPr>
              <w:t>Cost pressure risks:</w:t>
            </w:r>
          </w:p>
        </w:tc>
        <w:tc>
          <w:tcPr>
            <w:tcW w:w="1276" w:type="dxa"/>
            <w:tcBorders>
              <w:top w:val="single" w:sz="4" w:space="0" w:color="auto"/>
              <w:left w:val="nil"/>
              <w:bottom w:val="single" w:sz="4" w:space="0" w:color="auto"/>
              <w:right w:val="single" w:sz="4" w:space="0" w:color="auto"/>
            </w:tcBorders>
            <w:noWrap/>
            <w:vAlign w:val="center"/>
          </w:tcPr>
          <w:p w14:paraId="7DD1AECB" w14:textId="77777777" w:rsidR="005F1859" w:rsidRPr="006271F4" w:rsidRDefault="005F1859" w:rsidP="00EF5C9A">
            <w:pPr>
              <w:jc w:val="center"/>
              <w:rPr>
                <w:rFonts w:asciiTheme="minorHAnsi" w:hAnsiTheme="minorHAnsi" w:cs="Times New Roman"/>
                <w:color w:val="000000"/>
                <w:sz w:val="20"/>
                <w:szCs w:val="20"/>
              </w:rPr>
            </w:pPr>
          </w:p>
        </w:tc>
        <w:tc>
          <w:tcPr>
            <w:tcW w:w="1134" w:type="dxa"/>
            <w:tcBorders>
              <w:top w:val="single" w:sz="4" w:space="0" w:color="auto"/>
              <w:left w:val="nil"/>
              <w:bottom w:val="single" w:sz="4" w:space="0" w:color="auto"/>
              <w:right w:val="single" w:sz="4" w:space="0" w:color="auto"/>
            </w:tcBorders>
            <w:noWrap/>
            <w:vAlign w:val="center"/>
          </w:tcPr>
          <w:p w14:paraId="702BA744" w14:textId="77777777" w:rsidR="005F1859" w:rsidRPr="006271F4" w:rsidRDefault="005F1859" w:rsidP="00EF5C9A">
            <w:pPr>
              <w:jc w:val="center"/>
              <w:rPr>
                <w:rFonts w:asciiTheme="minorHAnsi" w:hAnsiTheme="minorHAnsi" w:cs="Times New Roman"/>
                <w:color w:val="000000"/>
                <w:sz w:val="20"/>
                <w:szCs w:val="20"/>
              </w:rPr>
            </w:pPr>
          </w:p>
        </w:tc>
        <w:tc>
          <w:tcPr>
            <w:tcW w:w="1134" w:type="dxa"/>
            <w:tcBorders>
              <w:top w:val="single" w:sz="4" w:space="0" w:color="auto"/>
              <w:left w:val="nil"/>
              <w:bottom w:val="single" w:sz="4" w:space="0" w:color="auto"/>
              <w:right w:val="single" w:sz="4" w:space="0" w:color="auto"/>
            </w:tcBorders>
            <w:noWrap/>
            <w:vAlign w:val="center"/>
          </w:tcPr>
          <w:p w14:paraId="55BCCFEA" w14:textId="77777777" w:rsidR="005F1859" w:rsidRPr="006271F4" w:rsidRDefault="005F1859" w:rsidP="00EF5C9A">
            <w:pPr>
              <w:jc w:val="center"/>
              <w:rPr>
                <w:rFonts w:asciiTheme="minorHAnsi" w:hAnsiTheme="minorHAnsi" w:cs="Times New Roman"/>
                <w:color w:val="000000"/>
                <w:sz w:val="20"/>
                <w:szCs w:val="20"/>
              </w:rPr>
            </w:pPr>
          </w:p>
        </w:tc>
        <w:tc>
          <w:tcPr>
            <w:tcW w:w="1417" w:type="dxa"/>
            <w:tcBorders>
              <w:top w:val="single" w:sz="4" w:space="0" w:color="auto"/>
              <w:left w:val="nil"/>
              <w:bottom w:val="single" w:sz="4" w:space="0" w:color="auto"/>
              <w:right w:val="single" w:sz="4" w:space="0" w:color="auto"/>
            </w:tcBorders>
            <w:noWrap/>
            <w:vAlign w:val="center"/>
          </w:tcPr>
          <w:p w14:paraId="478139B8" w14:textId="77777777" w:rsidR="005F1859" w:rsidRPr="006271F4" w:rsidRDefault="005F1859" w:rsidP="00EF5C9A">
            <w:pPr>
              <w:jc w:val="center"/>
              <w:rPr>
                <w:rFonts w:asciiTheme="minorHAnsi" w:hAnsiTheme="minorHAnsi" w:cs="Times New Roman"/>
                <w:color w:val="000000"/>
                <w:sz w:val="20"/>
                <w:szCs w:val="20"/>
              </w:rPr>
            </w:pPr>
          </w:p>
        </w:tc>
      </w:tr>
      <w:tr w:rsidR="005F1859" w:rsidRPr="00AE74C1" w14:paraId="5004DEAD"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bottom"/>
          </w:tcPr>
          <w:p w14:paraId="0D771095" w14:textId="77777777" w:rsidR="005F1859" w:rsidRPr="006271F4" w:rsidRDefault="005F1859" w:rsidP="00EF5C9A">
            <w:pPr>
              <w:rPr>
                <w:rFonts w:asciiTheme="minorHAnsi" w:hAnsiTheme="minorHAnsi" w:cs="Times New Roman"/>
                <w:color w:val="000000"/>
                <w:sz w:val="20"/>
                <w:szCs w:val="20"/>
              </w:rPr>
            </w:pPr>
            <w:r w:rsidRPr="006271F4">
              <w:rPr>
                <w:rFonts w:asciiTheme="minorHAnsi" w:hAnsiTheme="minorHAnsi" w:cs="Times New Roman"/>
                <w:color w:val="000000"/>
                <w:sz w:val="20"/>
                <w:szCs w:val="20"/>
              </w:rPr>
              <w:t xml:space="preserve">Unavoidable recurring Service and demand pressures are greater than Plan estimate </w:t>
            </w:r>
          </w:p>
        </w:tc>
        <w:tc>
          <w:tcPr>
            <w:tcW w:w="1276" w:type="dxa"/>
            <w:tcBorders>
              <w:top w:val="single" w:sz="4" w:space="0" w:color="auto"/>
              <w:left w:val="nil"/>
              <w:bottom w:val="single" w:sz="4" w:space="0" w:color="auto"/>
              <w:right w:val="single" w:sz="4" w:space="0" w:color="auto"/>
            </w:tcBorders>
            <w:noWrap/>
            <w:vAlign w:val="center"/>
          </w:tcPr>
          <w:p w14:paraId="2BC3E445"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18.1</w:t>
            </w:r>
          </w:p>
        </w:tc>
        <w:tc>
          <w:tcPr>
            <w:tcW w:w="1134" w:type="dxa"/>
            <w:tcBorders>
              <w:top w:val="single" w:sz="4" w:space="0" w:color="auto"/>
              <w:left w:val="nil"/>
              <w:bottom w:val="single" w:sz="4" w:space="0" w:color="auto"/>
              <w:right w:val="single" w:sz="4" w:space="0" w:color="auto"/>
            </w:tcBorders>
            <w:noWrap/>
            <w:vAlign w:val="center"/>
          </w:tcPr>
          <w:p w14:paraId="1518F121"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4.0</w:t>
            </w:r>
          </w:p>
        </w:tc>
        <w:tc>
          <w:tcPr>
            <w:tcW w:w="1134" w:type="dxa"/>
            <w:tcBorders>
              <w:top w:val="single" w:sz="4" w:space="0" w:color="auto"/>
              <w:left w:val="nil"/>
              <w:bottom w:val="single" w:sz="4" w:space="0" w:color="auto"/>
              <w:right w:val="single" w:sz="4" w:space="0" w:color="auto"/>
            </w:tcBorders>
            <w:noWrap/>
            <w:vAlign w:val="center"/>
          </w:tcPr>
          <w:p w14:paraId="78E72C18"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50</w:t>
            </w:r>
          </w:p>
        </w:tc>
        <w:tc>
          <w:tcPr>
            <w:tcW w:w="1417" w:type="dxa"/>
            <w:tcBorders>
              <w:top w:val="single" w:sz="4" w:space="0" w:color="auto"/>
              <w:left w:val="nil"/>
              <w:bottom w:val="single" w:sz="4" w:space="0" w:color="auto"/>
              <w:right w:val="single" w:sz="4" w:space="0" w:color="auto"/>
            </w:tcBorders>
            <w:noWrap/>
            <w:vAlign w:val="center"/>
          </w:tcPr>
          <w:p w14:paraId="57937BE5"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2.0</w:t>
            </w:r>
          </w:p>
        </w:tc>
      </w:tr>
      <w:tr w:rsidR="005F1859" w:rsidRPr="00AE74C1" w14:paraId="62A15C9A"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bottom"/>
          </w:tcPr>
          <w:p w14:paraId="65DF6E8F" w14:textId="77777777" w:rsidR="005F1859" w:rsidRPr="006271F4" w:rsidRDefault="005F1859" w:rsidP="00EF5C9A">
            <w:pPr>
              <w:rPr>
                <w:rFonts w:asciiTheme="minorHAnsi" w:hAnsiTheme="minorHAnsi" w:cs="Times New Roman"/>
                <w:color w:val="000000"/>
                <w:sz w:val="20"/>
                <w:szCs w:val="20"/>
              </w:rPr>
            </w:pPr>
            <w:r w:rsidRPr="006271F4">
              <w:rPr>
                <w:rFonts w:asciiTheme="minorHAnsi" w:hAnsiTheme="minorHAnsi" w:cs="Times New Roman"/>
                <w:color w:val="000000"/>
                <w:sz w:val="20"/>
                <w:szCs w:val="20"/>
              </w:rPr>
              <w:t>Pay rises, incremental drift and inflation costs are greater than Plan estimate</w:t>
            </w:r>
          </w:p>
        </w:tc>
        <w:tc>
          <w:tcPr>
            <w:tcW w:w="1276" w:type="dxa"/>
            <w:tcBorders>
              <w:top w:val="single" w:sz="4" w:space="0" w:color="auto"/>
              <w:left w:val="nil"/>
              <w:bottom w:val="single" w:sz="4" w:space="0" w:color="auto"/>
              <w:right w:val="single" w:sz="4" w:space="0" w:color="auto"/>
            </w:tcBorders>
            <w:noWrap/>
            <w:vAlign w:val="center"/>
          </w:tcPr>
          <w:p w14:paraId="47A14A60"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21.2</w:t>
            </w:r>
          </w:p>
        </w:tc>
        <w:tc>
          <w:tcPr>
            <w:tcW w:w="1134" w:type="dxa"/>
            <w:tcBorders>
              <w:top w:val="single" w:sz="4" w:space="0" w:color="auto"/>
              <w:left w:val="nil"/>
              <w:bottom w:val="single" w:sz="4" w:space="0" w:color="auto"/>
              <w:right w:val="single" w:sz="4" w:space="0" w:color="auto"/>
            </w:tcBorders>
            <w:noWrap/>
            <w:vAlign w:val="center"/>
          </w:tcPr>
          <w:p w14:paraId="11AF2A55"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2.0</w:t>
            </w:r>
          </w:p>
        </w:tc>
        <w:tc>
          <w:tcPr>
            <w:tcW w:w="1134" w:type="dxa"/>
            <w:tcBorders>
              <w:top w:val="single" w:sz="4" w:space="0" w:color="auto"/>
              <w:left w:val="nil"/>
              <w:bottom w:val="single" w:sz="4" w:space="0" w:color="auto"/>
              <w:right w:val="single" w:sz="4" w:space="0" w:color="auto"/>
            </w:tcBorders>
            <w:noWrap/>
            <w:vAlign w:val="center"/>
          </w:tcPr>
          <w:p w14:paraId="07F7B01C"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25</w:t>
            </w:r>
          </w:p>
        </w:tc>
        <w:tc>
          <w:tcPr>
            <w:tcW w:w="1417" w:type="dxa"/>
            <w:tcBorders>
              <w:top w:val="single" w:sz="4" w:space="0" w:color="auto"/>
              <w:left w:val="nil"/>
              <w:bottom w:val="single" w:sz="4" w:space="0" w:color="auto"/>
              <w:right w:val="single" w:sz="4" w:space="0" w:color="auto"/>
            </w:tcBorders>
            <w:noWrap/>
            <w:vAlign w:val="center"/>
          </w:tcPr>
          <w:p w14:paraId="442BE29C"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0.5</w:t>
            </w:r>
          </w:p>
        </w:tc>
      </w:tr>
      <w:tr w:rsidR="005F1859" w:rsidRPr="00AE74C1" w14:paraId="1B11A9AB"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bottom"/>
          </w:tcPr>
          <w:p w14:paraId="636A694B" w14:textId="77777777" w:rsidR="005F1859" w:rsidRPr="006271F4" w:rsidRDefault="005F1859" w:rsidP="00EF5C9A">
            <w:pPr>
              <w:rPr>
                <w:rFonts w:asciiTheme="minorHAnsi" w:hAnsiTheme="minorHAnsi" w:cs="Times New Roman"/>
                <w:color w:val="000000"/>
                <w:sz w:val="20"/>
                <w:szCs w:val="20"/>
              </w:rPr>
            </w:pPr>
            <w:r w:rsidRPr="006271F4">
              <w:rPr>
                <w:rFonts w:asciiTheme="minorHAnsi" w:hAnsiTheme="minorHAnsi" w:cs="Times New Roman"/>
                <w:color w:val="000000"/>
                <w:sz w:val="20"/>
                <w:szCs w:val="20"/>
              </w:rPr>
              <w:t>Shortfall against planned non-recurring benefits</w:t>
            </w:r>
          </w:p>
        </w:tc>
        <w:tc>
          <w:tcPr>
            <w:tcW w:w="1276" w:type="dxa"/>
            <w:tcBorders>
              <w:top w:val="single" w:sz="4" w:space="0" w:color="auto"/>
              <w:left w:val="nil"/>
              <w:bottom w:val="single" w:sz="4" w:space="0" w:color="auto"/>
              <w:right w:val="single" w:sz="4" w:space="0" w:color="auto"/>
            </w:tcBorders>
            <w:noWrap/>
            <w:vAlign w:val="center"/>
          </w:tcPr>
          <w:p w14:paraId="04564AED"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11.5</w:t>
            </w:r>
          </w:p>
        </w:tc>
        <w:tc>
          <w:tcPr>
            <w:tcW w:w="1134" w:type="dxa"/>
            <w:tcBorders>
              <w:top w:val="single" w:sz="4" w:space="0" w:color="auto"/>
              <w:left w:val="nil"/>
              <w:bottom w:val="single" w:sz="4" w:space="0" w:color="auto"/>
              <w:right w:val="single" w:sz="4" w:space="0" w:color="auto"/>
            </w:tcBorders>
            <w:noWrap/>
            <w:vAlign w:val="center"/>
          </w:tcPr>
          <w:p w14:paraId="7D85100E"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3.0</w:t>
            </w:r>
          </w:p>
        </w:tc>
        <w:tc>
          <w:tcPr>
            <w:tcW w:w="1134" w:type="dxa"/>
            <w:tcBorders>
              <w:top w:val="single" w:sz="4" w:space="0" w:color="auto"/>
              <w:left w:val="nil"/>
              <w:bottom w:val="single" w:sz="4" w:space="0" w:color="auto"/>
              <w:right w:val="single" w:sz="4" w:space="0" w:color="auto"/>
            </w:tcBorders>
            <w:noWrap/>
            <w:vAlign w:val="center"/>
          </w:tcPr>
          <w:p w14:paraId="74C5DE7F"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50</w:t>
            </w:r>
          </w:p>
        </w:tc>
        <w:tc>
          <w:tcPr>
            <w:tcW w:w="1417" w:type="dxa"/>
            <w:tcBorders>
              <w:top w:val="single" w:sz="4" w:space="0" w:color="auto"/>
              <w:left w:val="nil"/>
              <w:bottom w:val="single" w:sz="4" w:space="0" w:color="auto"/>
              <w:right w:val="single" w:sz="4" w:space="0" w:color="auto"/>
            </w:tcBorders>
            <w:noWrap/>
            <w:vAlign w:val="center"/>
          </w:tcPr>
          <w:p w14:paraId="65F5A040"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1.5</w:t>
            </w:r>
          </w:p>
        </w:tc>
      </w:tr>
      <w:tr w:rsidR="005F1859" w:rsidRPr="00AE74C1" w14:paraId="7DF8F605"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bottom"/>
          </w:tcPr>
          <w:p w14:paraId="0FA6C69D" w14:textId="77777777" w:rsidR="005F1859" w:rsidRPr="006271F4" w:rsidRDefault="005F1859" w:rsidP="00EF5C9A">
            <w:pPr>
              <w:rPr>
                <w:rFonts w:asciiTheme="minorHAnsi" w:hAnsiTheme="minorHAnsi" w:cs="Times New Roman"/>
                <w:color w:val="000000"/>
                <w:sz w:val="20"/>
                <w:szCs w:val="20"/>
              </w:rPr>
            </w:pPr>
            <w:r w:rsidRPr="006271F4">
              <w:rPr>
                <w:rFonts w:asciiTheme="minorHAnsi" w:hAnsiTheme="minorHAnsi" w:cs="Times New Roman"/>
                <w:color w:val="000000"/>
                <w:sz w:val="20"/>
                <w:szCs w:val="20"/>
              </w:rPr>
              <w:t>Potential LTA differences with Welsh NHS organisations</w:t>
            </w:r>
          </w:p>
        </w:tc>
        <w:tc>
          <w:tcPr>
            <w:tcW w:w="1276" w:type="dxa"/>
            <w:tcBorders>
              <w:top w:val="single" w:sz="4" w:space="0" w:color="auto"/>
              <w:left w:val="nil"/>
              <w:bottom w:val="single" w:sz="4" w:space="0" w:color="auto"/>
              <w:right w:val="single" w:sz="4" w:space="0" w:color="auto"/>
            </w:tcBorders>
            <w:noWrap/>
            <w:vAlign w:val="center"/>
          </w:tcPr>
          <w:p w14:paraId="0C1E1F13"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0</w:t>
            </w:r>
          </w:p>
        </w:tc>
        <w:tc>
          <w:tcPr>
            <w:tcW w:w="1134" w:type="dxa"/>
            <w:tcBorders>
              <w:top w:val="single" w:sz="4" w:space="0" w:color="auto"/>
              <w:left w:val="nil"/>
              <w:bottom w:val="single" w:sz="4" w:space="0" w:color="auto"/>
              <w:right w:val="single" w:sz="4" w:space="0" w:color="auto"/>
            </w:tcBorders>
            <w:noWrap/>
            <w:vAlign w:val="center"/>
          </w:tcPr>
          <w:p w14:paraId="7A9ACB8E"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2.0</w:t>
            </w:r>
          </w:p>
        </w:tc>
        <w:tc>
          <w:tcPr>
            <w:tcW w:w="1134" w:type="dxa"/>
            <w:tcBorders>
              <w:top w:val="single" w:sz="4" w:space="0" w:color="auto"/>
              <w:left w:val="nil"/>
              <w:bottom w:val="single" w:sz="4" w:space="0" w:color="auto"/>
              <w:right w:val="single" w:sz="4" w:space="0" w:color="auto"/>
            </w:tcBorders>
            <w:noWrap/>
            <w:vAlign w:val="center"/>
          </w:tcPr>
          <w:p w14:paraId="1F7FF482"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25</w:t>
            </w:r>
          </w:p>
        </w:tc>
        <w:tc>
          <w:tcPr>
            <w:tcW w:w="1417" w:type="dxa"/>
            <w:tcBorders>
              <w:top w:val="single" w:sz="4" w:space="0" w:color="auto"/>
              <w:left w:val="nil"/>
              <w:bottom w:val="single" w:sz="4" w:space="0" w:color="auto"/>
              <w:right w:val="single" w:sz="4" w:space="0" w:color="auto"/>
            </w:tcBorders>
            <w:noWrap/>
            <w:vAlign w:val="center"/>
          </w:tcPr>
          <w:p w14:paraId="0AD3E4B0" w14:textId="77777777" w:rsidR="005F1859" w:rsidRPr="006271F4" w:rsidRDefault="005F1859" w:rsidP="00EF5C9A">
            <w:pPr>
              <w:jc w:val="center"/>
              <w:rPr>
                <w:rFonts w:asciiTheme="minorHAnsi" w:hAnsiTheme="minorHAnsi" w:cs="Times New Roman"/>
                <w:color w:val="000000"/>
                <w:sz w:val="20"/>
                <w:szCs w:val="20"/>
              </w:rPr>
            </w:pPr>
            <w:r w:rsidRPr="006271F4">
              <w:rPr>
                <w:rFonts w:asciiTheme="minorHAnsi" w:hAnsiTheme="minorHAnsi" w:cs="Times New Roman"/>
                <w:color w:val="000000"/>
                <w:sz w:val="20"/>
                <w:szCs w:val="20"/>
              </w:rPr>
              <w:t>1.0</w:t>
            </w:r>
          </w:p>
        </w:tc>
      </w:tr>
      <w:tr w:rsidR="005F1859" w:rsidRPr="00AE74C1" w14:paraId="2EABD6F5" w14:textId="77777777" w:rsidTr="00EF5C9A">
        <w:trPr>
          <w:trHeight w:val="113"/>
          <w:jc w:val="center"/>
        </w:trPr>
        <w:tc>
          <w:tcPr>
            <w:tcW w:w="4106" w:type="dxa"/>
            <w:tcBorders>
              <w:top w:val="single" w:sz="4" w:space="0" w:color="auto"/>
              <w:left w:val="single" w:sz="4" w:space="0" w:color="auto"/>
              <w:bottom w:val="single" w:sz="4" w:space="0" w:color="auto"/>
              <w:right w:val="single" w:sz="4" w:space="0" w:color="auto"/>
            </w:tcBorders>
            <w:vAlign w:val="bottom"/>
          </w:tcPr>
          <w:p w14:paraId="530325F6" w14:textId="77777777" w:rsidR="005F1859" w:rsidRPr="006271F4" w:rsidRDefault="005F1859" w:rsidP="00EF5C9A">
            <w:pPr>
              <w:rPr>
                <w:rFonts w:asciiTheme="minorHAnsi" w:hAnsiTheme="minorHAnsi" w:cs="Times New Roman"/>
                <w:color w:val="000000"/>
                <w:sz w:val="20"/>
                <w:szCs w:val="20"/>
              </w:rPr>
            </w:pPr>
          </w:p>
        </w:tc>
        <w:tc>
          <w:tcPr>
            <w:tcW w:w="1276" w:type="dxa"/>
            <w:tcBorders>
              <w:top w:val="single" w:sz="4" w:space="0" w:color="auto"/>
              <w:left w:val="nil"/>
              <w:bottom w:val="single" w:sz="4" w:space="0" w:color="auto"/>
              <w:right w:val="single" w:sz="4" w:space="0" w:color="auto"/>
            </w:tcBorders>
            <w:noWrap/>
            <w:vAlign w:val="center"/>
          </w:tcPr>
          <w:p w14:paraId="3AD429DB" w14:textId="77777777" w:rsidR="005F1859" w:rsidRPr="006271F4" w:rsidRDefault="005F1859" w:rsidP="00EF5C9A">
            <w:pPr>
              <w:jc w:val="center"/>
              <w:rPr>
                <w:rFonts w:asciiTheme="minorHAnsi" w:hAnsiTheme="minorHAnsi"/>
                <w:color w:val="000000"/>
                <w:sz w:val="20"/>
                <w:szCs w:val="20"/>
              </w:rPr>
            </w:pPr>
          </w:p>
        </w:tc>
        <w:tc>
          <w:tcPr>
            <w:tcW w:w="1134" w:type="dxa"/>
            <w:tcBorders>
              <w:top w:val="single" w:sz="4" w:space="0" w:color="auto"/>
              <w:left w:val="nil"/>
              <w:bottom w:val="single" w:sz="4" w:space="0" w:color="auto"/>
              <w:right w:val="single" w:sz="4" w:space="0" w:color="auto"/>
            </w:tcBorders>
            <w:noWrap/>
            <w:vAlign w:val="center"/>
          </w:tcPr>
          <w:p w14:paraId="78568814" w14:textId="77777777" w:rsidR="005F1859" w:rsidRPr="006271F4" w:rsidRDefault="005F1859" w:rsidP="00EF5C9A">
            <w:pPr>
              <w:jc w:val="center"/>
              <w:rPr>
                <w:rFonts w:asciiTheme="minorHAnsi" w:hAnsiTheme="minorHAnsi"/>
                <w:color w:val="000000"/>
                <w:sz w:val="20"/>
                <w:szCs w:val="20"/>
              </w:rPr>
            </w:pPr>
          </w:p>
        </w:tc>
        <w:tc>
          <w:tcPr>
            <w:tcW w:w="1134" w:type="dxa"/>
            <w:tcBorders>
              <w:top w:val="single" w:sz="4" w:space="0" w:color="auto"/>
              <w:left w:val="nil"/>
              <w:bottom w:val="single" w:sz="4" w:space="0" w:color="auto"/>
              <w:right w:val="single" w:sz="4" w:space="0" w:color="auto"/>
            </w:tcBorders>
            <w:noWrap/>
            <w:vAlign w:val="center"/>
          </w:tcPr>
          <w:p w14:paraId="2AAF5915" w14:textId="77777777" w:rsidR="005F1859" w:rsidRPr="006271F4" w:rsidRDefault="005F1859" w:rsidP="00EF5C9A">
            <w:pPr>
              <w:jc w:val="center"/>
              <w:rPr>
                <w:rFonts w:asciiTheme="minorHAnsi" w:hAnsiTheme="minorHAnsi"/>
                <w:color w:val="000000"/>
                <w:sz w:val="20"/>
                <w:szCs w:val="20"/>
              </w:rPr>
            </w:pPr>
          </w:p>
        </w:tc>
        <w:tc>
          <w:tcPr>
            <w:tcW w:w="1417" w:type="dxa"/>
            <w:tcBorders>
              <w:top w:val="single" w:sz="4" w:space="0" w:color="auto"/>
              <w:left w:val="nil"/>
              <w:bottom w:val="single" w:sz="4" w:space="0" w:color="auto"/>
              <w:right w:val="single" w:sz="4" w:space="0" w:color="auto"/>
            </w:tcBorders>
            <w:noWrap/>
            <w:vAlign w:val="center"/>
          </w:tcPr>
          <w:p w14:paraId="23F9512C" w14:textId="77777777" w:rsidR="005F1859" w:rsidRPr="006271F4" w:rsidRDefault="005F1859" w:rsidP="00EF5C9A">
            <w:pPr>
              <w:jc w:val="center"/>
              <w:rPr>
                <w:rFonts w:asciiTheme="minorHAnsi" w:hAnsiTheme="minorHAnsi"/>
                <w:color w:val="000000"/>
                <w:sz w:val="20"/>
                <w:szCs w:val="20"/>
              </w:rPr>
            </w:pPr>
          </w:p>
        </w:tc>
      </w:tr>
      <w:tr w:rsidR="005F1859" w:rsidRPr="00AE74C1" w14:paraId="4F35E2EE" w14:textId="77777777" w:rsidTr="00EF5C9A">
        <w:trPr>
          <w:trHeight w:val="113"/>
          <w:jc w:val="center"/>
        </w:trPr>
        <w:tc>
          <w:tcPr>
            <w:tcW w:w="4106" w:type="dxa"/>
            <w:tcBorders>
              <w:top w:val="nil"/>
              <w:left w:val="single" w:sz="4" w:space="0" w:color="auto"/>
              <w:bottom w:val="single" w:sz="4" w:space="0" w:color="auto"/>
              <w:right w:val="single" w:sz="4" w:space="0" w:color="auto"/>
            </w:tcBorders>
            <w:vAlign w:val="bottom"/>
            <w:hideMark/>
          </w:tcPr>
          <w:p w14:paraId="116243E8" w14:textId="77777777" w:rsidR="005F1859" w:rsidRPr="006271F4" w:rsidRDefault="005F1859" w:rsidP="00EF5C9A">
            <w:pPr>
              <w:rPr>
                <w:rFonts w:asciiTheme="minorHAnsi" w:hAnsiTheme="minorHAnsi" w:cs="Times New Roman"/>
                <w:b/>
                <w:bCs/>
                <w:color w:val="000000"/>
                <w:sz w:val="20"/>
                <w:szCs w:val="20"/>
              </w:rPr>
            </w:pPr>
            <w:r w:rsidRPr="006271F4">
              <w:rPr>
                <w:rFonts w:asciiTheme="minorHAnsi" w:hAnsiTheme="minorHAnsi" w:cs="Times New Roman"/>
                <w:b/>
                <w:bCs/>
                <w:color w:val="000000"/>
                <w:sz w:val="20"/>
                <w:szCs w:val="20"/>
              </w:rPr>
              <w:t>Surplus / Deficit before Contingencies</w:t>
            </w:r>
          </w:p>
        </w:tc>
        <w:tc>
          <w:tcPr>
            <w:tcW w:w="1276" w:type="dxa"/>
            <w:tcBorders>
              <w:top w:val="nil"/>
              <w:left w:val="nil"/>
              <w:bottom w:val="single" w:sz="4" w:space="0" w:color="auto"/>
              <w:right w:val="single" w:sz="4" w:space="0" w:color="auto"/>
            </w:tcBorders>
            <w:noWrap/>
            <w:vAlign w:val="center"/>
          </w:tcPr>
          <w:p w14:paraId="01D3D907" w14:textId="77777777" w:rsidR="005F1859" w:rsidRPr="006271F4" w:rsidRDefault="005F1859" w:rsidP="00EF5C9A">
            <w:pPr>
              <w:jc w:val="center"/>
              <w:rPr>
                <w:rFonts w:asciiTheme="minorHAnsi" w:hAnsiTheme="minorHAnsi"/>
                <w:b/>
                <w:bCs/>
                <w:color w:val="000000"/>
                <w:sz w:val="20"/>
                <w:szCs w:val="20"/>
              </w:rPr>
            </w:pPr>
          </w:p>
        </w:tc>
        <w:tc>
          <w:tcPr>
            <w:tcW w:w="1134" w:type="dxa"/>
            <w:tcBorders>
              <w:top w:val="nil"/>
              <w:left w:val="nil"/>
              <w:bottom w:val="single" w:sz="4" w:space="0" w:color="auto"/>
              <w:right w:val="single" w:sz="4" w:space="0" w:color="auto"/>
            </w:tcBorders>
            <w:noWrap/>
            <w:vAlign w:val="center"/>
          </w:tcPr>
          <w:p w14:paraId="3739886E" w14:textId="77777777" w:rsidR="005F1859" w:rsidRPr="006271F4" w:rsidRDefault="005F1859" w:rsidP="00EF5C9A">
            <w:pPr>
              <w:jc w:val="center"/>
              <w:rPr>
                <w:rFonts w:asciiTheme="minorHAnsi" w:hAnsiTheme="minorHAnsi"/>
                <w:b/>
                <w:bCs/>
                <w:color w:val="000000"/>
                <w:sz w:val="20"/>
                <w:szCs w:val="20"/>
              </w:rPr>
            </w:pPr>
            <w:r>
              <w:rPr>
                <w:rFonts w:asciiTheme="minorHAnsi" w:hAnsiTheme="minorHAnsi"/>
                <w:b/>
                <w:bCs/>
                <w:color w:val="000000"/>
                <w:sz w:val="20"/>
                <w:szCs w:val="20"/>
              </w:rPr>
              <w:t>19.5</w:t>
            </w:r>
          </w:p>
        </w:tc>
        <w:tc>
          <w:tcPr>
            <w:tcW w:w="1134" w:type="dxa"/>
            <w:tcBorders>
              <w:top w:val="nil"/>
              <w:left w:val="nil"/>
              <w:bottom w:val="single" w:sz="4" w:space="0" w:color="auto"/>
              <w:right w:val="single" w:sz="4" w:space="0" w:color="auto"/>
            </w:tcBorders>
            <w:noWrap/>
            <w:vAlign w:val="center"/>
          </w:tcPr>
          <w:p w14:paraId="3533C838" w14:textId="77777777" w:rsidR="005F1859" w:rsidRPr="006271F4" w:rsidRDefault="005F1859" w:rsidP="00EF5C9A">
            <w:pPr>
              <w:jc w:val="center"/>
              <w:rPr>
                <w:rFonts w:asciiTheme="minorHAnsi" w:hAnsiTheme="minorHAnsi"/>
                <w:b/>
                <w:bCs/>
                <w:color w:val="000000"/>
                <w:sz w:val="20"/>
                <w:szCs w:val="20"/>
              </w:rPr>
            </w:pPr>
          </w:p>
        </w:tc>
        <w:tc>
          <w:tcPr>
            <w:tcW w:w="1417" w:type="dxa"/>
            <w:tcBorders>
              <w:top w:val="nil"/>
              <w:left w:val="nil"/>
              <w:bottom w:val="single" w:sz="4" w:space="0" w:color="auto"/>
              <w:right w:val="single" w:sz="4" w:space="0" w:color="auto"/>
            </w:tcBorders>
            <w:noWrap/>
            <w:vAlign w:val="center"/>
          </w:tcPr>
          <w:p w14:paraId="1E94D82C" w14:textId="77777777" w:rsidR="005F1859" w:rsidRPr="006271F4" w:rsidRDefault="005F1859" w:rsidP="00EF5C9A">
            <w:pPr>
              <w:jc w:val="center"/>
              <w:rPr>
                <w:rFonts w:asciiTheme="minorHAnsi" w:hAnsiTheme="minorHAnsi"/>
                <w:b/>
                <w:bCs/>
                <w:color w:val="000000"/>
                <w:sz w:val="20"/>
                <w:szCs w:val="20"/>
              </w:rPr>
            </w:pPr>
            <w:r w:rsidRPr="006271F4">
              <w:rPr>
                <w:rFonts w:asciiTheme="minorHAnsi" w:hAnsiTheme="minorHAnsi"/>
                <w:b/>
                <w:bCs/>
                <w:color w:val="000000"/>
                <w:sz w:val="20"/>
                <w:szCs w:val="20"/>
              </w:rPr>
              <w:t>8.2</w:t>
            </w:r>
          </w:p>
        </w:tc>
      </w:tr>
      <w:tr w:rsidR="005F1859" w:rsidRPr="002A1D42" w14:paraId="193F1F84" w14:textId="77777777" w:rsidTr="00EF5C9A">
        <w:trPr>
          <w:trHeight w:val="336"/>
          <w:jc w:val="center"/>
        </w:trPr>
        <w:tc>
          <w:tcPr>
            <w:tcW w:w="4106" w:type="dxa"/>
            <w:tcBorders>
              <w:top w:val="nil"/>
              <w:left w:val="single" w:sz="4" w:space="0" w:color="auto"/>
              <w:bottom w:val="single" w:sz="4" w:space="0" w:color="auto"/>
              <w:right w:val="single" w:sz="4" w:space="0" w:color="auto"/>
            </w:tcBorders>
            <w:vAlign w:val="bottom"/>
          </w:tcPr>
          <w:p w14:paraId="614FA138" w14:textId="77777777" w:rsidR="005F1859" w:rsidRPr="006271F4" w:rsidRDefault="005F1859" w:rsidP="00EF5C9A">
            <w:pPr>
              <w:rPr>
                <w:rFonts w:asciiTheme="minorHAnsi" w:hAnsiTheme="minorHAnsi" w:cs="Times New Roman"/>
                <w:b/>
                <w:bCs/>
                <w:color w:val="000000"/>
                <w:sz w:val="20"/>
                <w:szCs w:val="20"/>
              </w:rPr>
            </w:pPr>
            <w:r w:rsidRPr="006271F4">
              <w:rPr>
                <w:rFonts w:asciiTheme="minorHAnsi" w:hAnsiTheme="minorHAnsi" w:cs="Times New Roman"/>
                <w:color w:val="000000"/>
                <w:sz w:val="20"/>
                <w:szCs w:val="20"/>
              </w:rPr>
              <w:t>Contingencies</w:t>
            </w:r>
          </w:p>
        </w:tc>
        <w:tc>
          <w:tcPr>
            <w:tcW w:w="1276" w:type="dxa"/>
            <w:tcBorders>
              <w:top w:val="nil"/>
              <w:left w:val="nil"/>
              <w:bottom w:val="single" w:sz="4" w:space="0" w:color="auto"/>
              <w:right w:val="single" w:sz="4" w:space="0" w:color="auto"/>
            </w:tcBorders>
            <w:noWrap/>
            <w:vAlign w:val="center"/>
          </w:tcPr>
          <w:p w14:paraId="46E8DC9A" w14:textId="77777777" w:rsidR="005F1859" w:rsidRPr="006271F4" w:rsidRDefault="005F1859" w:rsidP="00EF5C9A">
            <w:pPr>
              <w:rPr>
                <w:rFonts w:asciiTheme="minorHAnsi" w:hAnsiTheme="minorHAnsi"/>
                <w:color w:val="000000"/>
                <w:sz w:val="20"/>
                <w:szCs w:val="20"/>
              </w:rPr>
            </w:pPr>
          </w:p>
        </w:tc>
        <w:tc>
          <w:tcPr>
            <w:tcW w:w="1134" w:type="dxa"/>
            <w:tcBorders>
              <w:top w:val="nil"/>
              <w:left w:val="nil"/>
              <w:bottom w:val="single" w:sz="4" w:space="0" w:color="auto"/>
              <w:right w:val="single" w:sz="4" w:space="0" w:color="auto"/>
            </w:tcBorders>
            <w:noWrap/>
            <w:vAlign w:val="center"/>
          </w:tcPr>
          <w:p w14:paraId="6E63D210" w14:textId="77777777" w:rsidR="005F1859" w:rsidRPr="006271F4" w:rsidRDefault="005F1859" w:rsidP="00EF5C9A">
            <w:pPr>
              <w:jc w:val="center"/>
              <w:rPr>
                <w:rFonts w:asciiTheme="minorHAnsi" w:hAnsiTheme="minorHAnsi"/>
                <w:color w:val="000000"/>
                <w:sz w:val="20"/>
                <w:szCs w:val="20"/>
              </w:rPr>
            </w:pPr>
            <w:r w:rsidRPr="006271F4">
              <w:rPr>
                <w:rFonts w:asciiTheme="minorHAnsi" w:hAnsiTheme="minorHAnsi"/>
                <w:color w:val="000000"/>
                <w:sz w:val="20"/>
                <w:szCs w:val="20"/>
              </w:rPr>
              <w:t>0</w:t>
            </w:r>
          </w:p>
        </w:tc>
        <w:tc>
          <w:tcPr>
            <w:tcW w:w="1134" w:type="dxa"/>
            <w:tcBorders>
              <w:top w:val="nil"/>
              <w:left w:val="nil"/>
              <w:bottom w:val="single" w:sz="4" w:space="0" w:color="auto"/>
              <w:right w:val="single" w:sz="4" w:space="0" w:color="auto"/>
            </w:tcBorders>
            <w:noWrap/>
            <w:vAlign w:val="center"/>
          </w:tcPr>
          <w:p w14:paraId="067EB304" w14:textId="77777777" w:rsidR="005F1859" w:rsidRPr="006271F4" w:rsidRDefault="005F1859" w:rsidP="00EF5C9A">
            <w:pPr>
              <w:jc w:val="center"/>
              <w:rPr>
                <w:rFonts w:asciiTheme="minorHAnsi" w:hAnsiTheme="minorHAnsi"/>
                <w:color w:val="000000"/>
                <w:sz w:val="20"/>
                <w:szCs w:val="20"/>
              </w:rPr>
            </w:pPr>
          </w:p>
        </w:tc>
        <w:tc>
          <w:tcPr>
            <w:tcW w:w="1417" w:type="dxa"/>
            <w:tcBorders>
              <w:top w:val="nil"/>
              <w:left w:val="nil"/>
              <w:bottom w:val="single" w:sz="4" w:space="0" w:color="auto"/>
              <w:right w:val="single" w:sz="4" w:space="0" w:color="auto"/>
            </w:tcBorders>
            <w:noWrap/>
            <w:vAlign w:val="center"/>
          </w:tcPr>
          <w:p w14:paraId="45A65607" w14:textId="77777777" w:rsidR="005F1859" w:rsidRPr="006271F4" w:rsidRDefault="005F1859" w:rsidP="00EF5C9A">
            <w:pPr>
              <w:jc w:val="center"/>
              <w:rPr>
                <w:rFonts w:asciiTheme="minorHAnsi" w:hAnsiTheme="minorHAnsi"/>
                <w:color w:val="000000"/>
                <w:sz w:val="20"/>
                <w:szCs w:val="20"/>
              </w:rPr>
            </w:pPr>
            <w:r w:rsidRPr="006271F4">
              <w:rPr>
                <w:rFonts w:asciiTheme="minorHAnsi" w:hAnsiTheme="minorHAnsi"/>
                <w:color w:val="000000"/>
                <w:sz w:val="20"/>
                <w:szCs w:val="20"/>
              </w:rPr>
              <w:t>0</w:t>
            </w:r>
          </w:p>
        </w:tc>
      </w:tr>
      <w:tr w:rsidR="005F1859" w:rsidRPr="002A1D42" w14:paraId="2F326BC7" w14:textId="77777777" w:rsidTr="00EF5C9A">
        <w:trPr>
          <w:trHeight w:val="113"/>
          <w:jc w:val="center"/>
        </w:trPr>
        <w:tc>
          <w:tcPr>
            <w:tcW w:w="4106" w:type="dxa"/>
            <w:tcBorders>
              <w:top w:val="nil"/>
              <w:left w:val="single" w:sz="4" w:space="0" w:color="auto"/>
              <w:bottom w:val="single" w:sz="4" w:space="0" w:color="auto"/>
              <w:right w:val="single" w:sz="4" w:space="0" w:color="auto"/>
            </w:tcBorders>
            <w:vAlign w:val="bottom"/>
            <w:hideMark/>
          </w:tcPr>
          <w:p w14:paraId="25A8BDAE" w14:textId="77777777" w:rsidR="005F1859" w:rsidRPr="006271F4" w:rsidRDefault="005F1859" w:rsidP="00EF5C9A">
            <w:pPr>
              <w:rPr>
                <w:rFonts w:asciiTheme="minorHAnsi" w:hAnsiTheme="minorHAnsi" w:cs="Times New Roman"/>
                <w:b/>
                <w:bCs/>
                <w:color w:val="000000"/>
                <w:sz w:val="20"/>
                <w:szCs w:val="20"/>
              </w:rPr>
            </w:pPr>
            <w:r w:rsidRPr="006271F4">
              <w:rPr>
                <w:rFonts w:asciiTheme="minorHAnsi" w:hAnsiTheme="minorHAnsi" w:cs="Times New Roman"/>
                <w:b/>
                <w:bCs/>
                <w:color w:val="000000"/>
                <w:sz w:val="20"/>
                <w:szCs w:val="20"/>
              </w:rPr>
              <w:t>Surplus / Deficit after Contingencies</w:t>
            </w:r>
          </w:p>
        </w:tc>
        <w:tc>
          <w:tcPr>
            <w:tcW w:w="1276" w:type="dxa"/>
            <w:tcBorders>
              <w:top w:val="nil"/>
              <w:left w:val="nil"/>
              <w:bottom w:val="single" w:sz="4" w:space="0" w:color="auto"/>
              <w:right w:val="single" w:sz="4" w:space="0" w:color="auto"/>
            </w:tcBorders>
            <w:noWrap/>
            <w:vAlign w:val="center"/>
          </w:tcPr>
          <w:p w14:paraId="558194ED" w14:textId="77777777" w:rsidR="005F1859" w:rsidRPr="006271F4" w:rsidRDefault="005F1859" w:rsidP="00EF5C9A">
            <w:pPr>
              <w:jc w:val="center"/>
              <w:rPr>
                <w:rFonts w:asciiTheme="minorHAnsi" w:hAnsiTheme="minorHAnsi"/>
                <w:b/>
                <w:bCs/>
                <w:color w:val="000000"/>
                <w:sz w:val="20"/>
                <w:szCs w:val="20"/>
              </w:rPr>
            </w:pPr>
          </w:p>
        </w:tc>
        <w:tc>
          <w:tcPr>
            <w:tcW w:w="1134" w:type="dxa"/>
            <w:tcBorders>
              <w:top w:val="nil"/>
              <w:left w:val="nil"/>
              <w:bottom w:val="single" w:sz="4" w:space="0" w:color="auto"/>
              <w:right w:val="single" w:sz="4" w:space="0" w:color="auto"/>
            </w:tcBorders>
            <w:noWrap/>
            <w:vAlign w:val="center"/>
          </w:tcPr>
          <w:p w14:paraId="673B2455" w14:textId="77777777" w:rsidR="005F1859" w:rsidRPr="006271F4" w:rsidRDefault="005F1859" w:rsidP="00EF5C9A">
            <w:pPr>
              <w:jc w:val="center"/>
              <w:rPr>
                <w:rFonts w:asciiTheme="minorHAnsi" w:hAnsiTheme="minorHAnsi"/>
                <w:b/>
                <w:bCs/>
                <w:color w:val="000000"/>
                <w:sz w:val="20"/>
                <w:szCs w:val="20"/>
              </w:rPr>
            </w:pPr>
            <w:r>
              <w:rPr>
                <w:rFonts w:asciiTheme="minorHAnsi" w:hAnsiTheme="minorHAnsi"/>
                <w:b/>
                <w:bCs/>
                <w:color w:val="000000"/>
                <w:sz w:val="20"/>
                <w:szCs w:val="20"/>
              </w:rPr>
              <w:t>19.5</w:t>
            </w:r>
          </w:p>
        </w:tc>
        <w:tc>
          <w:tcPr>
            <w:tcW w:w="1134" w:type="dxa"/>
            <w:tcBorders>
              <w:top w:val="nil"/>
              <w:left w:val="nil"/>
              <w:bottom w:val="single" w:sz="4" w:space="0" w:color="auto"/>
              <w:right w:val="single" w:sz="4" w:space="0" w:color="auto"/>
            </w:tcBorders>
            <w:noWrap/>
            <w:vAlign w:val="center"/>
          </w:tcPr>
          <w:p w14:paraId="62EDC1B8" w14:textId="77777777" w:rsidR="005F1859" w:rsidRPr="006271F4" w:rsidRDefault="005F1859" w:rsidP="00EF5C9A">
            <w:pPr>
              <w:jc w:val="center"/>
              <w:rPr>
                <w:rFonts w:asciiTheme="minorHAnsi" w:hAnsiTheme="minorHAnsi"/>
                <w:b/>
                <w:bCs/>
                <w:color w:val="000000"/>
                <w:sz w:val="20"/>
                <w:szCs w:val="20"/>
              </w:rPr>
            </w:pPr>
          </w:p>
        </w:tc>
        <w:tc>
          <w:tcPr>
            <w:tcW w:w="1417" w:type="dxa"/>
            <w:tcBorders>
              <w:top w:val="nil"/>
              <w:left w:val="nil"/>
              <w:bottom w:val="single" w:sz="4" w:space="0" w:color="auto"/>
              <w:right w:val="single" w:sz="4" w:space="0" w:color="auto"/>
            </w:tcBorders>
            <w:noWrap/>
            <w:vAlign w:val="center"/>
          </w:tcPr>
          <w:p w14:paraId="562D9ED0" w14:textId="77777777" w:rsidR="005F1859" w:rsidRPr="006271F4" w:rsidRDefault="005F1859" w:rsidP="00EF5C9A">
            <w:pPr>
              <w:jc w:val="center"/>
              <w:rPr>
                <w:rFonts w:asciiTheme="minorHAnsi" w:hAnsiTheme="minorHAnsi"/>
                <w:b/>
                <w:bCs/>
                <w:color w:val="000000"/>
                <w:sz w:val="20"/>
                <w:szCs w:val="20"/>
              </w:rPr>
            </w:pPr>
            <w:r w:rsidRPr="006271F4">
              <w:rPr>
                <w:rFonts w:asciiTheme="minorHAnsi" w:hAnsiTheme="minorHAnsi"/>
                <w:b/>
                <w:bCs/>
                <w:color w:val="000000"/>
                <w:sz w:val="20"/>
                <w:szCs w:val="20"/>
              </w:rPr>
              <w:t>8.2</w:t>
            </w:r>
          </w:p>
        </w:tc>
      </w:tr>
    </w:tbl>
    <w:p w14:paraId="3C5D7F72" w14:textId="77777777" w:rsidR="005F1859" w:rsidRDefault="005F1859" w:rsidP="005F1859">
      <w:pPr>
        <w:rPr>
          <w:rFonts w:cs="Arial"/>
        </w:rPr>
      </w:pPr>
    </w:p>
    <w:p w14:paraId="69EEFD32" w14:textId="77777777" w:rsidR="005F1859" w:rsidRDefault="005F1859" w:rsidP="005F1859">
      <w:pPr>
        <w:pStyle w:val="NormaBullet"/>
      </w:pPr>
      <w:r>
        <w:t xml:space="preserve">This risk assessment does not include potential costs of outsourcing to meet existing planned care demand and capacity gaps. It is assumed that this is a performance risk as opposed to a financial risk. </w:t>
      </w:r>
    </w:p>
    <w:p w14:paraId="10745DA1" w14:textId="77777777" w:rsidR="005F1859" w:rsidRDefault="005F1859" w:rsidP="005F1859">
      <w:pPr>
        <w:pStyle w:val="NormaBullet"/>
      </w:pPr>
      <w:r>
        <w:t>T</w:t>
      </w:r>
      <w:r w:rsidRPr="00986EAA">
        <w:t>he plan also assumes that there will be no adverse financial impact from the introduction of the new IFRS16- Accounting for finance leases.</w:t>
      </w:r>
    </w:p>
    <w:p w14:paraId="5B38A3A2" w14:textId="77777777" w:rsidR="005F1859" w:rsidRPr="00986EAA" w:rsidRDefault="005F1859" w:rsidP="005F1859">
      <w:pPr>
        <w:pStyle w:val="Heading3"/>
        <w:ind w:left="1146" w:hanging="720"/>
      </w:pPr>
      <w:r w:rsidRPr="00986EAA">
        <w:t>Financial Risk Management Plans for 20</w:t>
      </w:r>
      <w:r>
        <w:t>20/21</w:t>
      </w:r>
    </w:p>
    <w:p w14:paraId="26EA55E5" w14:textId="77777777" w:rsidR="005F1859" w:rsidRPr="00986EAA" w:rsidRDefault="005F1859" w:rsidP="005F1859">
      <w:pPr>
        <w:pStyle w:val="NormaBullet"/>
        <w:numPr>
          <w:ilvl w:val="0"/>
          <w:numId w:val="7"/>
        </w:numPr>
      </w:pPr>
      <w:r w:rsidRPr="00986EAA">
        <w:t xml:space="preserve">Further development of </w:t>
      </w:r>
      <w:r>
        <w:t xml:space="preserve">savings plans, and </w:t>
      </w:r>
      <w:r w:rsidRPr="00986EAA">
        <w:t>the capability and capacity to plan and deliver service improvement and change.</w:t>
      </w:r>
    </w:p>
    <w:p w14:paraId="06EDF615" w14:textId="77777777" w:rsidR="005F1859" w:rsidRPr="00986EAA" w:rsidRDefault="005F1859" w:rsidP="005F1859">
      <w:pPr>
        <w:pStyle w:val="NormaBullet"/>
      </w:pPr>
      <w:r w:rsidRPr="00986EAA">
        <w:t>Further development of demand and capacity planning, reflecting both improved pathways and improved productivity in the delivery of services.</w:t>
      </w:r>
    </w:p>
    <w:p w14:paraId="72062678" w14:textId="77777777" w:rsidR="005F1859" w:rsidRPr="001354D2" w:rsidRDefault="005F1859" w:rsidP="005F1859">
      <w:pPr>
        <w:pStyle w:val="NormaBullet"/>
        <w:spacing w:after="160" w:line="259" w:lineRule="auto"/>
        <w:jc w:val="left"/>
        <w:rPr>
          <w:rFonts w:cs="Arial"/>
          <w:b/>
          <w:bCs/>
          <w:iCs/>
          <w:caps/>
          <w:szCs w:val="28"/>
          <w:lang w:eastAsia="en-US"/>
        </w:rPr>
      </w:pPr>
      <w:r w:rsidRPr="00986EAA">
        <w:t xml:space="preserve">Further increasing the rigour of requiring clear expected outcomes to be demonstrated before investment in re-designed services is approved.  </w:t>
      </w:r>
      <w:bookmarkStart w:id="190" w:name="_Toc536195585"/>
      <w:bookmarkStart w:id="191" w:name="_Toc536528067"/>
    </w:p>
    <w:p w14:paraId="70FEB530" w14:textId="77777777" w:rsidR="005F1859" w:rsidRPr="00986EAA" w:rsidRDefault="005F1859" w:rsidP="005F1859">
      <w:pPr>
        <w:pStyle w:val="Heading2"/>
        <w:ind w:left="1077" w:hanging="1077"/>
      </w:pPr>
      <w:r w:rsidRPr="00986EAA">
        <w:t xml:space="preserve">Key Risks to the Financial Plan in Years </w:t>
      </w:r>
      <w:r>
        <w:t>2 and 3</w:t>
      </w:r>
      <w:bookmarkEnd w:id="190"/>
      <w:bookmarkEnd w:id="191"/>
    </w:p>
    <w:p w14:paraId="7679EC58" w14:textId="77777777" w:rsidR="005F1859" w:rsidRDefault="005F1859" w:rsidP="005F1859">
      <w:r w:rsidRPr="001C5488">
        <w:t>The key risks for years two and three are similar to those in 2019/20:</w:t>
      </w:r>
    </w:p>
    <w:p w14:paraId="3E6CDA30" w14:textId="77777777" w:rsidR="005F1859" w:rsidRDefault="005F1859" w:rsidP="005F1859"/>
    <w:p w14:paraId="70FB44C4" w14:textId="77777777" w:rsidR="005F1859" w:rsidRDefault="005F1859" w:rsidP="005F1859">
      <w:pPr>
        <w:pStyle w:val="NormaBullet"/>
        <w:numPr>
          <w:ilvl w:val="0"/>
          <w:numId w:val="7"/>
        </w:numPr>
      </w:pPr>
      <w:r w:rsidRPr="00986EAA">
        <w:t xml:space="preserve">Welsh Government </w:t>
      </w:r>
      <w:r>
        <w:t>allocation</w:t>
      </w:r>
      <w:r w:rsidRPr="00986EAA">
        <w:t xml:space="preserve"> assumptions</w:t>
      </w:r>
      <w:r>
        <w:t>.</w:t>
      </w:r>
    </w:p>
    <w:p w14:paraId="728A1188" w14:textId="77777777" w:rsidR="005F1859" w:rsidRPr="00604AC9" w:rsidRDefault="005F1859" w:rsidP="005F1859">
      <w:pPr>
        <w:pStyle w:val="NormaBullet"/>
        <w:numPr>
          <w:ilvl w:val="0"/>
          <w:numId w:val="7"/>
        </w:numPr>
      </w:pPr>
      <w:r>
        <w:t xml:space="preserve">The impact of moving to the new allocation formula over the 5 year term commencing in 20/21 represents a potential risk of £1.1m in 2021/22 and £1.1m in 22/23.  </w:t>
      </w:r>
    </w:p>
    <w:p w14:paraId="35CF71D6" w14:textId="77777777" w:rsidR="005F1859" w:rsidRDefault="005F1859" w:rsidP="005F1859">
      <w:pPr>
        <w:pStyle w:val="NormaBullet"/>
      </w:pPr>
      <w:r w:rsidRPr="00986EAA">
        <w:t>Delivery of savings</w:t>
      </w:r>
      <w:r>
        <w:t>, and the cost release from transformation</w:t>
      </w:r>
      <w:r w:rsidRPr="00986EAA">
        <w:t xml:space="preserve"> in line with the plan.</w:t>
      </w:r>
    </w:p>
    <w:p w14:paraId="589F1129" w14:textId="587D60A9" w:rsidR="00E76C6C" w:rsidRPr="00986EAA" w:rsidRDefault="005F1859" w:rsidP="005F1859">
      <w:pPr>
        <w:pStyle w:val="NormaBullet"/>
      </w:pPr>
      <w:r w:rsidRPr="00986EAA">
        <w:t>Managing cost and demand pressures in line with the</w:t>
      </w:r>
      <w:r>
        <w:t xml:space="preserve"> plan.</w:t>
      </w:r>
    </w:p>
    <w:p w14:paraId="5692F647" w14:textId="77777777" w:rsidR="003B1653" w:rsidRDefault="003B1653">
      <w:pPr>
        <w:jc w:val="left"/>
      </w:pPr>
      <w:r>
        <w:br w:type="page"/>
      </w:r>
    </w:p>
    <w:p w14:paraId="1E81C6FC" w14:textId="1BF996EE" w:rsidR="00AA3895" w:rsidRPr="005913B0" w:rsidRDefault="00AA3895" w:rsidP="00D852F5">
      <w:pPr>
        <w:pStyle w:val="Heading1"/>
        <w:rPr>
          <w:color w:val="000000" w:themeColor="text1"/>
          <w:szCs w:val="26"/>
        </w:rPr>
      </w:pPr>
      <w:bookmarkStart w:id="192" w:name="_Toc29573970"/>
      <w:r w:rsidRPr="005913B0">
        <w:rPr>
          <w:color w:val="000000" w:themeColor="text1"/>
          <w:szCs w:val="26"/>
        </w:rPr>
        <w:lastRenderedPageBreak/>
        <w:t>ENABLERS</w:t>
      </w:r>
      <w:bookmarkEnd w:id="164"/>
      <w:bookmarkEnd w:id="165"/>
      <w:bookmarkEnd w:id="166"/>
      <w:bookmarkEnd w:id="167"/>
      <w:bookmarkEnd w:id="168"/>
      <w:bookmarkEnd w:id="169"/>
      <w:bookmarkEnd w:id="170"/>
      <w:bookmarkEnd w:id="171"/>
      <w:bookmarkEnd w:id="192"/>
    </w:p>
    <w:p w14:paraId="1FF633AB" w14:textId="77777777" w:rsidR="006C353B" w:rsidRPr="005913B0" w:rsidRDefault="006C353B" w:rsidP="006C353B">
      <w:pPr>
        <w:pStyle w:val="Heading2"/>
        <w:rPr>
          <w:rFonts w:asciiTheme="minorHAnsi" w:hAnsiTheme="minorHAnsi"/>
          <w:color w:val="000000" w:themeColor="text1"/>
          <w:szCs w:val="22"/>
        </w:rPr>
      </w:pPr>
      <w:bookmarkStart w:id="193" w:name="_Toc503816722"/>
      <w:bookmarkStart w:id="194" w:name="_Toc532299708"/>
      <w:bookmarkStart w:id="195" w:name="_Toc532464114"/>
      <w:bookmarkStart w:id="196" w:name="_Toc536195587"/>
      <w:bookmarkStart w:id="197" w:name="_Toc29573971"/>
      <w:r w:rsidRPr="005913B0">
        <w:rPr>
          <w:color w:val="000000" w:themeColor="text1"/>
          <w:szCs w:val="22"/>
        </w:rPr>
        <w:t>Innovation, Learning and Purposeful Collaboration</w:t>
      </w:r>
      <w:bookmarkEnd w:id="193"/>
      <w:bookmarkEnd w:id="194"/>
      <w:bookmarkEnd w:id="195"/>
      <w:bookmarkEnd w:id="196"/>
      <w:bookmarkEnd w:id="197"/>
    </w:p>
    <w:p w14:paraId="4FB6C1AB" w14:textId="0F5F0D6F" w:rsidR="003241CD" w:rsidRPr="003241CD" w:rsidRDefault="003241CD" w:rsidP="003241CD">
      <w:r w:rsidRPr="003241CD">
        <w:t xml:space="preserve">Innovation is at the heart of our objectives and we are strengthening our role as a catalyst for transformation and accelerated improvement in health care delivery. </w:t>
      </w:r>
      <w:r w:rsidR="0015537E">
        <w:t xml:space="preserve"> </w:t>
      </w:r>
      <w:r w:rsidRPr="003241CD">
        <w:t xml:space="preserve">We have also built our profile and partnerships with those within and outside of </w:t>
      </w:r>
      <w:r w:rsidR="0015537E">
        <w:t xml:space="preserve">CTM </w:t>
      </w:r>
      <w:r w:rsidRPr="003241CD">
        <w:t>in order to enhance the local economy and our reputation for innovation.</w:t>
      </w:r>
      <w:r w:rsidR="0015537E">
        <w:t xml:space="preserve"> </w:t>
      </w:r>
      <w:r w:rsidRPr="003241CD">
        <w:t xml:space="preserve"> This integration of continuous learning, quality improvement and strategic innovation is a key thrust of our development as an organisation over the next few years.</w:t>
      </w:r>
      <w:r w:rsidR="0015537E">
        <w:t xml:space="preserve"> </w:t>
      </w:r>
      <w:r w:rsidRPr="003241CD">
        <w:t xml:space="preserve"> The Executive Board has approved an innovation strategy ‘Cwm Taf IDEAS’ which describes the key pillars of innovation as we see them operating in a context of academic partnerships of which citizens are part.</w:t>
      </w:r>
      <w:r w:rsidR="0015537E">
        <w:t xml:space="preserve"> </w:t>
      </w:r>
      <w:r w:rsidRPr="003241CD">
        <w:t xml:space="preserve"> This ‘house of linked innovation’ shows the domains of innovation which we will focus on and seek to integrate with a bottom-to-top quality improvement programme ‘Improvement CTM’.</w:t>
      </w:r>
    </w:p>
    <w:p w14:paraId="31309AC8" w14:textId="77777777" w:rsidR="003241CD" w:rsidRPr="003241CD" w:rsidRDefault="003241CD" w:rsidP="003241CD"/>
    <w:p w14:paraId="30AEC672" w14:textId="77777777" w:rsidR="003241CD" w:rsidRPr="003241CD" w:rsidRDefault="003241CD" w:rsidP="003241CD">
      <w:r w:rsidRPr="003241CD">
        <w:t xml:space="preserve">Improvement CTM will add value and address the 3 high level objectives set out in section 1.6 in 4 key ways. It will: </w:t>
      </w:r>
    </w:p>
    <w:p w14:paraId="3BFFCA72" w14:textId="77777777" w:rsidR="003241CD" w:rsidRPr="003241CD" w:rsidRDefault="003241CD" w:rsidP="003241CD"/>
    <w:p w14:paraId="5F0658BF" w14:textId="77777777" w:rsidR="003241CD" w:rsidRPr="003241CD" w:rsidRDefault="003241CD" w:rsidP="005F65CD">
      <w:pPr>
        <w:pStyle w:val="ListParagraph"/>
        <w:numPr>
          <w:ilvl w:val="0"/>
          <w:numId w:val="106"/>
        </w:numPr>
        <w:ind w:right="-397"/>
        <w:jc w:val="left"/>
        <w:rPr>
          <w:b/>
        </w:rPr>
      </w:pPr>
      <w:r w:rsidRPr="003241CD">
        <w:rPr>
          <w:b/>
        </w:rPr>
        <w:t>Co-ordinate and Communicate Improvement</w:t>
      </w:r>
    </w:p>
    <w:p w14:paraId="11876F5B" w14:textId="77777777" w:rsidR="003241CD" w:rsidRPr="003241CD" w:rsidRDefault="003241CD" w:rsidP="005F65CD">
      <w:pPr>
        <w:pStyle w:val="ListParagraph"/>
        <w:numPr>
          <w:ilvl w:val="0"/>
          <w:numId w:val="102"/>
        </w:numPr>
        <w:ind w:right="-397"/>
        <w:jc w:val="left"/>
      </w:pPr>
      <w:r w:rsidRPr="003241CD">
        <w:t>Co-ordinate existing improvement work across the organisation and upscale successful initiatives accessing key stakeholder support such as the Accelerate programme and Agor IP</w:t>
      </w:r>
    </w:p>
    <w:p w14:paraId="13C7B2FA" w14:textId="77777777" w:rsidR="003241CD" w:rsidRPr="003241CD" w:rsidRDefault="003241CD" w:rsidP="005F65CD">
      <w:pPr>
        <w:pStyle w:val="ListParagraph"/>
        <w:numPr>
          <w:ilvl w:val="0"/>
          <w:numId w:val="102"/>
        </w:numPr>
        <w:ind w:right="-397"/>
        <w:jc w:val="left"/>
      </w:pPr>
      <w:r w:rsidRPr="003241CD">
        <w:t>Communicate achievements and successes both internally and externally to showcase excellence.</w:t>
      </w:r>
    </w:p>
    <w:p w14:paraId="6F29EE25" w14:textId="77777777" w:rsidR="003241CD" w:rsidRPr="003241CD" w:rsidRDefault="003241CD" w:rsidP="005F65CD">
      <w:pPr>
        <w:pStyle w:val="ListParagraph"/>
        <w:numPr>
          <w:ilvl w:val="0"/>
          <w:numId w:val="106"/>
        </w:numPr>
        <w:ind w:right="-397"/>
        <w:jc w:val="left"/>
        <w:rPr>
          <w:b/>
        </w:rPr>
      </w:pPr>
      <w:r w:rsidRPr="003241CD">
        <w:rPr>
          <w:b/>
        </w:rPr>
        <w:t xml:space="preserve">Identify New Improvement Opportunities </w:t>
      </w:r>
    </w:p>
    <w:p w14:paraId="36A1ECAA" w14:textId="77777777" w:rsidR="003241CD" w:rsidRPr="003241CD" w:rsidRDefault="003241CD" w:rsidP="005F65CD">
      <w:pPr>
        <w:pStyle w:val="ListParagraph"/>
        <w:numPr>
          <w:ilvl w:val="0"/>
          <w:numId w:val="103"/>
        </w:numPr>
        <w:ind w:right="-397"/>
        <w:jc w:val="left"/>
      </w:pPr>
      <w:r w:rsidRPr="003241CD">
        <w:t xml:space="preserve">Working with the organisations’ units of operation (departments, wards services or cluster teams) to identify improvement opportunities </w:t>
      </w:r>
    </w:p>
    <w:p w14:paraId="7D010CE5" w14:textId="4C9320A2" w:rsidR="003241CD" w:rsidRPr="003241CD" w:rsidRDefault="003241CD" w:rsidP="005F65CD">
      <w:pPr>
        <w:pStyle w:val="ListParagraph"/>
        <w:numPr>
          <w:ilvl w:val="0"/>
          <w:numId w:val="103"/>
        </w:numPr>
        <w:ind w:right="-397"/>
        <w:jc w:val="left"/>
      </w:pPr>
      <w:r w:rsidRPr="003241CD">
        <w:t>Establish a suit</w:t>
      </w:r>
      <w:r w:rsidR="0015537E">
        <w:t>e</w:t>
      </w:r>
      <w:r w:rsidRPr="003241CD">
        <w:t xml:space="preserve"> of Improvement initiatives prioritised based on CTMUHB’s current escalation status, healthcare data and opportunities in a wider environment.</w:t>
      </w:r>
    </w:p>
    <w:p w14:paraId="2C58B6E9" w14:textId="77777777" w:rsidR="003241CD" w:rsidRPr="003241CD" w:rsidRDefault="003241CD" w:rsidP="005F65CD">
      <w:pPr>
        <w:pStyle w:val="ListParagraph"/>
        <w:numPr>
          <w:ilvl w:val="0"/>
          <w:numId w:val="103"/>
        </w:numPr>
        <w:ind w:right="-397"/>
        <w:jc w:val="left"/>
      </w:pPr>
      <w:r w:rsidRPr="003241CD">
        <w:t>Introducing improvement capability to existing operational pressures within the organisation</w:t>
      </w:r>
    </w:p>
    <w:p w14:paraId="626DDD16" w14:textId="77777777" w:rsidR="003241CD" w:rsidRPr="003241CD" w:rsidRDefault="003241CD" w:rsidP="005F65CD">
      <w:pPr>
        <w:pStyle w:val="ListParagraph"/>
        <w:numPr>
          <w:ilvl w:val="0"/>
          <w:numId w:val="106"/>
        </w:numPr>
        <w:ind w:right="-397"/>
        <w:jc w:val="left"/>
        <w:rPr>
          <w:b/>
        </w:rPr>
      </w:pPr>
      <w:r w:rsidRPr="003241CD">
        <w:rPr>
          <w:b/>
        </w:rPr>
        <w:t xml:space="preserve">Develop the Improvement capability in the system and the workforce  </w:t>
      </w:r>
    </w:p>
    <w:p w14:paraId="2BC78A08" w14:textId="77777777" w:rsidR="003241CD" w:rsidRPr="003241CD" w:rsidRDefault="003241CD" w:rsidP="005F65CD">
      <w:pPr>
        <w:pStyle w:val="ListParagraph"/>
        <w:numPr>
          <w:ilvl w:val="0"/>
          <w:numId w:val="104"/>
        </w:numPr>
        <w:ind w:right="-397"/>
        <w:jc w:val="left"/>
      </w:pPr>
      <w:r w:rsidRPr="003241CD">
        <w:t>Identifying improvement champions in each CTMUHB business unit.</w:t>
      </w:r>
    </w:p>
    <w:p w14:paraId="2107241C" w14:textId="77777777" w:rsidR="003241CD" w:rsidRPr="003241CD" w:rsidRDefault="003241CD" w:rsidP="005F65CD">
      <w:pPr>
        <w:pStyle w:val="ListParagraph"/>
        <w:numPr>
          <w:ilvl w:val="0"/>
          <w:numId w:val="104"/>
        </w:numPr>
        <w:ind w:right="-397"/>
        <w:jc w:val="left"/>
      </w:pPr>
      <w:r w:rsidRPr="003241CD">
        <w:t xml:space="preserve">Upskilling the workforce and disseminate learning </w:t>
      </w:r>
    </w:p>
    <w:p w14:paraId="2A00F96D" w14:textId="77777777" w:rsidR="003241CD" w:rsidRPr="003241CD" w:rsidRDefault="003241CD" w:rsidP="005F65CD">
      <w:pPr>
        <w:pStyle w:val="ListParagraph"/>
        <w:numPr>
          <w:ilvl w:val="0"/>
          <w:numId w:val="104"/>
        </w:numPr>
        <w:ind w:right="-397"/>
        <w:jc w:val="left"/>
      </w:pPr>
      <w:r w:rsidRPr="003241CD">
        <w:t>Working with external and academic partners to develop training materials and courses</w:t>
      </w:r>
    </w:p>
    <w:p w14:paraId="026D875E" w14:textId="77777777" w:rsidR="003241CD" w:rsidRPr="003241CD" w:rsidRDefault="003241CD" w:rsidP="005F65CD">
      <w:pPr>
        <w:pStyle w:val="ListParagraph"/>
        <w:numPr>
          <w:ilvl w:val="0"/>
          <w:numId w:val="106"/>
        </w:numPr>
        <w:ind w:right="-397"/>
        <w:jc w:val="left"/>
        <w:rPr>
          <w:b/>
        </w:rPr>
      </w:pPr>
      <w:r w:rsidRPr="003241CD">
        <w:rPr>
          <w:b/>
        </w:rPr>
        <w:t>Build and recognise communities of Improvement practice</w:t>
      </w:r>
    </w:p>
    <w:p w14:paraId="3EEEE08A" w14:textId="77777777" w:rsidR="003241CD" w:rsidRPr="003241CD" w:rsidRDefault="003241CD" w:rsidP="005F65CD">
      <w:pPr>
        <w:pStyle w:val="ListParagraph"/>
        <w:numPr>
          <w:ilvl w:val="0"/>
          <w:numId w:val="105"/>
        </w:numPr>
        <w:ind w:right="-397"/>
        <w:jc w:val="left"/>
      </w:pPr>
      <w:r w:rsidRPr="003241CD">
        <w:t>Recognise well developed improvement capabilities and bring these together to establish a community of practice.</w:t>
      </w:r>
    </w:p>
    <w:p w14:paraId="3A2992C3" w14:textId="77777777" w:rsidR="005913B0" w:rsidRDefault="005913B0" w:rsidP="005913B0"/>
    <w:p w14:paraId="68AE2873" w14:textId="77777777" w:rsidR="005913B0" w:rsidRPr="00855155" w:rsidRDefault="005913B0" w:rsidP="005913B0">
      <w:pPr>
        <w:jc w:val="center"/>
        <w:rPr>
          <w:b/>
        </w:rPr>
      </w:pPr>
      <w:r>
        <w:rPr>
          <w:b/>
        </w:rPr>
        <w:t>House of Linked Innovation</w:t>
      </w:r>
    </w:p>
    <w:p w14:paraId="67F00B5E" w14:textId="7EF10EC1" w:rsidR="005913B0" w:rsidRDefault="005913B0" w:rsidP="005913B0">
      <w:pPr>
        <w:jc w:val="center"/>
      </w:pPr>
      <w:r>
        <w:rPr>
          <w:noProof/>
        </w:rPr>
        <w:drawing>
          <wp:inline distT="0" distB="0" distL="0" distR="0" wp14:anchorId="00CFFAC1" wp14:editId="45D35C4F">
            <wp:extent cx="3228975" cy="2667000"/>
            <wp:effectExtent l="0" t="0" r="9525" b="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l="33888" t="35008" r="30700" b="25997"/>
                    <a:stretch/>
                  </pic:blipFill>
                  <pic:spPr bwMode="auto">
                    <a:xfrm>
                      <a:off x="0" y="0"/>
                      <a:ext cx="3230174" cy="2667990"/>
                    </a:xfrm>
                    <a:prstGeom prst="rect">
                      <a:avLst/>
                    </a:prstGeom>
                    <a:ln>
                      <a:noFill/>
                    </a:ln>
                    <a:extLst>
                      <a:ext uri="{53640926-AAD7-44D8-BBD7-CCE9431645EC}">
                        <a14:shadowObscured xmlns:a14="http://schemas.microsoft.com/office/drawing/2010/main"/>
                      </a:ext>
                    </a:extLst>
                  </pic:spPr>
                </pic:pic>
              </a:graphicData>
            </a:graphic>
          </wp:inline>
        </w:drawing>
      </w:r>
    </w:p>
    <w:p w14:paraId="0C935E59" w14:textId="77777777" w:rsidR="005913B0" w:rsidRPr="00AA4595" w:rsidRDefault="005913B0" w:rsidP="00AA4595">
      <w:pPr>
        <w:rPr>
          <w:szCs w:val="22"/>
        </w:rPr>
      </w:pPr>
    </w:p>
    <w:p w14:paraId="6D28DB3C" w14:textId="77777777" w:rsidR="003241CD" w:rsidRDefault="003241CD" w:rsidP="00AA4595">
      <w:pPr>
        <w:rPr>
          <w:szCs w:val="22"/>
        </w:rPr>
      </w:pPr>
    </w:p>
    <w:p w14:paraId="536F7A1E" w14:textId="77777777" w:rsidR="003241CD" w:rsidRDefault="003241CD" w:rsidP="00AA4595">
      <w:pPr>
        <w:rPr>
          <w:szCs w:val="22"/>
        </w:rPr>
      </w:pPr>
    </w:p>
    <w:p w14:paraId="0C97404C" w14:textId="77777777" w:rsidR="005913B0" w:rsidRPr="00AA4595" w:rsidRDefault="005913B0" w:rsidP="00AA4595">
      <w:pPr>
        <w:rPr>
          <w:szCs w:val="22"/>
        </w:rPr>
      </w:pPr>
      <w:r w:rsidRPr="00AA4595">
        <w:rPr>
          <w:szCs w:val="22"/>
        </w:rPr>
        <w:lastRenderedPageBreak/>
        <w:t>Current Innovation activities include:</w:t>
      </w:r>
    </w:p>
    <w:p w14:paraId="51C8E959" w14:textId="2F2620C3" w:rsidR="005913B0" w:rsidRPr="00AA4595" w:rsidRDefault="005913B0" w:rsidP="00F60A35">
      <w:pPr>
        <w:pStyle w:val="ListParagraph"/>
        <w:numPr>
          <w:ilvl w:val="0"/>
          <w:numId w:val="64"/>
        </w:numPr>
        <w:spacing w:after="160"/>
        <w:ind w:left="357" w:hanging="357"/>
        <w:rPr>
          <w:szCs w:val="22"/>
        </w:rPr>
      </w:pPr>
      <w:r w:rsidRPr="00AA4595">
        <w:rPr>
          <w:szCs w:val="22"/>
        </w:rPr>
        <w:t>Ward based e-Whiteboards: Develope</w:t>
      </w:r>
      <w:r w:rsidR="00071680">
        <w:rPr>
          <w:szCs w:val="22"/>
        </w:rPr>
        <w:t xml:space="preserve">d internally by </w:t>
      </w:r>
      <w:r w:rsidR="002A3312">
        <w:rPr>
          <w:szCs w:val="22"/>
        </w:rPr>
        <w:t>CTMUHB</w:t>
      </w:r>
      <w:r w:rsidR="00071680">
        <w:rPr>
          <w:szCs w:val="22"/>
        </w:rPr>
        <w:t>s</w:t>
      </w:r>
      <w:r w:rsidRPr="00AA4595">
        <w:rPr>
          <w:szCs w:val="22"/>
        </w:rPr>
        <w:t xml:space="preserve"> ICT </w:t>
      </w:r>
      <w:r w:rsidR="00BE2B0B">
        <w:rPr>
          <w:szCs w:val="22"/>
        </w:rPr>
        <w:t>Department</w:t>
      </w:r>
      <w:r w:rsidRPr="00AA4595">
        <w:rPr>
          <w:szCs w:val="22"/>
        </w:rPr>
        <w:t xml:space="preserve"> the e-whiteboards replicate the traditional pen and board approach used in secondary care wards to represent inpatients. </w:t>
      </w:r>
      <w:r w:rsidR="00BE2B0B">
        <w:rPr>
          <w:szCs w:val="22"/>
        </w:rPr>
        <w:t xml:space="preserve"> </w:t>
      </w:r>
      <w:r w:rsidRPr="00AA4595">
        <w:rPr>
          <w:szCs w:val="22"/>
        </w:rPr>
        <w:t xml:space="preserve">A successful application to the Accelerate programme to help develop and refine the concept has been made and is currently underway. </w:t>
      </w:r>
      <w:r w:rsidR="00BE2B0B">
        <w:rPr>
          <w:szCs w:val="22"/>
        </w:rPr>
        <w:t xml:space="preserve"> </w:t>
      </w:r>
      <w:r w:rsidRPr="00AA4595">
        <w:rPr>
          <w:szCs w:val="22"/>
        </w:rPr>
        <w:t>The potential commercialisation of this approa</w:t>
      </w:r>
      <w:r w:rsidR="00786AC8">
        <w:rPr>
          <w:szCs w:val="22"/>
        </w:rPr>
        <w:t>ch is being explored.  (</w:t>
      </w:r>
      <w:r w:rsidR="00786AC8" w:rsidRPr="00786AC8">
        <w:rPr>
          <w:b/>
          <w:szCs w:val="22"/>
        </w:rPr>
        <w:t>see section 8.2</w:t>
      </w:r>
      <w:r w:rsidR="00786AC8">
        <w:rPr>
          <w:szCs w:val="22"/>
        </w:rPr>
        <w:t>)</w:t>
      </w:r>
    </w:p>
    <w:p w14:paraId="4DCF0571" w14:textId="4BE8C901" w:rsidR="005913B0" w:rsidRPr="00AA4595" w:rsidRDefault="005913B0" w:rsidP="00F60A35">
      <w:pPr>
        <w:pStyle w:val="ListParagraph"/>
        <w:numPr>
          <w:ilvl w:val="0"/>
          <w:numId w:val="64"/>
        </w:numPr>
        <w:spacing w:after="160"/>
        <w:ind w:left="357" w:hanging="357"/>
        <w:rPr>
          <w:szCs w:val="22"/>
        </w:rPr>
      </w:pPr>
      <w:r w:rsidRPr="00AA4595">
        <w:rPr>
          <w:szCs w:val="22"/>
        </w:rPr>
        <w:t>Recycling of Waste material</w:t>
      </w:r>
      <w:r w:rsidR="00AA4595" w:rsidRPr="00AA4595">
        <w:rPr>
          <w:szCs w:val="22"/>
        </w:rPr>
        <w:t xml:space="preserve">: </w:t>
      </w:r>
      <w:r w:rsidRPr="00AA4595">
        <w:rPr>
          <w:szCs w:val="22"/>
        </w:rPr>
        <w:t>Growing interest and awareness of the volume of hospital waste has driven a number of innovative projects to explore ways of reducing the impact of waste.</w:t>
      </w:r>
      <w:r w:rsidR="00AA4595" w:rsidRPr="00AA4595">
        <w:rPr>
          <w:szCs w:val="22"/>
        </w:rPr>
        <w:t xml:space="preserve">  </w:t>
      </w:r>
      <w:r w:rsidRPr="00AA4595">
        <w:rPr>
          <w:szCs w:val="22"/>
        </w:rPr>
        <w:t xml:space="preserve">Linking into the Sustainable Operating Theatres initiative in partnership with </w:t>
      </w:r>
      <w:r w:rsidR="00BE2B0B">
        <w:rPr>
          <w:szCs w:val="22"/>
        </w:rPr>
        <w:t>CaVUHB</w:t>
      </w:r>
      <w:r w:rsidRPr="00AA4595">
        <w:rPr>
          <w:szCs w:val="22"/>
        </w:rPr>
        <w:t>, Life Sciences Hub and the Accelerate programme.</w:t>
      </w:r>
      <w:r w:rsidR="00AA4595" w:rsidRPr="00AA4595">
        <w:rPr>
          <w:szCs w:val="22"/>
        </w:rPr>
        <w:t xml:space="preserve">  </w:t>
      </w:r>
      <w:r w:rsidRPr="00AA4595">
        <w:rPr>
          <w:szCs w:val="22"/>
        </w:rPr>
        <w:t xml:space="preserve">Working with a joint KeSS studentship between </w:t>
      </w:r>
      <w:r w:rsidR="00BE2B0B">
        <w:rPr>
          <w:szCs w:val="22"/>
        </w:rPr>
        <w:t>USW</w:t>
      </w:r>
      <w:r w:rsidRPr="00AA4595">
        <w:rPr>
          <w:szCs w:val="22"/>
        </w:rPr>
        <w:t xml:space="preserve"> and an industrial partner, Thermal Compaction Group Ltd to explore the recycling potential of some of the most common non-hazardous types of plastic.</w:t>
      </w:r>
    </w:p>
    <w:p w14:paraId="0942F922" w14:textId="55FF995F" w:rsidR="005913B0" w:rsidRPr="00AA4595" w:rsidRDefault="005913B0" w:rsidP="00F60A35">
      <w:pPr>
        <w:pStyle w:val="ListParagraph"/>
        <w:numPr>
          <w:ilvl w:val="0"/>
          <w:numId w:val="64"/>
        </w:numPr>
        <w:ind w:left="357" w:hanging="357"/>
        <w:jc w:val="left"/>
        <w:rPr>
          <w:color w:val="000000" w:themeColor="text1"/>
          <w:szCs w:val="22"/>
        </w:rPr>
      </w:pPr>
      <w:r w:rsidRPr="00AA4595">
        <w:rPr>
          <w:szCs w:val="22"/>
        </w:rPr>
        <w:t>WAST Ideas portal</w:t>
      </w:r>
      <w:r w:rsidR="00AA4595" w:rsidRPr="00AA4595">
        <w:rPr>
          <w:szCs w:val="22"/>
        </w:rPr>
        <w:t xml:space="preserve">: </w:t>
      </w:r>
      <w:r w:rsidR="00BE2B0B">
        <w:rPr>
          <w:szCs w:val="22"/>
        </w:rPr>
        <w:t>WAST</w:t>
      </w:r>
      <w:r w:rsidRPr="00AA4595">
        <w:rPr>
          <w:szCs w:val="22"/>
        </w:rPr>
        <w:t xml:space="preserve"> have created the Welsh Innovation Improvement Network (WINN) and we have been exploring with them the potential to adapt many of their ideas. </w:t>
      </w:r>
      <w:r w:rsidR="00BE2B0B">
        <w:rPr>
          <w:szCs w:val="22"/>
        </w:rPr>
        <w:t xml:space="preserve"> </w:t>
      </w:r>
      <w:r w:rsidRPr="00AA4595">
        <w:rPr>
          <w:szCs w:val="22"/>
        </w:rPr>
        <w:t>Primarily this includes the WIIN online ideas portal which takes staff through a set process to structure their idea and to allow it to be triaged appropriately into either a research, innovation or improvement pathways</w:t>
      </w:r>
      <w:r w:rsidRPr="00AA4595">
        <w:rPr>
          <w:color w:val="000000" w:themeColor="text1"/>
          <w:szCs w:val="22"/>
        </w:rPr>
        <w:t>. We are looking at ways to incorpor</w:t>
      </w:r>
      <w:r w:rsidR="00071680">
        <w:rPr>
          <w:color w:val="000000" w:themeColor="text1"/>
          <w:szCs w:val="22"/>
        </w:rPr>
        <w:t xml:space="preserve">ate this into the current </w:t>
      </w:r>
      <w:r w:rsidR="002A3312">
        <w:rPr>
          <w:color w:val="000000" w:themeColor="text1"/>
          <w:szCs w:val="22"/>
        </w:rPr>
        <w:t>CTMUHB</w:t>
      </w:r>
      <w:r w:rsidRPr="00AA4595">
        <w:rPr>
          <w:color w:val="000000" w:themeColor="text1"/>
          <w:szCs w:val="22"/>
        </w:rPr>
        <w:t xml:space="preserve"> structure.</w:t>
      </w:r>
    </w:p>
    <w:p w14:paraId="730A25A8" w14:textId="77777777" w:rsidR="005D5241" w:rsidRPr="00AA4595" w:rsidRDefault="005D5241" w:rsidP="005D5241">
      <w:pPr>
        <w:autoSpaceDE w:val="0"/>
        <w:autoSpaceDN w:val="0"/>
        <w:adjustRightInd w:val="0"/>
        <w:rPr>
          <w:rFonts w:asciiTheme="minorHAnsi" w:hAnsiTheme="minorHAnsi" w:cs="Verdana"/>
          <w:color w:val="000000" w:themeColor="text1"/>
          <w:szCs w:val="22"/>
        </w:rPr>
      </w:pPr>
    </w:p>
    <w:p w14:paraId="2BAC505A" w14:textId="03012127" w:rsidR="005913B0" w:rsidRPr="00AA4595" w:rsidRDefault="00AA4595" w:rsidP="005D5241">
      <w:pPr>
        <w:autoSpaceDE w:val="0"/>
        <w:autoSpaceDN w:val="0"/>
        <w:adjustRightInd w:val="0"/>
        <w:rPr>
          <w:rFonts w:asciiTheme="minorHAnsi" w:hAnsiTheme="minorHAnsi" w:cs="Verdana"/>
          <w:b/>
          <w:color w:val="000000" w:themeColor="text1"/>
          <w:szCs w:val="22"/>
        </w:rPr>
      </w:pPr>
      <w:r w:rsidRPr="00AA4595">
        <w:rPr>
          <w:rFonts w:asciiTheme="minorHAnsi" w:hAnsiTheme="minorHAnsi" w:cs="Verdana"/>
          <w:b/>
          <w:color w:val="000000" w:themeColor="text1"/>
          <w:szCs w:val="22"/>
        </w:rPr>
        <w:t>NHS Wales Innovation Leads Group</w:t>
      </w:r>
    </w:p>
    <w:p w14:paraId="42881E08" w14:textId="3B93C09B" w:rsidR="00AA4595" w:rsidRPr="00AA4595" w:rsidRDefault="00AA4595" w:rsidP="00AA4595">
      <w:pPr>
        <w:pStyle w:val="PlainText"/>
        <w:rPr>
          <w:rFonts w:asciiTheme="minorHAnsi" w:hAnsiTheme="minorHAnsi" w:cs="Arial"/>
          <w:sz w:val="22"/>
          <w:szCs w:val="22"/>
        </w:rPr>
      </w:pPr>
      <w:r w:rsidRPr="00AA4595">
        <w:rPr>
          <w:rFonts w:asciiTheme="minorHAnsi" w:hAnsiTheme="minorHAnsi" w:cs="Arial"/>
          <w:sz w:val="22"/>
          <w:szCs w:val="22"/>
        </w:rPr>
        <w:t>The NHS Wales Innovation group are the leads for innovation within our respective organisations.</w:t>
      </w:r>
      <w:r w:rsidR="00582EB8">
        <w:rPr>
          <w:rFonts w:asciiTheme="minorHAnsi" w:hAnsiTheme="minorHAnsi" w:cs="Arial"/>
          <w:sz w:val="22"/>
          <w:szCs w:val="22"/>
        </w:rPr>
        <w:t xml:space="preserve"> </w:t>
      </w:r>
      <w:r w:rsidRPr="00AA4595">
        <w:rPr>
          <w:rFonts w:asciiTheme="minorHAnsi" w:hAnsiTheme="minorHAnsi" w:cs="Arial"/>
          <w:sz w:val="22"/>
          <w:szCs w:val="22"/>
        </w:rPr>
        <w:t xml:space="preserve"> We meet regularly with a remit to discuss areas of mutual interest, share knowledge and support the adoption and scale of innovation nationally.</w:t>
      </w:r>
      <w:r w:rsidR="00582EB8">
        <w:rPr>
          <w:rFonts w:asciiTheme="minorHAnsi" w:hAnsiTheme="minorHAnsi" w:cs="Arial"/>
          <w:sz w:val="22"/>
          <w:szCs w:val="22"/>
        </w:rPr>
        <w:t xml:space="preserve"> </w:t>
      </w:r>
      <w:r w:rsidRPr="00AA4595">
        <w:rPr>
          <w:rFonts w:asciiTheme="minorHAnsi" w:hAnsiTheme="minorHAnsi" w:cs="Arial"/>
          <w:sz w:val="22"/>
          <w:szCs w:val="22"/>
        </w:rPr>
        <w:t xml:space="preserve"> The Group has agreed to focus on the following three areas initially:</w:t>
      </w:r>
    </w:p>
    <w:p w14:paraId="1F56DA7D" w14:textId="77777777" w:rsidR="00AA4595" w:rsidRPr="00AA4595" w:rsidRDefault="00AA4595" w:rsidP="00F60A35">
      <w:pPr>
        <w:pStyle w:val="PlainText"/>
        <w:numPr>
          <w:ilvl w:val="0"/>
          <w:numId w:val="65"/>
        </w:numPr>
        <w:ind w:left="357" w:hanging="357"/>
        <w:rPr>
          <w:rFonts w:asciiTheme="minorHAnsi" w:hAnsiTheme="minorHAnsi" w:cs="Arial"/>
          <w:sz w:val="22"/>
          <w:szCs w:val="22"/>
        </w:rPr>
      </w:pPr>
      <w:r w:rsidRPr="00AA4595">
        <w:rPr>
          <w:rFonts w:asciiTheme="minorHAnsi" w:hAnsiTheme="minorHAnsi" w:cs="Arial"/>
          <w:sz w:val="22"/>
          <w:szCs w:val="22"/>
        </w:rPr>
        <w:t>Intellectual Property policy and approaches</w:t>
      </w:r>
    </w:p>
    <w:p w14:paraId="6208A47B" w14:textId="77777777" w:rsidR="00AA4595" w:rsidRPr="00AA4595" w:rsidRDefault="00AA4595" w:rsidP="00F60A35">
      <w:pPr>
        <w:pStyle w:val="PlainText"/>
        <w:numPr>
          <w:ilvl w:val="0"/>
          <w:numId w:val="65"/>
        </w:numPr>
        <w:ind w:left="357" w:hanging="357"/>
        <w:rPr>
          <w:rFonts w:asciiTheme="minorHAnsi" w:hAnsiTheme="minorHAnsi" w:cs="Arial"/>
          <w:color w:val="000000" w:themeColor="text1"/>
          <w:sz w:val="22"/>
          <w:szCs w:val="22"/>
        </w:rPr>
      </w:pPr>
      <w:r w:rsidRPr="00AA4595">
        <w:rPr>
          <w:rFonts w:asciiTheme="minorHAnsi" w:hAnsiTheme="minorHAnsi" w:cs="Arial"/>
          <w:color w:val="000000" w:themeColor="text1"/>
          <w:sz w:val="22"/>
          <w:szCs w:val="22"/>
        </w:rPr>
        <w:t>Social enterprises/revenue creation vehicles</w:t>
      </w:r>
    </w:p>
    <w:p w14:paraId="009AEFEF" w14:textId="77777777" w:rsidR="00AA4595" w:rsidRPr="00AA4595" w:rsidRDefault="00AA4595" w:rsidP="00F60A35">
      <w:pPr>
        <w:pStyle w:val="PlainText"/>
        <w:numPr>
          <w:ilvl w:val="0"/>
          <w:numId w:val="65"/>
        </w:numPr>
        <w:ind w:left="357" w:hanging="357"/>
        <w:rPr>
          <w:rFonts w:asciiTheme="minorHAnsi" w:hAnsiTheme="minorHAnsi" w:cs="Arial"/>
          <w:color w:val="000000" w:themeColor="text1"/>
          <w:sz w:val="22"/>
          <w:szCs w:val="22"/>
        </w:rPr>
      </w:pPr>
      <w:r w:rsidRPr="00AA4595">
        <w:rPr>
          <w:rFonts w:asciiTheme="minorHAnsi" w:hAnsiTheme="minorHAnsi" w:cs="Arial"/>
          <w:color w:val="000000" w:themeColor="text1"/>
          <w:sz w:val="22"/>
          <w:szCs w:val="22"/>
        </w:rPr>
        <w:t>Development of a shared NHS Wales Innovation competency framework and skillset</w:t>
      </w:r>
    </w:p>
    <w:p w14:paraId="15D78512" w14:textId="0818C674" w:rsidR="00AA4595" w:rsidRPr="00AA4595" w:rsidRDefault="00AA4595" w:rsidP="00D900A8">
      <w:pPr>
        <w:pStyle w:val="Heading3"/>
      </w:pPr>
      <w:r w:rsidRPr="00AA4595">
        <w:t>Commercialisation of Innovation</w:t>
      </w:r>
    </w:p>
    <w:p w14:paraId="1F54FCC9" w14:textId="6A7ACEEB" w:rsidR="00AA4595" w:rsidRDefault="00AA4595" w:rsidP="00AA4595">
      <w:r>
        <w:t xml:space="preserve">We will continue to develop the capacity to pursue the commercialisation of innovations developed within </w:t>
      </w:r>
      <w:r w:rsidR="00411B9E">
        <w:t>CTMUHB</w:t>
      </w:r>
      <w:r>
        <w:t>.</w:t>
      </w:r>
      <w:r w:rsidR="00582EB8">
        <w:t xml:space="preserve"> </w:t>
      </w:r>
      <w:r>
        <w:t xml:space="preserve"> There are </w:t>
      </w:r>
      <w:r w:rsidR="00582EB8">
        <w:t xml:space="preserve">a </w:t>
      </w:r>
      <w:r>
        <w:t>number of options that can be adapted to allow this to occur which includes the industrial commercialisation CTMUHB IP, alongside the creation of social enterprises, community interest companies and co-operative models.</w:t>
      </w:r>
    </w:p>
    <w:p w14:paraId="7678E8E9" w14:textId="77777777" w:rsidR="00AA4595" w:rsidRDefault="00AA4595" w:rsidP="00AA4595"/>
    <w:p w14:paraId="1A72787F" w14:textId="3F791437" w:rsidR="00AA4595" w:rsidRDefault="00AA4595" w:rsidP="00AA4595">
      <w:r>
        <w:t xml:space="preserve">Innovations that may have potential for commercialisation realisation include (but are not limited to) training courses for healthcare staff, patients and the general public; consultancy services; devices; software tools; and services.  Our intention in pursuing the commercialisation of at least some innovations is not, primarily, to generate income (though this may be a welcome by-product), but, rather, because we perceive that this route encourages in at least some cases a certain rigour, and provides opportunities to achieve spread and scale, which will ultimately result in greater patient benefit and greater impact in support of the strategic priorities of the Health Board, NHS Wales and </w:t>
      </w:r>
      <w:r w:rsidR="00897141">
        <w:t>WG</w:t>
      </w:r>
      <w:r>
        <w:t>.</w:t>
      </w:r>
    </w:p>
    <w:p w14:paraId="7617BCB7" w14:textId="77777777" w:rsidR="00AA4595" w:rsidRDefault="00AA4595" w:rsidP="00AA4595"/>
    <w:p w14:paraId="348572EF" w14:textId="18E58280" w:rsidR="00AA4595" w:rsidRDefault="00AA4595" w:rsidP="00AA4595">
      <w:r>
        <w:t xml:space="preserve">The Health Board has an excellent working relationship with AgorIP (hosted by Swansea University), an organisation funded by </w:t>
      </w:r>
      <w:r w:rsidR="00897141">
        <w:t>WG</w:t>
      </w:r>
      <w:r>
        <w:t xml:space="preserve">. </w:t>
      </w:r>
      <w:r w:rsidR="00582EB8">
        <w:t xml:space="preserve"> </w:t>
      </w:r>
      <w:r>
        <w:t xml:space="preserve">AgorIP provide an all Wales support and advisory service for recognising and developing partnership (industry, academia, investors) and commercialisation opportunities in academia and health. </w:t>
      </w:r>
      <w:r w:rsidR="00582EB8">
        <w:t xml:space="preserve"> </w:t>
      </w:r>
      <w:r>
        <w:t>Through the joint appointment of an IP development man</w:t>
      </w:r>
      <w:r w:rsidR="006406C9">
        <w:t>a</w:t>
      </w:r>
      <w:r>
        <w:t xml:space="preserve">ger </w:t>
      </w:r>
      <w:r w:rsidR="000774E1">
        <w:t xml:space="preserve">the Health Board </w:t>
      </w:r>
      <w:r>
        <w:t xml:space="preserve">will look to access AgorIP support to commercialise IP where relevant and the potential to create spinouts as required. </w:t>
      </w:r>
    </w:p>
    <w:p w14:paraId="07AFABB9" w14:textId="77777777" w:rsidR="00AA4595" w:rsidRDefault="00AA4595" w:rsidP="00AA4595"/>
    <w:p w14:paraId="7E9709A5" w14:textId="77777777" w:rsidR="00AA4595" w:rsidRPr="00AA4595" w:rsidRDefault="00AA4595" w:rsidP="00AA4595">
      <w:r w:rsidRPr="00AA4595">
        <w:t xml:space="preserve">Key outcomes include </w:t>
      </w:r>
    </w:p>
    <w:p w14:paraId="035A0272" w14:textId="3907DB7E" w:rsidR="00AA4595" w:rsidRDefault="006406C9" w:rsidP="00F60A35">
      <w:pPr>
        <w:pStyle w:val="ListParagraph"/>
        <w:numPr>
          <w:ilvl w:val="0"/>
          <w:numId w:val="66"/>
        </w:numPr>
        <w:ind w:left="357" w:hanging="357"/>
        <w:jc w:val="left"/>
      </w:pPr>
      <w:r>
        <w:t>As</w:t>
      </w:r>
      <w:r w:rsidR="00AA4595">
        <w:t xml:space="preserve"> part of our ongoing relationship with AgorIP through the joint appointment of an IP Development Manager we are actively looking at the ways in which we can work with industrial partners to commercialise IP.  </w:t>
      </w:r>
    </w:p>
    <w:p w14:paraId="2F1C7A80" w14:textId="77777777" w:rsidR="00AA4595" w:rsidRDefault="00AA4595" w:rsidP="00F60A35">
      <w:pPr>
        <w:pStyle w:val="ListParagraph"/>
        <w:numPr>
          <w:ilvl w:val="0"/>
          <w:numId w:val="66"/>
        </w:numPr>
        <w:ind w:left="357" w:hanging="357"/>
        <w:jc w:val="left"/>
      </w:pPr>
      <w:r>
        <w:t>Exploring the potential of creating a social enterprise based in the innovative Colorectal Education work of Professor Haray.</w:t>
      </w:r>
    </w:p>
    <w:p w14:paraId="5D6177B5" w14:textId="77777777" w:rsidR="00AA4595" w:rsidRPr="00AA4595" w:rsidRDefault="00AA4595" w:rsidP="005D5241">
      <w:pPr>
        <w:autoSpaceDE w:val="0"/>
        <w:autoSpaceDN w:val="0"/>
        <w:adjustRightInd w:val="0"/>
        <w:rPr>
          <w:rFonts w:asciiTheme="minorHAnsi" w:hAnsiTheme="minorHAnsi" w:cs="Verdana"/>
          <w:color w:val="000000" w:themeColor="text1"/>
          <w:szCs w:val="22"/>
        </w:rPr>
      </w:pPr>
    </w:p>
    <w:p w14:paraId="0B4558E2" w14:textId="4375A2EC" w:rsidR="00AA4595" w:rsidRPr="00AA4595" w:rsidRDefault="00AA4595" w:rsidP="00D900A8">
      <w:pPr>
        <w:pStyle w:val="Heading3"/>
      </w:pPr>
      <w:r w:rsidRPr="00AA4595">
        <w:lastRenderedPageBreak/>
        <w:t>Academic Partnership Board</w:t>
      </w:r>
    </w:p>
    <w:p w14:paraId="345638DB" w14:textId="37CC342E" w:rsidR="00AA4595" w:rsidRDefault="00282916" w:rsidP="00AA4595">
      <w:r>
        <w:t xml:space="preserve">The Health Board </w:t>
      </w:r>
      <w:r w:rsidR="00AA4595">
        <w:t xml:space="preserve">and its academic partners are driven by a shared commitment to ensure excellent health, medical care, research, innovation and health care education in the region. </w:t>
      </w:r>
      <w:r w:rsidR="00582EB8">
        <w:t xml:space="preserve"> </w:t>
      </w:r>
      <w:r w:rsidR="00AA4595">
        <w:t>The parties recognise that there are synergies between them that provide positive opportunities for collaboration which potentially exceed the traditional university hospital model with a key objective of promoting quality and service improvement.</w:t>
      </w:r>
    </w:p>
    <w:p w14:paraId="43D4FFA7" w14:textId="77777777" w:rsidR="00AA4595" w:rsidRDefault="00AA4595" w:rsidP="00AA4595"/>
    <w:p w14:paraId="6ACFE640" w14:textId="10442739" w:rsidR="00AA4595" w:rsidRDefault="00AA4595" w:rsidP="00AA4595">
      <w:r>
        <w:t>As such there is a long history of collaborative working between the Health</w:t>
      </w:r>
      <w:r w:rsidR="00455627">
        <w:t xml:space="preserve"> </w:t>
      </w:r>
      <w:r>
        <w:t xml:space="preserve">board and its academic partners and the Academic Partnership Board (APB) provides a formal mechanism whereby the strategic and operational benefits of partnership can be established and integrated across </w:t>
      </w:r>
      <w:r w:rsidR="00282916">
        <w:t xml:space="preserve">the Health Board </w:t>
      </w:r>
      <w:r>
        <w:t>and the Universities.  Its primary aim is to promote collaborative efforts to improve the health, wellbeing, education and wealth of patients and the population.</w:t>
      </w:r>
    </w:p>
    <w:p w14:paraId="5D6091E4" w14:textId="77777777" w:rsidR="00AA4595" w:rsidRDefault="00AA4595" w:rsidP="00AA4595"/>
    <w:p w14:paraId="44C10409" w14:textId="3A1BB0D9" w:rsidR="00AA4595" w:rsidRDefault="00AA4595" w:rsidP="00AA4595">
      <w:r>
        <w:t>The APB is chaired by Professor Kelechi Nnoaham</w:t>
      </w:r>
      <w:r w:rsidR="00582EB8">
        <w:t>,</w:t>
      </w:r>
      <w:r>
        <w:t xml:space="preserve"> Executive Lead for Research, Innovation and Improvement and brings together senior leaders from the University of South Wales, Cardiff Metropolitan and Cardiff.</w:t>
      </w:r>
      <w:r w:rsidR="00582EB8">
        <w:t xml:space="preserve"> </w:t>
      </w:r>
      <w:r>
        <w:t xml:space="preserve"> Recently academic membership has been expanded to include the Open University in Wales and it is expected further academic partners will be invited to join.</w:t>
      </w:r>
    </w:p>
    <w:p w14:paraId="5CC9CB11" w14:textId="77777777" w:rsidR="00AA4595" w:rsidRDefault="00AA4595" w:rsidP="00AA4595"/>
    <w:p w14:paraId="3BC49E91" w14:textId="7A233D59" w:rsidR="00AA4595" w:rsidRDefault="00AA4595" w:rsidP="00AA4595">
      <w:r>
        <w:t>The APB provides to explore opportunities for the further development of collaborative activities between the</w:t>
      </w:r>
      <w:r w:rsidR="00582EB8">
        <w:t xml:space="preserve"> m</w:t>
      </w:r>
      <w:r>
        <w:t>embers of the partnership - especially in relation to clinical services, research, teaching, innovation and improvement, providing advice t</w:t>
      </w:r>
      <w:r w:rsidR="00582EB8">
        <w:t>hereon to appropriate decision-</w:t>
      </w:r>
      <w:r>
        <w:t>making bodies.</w:t>
      </w:r>
    </w:p>
    <w:p w14:paraId="448032F4" w14:textId="77777777" w:rsidR="00AA4595" w:rsidRDefault="00AA4595" w:rsidP="00AA4595"/>
    <w:p w14:paraId="0103FD97" w14:textId="6B6B04D0" w:rsidR="00AA4595" w:rsidRDefault="00AA4595" w:rsidP="00AA4595">
      <w:r>
        <w:t>To support the APB, the Academic Partnership Steering Group (APSG) chaired by Professor John Geen, R&amp;D lead for the Health</w:t>
      </w:r>
      <w:r w:rsidR="001636FC">
        <w:t xml:space="preserve"> B</w:t>
      </w:r>
      <w:r>
        <w:t xml:space="preserve">oard, acts as its operational delivery function. </w:t>
      </w:r>
      <w:r w:rsidR="001636FC">
        <w:t xml:space="preserve"> </w:t>
      </w:r>
      <w:r>
        <w:t xml:space="preserve">The APSG ensures that all appropriate action is taken to deliver the operational obligations set out by the APB and it has delegated authority for effective decision-making in respect of the implementation of the </w:t>
      </w:r>
      <w:r w:rsidR="008A4C4D">
        <w:t>work plan</w:t>
      </w:r>
      <w:r>
        <w:t xml:space="preserve"> agreed by the APB.</w:t>
      </w:r>
    </w:p>
    <w:p w14:paraId="0AEA80AE" w14:textId="77777777" w:rsidR="00AA4595" w:rsidRDefault="00AA4595" w:rsidP="00AA4595"/>
    <w:p w14:paraId="11244653" w14:textId="3E9FB0F7" w:rsidR="00AA4595" w:rsidRDefault="00AA4595" w:rsidP="00AA4595">
      <w:r>
        <w:t xml:space="preserve">With the recent creation of a dedicated </w:t>
      </w:r>
      <w:r w:rsidR="00411B9E">
        <w:t>Health Board</w:t>
      </w:r>
      <w:r>
        <w:t xml:space="preserve"> Innovation team which act as the secretariat for both the APB and APSG the respective Terms of Reference and work programme have been refreshed and updated.  The APSG now regularly reports on each of the four key work programme themes which include: </w:t>
      </w:r>
    </w:p>
    <w:p w14:paraId="37AAA809" w14:textId="77777777" w:rsidR="00AA4595" w:rsidRDefault="00AA4595" w:rsidP="00F60A35">
      <w:pPr>
        <w:pStyle w:val="ListParagraph"/>
        <w:numPr>
          <w:ilvl w:val="0"/>
          <w:numId w:val="67"/>
        </w:numPr>
        <w:ind w:left="357" w:hanging="357"/>
        <w:jc w:val="left"/>
      </w:pPr>
      <w:r>
        <w:t>Workforce Development (to include Training, Education and Workforce re-design)</w:t>
      </w:r>
    </w:p>
    <w:p w14:paraId="28FD23FF" w14:textId="77777777" w:rsidR="00AA4595" w:rsidRDefault="00AA4595" w:rsidP="00F60A35">
      <w:pPr>
        <w:pStyle w:val="ListParagraph"/>
        <w:numPr>
          <w:ilvl w:val="0"/>
          <w:numId w:val="67"/>
        </w:numPr>
        <w:ind w:left="357" w:hanging="357"/>
        <w:jc w:val="left"/>
      </w:pPr>
      <w:r>
        <w:t>Innovation and Commercialisation</w:t>
      </w:r>
    </w:p>
    <w:p w14:paraId="125AAAC8" w14:textId="77777777" w:rsidR="00AA4595" w:rsidRDefault="00AA4595" w:rsidP="00F60A35">
      <w:pPr>
        <w:pStyle w:val="ListParagraph"/>
        <w:numPr>
          <w:ilvl w:val="0"/>
          <w:numId w:val="67"/>
        </w:numPr>
        <w:ind w:left="357" w:hanging="357"/>
        <w:jc w:val="left"/>
      </w:pPr>
      <w:r>
        <w:t>Research And Development (includes Service developments, Service evaluations)</w:t>
      </w:r>
    </w:p>
    <w:p w14:paraId="3B567686" w14:textId="77777777" w:rsidR="00AA4595" w:rsidRDefault="00AA4595" w:rsidP="00F60A35">
      <w:pPr>
        <w:pStyle w:val="ListParagraph"/>
        <w:numPr>
          <w:ilvl w:val="0"/>
          <w:numId w:val="67"/>
        </w:numPr>
        <w:ind w:left="357" w:hanging="357"/>
        <w:jc w:val="left"/>
      </w:pPr>
      <w:r>
        <w:t>Population and Public Benefit (includes Corporate and Social Responsibilities)</w:t>
      </w:r>
    </w:p>
    <w:p w14:paraId="56E725E8" w14:textId="77777777" w:rsidR="00AA4595" w:rsidRDefault="00AA4595" w:rsidP="00AA4595">
      <w:pPr>
        <w:rPr>
          <w:b/>
          <w:u w:val="single"/>
        </w:rPr>
      </w:pPr>
    </w:p>
    <w:p w14:paraId="7F0DD189" w14:textId="34F576CE" w:rsidR="00AA4595" w:rsidRPr="00AA4595" w:rsidRDefault="00AA4595" w:rsidP="00AA4595">
      <w:r w:rsidRPr="00AA4595">
        <w:t>Key Element</w:t>
      </w:r>
      <w:r w:rsidR="00582EB8">
        <w:t>s</w:t>
      </w:r>
      <w:r w:rsidRPr="00AA4595">
        <w:t xml:space="preserve"> from the current Work Programme include:</w:t>
      </w:r>
    </w:p>
    <w:p w14:paraId="502C7353" w14:textId="19B5E07E" w:rsidR="00AA4595" w:rsidRDefault="00AA4595" w:rsidP="00F60A35">
      <w:pPr>
        <w:pStyle w:val="ListParagraph"/>
        <w:numPr>
          <w:ilvl w:val="0"/>
          <w:numId w:val="68"/>
        </w:numPr>
        <w:ind w:left="357" w:hanging="357"/>
      </w:pPr>
      <w:r>
        <w:t xml:space="preserve">Informing the format of, and responding to </w:t>
      </w:r>
      <w:r w:rsidR="008A4C4D">
        <w:t>the upcoming</w:t>
      </w:r>
      <w:r>
        <w:t xml:space="preserve"> WG triennial review of </w:t>
      </w:r>
      <w:r w:rsidR="00411B9E">
        <w:t>Health Board</w:t>
      </w:r>
      <w:r>
        <w:t xml:space="preserve"> Status.</w:t>
      </w:r>
      <w:r w:rsidR="00582EB8">
        <w:t xml:space="preserve"> </w:t>
      </w:r>
      <w:r>
        <w:t xml:space="preserve"> This includes gathering key examples of partnership working across education &amp; Teaching, Research &amp; </w:t>
      </w:r>
      <w:r w:rsidR="00582EB8">
        <w:t>D</w:t>
      </w:r>
      <w:r>
        <w:t>evelopment and Innovation &amp; Improvement.</w:t>
      </w:r>
    </w:p>
    <w:p w14:paraId="5451090C" w14:textId="7172025C" w:rsidR="00AA4595" w:rsidRDefault="00AA4595" w:rsidP="00F60A35">
      <w:pPr>
        <w:pStyle w:val="ListParagraph"/>
        <w:numPr>
          <w:ilvl w:val="0"/>
          <w:numId w:val="68"/>
        </w:numPr>
        <w:ind w:left="357" w:hanging="357"/>
      </w:pPr>
      <w:r>
        <w:t xml:space="preserve">The process of capturing all honorary appointments, joint contracts and clinical academics between the </w:t>
      </w:r>
      <w:r w:rsidR="00411B9E">
        <w:t>Health Board</w:t>
      </w:r>
      <w:r>
        <w:t xml:space="preserve"> and its academic partners.</w:t>
      </w:r>
      <w:r w:rsidR="00582EB8">
        <w:t xml:space="preserve"> </w:t>
      </w:r>
      <w:r>
        <w:t xml:space="preserve"> Such colleagues are exemplars of academic partnership working and endeavours and a key priority of the APB is to both accurately capture this activity and increase the numbers of staff with these roles.</w:t>
      </w:r>
    </w:p>
    <w:p w14:paraId="6C568568" w14:textId="6CBC6C8C" w:rsidR="00AA4595" w:rsidRPr="00AA4595" w:rsidRDefault="00AA4595" w:rsidP="00D900A8">
      <w:pPr>
        <w:pStyle w:val="Heading3"/>
      </w:pPr>
      <w:r w:rsidRPr="00AA4595">
        <w:t xml:space="preserve">Research Innovation </w:t>
      </w:r>
      <w:r w:rsidR="008A4C4D" w:rsidRPr="00AA4595">
        <w:t>and</w:t>
      </w:r>
      <w:r w:rsidRPr="00AA4595">
        <w:t xml:space="preserve"> Improvement Hub</w:t>
      </w:r>
    </w:p>
    <w:p w14:paraId="1E80DFC4" w14:textId="5643EB69" w:rsidR="00AA4595" w:rsidRDefault="00582EB8" w:rsidP="00AA4595">
      <w:r>
        <w:t xml:space="preserve">CTM </w:t>
      </w:r>
      <w:r w:rsidR="00AA4595">
        <w:t>Social Services and Wellbeing Partnership Board (PB) has set out in its Regional Plan - a whole system population health and social care model which responds to the voice of the individual through three interwoven layers: Wellbeing; Integrated Community Care, Closer to Home; and Acute Health and Social Care and Tertiary Health Services.</w:t>
      </w:r>
    </w:p>
    <w:p w14:paraId="795887E1" w14:textId="77777777" w:rsidR="00AA4595" w:rsidRDefault="00AA4595" w:rsidP="00AA4595"/>
    <w:p w14:paraId="51153586" w14:textId="6E4559B9" w:rsidR="00AA4595" w:rsidRDefault="00AA4595" w:rsidP="00AA4595">
      <w:r>
        <w:t xml:space="preserve">The partner organisations (Bridgend, Rhondda Cynon Taf and Merthyr Tydfil </w:t>
      </w:r>
      <w:r w:rsidR="00582EB8">
        <w:t>CBC</w:t>
      </w:r>
      <w:r>
        <w:t>s, the Third Sector, Care Forum Wales, Social Care Wales alongside CTMUHB</w:t>
      </w:r>
      <w:r w:rsidR="00582EB8">
        <w:t>)</w:t>
      </w:r>
      <w:r>
        <w:t xml:space="preserve">  are responsible for making sure that safe and effective services are delivered that make a positive difference to people’s lives, now and in the future.</w:t>
      </w:r>
      <w:r w:rsidR="005A3845">
        <w:t xml:space="preserve"> </w:t>
      </w:r>
      <w:r>
        <w:t xml:space="preserve"> Through the </w:t>
      </w:r>
      <w:r w:rsidR="00897141">
        <w:t>WG</w:t>
      </w:r>
      <w:r>
        <w:t xml:space="preserve"> Transformation fund, these partners have successfully applied for £22.7 million to help deliver the vision set-out </w:t>
      </w:r>
      <w:r>
        <w:lastRenderedPageBreak/>
        <w:t>in A Healthier Wales, the long term plan for health and social care delivery in Wales, and the Partnership’s expectation is for the RI&amp;IC hub to help in this endeavour.</w:t>
      </w:r>
    </w:p>
    <w:p w14:paraId="412C908F" w14:textId="77777777" w:rsidR="00AA4595" w:rsidRDefault="00AA4595" w:rsidP="00AA4595"/>
    <w:p w14:paraId="35B32EEC" w14:textId="75900BDC" w:rsidR="00AA4595" w:rsidRDefault="00AA4595" w:rsidP="00AA4595">
      <w:r>
        <w:t>The ambition for the Research, Innovation and Improvement Hub is for it to act as a focal point, bringing together examples and the supporting evidence base of work and initiatives currently underway across our Health and Care Partnership.</w:t>
      </w:r>
      <w:r w:rsidR="005A3845">
        <w:t xml:space="preserve"> </w:t>
      </w:r>
      <w:r>
        <w:t xml:space="preserve"> With the prudent focus of knowledge management mobilisation and best practice scale-up at its core, it will seek to drive the adoption and spread of promising RI&amp;I activity at pace and scale.</w:t>
      </w:r>
    </w:p>
    <w:p w14:paraId="0CE68F8B" w14:textId="77777777" w:rsidR="00AA4595" w:rsidRDefault="00AA4595" w:rsidP="00AA4595"/>
    <w:p w14:paraId="361BD406" w14:textId="77F12E84" w:rsidR="00AA4595" w:rsidRDefault="00AA4595" w:rsidP="00AA4595">
      <w:r>
        <w:t>The initial priority of the Hub and its team will be to focus on identifying existing examples of RI&amp;I activity across the footprint to evaluate its potential impact and the ability for it to be transferred across all partners.</w:t>
      </w:r>
      <w:r w:rsidR="005A3845">
        <w:t xml:space="preserve"> </w:t>
      </w:r>
      <w:r>
        <w:t xml:space="preserve"> It will look to track such examples from initial innovations and pilots to more mature interventions that will create a pipeline of activity with a focussed and engaged Hub team.</w:t>
      </w:r>
      <w:r w:rsidR="005A3845">
        <w:t xml:space="preserve"> </w:t>
      </w:r>
      <w:r>
        <w:t xml:space="preserve"> They will engage with all partners in a structured way driven to identify the activities that have the greatest potential impact on improving quality outcomes of health and social care value.</w:t>
      </w:r>
      <w:r w:rsidR="005A3845">
        <w:t xml:space="preserve"> </w:t>
      </w:r>
      <w:r w:rsidRPr="00341B50">
        <w:t xml:space="preserve"> </w:t>
      </w:r>
      <w:r>
        <w:t>This will provide a robust evidence based methodology that can accurately identify and prioritise the activities and initiatives and ultimately we would like to be able to undertake this approach for all RI&amp;IC hubs across Wales.</w:t>
      </w:r>
    </w:p>
    <w:p w14:paraId="7CC69450" w14:textId="77777777" w:rsidR="00AA4595" w:rsidRDefault="00AA4595" w:rsidP="00AA4595"/>
    <w:p w14:paraId="64A1BE2C" w14:textId="77777777" w:rsidR="00AA4595" w:rsidRDefault="00AA4595" w:rsidP="00AA4595">
      <w:r>
        <w:t>Anchored within the Partnership Board and engaging equally with its partner organisations the hub will be positioned in the centre to act as a focal point for RI &amp;I knowledge generation and capture.</w:t>
      </w:r>
    </w:p>
    <w:p w14:paraId="25633C6C" w14:textId="77777777" w:rsidR="00AA4595" w:rsidRDefault="00AA4595" w:rsidP="00AA4595"/>
    <w:p w14:paraId="2C098F94" w14:textId="77777777" w:rsidR="00AA4595" w:rsidRDefault="00AA4595" w:rsidP="00AA4595">
      <w:r>
        <w:t>It will help to:</w:t>
      </w:r>
    </w:p>
    <w:p w14:paraId="02A30D73" w14:textId="33CFD0AE" w:rsidR="00AA4595" w:rsidRDefault="00AA4595" w:rsidP="00F60A35">
      <w:pPr>
        <w:pStyle w:val="ListParagraph"/>
        <w:numPr>
          <w:ilvl w:val="0"/>
          <w:numId w:val="69"/>
        </w:numPr>
        <w:ind w:left="357" w:hanging="357"/>
      </w:pPr>
      <w:r>
        <w:t xml:space="preserve">IDENTIFY examples of innovation and good practice from across the region to help deliver whole system population health and social care new models as set out by the PB in its regional area plan. </w:t>
      </w:r>
    </w:p>
    <w:p w14:paraId="4447A9C0" w14:textId="46856D51" w:rsidR="00AA4595" w:rsidRDefault="00AA4595" w:rsidP="00F60A35">
      <w:pPr>
        <w:pStyle w:val="ListParagraph"/>
        <w:numPr>
          <w:ilvl w:val="0"/>
          <w:numId w:val="69"/>
        </w:numPr>
        <w:ind w:left="357" w:hanging="357"/>
      </w:pPr>
      <w:r>
        <w:t>PRIORITISE and coordinate RI&amp;I activity based on existing population health &amp; care  management (PH&amp;CM) expertise, providing PH&amp;CM expertise to other RI&amp;I hubs and championing a population segmentation and risk stratification approach for Wales.</w:t>
      </w:r>
    </w:p>
    <w:p w14:paraId="0C4814B4" w14:textId="07BF888F" w:rsidR="00AA4595" w:rsidRPr="002057A5" w:rsidRDefault="00AA4595" w:rsidP="00F60A35">
      <w:pPr>
        <w:pStyle w:val="ListParagraph"/>
        <w:numPr>
          <w:ilvl w:val="0"/>
          <w:numId w:val="69"/>
        </w:numPr>
        <w:ind w:left="357" w:hanging="357"/>
      </w:pPr>
      <w:r>
        <w:t>ENGAGE with and support key stakeholders at all organisational levels to accelerate the implementation and adoption of innovative approaches to health and care service delivery.</w:t>
      </w:r>
    </w:p>
    <w:p w14:paraId="444F01BA" w14:textId="78650516" w:rsidR="00AA4595" w:rsidRPr="00AA4595" w:rsidRDefault="00AA4595" w:rsidP="00AA4595">
      <w:r w:rsidRPr="00AA4595">
        <w:t xml:space="preserve">Key Element from the RI&amp;I </w:t>
      </w:r>
      <w:r w:rsidR="008A4C4D" w:rsidRPr="00AA4595">
        <w:t>work plan</w:t>
      </w:r>
      <w:r w:rsidRPr="00AA4595">
        <w:t xml:space="preserve"> include:</w:t>
      </w:r>
    </w:p>
    <w:p w14:paraId="26020939" w14:textId="6313A854" w:rsidR="00AA4595" w:rsidRPr="002057A5" w:rsidRDefault="00AA4595" w:rsidP="00F60A35">
      <w:pPr>
        <w:pStyle w:val="ListParagraph"/>
        <w:numPr>
          <w:ilvl w:val="0"/>
          <w:numId w:val="70"/>
        </w:numPr>
        <w:ind w:left="357" w:hanging="357"/>
      </w:pPr>
      <w:r w:rsidRPr="002057A5">
        <w:t xml:space="preserve">Develop a robust process to gather examples of RI&amp;I activity to include proformas to capture case studies and  identification of key stakeholders such as R&amp;D leads, QI managers </w:t>
      </w:r>
      <w:r w:rsidR="008A4C4D" w:rsidRPr="002057A5">
        <w:t>etc.</w:t>
      </w:r>
      <w:r w:rsidRPr="002057A5">
        <w:t xml:space="preserve"> to link with colleagues undertaking activity. </w:t>
      </w:r>
    </w:p>
    <w:p w14:paraId="3728A294" w14:textId="4B1B44D6" w:rsidR="00AA4595" w:rsidRPr="002057A5" w:rsidRDefault="00AA4595" w:rsidP="00F60A35">
      <w:pPr>
        <w:pStyle w:val="ListParagraph"/>
        <w:numPr>
          <w:ilvl w:val="0"/>
          <w:numId w:val="70"/>
        </w:numPr>
        <w:ind w:left="357" w:hanging="357"/>
      </w:pPr>
      <w:r w:rsidRPr="002057A5">
        <w:t>Connect and link to evaluating experts to develop capacity so that activities with the greatest potential impact and/or scalability can be championed and promoted.</w:t>
      </w:r>
    </w:p>
    <w:p w14:paraId="2CF1DD8F" w14:textId="33821175" w:rsidR="00AA4595" w:rsidRPr="002057A5" w:rsidRDefault="00AA4595" w:rsidP="00F60A35">
      <w:pPr>
        <w:pStyle w:val="ListParagraph"/>
        <w:numPr>
          <w:ilvl w:val="0"/>
          <w:numId w:val="70"/>
        </w:numPr>
        <w:ind w:left="357" w:hanging="357"/>
      </w:pPr>
      <w:r w:rsidRPr="002057A5">
        <w:t>Work with RPB partners to publicise and promote examples of current good practice collected form the good practice census, both internally and externally</w:t>
      </w:r>
    </w:p>
    <w:p w14:paraId="55CD8FF7" w14:textId="78A0F23C" w:rsidR="00AA4595" w:rsidRPr="002057A5" w:rsidRDefault="00AA4595" w:rsidP="00F60A35">
      <w:pPr>
        <w:pStyle w:val="ListParagraph"/>
        <w:numPr>
          <w:ilvl w:val="0"/>
          <w:numId w:val="70"/>
        </w:numPr>
        <w:ind w:left="357" w:hanging="357"/>
      </w:pPr>
      <w:r w:rsidRPr="002057A5">
        <w:t>Develop compendiums (electronic and hard versions) to detail activity that can be easily shared.</w:t>
      </w:r>
    </w:p>
    <w:p w14:paraId="4A18C87A" w14:textId="139445AB" w:rsidR="00AA4595" w:rsidRDefault="00AA4595" w:rsidP="00F60A35">
      <w:pPr>
        <w:pStyle w:val="ListParagraph"/>
        <w:numPr>
          <w:ilvl w:val="0"/>
          <w:numId w:val="70"/>
        </w:numPr>
        <w:ind w:left="357" w:hanging="357"/>
      </w:pPr>
      <w:r w:rsidRPr="002057A5">
        <w:t>Develop the use of online ideas sharing portals across RPB organisations that (1) give staff the opportunity to generate ideas, (2) help identify improvement and innovation support for those ideas, and (3) act as a robust means of recording activity for governance and reporting purposes.</w:t>
      </w:r>
    </w:p>
    <w:p w14:paraId="5CEE3F7F" w14:textId="0EB06545" w:rsidR="00AA4595" w:rsidRPr="00AA4595" w:rsidRDefault="00AA4595" w:rsidP="00DF1835">
      <w:pPr>
        <w:pStyle w:val="Heading3"/>
      </w:pPr>
      <w:r w:rsidRPr="00AA4595">
        <w:t>Working with the Bevan Commission</w:t>
      </w:r>
    </w:p>
    <w:p w14:paraId="3367B8D9" w14:textId="4752ECFF" w:rsidR="00AA4595" w:rsidRPr="00AA4595" w:rsidRDefault="00AA4595" w:rsidP="00AA4595">
      <w:pPr>
        <w:pStyle w:val="Default"/>
        <w:jc w:val="both"/>
        <w:rPr>
          <w:rFonts w:asciiTheme="minorHAnsi" w:hAnsiTheme="minorHAnsi" w:cs="Tahoma"/>
          <w:color w:val="000000" w:themeColor="text1"/>
          <w:sz w:val="22"/>
          <w:szCs w:val="22"/>
        </w:rPr>
      </w:pPr>
      <w:r w:rsidRPr="00AA4595">
        <w:rPr>
          <w:rFonts w:asciiTheme="minorHAnsi" w:hAnsiTheme="minorHAnsi" w:cs="Tahoma"/>
          <w:color w:val="000000" w:themeColor="text1"/>
          <w:sz w:val="22"/>
          <w:szCs w:val="22"/>
        </w:rPr>
        <w:t>The Bevan Commission continues to support a number of Bevan exemplars, Health</w:t>
      </w:r>
      <w:r>
        <w:rPr>
          <w:rFonts w:asciiTheme="minorHAnsi" w:hAnsiTheme="minorHAnsi" w:cs="Tahoma"/>
          <w:color w:val="000000" w:themeColor="text1"/>
          <w:sz w:val="22"/>
          <w:szCs w:val="22"/>
        </w:rPr>
        <w:t xml:space="preserve"> B</w:t>
      </w:r>
      <w:r w:rsidRPr="00AA4595">
        <w:rPr>
          <w:rFonts w:asciiTheme="minorHAnsi" w:hAnsiTheme="minorHAnsi" w:cs="Tahoma"/>
          <w:color w:val="000000" w:themeColor="text1"/>
          <w:sz w:val="22"/>
          <w:szCs w:val="22"/>
        </w:rPr>
        <w:t xml:space="preserve">oard staff who have applied to the programme to design and develop innovative ideas. In addition </w:t>
      </w:r>
      <w:r w:rsidR="00282916">
        <w:rPr>
          <w:rFonts w:asciiTheme="minorHAnsi" w:hAnsiTheme="minorHAnsi" w:cs="Tahoma"/>
          <w:color w:val="000000" w:themeColor="text1"/>
          <w:sz w:val="22"/>
          <w:szCs w:val="22"/>
        </w:rPr>
        <w:t>the Health Board</w:t>
      </w:r>
      <w:r w:rsidR="00282916" w:rsidRPr="00AA4595">
        <w:rPr>
          <w:rFonts w:asciiTheme="minorHAnsi" w:hAnsiTheme="minorHAnsi" w:cs="Tahoma"/>
          <w:color w:val="000000" w:themeColor="text1"/>
          <w:sz w:val="22"/>
          <w:szCs w:val="22"/>
        </w:rPr>
        <w:t xml:space="preserve"> </w:t>
      </w:r>
      <w:r w:rsidRPr="00AA4595">
        <w:rPr>
          <w:rFonts w:asciiTheme="minorHAnsi" w:hAnsiTheme="minorHAnsi" w:cs="Tahoma"/>
          <w:color w:val="000000" w:themeColor="text1"/>
          <w:sz w:val="22"/>
          <w:szCs w:val="22"/>
        </w:rPr>
        <w:t xml:space="preserve">is actively supporting staff to become innovation adopters as part of the Bevan adopt and spread programme.  The following 5 projects have been successfully accepted for Cohort 5 of the Bevan Exemplar Programme: </w:t>
      </w:r>
    </w:p>
    <w:p w14:paraId="07660969" w14:textId="77777777" w:rsidR="00AA4595" w:rsidRDefault="00AA4595" w:rsidP="00AA4595">
      <w:pPr>
        <w:pStyle w:val="Default"/>
        <w:rPr>
          <w:sz w:val="22"/>
          <w:szCs w:val="22"/>
        </w:rPr>
      </w:pP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9639"/>
      </w:tblGrid>
      <w:tr w:rsidR="00AA4595" w:rsidRPr="0024075D" w14:paraId="54C63760" w14:textId="77777777" w:rsidTr="00AA4595">
        <w:trPr>
          <w:trHeight w:val="283"/>
        </w:trPr>
        <w:tc>
          <w:tcPr>
            <w:tcW w:w="426" w:type="dxa"/>
          </w:tcPr>
          <w:p w14:paraId="7083BDC2" w14:textId="77777777" w:rsidR="00AA4595" w:rsidRPr="0024075D" w:rsidRDefault="00AA4595" w:rsidP="00AA4595">
            <w:pPr>
              <w:rPr>
                <w:rFonts w:cs="Arial"/>
              </w:rPr>
            </w:pPr>
            <w:r>
              <w:rPr>
                <w:rFonts w:cs="Arial"/>
              </w:rPr>
              <w:t>1</w:t>
            </w:r>
          </w:p>
        </w:tc>
        <w:tc>
          <w:tcPr>
            <w:tcW w:w="9639" w:type="dxa"/>
            <w:shd w:val="clear" w:color="auto" w:fill="auto"/>
          </w:tcPr>
          <w:p w14:paraId="0913B9A9" w14:textId="2262ABFE" w:rsidR="00AA4595" w:rsidRPr="003241CD" w:rsidRDefault="003241CD" w:rsidP="00AA4595">
            <w:r w:rsidRPr="003241CD">
              <w:rPr>
                <w:rFonts w:cs="Arial"/>
              </w:rPr>
              <w:t>Development of a communication tool that enables people to self-manage lifelong conditions</w:t>
            </w:r>
          </w:p>
        </w:tc>
      </w:tr>
      <w:tr w:rsidR="00AA4595" w:rsidRPr="0024075D" w14:paraId="63BCD2CA" w14:textId="77777777" w:rsidTr="00AA4595">
        <w:trPr>
          <w:trHeight w:val="233"/>
        </w:trPr>
        <w:tc>
          <w:tcPr>
            <w:tcW w:w="426" w:type="dxa"/>
          </w:tcPr>
          <w:p w14:paraId="53473371" w14:textId="77777777" w:rsidR="00AA4595" w:rsidRPr="0024075D" w:rsidRDefault="00AA4595" w:rsidP="00AA4595">
            <w:pPr>
              <w:rPr>
                <w:rFonts w:cs="Arial"/>
              </w:rPr>
            </w:pPr>
            <w:r>
              <w:rPr>
                <w:rFonts w:cs="Arial"/>
              </w:rPr>
              <w:t>2</w:t>
            </w:r>
          </w:p>
        </w:tc>
        <w:tc>
          <w:tcPr>
            <w:tcW w:w="9639" w:type="dxa"/>
            <w:shd w:val="clear" w:color="auto" w:fill="auto"/>
          </w:tcPr>
          <w:p w14:paraId="6D8D6085" w14:textId="36EB403C" w:rsidR="00AA4595" w:rsidRPr="003241CD" w:rsidRDefault="003241CD" w:rsidP="00AA4595">
            <w:r w:rsidRPr="003241CD">
              <w:rPr>
                <w:rFonts w:cs="Arial"/>
              </w:rPr>
              <w:t>An Innovative Approach to ILD Management – Right People @ Right Time</w:t>
            </w:r>
          </w:p>
        </w:tc>
      </w:tr>
      <w:tr w:rsidR="00AA4595" w:rsidRPr="0024075D" w14:paraId="79D207C1" w14:textId="77777777" w:rsidTr="00AA4595">
        <w:trPr>
          <w:trHeight w:val="640"/>
        </w:trPr>
        <w:tc>
          <w:tcPr>
            <w:tcW w:w="426" w:type="dxa"/>
            <w:shd w:val="clear" w:color="auto" w:fill="FFFFFF"/>
          </w:tcPr>
          <w:p w14:paraId="5DEF6E9D" w14:textId="77777777" w:rsidR="00AA4595" w:rsidRPr="0024075D" w:rsidRDefault="00AA4595" w:rsidP="00AA4595">
            <w:pPr>
              <w:rPr>
                <w:rFonts w:cs="Arial"/>
              </w:rPr>
            </w:pPr>
            <w:r>
              <w:rPr>
                <w:rFonts w:cs="Arial"/>
              </w:rPr>
              <w:t>3</w:t>
            </w:r>
          </w:p>
        </w:tc>
        <w:tc>
          <w:tcPr>
            <w:tcW w:w="9639" w:type="dxa"/>
            <w:shd w:val="clear" w:color="auto" w:fill="FFFFFF"/>
          </w:tcPr>
          <w:p w14:paraId="45737811" w14:textId="23E0730F" w:rsidR="00AA4595" w:rsidRPr="003241CD" w:rsidRDefault="003241CD" w:rsidP="00AA4595">
            <w:r w:rsidRPr="003241CD">
              <w:rPr>
                <w:rFonts w:cs="Arial"/>
              </w:rPr>
              <w:t>Connected Learning – using apps and virtual reality to facilitate pre-registration pharmacist (PRP) training in the primary care sector</w:t>
            </w:r>
          </w:p>
        </w:tc>
      </w:tr>
      <w:tr w:rsidR="00AA4595" w:rsidRPr="0024075D" w14:paraId="7FC70C09" w14:textId="77777777" w:rsidTr="00AA4595">
        <w:trPr>
          <w:trHeight w:val="451"/>
        </w:trPr>
        <w:tc>
          <w:tcPr>
            <w:tcW w:w="426" w:type="dxa"/>
          </w:tcPr>
          <w:p w14:paraId="09806051" w14:textId="77777777" w:rsidR="00AA4595" w:rsidRPr="0024075D" w:rsidRDefault="00AA4595" w:rsidP="00AA4595">
            <w:r>
              <w:t>4</w:t>
            </w:r>
          </w:p>
        </w:tc>
        <w:tc>
          <w:tcPr>
            <w:tcW w:w="9639" w:type="dxa"/>
            <w:shd w:val="clear" w:color="auto" w:fill="auto"/>
          </w:tcPr>
          <w:p w14:paraId="1CFBB7CE" w14:textId="7E6AABF8" w:rsidR="00AA4595" w:rsidRPr="003241CD" w:rsidRDefault="003241CD" w:rsidP="00AA4595">
            <w:r w:rsidRPr="003241CD">
              <w:rPr>
                <w:rFonts w:cs="Arial"/>
              </w:rPr>
              <w:t>Using Population Segmentation and Risk Stratification to Deliver Asthma Care Where it’s Needed Most</w:t>
            </w:r>
          </w:p>
        </w:tc>
      </w:tr>
      <w:tr w:rsidR="00AA4595" w:rsidRPr="0024075D" w14:paraId="58588A96" w14:textId="77777777" w:rsidTr="00AA4595">
        <w:trPr>
          <w:trHeight w:val="513"/>
        </w:trPr>
        <w:tc>
          <w:tcPr>
            <w:tcW w:w="426" w:type="dxa"/>
          </w:tcPr>
          <w:p w14:paraId="1225A9F0" w14:textId="77777777" w:rsidR="00AA4595" w:rsidRPr="0024075D" w:rsidRDefault="00AA4595" w:rsidP="00AA4595">
            <w:pPr>
              <w:rPr>
                <w:rFonts w:cs="Arial"/>
              </w:rPr>
            </w:pPr>
            <w:r>
              <w:rPr>
                <w:rFonts w:cs="Arial"/>
              </w:rPr>
              <w:lastRenderedPageBreak/>
              <w:t>5</w:t>
            </w:r>
          </w:p>
        </w:tc>
        <w:tc>
          <w:tcPr>
            <w:tcW w:w="9639" w:type="dxa"/>
            <w:shd w:val="clear" w:color="auto" w:fill="auto"/>
          </w:tcPr>
          <w:p w14:paraId="49F5089F" w14:textId="61E27EEC" w:rsidR="00AA4595" w:rsidRPr="003241CD" w:rsidRDefault="003241CD" w:rsidP="00AA4595">
            <w:r w:rsidRPr="003241CD">
              <w:rPr>
                <w:rFonts w:cs="Arial"/>
              </w:rPr>
              <w:t>Exploring the adaptability of the Hafal Recovery Programme in supporting mental health inpatients transition to community discharge.</w:t>
            </w:r>
          </w:p>
        </w:tc>
      </w:tr>
    </w:tbl>
    <w:p w14:paraId="3DF783E3" w14:textId="77777777" w:rsidR="005D5241" w:rsidRPr="00AA4595" w:rsidRDefault="005D5241" w:rsidP="00AA4595">
      <w:pPr>
        <w:rPr>
          <w:rFonts w:asciiTheme="minorHAnsi" w:hAnsiTheme="minorHAnsi"/>
          <w:color w:val="000000" w:themeColor="text1"/>
          <w:szCs w:val="22"/>
        </w:rPr>
      </w:pPr>
    </w:p>
    <w:p w14:paraId="6920F855" w14:textId="77777777" w:rsidR="007048B0" w:rsidRPr="00F4594C" w:rsidRDefault="007048B0" w:rsidP="007048B0">
      <w:pPr>
        <w:rPr>
          <w:rFonts w:asciiTheme="minorHAnsi" w:hAnsiTheme="minorHAnsi"/>
          <w:b/>
          <w:szCs w:val="22"/>
        </w:rPr>
      </w:pPr>
      <w:r w:rsidRPr="00F4594C">
        <w:rPr>
          <w:rFonts w:asciiTheme="minorHAnsi" w:hAnsiTheme="minorHAnsi"/>
          <w:b/>
          <w:szCs w:val="22"/>
        </w:rPr>
        <w:t>Research and Development</w:t>
      </w:r>
    </w:p>
    <w:p w14:paraId="1C800BE9" w14:textId="3095AD42" w:rsidR="002B103C" w:rsidRPr="002B103C" w:rsidRDefault="005A3845" w:rsidP="002B103C">
      <w:pPr>
        <w:autoSpaceDE w:val="0"/>
        <w:autoSpaceDN w:val="0"/>
        <w:adjustRightInd w:val="0"/>
        <w:rPr>
          <w:rFonts w:asciiTheme="minorHAnsi" w:hAnsiTheme="minorHAnsi" w:cstheme="minorHAnsi"/>
        </w:rPr>
      </w:pPr>
      <w:bookmarkStart w:id="198" w:name="_Toc532299709"/>
      <w:bookmarkStart w:id="199" w:name="_Toc532464115"/>
      <w:bookmarkStart w:id="200" w:name="_Toc536195588"/>
      <w:r>
        <w:rPr>
          <w:rFonts w:cs="Arial"/>
        </w:rPr>
        <w:t>CTM</w:t>
      </w:r>
      <w:r w:rsidR="002B103C">
        <w:rPr>
          <w:rFonts w:cs="Arial"/>
        </w:rPr>
        <w:t xml:space="preserve"> </w:t>
      </w:r>
      <w:r w:rsidR="002B103C" w:rsidRPr="0087345A">
        <w:rPr>
          <w:rFonts w:cs="Arial"/>
        </w:rPr>
        <w:t xml:space="preserve">is an ambitious Health Board which has a distinct population on which to undertake high </w:t>
      </w:r>
      <w:r w:rsidR="002B103C" w:rsidRPr="002B103C">
        <w:rPr>
          <w:rFonts w:asciiTheme="minorHAnsi" w:hAnsiTheme="minorHAnsi" w:cstheme="minorHAnsi"/>
        </w:rPr>
        <w:t xml:space="preserve">quality, ethical and collaborative research, with the aim of helping to develop and change patient care, population health, outcomes and experience for the better.  Details of the extensive research and development portfolio can be found in </w:t>
      </w:r>
      <w:r w:rsidR="002B103C" w:rsidRPr="002B103C">
        <w:rPr>
          <w:rFonts w:asciiTheme="minorHAnsi" w:hAnsiTheme="minorHAnsi" w:cstheme="minorHAnsi"/>
          <w:b/>
        </w:rPr>
        <w:t>Book A2</w:t>
      </w:r>
      <w:r w:rsidR="002B103C" w:rsidRPr="002B103C">
        <w:rPr>
          <w:rFonts w:asciiTheme="minorHAnsi" w:hAnsiTheme="minorHAnsi" w:cstheme="minorHAnsi"/>
        </w:rPr>
        <w:t xml:space="preserve"> and the key targets for the </w:t>
      </w:r>
      <w:r>
        <w:rPr>
          <w:rFonts w:asciiTheme="minorHAnsi" w:hAnsiTheme="minorHAnsi" w:cstheme="minorHAnsi"/>
        </w:rPr>
        <w:t>Academic Partnership Board</w:t>
      </w:r>
      <w:r w:rsidR="002B103C" w:rsidRPr="002B103C">
        <w:rPr>
          <w:rFonts w:asciiTheme="minorHAnsi" w:hAnsiTheme="minorHAnsi" w:cstheme="minorHAnsi"/>
        </w:rPr>
        <w:t xml:space="preserve"> include:</w:t>
      </w:r>
    </w:p>
    <w:p w14:paraId="7755A1C3" w14:textId="0D1A276F" w:rsidR="002B103C" w:rsidRPr="002B103C" w:rsidRDefault="002B103C" w:rsidP="00F60A35">
      <w:pPr>
        <w:pStyle w:val="ListParagraph"/>
        <w:numPr>
          <w:ilvl w:val="0"/>
          <w:numId w:val="78"/>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 xml:space="preserve">Establishment of a Clinical Research Facility at </w:t>
      </w:r>
      <w:r w:rsidR="0068088F">
        <w:rPr>
          <w:rFonts w:asciiTheme="minorHAnsi" w:hAnsiTheme="minorHAnsi" w:cstheme="minorHAnsi"/>
        </w:rPr>
        <w:t>RGH</w:t>
      </w:r>
      <w:r w:rsidRPr="002B103C">
        <w:rPr>
          <w:rFonts w:asciiTheme="minorHAnsi" w:hAnsiTheme="minorHAnsi" w:cstheme="minorHAnsi"/>
        </w:rPr>
        <w:t xml:space="preserve"> (March 2020) to develop the infra-structure to increase commercial research for the Health Board and our patients and develop further collaborative research opportunities with our Academic partners.</w:t>
      </w:r>
    </w:p>
    <w:p w14:paraId="2B2BB7EB" w14:textId="53515DDD" w:rsidR="002B103C" w:rsidRPr="002B103C" w:rsidRDefault="002B103C" w:rsidP="00F60A35">
      <w:pPr>
        <w:pStyle w:val="ListParagraph"/>
        <w:numPr>
          <w:ilvl w:val="0"/>
          <w:numId w:val="78"/>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 xml:space="preserve">Following the formation of </w:t>
      </w:r>
      <w:r w:rsidR="002A3312">
        <w:rPr>
          <w:rFonts w:asciiTheme="minorHAnsi" w:hAnsiTheme="minorHAnsi" w:cstheme="minorHAnsi"/>
        </w:rPr>
        <w:t>CTMUHB</w:t>
      </w:r>
      <w:r w:rsidR="00411B9E">
        <w:rPr>
          <w:rFonts w:asciiTheme="minorHAnsi" w:hAnsiTheme="minorHAnsi" w:cstheme="minorHAnsi"/>
        </w:rPr>
        <w:t>,</w:t>
      </w:r>
      <w:r w:rsidRPr="002B103C">
        <w:rPr>
          <w:rFonts w:asciiTheme="minorHAnsi" w:hAnsiTheme="minorHAnsi" w:cstheme="minorHAnsi"/>
        </w:rPr>
        <w:t xml:space="preserve"> the </w:t>
      </w:r>
      <w:r w:rsidR="00282916">
        <w:rPr>
          <w:rFonts w:asciiTheme="minorHAnsi" w:hAnsiTheme="minorHAnsi" w:cstheme="minorHAnsi"/>
        </w:rPr>
        <w:t>Health Board’s</w:t>
      </w:r>
      <w:r w:rsidR="00282916" w:rsidRPr="002B103C">
        <w:rPr>
          <w:rFonts w:asciiTheme="minorHAnsi" w:hAnsiTheme="minorHAnsi" w:cstheme="minorHAnsi"/>
        </w:rPr>
        <w:t xml:space="preserve"> </w:t>
      </w:r>
      <w:r w:rsidR="00D10912">
        <w:rPr>
          <w:rFonts w:asciiTheme="minorHAnsi" w:hAnsiTheme="minorHAnsi" w:cstheme="minorHAnsi"/>
        </w:rPr>
        <w:t>Research and Development (</w:t>
      </w:r>
      <w:r w:rsidRPr="002B103C">
        <w:rPr>
          <w:rFonts w:asciiTheme="minorHAnsi" w:hAnsiTheme="minorHAnsi" w:cstheme="minorHAnsi"/>
        </w:rPr>
        <w:t>R&amp;D</w:t>
      </w:r>
      <w:r w:rsidR="00D10912">
        <w:rPr>
          <w:rFonts w:asciiTheme="minorHAnsi" w:hAnsiTheme="minorHAnsi" w:cstheme="minorHAnsi"/>
        </w:rPr>
        <w:t>)</w:t>
      </w:r>
      <w:r w:rsidRPr="002B103C">
        <w:rPr>
          <w:rFonts w:asciiTheme="minorHAnsi" w:hAnsiTheme="minorHAnsi" w:cstheme="minorHAnsi"/>
        </w:rPr>
        <w:t xml:space="preserve"> team to progress the full integration of all research in Primary, Secondary, Community care and Population Health across the Health Board.</w:t>
      </w:r>
    </w:p>
    <w:p w14:paraId="473B726F" w14:textId="77777777" w:rsidR="002B103C" w:rsidRPr="002B103C" w:rsidRDefault="002B103C" w:rsidP="00F60A35">
      <w:pPr>
        <w:pStyle w:val="ListParagraph"/>
        <w:numPr>
          <w:ilvl w:val="0"/>
          <w:numId w:val="78"/>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Ensure equitable access of our researchers, research partners and population to high quality research to support change and improvement in the wealth, health and well-being of all.</w:t>
      </w:r>
    </w:p>
    <w:p w14:paraId="4EA1F1C7" w14:textId="77777777" w:rsidR="002B103C" w:rsidRPr="002B103C" w:rsidRDefault="002B103C" w:rsidP="00F60A35">
      <w:pPr>
        <w:pStyle w:val="ListParagraph"/>
        <w:numPr>
          <w:ilvl w:val="0"/>
          <w:numId w:val="78"/>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Support the delivery of the key aims of “A Healthier Wales” and the Quadruple Aims, by promoting research as a function of all the workforce, and by supporting the development of Principal and Chief Investigators in all specialties and professions.</w:t>
      </w:r>
    </w:p>
    <w:p w14:paraId="35C536E3" w14:textId="5F4EBFE0" w:rsidR="002B103C" w:rsidRPr="002B103C" w:rsidRDefault="002B103C" w:rsidP="00F60A35">
      <w:pPr>
        <w:pStyle w:val="ListParagraph"/>
        <w:numPr>
          <w:ilvl w:val="0"/>
          <w:numId w:val="78"/>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 xml:space="preserve">To deliver on the 2019-2022 </w:t>
      </w:r>
      <w:r w:rsidR="00282916">
        <w:rPr>
          <w:rFonts w:asciiTheme="minorHAnsi" w:hAnsiTheme="minorHAnsi" w:cstheme="minorHAnsi"/>
        </w:rPr>
        <w:t>Health Board</w:t>
      </w:r>
      <w:r w:rsidR="00282916" w:rsidRPr="002B103C">
        <w:rPr>
          <w:rFonts w:asciiTheme="minorHAnsi" w:hAnsiTheme="minorHAnsi" w:cstheme="minorHAnsi"/>
        </w:rPr>
        <w:t xml:space="preserve"> </w:t>
      </w:r>
      <w:r w:rsidRPr="002B103C">
        <w:rPr>
          <w:rFonts w:asciiTheme="minorHAnsi" w:hAnsiTheme="minorHAnsi" w:cstheme="minorHAnsi"/>
        </w:rPr>
        <w:t>R&amp;D strategy to maintain University Health Board status through increased investment in research capacity, by increasing research activity and increased participant recruitment by opening and supporting more high quality non-commercial portfolio studies and commercial studies.</w:t>
      </w:r>
    </w:p>
    <w:p w14:paraId="69D762E7" w14:textId="77777777" w:rsidR="002B103C" w:rsidRPr="002B103C" w:rsidRDefault="002B103C" w:rsidP="00F60A35">
      <w:pPr>
        <w:pStyle w:val="ListParagraph"/>
        <w:numPr>
          <w:ilvl w:val="0"/>
          <w:numId w:val="78"/>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To work with Health and Care Research Wales with the implementation of the OneWales approach to research governance and study set-up.</w:t>
      </w:r>
    </w:p>
    <w:p w14:paraId="06FA19DA" w14:textId="77777777" w:rsidR="002B103C" w:rsidRPr="002B103C" w:rsidRDefault="002B103C" w:rsidP="00F60A35">
      <w:pPr>
        <w:pStyle w:val="ListParagraph"/>
        <w:numPr>
          <w:ilvl w:val="0"/>
          <w:numId w:val="78"/>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Following the recent increase in the research capacity, continue to progress the Primary Care, Community, Mental Health and Population Health research agendas and deliver on the documented frameworks and strategies in these areas.</w:t>
      </w:r>
    </w:p>
    <w:p w14:paraId="43BE832E" w14:textId="77777777" w:rsidR="002B103C" w:rsidRPr="002B103C" w:rsidRDefault="002B103C" w:rsidP="00F60A35">
      <w:pPr>
        <w:pStyle w:val="ListParagraph"/>
        <w:numPr>
          <w:ilvl w:val="0"/>
          <w:numId w:val="78"/>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Continue to seek and support new opportunities for research to include Community Diagnostics, Cell and Gene Therapy, Precision Medicine, Genomics, Social care, Therapeutics and Technologies.</w:t>
      </w:r>
    </w:p>
    <w:p w14:paraId="7EBB6462" w14:textId="77777777" w:rsidR="002B103C" w:rsidRPr="0087345A" w:rsidRDefault="002B103C" w:rsidP="00F60A35">
      <w:pPr>
        <w:pStyle w:val="ListParagraph"/>
        <w:numPr>
          <w:ilvl w:val="0"/>
          <w:numId w:val="78"/>
        </w:numPr>
        <w:autoSpaceDE w:val="0"/>
        <w:autoSpaceDN w:val="0"/>
        <w:adjustRightInd w:val="0"/>
        <w:ind w:left="357" w:hanging="357"/>
        <w:rPr>
          <w:rFonts w:ascii="Verdana" w:hAnsi="Verdana" w:cs="Verdana"/>
        </w:rPr>
      </w:pPr>
      <w:r w:rsidRPr="002B103C">
        <w:rPr>
          <w:rFonts w:asciiTheme="minorHAnsi" w:hAnsiTheme="minorHAnsi" w:cstheme="minorHAnsi"/>
        </w:rPr>
        <w:t>Research and Development team will continue to build on recent successes and encourage, support and assist Health Board researchers and academic partners in the submission of high quality, collaborative funding applications to major funding schemes</w:t>
      </w:r>
      <w:r w:rsidRPr="0087345A">
        <w:rPr>
          <w:rFonts w:ascii="Verdana" w:hAnsi="Verdana" w:cs="Verdana"/>
        </w:rPr>
        <w:t>.</w:t>
      </w:r>
    </w:p>
    <w:p w14:paraId="01A48FB0" w14:textId="25027332" w:rsidR="00F4594C" w:rsidRPr="005B30B8" w:rsidRDefault="00F4594C" w:rsidP="00F4594C"/>
    <w:tbl>
      <w:tblPr>
        <w:tblStyle w:val="TableGrid"/>
        <w:tblW w:w="0" w:type="auto"/>
        <w:tblLook w:val="04A0" w:firstRow="1" w:lastRow="0" w:firstColumn="1" w:lastColumn="0" w:noHBand="0" w:noVBand="1"/>
      </w:tblPr>
      <w:tblGrid>
        <w:gridCol w:w="562"/>
        <w:gridCol w:w="7513"/>
        <w:gridCol w:w="1843"/>
      </w:tblGrid>
      <w:tr w:rsidR="00F4594C" w:rsidRPr="005B30B8" w14:paraId="600981BC" w14:textId="77777777" w:rsidTr="00F4594C">
        <w:tc>
          <w:tcPr>
            <w:tcW w:w="562" w:type="dxa"/>
            <w:tcBorders>
              <w:top w:val="single" w:sz="4" w:space="0" w:color="000000"/>
              <w:left w:val="single" w:sz="4" w:space="0" w:color="000000"/>
              <w:bottom w:val="single" w:sz="4" w:space="0" w:color="000000"/>
              <w:right w:val="single" w:sz="4" w:space="0" w:color="000000"/>
            </w:tcBorders>
          </w:tcPr>
          <w:p w14:paraId="2128F854" w14:textId="77777777" w:rsidR="00F4594C" w:rsidRPr="001332C0" w:rsidRDefault="00F4594C" w:rsidP="006F090B">
            <w:pPr>
              <w:rPr>
                <w:rFonts w:asciiTheme="minorHAnsi" w:hAnsiTheme="minorHAnsi" w:cstheme="minorHAnsi"/>
                <w:bCs/>
                <w:iCs/>
                <w:sz w:val="22"/>
                <w:szCs w:val="22"/>
              </w:rPr>
            </w:pPr>
          </w:p>
        </w:tc>
        <w:tc>
          <w:tcPr>
            <w:tcW w:w="7513" w:type="dxa"/>
            <w:tcBorders>
              <w:top w:val="single" w:sz="4" w:space="0" w:color="000000"/>
              <w:left w:val="single" w:sz="4" w:space="0" w:color="000000"/>
              <w:bottom w:val="single" w:sz="4" w:space="0" w:color="000000"/>
              <w:right w:val="single" w:sz="4" w:space="0" w:color="000000"/>
            </w:tcBorders>
            <w:hideMark/>
          </w:tcPr>
          <w:p w14:paraId="3BCB7A7F" w14:textId="14288539" w:rsidR="00F4594C" w:rsidRPr="001332C0" w:rsidRDefault="00DF1835" w:rsidP="00DF1835">
            <w:pPr>
              <w:jc w:val="center"/>
              <w:rPr>
                <w:rFonts w:asciiTheme="minorHAnsi" w:hAnsiTheme="minorHAnsi" w:cstheme="minorHAnsi"/>
                <w:bCs/>
                <w:iCs/>
                <w:sz w:val="22"/>
                <w:szCs w:val="22"/>
              </w:rPr>
            </w:pPr>
            <w:r>
              <w:rPr>
                <w:rFonts w:asciiTheme="minorHAnsi" w:hAnsiTheme="minorHAnsi" w:cstheme="minorHAnsi"/>
                <w:bCs/>
                <w:iCs/>
                <w:sz w:val="22"/>
                <w:szCs w:val="22"/>
              </w:rPr>
              <w:t>Priority</w:t>
            </w:r>
          </w:p>
        </w:tc>
        <w:tc>
          <w:tcPr>
            <w:tcW w:w="1843" w:type="dxa"/>
            <w:tcBorders>
              <w:top w:val="single" w:sz="4" w:space="0" w:color="000000"/>
              <w:left w:val="single" w:sz="4" w:space="0" w:color="000000"/>
              <w:bottom w:val="single" w:sz="4" w:space="0" w:color="000000"/>
              <w:right w:val="single" w:sz="4" w:space="0" w:color="000000"/>
            </w:tcBorders>
            <w:hideMark/>
          </w:tcPr>
          <w:p w14:paraId="08272029" w14:textId="4274516C" w:rsidR="00F4594C" w:rsidRPr="001332C0" w:rsidRDefault="00F4594C" w:rsidP="006F090B">
            <w:pPr>
              <w:jc w:val="center"/>
              <w:rPr>
                <w:rFonts w:asciiTheme="minorHAnsi" w:hAnsiTheme="minorHAnsi" w:cstheme="minorHAnsi"/>
                <w:bCs/>
                <w:iCs/>
                <w:sz w:val="22"/>
                <w:szCs w:val="22"/>
              </w:rPr>
            </w:pPr>
            <w:r w:rsidRPr="001332C0">
              <w:rPr>
                <w:rFonts w:asciiTheme="minorHAnsi" w:hAnsiTheme="minorHAnsi" w:cstheme="minorHAnsi"/>
                <w:bCs/>
                <w:iCs/>
                <w:sz w:val="22"/>
                <w:szCs w:val="22"/>
              </w:rPr>
              <w:t>Target Date</w:t>
            </w:r>
          </w:p>
        </w:tc>
      </w:tr>
      <w:tr w:rsidR="00F4594C" w:rsidRPr="005B30B8" w14:paraId="3766F662"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67C2F604"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1.</w:t>
            </w:r>
          </w:p>
        </w:tc>
        <w:tc>
          <w:tcPr>
            <w:tcW w:w="7513" w:type="dxa"/>
            <w:tcBorders>
              <w:top w:val="single" w:sz="4" w:space="0" w:color="000000"/>
              <w:left w:val="single" w:sz="4" w:space="0" w:color="000000"/>
              <w:bottom w:val="single" w:sz="4" w:space="0" w:color="000000"/>
              <w:right w:val="single" w:sz="4" w:space="0" w:color="000000"/>
            </w:tcBorders>
            <w:hideMark/>
          </w:tcPr>
          <w:p w14:paraId="3D64E6CC" w14:textId="42B81114"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Development of a Clinical Research Facility at the </w:t>
            </w:r>
            <w:r w:rsidR="00E32360">
              <w:rPr>
                <w:rFonts w:asciiTheme="minorHAnsi" w:hAnsiTheme="minorHAnsi" w:cstheme="minorHAnsi"/>
                <w:bCs/>
                <w:iCs/>
                <w:sz w:val="22"/>
                <w:szCs w:val="22"/>
              </w:rPr>
              <w:t>RGH</w:t>
            </w:r>
            <w:r w:rsidRPr="001332C0">
              <w:rPr>
                <w:rFonts w:asciiTheme="minorHAnsi" w:hAnsiTheme="minorHAnsi" w:cstheme="minorHAnsi"/>
                <w:bCs/>
                <w:iCs/>
                <w:sz w:val="22"/>
                <w:szCs w:val="22"/>
              </w:rPr>
              <w:t xml:space="preserve"> site. </w:t>
            </w:r>
          </w:p>
        </w:tc>
        <w:tc>
          <w:tcPr>
            <w:tcW w:w="1843" w:type="dxa"/>
            <w:tcBorders>
              <w:top w:val="single" w:sz="4" w:space="0" w:color="000000"/>
              <w:left w:val="single" w:sz="4" w:space="0" w:color="000000"/>
              <w:bottom w:val="single" w:sz="4" w:space="0" w:color="000000"/>
              <w:right w:val="single" w:sz="4" w:space="0" w:color="000000"/>
            </w:tcBorders>
            <w:hideMark/>
          </w:tcPr>
          <w:p w14:paraId="62F6F6C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March 2020 </w:t>
            </w:r>
          </w:p>
        </w:tc>
      </w:tr>
      <w:tr w:rsidR="00F4594C" w:rsidRPr="005B30B8" w14:paraId="4EDE5A7D" w14:textId="77777777" w:rsidTr="00F4594C">
        <w:tc>
          <w:tcPr>
            <w:tcW w:w="562" w:type="dxa"/>
            <w:tcBorders>
              <w:top w:val="single" w:sz="4" w:space="0" w:color="000000"/>
              <w:left w:val="single" w:sz="4" w:space="0" w:color="000000"/>
              <w:bottom w:val="single" w:sz="4" w:space="0" w:color="000000"/>
              <w:right w:val="single" w:sz="4" w:space="0" w:color="000000"/>
            </w:tcBorders>
          </w:tcPr>
          <w:p w14:paraId="0406D443" w14:textId="77777777" w:rsidR="00F4594C" w:rsidRPr="001332C0" w:rsidRDefault="00F4594C" w:rsidP="006F090B">
            <w:pPr>
              <w:rPr>
                <w:rFonts w:cstheme="minorHAnsi"/>
                <w:bCs/>
                <w:iCs/>
              </w:rPr>
            </w:pPr>
            <w:r>
              <w:rPr>
                <w:rFonts w:cstheme="minorHAnsi"/>
                <w:bCs/>
                <w:iCs/>
              </w:rPr>
              <w:t>2.</w:t>
            </w:r>
          </w:p>
        </w:tc>
        <w:tc>
          <w:tcPr>
            <w:tcW w:w="7513" w:type="dxa"/>
            <w:tcBorders>
              <w:top w:val="single" w:sz="4" w:space="0" w:color="000000"/>
              <w:left w:val="single" w:sz="4" w:space="0" w:color="000000"/>
              <w:bottom w:val="single" w:sz="4" w:space="0" w:color="000000"/>
              <w:right w:val="single" w:sz="4" w:space="0" w:color="000000"/>
            </w:tcBorders>
          </w:tcPr>
          <w:p w14:paraId="1509CCD5" w14:textId="6B23E5F7" w:rsidR="00F4594C" w:rsidRPr="00AC5285" w:rsidRDefault="00F4594C" w:rsidP="00164805">
            <w:pPr>
              <w:rPr>
                <w:rFonts w:asciiTheme="minorHAnsi" w:hAnsiTheme="minorHAnsi" w:cstheme="minorHAnsi"/>
                <w:bCs/>
                <w:iCs/>
              </w:rPr>
            </w:pPr>
            <w:r w:rsidRPr="00AC5285">
              <w:rPr>
                <w:rFonts w:asciiTheme="minorHAnsi" w:hAnsiTheme="minorHAnsi" w:cstheme="minorHAnsi"/>
                <w:bCs/>
                <w:iCs/>
                <w:sz w:val="22"/>
              </w:rPr>
              <w:t xml:space="preserve">Continue to monitor and review any proposed change in NHS R&amp;D funding model and its associated impact and risk to the </w:t>
            </w:r>
            <w:r w:rsidR="00282916">
              <w:rPr>
                <w:rFonts w:asciiTheme="minorHAnsi" w:hAnsiTheme="minorHAnsi" w:cstheme="minorHAnsi"/>
                <w:bCs/>
                <w:iCs/>
                <w:sz w:val="22"/>
              </w:rPr>
              <w:t>Health Board</w:t>
            </w:r>
            <w:r w:rsidR="00282916" w:rsidRPr="00AC5285">
              <w:rPr>
                <w:rFonts w:asciiTheme="minorHAnsi" w:hAnsiTheme="minorHAnsi" w:cstheme="minorHAnsi"/>
                <w:bCs/>
                <w:iCs/>
                <w:sz w:val="22"/>
              </w:rPr>
              <w:t xml:space="preserve"> </w:t>
            </w:r>
            <w:r w:rsidRPr="00AC5285">
              <w:rPr>
                <w:rFonts w:asciiTheme="minorHAnsi" w:hAnsiTheme="minorHAnsi" w:cstheme="minorHAnsi"/>
                <w:bCs/>
                <w:iCs/>
                <w:sz w:val="22"/>
              </w:rPr>
              <w:t>R&amp;D function and activity.</w:t>
            </w:r>
          </w:p>
        </w:tc>
        <w:tc>
          <w:tcPr>
            <w:tcW w:w="1843" w:type="dxa"/>
            <w:tcBorders>
              <w:top w:val="single" w:sz="4" w:space="0" w:color="000000"/>
              <w:left w:val="single" w:sz="4" w:space="0" w:color="000000"/>
              <w:bottom w:val="single" w:sz="4" w:space="0" w:color="000000"/>
              <w:right w:val="single" w:sz="4" w:space="0" w:color="000000"/>
            </w:tcBorders>
          </w:tcPr>
          <w:p w14:paraId="10F2D4E7" w14:textId="77777777" w:rsidR="00F4594C" w:rsidRPr="00AC5285" w:rsidRDefault="00F4594C" w:rsidP="006F090B">
            <w:pPr>
              <w:rPr>
                <w:rFonts w:asciiTheme="minorHAnsi" w:hAnsiTheme="minorHAnsi" w:cstheme="minorHAnsi"/>
                <w:bCs/>
                <w:iCs/>
              </w:rPr>
            </w:pPr>
            <w:r w:rsidRPr="00AC5285">
              <w:rPr>
                <w:rFonts w:asciiTheme="minorHAnsi" w:hAnsiTheme="minorHAnsi" w:cstheme="minorHAnsi"/>
                <w:bCs/>
                <w:iCs/>
                <w:sz w:val="22"/>
              </w:rPr>
              <w:t>April 2020 - March 2021</w:t>
            </w:r>
          </w:p>
        </w:tc>
      </w:tr>
      <w:tr w:rsidR="00F4594C" w:rsidRPr="005B30B8" w14:paraId="120CDE40"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43424C92"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3</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hideMark/>
          </w:tcPr>
          <w:p w14:paraId="61804AB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Recruit </w:t>
            </w:r>
            <w:r>
              <w:rPr>
                <w:rFonts w:asciiTheme="minorHAnsi" w:hAnsiTheme="minorHAnsi" w:cstheme="minorHAnsi"/>
                <w:bCs/>
                <w:iCs/>
                <w:sz w:val="22"/>
                <w:szCs w:val="22"/>
              </w:rPr>
              <w:t>x1 additional research officer and x1 Research Nurse</w:t>
            </w:r>
          </w:p>
        </w:tc>
        <w:tc>
          <w:tcPr>
            <w:tcW w:w="1843" w:type="dxa"/>
            <w:tcBorders>
              <w:top w:val="single" w:sz="4" w:space="0" w:color="000000"/>
              <w:left w:val="single" w:sz="4" w:space="0" w:color="000000"/>
              <w:bottom w:val="single" w:sz="4" w:space="0" w:color="000000"/>
              <w:right w:val="single" w:sz="4" w:space="0" w:color="000000"/>
            </w:tcBorders>
            <w:hideMark/>
          </w:tcPr>
          <w:p w14:paraId="11C01C5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March 2020</w:t>
            </w:r>
          </w:p>
        </w:tc>
      </w:tr>
      <w:tr w:rsidR="00F4594C" w:rsidRPr="005B30B8" w14:paraId="03B5BB33" w14:textId="77777777" w:rsidTr="00F4594C">
        <w:tc>
          <w:tcPr>
            <w:tcW w:w="562" w:type="dxa"/>
            <w:tcBorders>
              <w:top w:val="single" w:sz="4" w:space="0" w:color="000000"/>
              <w:left w:val="single" w:sz="4" w:space="0" w:color="000000"/>
              <w:bottom w:val="single" w:sz="4" w:space="0" w:color="000000"/>
              <w:right w:val="single" w:sz="4" w:space="0" w:color="000000"/>
            </w:tcBorders>
          </w:tcPr>
          <w:p w14:paraId="12B6F526"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4</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tcPr>
          <w:p w14:paraId="0FE7799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Development of an R&amp;D internet webpage.</w:t>
            </w:r>
          </w:p>
        </w:tc>
        <w:tc>
          <w:tcPr>
            <w:tcW w:w="1843" w:type="dxa"/>
            <w:tcBorders>
              <w:top w:val="single" w:sz="4" w:space="0" w:color="000000"/>
              <w:left w:val="single" w:sz="4" w:space="0" w:color="000000"/>
              <w:bottom w:val="single" w:sz="4" w:space="0" w:color="000000"/>
              <w:right w:val="single" w:sz="4" w:space="0" w:color="000000"/>
            </w:tcBorders>
          </w:tcPr>
          <w:p w14:paraId="3E314876"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March 2020</w:t>
            </w:r>
          </w:p>
        </w:tc>
      </w:tr>
      <w:tr w:rsidR="00F4594C" w:rsidRPr="005B30B8" w14:paraId="4ADB0CFF" w14:textId="77777777" w:rsidTr="00F4594C">
        <w:tc>
          <w:tcPr>
            <w:tcW w:w="562" w:type="dxa"/>
            <w:tcBorders>
              <w:top w:val="single" w:sz="4" w:space="0" w:color="000000"/>
              <w:left w:val="single" w:sz="4" w:space="0" w:color="000000"/>
              <w:bottom w:val="single" w:sz="4" w:space="0" w:color="000000"/>
              <w:right w:val="single" w:sz="4" w:space="0" w:color="000000"/>
            </w:tcBorders>
          </w:tcPr>
          <w:p w14:paraId="6DDB4F51"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5</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tcPr>
          <w:p w14:paraId="117ED4AF"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Com</w:t>
            </w:r>
            <w:r w:rsidRPr="001332C0">
              <w:rPr>
                <w:rFonts w:asciiTheme="minorHAnsi" w:hAnsiTheme="minorHAnsi" w:cstheme="minorHAnsi"/>
                <w:bCs/>
                <w:iCs/>
                <w:sz w:val="22"/>
                <w:szCs w:val="22"/>
              </w:rPr>
              <w:t>ple</w:t>
            </w:r>
            <w:r>
              <w:rPr>
                <w:rFonts w:asciiTheme="minorHAnsi" w:hAnsiTheme="minorHAnsi" w:cstheme="minorHAnsi"/>
                <w:bCs/>
                <w:iCs/>
                <w:sz w:val="22"/>
                <w:szCs w:val="22"/>
              </w:rPr>
              <w:t>te</w:t>
            </w:r>
            <w:r w:rsidRPr="001332C0">
              <w:rPr>
                <w:rFonts w:asciiTheme="minorHAnsi" w:hAnsiTheme="minorHAnsi" w:cstheme="minorHAnsi"/>
                <w:bCs/>
                <w:iCs/>
                <w:sz w:val="22"/>
                <w:szCs w:val="22"/>
              </w:rPr>
              <w:t xml:space="preserve"> the development of “in-house” SOPs</w:t>
            </w:r>
          </w:p>
        </w:tc>
        <w:tc>
          <w:tcPr>
            <w:tcW w:w="1843" w:type="dxa"/>
            <w:tcBorders>
              <w:top w:val="single" w:sz="4" w:space="0" w:color="000000"/>
              <w:left w:val="single" w:sz="4" w:space="0" w:color="000000"/>
              <w:bottom w:val="single" w:sz="4" w:space="0" w:color="000000"/>
              <w:right w:val="single" w:sz="4" w:space="0" w:color="000000"/>
            </w:tcBorders>
          </w:tcPr>
          <w:p w14:paraId="49B1F399"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April 2020</w:t>
            </w:r>
          </w:p>
        </w:tc>
      </w:tr>
      <w:tr w:rsidR="00F4594C" w:rsidRPr="005B30B8" w14:paraId="6290A7C4" w14:textId="77777777" w:rsidTr="00F4594C">
        <w:tc>
          <w:tcPr>
            <w:tcW w:w="562" w:type="dxa"/>
            <w:tcBorders>
              <w:top w:val="single" w:sz="4" w:space="0" w:color="000000"/>
              <w:left w:val="single" w:sz="4" w:space="0" w:color="000000"/>
              <w:bottom w:val="single" w:sz="4" w:space="0" w:color="000000"/>
              <w:right w:val="single" w:sz="4" w:space="0" w:color="000000"/>
            </w:tcBorders>
          </w:tcPr>
          <w:p w14:paraId="508E795D"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6</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tcPr>
          <w:p w14:paraId="2412EFDC" w14:textId="62AB6DA0"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Develop</w:t>
            </w:r>
            <w:r w:rsidR="00BD7C22">
              <w:rPr>
                <w:rFonts w:asciiTheme="minorHAnsi" w:hAnsiTheme="minorHAnsi" w:cstheme="minorHAnsi"/>
                <w:bCs/>
                <w:iCs/>
                <w:sz w:val="22"/>
                <w:szCs w:val="22"/>
              </w:rPr>
              <w:t xml:space="preserve">ment of a communications plan. </w:t>
            </w:r>
          </w:p>
        </w:tc>
        <w:tc>
          <w:tcPr>
            <w:tcW w:w="1843" w:type="dxa"/>
            <w:tcBorders>
              <w:top w:val="single" w:sz="4" w:space="0" w:color="000000"/>
              <w:left w:val="single" w:sz="4" w:space="0" w:color="000000"/>
              <w:bottom w:val="single" w:sz="4" w:space="0" w:color="000000"/>
              <w:right w:val="single" w:sz="4" w:space="0" w:color="000000"/>
            </w:tcBorders>
          </w:tcPr>
          <w:p w14:paraId="05888CD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April 2020</w:t>
            </w:r>
          </w:p>
        </w:tc>
      </w:tr>
      <w:tr w:rsidR="00F4594C" w:rsidRPr="005B30B8" w14:paraId="1DF85261" w14:textId="77777777" w:rsidTr="00F4594C">
        <w:tc>
          <w:tcPr>
            <w:tcW w:w="562" w:type="dxa"/>
            <w:tcBorders>
              <w:top w:val="single" w:sz="4" w:space="0" w:color="000000"/>
              <w:left w:val="single" w:sz="4" w:space="0" w:color="000000"/>
              <w:bottom w:val="single" w:sz="4" w:space="0" w:color="000000"/>
              <w:right w:val="single" w:sz="4" w:space="0" w:color="000000"/>
            </w:tcBorders>
          </w:tcPr>
          <w:p w14:paraId="6280EDDB"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7</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tcPr>
          <w:p w14:paraId="0731DABB"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Developing a central research repository, to detail ongoing research, research findings, publications, service developments, best practice and quality initiatives.</w:t>
            </w:r>
          </w:p>
        </w:tc>
        <w:tc>
          <w:tcPr>
            <w:tcW w:w="1843" w:type="dxa"/>
            <w:tcBorders>
              <w:top w:val="single" w:sz="4" w:space="0" w:color="000000"/>
              <w:left w:val="single" w:sz="4" w:space="0" w:color="000000"/>
              <w:bottom w:val="single" w:sz="4" w:space="0" w:color="000000"/>
              <w:right w:val="single" w:sz="4" w:space="0" w:color="000000"/>
            </w:tcBorders>
          </w:tcPr>
          <w:p w14:paraId="1EA0E831"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June 2020</w:t>
            </w:r>
          </w:p>
        </w:tc>
      </w:tr>
      <w:tr w:rsidR="00F4594C" w:rsidRPr="005B30B8" w14:paraId="6667C43C"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5A7D1E04"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8</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hideMark/>
          </w:tcPr>
          <w:p w14:paraId="0CF563EF" w14:textId="5B3A1CA8" w:rsidR="00F4594C" w:rsidRPr="001332C0" w:rsidRDefault="00F4594C" w:rsidP="00164805">
            <w:pPr>
              <w:rPr>
                <w:rFonts w:asciiTheme="minorHAnsi" w:hAnsiTheme="minorHAnsi" w:cstheme="minorHAnsi"/>
                <w:bCs/>
                <w:iCs/>
                <w:sz w:val="22"/>
                <w:szCs w:val="22"/>
              </w:rPr>
            </w:pPr>
            <w:r w:rsidRPr="001332C0">
              <w:rPr>
                <w:rFonts w:asciiTheme="minorHAnsi" w:hAnsiTheme="minorHAnsi" w:cstheme="minorHAnsi"/>
                <w:bCs/>
                <w:iCs/>
                <w:sz w:val="22"/>
                <w:szCs w:val="22"/>
              </w:rPr>
              <w:t>Continue to support Primary Care research activity to i</w:t>
            </w:r>
            <w:r>
              <w:rPr>
                <w:rFonts w:asciiTheme="minorHAnsi" w:hAnsiTheme="minorHAnsi" w:cstheme="minorHAnsi"/>
                <w:bCs/>
                <w:iCs/>
                <w:sz w:val="22"/>
                <w:szCs w:val="22"/>
              </w:rPr>
              <w:t xml:space="preserve">nclude dentistry and optometry, and secure continued funding from </w:t>
            </w:r>
            <w:r w:rsidR="00282916">
              <w:rPr>
                <w:rFonts w:asciiTheme="minorHAnsi" w:hAnsiTheme="minorHAnsi" w:cstheme="minorHAnsi"/>
                <w:bCs/>
                <w:iCs/>
                <w:sz w:val="22"/>
                <w:szCs w:val="22"/>
              </w:rPr>
              <w:t xml:space="preserve">the Health Board </w:t>
            </w:r>
            <w:r>
              <w:rPr>
                <w:rFonts w:asciiTheme="minorHAnsi" w:hAnsiTheme="minorHAnsi" w:cstheme="minorHAnsi"/>
                <w:bCs/>
                <w:iCs/>
                <w:sz w:val="22"/>
                <w:szCs w:val="22"/>
              </w:rPr>
              <w:t>in support of the Primary Care R&amp;D strategy to 2023.</w:t>
            </w:r>
          </w:p>
        </w:tc>
        <w:tc>
          <w:tcPr>
            <w:tcW w:w="1843" w:type="dxa"/>
            <w:tcBorders>
              <w:top w:val="single" w:sz="4" w:space="0" w:color="000000"/>
              <w:left w:val="single" w:sz="4" w:space="0" w:color="000000"/>
              <w:bottom w:val="single" w:sz="4" w:space="0" w:color="000000"/>
              <w:right w:val="single" w:sz="4" w:space="0" w:color="000000"/>
            </w:tcBorders>
            <w:hideMark/>
          </w:tcPr>
          <w:p w14:paraId="3D07918E"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Ongoing</w:t>
            </w:r>
          </w:p>
        </w:tc>
      </w:tr>
      <w:tr w:rsidR="00F4594C" w:rsidRPr="005B30B8" w14:paraId="6BD090B6" w14:textId="77777777" w:rsidTr="00F4594C">
        <w:tc>
          <w:tcPr>
            <w:tcW w:w="562" w:type="dxa"/>
            <w:tcBorders>
              <w:top w:val="single" w:sz="4" w:space="0" w:color="000000"/>
              <w:left w:val="single" w:sz="4" w:space="0" w:color="000000"/>
              <w:bottom w:val="single" w:sz="4" w:space="0" w:color="000000"/>
              <w:right w:val="single" w:sz="4" w:space="0" w:color="000000"/>
            </w:tcBorders>
          </w:tcPr>
          <w:p w14:paraId="35E00EDC" w14:textId="77777777" w:rsidR="00F4594C" w:rsidRPr="00FA2FFD" w:rsidRDefault="00F4594C" w:rsidP="006F090B">
            <w:pPr>
              <w:rPr>
                <w:rFonts w:asciiTheme="minorHAnsi" w:hAnsiTheme="minorHAnsi" w:cstheme="minorHAnsi"/>
                <w:bCs/>
                <w:iCs/>
                <w:sz w:val="22"/>
              </w:rPr>
            </w:pPr>
            <w:r w:rsidRPr="00FA2FFD">
              <w:rPr>
                <w:rFonts w:asciiTheme="minorHAnsi" w:hAnsiTheme="minorHAnsi" w:cstheme="minorHAnsi"/>
                <w:bCs/>
                <w:iCs/>
                <w:sz w:val="22"/>
              </w:rPr>
              <w:t>9.</w:t>
            </w:r>
          </w:p>
        </w:tc>
        <w:tc>
          <w:tcPr>
            <w:tcW w:w="7513" w:type="dxa"/>
            <w:tcBorders>
              <w:top w:val="single" w:sz="4" w:space="0" w:color="000000"/>
              <w:left w:val="single" w:sz="4" w:space="0" w:color="000000"/>
              <w:bottom w:val="single" w:sz="4" w:space="0" w:color="000000"/>
              <w:right w:val="single" w:sz="4" w:space="0" w:color="000000"/>
            </w:tcBorders>
          </w:tcPr>
          <w:p w14:paraId="6FA6D853" w14:textId="77777777" w:rsidR="00F4594C" w:rsidRPr="00FA2FFD" w:rsidRDefault="00F4594C" w:rsidP="006F090B">
            <w:pPr>
              <w:rPr>
                <w:rFonts w:asciiTheme="minorHAnsi" w:hAnsiTheme="minorHAnsi" w:cstheme="minorHAnsi"/>
                <w:bCs/>
                <w:iCs/>
                <w:sz w:val="22"/>
              </w:rPr>
            </w:pPr>
            <w:r w:rsidRPr="00FA2FFD">
              <w:rPr>
                <w:rFonts w:asciiTheme="minorHAnsi" w:hAnsiTheme="minorHAnsi" w:cstheme="minorHAnsi"/>
                <w:bCs/>
                <w:iCs/>
                <w:sz w:val="22"/>
              </w:rPr>
              <w:t>Support research into new technologies, therapeutics, and procedures (eg. Point of Care testing, Cell and Gene therapy, antibody conjugates etc)</w:t>
            </w:r>
          </w:p>
        </w:tc>
        <w:tc>
          <w:tcPr>
            <w:tcW w:w="1843" w:type="dxa"/>
            <w:tcBorders>
              <w:top w:val="single" w:sz="4" w:space="0" w:color="000000"/>
              <w:left w:val="single" w:sz="4" w:space="0" w:color="000000"/>
              <w:bottom w:val="single" w:sz="4" w:space="0" w:color="000000"/>
              <w:right w:val="single" w:sz="4" w:space="0" w:color="000000"/>
            </w:tcBorders>
          </w:tcPr>
          <w:p w14:paraId="6EC5D026" w14:textId="77777777" w:rsidR="00F4594C" w:rsidRPr="00FA2FFD" w:rsidRDefault="00F4594C" w:rsidP="006F090B">
            <w:pPr>
              <w:rPr>
                <w:rFonts w:asciiTheme="minorHAnsi" w:hAnsiTheme="minorHAnsi" w:cstheme="minorHAnsi"/>
                <w:bCs/>
                <w:iCs/>
                <w:sz w:val="22"/>
              </w:rPr>
            </w:pPr>
          </w:p>
          <w:p w14:paraId="35CF4681" w14:textId="77777777" w:rsidR="00F4594C" w:rsidRPr="00FA2FFD" w:rsidRDefault="00F4594C" w:rsidP="006F090B">
            <w:pPr>
              <w:rPr>
                <w:rFonts w:asciiTheme="minorHAnsi" w:hAnsiTheme="minorHAnsi" w:cstheme="minorHAnsi"/>
                <w:bCs/>
                <w:iCs/>
                <w:sz w:val="22"/>
              </w:rPr>
            </w:pPr>
            <w:r w:rsidRPr="00FA2FFD">
              <w:rPr>
                <w:rFonts w:asciiTheme="minorHAnsi" w:hAnsiTheme="minorHAnsi" w:cstheme="minorHAnsi"/>
                <w:bCs/>
                <w:iCs/>
                <w:sz w:val="22"/>
              </w:rPr>
              <w:t>Ongoing</w:t>
            </w:r>
          </w:p>
        </w:tc>
      </w:tr>
      <w:tr w:rsidR="00F4594C" w:rsidRPr="005B30B8" w14:paraId="1D36E266"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3B4C8BC1"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10</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hideMark/>
          </w:tcPr>
          <w:p w14:paraId="029A4BDA"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Undertake at least 15 commercial studies and recruit at least 50 patients during 2020/21.  </w:t>
            </w:r>
          </w:p>
        </w:tc>
        <w:tc>
          <w:tcPr>
            <w:tcW w:w="1843" w:type="dxa"/>
            <w:tcBorders>
              <w:top w:val="single" w:sz="4" w:space="0" w:color="000000"/>
              <w:left w:val="single" w:sz="4" w:space="0" w:color="000000"/>
              <w:bottom w:val="single" w:sz="4" w:space="0" w:color="000000"/>
              <w:right w:val="single" w:sz="4" w:space="0" w:color="000000"/>
            </w:tcBorders>
            <w:hideMark/>
          </w:tcPr>
          <w:p w14:paraId="745C8A69"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March 2021</w:t>
            </w:r>
          </w:p>
        </w:tc>
      </w:tr>
      <w:tr w:rsidR="00F4594C" w:rsidRPr="005B30B8" w14:paraId="37A74089"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5D981E06"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11</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hideMark/>
          </w:tcPr>
          <w:p w14:paraId="2FC4A426"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Undertake at least 85 </w:t>
            </w:r>
            <w:r>
              <w:rPr>
                <w:rFonts w:asciiTheme="minorHAnsi" w:hAnsiTheme="minorHAnsi" w:cstheme="minorHAnsi"/>
                <w:bCs/>
                <w:iCs/>
                <w:sz w:val="22"/>
                <w:szCs w:val="22"/>
              </w:rPr>
              <w:t>Clinical Research Portfolio</w:t>
            </w:r>
            <w:r w:rsidRPr="001332C0">
              <w:rPr>
                <w:rFonts w:asciiTheme="minorHAnsi" w:hAnsiTheme="minorHAnsi" w:cstheme="minorHAnsi"/>
                <w:bCs/>
                <w:iCs/>
                <w:sz w:val="22"/>
                <w:szCs w:val="22"/>
              </w:rPr>
              <w:t xml:space="preserve"> studies and recruit at least 3300 patients during 2020/21 </w:t>
            </w:r>
          </w:p>
        </w:tc>
        <w:tc>
          <w:tcPr>
            <w:tcW w:w="1843" w:type="dxa"/>
            <w:tcBorders>
              <w:top w:val="single" w:sz="4" w:space="0" w:color="000000"/>
              <w:left w:val="single" w:sz="4" w:space="0" w:color="000000"/>
              <w:bottom w:val="single" w:sz="4" w:space="0" w:color="000000"/>
              <w:right w:val="single" w:sz="4" w:space="0" w:color="000000"/>
            </w:tcBorders>
            <w:hideMark/>
          </w:tcPr>
          <w:p w14:paraId="25DA02B9"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March 2021</w:t>
            </w:r>
          </w:p>
        </w:tc>
      </w:tr>
    </w:tbl>
    <w:p w14:paraId="65DAECC0" w14:textId="2A79B68F" w:rsidR="006C353B" w:rsidRPr="00C268C6" w:rsidRDefault="006C353B" w:rsidP="006C353B">
      <w:pPr>
        <w:pStyle w:val="Heading2"/>
        <w:rPr>
          <w:szCs w:val="22"/>
        </w:rPr>
      </w:pPr>
      <w:bookmarkStart w:id="201" w:name="_Toc29573972"/>
      <w:r w:rsidRPr="00C268C6">
        <w:rPr>
          <w:szCs w:val="22"/>
        </w:rPr>
        <w:lastRenderedPageBreak/>
        <w:t>Information and Communications Technology</w:t>
      </w:r>
      <w:bookmarkEnd w:id="198"/>
      <w:bookmarkEnd w:id="199"/>
      <w:r w:rsidR="000554F6" w:rsidRPr="00C268C6">
        <w:rPr>
          <w:szCs w:val="22"/>
        </w:rPr>
        <w:t xml:space="preserve"> (ICT)</w:t>
      </w:r>
      <w:bookmarkEnd w:id="200"/>
      <w:bookmarkEnd w:id="201"/>
    </w:p>
    <w:p w14:paraId="0EA454F3" w14:textId="77777777" w:rsidR="001636FC" w:rsidRDefault="001636FC" w:rsidP="001636FC">
      <w:pPr>
        <w:rPr>
          <w:rFonts w:asciiTheme="minorHAnsi" w:hAnsiTheme="minorHAnsi"/>
          <w:szCs w:val="22"/>
        </w:rPr>
      </w:pPr>
      <w:bookmarkStart w:id="202" w:name="_Toc532464116"/>
      <w:r w:rsidRPr="00D11076">
        <w:rPr>
          <w:rFonts w:asciiTheme="minorHAnsi" w:hAnsiTheme="minorHAnsi"/>
          <w:szCs w:val="22"/>
        </w:rPr>
        <w:t xml:space="preserve">Investment in ICT is a critical enabler to allow the Health Board to support the challenge of working across traditional boundaries and </w:t>
      </w:r>
      <w:r>
        <w:rPr>
          <w:rFonts w:asciiTheme="minorHAnsi" w:hAnsiTheme="minorHAnsi"/>
          <w:szCs w:val="22"/>
        </w:rPr>
        <w:t xml:space="preserve">to </w:t>
      </w:r>
      <w:r w:rsidRPr="00D11076">
        <w:rPr>
          <w:rFonts w:asciiTheme="minorHAnsi" w:hAnsiTheme="minorHAnsi"/>
          <w:szCs w:val="22"/>
        </w:rPr>
        <w:t>support integration between the various Health Services and other Public Sector bodies</w:t>
      </w:r>
      <w:r>
        <w:rPr>
          <w:rFonts w:asciiTheme="minorHAnsi" w:hAnsiTheme="minorHAnsi"/>
          <w:szCs w:val="22"/>
        </w:rPr>
        <w:t>.</w:t>
      </w:r>
    </w:p>
    <w:p w14:paraId="515BB1B6" w14:textId="77777777" w:rsidR="001636FC" w:rsidRDefault="001636FC" w:rsidP="001636FC">
      <w:pPr>
        <w:rPr>
          <w:rFonts w:asciiTheme="minorHAnsi" w:hAnsiTheme="minorHAnsi"/>
          <w:szCs w:val="22"/>
        </w:rPr>
      </w:pPr>
    </w:p>
    <w:p w14:paraId="45BD7F3D" w14:textId="77777777" w:rsidR="001636FC" w:rsidRDefault="001636FC" w:rsidP="001636FC">
      <w:pPr>
        <w:rPr>
          <w:rFonts w:cs="Times New Roman"/>
          <w:color w:val="1F497D"/>
          <w:szCs w:val="22"/>
        </w:rPr>
      </w:pPr>
      <w:r>
        <w:t>These priorities are:</w:t>
      </w:r>
    </w:p>
    <w:p w14:paraId="11C72520" w14:textId="77777777" w:rsidR="001636FC" w:rsidRDefault="001636FC" w:rsidP="00F60A35">
      <w:pPr>
        <w:pStyle w:val="ListParagraph"/>
        <w:numPr>
          <w:ilvl w:val="0"/>
          <w:numId w:val="81"/>
        </w:numPr>
        <w:contextualSpacing w:val="0"/>
        <w:rPr>
          <w:sz w:val="24"/>
        </w:rPr>
      </w:pPr>
      <w:r>
        <w:t>Facilitate delivery of the expected organisational benefits from the integration of Bridgend &amp; Cwm Taf to be realised by overcoming the numerous technical challenges in regards to digital and information systems, architecture and services.</w:t>
      </w:r>
    </w:p>
    <w:p w14:paraId="1FE7E790" w14:textId="77777777" w:rsidR="001636FC" w:rsidRDefault="001636FC" w:rsidP="00F60A35">
      <w:pPr>
        <w:pStyle w:val="ListParagraph"/>
        <w:numPr>
          <w:ilvl w:val="0"/>
          <w:numId w:val="81"/>
        </w:numPr>
        <w:contextualSpacing w:val="0"/>
        <w:rPr>
          <w:szCs w:val="22"/>
          <w:lang w:eastAsia="en-US"/>
        </w:rPr>
      </w:pPr>
      <w:r>
        <w:t xml:space="preserve">Maximise the benefits to be gained from existing systems by: widening use of the systems, increasing the uptake of the functionality within them and putting the appropriate governance and control structures in place for the data to be accessible across all NHS Wales systems </w:t>
      </w:r>
    </w:p>
    <w:p w14:paraId="1EAB35DD" w14:textId="442A27CB" w:rsidR="001636FC" w:rsidRDefault="001636FC" w:rsidP="00F60A35">
      <w:pPr>
        <w:pStyle w:val="ListParagraph"/>
        <w:numPr>
          <w:ilvl w:val="0"/>
          <w:numId w:val="81"/>
        </w:numPr>
        <w:contextualSpacing w:val="0"/>
        <w:rPr>
          <w:sz w:val="20"/>
          <w:szCs w:val="20"/>
        </w:rPr>
      </w:pPr>
      <w:r>
        <w:t>Enhancement of in-house developed systems to provide greater functionalit</w:t>
      </w:r>
      <w:r w:rsidR="00411B9E">
        <w:t>y, supporting both the RPB and Health Board</w:t>
      </w:r>
      <w:r>
        <w:t>’s improvement and transformational programmes</w:t>
      </w:r>
    </w:p>
    <w:p w14:paraId="293E1BC1" w14:textId="77777777" w:rsidR="001636FC" w:rsidRDefault="001636FC" w:rsidP="00F60A35">
      <w:pPr>
        <w:pStyle w:val="ListParagraph"/>
        <w:numPr>
          <w:ilvl w:val="0"/>
          <w:numId w:val="81"/>
        </w:numPr>
        <w:contextualSpacing w:val="0"/>
      </w:pPr>
      <w:r>
        <w:t>Deployment of Digital Medical Records, improving the accessibility of information and our custodianship of our citizen’s personal data</w:t>
      </w:r>
    </w:p>
    <w:p w14:paraId="4EBB84FE" w14:textId="310EC858" w:rsidR="001636FC" w:rsidRPr="00B13A21" w:rsidRDefault="001636FC" w:rsidP="00F60A35">
      <w:pPr>
        <w:pStyle w:val="ListParagraph"/>
        <w:numPr>
          <w:ilvl w:val="0"/>
          <w:numId w:val="81"/>
        </w:numPr>
        <w:contextualSpacing w:val="0"/>
      </w:pPr>
      <w:r>
        <w:t xml:space="preserve">Deployment of the Welsh </w:t>
      </w:r>
      <w:r w:rsidR="00880EE0">
        <w:t>ED</w:t>
      </w:r>
      <w:r>
        <w:t xml:space="preserve"> System as an enabler to improving the unscheduled care system</w:t>
      </w:r>
    </w:p>
    <w:p w14:paraId="0AE9E1DD" w14:textId="77777777" w:rsidR="001636FC" w:rsidRPr="00D11076" w:rsidRDefault="001636FC" w:rsidP="001636FC">
      <w:pPr>
        <w:rPr>
          <w:rFonts w:asciiTheme="minorHAnsi" w:hAnsiTheme="minorHAnsi"/>
          <w:szCs w:val="22"/>
        </w:rPr>
      </w:pPr>
    </w:p>
    <w:p w14:paraId="498A89BE" w14:textId="7924826F" w:rsidR="001636FC" w:rsidRPr="00D11076" w:rsidRDefault="001636FC" w:rsidP="001636FC">
      <w:pPr>
        <w:rPr>
          <w:rFonts w:asciiTheme="minorHAnsi" w:hAnsiTheme="minorHAnsi"/>
          <w:szCs w:val="22"/>
        </w:rPr>
      </w:pPr>
      <w:r w:rsidRPr="00D11076">
        <w:rPr>
          <w:rFonts w:asciiTheme="minorHAnsi" w:hAnsiTheme="minorHAnsi"/>
          <w:szCs w:val="22"/>
        </w:rPr>
        <w:t>Our clinical and ICT strategy enable</w:t>
      </w:r>
      <w:r>
        <w:rPr>
          <w:rFonts w:asciiTheme="minorHAnsi" w:hAnsiTheme="minorHAnsi"/>
          <w:szCs w:val="22"/>
        </w:rPr>
        <w:t>s</w:t>
      </w:r>
      <w:r w:rsidRPr="00D11076">
        <w:rPr>
          <w:rFonts w:asciiTheme="minorHAnsi" w:hAnsiTheme="minorHAnsi"/>
          <w:szCs w:val="22"/>
        </w:rPr>
        <w:t xml:space="preserve"> working across the artificial boundaries of hospital and community.  From the patient perspective, the services should be integrated and seamless, with health, social care, and other professionals being able to work supported by common, reliable, up-to-date information.</w:t>
      </w:r>
      <w:r w:rsidR="005A3845">
        <w:rPr>
          <w:rFonts w:asciiTheme="minorHAnsi" w:hAnsiTheme="minorHAnsi"/>
          <w:szCs w:val="22"/>
        </w:rPr>
        <w:t xml:space="preserve"> </w:t>
      </w:r>
      <w:r>
        <w:rPr>
          <w:rFonts w:asciiTheme="minorHAnsi" w:hAnsiTheme="minorHAnsi"/>
          <w:szCs w:val="22"/>
        </w:rPr>
        <w:t xml:space="preserve"> The Health Board’s strategy aligns </w:t>
      </w:r>
      <w:r w:rsidRPr="00D11076">
        <w:rPr>
          <w:rFonts w:asciiTheme="minorHAnsi" w:hAnsiTheme="minorHAnsi"/>
          <w:szCs w:val="22"/>
        </w:rPr>
        <w:t>with national policies and direction such as the Service Redesign, South Wales Plan</w:t>
      </w:r>
      <w:r>
        <w:rPr>
          <w:rFonts w:asciiTheme="minorHAnsi" w:hAnsiTheme="minorHAnsi"/>
          <w:szCs w:val="22"/>
        </w:rPr>
        <w:t>.</w:t>
      </w:r>
    </w:p>
    <w:p w14:paraId="62D3092D" w14:textId="77777777" w:rsidR="001636FC" w:rsidRPr="00D11076" w:rsidRDefault="001636FC" w:rsidP="001636FC">
      <w:pPr>
        <w:rPr>
          <w:rFonts w:asciiTheme="minorHAnsi" w:hAnsiTheme="minorHAnsi"/>
          <w:szCs w:val="22"/>
        </w:rPr>
      </w:pPr>
    </w:p>
    <w:p w14:paraId="5513E44E" w14:textId="77777777" w:rsidR="001636FC" w:rsidRPr="00D11076" w:rsidRDefault="001636FC" w:rsidP="001636FC">
      <w:pPr>
        <w:rPr>
          <w:rFonts w:asciiTheme="minorHAnsi" w:hAnsiTheme="minorHAnsi"/>
          <w:szCs w:val="22"/>
        </w:rPr>
      </w:pPr>
      <w:r w:rsidRPr="00D11076">
        <w:rPr>
          <w:rFonts w:asciiTheme="minorHAnsi" w:hAnsiTheme="minorHAnsi"/>
          <w:szCs w:val="22"/>
        </w:rPr>
        <w:t>For this vision to succeed, as the patient moves physically between care settings and providers, all the appropriate clinical and social care documents must be available at the point of treatment in a timely manner.  Clinical teams must have the tools and ability to work in a more agile manner, access to the records of patients must move from inconvenient paper based and hospital based systems, to electronic records, accessible using the latest technology, and delivered in a manner that does not compromise patient confidentiality and safety.</w:t>
      </w:r>
    </w:p>
    <w:p w14:paraId="772A5FD2" w14:textId="77777777" w:rsidR="001636FC" w:rsidRPr="00D11076" w:rsidRDefault="001636FC" w:rsidP="001636FC">
      <w:pPr>
        <w:rPr>
          <w:rFonts w:asciiTheme="minorHAnsi" w:hAnsiTheme="minorHAnsi"/>
          <w:szCs w:val="22"/>
        </w:rPr>
      </w:pPr>
    </w:p>
    <w:p w14:paraId="2FAAF32D" w14:textId="77777777" w:rsidR="001636FC" w:rsidRDefault="001636FC" w:rsidP="001636FC">
      <w:pPr>
        <w:rPr>
          <w:rFonts w:asciiTheme="minorHAnsi" w:hAnsiTheme="minorHAnsi"/>
          <w:szCs w:val="22"/>
        </w:rPr>
      </w:pPr>
      <w:r w:rsidRPr="00D11076">
        <w:rPr>
          <w:rFonts w:asciiTheme="minorHAnsi" w:hAnsiTheme="minorHAnsi"/>
          <w:szCs w:val="22"/>
        </w:rPr>
        <w:t>To support this mobile working vision ICT must provide infrastructure and hardware to deliver the clinical record and applications at the point of care.  The era of static working is rapidly becoming replaced with the concept of agile staff based and working where most appropriate to meet clinical needs.</w:t>
      </w:r>
    </w:p>
    <w:p w14:paraId="4C3FD0CD" w14:textId="77777777" w:rsidR="001636FC" w:rsidRDefault="001636FC" w:rsidP="001636FC">
      <w:pPr>
        <w:rPr>
          <w:rFonts w:asciiTheme="minorHAnsi" w:hAnsiTheme="minorHAnsi"/>
          <w:szCs w:val="22"/>
        </w:rPr>
      </w:pPr>
    </w:p>
    <w:p w14:paraId="473A1EF1" w14:textId="77777777" w:rsidR="001636FC" w:rsidRPr="00777BC8" w:rsidRDefault="001636FC" w:rsidP="001636FC">
      <w:pPr>
        <w:pStyle w:val="ListParagraph"/>
        <w:ind w:left="0"/>
      </w:pPr>
      <w:r w:rsidRPr="00777BC8">
        <w:t xml:space="preserve">ICT needs to enable a Digital workforce but alongside this there is a requirement to both train and support to enable the business change processes to be achieved. </w:t>
      </w:r>
    </w:p>
    <w:p w14:paraId="1BC1CE8E" w14:textId="77777777" w:rsidR="001636FC" w:rsidRPr="00D11076" w:rsidRDefault="001636FC" w:rsidP="001636FC">
      <w:pPr>
        <w:rPr>
          <w:rFonts w:asciiTheme="minorHAnsi" w:hAnsiTheme="minorHAnsi"/>
          <w:szCs w:val="22"/>
        </w:rPr>
      </w:pPr>
    </w:p>
    <w:p w14:paraId="751DF09B" w14:textId="77777777" w:rsidR="001636FC" w:rsidRPr="00D11076" w:rsidRDefault="001636FC" w:rsidP="001636FC">
      <w:pPr>
        <w:rPr>
          <w:rFonts w:asciiTheme="minorHAnsi" w:hAnsiTheme="minorHAnsi"/>
          <w:szCs w:val="22"/>
        </w:rPr>
      </w:pPr>
      <w:r w:rsidRPr="00D11076">
        <w:rPr>
          <w:rFonts w:asciiTheme="minorHAnsi" w:hAnsiTheme="minorHAnsi"/>
          <w:szCs w:val="22"/>
        </w:rPr>
        <w:t>The clinical application design itself needs to be re thought with the requirement to provide</w:t>
      </w:r>
      <w:r>
        <w:rPr>
          <w:rFonts w:asciiTheme="minorHAnsi" w:hAnsiTheme="minorHAnsi"/>
          <w:szCs w:val="22"/>
        </w:rPr>
        <w:t xml:space="preserve"> information at the point of care using</w:t>
      </w:r>
      <w:r w:rsidRPr="00D11076">
        <w:rPr>
          <w:rFonts w:asciiTheme="minorHAnsi" w:hAnsiTheme="minorHAnsi"/>
          <w:szCs w:val="22"/>
        </w:rPr>
        <w:t xml:space="preserve"> both tablet and app based designs as opposed to traditional desk top deployments.</w:t>
      </w:r>
    </w:p>
    <w:p w14:paraId="18A44E0A" w14:textId="77777777" w:rsidR="001636FC" w:rsidRPr="001636FC" w:rsidRDefault="001636FC" w:rsidP="001636FC">
      <w:pPr>
        <w:rPr>
          <w:rFonts w:asciiTheme="minorHAnsi" w:hAnsiTheme="minorHAnsi"/>
          <w:szCs w:val="22"/>
        </w:rPr>
      </w:pPr>
      <w:r w:rsidRPr="00D11076">
        <w:rPr>
          <w:rFonts w:asciiTheme="minorHAnsi" w:hAnsiTheme="minorHAnsi"/>
          <w:szCs w:val="22"/>
        </w:rPr>
        <w:t xml:space="preserve">The </w:t>
      </w:r>
      <w:r w:rsidRPr="001636FC">
        <w:rPr>
          <w:rFonts w:asciiTheme="minorHAnsi" w:hAnsiTheme="minorHAnsi"/>
          <w:szCs w:val="22"/>
        </w:rPr>
        <w:t>strategic direction as defined in the Informed Health and Care Digital Strategy states:</w:t>
      </w:r>
    </w:p>
    <w:p w14:paraId="7252A67A" w14:textId="77777777" w:rsidR="001636FC" w:rsidRPr="001636FC" w:rsidRDefault="001636FC" w:rsidP="001636FC">
      <w:pPr>
        <w:rPr>
          <w:rFonts w:asciiTheme="minorHAnsi" w:hAnsiTheme="minorHAnsi"/>
          <w:szCs w:val="22"/>
        </w:rPr>
      </w:pPr>
    </w:p>
    <w:tbl>
      <w:tblPr>
        <w:tblStyle w:val="TableGrid"/>
        <w:tblW w:w="0" w:type="auto"/>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ook w:val="04A0" w:firstRow="1" w:lastRow="0" w:firstColumn="1" w:lastColumn="0" w:noHBand="0" w:noVBand="1"/>
      </w:tblPr>
      <w:tblGrid>
        <w:gridCol w:w="9948"/>
      </w:tblGrid>
      <w:tr w:rsidR="001636FC" w:rsidRPr="001636FC" w14:paraId="34DD5802" w14:textId="77777777" w:rsidTr="001636FC">
        <w:tc>
          <w:tcPr>
            <w:tcW w:w="9968" w:type="dxa"/>
            <w:shd w:val="clear" w:color="auto" w:fill="DBE5F1" w:themeFill="accent1" w:themeFillTint="33"/>
          </w:tcPr>
          <w:p w14:paraId="61FFFEC3" w14:textId="3680EBD7" w:rsidR="001636FC" w:rsidRPr="001636FC" w:rsidRDefault="001636FC" w:rsidP="001636FC">
            <w:pPr>
              <w:rPr>
                <w:rFonts w:asciiTheme="minorHAnsi" w:hAnsiTheme="minorHAnsi"/>
                <w:sz w:val="22"/>
                <w:szCs w:val="22"/>
              </w:rPr>
            </w:pPr>
            <w:r w:rsidRPr="001636FC">
              <w:rPr>
                <w:rFonts w:asciiTheme="minorHAnsi" w:hAnsiTheme="minorHAnsi"/>
                <w:sz w:val="22"/>
                <w:szCs w:val="22"/>
              </w:rPr>
              <w:t xml:space="preserve">Digital technologies and online services have become part of the daily lives of many people in Wales.  We can bank, shop, work, read, </w:t>
            </w:r>
            <w:r w:rsidR="00E30B7D" w:rsidRPr="001636FC">
              <w:rPr>
                <w:rFonts w:asciiTheme="minorHAnsi" w:hAnsiTheme="minorHAnsi"/>
                <w:sz w:val="22"/>
                <w:szCs w:val="22"/>
              </w:rPr>
              <w:t>and enjoy</w:t>
            </w:r>
            <w:r w:rsidRPr="001636FC">
              <w:rPr>
                <w:rFonts w:asciiTheme="minorHAnsi" w:hAnsiTheme="minorHAnsi"/>
                <w:sz w:val="22"/>
                <w:szCs w:val="22"/>
              </w:rPr>
              <w:t xml:space="preserve"> music and films, book holidays and stay in touch with friends and colleagues across the globe online, using PCs, tablets and mobile devices such as smartphones.  The Informed Health and Care Digital Strategy outlines how we will use technology and greater access to information to help improve the health and well-being of the people of Wales.  It describes a Wales where citizens have more control of their health and social care, can access their information and interact with services online as easily as they do with other public sectors or other aspects of their lives, promoting equity between those that provide and those that use our services in line with prudent healthcare and sustainable social services.</w:t>
            </w:r>
          </w:p>
        </w:tc>
      </w:tr>
    </w:tbl>
    <w:p w14:paraId="3C5AC5B9" w14:textId="77777777" w:rsidR="001636FC" w:rsidRPr="001636FC" w:rsidRDefault="001636FC" w:rsidP="001636FC">
      <w:pPr>
        <w:rPr>
          <w:rFonts w:asciiTheme="minorHAnsi" w:hAnsiTheme="minorHAnsi"/>
          <w:szCs w:val="22"/>
        </w:rPr>
      </w:pPr>
    </w:p>
    <w:p w14:paraId="75DFF735" w14:textId="77777777" w:rsidR="001636FC" w:rsidRPr="001636FC" w:rsidRDefault="001636FC" w:rsidP="001636FC">
      <w:pPr>
        <w:rPr>
          <w:rFonts w:asciiTheme="minorHAnsi" w:hAnsiTheme="minorHAnsi"/>
          <w:szCs w:val="22"/>
        </w:rPr>
      </w:pPr>
      <w:r w:rsidRPr="001636FC">
        <w:rPr>
          <w:rFonts w:asciiTheme="minorHAnsi" w:hAnsiTheme="minorHAnsi"/>
          <w:szCs w:val="22"/>
        </w:rPr>
        <w:t xml:space="preserve">The Plan sets out the strategic context, in which ICT is operating, the Health Board requirements for the Directorate in line with the Corporate Business Plans and the collaborative working with NWIS and other Health boards. </w:t>
      </w:r>
    </w:p>
    <w:p w14:paraId="62EFDE81" w14:textId="4C60233C" w:rsidR="004D0E81" w:rsidRPr="00C268C6" w:rsidRDefault="00BD7C22" w:rsidP="004D0E81">
      <w:pPr>
        <w:pStyle w:val="Heading3"/>
        <w:rPr>
          <w:szCs w:val="22"/>
        </w:rPr>
      </w:pPr>
      <w:r>
        <w:rPr>
          <w:szCs w:val="22"/>
        </w:rPr>
        <w:lastRenderedPageBreak/>
        <w:t>D</w:t>
      </w:r>
      <w:r w:rsidR="004D0E81" w:rsidRPr="00C268C6">
        <w:rPr>
          <w:szCs w:val="22"/>
        </w:rPr>
        <w:t>igital Health Strategy</w:t>
      </w:r>
      <w:bookmarkEnd w:id="202"/>
    </w:p>
    <w:p w14:paraId="3398A0AC" w14:textId="77777777" w:rsidR="001636FC" w:rsidRPr="00D11076" w:rsidRDefault="001636FC" w:rsidP="001636FC">
      <w:pPr>
        <w:rPr>
          <w:rFonts w:asciiTheme="minorHAnsi" w:hAnsiTheme="minorHAnsi"/>
          <w:szCs w:val="22"/>
        </w:rPr>
      </w:pPr>
      <w:bookmarkStart w:id="203" w:name="_Toc532299710"/>
      <w:bookmarkStart w:id="204" w:name="_Toc532464117"/>
      <w:bookmarkStart w:id="205" w:name="_Toc536195589"/>
      <w:r w:rsidRPr="00D11076">
        <w:rPr>
          <w:rFonts w:asciiTheme="minorHAnsi" w:hAnsiTheme="minorHAnsi"/>
          <w:szCs w:val="22"/>
        </w:rPr>
        <w:t>Our Digital Health Vision is:</w:t>
      </w:r>
    </w:p>
    <w:p w14:paraId="0158B4F0" w14:textId="77777777" w:rsidR="001636FC" w:rsidRPr="00D11076" w:rsidRDefault="001636FC" w:rsidP="001636FC">
      <w:pPr>
        <w:rPr>
          <w:rFonts w:asciiTheme="minorHAnsi" w:hAnsiTheme="minorHAnsi"/>
          <w:b/>
          <w:szCs w:val="22"/>
        </w:rPr>
      </w:pPr>
    </w:p>
    <w:p w14:paraId="4322157B" w14:textId="77777777" w:rsidR="001636FC" w:rsidRPr="00D11076" w:rsidRDefault="001636FC" w:rsidP="001636FC">
      <w:pPr>
        <w:shd w:val="clear" w:color="auto" w:fill="DBE5F1" w:themeFill="accent1" w:themeFillTint="33"/>
        <w:jc w:val="center"/>
        <w:rPr>
          <w:rFonts w:asciiTheme="minorHAnsi" w:hAnsiTheme="minorHAnsi"/>
          <w:bCs/>
          <w:i/>
          <w:szCs w:val="22"/>
        </w:rPr>
      </w:pPr>
      <w:r w:rsidRPr="00D11076">
        <w:rPr>
          <w:rFonts w:asciiTheme="minorHAnsi" w:hAnsiTheme="minorHAnsi"/>
          <w:bCs/>
          <w:i/>
          <w:szCs w:val="22"/>
        </w:rPr>
        <w:t>The Health Board will aim to become a digital exemplar within NHS Wales, as an innovator and early adopter of digital technologies and approaches, to enhance care quality, better engage with patients and deliver sustainable services</w:t>
      </w:r>
    </w:p>
    <w:p w14:paraId="0D9EF5AA" w14:textId="77777777" w:rsidR="001636FC" w:rsidRPr="00D11076" w:rsidRDefault="001636FC" w:rsidP="001636FC">
      <w:pPr>
        <w:rPr>
          <w:rFonts w:asciiTheme="minorHAnsi" w:hAnsiTheme="minorHAnsi"/>
          <w:szCs w:val="22"/>
        </w:rPr>
      </w:pPr>
    </w:p>
    <w:p w14:paraId="264341DE" w14:textId="77777777" w:rsidR="001636FC" w:rsidRDefault="001636FC" w:rsidP="001636FC">
      <w:pPr>
        <w:rPr>
          <w:rFonts w:asciiTheme="minorHAnsi" w:hAnsiTheme="minorHAnsi"/>
          <w:szCs w:val="22"/>
        </w:rPr>
      </w:pPr>
      <w:r w:rsidRPr="00D11076">
        <w:rPr>
          <w:rFonts w:asciiTheme="minorHAnsi" w:hAnsiTheme="minorHAnsi"/>
          <w:szCs w:val="22"/>
        </w:rPr>
        <w:t>This vision is supported by a plan to actively participate in and deploy national solutions.  The following priorities are identified for 20</w:t>
      </w:r>
      <w:r>
        <w:rPr>
          <w:rFonts w:asciiTheme="minorHAnsi" w:hAnsiTheme="minorHAnsi"/>
          <w:szCs w:val="22"/>
        </w:rPr>
        <w:t>20/21</w:t>
      </w:r>
      <w:r w:rsidRPr="00D11076">
        <w:rPr>
          <w:rFonts w:asciiTheme="minorHAnsi" w:hAnsiTheme="minorHAnsi"/>
          <w:szCs w:val="22"/>
        </w:rPr>
        <w:t>:</w:t>
      </w:r>
    </w:p>
    <w:p w14:paraId="7D42A395" w14:textId="77777777" w:rsidR="001636FC" w:rsidRDefault="001636FC" w:rsidP="001636FC">
      <w:pPr>
        <w:rPr>
          <w:rFonts w:asciiTheme="minorHAnsi" w:hAnsiTheme="minorHAnsi"/>
          <w:szCs w:val="22"/>
        </w:rPr>
      </w:pPr>
    </w:p>
    <w:p w14:paraId="008A8557" w14:textId="77777777" w:rsidR="001636FC" w:rsidRPr="003467A6" w:rsidRDefault="001636FC" w:rsidP="001636FC">
      <w:pPr>
        <w:rPr>
          <w:rFonts w:asciiTheme="minorHAnsi" w:hAnsiTheme="minorHAnsi"/>
          <w:b/>
          <w:szCs w:val="22"/>
        </w:rPr>
      </w:pPr>
      <w:r w:rsidRPr="003467A6">
        <w:rPr>
          <w:rFonts w:asciiTheme="minorHAnsi" w:hAnsiTheme="minorHAnsi"/>
          <w:b/>
          <w:szCs w:val="22"/>
        </w:rPr>
        <w:t>Information for You:</w:t>
      </w:r>
    </w:p>
    <w:p w14:paraId="5D2A17F8" w14:textId="77777777" w:rsidR="001636FC" w:rsidRPr="00C6688B" w:rsidRDefault="001636FC" w:rsidP="001636FC">
      <w:pPr>
        <w:pStyle w:val="NormaBullet"/>
      </w:pPr>
      <w:r>
        <w:t>Exploring patient engagement to ensure a digitally empowered population</w:t>
      </w:r>
    </w:p>
    <w:p w14:paraId="32E67C3B" w14:textId="042D810D" w:rsidR="001636FC" w:rsidRDefault="001636FC" w:rsidP="001636FC">
      <w:pPr>
        <w:pStyle w:val="NormaBullet"/>
      </w:pPr>
      <w:r>
        <w:t xml:space="preserve">Bi directional communication with the patient so they can </w:t>
      </w:r>
      <w:r w:rsidRPr="0056733A">
        <w:t>contribute to and share information about their health and care</w:t>
      </w:r>
      <w:r>
        <w:t xml:space="preserve"> manage appointments and communication</w:t>
      </w:r>
    </w:p>
    <w:p w14:paraId="4F38C165" w14:textId="77777777" w:rsidR="001636FC" w:rsidRDefault="001636FC" w:rsidP="001636FC">
      <w:pPr>
        <w:pStyle w:val="NormaBullet"/>
      </w:pPr>
      <w:r>
        <w:t xml:space="preserve">Value based healthcare encouraging the use of PROMs and PREMs </w:t>
      </w:r>
    </w:p>
    <w:p w14:paraId="4F6010FD" w14:textId="77777777" w:rsidR="001636FC" w:rsidRPr="003467A6" w:rsidRDefault="001636FC" w:rsidP="001636FC">
      <w:pPr>
        <w:pStyle w:val="NormaBullet"/>
      </w:pPr>
      <w:r w:rsidRPr="003467A6">
        <w:t>Tailor hospital communication to people based on their needs and requirements by recording and making available relevant information</w:t>
      </w:r>
    </w:p>
    <w:p w14:paraId="337896D3" w14:textId="77777777" w:rsidR="001636FC" w:rsidRPr="003467A6" w:rsidRDefault="001636FC" w:rsidP="001636FC">
      <w:pPr>
        <w:pStyle w:val="NormaBullet"/>
      </w:pPr>
      <w:r w:rsidRPr="003467A6">
        <w:t>Improve access and reduce cost of translation services by making the most of digital applications</w:t>
      </w:r>
    </w:p>
    <w:p w14:paraId="343ED91F" w14:textId="77777777" w:rsidR="001636FC" w:rsidRPr="003467A6" w:rsidRDefault="001636FC" w:rsidP="001636FC">
      <w:pPr>
        <w:pStyle w:val="NormaBullet"/>
      </w:pPr>
      <w:r w:rsidRPr="003467A6">
        <w:t>Extend the availability of freely available Wi-Fi across NHS sites as part of a wider co-ordinated approach</w:t>
      </w:r>
    </w:p>
    <w:p w14:paraId="6A1C4424" w14:textId="77777777" w:rsidR="001636FC" w:rsidRPr="003467A6" w:rsidRDefault="001636FC" w:rsidP="001636FC">
      <w:pPr>
        <w:pStyle w:val="NormaBullet"/>
      </w:pPr>
      <w:r w:rsidRPr="003467A6">
        <w:t>Provide guidance and support to our patients to promote their use and benefit from  digital services</w:t>
      </w:r>
    </w:p>
    <w:p w14:paraId="596EF6AA" w14:textId="77777777" w:rsidR="001636FC" w:rsidRPr="0056733A" w:rsidRDefault="001636FC" w:rsidP="001636FC">
      <w:pPr>
        <w:rPr>
          <w:rFonts w:asciiTheme="minorHAnsi" w:hAnsiTheme="minorHAnsi"/>
          <w:szCs w:val="22"/>
        </w:rPr>
      </w:pPr>
    </w:p>
    <w:p w14:paraId="10F9AC94" w14:textId="77777777" w:rsidR="001636FC" w:rsidRPr="003467A6" w:rsidRDefault="001636FC" w:rsidP="001636FC">
      <w:pPr>
        <w:rPr>
          <w:rFonts w:asciiTheme="minorHAnsi" w:hAnsiTheme="minorHAnsi"/>
          <w:b/>
          <w:szCs w:val="22"/>
        </w:rPr>
      </w:pPr>
      <w:r w:rsidRPr="003467A6">
        <w:rPr>
          <w:rFonts w:asciiTheme="minorHAnsi" w:hAnsiTheme="minorHAnsi"/>
          <w:b/>
          <w:szCs w:val="22"/>
        </w:rPr>
        <w:t xml:space="preserve">Supporting the Professional: </w:t>
      </w:r>
    </w:p>
    <w:p w14:paraId="555E74EB" w14:textId="77777777" w:rsidR="001636FC" w:rsidRPr="00633121"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Establish an Integrated digital health &amp; care record</w:t>
      </w:r>
    </w:p>
    <w:p w14:paraId="23B83C55" w14:textId="77777777" w:rsidR="001636FC" w:rsidRPr="00633121" w:rsidRDefault="001636FC" w:rsidP="00F60A35">
      <w:pPr>
        <w:pStyle w:val="NormaBullet"/>
        <w:numPr>
          <w:ilvl w:val="1"/>
          <w:numId w:val="72"/>
        </w:numPr>
      </w:pPr>
      <w:r w:rsidRPr="00633121">
        <w:t>Continuing the Deployment of Digital Medical Records, best of breed systems and intelligent applications all built to standards.</w:t>
      </w:r>
    </w:p>
    <w:p w14:paraId="6DEF3E00" w14:textId="77777777" w:rsidR="001636FC" w:rsidRPr="00633121" w:rsidRDefault="001636FC" w:rsidP="00F60A35">
      <w:pPr>
        <w:pStyle w:val="NormaBullet"/>
        <w:numPr>
          <w:ilvl w:val="1"/>
          <w:numId w:val="72"/>
        </w:numPr>
      </w:pPr>
      <w:r w:rsidRPr="00633121">
        <w:t>Continue to work with other HBs to establish a strategic and tactical approach for digitising the patient record where it is considered valuable to do so.</w:t>
      </w:r>
    </w:p>
    <w:p w14:paraId="0E2A7DE3" w14:textId="21DF8DAE" w:rsidR="001636FC" w:rsidRPr="00633121"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 xml:space="preserve">Maximise the benefits to be gained from existing systems by widening use of the systems, increasing the uptake of the functionality within them and putting the appropriate governance and control structures in place for the data to be accessible across all NHS Wales systems </w:t>
      </w:r>
    </w:p>
    <w:p w14:paraId="0F2C38EC" w14:textId="772324E7" w:rsidR="001636FC" w:rsidRPr="00633121"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 xml:space="preserve">Deployment of the Welsh </w:t>
      </w:r>
      <w:r w:rsidR="00880EE0">
        <w:rPr>
          <w:rFonts w:asciiTheme="minorHAnsi" w:hAnsiTheme="minorHAnsi"/>
          <w:bCs/>
          <w:szCs w:val="22"/>
        </w:rPr>
        <w:t>ED</w:t>
      </w:r>
      <w:r w:rsidRPr="00633121">
        <w:rPr>
          <w:rFonts w:asciiTheme="minorHAnsi" w:hAnsiTheme="minorHAnsi"/>
          <w:bCs/>
          <w:szCs w:val="22"/>
        </w:rPr>
        <w:t xml:space="preserve"> System </w:t>
      </w:r>
      <w:r w:rsidR="005A3845">
        <w:rPr>
          <w:rFonts w:asciiTheme="minorHAnsi" w:hAnsiTheme="minorHAnsi"/>
          <w:bCs/>
          <w:szCs w:val="22"/>
        </w:rPr>
        <w:t xml:space="preserve">(WEDS) </w:t>
      </w:r>
      <w:r w:rsidRPr="00633121">
        <w:rPr>
          <w:rFonts w:asciiTheme="minorHAnsi" w:hAnsiTheme="minorHAnsi"/>
          <w:bCs/>
          <w:szCs w:val="22"/>
        </w:rPr>
        <w:t>as an enabler to improving the unscheduled care system</w:t>
      </w:r>
    </w:p>
    <w:p w14:paraId="2E9065D7" w14:textId="77777777" w:rsidR="001636FC" w:rsidRPr="00633121"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Facilitate delivery of the expected organisational benefits from the integration of Bridgend &amp; Cwm Taf to be realised by overcoming the numerous technical challenges in regards to digital and information systems, architecture and services.</w:t>
      </w:r>
    </w:p>
    <w:p w14:paraId="749FB41B" w14:textId="77777777" w:rsidR="001636FC"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Enable health and social care to undertake joint decision making and provide joined-up care, benefiting everyone who receives health services, care and support</w:t>
      </w:r>
    </w:p>
    <w:p w14:paraId="2DCD6932" w14:textId="77777777" w:rsidR="001636FC" w:rsidRPr="00633121" w:rsidRDefault="001636FC" w:rsidP="001636FC">
      <w:pPr>
        <w:pStyle w:val="ListParagraph"/>
        <w:ind w:left="360"/>
        <w:rPr>
          <w:rFonts w:asciiTheme="minorHAnsi" w:hAnsiTheme="minorHAnsi"/>
          <w:bCs/>
          <w:szCs w:val="22"/>
        </w:rPr>
      </w:pPr>
    </w:p>
    <w:p w14:paraId="3C496088" w14:textId="77777777" w:rsidR="001636FC" w:rsidRPr="003467A6" w:rsidRDefault="001636FC" w:rsidP="001636FC">
      <w:pPr>
        <w:rPr>
          <w:rFonts w:asciiTheme="minorHAnsi" w:hAnsiTheme="minorHAnsi"/>
          <w:b/>
          <w:szCs w:val="22"/>
        </w:rPr>
      </w:pPr>
      <w:r w:rsidRPr="003467A6">
        <w:rPr>
          <w:rFonts w:asciiTheme="minorHAnsi" w:hAnsiTheme="minorHAnsi"/>
          <w:b/>
          <w:szCs w:val="22"/>
        </w:rPr>
        <w:t>Improvement &amp; Innovation:</w:t>
      </w:r>
    </w:p>
    <w:p w14:paraId="6609122D" w14:textId="77777777" w:rsidR="001636FC" w:rsidRPr="00633121" w:rsidRDefault="001636FC" w:rsidP="001636FC">
      <w:pPr>
        <w:rPr>
          <w:rFonts w:asciiTheme="minorHAnsi" w:hAnsiTheme="minorHAnsi"/>
          <w:bCs/>
          <w:szCs w:val="22"/>
        </w:rPr>
      </w:pPr>
      <w:r w:rsidRPr="00633121">
        <w:rPr>
          <w:rFonts w:asciiTheme="minorHAnsi" w:hAnsiTheme="minorHAnsi"/>
          <w:bCs/>
          <w:szCs w:val="22"/>
        </w:rPr>
        <w:t>Data to Knowledge</w:t>
      </w:r>
    </w:p>
    <w:p w14:paraId="050B4136" w14:textId="456B5FFF" w:rsidR="001636FC" w:rsidRPr="00633121"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Provide safe and effective joint working be</w:t>
      </w:r>
      <w:r w:rsidR="00962B16">
        <w:rPr>
          <w:rFonts w:asciiTheme="minorHAnsi" w:hAnsiTheme="minorHAnsi"/>
          <w:bCs/>
          <w:szCs w:val="22"/>
        </w:rPr>
        <w:t xml:space="preserve">tween different organisations and </w:t>
      </w:r>
      <w:r w:rsidRPr="00633121">
        <w:rPr>
          <w:rFonts w:asciiTheme="minorHAnsi" w:hAnsiTheme="minorHAnsi"/>
          <w:bCs/>
          <w:szCs w:val="22"/>
        </w:rPr>
        <w:t xml:space="preserve">with citizens directly, establishing frameworks and the architecture which enable timely data </w:t>
      </w:r>
      <w:r w:rsidR="00E30B7D" w:rsidRPr="00633121">
        <w:rPr>
          <w:rFonts w:asciiTheme="minorHAnsi" w:hAnsiTheme="minorHAnsi"/>
          <w:bCs/>
          <w:szCs w:val="22"/>
        </w:rPr>
        <w:t>sharing.</w:t>
      </w:r>
      <w:r w:rsidRPr="00633121">
        <w:rPr>
          <w:rFonts w:asciiTheme="minorHAnsi" w:hAnsiTheme="minorHAnsi"/>
          <w:bCs/>
          <w:szCs w:val="22"/>
        </w:rPr>
        <w:t xml:space="preserve">  As part of the federated NDR/CDR programme, during 2020/21, </w:t>
      </w:r>
      <w:r w:rsidR="00282916">
        <w:rPr>
          <w:rFonts w:asciiTheme="minorHAnsi" w:hAnsiTheme="minorHAnsi"/>
          <w:bCs/>
          <w:szCs w:val="22"/>
        </w:rPr>
        <w:t xml:space="preserve">the </w:t>
      </w:r>
      <w:r w:rsidR="00962B16">
        <w:rPr>
          <w:rFonts w:asciiTheme="minorHAnsi" w:hAnsiTheme="minorHAnsi"/>
          <w:bCs/>
          <w:szCs w:val="22"/>
        </w:rPr>
        <w:t xml:space="preserve">UHB </w:t>
      </w:r>
      <w:r w:rsidRPr="00633121">
        <w:rPr>
          <w:rFonts w:asciiTheme="minorHAnsi" w:hAnsiTheme="minorHAnsi"/>
          <w:bCs/>
          <w:szCs w:val="22"/>
        </w:rPr>
        <w:t>will seek to enable the sharing and wider clinical use of the data stored in GP, Community, Mental Health, EU, Outpatient, Theatre &amp; Maternity information systems</w:t>
      </w:r>
    </w:p>
    <w:p w14:paraId="1BD16792" w14:textId="77777777" w:rsidR="001636FC" w:rsidRPr="00633121"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Enable our patients and residents to benefit from the availability of their: cancer, test results, community &amp; GP data recorded from across Wales (&amp; potentially England)</w:t>
      </w:r>
    </w:p>
    <w:p w14:paraId="4B7F134C" w14:textId="77777777" w:rsidR="001636FC" w:rsidRPr="00633121"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 xml:space="preserve">Improving national decision making &amp; from national analysis by sharing the extended information in our warehouse with the NDR </w:t>
      </w:r>
    </w:p>
    <w:p w14:paraId="65141A7B" w14:textId="77777777" w:rsidR="001636FC" w:rsidRPr="00633121"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Assist clinicians at every level to make better decisions &amp; deliver better outcomes</w:t>
      </w:r>
    </w:p>
    <w:p w14:paraId="4F48D2A6" w14:textId="77777777" w:rsidR="001636FC" w:rsidRPr="00633121" w:rsidRDefault="001636FC" w:rsidP="00F60A35">
      <w:pPr>
        <w:pStyle w:val="ListParagraph"/>
        <w:numPr>
          <w:ilvl w:val="0"/>
          <w:numId w:val="71"/>
        </w:numPr>
        <w:rPr>
          <w:rFonts w:asciiTheme="minorHAnsi" w:hAnsiTheme="minorHAnsi"/>
          <w:bCs/>
          <w:szCs w:val="22"/>
        </w:rPr>
      </w:pPr>
      <w:r w:rsidRPr="00633121">
        <w:rPr>
          <w:rFonts w:asciiTheme="minorHAnsi" w:hAnsiTheme="minorHAnsi"/>
          <w:bCs/>
          <w:szCs w:val="22"/>
        </w:rPr>
        <w:t>Improve the understanding and management of how services work together &amp; demand for those services</w:t>
      </w:r>
    </w:p>
    <w:p w14:paraId="37C60EB6" w14:textId="77777777" w:rsidR="001636FC" w:rsidRPr="0056733A" w:rsidRDefault="001636FC" w:rsidP="001636FC">
      <w:pPr>
        <w:rPr>
          <w:rFonts w:asciiTheme="minorHAnsi" w:hAnsiTheme="minorHAnsi"/>
          <w:szCs w:val="22"/>
        </w:rPr>
      </w:pPr>
    </w:p>
    <w:p w14:paraId="442F1EE1" w14:textId="77777777" w:rsidR="001636FC" w:rsidRPr="00D11076" w:rsidRDefault="001636FC" w:rsidP="001636FC">
      <w:pPr>
        <w:pStyle w:val="NormaBullet"/>
        <w:numPr>
          <w:ilvl w:val="0"/>
          <w:numId w:val="0"/>
        </w:numPr>
        <w:ind w:left="360" w:hanging="360"/>
        <w:rPr>
          <w:b/>
          <w:szCs w:val="22"/>
        </w:rPr>
      </w:pPr>
      <w:r w:rsidRPr="00D11076">
        <w:rPr>
          <w:b/>
          <w:szCs w:val="22"/>
        </w:rPr>
        <w:t>Bridgend Boundary Change</w:t>
      </w:r>
    </w:p>
    <w:p w14:paraId="5EC07182" w14:textId="56BBCB0C" w:rsidR="001636FC" w:rsidRDefault="001636FC" w:rsidP="001636FC">
      <w:pPr>
        <w:rPr>
          <w:rFonts w:asciiTheme="minorHAnsi" w:hAnsiTheme="minorHAnsi"/>
          <w:szCs w:val="22"/>
        </w:rPr>
      </w:pPr>
      <w:r w:rsidRPr="00D11076">
        <w:rPr>
          <w:rFonts w:asciiTheme="minorHAnsi" w:hAnsiTheme="minorHAnsi"/>
          <w:szCs w:val="22"/>
        </w:rPr>
        <w:t xml:space="preserve">The boundary change has </w:t>
      </w:r>
      <w:r w:rsidR="00837113">
        <w:rPr>
          <w:rFonts w:asciiTheme="minorHAnsi" w:hAnsiTheme="minorHAnsi"/>
          <w:szCs w:val="22"/>
        </w:rPr>
        <w:t xml:space="preserve">had </w:t>
      </w:r>
      <w:r w:rsidRPr="00D11076">
        <w:rPr>
          <w:rFonts w:asciiTheme="minorHAnsi" w:hAnsiTheme="minorHAnsi"/>
          <w:szCs w:val="22"/>
        </w:rPr>
        <w:t xml:space="preserve">profound implications for ICT.  Over the years, </w:t>
      </w:r>
      <w:r w:rsidR="00962B16">
        <w:rPr>
          <w:rFonts w:asciiTheme="minorHAnsi" w:hAnsiTheme="minorHAnsi"/>
          <w:szCs w:val="22"/>
        </w:rPr>
        <w:t>ABMUHB</w:t>
      </w:r>
      <w:r w:rsidR="005A3845">
        <w:rPr>
          <w:rFonts w:asciiTheme="minorHAnsi" w:hAnsiTheme="minorHAnsi"/>
          <w:szCs w:val="22"/>
        </w:rPr>
        <w:t xml:space="preserve"> </w:t>
      </w:r>
      <w:r w:rsidRPr="00D11076">
        <w:rPr>
          <w:rFonts w:asciiTheme="minorHAnsi" w:hAnsiTheme="minorHAnsi"/>
          <w:szCs w:val="22"/>
        </w:rPr>
        <w:t xml:space="preserve">built an enterprise ICT solution of which Bridgend is an integral part.  </w:t>
      </w:r>
      <w:r w:rsidR="00411B9E">
        <w:rPr>
          <w:rFonts w:asciiTheme="minorHAnsi" w:hAnsiTheme="minorHAnsi"/>
          <w:szCs w:val="22"/>
        </w:rPr>
        <w:t xml:space="preserve">In order for </w:t>
      </w:r>
      <w:r w:rsidR="00282916">
        <w:rPr>
          <w:rFonts w:asciiTheme="minorHAnsi" w:hAnsiTheme="minorHAnsi"/>
          <w:szCs w:val="22"/>
        </w:rPr>
        <w:t xml:space="preserve">the </w:t>
      </w:r>
      <w:r w:rsidR="00962B16">
        <w:rPr>
          <w:rFonts w:asciiTheme="minorHAnsi" w:hAnsiTheme="minorHAnsi"/>
          <w:szCs w:val="22"/>
        </w:rPr>
        <w:t xml:space="preserve">UHB </w:t>
      </w:r>
      <w:r>
        <w:rPr>
          <w:rFonts w:asciiTheme="minorHAnsi" w:hAnsiTheme="minorHAnsi"/>
          <w:szCs w:val="22"/>
        </w:rPr>
        <w:t xml:space="preserve">to realise the strategic benefits of the </w:t>
      </w:r>
      <w:r>
        <w:rPr>
          <w:rFonts w:asciiTheme="minorHAnsi" w:hAnsiTheme="minorHAnsi"/>
          <w:szCs w:val="22"/>
        </w:rPr>
        <w:lastRenderedPageBreak/>
        <w:t xml:space="preserve">organisational reconfiguration, whilst continuing to maintain patient safety, </w:t>
      </w:r>
      <w:r w:rsidR="00837113">
        <w:rPr>
          <w:rFonts w:asciiTheme="minorHAnsi" w:hAnsiTheme="minorHAnsi"/>
          <w:szCs w:val="22"/>
        </w:rPr>
        <w:t xml:space="preserve">we are working  to bring together </w:t>
      </w:r>
      <w:r>
        <w:rPr>
          <w:rFonts w:asciiTheme="minorHAnsi" w:hAnsiTheme="minorHAnsi"/>
          <w:szCs w:val="22"/>
        </w:rPr>
        <w:t xml:space="preserve"> the data and elements of the infrastructure and applications for RCT, Bridgend and Merthyr (</w:t>
      </w:r>
      <w:r w:rsidR="00E30B7D">
        <w:rPr>
          <w:rFonts w:asciiTheme="minorHAnsi" w:hAnsiTheme="minorHAnsi"/>
          <w:szCs w:val="22"/>
        </w:rPr>
        <w:t>i.e.</w:t>
      </w:r>
      <w:r>
        <w:rPr>
          <w:rFonts w:asciiTheme="minorHAnsi" w:hAnsiTheme="minorHAnsi"/>
          <w:szCs w:val="22"/>
        </w:rPr>
        <w:t xml:space="preserve"> live data sharing) and </w:t>
      </w:r>
      <w:r w:rsidR="00837113">
        <w:rPr>
          <w:rFonts w:asciiTheme="minorHAnsi" w:hAnsiTheme="minorHAnsi"/>
          <w:szCs w:val="22"/>
        </w:rPr>
        <w:t xml:space="preserve"> to address </w:t>
      </w:r>
      <w:r>
        <w:rPr>
          <w:rFonts w:asciiTheme="minorHAnsi" w:hAnsiTheme="minorHAnsi"/>
          <w:szCs w:val="22"/>
        </w:rPr>
        <w:t>unwarranted variat</w:t>
      </w:r>
      <w:r w:rsidR="005A3845">
        <w:rPr>
          <w:rFonts w:asciiTheme="minorHAnsi" w:hAnsiTheme="minorHAnsi"/>
          <w:szCs w:val="22"/>
        </w:rPr>
        <w:t>ion and costs .</w:t>
      </w:r>
    </w:p>
    <w:p w14:paraId="17CF64EA" w14:textId="77777777" w:rsidR="001636FC" w:rsidRDefault="001636FC" w:rsidP="001636FC">
      <w:pPr>
        <w:rPr>
          <w:rFonts w:asciiTheme="minorHAnsi" w:hAnsiTheme="minorHAnsi"/>
          <w:szCs w:val="22"/>
        </w:rPr>
      </w:pPr>
    </w:p>
    <w:p w14:paraId="0A5F32F0" w14:textId="7BC8DABE" w:rsidR="001636FC" w:rsidRPr="00BA4A29" w:rsidRDefault="001636FC" w:rsidP="001636FC">
      <w:pPr>
        <w:rPr>
          <w:rFonts w:asciiTheme="minorHAnsi" w:hAnsiTheme="minorHAnsi"/>
          <w:szCs w:val="22"/>
        </w:rPr>
      </w:pPr>
      <w:r>
        <w:rPr>
          <w:rFonts w:asciiTheme="minorHAnsi" w:hAnsiTheme="minorHAnsi"/>
          <w:szCs w:val="22"/>
        </w:rPr>
        <w:t xml:space="preserve">In doing so it is apparent that delivery of the wider IMTP requires the up-levelling of the functionality and performance of the digital and informatics enterprise across the whole </w:t>
      </w:r>
      <w:r w:rsidR="00962B16">
        <w:rPr>
          <w:rFonts w:asciiTheme="minorHAnsi" w:hAnsiTheme="minorHAnsi"/>
          <w:szCs w:val="22"/>
        </w:rPr>
        <w:t>U</w:t>
      </w:r>
      <w:r>
        <w:rPr>
          <w:rFonts w:asciiTheme="minorHAnsi" w:hAnsiTheme="minorHAnsi"/>
          <w:szCs w:val="22"/>
        </w:rPr>
        <w:t xml:space="preserve">HB and the adoption of </w:t>
      </w:r>
      <w:r w:rsidRPr="00633121">
        <w:rPr>
          <w:rFonts w:asciiTheme="minorHAnsi" w:hAnsiTheme="minorHAnsi"/>
          <w:szCs w:val="22"/>
        </w:rPr>
        <w:t>common</w:t>
      </w:r>
      <w:r w:rsidRPr="00633121">
        <w:t xml:space="preserve"> standards supporting the work of the regional partnership board and the South and South East Clinical Networks.</w:t>
      </w:r>
    </w:p>
    <w:p w14:paraId="0131D112" w14:textId="77777777" w:rsidR="001636FC" w:rsidRDefault="001636FC" w:rsidP="001636FC">
      <w:pPr>
        <w:rPr>
          <w:rFonts w:asciiTheme="minorHAnsi" w:hAnsiTheme="minorHAnsi"/>
          <w:szCs w:val="22"/>
        </w:rPr>
      </w:pPr>
    </w:p>
    <w:p w14:paraId="6F2E55A2" w14:textId="50328EC6" w:rsidR="001636FC" w:rsidRPr="00D11076" w:rsidRDefault="001636FC" w:rsidP="001636FC">
      <w:pPr>
        <w:rPr>
          <w:rFonts w:asciiTheme="minorHAnsi" w:hAnsiTheme="minorHAnsi"/>
          <w:szCs w:val="22"/>
        </w:rPr>
      </w:pPr>
      <w:r>
        <w:rPr>
          <w:rFonts w:asciiTheme="minorHAnsi" w:hAnsiTheme="minorHAnsi"/>
          <w:szCs w:val="22"/>
        </w:rPr>
        <w:t xml:space="preserve">Having undertaken a costed appraisal of the options in 2019/20, the </w:t>
      </w:r>
      <w:r w:rsidR="00962B16">
        <w:rPr>
          <w:rFonts w:asciiTheme="minorHAnsi" w:hAnsiTheme="minorHAnsi"/>
          <w:szCs w:val="22"/>
        </w:rPr>
        <w:t>U</w:t>
      </w:r>
      <w:r>
        <w:rPr>
          <w:rFonts w:asciiTheme="minorHAnsi" w:hAnsiTheme="minorHAnsi"/>
          <w:szCs w:val="22"/>
        </w:rPr>
        <w:t>HB will accelerate delivery of the digital programme in 2020/21 subject to support for digital transform</w:t>
      </w:r>
      <w:r w:rsidR="00962B16">
        <w:rPr>
          <w:rFonts w:asciiTheme="minorHAnsi" w:hAnsiTheme="minorHAnsi"/>
          <w:szCs w:val="22"/>
        </w:rPr>
        <w:t>ation being forthcoming from WG.</w:t>
      </w:r>
    </w:p>
    <w:p w14:paraId="5F982D99" w14:textId="77777777" w:rsidR="001636FC" w:rsidRPr="00D11076" w:rsidRDefault="001636FC" w:rsidP="005A3845">
      <w:pPr>
        <w:rPr>
          <w:rFonts w:asciiTheme="minorHAnsi" w:hAnsiTheme="minorHAnsi"/>
          <w:szCs w:val="22"/>
        </w:rPr>
      </w:pPr>
    </w:p>
    <w:p w14:paraId="6C1A34CD" w14:textId="77777777" w:rsidR="001636FC" w:rsidRPr="00D11076" w:rsidRDefault="001636FC" w:rsidP="001636FC">
      <w:pPr>
        <w:pStyle w:val="NormaBullet"/>
        <w:numPr>
          <w:ilvl w:val="0"/>
          <w:numId w:val="0"/>
        </w:numPr>
        <w:ind w:left="360" w:hanging="360"/>
        <w:rPr>
          <w:b/>
          <w:szCs w:val="22"/>
        </w:rPr>
      </w:pPr>
      <w:r w:rsidRPr="00D11076">
        <w:rPr>
          <w:b/>
          <w:szCs w:val="22"/>
        </w:rPr>
        <w:t>Maximising Existing Assets</w:t>
      </w:r>
    </w:p>
    <w:p w14:paraId="44687DBB" w14:textId="39BD3CE0" w:rsidR="001636FC" w:rsidRPr="00D11076" w:rsidRDefault="001636FC" w:rsidP="001636FC">
      <w:pPr>
        <w:rPr>
          <w:rFonts w:asciiTheme="minorHAnsi" w:hAnsiTheme="minorHAnsi"/>
          <w:szCs w:val="22"/>
        </w:rPr>
      </w:pPr>
      <w:r>
        <w:rPr>
          <w:rFonts w:asciiTheme="minorHAnsi" w:hAnsiTheme="minorHAnsi"/>
          <w:szCs w:val="22"/>
        </w:rPr>
        <w:t xml:space="preserve">The </w:t>
      </w:r>
      <w:r w:rsidR="00962B16">
        <w:rPr>
          <w:rFonts w:asciiTheme="minorHAnsi" w:hAnsiTheme="minorHAnsi"/>
          <w:szCs w:val="22"/>
        </w:rPr>
        <w:t xml:space="preserve">UHB </w:t>
      </w:r>
      <w:r w:rsidRPr="00D11076">
        <w:rPr>
          <w:rFonts w:asciiTheme="minorHAnsi" w:hAnsiTheme="minorHAnsi"/>
          <w:szCs w:val="22"/>
        </w:rPr>
        <w:t xml:space="preserve">will </w:t>
      </w:r>
      <w:r>
        <w:rPr>
          <w:rFonts w:asciiTheme="minorHAnsi" w:hAnsiTheme="minorHAnsi"/>
          <w:szCs w:val="22"/>
        </w:rPr>
        <w:t xml:space="preserve">be </w:t>
      </w:r>
      <w:r w:rsidRPr="00D11076">
        <w:rPr>
          <w:rFonts w:asciiTheme="minorHAnsi" w:hAnsiTheme="minorHAnsi"/>
          <w:szCs w:val="22"/>
        </w:rPr>
        <w:t>seek</w:t>
      </w:r>
      <w:r>
        <w:rPr>
          <w:rFonts w:asciiTheme="minorHAnsi" w:hAnsiTheme="minorHAnsi"/>
          <w:szCs w:val="22"/>
        </w:rPr>
        <w:t>ing</w:t>
      </w:r>
      <w:r w:rsidRPr="00D11076">
        <w:rPr>
          <w:rFonts w:asciiTheme="minorHAnsi" w:hAnsiTheme="minorHAnsi"/>
          <w:szCs w:val="22"/>
        </w:rPr>
        <w:t xml:space="preserve"> to make the best use of existing solutions</w:t>
      </w:r>
      <w:r>
        <w:rPr>
          <w:rFonts w:asciiTheme="minorHAnsi" w:hAnsiTheme="minorHAnsi"/>
          <w:szCs w:val="22"/>
        </w:rPr>
        <w:t xml:space="preserve"> already available to the NHS and care sector in Wales.  Our tactical approach includes adopting more solutions already in use across NHS Wales (agnostic of supplier), </w:t>
      </w:r>
      <w:r>
        <w:t xml:space="preserve">widening use of systems already in use in areas of the </w:t>
      </w:r>
      <w:r w:rsidR="00962B16">
        <w:t>UHB</w:t>
      </w:r>
      <w:r>
        <w:t>, increasing the uptake of the functionality within these systems and putting the appropriate governance and control structures in place for the data to be accessible across all NHS Wales systems (e.g. opening up the data and taking advantage of the open architecture in place.</w:t>
      </w:r>
      <w:r w:rsidRPr="00D11076">
        <w:rPr>
          <w:rFonts w:asciiTheme="minorHAnsi" w:hAnsiTheme="minorHAnsi"/>
          <w:szCs w:val="22"/>
        </w:rPr>
        <w:t xml:space="preserve">  The following table indicates our objectives.</w:t>
      </w:r>
    </w:p>
    <w:p w14:paraId="77AC4014" w14:textId="77777777" w:rsidR="001636FC" w:rsidRDefault="001636FC" w:rsidP="001636FC">
      <w:pPr>
        <w:rPr>
          <w:rFonts w:asciiTheme="minorHAnsi" w:hAnsiTheme="minorHAnsi"/>
          <w:szCs w:val="22"/>
        </w:rPr>
      </w:pPr>
    </w:p>
    <w:p w14:paraId="2623349B" w14:textId="77777777" w:rsidR="001636FC" w:rsidRPr="00D11076" w:rsidRDefault="001636FC" w:rsidP="001636FC">
      <w:pPr>
        <w:pStyle w:val="Caption"/>
        <w:keepNext/>
        <w:spacing w:after="0"/>
        <w:rPr>
          <w:color w:val="auto"/>
          <w:sz w:val="22"/>
          <w:szCs w:val="22"/>
        </w:rPr>
      </w:pPr>
      <w:r w:rsidRPr="00D11076">
        <w:rPr>
          <w:color w:val="auto"/>
          <w:sz w:val="22"/>
          <w:szCs w:val="22"/>
        </w:rPr>
        <w:t xml:space="preserve">Table </w:t>
      </w:r>
      <w:r w:rsidRPr="00D11076">
        <w:rPr>
          <w:noProof/>
          <w:color w:val="auto"/>
          <w:sz w:val="22"/>
          <w:szCs w:val="22"/>
        </w:rPr>
        <w:fldChar w:fldCharType="begin"/>
      </w:r>
      <w:r w:rsidRPr="00D11076">
        <w:rPr>
          <w:noProof/>
          <w:color w:val="auto"/>
          <w:sz w:val="22"/>
          <w:szCs w:val="22"/>
        </w:rPr>
        <w:instrText xml:space="preserve"> SEQ Table \* ARABIC </w:instrText>
      </w:r>
      <w:r w:rsidRPr="00D11076">
        <w:rPr>
          <w:noProof/>
          <w:color w:val="auto"/>
          <w:sz w:val="22"/>
          <w:szCs w:val="22"/>
        </w:rPr>
        <w:fldChar w:fldCharType="separate"/>
      </w:r>
      <w:r w:rsidR="00264DE9">
        <w:rPr>
          <w:noProof/>
          <w:color w:val="auto"/>
          <w:sz w:val="22"/>
          <w:szCs w:val="22"/>
        </w:rPr>
        <w:t>1</w:t>
      </w:r>
      <w:r w:rsidRPr="00D11076">
        <w:rPr>
          <w:noProof/>
          <w:color w:val="auto"/>
          <w:sz w:val="22"/>
          <w:szCs w:val="22"/>
        </w:rPr>
        <w:fldChar w:fldCharType="end"/>
      </w:r>
      <w:r w:rsidRPr="00D11076">
        <w:rPr>
          <w:color w:val="auto"/>
          <w:sz w:val="22"/>
          <w:szCs w:val="22"/>
        </w:rPr>
        <w:t>: Maximising Available Assets</w:t>
      </w:r>
    </w:p>
    <w:tbl>
      <w:tblPr>
        <w:tblW w:w="1003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2410"/>
        <w:gridCol w:w="5641"/>
      </w:tblGrid>
      <w:tr w:rsidR="001636FC" w:rsidRPr="00D11076" w14:paraId="22230B92" w14:textId="77777777" w:rsidTr="00962B16">
        <w:trPr>
          <w:trHeight w:val="300"/>
          <w:tblHeader/>
        </w:trPr>
        <w:tc>
          <w:tcPr>
            <w:tcW w:w="1980" w:type="dxa"/>
            <w:shd w:val="clear" w:color="auto" w:fill="17365D" w:themeFill="text2" w:themeFillShade="BF"/>
            <w:noWrap/>
            <w:vAlign w:val="center"/>
            <w:hideMark/>
          </w:tcPr>
          <w:p w14:paraId="2FA5E32B" w14:textId="77777777" w:rsidR="001636FC" w:rsidRPr="00D11076" w:rsidRDefault="001636FC" w:rsidP="00BE4FAD">
            <w:pPr>
              <w:jc w:val="center"/>
              <w:rPr>
                <w:rFonts w:cs="Calibri"/>
                <w:b/>
                <w:bCs/>
                <w:color w:val="FFFFFF" w:themeColor="background1"/>
                <w:szCs w:val="22"/>
              </w:rPr>
            </w:pPr>
            <w:r w:rsidRPr="00D11076">
              <w:rPr>
                <w:rFonts w:cs="Calibri"/>
                <w:b/>
                <w:bCs/>
                <w:color w:val="FFFFFF" w:themeColor="background1"/>
                <w:szCs w:val="22"/>
              </w:rPr>
              <w:t>Solutions</w:t>
            </w:r>
          </w:p>
        </w:tc>
        <w:tc>
          <w:tcPr>
            <w:tcW w:w="2410" w:type="dxa"/>
            <w:shd w:val="clear" w:color="auto" w:fill="17365D" w:themeFill="text2" w:themeFillShade="BF"/>
            <w:noWrap/>
            <w:vAlign w:val="center"/>
            <w:hideMark/>
          </w:tcPr>
          <w:p w14:paraId="0A08BFB1" w14:textId="77777777" w:rsidR="001636FC" w:rsidRPr="00D11076" w:rsidRDefault="001636FC" w:rsidP="00BE4FAD">
            <w:pPr>
              <w:jc w:val="center"/>
              <w:rPr>
                <w:rFonts w:cs="Calibri"/>
                <w:b/>
                <w:bCs/>
                <w:color w:val="FFFFFF" w:themeColor="background1"/>
                <w:szCs w:val="22"/>
              </w:rPr>
            </w:pPr>
            <w:r w:rsidRPr="00D11076">
              <w:rPr>
                <w:rFonts w:cs="Calibri"/>
                <w:b/>
                <w:bCs/>
                <w:color w:val="FFFFFF" w:themeColor="background1"/>
                <w:szCs w:val="22"/>
              </w:rPr>
              <w:t>Description</w:t>
            </w:r>
          </w:p>
        </w:tc>
        <w:tc>
          <w:tcPr>
            <w:tcW w:w="5641" w:type="dxa"/>
            <w:shd w:val="clear" w:color="auto" w:fill="17365D" w:themeFill="text2" w:themeFillShade="BF"/>
            <w:noWrap/>
            <w:vAlign w:val="center"/>
            <w:hideMark/>
          </w:tcPr>
          <w:p w14:paraId="0CAE9F54" w14:textId="77777777" w:rsidR="001636FC" w:rsidRPr="00D11076" w:rsidRDefault="001636FC" w:rsidP="00BE4FAD">
            <w:pPr>
              <w:jc w:val="center"/>
              <w:rPr>
                <w:rFonts w:cs="Calibri"/>
                <w:b/>
                <w:bCs/>
                <w:color w:val="FFFFFF" w:themeColor="background1"/>
                <w:szCs w:val="22"/>
              </w:rPr>
            </w:pPr>
            <w:r>
              <w:rPr>
                <w:rFonts w:cs="Calibri"/>
                <w:b/>
                <w:bCs/>
                <w:color w:val="FFFFFF" w:themeColor="background1"/>
                <w:szCs w:val="22"/>
              </w:rPr>
              <w:t xml:space="preserve">Benefits of </w:t>
            </w:r>
            <w:r w:rsidRPr="00D11076">
              <w:rPr>
                <w:rFonts w:cs="Calibri"/>
                <w:b/>
                <w:bCs/>
                <w:color w:val="FFFFFF" w:themeColor="background1"/>
                <w:szCs w:val="22"/>
              </w:rPr>
              <w:t>Maximising the Asset</w:t>
            </w:r>
          </w:p>
        </w:tc>
      </w:tr>
      <w:tr w:rsidR="001636FC" w:rsidRPr="00D11076" w14:paraId="09FC2022" w14:textId="77777777" w:rsidTr="00962B16">
        <w:tc>
          <w:tcPr>
            <w:tcW w:w="1980" w:type="dxa"/>
            <w:shd w:val="clear" w:color="auto" w:fill="auto"/>
            <w:vAlign w:val="center"/>
            <w:hideMark/>
          </w:tcPr>
          <w:p w14:paraId="357FA067" w14:textId="77777777" w:rsidR="001636FC" w:rsidRPr="00D11076" w:rsidRDefault="001636FC" w:rsidP="00BE4FAD">
            <w:pPr>
              <w:rPr>
                <w:rFonts w:cs="Calibri"/>
                <w:color w:val="000000"/>
                <w:szCs w:val="22"/>
              </w:rPr>
            </w:pPr>
            <w:r w:rsidRPr="00D11076">
              <w:rPr>
                <w:rFonts w:cs="Calibri"/>
                <w:color w:val="000000"/>
                <w:szCs w:val="22"/>
              </w:rPr>
              <w:t>My Health Online</w:t>
            </w:r>
          </w:p>
        </w:tc>
        <w:tc>
          <w:tcPr>
            <w:tcW w:w="2410" w:type="dxa"/>
            <w:shd w:val="clear" w:color="auto" w:fill="auto"/>
            <w:vAlign w:val="center"/>
            <w:hideMark/>
          </w:tcPr>
          <w:p w14:paraId="7C396A61" w14:textId="77777777" w:rsidR="001636FC" w:rsidRPr="00D11076" w:rsidRDefault="001636FC" w:rsidP="00BE4FAD">
            <w:pPr>
              <w:rPr>
                <w:rFonts w:cs="Calibri"/>
                <w:color w:val="000000"/>
                <w:szCs w:val="22"/>
              </w:rPr>
            </w:pPr>
            <w:r w:rsidRPr="00D11076">
              <w:rPr>
                <w:rFonts w:cs="Calibri"/>
                <w:color w:val="000000"/>
                <w:szCs w:val="22"/>
              </w:rPr>
              <w:t>Allows patients to access their health records</w:t>
            </w:r>
          </w:p>
        </w:tc>
        <w:tc>
          <w:tcPr>
            <w:tcW w:w="5641" w:type="dxa"/>
            <w:shd w:val="clear" w:color="auto" w:fill="auto"/>
            <w:vAlign w:val="center"/>
            <w:hideMark/>
          </w:tcPr>
          <w:p w14:paraId="41B2F8B5" w14:textId="77777777" w:rsidR="001636FC" w:rsidRPr="00D11076" w:rsidRDefault="001636FC" w:rsidP="00BE4FAD">
            <w:pPr>
              <w:rPr>
                <w:rFonts w:cs="Calibri"/>
                <w:color w:val="000000"/>
                <w:szCs w:val="22"/>
              </w:rPr>
            </w:pPr>
            <w:r w:rsidRPr="00D11076">
              <w:rPr>
                <w:rFonts w:cs="Calibri"/>
                <w:color w:val="000000"/>
                <w:szCs w:val="22"/>
              </w:rPr>
              <w:t>Increased capability from Q1, opportunities to interact electronically with patients with wider scope</w:t>
            </w:r>
          </w:p>
        </w:tc>
      </w:tr>
      <w:tr w:rsidR="001636FC" w:rsidRPr="00D11076" w14:paraId="77160986" w14:textId="77777777" w:rsidTr="00962B16">
        <w:tc>
          <w:tcPr>
            <w:tcW w:w="1980" w:type="dxa"/>
            <w:shd w:val="clear" w:color="auto" w:fill="auto"/>
            <w:vAlign w:val="center"/>
            <w:hideMark/>
          </w:tcPr>
          <w:p w14:paraId="28696CCE" w14:textId="77777777" w:rsidR="001636FC" w:rsidRPr="00D11076" w:rsidRDefault="001636FC" w:rsidP="00BE4FAD">
            <w:pPr>
              <w:rPr>
                <w:rFonts w:cs="Calibri"/>
                <w:color w:val="000000"/>
                <w:szCs w:val="22"/>
              </w:rPr>
            </w:pPr>
            <w:r w:rsidRPr="00D11076">
              <w:rPr>
                <w:rFonts w:cs="Calibri"/>
                <w:color w:val="000000"/>
                <w:szCs w:val="22"/>
              </w:rPr>
              <w:t>PROMS and PREMS</w:t>
            </w:r>
          </w:p>
        </w:tc>
        <w:tc>
          <w:tcPr>
            <w:tcW w:w="2410" w:type="dxa"/>
            <w:shd w:val="clear" w:color="auto" w:fill="auto"/>
            <w:vAlign w:val="center"/>
            <w:hideMark/>
          </w:tcPr>
          <w:p w14:paraId="6F7FD401" w14:textId="77777777" w:rsidR="001636FC" w:rsidRPr="00D11076" w:rsidRDefault="001636FC" w:rsidP="00BE4FAD">
            <w:pPr>
              <w:rPr>
                <w:rFonts w:cs="Calibri"/>
                <w:color w:val="000000"/>
                <w:szCs w:val="22"/>
              </w:rPr>
            </w:pPr>
            <w:r w:rsidRPr="00D11076">
              <w:rPr>
                <w:rFonts w:cs="Calibri"/>
                <w:color w:val="000000"/>
                <w:szCs w:val="22"/>
              </w:rPr>
              <w:t>Patient feedback on clinical services</w:t>
            </w:r>
          </w:p>
        </w:tc>
        <w:tc>
          <w:tcPr>
            <w:tcW w:w="5641" w:type="dxa"/>
            <w:shd w:val="clear" w:color="auto" w:fill="auto"/>
            <w:vAlign w:val="center"/>
            <w:hideMark/>
          </w:tcPr>
          <w:p w14:paraId="15F51AE9" w14:textId="77777777" w:rsidR="001636FC" w:rsidRPr="00D11076" w:rsidRDefault="001636FC" w:rsidP="00BE4FAD">
            <w:pPr>
              <w:rPr>
                <w:rFonts w:cs="Calibri"/>
                <w:color w:val="000000"/>
                <w:szCs w:val="22"/>
              </w:rPr>
            </w:pPr>
            <w:r w:rsidRPr="00D11076">
              <w:rPr>
                <w:rFonts w:cs="Calibri"/>
                <w:color w:val="000000"/>
                <w:szCs w:val="22"/>
              </w:rPr>
              <w:t>Health Board has much lower take up of the service than neighbouring Health Boards.  Opportunity to improve care.</w:t>
            </w:r>
          </w:p>
        </w:tc>
      </w:tr>
      <w:tr w:rsidR="001636FC" w:rsidRPr="00D11076" w14:paraId="4A76BC51" w14:textId="77777777" w:rsidTr="00962B16">
        <w:tc>
          <w:tcPr>
            <w:tcW w:w="1980" w:type="dxa"/>
            <w:shd w:val="clear" w:color="auto" w:fill="auto"/>
            <w:vAlign w:val="center"/>
            <w:hideMark/>
          </w:tcPr>
          <w:p w14:paraId="23785251" w14:textId="77777777" w:rsidR="001636FC" w:rsidRPr="00D11076" w:rsidRDefault="001636FC" w:rsidP="00BE4FAD">
            <w:pPr>
              <w:rPr>
                <w:rFonts w:cs="Calibri"/>
                <w:color w:val="000000"/>
                <w:szCs w:val="22"/>
              </w:rPr>
            </w:pPr>
            <w:r w:rsidRPr="00D11076">
              <w:rPr>
                <w:rFonts w:cs="Calibri"/>
                <w:color w:val="000000"/>
                <w:szCs w:val="22"/>
              </w:rPr>
              <w:t>GP Test Requesting</w:t>
            </w:r>
          </w:p>
        </w:tc>
        <w:tc>
          <w:tcPr>
            <w:tcW w:w="2410" w:type="dxa"/>
            <w:shd w:val="clear" w:color="auto" w:fill="auto"/>
            <w:vAlign w:val="center"/>
            <w:hideMark/>
          </w:tcPr>
          <w:p w14:paraId="59FAB1FC" w14:textId="77777777" w:rsidR="001636FC" w:rsidRPr="00D11076" w:rsidRDefault="001636FC" w:rsidP="00BE4FAD">
            <w:pPr>
              <w:rPr>
                <w:rFonts w:cs="Calibri"/>
                <w:color w:val="000000"/>
                <w:szCs w:val="22"/>
              </w:rPr>
            </w:pPr>
            <w:r w:rsidRPr="00D11076">
              <w:rPr>
                <w:rFonts w:cs="Calibri"/>
                <w:color w:val="000000"/>
                <w:szCs w:val="22"/>
              </w:rPr>
              <w:t>Electronic requesting of tests from GPs</w:t>
            </w:r>
          </w:p>
        </w:tc>
        <w:tc>
          <w:tcPr>
            <w:tcW w:w="5641" w:type="dxa"/>
            <w:shd w:val="clear" w:color="auto" w:fill="auto"/>
            <w:vAlign w:val="center"/>
            <w:hideMark/>
          </w:tcPr>
          <w:p w14:paraId="018AF21C" w14:textId="77777777" w:rsidR="001636FC" w:rsidRPr="00D11076" w:rsidRDefault="001636FC" w:rsidP="00BE4FAD">
            <w:pPr>
              <w:rPr>
                <w:rFonts w:cs="Calibri"/>
                <w:color w:val="000000"/>
                <w:szCs w:val="22"/>
              </w:rPr>
            </w:pPr>
            <w:r w:rsidRPr="00D11076">
              <w:rPr>
                <w:rFonts w:cs="Calibri"/>
                <w:color w:val="000000"/>
                <w:szCs w:val="22"/>
              </w:rPr>
              <w:t xml:space="preserve">Remove paper requesting, improve time to returns results.  </w:t>
            </w:r>
            <w:r>
              <w:rPr>
                <w:rFonts w:cs="Calibri"/>
                <w:color w:val="000000"/>
                <w:szCs w:val="22"/>
              </w:rPr>
              <w:t>Awaiting pathology to rollout</w:t>
            </w:r>
          </w:p>
        </w:tc>
      </w:tr>
      <w:tr w:rsidR="001636FC" w:rsidRPr="00D11076" w14:paraId="4A9BDB4B" w14:textId="77777777" w:rsidTr="00962B16">
        <w:tc>
          <w:tcPr>
            <w:tcW w:w="1980" w:type="dxa"/>
            <w:shd w:val="clear" w:color="auto" w:fill="auto"/>
            <w:vAlign w:val="center"/>
            <w:hideMark/>
          </w:tcPr>
          <w:p w14:paraId="48234658" w14:textId="77777777" w:rsidR="001636FC" w:rsidRPr="00D11076" w:rsidRDefault="001636FC" w:rsidP="00BE4FAD">
            <w:pPr>
              <w:rPr>
                <w:rFonts w:cs="Calibri"/>
                <w:color w:val="000000"/>
                <w:szCs w:val="22"/>
              </w:rPr>
            </w:pPr>
            <w:r w:rsidRPr="00D11076">
              <w:rPr>
                <w:rFonts w:cs="Calibri"/>
                <w:color w:val="000000"/>
                <w:szCs w:val="22"/>
              </w:rPr>
              <w:t>WCRS</w:t>
            </w:r>
          </w:p>
        </w:tc>
        <w:tc>
          <w:tcPr>
            <w:tcW w:w="2410" w:type="dxa"/>
            <w:shd w:val="clear" w:color="auto" w:fill="auto"/>
            <w:vAlign w:val="center"/>
            <w:hideMark/>
          </w:tcPr>
          <w:p w14:paraId="0C4E77E3" w14:textId="77777777" w:rsidR="001636FC" w:rsidRPr="00D11076" w:rsidRDefault="001636FC" w:rsidP="00BE4FAD">
            <w:pPr>
              <w:rPr>
                <w:rFonts w:cs="Calibri"/>
                <w:color w:val="000000"/>
                <w:szCs w:val="22"/>
              </w:rPr>
            </w:pPr>
            <w:r w:rsidRPr="00D11076">
              <w:rPr>
                <w:rFonts w:cs="Calibri"/>
                <w:color w:val="000000"/>
                <w:szCs w:val="22"/>
              </w:rPr>
              <w:t>Storage of clinical documents in the national repository</w:t>
            </w:r>
          </w:p>
        </w:tc>
        <w:tc>
          <w:tcPr>
            <w:tcW w:w="5641" w:type="dxa"/>
            <w:shd w:val="clear" w:color="auto" w:fill="auto"/>
            <w:vAlign w:val="center"/>
            <w:hideMark/>
          </w:tcPr>
          <w:p w14:paraId="3959F1BE" w14:textId="77777777" w:rsidR="001636FC" w:rsidRPr="00D11076" w:rsidRDefault="001636FC" w:rsidP="00BE4FAD">
            <w:pPr>
              <w:rPr>
                <w:rFonts w:cs="Calibri"/>
                <w:color w:val="000000"/>
                <w:szCs w:val="22"/>
              </w:rPr>
            </w:pPr>
            <w:r w:rsidRPr="00D11076">
              <w:rPr>
                <w:rFonts w:cs="Calibri"/>
                <w:color w:val="000000"/>
                <w:szCs w:val="22"/>
              </w:rPr>
              <w:t xml:space="preserve">More documents from an increasing number of clinical systems are available for sharing.  Increases patient safety by making the document available nationally.  </w:t>
            </w:r>
          </w:p>
        </w:tc>
      </w:tr>
      <w:tr w:rsidR="001636FC" w:rsidRPr="00D11076" w14:paraId="4E74AB9D" w14:textId="77777777" w:rsidTr="00962B16">
        <w:tc>
          <w:tcPr>
            <w:tcW w:w="1980" w:type="dxa"/>
            <w:shd w:val="clear" w:color="auto" w:fill="auto"/>
            <w:vAlign w:val="center"/>
            <w:hideMark/>
          </w:tcPr>
          <w:p w14:paraId="58389AD8" w14:textId="23F37DB9" w:rsidR="001636FC" w:rsidRPr="00D11076" w:rsidRDefault="00D01707" w:rsidP="00BE4FAD">
            <w:pPr>
              <w:rPr>
                <w:rFonts w:cs="Calibri"/>
                <w:color w:val="000000"/>
                <w:szCs w:val="22"/>
              </w:rPr>
            </w:pPr>
            <w:r>
              <w:rPr>
                <w:rFonts w:cs="Calibri"/>
                <w:color w:val="000000"/>
                <w:szCs w:val="22"/>
              </w:rPr>
              <w:t>Welsh Admin Portal (</w:t>
            </w:r>
            <w:r w:rsidR="001636FC" w:rsidRPr="00D11076">
              <w:rPr>
                <w:rFonts w:cs="Calibri"/>
                <w:color w:val="000000"/>
                <w:szCs w:val="22"/>
              </w:rPr>
              <w:t>WAP</w:t>
            </w:r>
            <w:r>
              <w:rPr>
                <w:rFonts w:cs="Calibri"/>
                <w:color w:val="000000"/>
                <w:szCs w:val="22"/>
              </w:rPr>
              <w:t>)</w:t>
            </w:r>
          </w:p>
        </w:tc>
        <w:tc>
          <w:tcPr>
            <w:tcW w:w="2410" w:type="dxa"/>
            <w:shd w:val="clear" w:color="auto" w:fill="auto"/>
            <w:vAlign w:val="center"/>
            <w:hideMark/>
          </w:tcPr>
          <w:p w14:paraId="0E993F11" w14:textId="77777777" w:rsidR="001636FC" w:rsidRPr="00D11076" w:rsidRDefault="001636FC" w:rsidP="00BE4FAD">
            <w:pPr>
              <w:rPr>
                <w:rFonts w:cs="Calibri"/>
                <w:color w:val="000000"/>
                <w:szCs w:val="22"/>
              </w:rPr>
            </w:pPr>
            <w:r w:rsidRPr="00D11076">
              <w:rPr>
                <w:rFonts w:cs="Calibri"/>
                <w:color w:val="000000"/>
                <w:szCs w:val="22"/>
              </w:rPr>
              <w:t>Electronic referrals</w:t>
            </w:r>
          </w:p>
        </w:tc>
        <w:tc>
          <w:tcPr>
            <w:tcW w:w="5641" w:type="dxa"/>
            <w:shd w:val="clear" w:color="auto" w:fill="auto"/>
            <w:vAlign w:val="center"/>
            <w:hideMark/>
          </w:tcPr>
          <w:p w14:paraId="2815268D" w14:textId="77777777" w:rsidR="001636FC" w:rsidRPr="00D11076" w:rsidRDefault="001636FC" w:rsidP="00BE4FAD">
            <w:pPr>
              <w:rPr>
                <w:rFonts w:cs="Calibri"/>
                <w:color w:val="000000"/>
                <w:szCs w:val="22"/>
              </w:rPr>
            </w:pPr>
            <w:r w:rsidRPr="00D11076">
              <w:rPr>
                <w:rFonts w:cs="Calibri"/>
                <w:color w:val="000000"/>
                <w:szCs w:val="22"/>
              </w:rPr>
              <w:t>30% of received referrals are still paper.  Improve efficiency, quality and timeliness.</w:t>
            </w:r>
          </w:p>
        </w:tc>
      </w:tr>
      <w:tr w:rsidR="001636FC" w:rsidRPr="00D11076" w14:paraId="27A744BF" w14:textId="77777777" w:rsidTr="00962B16">
        <w:tc>
          <w:tcPr>
            <w:tcW w:w="1980" w:type="dxa"/>
            <w:shd w:val="clear" w:color="auto" w:fill="auto"/>
            <w:vAlign w:val="center"/>
            <w:hideMark/>
          </w:tcPr>
          <w:p w14:paraId="6CE88F4F" w14:textId="12590465" w:rsidR="001636FC" w:rsidRPr="00D11076" w:rsidRDefault="0064184D" w:rsidP="00BE4FAD">
            <w:pPr>
              <w:rPr>
                <w:rFonts w:cs="Calibri"/>
                <w:color w:val="000000"/>
                <w:szCs w:val="22"/>
              </w:rPr>
            </w:pPr>
            <w:r>
              <w:rPr>
                <w:rFonts w:cs="Calibri"/>
                <w:color w:val="000000"/>
                <w:szCs w:val="22"/>
              </w:rPr>
              <w:t>Welsh Patient Referral Service (</w:t>
            </w:r>
            <w:r w:rsidR="001636FC" w:rsidRPr="00D11076">
              <w:rPr>
                <w:rFonts w:cs="Calibri"/>
                <w:color w:val="000000"/>
                <w:szCs w:val="22"/>
              </w:rPr>
              <w:t>WPRS</w:t>
            </w:r>
            <w:r>
              <w:rPr>
                <w:rFonts w:cs="Calibri"/>
                <w:color w:val="000000"/>
                <w:szCs w:val="22"/>
              </w:rPr>
              <w:t>)</w:t>
            </w:r>
          </w:p>
        </w:tc>
        <w:tc>
          <w:tcPr>
            <w:tcW w:w="2410" w:type="dxa"/>
            <w:shd w:val="clear" w:color="auto" w:fill="auto"/>
            <w:vAlign w:val="center"/>
            <w:hideMark/>
          </w:tcPr>
          <w:p w14:paraId="30CEAB68" w14:textId="77777777" w:rsidR="001636FC" w:rsidRPr="00D11076" w:rsidRDefault="001636FC" w:rsidP="00BE4FAD">
            <w:pPr>
              <w:rPr>
                <w:rFonts w:cs="Calibri"/>
                <w:color w:val="000000"/>
                <w:szCs w:val="22"/>
              </w:rPr>
            </w:pPr>
            <w:r w:rsidRPr="00D11076">
              <w:rPr>
                <w:rFonts w:cs="Calibri"/>
                <w:color w:val="000000"/>
                <w:szCs w:val="22"/>
              </w:rPr>
              <w:t>Electronic referrals and triage</w:t>
            </w:r>
          </w:p>
        </w:tc>
        <w:tc>
          <w:tcPr>
            <w:tcW w:w="5641" w:type="dxa"/>
            <w:shd w:val="clear" w:color="auto" w:fill="auto"/>
            <w:vAlign w:val="center"/>
            <w:hideMark/>
          </w:tcPr>
          <w:p w14:paraId="0392893B" w14:textId="55890459" w:rsidR="001636FC" w:rsidRPr="00D11076" w:rsidRDefault="001636FC" w:rsidP="00BE4FAD">
            <w:pPr>
              <w:rPr>
                <w:rFonts w:cs="Calibri"/>
                <w:color w:val="000000"/>
                <w:szCs w:val="22"/>
              </w:rPr>
            </w:pPr>
            <w:r w:rsidRPr="00D11076">
              <w:rPr>
                <w:rFonts w:cs="Calibri"/>
                <w:color w:val="000000"/>
                <w:szCs w:val="22"/>
              </w:rPr>
              <w:t>Only service using WPRS is Cardiology.  Need to extend to remaining specialities but it requires work on WPRS/WPAS to accommodate sub specialities</w:t>
            </w:r>
            <w:r>
              <w:rPr>
                <w:rFonts w:cs="Calibri"/>
                <w:color w:val="000000"/>
                <w:szCs w:val="22"/>
              </w:rPr>
              <w:t>. This will need to be in conjunction with the Boundary changes to ensure consistency across the 3 units</w:t>
            </w:r>
          </w:p>
        </w:tc>
      </w:tr>
      <w:tr w:rsidR="001636FC" w:rsidRPr="00D11076" w14:paraId="3F15F104" w14:textId="77777777" w:rsidTr="00962B16">
        <w:tc>
          <w:tcPr>
            <w:tcW w:w="1980" w:type="dxa"/>
            <w:shd w:val="clear" w:color="auto" w:fill="auto"/>
            <w:vAlign w:val="center"/>
            <w:hideMark/>
          </w:tcPr>
          <w:p w14:paraId="57052296" w14:textId="579B9F65" w:rsidR="001636FC" w:rsidRPr="00D11076" w:rsidRDefault="004138C9" w:rsidP="00164805">
            <w:pPr>
              <w:rPr>
                <w:rFonts w:cs="Calibri"/>
                <w:color w:val="000000"/>
                <w:szCs w:val="22"/>
              </w:rPr>
            </w:pPr>
            <w:r>
              <w:rPr>
                <w:rFonts w:cs="Calibri"/>
                <w:color w:val="000000"/>
                <w:szCs w:val="22"/>
              </w:rPr>
              <w:t>Welsh Clinical Portal (</w:t>
            </w:r>
            <w:r w:rsidR="001636FC" w:rsidRPr="00D11076">
              <w:rPr>
                <w:rFonts w:cs="Calibri"/>
                <w:color w:val="000000"/>
                <w:szCs w:val="22"/>
              </w:rPr>
              <w:t>WCP</w:t>
            </w:r>
            <w:r>
              <w:rPr>
                <w:rFonts w:cs="Calibri"/>
                <w:color w:val="000000"/>
                <w:szCs w:val="22"/>
              </w:rPr>
              <w:t>)</w:t>
            </w:r>
          </w:p>
        </w:tc>
        <w:tc>
          <w:tcPr>
            <w:tcW w:w="2410" w:type="dxa"/>
            <w:shd w:val="clear" w:color="auto" w:fill="auto"/>
            <w:vAlign w:val="center"/>
            <w:hideMark/>
          </w:tcPr>
          <w:p w14:paraId="7B0CAE1A" w14:textId="77777777" w:rsidR="001636FC" w:rsidRPr="00D11076" w:rsidRDefault="001636FC" w:rsidP="00BE4FAD">
            <w:pPr>
              <w:rPr>
                <w:rFonts w:cs="Calibri"/>
                <w:color w:val="000000"/>
                <w:szCs w:val="22"/>
              </w:rPr>
            </w:pPr>
            <w:r w:rsidRPr="00D11076">
              <w:rPr>
                <w:rFonts w:cs="Calibri"/>
                <w:color w:val="000000"/>
                <w:szCs w:val="22"/>
              </w:rPr>
              <w:t>Access to nationally held patient information</w:t>
            </w:r>
          </w:p>
        </w:tc>
        <w:tc>
          <w:tcPr>
            <w:tcW w:w="5641" w:type="dxa"/>
            <w:shd w:val="clear" w:color="auto" w:fill="auto"/>
            <w:vAlign w:val="center"/>
            <w:hideMark/>
          </w:tcPr>
          <w:p w14:paraId="308024F1" w14:textId="77777777" w:rsidR="001636FC" w:rsidRPr="00D11076" w:rsidRDefault="001636FC" w:rsidP="00BE4FAD">
            <w:pPr>
              <w:rPr>
                <w:rFonts w:cs="Calibri"/>
                <w:color w:val="000000"/>
                <w:szCs w:val="22"/>
              </w:rPr>
            </w:pPr>
            <w:r w:rsidRPr="00D11076">
              <w:rPr>
                <w:rFonts w:cs="Calibri"/>
                <w:color w:val="000000"/>
                <w:szCs w:val="22"/>
              </w:rPr>
              <w:t>Opportunity to improve usage and knowledge of capability.  Improves patient safety and clinical efficiency.  Maximising the sunk assets</w:t>
            </w:r>
          </w:p>
        </w:tc>
      </w:tr>
      <w:tr w:rsidR="001636FC" w:rsidRPr="00D11076" w14:paraId="6140B573" w14:textId="77777777" w:rsidTr="00962B16">
        <w:tc>
          <w:tcPr>
            <w:tcW w:w="1980" w:type="dxa"/>
            <w:shd w:val="clear" w:color="auto" w:fill="auto"/>
            <w:vAlign w:val="center"/>
            <w:hideMark/>
          </w:tcPr>
          <w:p w14:paraId="47CBFA86" w14:textId="77777777" w:rsidR="001636FC" w:rsidRPr="00D11076" w:rsidRDefault="001636FC" w:rsidP="00BE4FAD">
            <w:pPr>
              <w:rPr>
                <w:rFonts w:cs="Calibri"/>
                <w:color w:val="000000"/>
                <w:szCs w:val="22"/>
              </w:rPr>
            </w:pPr>
            <w:r w:rsidRPr="00D11076">
              <w:rPr>
                <w:rFonts w:cs="Calibri"/>
                <w:color w:val="000000"/>
                <w:szCs w:val="22"/>
              </w:rPr>
              <w:t>Hospital to Hospital Referrals</w:t>
            </w:r>
          </w:p>
        </w:tc>
        <w:tc>
          <w:tcPr>
            <w:tcW w:w="2410" w:type="dxa"/>
            <w:shd w:val="clear" w:color="auto" w:fill="auto"/>
            <w:vAlign w:val="center"/>
            <w:hideMark/>
          </w:tcPr>
          <w:p w14:paraId="7756B8DF" w14:textId="77777777" w:rsidR="001636FC" w:rsidRPr="00D11076" w:rsidRDefault="001636FC" w:rsidP="00BE4FAD">
            <w:pPr>
              <w:rPr>
                <w:rFonts w:cs="Calibri"/>
                <w:color w:val="000000"/>
                <w:szCs w:val="22"/>
              </w:rPr>
            </w:pPr>
            <w:r w:rsidRPr="00D11076">
              <w:rPr>
                <w:rFonts w:cs="Calibri"/>
                <w:color w:val="000000"/>
                <w:szCs w:val="22"/>
              </w:rPr>
              <w:t>Electronic referrals between Health Boards</w:t>
            </w:r>
          </w:p>
        </w:tc>
        <w:tc>
          <w:tcPr>
            <w:tcW w:w="5641" w:type="dxa"/>
            <w:shd w:val="clear" w:color="auto" w:fill="auto"/>
            <w:vAlign w:val="center"/>
            <w:hideMark/>
          </w:tcPr>
          <w:p w14:paraId="54FF4D2E" w14:textId="77777777" w:rsidR="001636FC" w:rsidRPr="00D11076" w:rsidRDefault="001636FC" w:rsidP="00BE4FAD">
            <w:pPr>
              <w:rPr>
                <w:rFonts w:cs="Calibri"/>
                <w:color w:val="000000"/>
                <w:szCs w:val="22"/>
              </w:rPr>
            </w:pPr>
            <w:r w:rsidRPr="00D11076">
              <w:rPr>
                <w:rFonts w:cs="Calibri"/>
                <w:color w:val="000000"/>
                <w:szCs w:val="22"/>
              </w:rPr>
              <w:t>Remove paper referrals.  The Health Board is pilot site for Wales.  Cardiology is the specialist currently being tested</w:t>
            </w:r>
          </w:p>
        </w:tc>
      </w:tr>
      <w:tr w:rsidR="001636FC" w:rsidRPr="00D11076" w14:paraId="468C557B" w14:textId="77777777" w:rsidTr="00962B16">
        <w:tc>
          <w:tcPr>
            <w:tcW w:w="1980" w:type="dxa"/>
            <w:shd w:val="clear" w:color="auto" w:fill="auto"/>
            <w:vAlign w:val="center"/>
            <w:hideMark/>
          </w:tcPr>
          <w:p w14:paraId="0A7DF185" w14:textId="77777777" w:rsidR="001636FC" w:rsidRPr="00D11076" w:rsidRDefault="001636FC" w:rsidP="00BE4FAD">
            <w:pPr>
              <w:rPr>
                <w:rFonts w:cs="Calibri"/>
                <w:color w:val="000000"/>
                <w:szCs w:val="22"/>
              </w:rPr>
            </w:pPr>
            <w:r w:rsidRPr="00D11076">
              <w:rPr>
                <w:rFonts w:cs="Calibri"/>
                <w:color w:val="000000"/>
                <w:szCs w:val="22"/>
              </w:rPr>
              <w:t>My Health Text</w:t>
            </w:r>
          </w:p>
        </w:tc>
        <w:tc>
          <w:tcPr>
            <w:tcW w:w="2410" w:type="dxa"/>
            <w:shd w:val="clear" w:color="auto" w:fill="auto"/>
            <w:vAlign w:val="center"/>
            <w:hideMark/>
          </w:tcPr>
          <w:p w14:paraId="1CA72EA5" w14:textId="77777777" w:rsidR="001636FC" w:rsidRPr="00D11076" w:rsidRDefault="001636FC" w:rsidP="00BE4FAD">
            <w:pPr>
              <w:rPr>
                <w:rFonts w:cs="Calibri"/>
                <w:color w:val="000000"/>
                <w:szCs w:val="22"/>
              </w:rPr>
            </w:pPr>
            <w:r w:rsidRPr="00D11076">
              <w:rPr>
                <w:rFonts w:cs="Calibri"/>
                <w:color w:val="000000"/>
                <w:szCs w:val="22"/>
              </w:rPr>
              <w:t>National solution for texting patients</w:t>
            </w:r>
          </w:p>
        </w:tc>
        <w:tc>
          <w:tcPr>
            <w:tcW w:w="5641" w:type="dxa"/>
            <w:shd w:val="clear" w:color="auto" w:fill="auto"/>
            <w:vAlign w:val="center"/>
            <w:hideMark/>
          </w:tcPr>
          <w:p w14:paraId="54B533AD" w14:textId="77777777" w:rsidR="001636FC" w:rsidRPr="00D11076" w:rsidRDefault="001636FC" w:rsidP="00BE4FAD">
            <w:pPr>
              <w:rPr>
                <w:rFonts w:cs="Calibri"/>
                <w:color w:val="000000"/>
                <w:szCs w:val="22"/>
              </w:rPr>
            </w:pPr>
            <w:r w:rsidRPr="00D11076">
              <w:rPr>
                <w:rFonts w:cs="Calibri"/>
                <w:color w:val="000000"/>
                <w:szCs w:val="22"/>
              </w:rPr>
              <w:t>Leverage national solution and discontinue local solution.</w:t>
            </w:r>
          </w:p>
        </w:tc>
      </w:tr>
      <w:tr w:rsidR="001636FC" w:rsidRPr="00D11076" w14:paraId="6B7909C3" w14:textId="77777777" w:rsidTr="00962B16">
        <w:tc>
          <w:tcPr>
            <w:tcW w:w="1980" w:type="dxa"/>
            <w:shd w:val="clear" w:color="auto" w:fill="auto"/>
            <w:vAlign w:val="center"/>
            <w:hideMark/>
          </w:tcPr>
          <w:p w14:paraId="10B81D2A" w14:textId="77777777" w:rsidR="001636FC" w:rsidRPr="00D11076" w:rsidRDefault="001636FC" w:rsidP="00BE4FAD">
            <w:pPr>
              <w:rPr>
                <w:rFonts w:cs="Calibri"/>
                <w:color w:val="000000"/>
                <w:szCs w:val="22"/>
              </w:rPr>
            </w:pPr>
            <w:r w:rsidRPr="00D11076">
              <w:rPr>
                <w:rFonts w:cs="Calibri"/>
                <w:color w:val="000000"/>
                <w:szCs w:val="22"/>
              </w:rPr>
              <w:t>Electronic Requests and Results</w:t>
            </w:r>
          </w:p>
        </w:tc>
        <w:tc>
          <w:tcPr>
            <w:tcW w:w="2410" w:type="dxa"/>
            <w:shd w:val="clear" w:color="auto" w:fill="auto"/>
            <w:vAlign w:val="center"/>
            <w:hideMark/>
          </w:tcPr>
          <w:p w14:paraId="024380B2" w14:textId="77777777" w:rsidR="001636FC" w:rsidRPr="00D11076" w:rsidRDefault="001636FC" w:rsidP="00BE4FAD">
            <w:pPr>
              <w:rPr>
                <w:rFonts w:cs="Calibri"/>
                <w:color w:val="000000"/>
                <w:szCs w:val="22"/>
              </w:rPr>
            </w:pPr>
            <w:r w:rsidRPr="00D11076">
              <w:rPr>
                <w:rFonts w:cs="Calibri"/>
                <w:color w:val="000000"/>
                <w:szCs w:val="22"/>
              </w:rPr>
              <w:t>Electronic requests and results for secondary care</w:t>
            </w:r>
          </w:p>
        </w:tc>
        <w:tc>
          <w:tcPr>
            <w:tcW w:w="5641" w:type="dxa"/>
            <w:shd w:val="clear" w:color="auto" w:fill="auto"/>
            <w:vAlign w:val="center"/>
            <w:hideMark/>
          </w:tcPr>
          <w:p w14:paraId="72ACD51F" w14:textId="77777777" w:rsidR="001636FC" w:rsidRPr="00D11076" w:rsidRDefault="001636FC" w:rsidP="00BE4FAD">
            <w:pPr>
              <w:rPr>
                <w:rFonts w:cs="Calibri"/>
                <w:color w:val="000000"/>
                <w:szCs w:val="22"/>
              </w:rPr>
            </w:pPr>
            <w:r w:rsidRPr="00D11076">
              <w:rPr>
                <w:rFonts w:cs="Calibri"/>
                <w:color w:val="000000"/>
                <w:szCs w:val="22"/>
              </w:rPr>
              <w:t>Currently lead health board in Wales for TRRR with 87% of in patient requesting performed electronically</w:t>
            </w:r>
          </w:p>
        </w:tc>
      </w:tr>
      <w:tr w:rsidR="001636FC" w:rsidRPr="00D11076" w14:paraId="488C133A" w14:textId="77777777" w:rsidTr="00962B16">
        <w:tc>
          <w:tcPr>
            <w:tcW w:w="1980" w:type="dxa"/>
            <w:shd w:val="clear" w:color="auto" w:fill="auto"/>
            <w:vAlign w:val="center"/>
            <w:hideMark/>
          </w:tcPr>
          <w:p w14:paraId="1D786638" w14:textId="77777777" w:rsidR="001636FC" w:rsidRPr="00D11076" w:rsidRDefault="001636FC" w:rsidP="00BE4FAD">
            <w:pPr>
              <w:rPr>
                <w:rFonts w:cs="Calibri"/>
                <w:color w:val="000000"/>
                <w:szCs w:val="22"/>
              </w:rPr>
            </w:pPr>
            <w:r w:rsidRPr="00D11076">
              <w:rPr>
                <w:rFonts w:cs="Calibri"/>
                <w:color w:val="000000"/>
                <w:szCs w:val="22"/>
              </w:rPr>
              <w:t>Electronic Outcome Forms</w:t>
            </w:r>
          </w:p>
        </w:tc>
        <w:tc>
          <w:tcPr>
            <w:tcW w:w="2410" w:type="dxa"/>
            <w:shd w:val="clear" w:color="auto" w:fill="auto"/>
            <w:vAlign w:val="center"/>
            <w:hideMark/>
          </w:tcPr>
          <w:p w14:paraId="2EF626DF" w14:textId="77777777" w:rsidR="001636FC" w:rsidRPr="00D11076" w:rsidRDefault="001636FC" w:rsidP="00BE4FAD">
            <w:pPr>
              <w:rPr>
                <w:rFonts w:cs="Calibri"/>
                <w:color w:val="000000"/>
                <w:szCs w:val="22"/>
              </w:rPr>
            </w:pPr>
            <w:r w:rsidRPr="00D11076">
              <w:rPr>
                <w:rFonts w:cs="Calibri"/>
                <w:color w:val="000000"/>
                <w:szCs w:val="22"/>
              </w:rPr>
              <w:t>Electronic capture of OP clinic information</w:t>
            </w:r>
          </w:p>
        </w:tc>
        <w:tc>
          <w:tcPr>
            <w:tcW w:w="5641" w:type="dxa"/>
            <w:shd w:val="clear" w:color="auto" w:fill="auto"/>
            <w:vAlign w:val="center"/>
            <w:hideMark/>
          </w:tcPr>
          <w:p w14:paraId="343DF927" w14:textId="77777777" w:rsidR="001636FC" w:rsidRPr="00D11076" w:rsidRDefault="001636FC" w:rsidP="00BE4FAD">
            <w:pPr>
              <w:rPr>
                <w:rFonts w:cs="Calibri"/>
                <w:color w:val="000000"/>
                <w:szCs w:val="22"/>
              </w:rPr>
            </w:pPr>
            <w:r w:rsidRPr="00D11076">
              <w:rPr>
                <w:rFonts w:cs="Calibri"/>
                <w:color w:val="000000"/>
                <w:szCs w:val="22"/>
              </w:rPr>
              <w:t>The Health Board wishes to be the pilot site for this capability, which can be rolled out across the hea</w:t>
            </w:r>
            <w:r>
              <w:rPr>
                <w:rFonts w:cs="Calibri"/>
                <w:color w:val="000000"/>
                <w:szCs w:val="22"/>
              </w:rPr>
              <w:t>l</w:t>
            </w:r>
            <w:r w:rsidRPr="00D11076">
              <w:rPr>
                <w:rFonts w:cs="Calibri"/>
                <w:color w:val="000000"/>
                <w:szCs w:val="22"/>
              </w:rPr>
              <w:t>th board.</w:t>
            </w:r>
          </w:p>
        </w:tc>
      </w:tr>
      <w:tr w:rsidR="001636FC" w:rsidRPr="00D11076" w14:paraId="79D3DBEA" w14:textId="77777777" w:rsidTr="00962B16">
        <w:tc>
          <w:tcPr>
            <w:tcW w:w="1980" w:type="dxa"/>
            <w:shd w:val="clear" w:color="auto" w:fill="auto"/>
            <w:vAlign w:val="center"/>
          </w:tcPr>
          <w:p w14:paraId="40CA6B8A" w14:textId="77777777" w:rsidR="001636FC" w:rsidRPr="001F344E" w:rsidRDefault="001636FC" w:rsidP="00BE4FAD">
            <w:pPr>
              <w:rPr>
                <w:rFonts w:cs="Calibri"/>
                <w:szCs w:val="22"/>
              </w:rPr>
            </w:pPr>
            <w:r w:rsidRPr="001F344E">
              <w:rPr>
                <w:rFonts w:cs="Calibri"/>
                <w:szCs w:val="22"/>
              </w:rPr>
              <w:t>O365</w:t>
            </w:r>
          </w:p>
        </w:tc>
        <w:tc>
          <w:tcPr>
            <w:tcW w:w="2410" w:type="dxa"/>
            <w:shd w:val="clear" w:color="auto" w:fill="auto"/>
            <w:vAlign w:val="center"/>
          </w:tcPr>
          <w:p w14:paraId="308C744F" w14:textId="77777777" w:rsidR="001636FC" w:rsidRPr="00D11076" w:rsidRDefault="001636FC" w:rsidP="00BE4FAD">
            <w:pPr>
              <w:rPr>
                <w:rFonts w:cs="Calibri"/>
                <w:color w:val="000000"/>
                <w:szCs w:val="22"/>
              </w:rPr>
            </w:pPr>
            <w:r>
              <w:rPr>
                <w:rFonts w:cs="Calibri"/>
                <w:color w:val="000000"/>
                <w:szCs w:val="22"/>
              </w:rPr>
              <w:t>Microsoft 365</w:t>
            </w:r>
          </w:p>
        </w:tc>
        <w:tc>
          <w:tcPr>
            <w:tcW w:w="5641" w:type="dxa"/>
            <w:shd w:val="clear" w:color="auto" w:fill="auto"/>
            <w:vAlign w:val="center"/>
          </w:tcPr>
          <w:p w14:paraId="1756D91D" w14:textId="77777777" w:rsidR="001636FC" w:rsidRPr="00D11076" w:rsidRDefault="001636FC" w:rsidP="00BE4FAD">
            <w:pPr>
              <w:rPr>
                <w:rFonts w:cs="Calibri"/>
                <w:color w:val="000000"/>
                <w:szCs w:val="22"/>
              </w:rPr>
            </w:pPr>
            <w:r w:rsidRPr="009E36CD">
              <w:rPr>
                <w:rFonts w:cs="Calibri"/>
                <w:color w:val="000000"/>
                <w:szCs w:val="22"/>
              </w:rPr>
              <w:t xml:space="preserve">Office 365 is a line of </w:t>
            </w:r>
            <w:hyperlink r:id="rId129" w:tooltip="Subscription business model" w:history="1">
              <w:r w:rsidRPr="009E36CD">
                <w:rPr>
                  <w:rFonts w:cs="Calibri"/>
                  <w:color w:val="000000"/>
                  <w:szCs w:val="22"/>
                </w:rPr>
                <w:t>subscription</w:t>
              </w:r>
            </w:hyperlink>
            <w:r w:rsidRPr="009E36CD">
              <w:rPr>
                <w:rFonts w:cs="Calibri"/>
                <w:color w:val="000000"/>
                <w:szCs w:val="22"/>
              </w:rPr>
              <w:t xml:space="preserve"> services offered by </w:t>
            </w:r>
            <w:hyperlink r:id="rId130" w:tooltip="Microsoft" w:history="1">
              <w:r w:rsidRPr="009E36CD">
                <w:rPr>
                  <w:rFonts w:cs="Calibri"/>
                  <w:color w:val="000000"/>
                  <w:szCs w:val="22"/>
                </w:rPr>
                <w:t>Microsoft</w:t>
              </w:r>
            </w:hyperlink>
            <w:r w:rsidRPr="009E36CD">
              <w:rPr>
                <w:rFonts w:cs="Calibri"/>
                <w:color w:val="000000"/>
                <w:szCs w:val="22"/>
              </w:rPr>
              <w:t xml:space="preserve"> as part of the </w:t>
            </w:r>
            <w:hyperlink r:id="rId131" w:tooltip="Microsoft Office" w:history="1">
              <w:r w:rsidRPr="009E36CD">
                <w:rPr>
                  <w:rFonts w:cs="Calibri"/>
                  <w:color w:val="000000"/>
                  <w:szCs w:val="22"/>
                </w:rPr>
                <w:t>Microsoft Office</w:t>
              </w:r>
            </w:hyperlink>
            <w:r w:rsidRPr="009E36CD">
              <w:rPr>
                <w:rFonts w:cs="Calibri"/>
                <w:color w:val="000000"/>
                <w:szCs w:val="22"/>
              </w:rPr>
              <w:t xml:space="preserve"> product line</w:t>
            </w:r>
          </w:p>
        </w:tc>
      </w:tr>
      <w:tr w:rsidR="001636FC" w:rsidRPr="00D11076" w14:paraId="598AD5D6" w14:textId="77777777" w:rsidTr="00962B16">
        <w:tc>
          <w:tcPr>
            <w:tcW w:w="1980" w:type="dxa"/>
            <w:shd w:val="clear" w:color="auto" w:fill="auto"/>
            <w:vAlign w:val="center"/>
          </w:tcPr>
          <w:p w14:paraId="4FA88A8E" w14:textId="77777777" w:rsidR="001636FC" w:rsidRPr="001F344E" w:rsidRDefault="001636FC" w:rsidP="00BE4FAD">
            <w:pPr>
              <w:rPr>
                <w:rFonts w:cs="Calibri"/>
                <w:szCs w:val="22"/>
              </w:rPr>
            </w:pPr>
            <w:r w:rsidRPr="001F344E">
              <w:rPr>
                <w:rFonts w:cs="Calibri"/>
                <w:szCs w:val="22"/>
              </w:rPr>
              <w:lastRenderedPageBreak/>
              <w:t>CITO - eforms</w:t>
            </w:r>
          </w:p>
        </w:tc>
        <w:tc>
          <w:tcPr>
            <w:tcW w:w="2410" w:type="dxa"/>
            <w:shd w:val="clear" w:color="auto" w:fill="auto"/>
            <w:vAlign w:val="center"/>
          </w:tcPr>
          <w:p w14:paraId="0FD84ED1" w14:textId="77777777" w:rsidR="001636FC" w:rsidRPr="00D11076" w:rsidRDefault="001636FC" w:rsidP="00BE4FAD">
            <w:pPr>
              <w:jc w:val="left"/>
              <w:rPr>
                <w:rFonts w:cs="Calibri"/>
                <w:color w:val="000000"/>
                <w:szCs w:val="22"/>
              </w:rPr>
            </w:pPr>
            <w:r>
              <w:rPr>
                <w:rFonts w:cs="Calibri"/>
                <w:color w:val="000000"/>
                <w:szCs w:val="22"/>
              </w:rPr>
              <w:t>A scanning solution with the functionality of e form development</w:t>
            </w:r>
          </w:p>
        </w:tc>
        <w:tc>
          <w:tcPr>
            <w:tcW w:w="5641" w:type="dxa"/>
            <w:shd w:val="clear" w:color="auto" w:fill="auto"/>
            <w:vAlign w:val="center"/>
          </w:tcPr>
          <w:p w14:paraId="78546A9C" w14:textId="4B99319A" w:rsidR="001636FC" w:rsidRPr="00D11076" w:rsidRDefault="001636FC" w:rsidP="00AE0C07">
            <w:pPr>
              <w:rPr>
                <w:rFonts w:cs="Calibri"/>
                <w:color w:val="000000"/>
                <w:szCs w:val="22"/>
              </w:rPr>
            </w:pPr>
            <w:r>
              <w:rPr>
                <w:rFonts w:cs="Calibri"/>
                <w:color w:val="000000"/>
                <w:szCs w:val="22"/>
              </w:rPr>
              <w:t xml:space="preserve">Following the scanning of the legacy record to a </w:t>
            </w:r>
            <w:r w:rsidR="00AE0C07">
              <w:rPr>
                <w:rFonts w:cs="Calibri"/>
                <w:color w:val="000000"/>
                <w:szCs w:val="22"/>
              </w:rPr>
              <w:t>record digital format.  eF</w:t>
            </w:r>
            <w:r>
              <w:rPr>
                <w:rFonts w:cs="Calibri"/>
                <w:color w:val="000000"/>
                <w:szCs w:val="22"/>
              </w:rPr>
              <w:t>orms will be developed to capture the data in a structured format</w:t>
            </w:r>
          </w:p>
        </w:tc>
      </w:tr>
      <w:tr w:rsidR="001636FC" w:rsidRPr="00D11076" w14:paraId="69F99591" w14:textId="77777777" w:rsidTr="00962B16">
        <w:tc>
          <w:tcPr>
            <w:tcW w:w="1980" w:type="dxa"/>
            <w:shd w:val="clear" w:color="auto" w:fill="auto"/>
            <w:vAlign w:val="center"/>
          </w:tcPr>
          <w:p w14:paraId="3E3A53A0" w14:textId="77777777" w:rsidR="001636FC" w:rsidRPr="00BA6A94" w:rsidRDefault="001636FC" w:rsidP="00BE4FAD">
            <w:pPr>
              <w:rPr>
                <w:rFonts w:asciiTheme="minorHAnsi" w:hAnsiTheme="minorHAnsi" w:cs="Calibri"/>
                <w:szCs w:val="22"/>
              </w:rPr>
            </w:pPr>
            <w:r w:rsidRPr="00BA6A94">
              <w:rPr>
                <w:rFonts w:asciiTheme="minorHAnsi" w:hAnsiTheme="minorHAnsi" w:cs="Calibri"/>
                <w:szCs w:val="22"/>
              </w:rPr>
              <w:t>RedCap</w:t>
            </w:r>
          </w:p>
        </w:tc>
        <w:tc>
          <w:tcPr>
            <w:tcW w:w="2410" w:type="dxa"/>
            <w:shd w:val="clear" w:color="auto" w:fill="auto"/>
            <w:vAlign w:val="center"/>
          </w:tcPr>
          <w:p w14:paraId="5EA6F5A4" w14:textId="77777777" w:rsidR="001636FC" w:rsidRPr="00BA6A94" w:rsidRDefault="001636FC" w:rsidP="00BE4FAD">
            <w:pPr>
              <w:rPr>
                <w:rFonts w:asciiTheme="minorHAnsi" w:hAnsiTheme="minorHAnsi" w:cs="Calibri"/>
                <w:color w:val="000000"/>
                <w:szCs w:val="22"/>
              </w:rPr>
            </w:pPr>
            <w:r w:rsidRPr="00BA6A94">
              <w:rPr>
                <w:rFonts w:asciiTheme="minorHAnsi" w:hAnsiTheme="minorHAnsi" w:cs="Calibri"/>
                <w:color w:val="000000"/>
                <w:szCs w:val="22"/>
              </w:rPr>
              <w:t>Survey tool for data capture in a structured format</w:t>
            </w:r>
          </w:p>
        </w:tc>
        <w:tc>
          <w:tcPr>
            <w:tcW w:w="5641" w:type="dxa"/>
            <w:shd w:val="clear" w:color="auto" w:fill="auto"/>
            <w:vAlign w:val="center"/>
          </w:tcPr>
          <w:p w14:paraId="462A9096" w14:textId="77777777" w:rsidR="001636FC" w:rsidRPr="00BA6A94" w:rsidRDefault="001636FC" w:rsidP="00BE4FAD">
            <w:pPr>
              <w:rPr>
                <w:rFonts w:asciiTheme="minorHAnsi" w:hAnsiTheme="minorHAnsi" w:cs="Calibri"/>
                <w:color w:val="000000"/>
                <w:szCs w:val="22"/>
              </w:rPr>
            </w:pPr>
            <w:r w:rsidRPr="00BA6A94">
              <w:rPr>
                <w:rFonts w:asciiTheme="minorHAnsi" w:hAnsiTheme="minorHAnsi" w:cs="Arial"/>
                <w:color w:val="222222"/>
                <w:szCs w:val="22"/>
              </w:rPr>
              <w:t>REDCap is a browser-based, metadata-driven EDC software and workflow methodology for designing clinical and translational research databases.</w:t>
            </w:r>
          </w:p>
        </w:tc>
      </w:tr>
    </w:tbl>
    <w:p w14:paraId="6815BF22" w14:textId="77777777" w:rsidR="001636FC" w:rsidRPr="00D900A8" w:rsidRDefault="001636FC" w:rsidP="00D900A8">
      <w:pPr>
        <w:pStyle w:val="Heading4"/>
      </w:pPr>
      <w:r w:rsidRPr="00D900A8">
        <w:t>Deployment of Digital Medical Records</w:t>
      </w:r>
    </w:p>
    <w:p w14:paraId="25526095" w14:textId="2A2821F7" w:rsidR="001636FC" w:rsidRPr="00D11076" w:rsidRDefault="001636FC" w:rsidP="001636FC">
      <w:pPr>
        <w:rPr>
          <w:rFonts w:asciiTheme="minorHAnsi" w:hAnsiTheme="minorHAnsi"/>
          <w:szCs w:val="22"/>
        </w:rPr>
      </w:pPr>
      <w:r w:rsidRPr="00D11076">
        <w:rPr>
          <w:rFonts w:asciiTheme="minorHAnsi" w:hAnsiTheme="minorHAnsi"/>
          <w:szCs w:val="22"/>
        </w:rPr>
        <w:t xml:space="preserve">At present, the </w:t>
      </w:r>
      <w:r w:rsidR="009E34CB">
        <w:rPr>
          <w:rFonts w:asciiTheme="minorHAnsi" w:hAnsiTheme="minorHAnsi"/>
          <w:szCs w:val="22"/>
        </w:rPr>
        <w:t>UHB</w:t>
      </w:r>
      <w:r w:rsidRPr="00D11076">
        <w:rPr>
          <w:rFonts w:asciiTheme="minorHAnsi" w:hAnsiTheme="minorHAnsi"/>
          <w:szCs w:val="22"/>
        </w:rPr>
        <w:t xml:space="preserve"> primarily relies on paper patient records</w:t>
      </w:r>
      <w:r w:rsidR="009E34CB">
        <w:rPr>
          <w:rFonts w:asciiTheme="minorHAnsi" w:hAnsiTheme="minorHAnsi"/>
          <w:szCs w:val="22"/>
        </w:rPr>
        <w:t xml:space="preserve"> which </w:t>
      </w:r>
      <w:r w:rsidRPr="00D11076">
        <w:rPr>
          <w:rFonts w:asciiTheme="minorHAnsi" w:hAnsiTheme="minorHAnsi"/>
          <w:szCs w:val="22"/>
        </w:rPr>
        <w:t>will be replaced with electronic versions of</w:t>
      </w:r>
      <w:r w:rsidRPr="001F344E">
        <w:rPr>
          <w:rFonts w:asciiTheme="minorHAnsi" w:hAnsiTheme="minorHAnsi"/>
          <w:szCs w:val="22"/>
        </w:rPr>
        <w:t xml:space="preserve"> similar </w:t>
      </w:r>
      <w:r w:rsidRPr="00D11076">
        <w:rPr>
          <w:rFonts w:asciiTheme="minorHAnsi" w:hAnsiTheme="minorHAnsi"/>
          <w:szCs w:val="22"/>
        </w:rPr>
        <w:t>records.  Digitisation of the medical record is one step to developing the Electronic patient record, the benefits of which include:</w:t>
      </w:r>
    </w:p>
    <w:p w14:paraId="644FF6D0" w14:textId="77777777" w:rsidR="001636FC" w:rsidRPr="00D11076" w:rsidRDefault="001636FC" w:rsidP="001636FC">
      <w:pPr>
        <w:pStyle w:val="NormaBullet"/>
        <w:ind w:left="357" w:hanging="357"/>
        <w:rPr>
          <w:szCs w:val="22"/>
        </w:rPr>
      </w:pPr>
      <w:r w:rsidRPr="00D11076">
        <w:rPr>
          <w:szCs w:val="22"/>
        </w:rPr>
        <w:t>Digital records that accessible on any site at any time, to multiple users simultaneously.</w:t>
      </w:r>
    </w:p>
    <w:p w14:paraId="6ABC7CBA" w14:textId="77777777" w:rsidR="001636FC" w:rsidRPr="00D11076" w:rsidRDefault="001636FC" w:rsidP="001636FC">
      <w:pPr>
        <w:pStyle w:val="NormaBullet"/>
        <w:ind w:left="357" w:hanging="357"/>
        <w:rPr>
          <w:szCs w:val="22"/>
        </w:rPr>
      </w:pPr>
      <w:r w:rsidRPr="00D11076">
        <w:rPr>
          <w:szCs w:val="22"/>
        </w:rPr>
        <w:t>Instant availability of the patient’s full clinical history can result in swifter clinical decision making, improved clinical efficiency and effectiveness, improved patient safety and the ability to confirm diagnoses and implement appropriate treatment more quickly.</w:t>
      </w:r>
    </w:p>
    <w:p w14:paraId="5C09CC60" w14:textId="77777777" w:rsidR="001636FC" w:rsidRPr="00D11076" w:rsidRDefault="001636FC" w:rsidP="001636FC">
      <w:pPr>
        <w:pStyle w:val="NormaBullet"/>
        <w:ind w:left="357" w:hanging="357"/>
        <w:rPr>
          <w:szCs w:val="22"/>
        </w:rPr>
      </w:pPr>
      <w:r w:rsidRPr="00D11076">
        <w:rPr>
          <w:szCs w:val="22"/>
        </w:rPr>
        <w:t>Fewer lost records and lost individual documents as the proportion of digitised records grows.</w:t>
      </w:r>
    </w:p>
    <w:p w14:paraId="7EF272C9" w14:textId="77777777" w:rsidR="001636FC" w:rsidRDefault="001636FC" w:rsidP="001636FC">
      <w:pPr>
        <w:pStyle w:val="NormaBullet"/>
        <w:ind w:left="357" w:hanging="357"/>
        <w:rPr>
          <w:szCs w:val="22"/>
        </w:rPr>
      </w:pPr>
      <w:r w:rsidRPr="00D11076">
        <w:rPr>
          <w:szCs w:val="22"/>
        </w:rPr>
        <w:t>Improved ability to search the patient record for specific episodes, reference to clinical conditions and terminology, filtering and sorting by speciality, clinician, timeframe, etc.</w:t>
      </w:r>
    </w:p>
    <w:p w14:paraId="362A8926" w14:textId="77777777" w:rsidR="001636FC" w:rsidRDefault="001636FC" w:rsidP="001636FC">
      <w:pPr>
        <w:pStyle w:val="NormaBullet"/>
        <w:numPr>
          <w:ilvl w:val="0"/>
          <w:numId w:val="0"/>
        </w:numPr>
        <w:rPr>
          <w:szCs w:val="22"/>
        </w:rPr>
      </w:pPr>
    </w:p>
    <w:p w14:paraId="18DC41A9" w14:textId="385ACDD6" w:rsidR="001636FC" w:rsidRDefault="001636FC" w:rsidP="001636FC">
      <w:pPr>
        <w:rPr>
          <w:rFonts w:asciiTheme="minorHAnsi" w:hAnsiTheme="minorHAnsi"/>
          <w:szCs w:val="22"/>
        </w:rPr>
      </w:pPr>
      <w:r>
        <w:rPr>
          <w:rFonts w:asciiTheme="minorHAnsi" w:hAnsiTheme="minorHAnsi"/>
          <w:szCs w:val="22"/>
        </w:rPr>
        <w:t>This initial also delivers substantial financial savings:</w:t>
      </w:r>
    </w:p>
    <w:p w14:paraId="54CFB57A" w14:textId="6A412BD8" w:rsidR="001636FC" w:rsidRDefault="001636FC" w:rsidP="00F60A35">
      <w:pPr>
        <w:pStyle w:val="ListParagraph"/>
        <w:numPr>
          <w:ilvl w:val="0"/>
          <w:numId w:val="25"/>
        </w:numPr>
        <w:ind w:left="360"/>
        <w:rPr>
          <w:rFonts w:asciiTheme="minorHAnsi" w:hAnsiTheme="minorHAnsi"/>
          <w:szCs w:val="22"/>
        </w:rPr>
      </w:pPr>
      <w:r w:rsidRPr="009259EA">
        <w:rPr>
          <w:rFonts w:asciiTheme="minorHAnsi" w:hAnsiTheme="minorHAnsi"/>
          <w:szCs w:val="22"/>
        </w:rPr>
        <w:t xml:space="preserve">Medical Records staff reductions from reduced record handling due to digitisation produce a potential recurrent cash saving of £308k p.a. from </w:t>
      </w:r>
      <w:r w:rsidR="00917C32">
        <w:rPr>
          <w:rFonts w:asciiTheme="minorHAnsi" w:hAnsiTheme="minorHAnsi"/>
          <w:szCs w:val="22"/>
        </w:rPr>
        <w:t>20</w:t>
      </w:r>
      <w:r w:rsidRPr="009259EA">
        <w:rPr>
          <w:rFonts w:asciiTheme="minorHAnsi" w:hAnsiTheme="minorHAnsi"/>
          <w:szCs w:val="22"/>
        </w:rPr>
        <w:t xml:space="preserve">24/25. </w:t>
      </w:r>
      <w:r w:rsidR="005A3845">
        <w:rPr>
          <w:rFonts w:asciiTheme="minorHAnsi" w:hAnsiTheme="minorHAnsi"/>
          <w:szCs w:val="22"/>
        </w:rPr>
        <w:t xml:space="preserve"> </w:t>
      </w:r>
      <w:r w:rsidRPr="009259EA">
        <w:rPr>
          <w:rFonts w:asciiTheme="minorHAnsi" w:hAnsiTheme="minorHAnsi"/>
          <w:szCs w:val="22"/>
        </w:rPr>
        <w:t xml:space="preserve">This target has been agreed. </w:t>
      </w:r>
    </w:p>
    <w:p w14:paraId="3F71F54B" w14:textId="77777777" w:rsidR="001636FC" w:rsidRPr="00A8462F" w:rsidRDefault="001636FC" w:rsidP="00F60A35">
      <w:pPr>
        <w:pStyle w:val="ListParagraph"/>
        <w:numPr>
          <w:ilvl w:val="0"/>
          <w:numId w:val="25"/>
        </w:numPr>
        <w:ind w:left="360"/>
        <w:rPr>
          <w:rFonts w:asciiTheme="minorHAnsi" w:hAnsiTheme="minorHAnsi"/>
          <w:szCs w:val="22"/>
        </w:rPr>
      </w:pPr>
      <w:r w:rsidRPr="00A8462F">
        <w:rPr>
          <w:rFonts w:asciiTheme="minorHAnsi" w:hAnsiTheme="minorHAnsi"/>
          <w:szCs w:val="22"/>
        </w:rPr>
        <w:t xml:space="preserve">Reduction in Medical Records costs for record storage, transport and stationery by £35K pa from </w:t>
      </w:r>
      <w:r>
        <w:rPr>
          <w:rFonts w:asciiTheme="minorHAnsi" w:hAnsiTheme="minorHAnsi"/>
          <w:szCs w:val="22"/>
        </w:rPr>
        <w:t>20</w:t>
      </w:r>
      <w:r w:rsidRPr="00A8462F">
        <w:rPr>
          <w:rFonts w:asciiTheme="minorHAnsi" w:hAnsiTheme="minorHAnsi"/>
          <w:szCs w:val="22"/>
        </w:rPr>
        <w:t>24/25.</w:t>
      </w:r>
    </w:p>
    <w:p w14:paraId="421C469B" w14:textId="77777777" w:rsidR="001636FC" w:rsidRPr="00D11076" w:rsidRDefault="001636FC" w:rsidP="00D900A8">
      <w:pPr>
        <w:pStyle w:val="Heading4"/>
      </w:pPr>
      <w:r w:rsidRPr="00D11076">
        <w:t>Deployment of the Welsh Emergency Department System</w:t>
      </w:r>
    </w:p>
    <w:p w14:paraId="51CD8478" w14:textId="77777777" w:rsidR="001636FC" w:rsidRDefault="001636FC" w:rsidP="001636FC">
      <w:pPr>
        <w:rPr>
          <w:rFonts w:asciiTheme="minorHAnsi" w:hAnsiTheme="minorHAnsi"/>
          <w:szCs w:val="22"/>
        </w:rPr>
      </w:pPr>
      <w:r w:rsidRPr="00D11076">
        <w:rPr>
          <w:rFonts w:asciiTheme="minorHAnsi" w:hAnsiTheme="minorHAnsi"/>
          <w:szCs w:val="22"/>
        </w:rPr>
        <w:t>The A&amp;E department is part of a whole system approach to emergency care.  It requires specific design features, focused on flow, but needs to operate as part of an integrated health system.</w:t>
      </w:r>
    </w:p>
    <w:p w14:paraId="2BD92943" w14:textId="77777777" w:rsidR="005A3845" w:rsidRPr="00D11076" w:rsidRDefault="005A3845" w:rsidP="001636FC">
      <w:pPr>
        <w:rPr>
          <w:rFonts w:asciiTheme="minorHAnsi" w:hAnsiTheme="minorHAnsi"/>
          <w:szCs w:val="22"/>
        </w:rPr>
      </w:pPr>
    </w:p>
    <w:p w14:paraId="545FD977" w14:textId="641CEB18" w:rsidR="001636FC" w:rsidRDefault="001636FC" w:rsidP="001636FC">
      <w:pPr>
        <w:rPr>
          <w:rFonts w:asciiTheme="minorHAnsi" w:hAnsiTheme="minorHAnsi"/>
          <w:szCs w:val="22"/>
        </w:rPr>
      </w:pPr>
      <w:r w:rsidRPr="00D11076">
        <w:rPr>
          <w:rFonts w:asciiTheme="minorHAnsi" w:hAnsiTheme="minorHAnsi"/>
          <w:szCs w:val="22"/>
        </w:rPr>
        <w:t xml:space="preserve">In 2014 NWIS was asked to manage procurement on behalf of NHS Wales Health Boards and </w:t>
      </w:r>
      <w:r w:rsidR="00E50C80">
        <w:rPr>
          <w:rFonts w:asciiTheme="minorHAnsi" w:hAnsiTheme="minorHAnsi"/>
          <w:szCs w:val="22"/>
        </w:rPr>
        <w:t>UHBs</w:t>
      </w:r>
      <w:r w:rsidRPr="00D11076">
        <w:rPr>
          <w:rFonts w:asciiTheme="minorHAnsi" w:hAnsiTheme="minorHAnsi"/>
          <w:szCs w:val="22"/>
        </w:rPr>
        <w:t xml:space="preserve"> to establish an appropriate contractual arrangement to enable the phased implementation of an </w:t>
      </w:r>
      <w:r w:rsidR="00880EE0">
        <w:rPr>
          <w:rFonts w:asciiTheme="minorHAnsi" w:hAnsiTheme="minorHAnsi"/>
          <w:szCs w:val="22"/>
        </w:rPr>
        <w:t>ED</w:t>
      </w:r>
      <w:r w:rsidRPr="00D11076">
        <w:rPr>
          <w:rFonts w:asciiTheme="minorHAnsi" w:hAnsiTheme="minorHAnsi"/>
          <w:szCs w:val="22"/>
        </w:rPr>
        <w:t xml:space="preserve"> Clinical Information and Management System (EDCIMS) across NHS Wales.  This would be a common solution to enable </w:t>
      </w:r>
      <w:r w:rsidR="00E50C80">
        <w:rPr>
          <w:rFonts w:asciiTheme="minorHAnsi" w:hAnsiTheme="minorHAnsi"/>
          <w:szCs w:val="22"/>
        </w:rPr>
        <w:t>UHBs</w:t>
      </w:r>
      <w:r w:rsidRPr="00D11076">
        <w:rPr>
          <w:rFonts w:asciiTheme="minorHAnsi" w:hAnsiTheme="minorHAnsi"/>
          <w:szCs w:val="22"/>
        </w:rPr>
        <w:t xml:space="preserve"> to procure and implement a new suite of applications, hardware and services to support ongoing delivery of Emergency Services.</w:t>
      </w:r>
      <w:r>
        <w:rPr>
          <w:rFonts w:asciiTheme="minorHAnsi" w:hAnsiTheme="minorHAnsi"/>
          <w:szCs w:val="22"/>
        </w:rPr>
        <w:t xml:space="preserve">  </w:t>
      </w:r>
      <w:r w:rsidRPr="00D11076">
        <w:rPr>
          <w:rFonts w:asciiTheme="minorHAnsi" w:hAnsiTheme="minorHAnsi"/>
          <w:szCs w:val="22"/>
        </w:rPr>
        <w:t xml:space="preserve">The new </w:t>
      </w:r>
      <w:r w:rsidR="00E50C80">
        <w:rPr>
          <w:rFonts w:asciiTheme="minorHAnsi" w:hAnsiTheme="minorHAnsi"/>
          <w:szCs w:val="22"/>
        </w:rPr>
        <w:t xml:space="preserve">ED </w:t>
      </w:r>
      <w:r w:rsidRPr="00D11076">
        <w:rPr>
          <w:rFonts w:asciiTheme="minorHAnsi" w:hAnsiTheme="minorHAnsi"/>
          <w:szCs w:val="22"/>
        </w:rPr>
        <w:t>system is expected to deliver the following high level benefits.</w:t>
      </w:r>
    </w:p>
    <w:p w14:paraId="6A1FB7EF" w14:textId="77777777" w:rsidR="00361E5A" w:rsidRPr="00361E5A" w:rsidRDefault="00361E5A" w:rsidP="00361E5A"/>
    <w:p w14:paraId="706E2CA0" w14:textId="77777777" w:rsidR="001636FC" w:rsidRPr="00D11076" w:rsidRDefault="001636FC" w:rsidP="001636FC">
      <w:pPr>
        <w:pStyle w:val="Caption"/>
        <w:keepNext/>
        <w:spacing w:after="0"/>
        <w:rPr>
          <w:color w:val="auto"/>
          <w:sz w:val="22"/>
          <w:szCs w:val="22"/>
        </w:rPr>
      </w:pPr>
      <w:r w:rsidRPr="00D11076">
        <w:rPr>
          <w:color w:val="auto"/>
          <w:sz w:val="22"/>
          <w:szCs w:val="22"/>
        </w:rPr>
        <w:t xml:space="preserve">Table </w:t>
      </w:r>
      <w:r w:rsidRPr="00D11076">
        <w:rPr>
          <w:noProof/>
          <w:color w:val="auto"/>
          <w:sz w:val="22"/>
          <w:szCs w:val="22"/>
        </w:rPr>
        <w:fldChar w:fldCharType="begin"/>
      </w:r>
      <w:r w:rsidRPr="00D11076">
        <w:rPr>
          <w:noProof/>
          <w:color w:val="auto"/>
          <w:sz w:val="22"/>
          <w:szCs w:val="22"/>
        </w:rPr>
        <w:instrText xml:space="preserve"> SEQ Table \* ARABIC </w:instrText>
      </w:r>
      <w:r w:rsidRPr="00D11076">
        <w:rPr>
          <w:noProof/>
          <w:color w:val="auto"/>
          <w:sz w:val="22"/>
          <w:szCs w:val="22"/>
        </w:rPr>
        <w:fldChar w:fldCharType="separate"/>
      </w:r>
      <w:r w:rsidR="00264DE9">
        <w:rPr>
          <w:noProof/>
          <w:color w:val="auto"/>
          <w:sz w:val="22"/>
          <w:szCs w:val="22"/>
        </w:rPr>
        <w:t>2</w:t>
      </w:r>
      <w:r w:rsidRPr="00D11076">
        <w:rPr>
          <w:noProof/>
          <w:color w:val="auto"/>
          <w:sz w:val="22"/>
          <w:szCs w:val="22"/>
        </w:rPr>
        <w:fldChar w:fldCharType="end"/>
      </w:r>
      <w:r w:rsidRPr="00D11076">
        <w:rPr>
          <w:color w:val="auto"/>
          <w:sz w:val="22"/>
          <w:szCs w:val="22"/>
        </w:rPr>
        <w:t>: Welsh ED System High level Benefits</w:t>
      </w:r>
    </w:p>
    <w:tbl>
      <w:tblPr>
        <w:tblStyle w:val="TableGrid1"/>
        <w:tblW w:w="10173" w:type="dxa"/>
        <w:tblInd w:w="-113" w:type="dxa"/>
        <w:tblLook w:val="04A0" w:firstRow="1" w:lastRow="0" w:firstColumn="1" w:lastColumn="0" w:noHBand="0" w:noVBand="1"/>
      </w:tblPr>
      <w:tblGrid>
        <w:gridCol w:w="10173"/>
      </w:tblGrid>
      <w:tr w:rsidR="001636FC" w:rsidRPr="00361E5A" w14:paraId="646A543A" w14:textId="77777777" w:rsidTr="00361E5A">
        <w:trPr>
          <w:tblHeader/>
        </w:trPr>
        <w:tc>
          <w:tcPr>
            <w:tcW w:w="10173" w:type="dxa"/>
            <w:shd w:val="clear" w:color="auto" w:fill="17365D" w:themeFill="text2" w:themeFillShade="BF"/>
          </w:tcPr>
          <w:p w14:paraId="4DB2EE3C" w14:textId="77777777" w:rsidR="001636FC" w:rsidRPr="00361E5A" w:rsidRDefault="001636FC" w:rsidP="00BE4FAD">
            <w:pPr>
              <w:widowControl w:val="0"/>
              <w:jc w:val="center"/>
              <w:rPr>
                <w:rFonts w:cs="Arial"/>
                <w:b/>
                <w:iCs/>
                <w:sz w:val="22"/>
                <w:szCs w:val="22"/>
                <w:lang w:val="en-US" w:eastAsia="en-US"/>
              </w:rPr>
            </w:pPr>
            <w:r w:rsidRPr="00361E5A">
              <w:rPr>
                <w:rFonts w:cs="Arial"/>
                <w:b/>
                <w:iCs/>
                <w:sz w:val="22"/>
                <w:szCs w:val="22"/>
                <w:lang w:val="en-US" w:eastAsia="en-US"/>
              </w:rPr>
              <w:t>Feature</w:t>
            </w:r>
          </w:p>
        </w:tc>
      </w:tr>
      <w:tr w:rsidR="001636FC" w:rsidRPr="00361E5A" w14:paraId="2C6E3F3C" w14:textId="77777777" w:rsidTr="00361E5A">
        <w:tc>
          <w:tcPr>
            <w:tcW w:w="10173" w:type="dxa"/>
          </w:tcPr>
          <w:p w14:paraId="5E2E2C81" w14:textId="77777777" w:rsidR="001636FC" w:rsidRPr="00361E5A" w:rsidRDefault="001636FC" w:rsidP="00BE4FAD">
            <w:pPr>
              <w:widowControl w:val="0"/>
              <w:rPr>
                <w:rFonts w:asciiTheme="minorHAnsi" w:hAnsiTheme="minorHAnsi" w:cstheme="minorHAnsi"/>
                <w:b/>
                <w:iCs/>
                <w:sz w:val="22"/>
                <w:szCs w:val="22"/>
                <w:lang w:val="en-US" w:eastAsia="en-US"/>
              </w:rPr>
            </w:pPr>
            <w:r w:rsidRPr="00361E5A">
              <w:rPr>
                <w:rFonts w:asciiTheme="minorHAnsi" w:hAnsiTheme="minorHAnsi" w:cstheme="minorHAnsi"/>
                <w:b/>
                <w:sz w:val="22"/>
                <w:szCs w:val="22"/>
                <w:lang w:eastAsia="en-US"/>
              </w:rPr>
              <w:t>Real-Time</w:t>
            </w:r>
            <w:r w:rsidRPr="00361E5A">
              <w:rPr>
                <w:rFonts w:asciiTheme="minorHAnsi" w:hAnsiTheme="minorHAnsi" w:cstheme="minorHAnsi"/>
                <w:sz w:val="22"/>
                <w:szCs w:val="22"/>
                <w:lang w:eastAsia="en-US"/>
              </w:rPr>
              <w:t xml:space="preserve"> Live patient tracking, triage monitoring and triage management supporting clinical decision making.  Live patient status and treatment pathway tracking enables improved communication with patients and relatives.</w:t>
            </w:r>
          </w:p>
        </w:tc>
      </w:tr>
      <w:tr w:rsidR="001636FC" w:rsidRPr="00361E5A" w14:paraId="75844E3E" w14:textId="77777777" w:rsidTr="00361E5A">
        <w:tc>
          <w:tcPr>
            <w:tcW w:w="10173" w:type="dxa"/>
          </w:tcPr>
          <w:p w14:paraId="1C7CA9A1" w14:textId="77777777" w:rsidR="001636FC" w:rsidRPr="00361E5A" w:rsidRDefault="001636FC" w:rsidP="00BE4FAD">
            <w:pPr>
              <w:widowControl w:val="0"/>
              <w:rPr>
                <w:rFonts w:asciiTheme="minorHAnsi" w:hAnsiTheme="minorHAnsi" w:cstheme="minorHAnsi"/>
                <w:b/>
                <w:iCs/>
                <w:sz w:val="22"/>
                <w:szCs w:val="22"/>
                <w:lang w:val="en-US" w:eastAsia="en-US"/>
              </w:rPr>
            </w:pPr>
            <w:r w:rsidRPr="00361E5A">
              <w:rPr>
                <w:rFonts w:asciiTheme="minorHAnsi" w:hAnsiTheme="minorHAnsi" w:cstheme="minorHAnsi"/>
                <w:b/>
                <w:sz w:val="22"/>
                <w:szCs w:val="22"/>
                <w:lang w:eastAsia="en-US"/>
              </w:rPr>
              <w:t>Integrated</w:t>
            </w:r>
            <w:r w:rsidRPr="00361E5A">
              <w:rPr>
                <w:rFonts w:asciiTheme="minorHAnsi" w:hAnsiTheme="minorHAnsi" w:cstheme="minorHAnsi"/>
                <w:sz w:val="22"/>
                <w:szCs w:val="22"/>
                <w:lang w:eastAsia="en-US"/>
              </w:rPr>
              <w:t xml:space="preserve"> with other hospital systems (e.g. Welsh Clinical Portal, Welsh Patient Administration System), for better communication across care settings.</w:t>
            </w:r>
          </w:p>
        </w:tc>
      </w:tr>
      <w:tr w:rsidR="001636FC" w:rsidRPr="00361E5A" w14:paraId="621A1AE7" w14:textId="77777777" w:rsidTr="00361E5A">
        <w:tc>
          <w:tcPr>
            <w:tcW w:w="10173" w:type="dxa"/>
          </w:tcPr>
          <w:p w14:paraId="6FBA88AC" w14:textId="77777777" w:rsidR="001636FC" w:rsidRPr="00361E5A" w:rsidRDefault="001636FC" w:rsidP="00BE4FAD">
            <w:pPr>
              <w:rPr>
                <w:rFonts w:asciiTheme="minorHAnsi" w:hAnsiTheme="minorHAnsi" w:cstheme="minorHAnsi"/>
                <w:b/>
                <w:iCs/>
                <w:sz w:val="22"/>
                <w:szCs w:val="22"/>
                <w:lang w:val="en-US" w:eastAsia="en-US"/>
              </w:rPr>
            </w:pPr>
            <w:r w:rsidRPr="00361E5A">
              <w:rPr>
                <w:rFonts w:asciiTheme="minorHAnsi" w:hAnsiTheme="minorHAnsi" w:cstheme="minorHAnsi"/>
                <w:b/>
                <w:sz w:val="22"/>
                <w:szCs w:val="22"/>
                <w:lang w:eastAsia="en-US"/>
              </w:rPr>
              <w:t>Improved clinical information flows</w:t>
            </w:r>
            <w:r w:rsidRPr="00361E5A">
              <w:rPr>
                <w:rFonts w:asciiTheme="minorHAnsi" w:hAnsiTheme="minorHAnsi" w:cstheme="minorHAnsi"/>
                <w:sz w:val="22"/>
                <w:szCs w:val="22"/>
                <w:lang w:eastAsia="en-US"/>
              </w:rPr>
              <w:t>, reduced duplicated collection of information thus releasing clinical time for patient care</w:t>
            </w:r>
          </w:p>
        </w:tc>
      </w:tr>
      <w:tr w:rsidR="001636FC" w:rsidRPr="00361E5A" w14:paraId="3D90D1CC" w14:textId="77777777" w:rsidTr="00361E5A">
        <w:tc>
          <w:tcPr>
            <w:tcW w:w="10173" w:type="dxa"/>
          </w:tcPr>
          <w:p w14:paraId="1E8709D4" w14:textId="77777777" w:rsidR="001636FC" w:rsidRPr="00361E5A" w:rsidRDefault="001636FC" w:rsidP="00BE4FAD">
            <w:pPr>
              <w:rPr>
                <w:rFonts w:asciiTheme="minorHAnsi" w:hAnsiTheme="minorHAnsi" w:cstheme="minorHAnsi"/>
                <w:sz w:val="22"/>
                <w:szCs w:val="22"/>
                <w:lang w:eastAsia="en-US"/>
              </w:rPr>
            </w:pPr>
            <w:r w:rsidRPr="00361E5A">
              <w:rPr>
                <w:rFonts w:asciiTheme="minorHAnsi" w:hAnsiTheme="minorHAnsi" w:cstheme="minorHAnsi"/>
                <w:b/>
                <w:sz w:val="22"/>
                <w:szCs w:val="22"/>
                <w:lang w:eastAsia="en-US"/>
              </w:rPr>
              <w:t>Ability to view the patient record across all EDs in Wales</w:t>
            </w:r>
            <w:r w:rsidRPr="00361E5A">
              <w:rPr>
                <w:rFonts w:asciiTheme="minorHAnsi" w:hAnsiTheme="minorHAnsi" w:cstheme="minorHAnsi"/>
                <w:sz w:val="22"/>
                <w:szCs w:val="22"/>
                <w:lang w:eastAsia="en-US"/>
              </w:rPr>
              <w:t xml:space="preserve"> using the same system.  This will particularly support the identification and management of vulnerable patients and enable clinicians to speedily note relevant clinical history.  Security and access model will be required to for the new system moving forward.  </w:t>
            </w:r>
          </w:p>
        </w:tc>
      </w:tr>
      <w:tr w:rsidR="001636FC" w:rsidRPr="00361E5A" w14:paraId="1BEB732D" w14:textId="77777777" w:rsidTr="00361E5A">
        <w:tc>
          <w:tcPr>
            <w:tcW w:w="10173" w:type="dxa"/>
          </w:tcPr>
          <w:p w14:paraId="77CD5965" w14:textId="77777777" w:rsidR="001636FC" w:rsidRPr="00361E5A" w:rsidRDefault="001636FC" w:rsidP="00BE4FAD">
            <w:pPr>
              <w:rPr>
                <w:rFonts w:asciiTheme="minorHAnsi" w:hAnsiTheme="minorHAnsi" w:cstheme="minorHAnsi"/>
                <w:sz w:val="22"/>
                <w:szCs w:val="22"/>
                <w:lang w:eastAsia="en-US"/>
              </w:rPr>
            </w:pPr>
            <w:r w:rsidRPr="00361E5A">
              <w:rPr>
                <w:rFonts w:asciiTheme="minorHAnsi" w:hAnsiTheme="minorHAnsi" w:cstheme="minorHAnsi"/>
                <w:b/>
                <w:sz w:val="22"/>
                <w:szCs w:val="22"/>
                <w:lang w:eastAsia="en-US"/>
              </w:rPr>
              <w:t xml:space="preserve">Transfer appropriate information, </w:t>
            </w:r>
            <w:r w:rsidRPr="00361E5A">
              <w:rPr>
                <w:rFonts w:asciiTheme="minorHAnsi" w:hAnsiTheme="minorHAnsi" w:cstheme="minorHAnsi"/>
                <w:sz w:val="22"/>
                <w:szCs w:val="22"/>
                <w:lang w:eastAsia="en-US"/>
              </w:rPr>
              <w:t>particularly discharge letters, electronically to GP systems, i.e. via the WCCG using current interfacing links.</w:t>
            </w:r>
          </w:p>
        </w:tc>
      </w:tr>
      <w:tr w:rsidR="001636FC" w:rsidRPr="00361E5A" w14:paraId="62C0B190" w14:textId="77777777" w:rsidTr="00361E5A">
        <w:tc>
          <w:tcPr>
            <w:tcW w:w="10173" w:type="dxa"/>
          </w:tcPr>
          <w:p w14:paraId="32AE4603" w14:textId="77777777" w:rsidR="001636FC" w:rsidRPr="00361E5A" w:rsidRDefault="001636FC" w:rsidP="00BE4FAD">
            <w:pPr>
              <w:rPr>
                <w:rFonts w:asciiTheme="minorHAnsi" w:hAnsiTheme="minorHAnsi" w:cstheme="minorHAnsi"/>
                <w:sz w:val="22"/>
                <w:szCs w:val="22"/>
                <w:lang w:eastAsia="en-US"/>
              </w:rPr>
            </w:pPr>
            <w:r w:rsidRPr="00361E5A">
              <w:rPr>
                <w:rFonts w:asciiTheme="minorHAnsi" w:hAnsiTheme="minorHAnsi" w:cstheme="minorHAnsi"/>
                <w:b/>
                <w:sz w:val="22"/>
                <w:szCs w:val="22"/>
                <w:lang w:eastAsia="en-US"/>
              </w:rPr>
              <w:t>Clinical audit reporting</w:t>
            </w:r>
            <w:r w:rsidRPr="00361E5A">
              <w:rPr>
                <w:rFonts w:asciiTheme="minorHAnsi" w:hAnsiTheme="minorHAnsi" w:cstheme="minorHAnsi"/>
                <w:sz w:val="22"/>
                <w:szCs w:val="22"/>
                <w:lang w:eastAsia="en-US"/>
              </w:rPr>
              <w:t xml:space="preserve"> and outcome measurement</w:t>
            </w:r>
          </w:p>
        </w:tc>
      </w:tr>
      <w:tr w:rsidR="001636FC" w:rsidRPr="00361E5A" w14:paraId="6E595368" w14:textId="77777777" w:rsidTr="00361E5A">
        <w:tc>
          <w:tcPr>
            <w:tcW w:w="10173" w:type="dxa"/>
          </w:tcPr>
          <w:p w14:paraId="1568BE4D" w14:textId="77777777" w:rsidR="001636FC" w:rsidRPr="00361E5A" w:rsidRDefault="001636FC" w:rsidP="00BE4FAD">
            <w:pPr>
              <w:rPr>
                <w:rFonts w:asciiTheme="minorHAnsi" w:hAnsiTheme="minorHAnsi" w:cstheme="minorHAnsi"/>
                <w:sz w:val="22"/>
                <w:szCs w:val="22"/>
                <w:lang w:eastAsia="en-US"/>
              </w:rPr>
            </w:pPr>
            <w:r w:rsidRPr="00361E5A">
              <w:rPr>
                <w:rFonts w:asciiTheme="minorHAnsi" w:hAnsiTheme="minorHAnsi" w:cstheme="minorHAnsi"/>
                <w:b/>
                <w:sz w:val="22"/>
                <w:szCs w:val="22"/>
                <w:lang w:eastAsia="en-US"/>
              </w:rPr>
              <w:t>Eradicate</w:t>
            </w:r>
            <w:r w:rsidRPr="00361E5A">
              <w:rPr>
                <w:rFonts w:asciiTheme="minorHAnsi" w:hAnsiTheme="minorHAnsi" w:cstheme="minorHAnsi"/>
                <w:sz w:val="22"/>
                <w:szCs w:val="22"/>
                <w:lang w:eastAsia="en-US"/>
              </w:rPr>
              <w:t xml:space="preserve"> the requirement for hybrid paper/electronic data capture e.g. avoids the need to scan paper records into electronic systems, allowing the reallocation of resources.</w:t>
            </w:r>
          </w:p>
        </w:tc>
      </w:tr>
      <w:tr w:rsidR="001636FC" w:rsidRPr="00361E5A" w14:paraId="331983F4" w14:textId="77777777" w:rsidTr="00361E5A">
        <w:tc>
          <w:tcPr>
            <w:tcW w:w="10173" w:type="dxa"/>
          </w:tcPr>
          <w:p w14:paraId="73E1A8E6" w14:textId="77777777" w:rsidR="001636FC" w:rsidRPr="00361E5A" w:rsidRDefault="001636FC" w:rsidP="00BE4FAD">
            <w:pPr>
              <w:rPr>
                <w:rFonts w:asciiTheme="minorHAnsi" w:hAnsiTheme="minorHAnsi" w:cstheme="minorHAnsi"/>
                <w:sz w:val="22"/>
                <w:szCs w:val="22"/>
                <w:lang w:eastAsia="en-US"/>
              </w:rPr>
            </w:pPr>
            <w:r w:rsidRPr="00361E5A">
              <w:rPr>
                <w:rFonts w:asciiTheme="minorHAnsi" w:hAnsiTheme="minorHAnsi" w:cstheme="minorHAnsi"/>
                <w:b/>
                <w:sz w:val="22"/>
                <w:szCs w:val="22"/>
                <w:lang w:eastAsia="en-US"/>
              </w:rPr>
              <w:lastRenderedPageBreak/>
              <w:t>Save time</w:t>
            </w:r>
            <w:r w:rsidRPr="00361E5A">
              <w:rPr>
                <w:rFonts w:asciiTheme="minorHAnsi" w:hAnsiTheme="minorHAnsi" w:cstheme="minorHAnsi"/>
                <w:sz w:val="22"/>
                <w:szCs w:val="22"/>
                <w:lang w:eastAsia="en-US"/>
              </w:rPr>
              <w:t xml:space="preserve"> looking for information by having everything in one system.  The key for this functionality is integration with other systems.</w:t>
            </w:r>
          </w:p>
        </w:tc>
      </w:tr>
      <w:tr w:rsidR="001636FC" w:rsidRPr="00361E5A" w14:paraId="03541FF2" w14:textId="77777777" w:rsidTr="00361E5A">
        <w:tc>
          <w:tcPr>
            <w:tcW w:w="10173" w:type="dxa"/>
          </w:tcPr>
          <w:p w14:paraId="74E7FFFA" w14:textId="77777777" w:rsidR="001636FC" w:rsidRPr="00361E5A" w:rsidRDefault="001636FC" w:rsidP="00BE4FAD">
            <w:pPr>
              <w:rPr>
                <w:rFonts w:asciiTheme="minorHAnsi" w:hAnsiTheme="minorHAnsi" w:cstheme="minorHAnsi"/>
                <w:sz w:val="22"/>
                <w:szCs w:val="22"/>
                <w:lang w:eastAsia="en-US"/>
              </w:rPr>
            </w:pPr>
            <w:r w:rsidRPr="00361E5A">
              <w:rPr>
                <w:rFonts w:asciiTheme="minorHAnsi" w:hAnsiTheme="minorHAnsi" w:cstheme="minorHAnsi"/>
                <w:b/>
                <w:sz w:val="22"/>
                <w:szCs w:val="22"/>
                <w:lang w:eastAsia="en-US"/>
              </w:rPr>
              <w:t xml:space="preserve">Quicker </w:t>
            </w:r>
            <w:r w:rsidRPr="00361E5A">
              <w:rPr>
                <w:rFonts w:asciiTheme="minorHAnsi" w:hAnsiTheme="minorHAnsi" w:cstheme="minorHAnsi"/>
                <w:sz w:val="22"/>
                <w:szCs w:val="22"/>
                <w:lang w:eastAsia="en-US"/>
              </w:rPr>
              <w:t>access to information for operational teams and the Information team</w:t>
            </w:r>
          </w:p>
        </w:tc>
      </w:tr>
      <w:tr w:rsidR="001636FC" w:rsidRPr="00361E5A" w14:paraId="1A4DD6B2" w14:textId="77777777" w:rsidTr="00361E5A">
        <w:tc>
          <w:tcPr>
            <w:tcW w:w="10173" w:type="dxa"/>
          </w:tcPr>
          <w:p w14:paraId="4D5A3FC9" w14:textId="77777777" w:rsidR="001636FC" w:rsidRPr="00361E5A" w:rsidRDefault="001636FC" w:rsidP="00BE4FAD">
            <w:pPr>
              <w:rPr>
                <w:rFonts w:asciiTheme="minorHAnsi" w:hAnsiTheme="minorHAnsi" w:cstheme="minorHAnsi"/>
                <w:sz w:val="22"/>
                <w:szCs w:val="22"/>
                <w:lang w:eastAsia="en-US"/>
              </w:rPr>
            </w:pPr>
            <w:r w:rsidRPr="00361E5A">
              <w:rPr>
                <w:rFonts w:asciiTheme="minorHAnsi" w:hAnsiTheme="minorHAnsi" w:cstheme="minorHAnsi"/>
                <w:b/>
                <w:sz w:val="22"/>
                <w:szCs w:val="22"/>
                <w:lang w:eastAsia="en-US"/>
              </w:rPr>
              <w:t xml:space="preserve">Patient location tracking </w:t>
            </w:r>
            <w:r w:rsidRPr="00361E5A">
              <w:rPr>
                <w:rFonts w:asciiTheme="minorHAnsi" w:hAnsiTheme="minorHAnsi" w:cstheme="minorHAnsi"/>
                <w:sz w:val="22"/>
                <w:szCs w:val="22"/>
                <w:lang w:eastAsia="en-US"/>
              </w:rPr>
              <w:t>supports the improvement in patient flow across the hospital, again integration is key as this will build on functionality already in place.</w:t>
            </w:r>
          </w:p>
        </w:tc>
      </w:tr>
      <w:tr w:rsidR="001636FC" w:rsidRPr="00361E5A" w14:paraId="17E38674" w14:textId="77777777" w:rsidTr="00361E5A">
        <w:tc>
          <w:tcPr>
            <w:tcW w:w="10173" w:type="dxa"/>
          </w:tcPr>
          <w:p w14:paraId="37321885" w14:textId="77777777" w:rsidR="001636FC" w:rsidRPr="00361E5A" w:rsidRDefault="001636FC" w:rsidP="00BE4FAD">
            <w:pPr>
              <w:rPr>
                <w:rFonts w:asciiTheme="minorHAnsi" w:hAnsiTheme="minorHAnsi" w:cstheme="minorHAnsi"/>
                <w:sz w:val="22"/>
                <w:szCs w:val="22"/>
                <w:lang w:val="en-US" w:eastAsia="en-US"/>
              </w:rPr>
            </w:pPr>
            <w:r w:rsidRPr="00361E5A">
              <w:rPr>
                <w:rFonts w:asciiTheme="minorHAnsi" w:hAnsiTheme="minorHAnsi" w:cstheme="minorHAnsi"/>
                <w:b/>
                <w:sz w:val="22"/>
                <w:szCs w:val="22"/>
                <w:lang w:eastAsia="en-US"/>
              </w:rPr>
              <w:t xml:space="preserve">Effective audit for triage and patient pathway management.  </w:t>
            </w:r>
            <w:r w:rsidRPr="00361E5A">
              <w:rPr>
                <w:rFonts w:asciiTheme="minorHAnsi" w:hAnsiTheme="minorHAnsi" w:cstheme="minorHAnsi"/>
                <w:sz w:val="22"/>
                <w:szCs w:val="22"/>
                <w:lang w:eastAsia="en-US"/>
              </w:rPr>
              <w:t>Robust evidence to facilitate service improvements.</w:t>
            </w:r>
          </w:p>
        </w:tc>
      </w:tr>
      <w:tr w:rsidR="001636FC" w:rsidRPr="00361E5A" w14:paraId="22047319" w14:textId="77777777" w:rsidTr="00361E5A">
        <w:tc>
          <w:tcPr>
            <w:tcW w:w="10173" w:type="dxa"/>
          </w:tcPr>
          <w:p w14:paraId="0EA9C558" w14:textId="77777777" w:rsidR="001636FC" w:rsidRPr="00361E5A" w:rsidRDefault="001636FC" w:rsidP="00BE4FAD">
            <w:pPr>
              <w:rPr>
                <w:rFonts w:asciiTheme="minorHAnsi" w:hAnsiTheme="minorHAnsi" w:cstheme="minorHAnsi"/>
                <w:sz w:val="22"/>
                <w:szCs w:val="22"/>
                <w:lang w:val="en-US" w:eastAsia="en-US"/>
              </w:rPr>
            </w:pPr>
            <w:r w:rsidRPr="00361E5A">
              <w:rPr>
                <w:rFonts w:asciiTheme="minorHAnsi" w:hAnsiTheme="minorHAnsi" w:cstheme="minorHAnsi"/>
                <w:b/>
                <w:iCs/>
                <w:sz w:val="22"/>
                <w:szCs w:val="22"/>
                <w:lang w:val="en-US" w:eastAsia="en-US"/>
              </w:rPr>
              <w:t xml:space="preserve">Reduced clinical time required on administrative tasks </w:t>
            </w:r>
            <w:r w:rsidRPr="00361E5A">
              <w:rPr>
                <w:rFonts w:asciiTheme="minorHAnsi" w:hAnsiTheme="minorHAnsi" w:cstheme="minorHAnsi"/>
                <w:iCs/>
                <w:sz w:val="22"/>
                <w:szCs w:val="22"/>
                <w:lang w:val="en-US" w:eastAsia="en-US"/>
              </w:rPr>
              <w:t>enabling improved clinical presence at departmental and patient level.</w:t>
            </w:r>
          </w:p>
        </w:tc>
      </w:tr>
    </w:tbl>
    <w:p w14:paraId="2F66B25A" w14:textId="77777777" w:rsidR="001636FC" w:rsidRDefault="001636FC" w:rsidP="00361E5A">
      <w:pPr>
        <w:pStyle w:val="Heading4"/>
      </w:pPr>
      <w:r>
        <w:t xml:space="preserve">Deployment of Vision 360 as a </w:t>
      </w:r>
      <w:r w:rsidRPr="00D11076">
        <w:t>Shared Care Record</w:t>
      </w:r>
      <w:r>
        <w:t xml:space="preserve"> &amp; Increased Accessibility of Information across Health and Care</w:t>
      </w:r>
    </w:p>
    <w:p w14:paraId="30C21921" w14:textId="57C09054" w:rsidR="001636FC" w:rsidRPr="00D11076" w:rsidRDefault="00BA6A94" w:rsidP="00361E5A">
      <w:pPr>
        <w:rPr>
          <w:szCs w:val="22"/>
        </w:rPr>
      </w:pPr>
      <w:r>
        <w:rPr>
          <w:rFonts w:asciiTheme="minorHAnsi" w:hAnsiTheme="minorHAnsi"/>
          <w:szCs w:val="22"/>
        </w:rPr>
        <w:t>The UHB</w:t>
      </w:r>
      <w:r w:rsidR="001636FC">
        <w:rPr>
          <w:rFonts w:asciiTheme="minorHAnsi" w:hAnsiTheme="minorHAnsi"/>
          <w:szCs w:val="22"/>
        </w:rPr>
        <w:t>,</w:t>
      </w:r>
      <w:r w:rsidR="001636FC" w:rsidRPr="00D11076">
        <w:rPr>
          <w:rFonts w:asciiTheme="minorHAnsi" w:hAnsiTheme="minorHAnsi"/>
          <w:szCs w:val="22"/>
        </w:rPr>
        <w:t xml:space="preserve"> </w:t>
      </w:r>
      <w:r w:rsidR="001636FC">
        <w:rPr>
          <w:rFonts w:asciiTheme="minorHAnsi" w:hAnsiTheme="minorHAnsi"/>
          <w:szCs w:val="22"/>
        </w:rPr>
        <w:t xml:space="preserve">as part of </w:t>
      </w:r>
      <w:r w:rsidR="005A3845">
        <w:rPr>
          <w:rFonts w:asciiTheme="minorHAnsi" w:hAnsiTheme="minorHAnsi"/>
          <w:szCs w:val="22"/>
        </w:rPr>
        <w:t>RPB</w:t>
      </w:r>
      <w:r w:rsidR="001636FC">
        <w:rPr>
          <w:rFonts w:asciiTheme="minorHAnsi" w:hAnsiTheme="minorHAnsi"/>
          <w:szCs w:val="22"/>
        </w:rPr>
        <w:t xml:space="preserve">, </w:t>
      </w:r>
      <w:r w:rsidR="001636FC" w:rsidRPr="00D11076">
        <w:rPr>
          <w:rFonts w:asciiTheme="minorHAnsi" w:hAnsiTheme="minorHAnsi"/>
          <w:szCs w:val="22"/>
        </w:rPr>
        <w:t xml:space="preserve">is engaged in </w:t>
      </w:r>
      <w:r w:rsidR="001636FC">
        <w:rPr>
          <w:rFonts w:asciiTheme="minorHAnsi" w:hAnsiTheme="minorHAnsi"/>
          <w:szCs w:val="22"/>
        </w:rPr>
        <w:t>the transformation of the integrated system for integrated care</w:t>
      </w:r>
      <w:r w:rsidR="001636FC" w:rsidRPr="00D11076">
        <w:rPr>
          <w:rFonts w:asciiTheme="minorHAnsi" w:hAnsiTheme="minorHAnsi"/>
          <w:szCs w:val="22"/>
        </w:rPr>
        <w:t xml:space="preserve">.  </w:t>
      </w:r>
      <w:r w:rsidR="001636FC">
        <w:rPr>
          <w:szCs w:val="22"/>
        </w:rPr>
        <w:t xml:space="preserve">A Shared Care Record </w:t>
      </w:r>
      <w:r w:rsidR="001636FC" w:rsidRPr="00D11076">
        <w:rPr>
          <w:szCs w:val="22"/>
        </w:rPr>
        <w:t>is the underpinning digital initiative which supports the transformation programme.  It will seek to make the disparate systems used by care workers more seamless and improve the flow of information.</w:t>
      </w:r>
    </w:p>
    <w:p w14:paraId="214AC63B" w14:textId="77777777" w:rsidR="001636FC" w:rsidRPr="00D11076" w:rsidRDefault="001636FC" w:rsidP="005A3845">
      <w:pPr>
        <w:rPr>
          <w:szCs w:val="22"/>
        </w:rPr>
      </w:pPr>
    </w:p>
    <w:p w14:paraId="4CA38499" w14:textId="77777777" w:rsidR="001636FC" w:rsidRPr="00D11076" w:rsidRDefault="001636FC" w:rsidP="00361E5A">
      <w:pPr>
        <w:rPr>
          <w:rFonts w:asciiTheme="minorHAnsi" w:hAnsiTheme="minorHAnsi"/>
          <w:szCs w:val="22"/>
        </w:rPr>
      </w:pPr>
      <w:r w:rsidRPr="00D11076">
        <w:rPr>
          <w:szCs w:val="22"/>
        </w:rPr>
        <w:t xml:space="preserve">There are many people, services and organisations that have an interest in the sharing of patient data.  </w:t>
      </w:r>
      <w:r w:rsidRPr="00D11076">
        <w:rPr>
          <w:rFonts w:asciiTheme="minorHAnsi" w:hAnsiTheme="minorHAnsi"/>
          <w:szCs w:val="22"/>
        </w:rPr>
        <w:t>In order to ensure we get the right information to the right people at the right time and in the right place, there are several key elements that need to be in place and work together to form the whole solution.  The solution is not just the software, it is all these elements brought together to enable consistent, seamless access to patient data for all parties.</w:t>
      </w:r>
    </w:p>
    <w:p w14:paraId="3822C024" w14:textId="77777777" w:rsidR="001636FC" w:rsidRPr="00D11076" w:rsidRDefault="001636FC" w:rsidP="00361E5A">
      <w:pPr>
        <w:pStyle w:val="NormaBullet"/>
      </w:pPr>
      <w:r w:rsidRPr="00D11076">
        <w:rPr>
          <w:b/>
        </w:rPr>
        <w:t>Users</w:t>
      </w:r>
      <w:r w:rsidRPr="00D11076">
        <w:t xml:space="preserve"> – users need to be confident, supported and able to use the solution effectively.</w:t>
      </w:r>
    </w:p>
    <w:p w14:paraId="283207C3" w14:textId="77777777" w:rsidR="001636FC" w:rsidRPr="00D11076" w:rsidRDefault="001636FC" w:rsidP="00361E5A">
      <w:pPr>
        <w:pStyle w:val="NormaBullet"/>
      </w:pPr>
      <w:r w:rsidRPr="00D11076">
        <w:rPr>
          <w:b/>
        </w:rPr>
        <w:t>Processes</w:t>
      </w:r>
      <w:r w:rsidRPr="00D11076">
        <w:t xml:space="preserve"> – processes need to be effective to ensure ease of use of the solution, remove unnecessary data entry and duplication.</w:t>
      </w:r>
    </w:p>
    <w:p w14:paraId="22607FC9" w14:textId="77777777" w:rsidR="001636FC" w:rsidRPr="00D11076" w:rsidRDefault="001636FC" w:rsidP="00361E5A">
      <w:pPr>
        <w:pStyle w:val="NormaBullet"/>
      </w:pPr>
      <w:r w:rsidRPr="00D11076">
        <w:rPr>
          <w:b/>
        </w:rPr>
        <w:t>Information Governance</w:t>
      </w:r>
      <w:r w:rsidRPr="00D11076">
        <w:t xml:space="preserve"> – needs to be appropriate and proportionate to ensure patients’ data is protected whilst allowing access to those who need it to provide care (either directly or indirectly) to patients.</w:t>
      </w:r>
    </w:p>
    <w:p w14:paraId="6B13017B" w14:textId="77777777" w:rsidR="001636FC" w:rsidRPr="00D11076" w:rsidRDefault="001636FC" w:rsidP="00361E5A">
      <w:pPr>
        <w:pStyle w:val="NormaBullet"/>
      </w:pPr>
      <w:r w:rsidRPr="00D11076">
        <w:rPr>
          <w:b/>
        </w:rPr>
        <w:t>Software</w:t>
      </w:r>
      <w:r w:rsidRPr="00D11076">
        <w:t xml:space="preserve"> – needs to be integrated wherever possible to allow data to be entered once and used many times, easy to use and support the delivery of care, not hinder it.  To be of the most benefit software should be able to be used in offline mode.</w:t>
      </w:r>
    </w:p>
    <w:p w14:paraId="532CC61E" w14:textId="77777777" w:rsidR="001636FC" w:rsidRPr="00D11076" w:rsidRDefault="001636FC" w:rsidP="00361E5A">
      <w:pPr>
        <w:pStyle w:val="NormaBullet"/>
      </w:pPr>
      <w:r w:rsidRPr="00D11076">
        <w:rPr>
          <w:b/>
        </w:rPr>
        <w:t>Infrastructure and connectivity</w:t>
      </w:r>
      <w:r w:rsidRPr="00D11076">
        <w:t xml:space="preserve"> – the foundation to enable the solution to work, it needs to be fit for purpose to support the requirements of the service and its patients.</w:t>
      </w:r>
    </w:p>
    <w:p w14:paraId="77B93F3E" w14:textId="77777777" w:rsidR="001636FC" w:rsidRPr="00D11076" w:rsidRDefault="001636FC" w:rsidP="00361E5A">
      <w:pPr>
        <w:pStyle w:val="NormaBullet"/>
      </w:pPr>
      <w:r w:rsidRPr="00D11076">
        <w:rPr>
          <w:b/>
        </w:rPr>
        <w:t>Devices</w:t>
      </w:r>
      <w:r w:rsidRPr="00D11076">
        <w:t xml:space="preserve"> – the correct devices to allow access to the software whether connected or offline.</w:t>
      </w:r>
    </w:p>
    <w:p w14:paraId="18BC1F44" w14:textId="77777777" w:rsidR="001636FC" w:rsidRPr="00D11076" w:rsidRDefault="001636FC" w:rsidP="001636FC">
      <w:pPr>
        <w:rPr>
          <w:szCs w:val="22"/>
        </w:rPr>
      </w:pPr>
    </w:p>
    <w:p w14:paraId="0408435B" w14:textId="17C101C2" w:rsidR="001636FC" w:rsidRDefault="001636FC" w:rsidP="001636FC">
      <w:pPr>
        <w:rPr>
          <w:b/>
          <w:szCs w:val="22"/>
        </w:rPr>
      </w:pPr>
      <w:r>
        <w:rPr>
          <w:szCs w:val="22"/>
        </w:rPr>
        <w:t xml:space="preserve">The priorities outlined above are expected to deliver financial and clinical benefits to the </w:t>
      </w:r>
      <w:r w:rsidR="003F5ECF">
        <w:rPr>
          <w:szCs w:val="22"/>
        </w:rPr>
        <w:t>UHB</w:t>
      </w:r>
      <w:r>
        <w:rPr>
          <w:szCs w:val="22"/>
        </w:rPr>
        <w:t xml:space="preserve"> as explained in each section</w:t>
      </w:r>
      <w:r w:rsidR="00C72354">
        <w:rPr>
          <w:szCs w:val="22"/>
        </w:rPr>
        <w:t>.</w:t>
      </w:r>
    </w:p>
    <w:p w14:paraId="1DE5CCE2" w14:textId="77777777" w:rsidR="001636FC" w:rsidRPr="004C6DA5" w:rsidRDefault="001636FC" w:rsidP="001636FC">
      <w:pPr>
        <w:pStyle w:val="ListParagraph"/>
        <w:ind w:left="0"/>
        <w:rPr>
          <w:color w:val="FF0000"/>
        </w:rPr>
      </w:pPr>
    </w:p>
    <w:p w14:paraId="13F1BBBE" w14:textId="77777777" w:rsidR="001636FC" w:rsidRPr="00BD2921" w:rsidRDefault="001636FC" w:rsidP="001636FC">
      <w:pPr>
        <w:pStyle w:val="NormaBullet"/>
        <w:numPr>
          <w:ilvl w:val="0"/>
          <w:numId w:val="0"/>
        </w:numPr>
        <w:rPr>
          <w:b/>
          <w:szCs w:val="22"/>
        </w:rPr>
      </w:pPr>
      <w:r w:rsidRPr="00EA055D">
        <w:rPr>
          <w:b/>
          <w:szCs w:val="22"/>
        </w:rPr>
        <w:t>Modern architecture / strong governance</w:t>
      </w:r>
    </w:p>
    <w:p w14:paraId="3BBC1FFF" w14:textId="1941206F" w:rsidR="001636FC" w:rsidRPr="00EA055D" w:rsidRDefault="001636FC" w:rsidP="001636FC">
      <w:pPr>
        <w:pStyle w:val="ListParagraph"/>
        <w:ind w:left="0"/>
      </w:pPr>
      <w:r w:rsidRPr="00EA055D">
        <w:t xml:space="preserve">Supporting new ways of working within clusters and across professional groups and organisations, to deliver increasingly seamless pathways and the greater empowerment of citizens and patients requires </w:t>
      </w:r>
      <w:r w:rsidR="00282916">
        <w:t xml:space="preserve">the </w:t>
      </w:r>
      <w:r w:rsidR="003F5ECF">
        <w:t xml:space="preserve">UHB </w:t>
      </w:r>
      <w:r w:rsidRPr="00EA055D">
        <w:t>and our partners to:</w:t>
      </w:r>
    </w:p>
    <w:p w14:paraId="3B24476A" w14:textId="77777777" w:rsidR="001636FC" w:rsidRPr="00EA055D" w:rsidRDefault="001636FC" w:rsidP="00F60A35">
      <w:pPr>
        <w:pStyle w:val="ListParagraph"/>
        <w:numPr>
          <w:ilvl w:val="0"/>
          <w:numId w:val="82"/>
        </w:numPr>
      </w:pPr>
      <w:r w:rsidRPr="00EA055D">
        <w:t xml:space="preserve">support the use of mobile connected devices, </w:t>
      </w:r>
    </w:p>
    <w:p w14:paraId="79D475CF" w14:textId="77777777" w:rsidR="001636FC" w:rsidRPr="00EA055D" w:rsidRDefault="001636FC" w:rsidP="00F60A35">
      <w:pPr>
        <w:pStyle w:val="ListParagraph"/>
        <w:numPr>
          <w:ilvl w:val="0"/>
          <w:numId w:val="82"/>
        </w:numPr>
      </w:pPr>
      <w:r w:rsidRPr="00EA055D">
        <w:t xml:space="preserve">with widespread access to fast internet and intranet resources </w:t>
      </w:r>
    </w:p>
    <w:p w14:paraId="66B89144" w14:textId="77777777" w:rsidR="001636FC" w:rsidRPr="00EA055D" w:rsidRDefault="001636FC" w:rsidP="00F60A35">
      <w:pPr>
        <w:pStyle w:val="ListParagraph"/>
        <w:numPr>
          <w:ilvl w:val="0"/>
          <w:numId w:val="82"/>
        </w:numPr>
      </w:pPr>
      <w:r w:rsidRPr="00EA055D">
        <w:t>using single sign on across safe and secure networks</w:t>
      </w:r>
    </w:p>
    <w:p w14:paraId="51A9BC56" w14:textId="77777777" w:rsidR="001636FC" w:rsidRPr="00EA055D" w:rsidRDefault="001636FC" w:rsidP="00F60A35">
      <w:pPr>
        <w:pStyle w:val="ListParagraph"/>
        <w:numPr>
          <w:ilvl w:val="0"/>
          <w:numId w:val="82"/>
        </w:numPr>
      </w:pPr>
      <w:r w:rsidRPr="00EA055D">
        <w:t xml:space="preserve">delivered in a way which is enabling and seeks to maximise the benefits and use of these assets </w:t>
      </w:r>
    </w:p>
    <w:p w14:paraId="77AB18E3" w14:textId="77777777" w:rsidR="001636FC" w:rsidRPr="00EA055D" w:rsidRDefault="001636FC" w:rsidP="00F60A35">
      <w:pPr>
        <w:pStyle w:val="ListParagraph"/>
        <w:numPr>
          <w:ilvl w:val="0"/>
          <w:numId w:val="82"/>
        </w:numPr>
      </w:pPr>
      <w:r w:rsidRPr="00EA055D">
        <w:t>works agnostically of the employee’s organisation</w:t>
      </w:r>
    </w:p>
    <w:p w14:paraId="79E6C103" w14:textId="2D057112" w:rsidR="001636FC" w:rsidRPr="00EA055D" w:rsidRDefault="007B7DF1" w:rsidP="00F60A35">
      <w:pPr>
        <w:pStyle w:val="ListParagraph"/>
        <w:numPr>
          <w:ilvl w:val="0"/>
          <w:numId w:val="82"/>
        </w:numPr>
      </w:pPr>
      <w:r w:rsidRPr="00EA055D">
        <w:t>And</w:t>
      </w:r>
      <w:r w:rsidR="001636FC" w:rsidRPr="00EA055D">
        <w:t xml:space="preserve"> which protects and secures our own and our stakeholders sensitive and financial resources.</w:t>
      </w:r>
    </w:p>
    <w:p w14:paraId="2487765E" w14:textId="77777777" w:rsidR="001636FC" w:rsidRPr="00EA055D" w:rsidRDefault="001636FC" w:rsidP="001636FC">
      <w:pPr>
        <w:ind w:left="720"/>
      </w:pPr>
    </w:p>
    <w:p w14:paraId="7BD4CBBC" w14:textId="74640FFE" w:rsidR="001636FC" w:rsidRPr="00EA055D" w:rsidRDefault="001636FC" w:rsidP="001636FC">
      <w:r w:rsidRPr="00EA055D">
        <w:t xml:space="preserve">In 2020/21, the </w:t>
      </w:r>
      <w:r w:rsidR="003F5ECF">
        <w:t xml:space="preserve">UHB </w:t>
      </w:r>
      <w:r w:rsidRPr="00EA055D">
        <w:t>will continue to work with stakeholders in leading a digital infrastructure strategy and implementing the agreed implementation programme.</w:t>
      </w:r>
    </w:p>
    <w:p w14:paraId="2C55EBD3" w14:textId="5D3E13D9" w:rsidR="00345AE0" w:rsidRPr="002B103C" w:rsidRDefault="004E7ED1" w:rsidP="00EE74A7">
      <w:pPr>
        <w:pStyle w:val="Heading2"/>
        <w:rPr>
          <w:szCs w:val="22"/>
        </w:rPr>
      </w:pPr>
      <w:bookmarkStart w:id="206" w:name="_Toc29573973"/>
      <w:r w:rsidRPr="002B103C">
        <w:rPr>
          <w:szCs w:val="22"/>
        </w:rPr>
        <w:lastRenderedPageBreak/>
        <w:t>Estates and Capital</w:t>
      </w:r>
      <w:bookmarkEnd w:id="203"/>
      <w:bookmarkEnd w:id="204"/>
      <w:bookmarkEnd w:id="205"/>
      <w:bookmarkEnd w:id="206"/>
    </w:p>
    <w:p w14:paraId="1D8A5D70" w14:textId="5E827CB9" w:rsidR="002E5B11" w:rsidRPr="002B103C" w:rsidRDefault="00B15BEA" w:rsidP="0051270F">
      <w:pPr>
        <w:pStyle w:val="Heading3"/>
        <w:rPr>
          <w:szCs w:val="22"/>
        </w:rPr>
      </w:pPr>
      <w:bookmarkStart w:id="207" w:name="_Toc532464118"/>
      <w:r w:rsidRPr="002B103C">
        <w:rPr>
          <w:szCs w:val="22"/>
        </w:rPr>
        <w:t>E</w:t>
      </w:r>
      <w:r w:rsidR="002E5B11" w:rsidRPr="002B103C">
        <w:rPr>
          <w:szCs w:val="22"/>
        </w:rPr>
        <w:t>states</w:t>
      </w:r>
      <w:bookmarkEnd w:id="207"/>
      <w:r w:rsidR="002E5B11" w:rsidRPr="002B103C">
        <w:rPr>
          <w:szCs w:val="22"/>
        </w:rPr>
        <w:t xml:space="preserve"> </w:t>
      </w:r>
    </w:p>
    <w:p w14:paraId="04795FA5" w14:textId="7D697CF2" w:rsidR="00C268C6" w:rsidRPr="0064498B" w:rsidRDefault="00C268C6" w:rsidP="00C268C6">
      <w:pPr>
        <w:rPr>
          <w:rFonts w:asciiTheme="minorHAnsi" w:hAnsiTheme="minorHAnsi"/>
          <w:szCs w:val="22"/>
        </w:rPr>
      </w:pPr>
      <w:bookmarkStart w:id="208" w:name="_Toc441757304"/>
      <w:bookmarkStart w:id="209" w:name="_Toc447195701"/>
      <w:r w:rsidRPr="002B103C">
        <w:rPr>
          <w:rFonts w:asciiTheme="minorHAnsi" w:hAnsiTheme="minorHAnsi"/>
          <w:szCs w:val="22"/>
        </w:rPr>
        <w:t xml:space="preserve">The Estate is one of the </w:t>
      </w:r>
      <w:r w:rsidR="0067640B">
        <w:rPr>
          <w:rFonts w:asciiTheme="minorHAnsi" w:hAnsiTheme="minorHAnsi"/>
          <w:szCs w:val="22"/>
        </w:rPr>
        <w:t>UHBs</w:t>
      </w:r>
      <w:r w:rsidRPr="002B103C">
        <w:rPr>
          <w:rFonts w:asciiTheme="minorHAnsi" w:hAnsiTheme="minorHAnsi"/>
          <w:szCs w:val="22"/>
        </w:rPr>
        <w:t xml:space="preserve"> largest assets and consists </w:t>
      </w:r>
      <w:r w:rsidRPr="0064498B">
        <w:rPr>
          <w:rFonts w:asciiTheme="minorHAnsi" w:hAnsiTheme="minorHAnsi"/>
          <w:szCs w:val="22"/>
        </w:rPr>
        <w:t xml:space="preserve">of a range of facilities and services that support the provision of healthcare services to our residents.  </w:t>
      </w:r>
      <w:r>
        <w:rPr>
          <w:rFonts w:asciiTheme="minorHAnsi" w:hAnsiTheme="minorHAnsi"/>
          <w:szCs w:val="22"/>
        </w:rPr>
        <w:t xml:space="preserve">The Estates Strategy </w:t>
      </w:r>
      <w:r w:rsidR="00A75D9C">
        <w:rPr>
          <w:rFonts w:asciiTheme="minorHAnsi" w:hAnsiTheme="minorHAnsi"/>
          <w:szCs w:val="22"/>
        </w:rPr>
        <w:t>is being revised</w:t>
      </w:r>
      <w:r>
        <w:rPr>
          <w:rFonts w:asciiTheme="minorHAnsi" w:hAnsiTheme="minorHAnsi"/>
          <w:szCs w:val="22"/>
        </w:rPr>
        <w:t xml:space="preserve"> to take account of the merger with Bridgend and will continue to describe</w:t>
      </w:r>
      <w:r w:rsidRPr="0064498B">
        <w:rPr>
          <w:rFonts w:asciiTheme="minorHAnsi" w:hAnsiTheme="minorHAnsi"/>
          <w:szCs w:val="22"/>
        </w:rPr>
        <w:t xml:space="preserve"> the </w:t>
      </w:r>
      <w:r w:rsidR="0067640B">
        <w:rPr>
          <w:rFonts w:asciiTheme="minorHAnsi" w:hAnsiTheme="minorHAnsi"/>
          <w:szCs w:val="22"/>
        </w:rPr>
        <w:t>UHBs</w:t>
      </w:r>
      <w:r w:rsidRPr="0064498B">
        <w:rPr>
          <w:rFonts w:asciiTheme="minorHAnsi" w:hAnsiTheme="minorHAnsi"/>
          <w:szCs w:val="22"/>
        </w:rPr>
        <w:t xml:space="preserve"> existing estate and broadly outlines known and potential changes proposed to it over the next five years.   </w:t>
      </w:r>
    </w:p>
    <w:p w14:paraId="3F56FECE" w14:textId="77777777" w:rsidR="00C268C6" w:rsidRPr="0064498B" w:rsidRDefault="00C268C6" w:rsidP="00C268C6">
      <w:pPr>
        <w:rPr>
          <w:rFonts w:asciiTheme="minorHAnsi" w:hAnsiTheme="minorHAnsi"/>
          <w:szCs w:val="22"/>
        </w:rPr>
      </w:pPr>
    </w:p>
    <w:p w14:paraId="0779F1B7" w14:textId="678D20D5" w:rsidR="00C268C6" w:rsidRPr="002B2014" w:rsidRDefault="00C268C6" w:rsidP="00C268C6">
      <w:pPr>
        <w:rPr>
          <w:rFonts w:asciiTheme="minorHAnsi" w:hAnsiTheme="minorHAnsi"/>
          <w:szCs w:val="22"/>
        </w:rPr>
      </w:pPr>
      <w:r>
        <w:rPr>
          <w:rFonts w:asciiTheme="minorHAnsi" w:hAnsiTheme="minorHAnsi"/>
          <w:szCs w:val="22"/>
        </w:rPr>
        <w:t>As a result of the merger, t</w:t>
      </w:r>
      <w:r w:rsidRPr="0064498B">
        <w:rPr>
          <w:rFonts w:asciiTheme="minorHAnsi" w:hAnsiTheme="minorHAnsi"/>
          <w:szCs w:val="22"/>
        </w:rPr>
        <w:t xml:space="preserve">he </w:t>
      </w:r>
      <w:r w:rsidR="003F5ECF">
        <w:rPr>
          <w:rFonts w:asciiTheme="minorHAnsi" w:hAnsiTheme="minorHAnsi"/>
          <w:szCs w:val="22"/>
        </w:rPr>
        <w:t>UHB</w:t>
      </w:r>
      <w:r w:rsidRPr="0064498B">
        <w:rPr>
          <w:rFonts w:asciiTheme="minorHAnsi" w:hAnsiTheme="minorHAnsi"/>
          <w:szCs w:val="22"/>
        </w:rPr>
        <w:t xml:space="preserve"> </w:t>
      </w:r>
      <w:r w:rsidRPr="002B2014">
        <w:rPr>
          <w:rFonts w:asciiTheme="minorHAnsi" w:hAnsiTheme="minorHAnsi"/>
          <w:szCs w:val="22"/>
        </w:rPr>
        <w:t xml:space="preserve">now manages three </w:t>
      </w:r>
      <w:r w:rsidR="003F5ECF">
        <w:rPr>
          <w:rFonts w:asciiTheme="minorHAnsi" w:hAnsiTheme="minorHAnsi"/>
          <w:szCs w:val="22"/>
        </w:rPr>
        <w:t>DGHs</w:t>
      </w:r>
      <w:r w:rsidRPr="002B2014">
        <w:rPr>
          <w:rFonts w:asciiTheme="minorHAnsi" w:hAnsiTheme="minorHAnsi"/>
          <w:szCs w:val="22"/>
        </w:rPr>
        <w:t xml:space="preserve">, six occupied community hospitals, 1 </w:t>
      </w:r>
      <w:r w:rsidR="005A3845">
        <w:rPr>
          <w:rFonts w:asciiTheme="minorHAnsi" w:hAnsiTheme="minorHAnsi"/>
          <w:szCs w:val="22"/>
        </w:rPr>
        <w:t>M</w:t>
      </w:r>
      <w:r w:rsidRPr="002B2014">
        <w:rPr>
          <w:rFonts w:asciiTheme="minorHAnsi" w:hAnsiTheme="minorHAnsi"/>
          <w:szCs w:val="22"/>
        </w:rPr>
        <w:t>ental Health site and 35 health centres/clinics/support facilities.  Within Primary Care, GPs own and manage a large number of premises, many of whi</w:t>
      </w:r>
      <w:r w:rsidR="003F5ECF">
        <w:rPr>
          <w:rFonts w:asciiTheme="minorHAnsi" w:hAnsiTheme="minorHAnsi"/>
          <w:szCs w:val="22"/>
        </w:rPr>
        <w:t xml:space="preserve">ch the UHB </w:t>
      </w:r>
      <w:r w:rsidRPr="002B2014">
        <w:rPr>
          <w:rFonts w:asciiTheme="minorHAnsi" w:hAnsiTheme="minorHAnsi"/>
          <w:szCs w:val="22"/>
        </w:rPr>
        <w:t xml:space="preserve">shares or utilises to some extent.  In 2017/18 former Cwm Taf </w:t>
      </w:r>
      <w:r w:rsidR="005A3845">
        <w:rPr>
          <w:rFonts w:asciiTheme="minorHAnsi" w:hAnsiTheme="minorHAnsi"/>
          <w:szCs w:val="22"/>
        </w:rPr>
        <w:t>UHB</w:t>
      </w:r>
      <w:r w:rsidRPr="002B2014">
        <w:rPr>
          <w:rFonts w:asciiTheme="minorHAnsi" w:hAnsiTheme="minorHAnsi"/>
          <w:szCs w:val="22"/>
        </w:rPr>
        <w:t xml:space="preserve"> purchased the Sanken building in Pencoed</w:t>
      </w:r>
      <w:r w:rsidR="005A3845">
        <w:rPr>
          <w:rFonts w:asciiTheme="minorHAnsi" w:hAnsiTheme="minorHAnsi"/>
          <w:szCs w:val="22"/>
        </w:rPr>
        <w:t xml:space="preserve"> which </w:t>
      </w:r>
      <w:r w:rsidRPr="002B2014">
        <w:rPr>
          <w:rFonts w:asciiTheme="minorHAnsi" w:hAnsiTheme="minorHAnsi"/>
          <w:szCs w:val="22"/>
        </w:rPr>
        <w:t>underwent significant capital development to create the National Imaging Academy which we host on behalf of NHS Wales.</w:t>
      </w:r>
    </w:p>
    <w:p w14:paraId="6C3ABAE4" w14:textId="77777777" w:rsidR="00C268C6" w:rsidRPr="002B2014" w:rsidRDefault="00C268C6" w:rsidP="00C268C6">
      <w:pPr>
        <w:rPr>
          <w:rFonts w:asciiTheme="minorHAnsi" w:hAnsiTheme="minorHAnsi"/>
          <w:szCs w:val="22"/>
        </w:rPr>
      </w:pPr>
    </w:p>
    <w:p w14:paraId="2420ACA0" w14:textId="77777777" w:rsidR="00C268C6" w:rsidRPr="002B2014" w:rsidRDefault="00C268C6" w:rsidP="00C268C6">
      <w:pPr>
        <w:rPr>
          <w:rFonts w:asciiTheme="minorHAnsi" w:hAnsiTheme="minorHAnsi"/>
          <w:szCs w:val="22"/>
        </w:rPr>
      </w:pPr>
      <w:r w:rsidRPr="002B2014">
        <w:rPr>
          <w:rFonts w:asciiTheme="minorHAnsi" w:hAnsiTheme="minorHAnsi"/>
          <w:szCs w:val="22"/>
        </w:rPr>
        <w:t>The current Estates Strategy describes the current condition of the estate, supported by a wealth of data that is submitted as part of the annual Estates and Facilities Performance Management System (EFPMS) returns.  A summary of the key issues is outlined below:</w:t>
      </w:r>
    </w:p>
    <w:p w14:paraId="148B29E7" w14:textId="77777777" w:rsidR="00C268C6" w:rsidRPr="002B2014" w:rsidRDefault="00C268C6" w:rsidP="00C268C6">
      <w:pPr>
        <w:pStyle w:val="NormaBullet"/>
        <w:rPr>
          <w:szCs w:val="22"/>
        </w:rPr>
      </w:pPr>
      <w:r w:rsidRPr="002B2014">
        <w:rPr>
          <w:szCs w:val="22"/>
        </w:rPr>
        <w:t>Major improvements have been made in the condition of the estate over the last few years, with 63% now built post-1995 and only 3% built pre-1945.</w:t>
      </w:r>
    </w:p>
    <w:p w14:paraId="39D34A1A" w14:textId="77777777" w:rsidR="00C268C6" w:rsidRPr="002B2014" w:rsidRDefault="00C268C6" w:rsidP="00C268C6">
      <w:pPr>
        <w:pStyle w:val="NormaBullet"/>
        <w:rPr>
          <w:szCs w:val="22"/>
        </w:rPr>
      </w:pPr>
      <w:r w:rsidRPr="002B2014">
        <w:rPr>
          <w:szCs w:val="22"/>
        </w:rPr>
        <w:t>Overall compliance against fire safety standards has improved considerably (85% of the estate compliant in 2017/18, compared with 75% in 2009/10), work is still required to ensure that compliance against fire standards is improved at PCH.</w:t>
      </w:r>
    </w:p>
    <w:p w14:paraId="79CE9059" w14:textId="77777777" w:rsidR="00C268C6" w:rsidRPr="002B2014" w:rsidRDefault="00C268C6" w:rsidP="00C268C6">
      <w:pPr>
        <w:pStyle w:val="NormaBullet"/>
        <w:rPr>
          <w:szCs w:val="22"/>
        </w:rPr>
      </w:pPr>
      <w:r w:rsidRPr="002B2014">
        <w:rPr>
          <w:szCs w:val="22"/>
        </w:rPr>
        <w:t xml:space="preserve">The overall levels of risk adjusted backlog maintenance have reduced over the last few years with the sale of a number of old community hospitals.  The total risk adjusted backlog costs in 2017/18 were £5.531m compared to £5.775m reported in 2016/17.  It must be noted that these figures exclude the costs associated with the ground and first floor scheme at PCH. </w:t>
      </w:r>
    </w:p>
    <w:p w14:paraId="04849C6C" w14:textId="77777777" w:rsidR="00C268C6" w:rsidRPr="002B2014" w:rsidRDefault="00C268C6" w:rsidP="00C268C6">
      <w:pPr>
        <w:pStyle w:val="NormaBullet"/>
        <w:rPr>
          <w:szCs w:val="22"/>
        </w:rPr>
      </w:pPr>
      <w:r w:rsidRPr="002B2014">
        <w:rPr>
          <w:szCs w:val="22"/>
        </w:rPr>
        <w:t xml:space="preserve">The data suggests that a significant maintenance backlog has built up at RGH, which is now 19 years old, with increasing pressures on the building and the accommodation in terms of overall space, functional suitability, and lifespan of major areas of plant/equipment.  Steps taken to address this position will be further addressed in the capital section of this report. </w:t>
      </w:r>
    </w:p>
    <w:p w14:paraId="6E7198E6" w14:textId="6140202D" w:rsidR="00C268C6" w:rsidRPr="002B2014" w:rsidRDefault="00C268C6" w:rsidP="00C268C6">
      <w:pPr>
        <w:pStyle w:val="NormaBullet"/>
        <w:rPr>
          <w:szCs w:val="22"/>
        </w:rPr>
      </w:pPr>
      <w:r w:rsidRPr="002B2014">
        <w:rPr>
          <w:szCs w:val="22"/>
        </w:rPr>
        <w:t xml:space="preserve">Dewi Sant Hospital also requires significant additional investment to bring this up to standard and ensure that it is fit for purpose for the planned Health Park.  Elements of the infrastructure will be addressed in the phase 2 business case which has been </w:t>
      </w:r>
      <w:r w:rsidR="006673CB">
        <w:rPr>
          <w:szCs w:val="22"/>
        </w:rPr>
        <w:t>approved by</w:t>
      </w:r>
      <w:r w:rsidRPr="002B2014">
        <w:rPr>
          <w:szCs w:val="22"/>
        </w:rPr>
        <w:t xml:space="preserve"> </w:t>
      </w:r>
      <w:r w:rsidR="00897141">
        <w:rPr>
          <w:szCs w:val="22"/>
        </w:rPr>
        <w:t>WG</w:t>
      </w:r>
      <w:r w:rsidRPr="002B2014">
        <w:rPr>
          <w:szCs w:val="22"/>
        </w:rPr>
        <w:t xml:space="preserve"> as part of the Primary Care pipeline to establish a Health Park on the site.</w:t>
      </w:r>
    </w:p>
    <w:p w14:paraId="17039C34" w14:textId="77777777" w:rsidR="00C268C6" w:rsidRPr="002B2014" w:rsidRDefault="00C268C6" w:rsidP="00C268C6">
      <w:pPr>
        <w:pStyle w:val="NormaBullet"/>
        <w:rPr>
          <w:szCs w:val="22"/>
        </w:rPr>
      </w:pPr>
      <w:r w:rsidRPr="002B2014">
        <w:rPr>
          <w:szCs w:val="22"/>
        </w:rPr>
        <w:t xml:space="preserve">A significant increase in expenditure is required to reduce the overall backlog maintenance costs </w:t>
      </w:r>
    </w:p>
    <w:p w14:paraId="008C390E" w14:textId="09E5359F" w:rsidR="00C268C6" w:rsidRPr="002B2014" w:rsidRDefault="00C268C6" w:rsidP="00C268C6">
      <w:pPr>
        <w:pStyle w:val="NormaBullet"/>
        <w:rPr>
          <w:szCs w:val="22"/>
        </w:rPr>
      </w:pPr>
      <w:r w:rsidRPr="002B2014">
        <w:rPr>
          <w:szCs w:val="22"/>
        </w:rPr>
        <w:t xml:space="preserve">There are a number of primary care practices in poor condition which will need to be addressed as part of the Primary Care Estates Strategy.  In the past, the development of new Primary Care premises has been achieved largely through the use of third party developers with funding support for any increased revenue costs met by </w:t>
      </w:r>
      <w:r w:rsidR="00897141">
        <w:rPr>
          <w:szCs w:val="22"/>
        </w:rPr>
        <w:t>WG</w:t>
      </w:r>
      <w:r w:rsidRPr="002B2014">
        <w:rPr>
          <w:szCs w:val="22"/>
        </w:rPr>
        <w:t xml:space="preserve">.  2017/18 saw the introduction of the </w:t>
      </w:r>
      <w:r w:rsidR="00897141">
        <w:rPr>
          <w:szCs w:val="22"/>
        </w:rPr>
        <w:t>WG</w:t>
      </w:r>
      <w:r w:rsidRPr="002B2014">
        <w:rPr>
          <w:szCs w:val="22"/>
        </w:rPr>
        <w:t xml:space="preserve"> Primary Care pipeline and support for a return to a third party developer model.  </w:t>
      </w:r>
      <w:r w:rsidR="00897141">
        <w:rPr>
          <w:szCs w:val="22"/>
        </w:rPr>
        <w:t>WG</w:t>
      </w:r>
      <w:r w:rsidRPr="002B2014">
        <w:rPr>
          <w:szCs w:val="22"/>
        </w:rPr>
        <w:t xml:space="preserve"> will therefore be providing revenue support to the new build Mountain Ash Primary Care Centre under a third party developer solution.  In addition, </w:t>
      </w:r>
      <w:r w:rsidR="00897141">
        <w:rPr>
          <w:szCs w:val="22"/>
        </w:rPr>
        <w:t>WG</w:t>
      </w:r>
      <w:r w:rsidRPr="002B2014">
        <w:rPr>
          <w:szCs w:val="22"/>
        </w:rPr>
        <w:t xml:space="preserve"> has also ring-fenced a capital fund which has supported Aberdare Health Centre in 2017/18 and the refurbishment of  Tonypandy Health Centre which completed  in 2019/20 and phase 2 of the Dewi Sant Health Park.  The merger with Bridgend has seen the creation of a Health Centre on the Sunnyside Wellness Village</w:t>
      </w:r>
      <w:r w:rsidR="00753CB9">
        <w:rPr>
          <w:szCs w:val="22"/>
        </w:rPr>
        <w:t xml:space="preserve"> transfer to the UHB.  This </w:t>
      </w:r>
      <w:r w:rsidRPr="002B2014">
        <w:rPr>
          <w:szCs w:val="22"/>
        </w:rPr>
        <w:t xml:space="preserve">project </w:t>
      </w:r>
      <w:r w:rsidR="00753CB9">
        <w:rPr>
          <w:szCs w:val="22"/>
        </w:rPr>
        <w:t xml:space="preserve">is </w:t>
      </w:r>
      <w:r w:rsidRPr="002B2014">
        <w:rPr>
          <w:szCs w:val="22"/>
        </w:rPr>
        <w:t>developed in conjunction with Linc Housing which will see the creation of a new capital build and the disinvestment</w:t>
      </w:r>
      <w:r w:rsidR="000F231D">
        <w:rPr>
          <w:szCs w:val="22"/>
        </w:rPr>
        <w:t xml:space="preserve"> of 4 </w:t>
      </w:r>
      <w:r w:rsidR="00753CB9">
        <w:rPr>
          <w:szCs w:val="22"/>
        </w:rPr>
        <w:t>U</w:t>
      </w:r>
      <w:r w:rsidR="000F231D">
        <w:rPr>
          <w:szCs w:val="22"/>
        </w:rPr>
        <w:t>HB owned community sites.</w:t>
      </w:r>
      <w:r w:rsidRPr="002B2014">
        <w:rPr>
          <w:szCs w:val="22"/>
        </w:rPr>
        <w:t xml:space="preserve">  Steps will be taken to develop a programme to address remaining practices in need of investment and improvement.  </w:t>
      </w:r>
    </w:p>
    <w:p w14:paraId="1E75907A" w14:textId="0CD0825B" w:rsidR="00C268C6" w:rsidRPr="00861D64" w:rsidRDefault="00C268C6" w:rsidP="00C268C6">
      <w:pPr>
        <w:pStyle w:val="NormaBullet"/>
        <w:rPr>
          <w:szCs w:val="22"/>
        </w:rPr>
      </w:pPr>
      <w:r w:rsidRPr="00861D64">
        <w:rPr>
          <w:szCs w:val="22"/>
        </w:rPr>
        <w:t>Completion of the Specialist Palliative Care unit on the RGH site which has enabled services to transfer from Y Bwthyn, Pont</w:t>
      </w:r>
      <w:r w:rsidR="00AC7C7E">
        <w:rPr>
          <w:szCs w:val="22"/>
        </w:rPr>
        <w:t>y</w:t>
      </w:r>
      <w:r w:rsidRPr="00861D64">
        <w:rPr>
          <w:szCs w:val="22"/>
        </w:rPr>
        <w:t>pridd Cottage Hospital.  The project has been a success in working in partnership with Mac</w:t>
      </w:r>
      <w:r w:rsidR="00AC7C7E">
        <w:rPr>
          <w:szCs w:val="22"/>
        </w:rPr>
        <w:t>m</w:t>
      </w:r>
      <w:r w:rsidRPr="00861D64">
        <w:rPr>
          <w:szCs w:val="22"/>
        </w:rPr>
        <w:t xml:space="preserve">illan to deliver a state of the art facility for patients. </w:t>
      </w:r>
    </w:p>
    <w:p w14:paraId="1F344941" w14:textId="45CC9626" w:rsidR="00C268C6" w:rsidRPr="00861D64" w:rsidRDefault="00C268C6" w:rsidP="00C268C6">
      <w:pPr>
        <w:pStyle w:val="NormaBullet"/>
        <w:rPr>
          <w:szCs w:val="22"/>
        </w:rPr>
      </w:pPr>
      <w:r w:rsidRPr="00861D64">
        <w:rPr>
          <w:szCs w:val="22"/>
        </w:rPr>
        <w:t xml:space="preserve">A review of the four facet </w:t>
      </w:r>
      <w:r w:rsidR="00F50455" w:rsidRPr="00861D64">
        <w:rPr>
          <w:szCs w:val="22"/>
        </w:rPr>
        <w:t>survey for</w:t>
      </w:r>
      <w:r w:rsidRPr="00861D64">
        <w:rPr>
          <w:szCs w:val="22"/>
        </w:rPr>
        <w:t xml:space="preserve"> the Bridgend boundary properties which will identify the current status and condition of the estate, once this is finalized, this alongside all the information on </w:t>
      </w:r>
      <w:r w:rsidR="00A75D9C">
        <w:rPr>
          <w:szCs w:val="22"/>
        </w:rPr>
        <w:t xml:space="preserve">former </w:t>
      </w:r>
      <w:r w:rsidRPr="00861D64">
        <w:rPr>
          <w:szCs w:val="22"/>
        </w:rPr>
        <w:t xml:space="preserve">Cwm Taf will </w:t>
      </w:r>
      <w:r w:rsidRPr="00861D64">
        <w:rPr>
          <w:szCs w:val="22"/>
        </w:rPr>
        <w:lastRenderedPageBreak/>
        <w:t>support the development of a new estates strategy covering the new health region and inform further capital investment decisions.</w:t>
      </w:r>
    </w:p>
    <w:p w14:paraId="33EAF2AE" w14:textId="77777777" w:rsidR="00C268C6" w:rsidRPr="00861D64" w:rsidRDefault="00C268C6" w:rsidP="00C268C6">
      <w:pPr>
        <w:rPr>
          <w:szCs w:val="22"/>
        </w:rPr>
      </w:pPr>
    </w:p>
    <w:p w14:paraId="576CD7E9" w14:textId="77777777" w:rsidR="00C268C6" w:rsidRPr="002B2014" w:rsidRDefault="00C268C6" w:rsidP="00C268C6">
      <w:pPr>
        <w:rPr>
          <w:rFonts w:asciiTheme="minorHAnsi" w:hAnsiTheme="minorHAnsi"/>
          <w:szCs w:val="22"/>
        </w:rPr>
      </w:pPr>
      <w:r w:rsidRPr="00861D64">
        <w:rPr>
          <w:rFonts w:asciiTheme="minorHAnsi" w:hAnsiTheme="minorHAnsi"/>
          <w:szCs w:val="22"/>
        </w:rPr>
        <w:t>In terms of energy management, the Health Board recognises that the consumption</w:t>
      </w:r>
      <w:r w:rsidRPr="002B2014">
        <w:rPr>
          <w:rFonts w:asciiTheme="minorHAnsi" w:hAnsiTheme="minorHAnsi"/>
          <w:szCs w:val="22"/>
        </w:rPr>
        <w:t xml:space="preserve"> of energy and water is necessary for the provision of healthcare services, but that it also has a responsibility to be energy and resource efficient by minimising unnecessary energy usage. </w:t>
      </w:r>
    </w:p>
    <w:p w14:paraId="05A3EDE9" w14:textId="77777777" w:rsidR="00C268C6" w:rsidRPr="002B2014" w:rsidRDefault="00C268C6" w:rsidP="00C268C6">
      <w:pPr>
        <w:rPr>
          <w:rFonts w:asciiTheme="minorHAnsi" w:hAnsiTheme="minorHAnsi"/>
          <w:szCs w:val="22"/>
        </w:rPr>
      </w:pPr>
    </w:p>
    <w:p w14:paraId="4DB77FE5" w14:textId="6249C573" w:rsidR="000F231D" w:rsidRDefault="00C268C6" w:rsidP="00C268C6">
      <w:pPr>
        <w:rPr>
          <w:rFonts w:asciiTheme="minorHAnsi" w:hAnsiTheme="minorHAnsi"/>
          <w:szCs w:val="22"/>
        </w:rPr>
      </w:pPr>
      <w:r w:rsidRPr="002B2014">
        <w:rPr>
          <w:rFonts w:asciiTheme="minorHAnsi" w:hAnsiTheme="minorHAnsi"/>
          <w:szCs w:val="22"/>
        </w:rPr>
        <w:t>The Health Board has already invested in various low or zero carbon technologies which will help drive it to a zero carbon emitting organisation.  The level of consumption in 2016/17 was (410 kWh/m</w:t>
      </w:r>
      <w:r w:rsidRPr="002B2014">
        <w:rPr>
          <w:rFonts w:asciiTheme="minorHAnsi" w:hAnsiTheme="minorHAnsi"/>
          <w:szCs w:val="22"/>
          <w:vertAlign w:val="superscript"/>
        </w:rPr>
        <w:t>2</w:t>
      </w:r>
      <w:r w:rsidRPr="002B2014">
        <w:rPr>
          <w:rFonts w:asciiTheme="minorHAnsi" w:hAnsiTheme="minorHAnsi"/>
          <w:szCs w:val="22"/>
        </w:rPr>
        <w:t>) and was rated as a green performance nationally.  Improvements made since 2017/18 have further reduced the consumption to 406 kWh/m</w:t>
      </w:r>
      <w:r w:rsidRPr="002B2014">
        <w:rPr>
          <w:rFonts w:asciiTheme="minorHAnsi" w:hAnsiTheme="minorHAnsi"/>
          <w:szCs w:val="22"/>
          <w:vertAlign w:val="superscript"/>
        </w:rPr>
        <w:t>2</w:t>
      </w:r>
      <w:r w:rsidRPr="002B2014">
        <w:rPr>
          <w:rFonts w:asciiTheme="minorHAnsi" w:hAnsiTheme="minorHAnsi"/>
          <w:szCs w:val="22"/>
        </w:rPr>
        <w:t xml:space="preserve"> which has maintained compliance with the green national performance indicator, whilst CO</w:t>
      </w:r>
      <w:r w:rsidRPr="002B2014">
        <w:rPr>
          <w:rFonts w:asciiTheme="minorHAnsi" w:hAnsiTheme="minorHAnsi"/>
          <w:szCs w:val="22"/>
          <w:vertAlign w:val="subscript"/>
        </w:rPr>
        <w:t>2</w:t>
      </w:r>
      <w:r w:rsidRPr="002B2014">
        <w:rPr>
          <w:rFonts w:asciiTheme="minorHAnsi" w:hAnsiTheme="minorHAnsi"/>
          <w:szCs w:val="22"/>
        </w:rPr>
        <w:t xml:space="preserve"> (kg/m</w:t>
      </w:r>
      <w:r w:rsidRPr="002B2014">
        <w:rPr>
          <w:rFonts w:asciiTheme="minorHAnsi" w:hAnsiTheme="minorHAnsi"/>
          <w:szCs w:val="22"/>
          <w:vertAlign w:val="superscript"/>
        </w:rPr>
        <w:t>2</w:t>
      </w:r>
      <w:r w:rsidRPr="002B2014">
        <w:rPr>
          <w:rFonts w:asciiTheme="minorHAnsi" w:hAnsiTheme="minorHAnsi"/>
          <w:szCs w:val="22"/>
        </w:rPr>
        <w:t>) emissions reduced from 106 to 95kg/m</w:t>
      </w:r>
      <w:r w:rsidRPr="002B2014">
        <w:rPr>
          <w:rFonts w:asciiTheme="minorHAnsi" w:hAnsiTheme="minorHAnsi"/>
          <w:szCs w:val="22"/>
          <w:vertAlign w:val="superscript"/>
        </w:rPr>
        <w:t>2</w:t>
      </w:r>
      <w:r w:rsidRPr="002B2014">
        <w:rPr>
          <w:rFonts w:asciiTheme="minorHAnsi" w:hAnsiTheme="minorHAnsi"/>
          <w:szCs w:val="22"/>
        </w:rPr>
        <w:t xml:space="preserve">.  This is despite the completion of the Diagnostic Hub at </w:t>
      </w:r>
      <w:r w:rsidR="00E32360">
        <w:rPr>
          <w:rFonts w:asciiTheme="minorHAnsi" w:hAnsiTheme="minorHAnsi"/>
          <w:szCs w:val="22"/>
        </w:rPr>
        <w:t>RGH</w:t>
      </w:r>
      <w:r w:rsidRPr="002B2014">
        <w:rPr>
          <w:rFonts w:asciiTheme="minorHAnsi" w:hAnsiTheme="minorHAnsi"/>
          <w:szCs w:val="22"/>
        </w:rPr>
        <w:t xml:space="preserve"> in June-2017 which increased the site e</w:t>
      </w:r>
      <w:r w:rsidR="000F231D">
        <w:rPr>
          <w:rFonts w:asciiTheme="minorHAnsi" w:hAnsiTheme="minorHAnsi"/>
          <w:szCs w:val="22"/>
        </w:rPr>
        <w:t>lectricity consumption by 11%.</w:t>
      </w:r>
    </w:p>
    <w:p w14:paraId="464BBACB" w14:textId="77777777" w:rsidR="000F231D" w:rsidRPr="002B2014" w:rsidRDefault="000F231D" w:rsidP="00C268C6">
      <w:pPr>
        <w:rPr>
          <w:rFonts w:asciiTheme="minorHAnsi" w:hAnsiTheme="minorHAnsi"/>
          <w:szCs w:val="22"/>
        </w:rPr>
      </w:pPr>
    </w:p>
    <w:p w14:paraId="54F2C140" w14:textId="77777777" w:rsidR="00C268C6" w:rsidRPr="002B2014" w:rsidRDefault="00C268C6" w:rsidP="00C268C6">
      <w:pPr>
        <w:rPr>
          <w:rFonts w:asciiTheme="minorHAnsi" w:hAnsiTheme="minorHAnsi"/>
          <w:szCs w:val="22"/>
        </w:rPr>
      </w:pPr>
      <w:r w:rsidRPr="002B2014">
        <w:rPr>
          <w:rFonts w:asciiTheme="minorHAnsi" w:hAnsiTheme="minorHAnsi"/>
          <w:szCs w:val="22"/>
        </w:rPr>
        <w:t xml:space="preserve">In 2017/18, the Health Board recorded a total energy cost of £4,713,770, compared to £3,746,573 reported the previous year.  This increase is mainly attributed to an increase in utility rates. </w:t>
      </w:r>
    </w:p>
    <w:p w14:paraId="7FEC932E" w14:textId="77777777" w:rsidR="00C268C6" w:rsidRPr="002B2014" w:rsidRDefault="00C268C6" w:rsidP="00C268C6">
      <w:pPr>
        <w:rPr>
          <w:rFonts w:asciiTheme="minorHAnsi" w:hAnsiTheme="minorHAnsi"/>
          <w:szCs w:val="22"/>
        </w:rPr>
      </w:pPr>
    </w:p>
    <w:p w14:paraId="4328C676" w14:textId="0C89D077" w:rsidR="000F231D" w:rsidRDefault="00C268C6" w:rsidP="00C268C6">
      <w:pPr>
        <w:rPr>
          <w:rFonts w:asciiTheme="minorHAnsi" w:hAnsiTheme="minorHAnsi"/>
          <w:szCs w:val="22"/>
        </w:rPr>
      </w:pPr>
      <w:r w:rsidRPr="002B2014">
        <w:rPr>
          <w:rFonts w:asciiTheme="minorHAnsi" w:hAnsiTheme="minorHAnsi"/>
          <w:szCs w:val="22"/>
        </w:rPr>
        <w:t xml:space="preserve">The Health Board’s ‘Strategic Assessment of Energy Efficiency Opportunities’ report has been undertaken with consultancy support from the </w:t>
      </w:r>
      <w:r w:rsidR="00897141">
        <w:rPr>
          <w:rFonts w:asciiTheme="minorHAnsi" w:hAnsiTheme="minorHAnsi"/>
          <w:szCs w:val="22"/>
        </w:rPr>
        <w:t>WG</w:t>
      </w:r>
      <w:r w:rsidRPr="002B2014">
        <w:rPr>
          <w:rFonts w:asciiTheme="minorHAnsi" w:hAnsiTheme="minorHAnsi"/>
          <w:szCs w:val="22"/>
        </w:rPr>
        <w:t xml:space="preserve"> Energy Service (WGES) and comprises the recommendations of six detailed energy audits completed in August 2018.  The work identified the potential for a 13% carbon saving that can be achieved across the six audited sites.  Work to deliver this will continue through this Plan’s term.</w:t>
      </w:r>
    </w:p>
    <w:p w14:paraId="1E0F12DD" w14:textId="77777777" w:rsidR="000F231D" w:rsidRPr="0064498B" w:rsidRDefault="000F231D" w:rsidP="00C268C6">
      <w:pPr>
        <w:rPr>
          <w:rFonts w:asciiTheme="minorHAnsi" w:hAnsiTheme="minorHAnsi"/>
          <w:szCs w:val="22"/>
        </w:rPr>
      </w:pPr>
    </w:p>
    <w:p w14:paraId="24F48A32" w14:textId="77777777" w:rsidR="00C268C6" w:rsidRPr="0064498B" w:rsidRDefault="00C268C6" w:rsidP="00C268C6">
      <w:pPr>
        <w:rPr>
          <w:rFonts w:asciiTheme="minorHAnsi" w:hAnsiTheme="minorHAnsi"/>
          <w:szCs w:val="22"/>
        </w:rPr>
      </w:pPr>
      <w:r w:rsidRPr="0064498B">
        <w:rPr>
          <w:rFonts w:asciiTheme="minorHAnsi" w:hAnsiTheme="minorHAnsi"/>
          <w:szCs w:val="22"/>
        </w:rPr>
        <w:t xml:space="preserve">This IMTP sets out a number of service changes, many of which will have a significant impact on the estate.  The Estates Strategy will </w:t>
      </w:r>
      <w:r>
        <w:rPr>
          <w:rFonts w:asciiTheme="minorHAnsi" w:hAnsiTheme="minorHAnsi"/>
          <w:szCs w:val="22"/>
        </w:rPr>
        <w:t>ou</w:t>
      </w:r>
      <w:r w:rsidRPr="0064498B">
        <w:rPr>
          <w:rFonts w:asciiTheme="minorHAnsi" w:hAnsiTheme="minorHAnsi"/>
          <w:szCs w:val="22"/>
        </w:rPr>
        <w:t>t</w:t>
      </w:r>
      <w:r>
        <w:rPr>
          <w:rFonts w:asciiTheme="minorHAnsi" w:hAnsiTheme="minorHAnsi"/>
          <w:szCs w:val="22"/>
        </w:rPr>
        <w:t>line this</w:t>
      </w:r>
      <w:r w:rsidRPr="0064498B">
        <w:rPr>
          <w:rFonts w:asciiTheme="minorHAnsi" w:hAnsiTheme="minorHAnsi"/>
          <w:szCs w:val="22"/>
        </w:rPr>
        <w:t xml:space="preserve"> in more detail, but some of the more major impacts include:</w:t>
      </w:r>
    </w:p>
    <w:p w14:paraId="54666CD1" w14:textId="0E7CF917" w:rsidR="00C268C6" w:rsidRPr="0064498B" w:rsidRDefault="00C268C6" w:rsidP="00C268C6">
      <w:pPr>
        <w:pStyle w:val="NormaBullet"/>
        <w:rPr>
          <w:szCs w:val="22"/>
        </w:rPr>
      </w:pPr>
      <w:r w:rsidRPr="0064498B">
        <w:rPr>
          <w:szCs w:val="22"/>
        </w:rPr>
        <w:t xml:space="preserve">A major redesign of services provided from RGH, which will require capital refurbishment as an enabler.  </w:t>
      </w:r>
      <w:r>
        <w:rPr>
          <w:szCs w:val="22"/>
        </w:rPr>
        <w:t>In 2019/20 a first phase of this scheme completed when consultant obstetric and neonatal services transferred to PCH and an interim freestanding midwifery Unit was developed.  Further development phases include a</w:t>
      </w:r>
      <w:r w:rsidRPr="0064498B">
        <w:rPr>
          <w:szCs w:val="22"/>
        </w:rPr>
        <w:t xml:space="preserve"> Paediatric Assessment Unit when </w:t>
      </w:r>
      <w:r>
        <w:rPr>
          <w:szCs w:val="22"/>
        </w:rPr>
        <w:t>inpatient paediatric services</w:t>
      </w:r>
      <w:r w:rsidRPr="0064498B">
        <w:rPr>
          <w:szCs w:val="22"/>
        </w:rPr>
        <w:t xml:space="preserve"> transfer to </w:t>
      </w:r>
      <w:r w:rsidR="00897141">
        <w:rPr>
          <w:szCs w:val="22"/>
        </w:rPr>
        <w:t>PCH</w:t>
      </w:r>
      <w:r w:rsidRPr="0064498B">
        <w:rPr>
          <w:szCs w:val="22"/>
        </w:rPr>
        <w:t xml:space="preserve"> alongside the centralisation of breast services, changes in day surgery and endoscopy configuration (and expansion of capacity) and include changes arising from the </w:t>
      </w:r>
      <w:r w:rsidR="00A554B9">
        <w:rPr>
          <w:szCs w:val="22"/>
        </w:rPr>
        <w:t>SWP</w:t>
      </w:r>
      <w:r w:rsidRPr="0064498B">
        <w:rPr>
          <w:szCs w:val="22"/>
        </w:rPr>
        <w:t xml:space="preserve"> including the Acute Medicine model. </w:t>
      </w:r>
    </w:p>
    <w:p w14:paraId="786960CB" w14:textId="231B63E3" w:rsidR="00C268C6" w:rsidRPr="002B103C" w:rsidRDefault="00C268C6" w:rsidP="00C268C6">
      <w:pPr>
        <w:pStyle w:val="NormaBullet"/>
        <w:rPr>
          <w:szCs w:val="22"/>
        </w:rPr>
      </w:pPr>
      <w:r w:rsidRPr="00345150">
        <w:rPr>
          <w:szCs w:val="22"/>
        </w:rPr>
        <w:t>Development of the second phase of work to establish a ‘health park’ type facility on the Dewi Sant site, with a mix of primary and community health care, social care and Third Sector partners using the site for ambulatory care is ongoing.  Phase 1 completed in 2017/18 and the</w:t>
      </w:r>
      <w:r w:rsidR="00706464">
        <w:rPr>
          <w:szCs w:val="22"/>
        </w:rPr>
        <w:t xml:space="preserve"> business case for phase 2 was approved by </w:t>
      </w:r>
      <w:r w:rsidR="00897141">
        <w:rPr>
          <w:szCs w:val="22"/>
        </w:rPr>
        <w:t>WG</w:t>
      </w:r>
      <w:r w:rsidRPr="00345150">
        <w:rPr>
          <w:szCs w:val="22"/>
        </w:rPr>
        <w:t xml:space="preserve"> in </w:t>
      </w:r>
      <w:r w:rsidR="00706464">
        <w:rPr>
          <w:szCs w:val="22"/>
        </w:rPr>
        <w:t xml:space="preserve">November </w:t>
      </w:r>
      <w:r w:rsidRPr="00345150">
        <w:rPr>
          <w:szCs w:val="22"/>
        </w:rPr>
        <w:t>2019</w:t>
      </w:r>
      <w:r w:rsidR="00706464">
        <w:rPr>
          <w:szCs w:val="22"/>
        </w:rPr>
        <w:t>.</w:t>
      </w:r>
      <w:r w:rsidRPr="002B103C">
        <w:rPr>
          <w:szCs w:val="22"/>
        </w:rPr>
        <w:t xml:space="preserve"> </w:t>
      </w:r>
    </w:p>
    <w:p w14:paraId="7DB347E6" w14:textId="4DA2C9A8" w:rsidR="00C268C6" w:rsidRPr="002B103C" w:rsidRDefault="00C268C6" w:rsidP="00C268C6">
      <w:pPr>
        <w:pStyle w:val="NormaBullet"/>
        <w:rPr>
          <w:szCs w:val="22"/>
        </w:rPr>
      </w:pPr>
      <w:r w:rsidRPr="002B103C">
        <w:rPr>
          <w:szCs w:val="22"/>
        </w:rPr>
        <w:t xml:space="preserve">Service remodelling which will see Tonteg Hospital and Pontypridd </w:t>
      </w:r>
      <w:r w:rsidR="000F231D">
        <w:rPr>
          <w:szCs w:val="22"/>
        </w:rPr>
        <w:t>&amp;</w:t>
      </w:r>
      <w:r w:rsidRPr="002B103C">
        <w:rPr>
          <w:szCs w:val="22"/>
        </w:rPr>
        <w:t xml:space="preserve"> District Cottage Hospitals becoming surplus to requirements, and further reviews on-going to determine whether any further community premise</w:t>
      </w:r>
      <w:r w:rsidR="000F231D">
        <w:rPr>
          <w:szCs w:val="22"/>
        </w:rPr>
        <w:t>s may be vacated in the future.</w:t>
      </w:r>
    </w:p>
    <w:p w14:paraId="61DA4202" w14:textId="67223D5F" w:rsidR="00C268C6" w:rsidRPr="002B103C" w:rsidRDefault="00C268C6" w:rsidP="00C268C6">
      <w:pPr>
        <w:pStyle w:val="NormaBullet"/>
        <w:rPr>
          <w:szCs w:val="22"/>
        </w:rPr>
      </w:pPr>
      <w:r w:rsidRPr="002B103C">
        <w:rPr>
          <w:szCs w:val="22"/>
        </w:rPr>
        <w:t>The completion of the building of the specialist palliative care facility</w:t>
      </w:r>
      <w:r w:rsidR="005F1BC2">
        <w:rPr>
          <w:szCs w:val="22"/>
        </w:rPr>
        <w:t xml:space="preserve"> and link corridor</w:t>
      </w:r>
      <w:r w:rsidRPr="002B103C">
        <w:rPr>
          <w:szCs w:val="22"/>
        </w:rPr>
        <w:t xml:space="preserve"> on the RGH site in partnership with Mac</w:t>
      </w:r>
      <w:r w:rsidR="005F1BC2">
        <w:rPr>
          <w:szCs w:val="22"/>
        </w:rPr>
        <w:t>m</w:t>
      </w:r>
      <w:r w:rsidRPr="002B103C">
        <w:rPr>
          <w:szCs w:val="22"/>
        </w:rPr>
        <w:t>illan which opened in 2019/20.</w:t>
      </w:r>
    </w:p>
    <w:p w14:paraId="0D231F85" w14:textId="77777777" w:rsidR="00C268C6" w:rsidRPr="002B103C" w:rsidRDefault="00C268C6" w:rsidP="00C268C6">
      <w:pPr>
        <w:pStyle w:val="NormaBullet"/>
        <w:rPr>
          <w:szCs w:val="22"/>
        </w:rPr>
      </w:pPr>
      <w:r w:rsidRPr="002B103C">
        <w:rPr>
          <w:szCs w:val="22"/>
        </w:rPr>
        <w:t xml:space="preserve">In addition further investment in plant and infrastructure will be required to ensure that the estate can continue to support the delivery of services in a sustainable manner. </w:t>
      </w:r>
    </w:p>
    <w:p w14:paraId="177CEE29" w14:textId="63F90D62" w:rsidR="00C268C6" w:rsidRPr="002B103C" w:rsidRDefault="00C268C6" w:rsidP="00C268C6">
      <w:pPr>
        <w:pStyle w:val="NormaBullet"/>
        <w:rPr>
          <w:szCs w:val="22"/>
        </w:rPr>
      </w:pPr>
      <w:r w:rsidRPr="002B103C">
        <w:rPr>
          <w:szCs w:val="22"/>
        </w:rPr>
        <w:t>In relation t</w:t>
      </w:r>
      <w:r w:rsidR="009B7AA1">
        <w:rPr>
          <w:szCs w:val="22"/>
        </w:rPr>
        <w:t>o</w:t>
      </w:r>
      <w:r w:rsidRPr="002B103C">
        <w:rPr>
          <w:szCs w:val="22"/>
        </w:rPr>
        <w:t xml:space="preserve"> services provided in the Bridgend area, these will become part of the overarching capital programme and are being prioritised accordingly, but some key services and infrastructure changes are:</w:t>
      </w:r>
    </w:p>
    <w:p w14:paraId="2EC96141" w14:textId="7248F032" w:rsidR="00C268C6" w:rsidRPr="002B103C" w:rsidRDefault="00C268C6" w:rsidP="00C268C6">
      <w:pPr>
        <w:pStyle w:val="NormalBulletIndent"/>
        <w:rPr>
          <w:szCs w:val="22"/>
        </w:rPr>
      </w:pPr>
      <w:r w:rsidRPr="002B103C">
        <w:rPr>
          <w:szCs w:val="22"/>
        </w:rPr>
        <w:t xml:space="preserve">Urgent works to respond to the Fire Enforcement Notice covering theatres at POWH.  Some work will be achieved quickly and other aspects, including above ceiling damper work, will be a longer and more detailed project.  Work is ongoing with the fire service to develop a safe and effective response to ensure discharge of the notice. </w:t>
      </w:r>
    </w:p>
    <w:p w14:paraId="7EA4C397" w14:textId="2BAD5F9D" w:rsidR="00C268C6" w:rsidRPr="002B103C" w:rsidRDefault="00C268C6" w:rsidP="00C268C6">
      <w:pPr>
        <w:pStyle w:val="NormalBulletIndent"/>
        <w:rPr>
          <w:szCs w:val="22"/>
        </w:rPr>
      </w:pPr>
      <w:r w:rsidRPr="002B103C">
        <w:rPr>
          <w:szCs w:val="22"/>
        </w:rPr>
        <w:t xml:space="preserve">Development of a centralised decontamination unit in </w:t>
      </w:r>
      <w:r w:rsidR="00E32360">
        <w:rPr>
          <w:szCs w:val="22"/>
        </w:rPr>
        <w:t>POWH</w:t>
      </w:r>
      <w:r w:rsidRPr="002B103C">
        <w:rPr>
          <w:szCs w:val="22"/>
        </w:rPr>
        <w:t xml:space="preserve"> to maintain JAG accreditation</w:t>
      </w:r>
      <w:r w:rsidR="000F231D">
        <w:rPr>
          <w:szCs w:val="22"/>
        </w:rPr>
        <w:t>.  T</w:t>
      </w:r>
      <w:r w:rsidRPr="002B103C">
        <w:rPr>
          <w:szCs w:val="22"/>
        </w:rPr>
        <w:t>he All Wales audit in 2016 identified a need for a centralised scope decontamination facility on the site however more recent concerns have also identified an urgent need to upgrade and increase capacity in the HSDU on site.  As a result a centralised decontamination scheme to include all decontamination facilities is under development which will secure consistent compliance to quality standards and compliance to health and safety and building requirements.</w:t>
      </w:r>
    </w:p>
    <w:p w14:paraId="11F074EA" w14:textId="77777777" w:rsidR="00C268C6" w:rsidRPr="002B103C" w:rsidRDefault="00C268C6" w:rsidP="00C268C6">
      <w:pPr>
        <w:pStyle w:val="NormalBulletIndent"/>
        <w:rPr>
          <w:szCs w:val="22"/>
        </w:rPr>
      </w:pPr>
      <w:r w:rsidRPr="002B103C">
        <w:rPr>
          <w:szCs w:val="22"/>
        </w:rPr>
        <w:lastRenderedPageBreak/>
        <w:t>A need to develop an area to support the admission of surgery and gynaecology patients on the day of their elective surgery which will have the benefit of improvement of patient experience alongside more effective theatre and bed utilisation within the hospital.</w:t>
      </w:r>
    </w:p>
    <w:p w14:paraId="50C1EEA1" w14:textId="77777777" w:rsidR="00C268C6" w:rsidRPr="002B103C" w:rsidRDefault="00C268C6" w:rsidP="00F60A35">
      <w:pPr>
        <w:pStyle w:val="NormalBulletIndent"/>
        <w:numPr>
          <w:ilvl w:val="0"/>
          <w:numId w:val="73"/>
        </w:numPr>
        <w:ind w:left="709" w:hanging="425"/>
        <w:rPr>
          <w:szCs w:val="22"/>
        </w:rPr>
      </w:pPr>
      <w:r w:rsidRPr="002B103C">
        <w:rPr>
          <w:szCs w:val="22"/>
        </w:rPr>
        <w:t>Capital investment to support the changes related to the assessment of emergency surgical attendances at the front door to create an Ambulatory Emergency Surgical Unit by relocating the current fracture clinic to an area not used by pathology.</w:t>
      </w:r>
    </w:p>
    <w:p w14:paraId="3AEC641D" w14:textId="77777777" w:rsidR="00C268C6" w:rsidRPr="002B103C" w:rsidRDefault="00C268C6" w:rsidP="00F60A35">
      <w:pPr>
        <w:pStyle w:val="NormalBulletIndent"/>
        <w:numPr>
          <w:ilvl w:val="0"/>
          <w:numId w:val="73"/>
        </w:numPr>
        <w:ind w:left="709" w:hanging="425"/>
        <w:rPr>
          <w:szCs w:val="22"/>
        </w:rPr>
      </w:pPr>
      <w:r w:rsidRPr="002B103C">
        <w:rPr>
          <w:szCs w:val="22"/>
        </w:rPr>
        <w:t>Planning permission has been secured for an onsite decant area which could support a programme of ward and department upgrades and improvements.</w:t>
      </w:r>
    </w:p>
    <w:p w14:paraId="19C98D45" w14:textId="42EF3FDE" w:rsidR="00C268C6" w:rsidRPr="002B103C" w:rsidRDefault="00C268C6" w:rsidP="00C268C6">
      <w:pPr>
        <w:pStyle w:val="NormalBulletIndent"/>
        <w:rPr>
          <w:szCs w:val="22"/>
        </w:rPr>
      </w:pPr>
      <w:r w:rsidRPr="002B103C">
        <w:rPr>
          <w:szCs w:val="22"/>
        </w:rPr>
        <w:t xml:space="preserve">The development and implementation of expansion of the Glaucoma team at </w:t>
      </w:r>
      <w:r w:rsidR="00E32360">
        <w:rPr>
          <w:szCs w:val="22"/>
        </w:rPr>
        <w:t>POWH</w:t>
      </w:r>
      <w:r w:rsidRPr="002B103C">
        <w:rPr>
          <w:szCs w:val="22"/>
        </w:rPr>
        <w:t xml:space="preserve"> which would require a capital investment in equipment, ICT infrastructure and some internal reconfiguration required to deliver this increased capacity.</w:t>
      </w:r>
    </w:p>
    <w:p w14:paraId="643D56A6" w14:textId="77777777" w:rsidR="00C268C6" w:rsidRPr="002B103C" w:rsidRDefault="00C268C6" w:rsidP="00C268C6">
      <w:pPr>
        <w:pStyle w:val="NormalBulletIndent"/>
        <w:rPr>
          <w:szCs w:val="22"/>
        </w:rPr>
      </w:pPr>
      <w:r w:rsidRPr="002B103C">
        <w:rPr>
          <w:szCs w:val="22"/>
        </w:rPr>
        <w:t>There is increasing pressure to redesign the ITU department This would require a business justification case to support works that could cost in the region of £4-5M</w:t>
      </w:r>
    </w:p>
    <w:p w14:paraId="2031FC31" w14:textId="0567B64D" w:rsidR="00C268C6" w:rsidRPr="002B103C" w:rsidRDefault="00C268C6" w:rsidP="00C268C6">
      <w:pPr>
        <w:pStyle w:val="NormalBulletIndent"/>
        <w:rPr>
          <w:szCs w:val="22"/>
        </w:rPr>
      </w:pPr>
      <w:r w:rsidRPr="002B103C">
        <w:rPr>
          <w:szCs w:val="22"/>
        </w:rPr>
        <w:t xml:space="preserve">Requirement for a programme of theatre plant refurbishment for </w:t>
      </w:r>
      <w:r w:rsidR="00E32360">
        <w:rPr>
          <w:szCs w:val="22"/>
        </w:rPr>
        <w:t>POWH</w:t>
      </w:r>
      <w:r w:rsidRPr="002B103C">
        <w:rPr>
          <w:szCs w:val="22"/>
        </w:rPr>
        <w:t xml:space="preserve"> which will include the need for decant and phased laminar flow theatre activity.  This could require an investment of circa £2.5M to deliver.</w:t>
      </w:r>
    </w:p>
    <w:p w14:paraId="38A4AE21" w14:textId="77777777" w:rsidR="00C268C6" w:rsidRPr="002B103C" w:rsidRDefault="00C268C6" w:rsidP="00C268C6">
      <w:pPr>
        <w:pStyle w:val="NormalBulletIndent"/>
        <w:rPr>
          <w:szCs w:val="22"/>
        </w:rPr>
      </w:pPr>
      <w:r w:rsidRPr="002B103C">
        <w:rPr>
          <w:szCs w:val="22"/>
        </w:rPr>
        <w:t xml:space="preserve">Alongside this there are a number of smaller departments and areas requiring refurbishments programmes and space adjustments which the capital team will need to work with the relevant directorate to develop a deliverable phased programme of works to address. </w:t>
      </w:r>
    </w:p>
    <w:p w14:paraId="5C81119E" w14:textId="77777777" w:rsidR="00C268C6" w:rsidRPr="002B103C" w:rsidRDefault="00C268C6" w:rsidP="00C268C6">
      <w:pPr>
        <w:rPr>
          <w:rFonts w:asciiTheme="minorHAnsi" w:hAnsiTheme="minorHAnsi"/>
          <w:szCs w:val="22"/>
        </w:rPr>
      </w:pPr>
      <w:bookmarkStart w:id="210" w:name="_Toc532464119"/>
    </w:p>
    <w:p w14:paraId="5E8DC9E4" w14:textId="77777777" w:rsidR="00C268C6" w:rsidRPr="002B103C" w:rsidRDefault="00C268C6" w:rsidP="00C268C6">
      <w:pPr>
        <w:rPr>
          <w:rFonts w:asciiTheme="minorHAnsi" w:hAnsiTheme="minorHAnsi"/>
          <w:szCs w:val="22"/>
        </w:rPr>
      </w:pPr>
      <w:r w:rsidRPr="002B103C">
        <w:rPr>
          <w:rFonts w:asciiTheme="minorHAnsi" w:hAnsiTheme="minorHAnsi"/>
          <w:szCs w:val="22"/>
        </w:rPr>
        <w:t xml:space="preserve">Over the next three years, the strategic objectives for our estate are to ensure that: </w:t>
      </w:r>
    </w:p>
    <w:p w14:paraId="00871476" w14:textId="77777777" w:rsidR="00C268C6" w:rsidRPr="002B103C" w:rsidRDefault="00C268C6" w:rsidP="00C268C6">
      <w:pPr>
        <w:pStyle w:val="NormaBullet"/>
        <w:rPr>
          <w:szCs w:val="22"/>
        </w:rPr>
      </w:pPr>
      <w:r w:rsidRPr="002B103C">
        <w:rPr>
          <w:szCs w:val="22"/>
        </w:rPr>
        <w:t xml:space="preserve">The estate is developed to meet emerging service models. </w:t>
      </w:r>
    </w:p>
    <w:p w14:paraId="5928A42B" w14:textId="77777777" w:rsidR="00C268C6" w:rsidRPr="002B103C" w:rsidRDefault="00C268C6" w:rsidP="00C268C6">
      <w:pPr>
        <w:pStyle w:val="NormaBullet"/>
        <w:rPr>
          <w:szCs w:val="22"/>
        </w:rPr>
      </w:pPr>
      <w:r w:rsidRPr="002B103C">
        <w:rPr>
          <w:szCs w:val="22"/>
        </w:rPr>
        <w:t xml:space="preserve">All statutory and safety obligations are achieved. </w:t>
      </w:r>
    </w:p>
    <w:p w14:paraId="072EF365" w14:textId="77777777" w:rsidR="00C268C6" w:rsidRPr="002B103C" w:rsidRDefault="00C268C6" w:rsidP="00C268C6">
      <w:pPr>
        <w:pStyle w:val="NormaBullet"/>
        <w:rPr>
          <w:szCs w:val="22"/>
        </w:rPr>
      </w:pPr>
      <w:r w:rsidRPr="002B103C">
        <w:rPr>
          <w:szCs w:val="22"/>
        </w:rPr>
        <w:t xml:space="preserve">Backlog maintenance levels are reduced year on year to a nominal amount. </w:t>
      </w:r>
    </w:p>
    <w:p w14:paraId="2F3C2C9B" w14:textId="77777777" w:rsidR="00C268C6" w:rsidRPr="002B103C" w:rsidRDefault="00C268C6" w:rsidP="00C268C6">
      <w:pPr>
        <w:pStyle w:val="NormaBullet"/>
        <w:rPr>
          <w:szCs w:val="22"/>
        </w:rPr>
      </w:pPr>
      <w:r w:rsidRPr="002B103C">
        <w:rPr>
          <w:szCs w:val="22"/>
        </w:rPr>
        <w:t xml:space="preserve">Performance against the 6 national targets is improved, with the 90% target achieved by 2020/21. </w:t>
      </w:r>
    </w:p>
    <w:p w14:paraId="3287F1A7" w14:textId="62A612E7" w:rsidR="00C268C6" w:rsidRPr="002B103C" w:rsidRDefault="00C268C6" w:rsidP="00C268C6">
      <w:pPr>
        <w:pStyle w:val="NormaBullet"/>
        <w:rPr>
          <w:szCs w:val="22"/>
        </w:rPr>
      </w:pPr>
      <w:r w:rsidRPr="002B103C">
        <w:rPr>
          <w:szCs w:val="22"/>
        </w:rPr>
        <w:t xml:space="preserve">The cost per square metre is reviewed each year, reducing </w:t>
      </w:r>
      <w:r w:rsidR="009B7AA1">
        <w:rPr>
          <w:szCs w:val="22"/>
        </w:rPr>
        <w:t xml:space="preserve">it </w:t>
      </w:r>
      <w:r w:rsidRPr="002B103C">
        <w:rPr>
          <w:szCs w:val="22"/>
        </w:rPr>
        <w:t xml:space="preserve">if possible, taking account of the safety of the service. </w:t>
      </w:r>
    </w:p>
    <w:p w14:paraId="244E681D" w14:textId="77777777" w:rsidR="00C268C6" w:rsidRPr="002B103C" w:rsidRDefault="00C268C6" w:rsidP="00C268C6">
      <w:pPr>
        <w:pStyle w:val="NormaBullet"/>
        <w:rPr>
          <w:szCs w:val="22"/>
        </w:rPr>
      </w:pPr>
      <w:r w:rsidRPr="002B103C">
        <w:rPr>
          <w:szCs w:val="22"/>
        </w:rPr>
        <w:t>Continue the work with Public Sector partners on asset collaboration.</w:t>
      </w:r>
    </w:p>
    <w:p w14:paraId="3F123E3F" w14:textId="2BA605EB" w:rsidR="0051270F" w:rsidRPr="002B103C" w:rsidRDefault="0051270F" w:rsidP="0051270F">
      <w:pPr>
        <w:pStyle w:val="Heading3"/>
        <w:rPr>
          <w:szCs w:val="22"/>
        </w:rPr>
      </w:pPr>
      <w:r w:rsidRPr="002B103C">
        <w:rPr>
          <w:szCs w:val="22"/>
        </w:rPr>
        <w:t>Capital</w:t>
      </w:r>
      <w:bookmarkEnd w:id="210"/>
      <w:r w:rsidRPr="002B103C">
        <w:rPr>
          <w:szCs w:val="22"/>
        </w:rPr>
        <w:t xml:space="preserve"> </w:t>
      </w:r>
    </w:p>
    <w:p w14:paraId="1BB1A241" w14:textId="575A2F86" w:rsidR="00C268C6" w:rsidRPr="0064498B" w:rsidRDefault="00C268C6" w:rsidP="00C268C6">
      <w:pPr>
        <w:rPr>
          <w:rFonts w:asciiTheme="minorHAnsi" w:hAnsiTheme="minorHAnsi"/>
          <w:szCs w:val="22"/>
        </w:rPr>
      </w:pPr>
      <w:r w:rsidRPr="002B103C">
        <w:rPr>
          <w:rFonts w:asciiTheme="minorHAnsi" w:hAnsiTheme="minorHAnsi"/>
          <w:szCs w:val="22"/>
        </w:rPr>
        <w:t xml:space="preserve">The </w:t>
      </w:r>
      <w:r w:rsidR="009B7AA1">
        <w:rPr>
          <w:rFonts w:asciiTheme="minorHAnsi" w:hAnsiTheme="minorHAnsi"/>
          <w:szCs w:val="22"/>
        </w:rPr>
        <w:t>UHB</w:t>
      </w:r>
      <w:r w:rsidRPr="002B103C">
        <w:rPr>
          <w:rFonts w:asciiTheme="minorHAnsi" w:hAnsiTheme="minorHAnsi"/>
          <w:szCs w:val="22"/>
        </w:rPr>
        <w:t xml:space="preserve"> recognises the importance of ensuring that strategic links are made between significant service change plans and capital investment.  The capital programme is therefore developed in alignment with service planning and the emerging clinical services </w:t>
      </w:r>
      <w:r>
        <w:rPr>
          <w:rFonts w:asciiTheme="minorHAnsi" w:hAnsiTheme="minorHAnsi"/>
          <w:szCs w:val="22"/>
        </w:rPr>
        <w:t xml:space="preserve">strategy for the </w:t>
      </w:r>
      <w:r w:rsidR="009B7AA1">
        <w:rPr>
          <w:rFonts w:asciiTheme="minorHAnsi" w:hAnsiTheme="minorHAnsi"/>
          <w:szCs w:val="22"/>
        </w:rPr>
        <w:t>w</w:t>
      </w:r>
      <w:r>
        <w:rPr>
          <w:rFonts w:asciiTheme="minorHAnsi" w:hAnsiTheme="minorHAnsi"/>
          <w:szCs w:val="22"/>
        </w:rPr>
        <w:t>hole of</w:t>
      </w:r>
      <w:r w:rsidR="009B7AA1">
        <w:rPr>
          <w:rFonts w:asciiTheme="minorHAnsi" w:hAnsiTheme="minorHAnsi"/>
          <w:szCs w:val="22"/>
        </w:rPr>
        <w:t xml:space="preserve"> CTM</w:t>
      </w:r>
      <w:r>
        <w:rPr>
          <w:rFonts w:asciiTheme="minorHAnsi" w:hAnsiTheme="minorHAnsi"/>
          <w:szCs w:val="22"/>
        </w:rPr>
        <w:t xml:space="preserve">. </w:t>
      </w:r>
      <w:r w:rsidRPr="0064498B">
        <w:rPr>
          <w:rFonts w:asciiTheme="minorHAnsi" w:hAnsiTheme="minorHAnsi"/>
          <w:szCs w:val="22"/>
        </w:rPr>
        <w:t xml:space="preserve"> </w:t>
      </w:r>
    </w:p>
    <w:p w14:paraId="08AA6A43" w14:textId="77777777" w:rsidR="00C268C6" w:rsidRPr="0064498B" w:rsidRDefault="00C268C6" w:rsidP="00C268C6">
      <w:pPr>
        <w:rPr>
          <w:rFonts w:asciiTheme="minorHAnsi" w:hAnsiTheme="minorHAnsi"/>
          <w:szCs w:val="22"/>
        </w:rPr>
      </w:pPr>
    </w:p>
    <w:p w14:paraId="0CBB4D3B" w14:textId="155D4681" w:rsidR="00C268C6" w:rsidRPr="0064498B" w:rsidRDefault="00C268C6" w:rsidP="00C268C6">
      <w:pPr>
        <w:rPr>
          <w:rFonts w:asciiTheme="minorHAnsi" w:hAnsiTheme="minorHAnsi"/>
          <w:szCs w:val="22"/>
        </w:rPr>
      </w:pPr>
      <w:r w:rsidRPr="0064498B">
        <w:rPr>
          <w:rFonts w:asciiTheme="minorHAnsi" w:hAnsiTheme="minorHAnsi"/>
          <w:szCs w:val="22"/>
        </w:rPr>
        <w:t xml:space="preserve">Availability of </w:t>
      </w:r>
      <w:r w:rsidR="00897141">
        <w:rPr>
          <w:rFonts w:asciiTheme="minorHAnsi" w:hAnsiTheme="minorHAnsi"/>
          <w:szCs w:val="22"/>
        </w:rPr>
        <w:t>WG</w:t>
      </w:r>
      <w:r w:rsidRPr="0064498B">
        <w:rPr>
          <w:rFonts w:asciiTheme="minorHAnsi" w:hAnsiTheme="minorHAnsi"/>
          <w:szCs w:val="22"/>
        </w:rPr>
        <w:t xml:space="preserve"> strategic capital funding to support the capital costs of the key changes included in the Plan is key and our biggest</w:t>
      </w:r>
      <w:r>
        <w:rPr>
          <w:rFonts w:asciiTheme="minorHAnsi" w:hAnsiTheme="minorHAnsi"/>
          <w:szCs w:val="22"/>
        </w:rPr>
        <w:t xml:space="preserve"> risk</w:t>
      </w:r>
      <w:r w:rsidRPr="0064498B">
        <w:rPr>
          <w:rFonts w:asciiTheme="minorHAnsi" w:hAnsiTheme="minorHAnsi"/>
          <w:szCs w:val="22"/>
        </w:rPr>
        <w:t xml:space="preserve">.  Our three year capital plan includes a number of schemes which are critical to deliver key service changes, many of which are key enablers for savings included in the </w:t>
      </w:r>
      <w:r>
        <w:rPr>
          <w:rFonts w:asciiTheme="minorHAnsi" w:hAnsiTheme="minorHAnsi"/>
          <w:szCs w:val="22"/>
        </w:rPr>
        <w:t>Plan</w:t>
      </w:r>
      <w:r w:rsidRPr="0064498B">
        <w:rPr>
          <w:rFonts w:asciiTheme="minorHAnsi" w:hAnsiTheme="minorHAnsi"/>
          <w:szCs w:val="22"/>
        </w:rPr>
        <w:t xml:space="preserve">.  Without continuing to secure this capital funding stream, the relevant revenue savings within our Plan could not be fully achieved. </w:t>
      </w:r>
    </w:p>
    <w:p w14:paraId="088E8F74" w14:textId="77777777" w:rsidR="00C268C6" w:rsidRPr="0064498B" w:rsidRDefault="00C268C6" w:rsidP="00C268C6">
      <w:pPr>
        <w:rPr>
          <w:rFonts w:asciiTheme="minorHAnsi" w:hAnsiTheme="minorHAnsi"/>
          <w:szCs w:val="22"/>
        </w:rPr>
      </w:pPr>
    </w:p>
    <w:p w14:paraId="6021FF66" w14:textId="4C679438" w:rsidR="00C268C6" w:rsidRPr="0064498B" w:rsidRDefault="00C268C6" w:rsidP="00C268C6">
      <w:pPr>
        <w:rPr>
          <w:rFonts w:asciiTheme="minorHAnsi" w:hAnsiTheme="minorHAnsi"/>
          <w:szCs w:val="22"/>
        </w:rPr>
      </w:pPr>
      <w:r w:rsidRPr="0064498B">
        <w:rPr>
          <w:rFonts w:asciiTheme="minorHAnsi" w:hAnsiTheme="minorHAnsi"/>
          <w:szCs w:val="22"/>
        </w:rPr>
        <w:t xml:space="preserve">Major capital investment is required to implement a number of elements of the Plan.  </w:t>
      </w:r>
      <w:r>
        <w:rPr>
          <w:rFonts w:asciiTheme="minorHAnsi" w:hAnsiTheme="minorHAnsi"/>
          <w:szCs w:val="22"/>
        </w:rPr>
        <w:t xml:space="preserve">The Bridgend merger has introduced a range of additional priorities for capital investment alongside those already existing within the old Cwm Taf boundary, these include statutory compliance, including a live fire enforcement notice in POWH, </w:t>
      </w:r>
      <w:r w:rsidRPr="0064498B">
        <w:rPr>
          <w:rFonts w:asciiTheme="minorHAnsi" w:hAnsiTheme="minorHAnsi"/>
          <w:szCs w:val="22"/>
        </w:rPr>
        <w:t>the</w:t>
      </w:r>
      <w:r>
        <w:rPr>
          <w:rFonts w:asciiTheme="minorHAnsi" w:hAnsiTheme="minorHAnsi"/>
          <w:szCs w:val="22"/>
        </w:rPr>
        <w:t xml:space="preserve"> </w:t>
      </w:r>
      <w:r w:rsidRPr="0064498B">
        <w:rPr>
          <w:rFonts w:asciiTheme="minorHAnsi" w:hAnsiTheme="minorHAnsi"/>
          <w:szCs w:val="22"/>
        </w:rPr>
        <w:t>enable</w:t>
      </w:r>
      <w:r>
        <w:rPr>
          <w:rFonts w:asciiTheme="minorHAnsi" w:hAnsiTheme="minorHAnsi"/>
          <w:szCs w:val="22"/>
        </w:rPr>
        <w:t xml:space="preserve">ment of </w:t>
      </w:r>
      <w:r w:rsidRPr="0064498B">
        <w:rPr>
          <w:rFonts w:asciiTheme="minorHAnsi" w:hAnsiTheme="minorHAnsi"/>
          <w:szCs w:val="22"/>
        </w:rPr>
        <w:t>service</w:t>
      </w:r>
      <w:r>
        <w:rPr>
          <w:rFonts w:asciiTheme="minorHAnsi" w:hAnsiTheme="minorHAnsi"/>
          <w:szCs w:val="22"/>
        </w:rPr>
        <w:t xml:space="preserve"> model changes, facilitating</w:t>
      </w:r>
      <w:r w:rsidRPr="0064498B">
        <w:rPr>
          <w:rFonts w:asciiTheme="minorHAnsi" w:hAnsiTheme="minorHAnsi"/>
          <w:szCs w:val="22"/>
        </w:rPr>
        <w:t xml:space="preserve"> performance and efficiency improvements and maintain</w:t>
      </w:r>
      <w:r>
        <w:rPr>
          <w:rFonts w:asciiTheme="minorHAnsi" w:hAnsiTheme="minorHAnsi"/>
          <w:szCs w:val="22"/>
        </w:rPr>
        <w:t>ing</w:t>
      </w:r>
      <w:r w:rsidRPr="0064498B">
        <w:rPr>
          <w:rFonts w:asciiTheme="minorHAnsi" w:hAnsiTheme="minorHAnsi"/>
          <w:szCs w:val="22"/>
        </w:rPr>
        <w:t xml:space="preserve"> the Health Board’s assets (estate and equipment) to a high standard.  Th</w:t>
      </w:r>
      <w:r>
        <w:rPr>
          <w:rFonts w:asciiTheme="minorHAnsi" w:hAnsiTheme="minorHAnsi"/>
          <w:szCs w:val="22"/>
        </w:rPr>
        <w:t xml:space="preserve">ese priorities have been drawn together over the last 12 months </w:t>
      </w:r>
      <w:r w:rsidRPr="0064498B">
        <w:rPr>
          <w:rFonts w:asciiTheme="minorHAnsi" w:hAnsiTheme="minorHAnsi"/>
          <w:szCs w:val="22"/>
        </w:rPr>
        <w:t xml:space="preserve">and </w:t>
      </w:r>
      <w:r w:rsidR="00AE49CF">
        <w:rPr>
          <w:rFonts w:asciiTheme="minorHAnsi" w:hAnsiTheme="minorHAnsi"/>
          <w:szCs w:val="22"/>
        </w:rPr>
        <w:t>specific major schemes include:</w:t>
      </w:r>
    </w:p>
    <w:p w14:paraId="134FD6FB" w14:textId="1335C086" w:rsidR="00C268C6" w:rsidRPr="0064498B" w:rsidRDefault="00C268C6" w:rsidP="00C268C6">
      <w:pPr>
        <w:pStyle w:val="NormaBullet"/>
        <w:rPr>
          <w:szCs w:val="22"/>
        </w:rPr>
      </w:pPr>
      <w:r w:rsidRPr="0064498B">
        <w:rPr>
          <w:szCs w:val="22"/>
        </w:rPr>
        <w:t xml:space="preserve">PCH ground and first floor refurbishment project (phases 1A and 1B approved with business cases for phase 2 currently </w:t>
      </w:r>
      <w:r>
        <w:rPr>
          <w:szCs w:val="22"/>
        </w:rPr>
        <w:t>undergoing scrutiny in</w:t>
      </w:r>
      <w:r w:rsidRPr="0064498B">
        <w:rPr>
          <w:szCs w:val="22"/>
        </w:rPr>
        <w:t xml:space="preserve"> </w:t>
      </w:r>
      <w:r w:rsidR="00897141">
        <w:rPr>
          <w:szCs w:val="22"/>
        </w:rPr>
        <w:t>WG</w:t>
      </w:r>
      <w:r w:rsidRPr="0064498B">
        <w:rPr>
          <w:szCs w:val="22"/>
        </w:rPr>
        <w:t xml:space="preserve">).  </w:t>
      </w:r>
    </w:p>
    <w:p w14:paraId="78F71660" w14:textId="05F1D964" w:rsidR="00C268C6" w:rsidRPr="0064498B" w:rsidRDefault="00C268C6" w:rsidP="00C268C6">
      <w:pPr>
        <w:pStyle w:val="NormaBullet"/>
        <w:rPr>
          <w:szCs w:val="22"/>
        </w:rPr>
      </w:pPr>
      <w:r w:rsidRPr="0064498B">
        <w:rPr>
          <w:szCs w:val="22"/>
        </w:rPr>
        <w:t>Strategic programme to develop the primary care estate.  T</w:t>
      </w:r>
      <w:r>
        <w:rPr>
          <w:szCs w:val="22"/>
        </w:rPr>
        <w:t>hree</w:t>
      </w:r>
      <w:r w:rsidRPr="0064498B">
        <w:rPr>
          <w:szCs w:val="22"/>
        </w:rPr>
        <w:t xml:space="preserve"> capital schemes</w:t>
      </w:r>
      <w:r>
        <w:rPr>
          <w:szCs w:val="22"/>
        </w:rPr>
        <w:t xml:space="preserve"> within the </w:t>
      </w:r>
      <w:r w:rsidR="00AE49CF">
        <w:rPr>
          <w:szCs w:val="22"/>
        </w:rPr>
        <w:t>CTM</w:t>
      </w:r>
      <w:r>
        <w:rPr>
          <w:szCs w:val="22"/>
        </w:rPr>
        <w:t xml:space="preserve"> area, Tonypandy,</w:t>
      </w:r>
      <w:r w:rsidRPr="0064498B">
        <w:rPr>
          <w:szCs w:val="22"/>
        </w:rPr>
        <w:t xml:space="preserve"> Dewi Sant </w:t>
      </w:r>
      <w:r>
        <w:rPr>
          <w:szCs w:val="22"/>
        </w:rPr>
        <w:t xml:space="preserve">Health Park </w:t>
      </w:r>
      <w:r w:rsidRPr="0064498B">
        <w:rPr>
          <w:szCs w:val="22"/>
        </w:rPr>
        <w:t>phase 2</w:t>
      </w:r>
      <w:r w:rsidR="00AE49CF">
        <w:rPr>
          <w:szCs w:val="22"/>
        </w:rPr>
        <w:t xml:space="preserve"> and Sunnyside</w:t>
      </w:r>
      <w:r w:rsidRPr="0064498B">
        <w:rPr>
          <w:szCs w:val="22"/>
        </w:rPr>
        <w:t xml:space="preserve"> have been identified in phase 1 capital for ring-fenced WG funding with Mountain Ash receiving revenue support to proceed under a third party development arrangement.  Tonypandy Health Centre </w:t>
      </w:r>
      <w:r w:rsidRPr="00F73B85">
        <w:rPr>
          <w:szCs w:val="22"/>
        </w:rPr>
        <w:t xml:space="preserve">business case was approved in 2018/19 and works completed in the summer 2019/20.  Approval of the Business case for Dewi Sant Health Park phase 2 </w:t>
      </w:r>
      <w:r w:rsidR="005F1BC2">
        <w:rPr>
          <w:szCs w:val="22"/>
        </w:rPr>
        <w:t>was received in November 2019</w:t>
      </w:r>
      <w:r w:rsidRPr="00F73B85">
        <w:rPr>
          <w:szCs w:val="22"/>
        </w:rPr>
        <w:t xml:space="preserve"> with work starting on site in early 2020.  The Sunnyside scheme transferred over </w:t>
      </w:r>
      <w:r w:rsidRPr="00F73B85">
        <w:rPr>
          <w:szCs w:val="22"/>
        </w:rPr>
        <w:lastRenderedPageBreak/>
        <w:t>from Bridgend with an OBC submitted to WG.</w:t>
      </w:r>
      <w:r>
        <w:rPr>
          <w:szCs w:val="22"/>
        </w:rPr>
        <w:t xml:space="preserve">  Work is ongoing to complete the FBC with the receipt of planning permission and contractor tender submissions.  It is planned for work to commence in early 2020/21.</w:t>
      </w:r>
      <w:r w:rsidR="00AE244E">
        <w:rPr>
          <w:szCs w:val="22"/>
        </w:rPr>
        <w:t xml:space="preserve"> </w:t>
      </w:r>
      <w:r>
        <w:rPr>
          <w:szCs w:val="22"/>
        </w:rPr>
        <w:t xml:space="preserve"> This will enable the disposal of 3 community premises with the merger to a single site.</w:t>
      </w:r>
    </w:p>
    <w:p w14:paraId="3A224DBF" w14:textId="60420DD1" w:rsidR="00C268C6" w:rsidRPr="0064498B" w:rsidRDefault="00C268C6" w:rsidP="00C268C6">
      <w:pPr>
        <w:pStyle w:val="NormaBullet"/>
        <w:rPr>
          <w:szCs w:val="22"/>
        </w:rPr>
      </w:pPr>
      <w:r w:rsidRPr="0064498B">
        <w:rPr>
          <w:szCs w:val="22"/>
        </w:rPr>
        <w:t xml:space="preserve">Major radiology modernisation programme across all DGHs including </w:t>
      </w:r>
      <w:r w:rsidR="00E32360">
        <w:rPr>
          <w:szCs w:val="22"/>
        </w:rPr>
        <w:t>POWH</w:t>
      </w:r>
      <w:r w:rsidRPr="0064498B">
        <w:rPr>
          <w:szCs w:val="22"/>
        </w:rPr>
        <w:t xml:space="preserve">, </w:t>
      </w:r>
      <w:r>
        <w:rPr>
          <w:szCs w:val="22"/>
        </w:rPr>
        <w:t xml:space="preserve">with WG funding received for the replacement CT scanner in POWH in 2019/20, key priorities for the next cycle will be MRI in RGH and POWH and a possible acceleration of the </w:t>
      </w:r>
      <w:r w:rsidR="002C4018">
        <w:rPr>
          <w:szCs w:val="22"/>
        </w:rPr>
        <w:t xml:space="preserve">second </w:t>
      </w:r>
      <w:r>
        <w:rPr>
          <w:szCs w:val="22"/>
        </w:rPr>
        <w:t>CT scanner in PCH from the original Ground and First Floor Programme as well as investment in aging general X Ray rooms.</w:t>
      </w:r>
    </w:p>
    <w:p w14:paraId="510D6F61" w14:textId="433F6BD4" w:rsidR="00C268C6" w:rsidRDefault="00C268C6" w:rsidP="00C268C6">
      <w:pPr>
        <w:pStyle w:val="NormaBullet"/>
        <w:rPr>
          <w:szCs w:val="22"/>
        </w:rPr>
      </w:pPr>
      <w:r w:rsidRPr="0064498B">
        <w:rPr>
          <w:szCs w:val="22"/>
        </w:rPr>
        <w:t>Major engineering infrastructu</w:t>
      </w:r>
      <w:r>
        <w:rPr>
          <w:szCs w:val="22"/>
        </w:rPr>
        <w:t xml:space="preserve">re schemes in </w:t>
      </w:r>
      <w:r w:rsidRPr="0064498B">
        <w:rPr>
          <w:szCs w:val="22"/>
        </w:rPr>
        <w:t>RGH</w:t>
      </w:r>
      <w:r>
        <w:rPr>
          <w:szCs w:val="22"/>
        </w:rPr>
        <w:t xml:space="preserve">.  A </w:t>
      </w:r>
      <w:r w:rsidRPr="0064498B">
        <w:rPr>
          <w:szCs w:val="22"/>
        </w:rPr>
        <w:t xml:space="preserve">strategic programme has been endorsed by WG and includes replacement of electrical and mechanical systems, generators, switchgear and air handling plant (phase 1 standby generators completed in 2017/18 with </w:t>
      </w:r>
      <w:r w:rsidR="00897141">
        <w:rPr>
          <w:szCs w:val="22"/>
        </w:rPr>
        <w:t>WG</w:t>
      </w:r>
      <w:r w:rsidRPr="0064498B">
        <w:rPr>
          <w:szCs w:val="22"/>
        </w:rPr>
        <w:t xml:space="preserve"> funding).  The business case for the electrical phase</w:t>
      </w:r>
      <w:r>
        <w:rPr>
          <w:szCs w:val="22"/>
        </w:rPr>
        <w:t xml:space="preserve"> required a re-tender submission which delayed its submission to WG to the end of 2019/20.  Funding approval is expected to enabl</w:t>
      </w:r>
      <w:r w:rsidR="00B0529A">
        <w:rPr>
          <w:szCs w:val="22"/>
        </w:rPr>
        <w:t>e works to commence in 2020/21.</w:t>
      </w:r>
      <w:r>
        <w:rPr>
          <w:szCs w:val="22"/>
        </w:rPr>
        <w:t xml:space="preserve">  Once electrical works commence, then work on developing </w:t>
      </w:r>
      <w:r w:rsidRPr="0064498B">
        <w:rPr>
          <w:szCs w:val="22"/>
        </w:rPr>
        <w:t>a business case for the cooling and ventilation elements</w:t>
      </w:r>
      <w:r>
        <w:rPr>
          <w:szCs w:val="22"/>
        </w:rPr>
        <w:t xml:space="preserve"> will start</w:t>
      </w:r>
      <w:r w:rsidRPr="0064498B">
        <w:rPr>
          <w:szCs w:val="22"/>
        </w:rPr>
        <w:t xml:space="preserve">.  In </w:t>
      </w:r>
      <w:r w:rsidR="00E32360">
        <w:rPr>
          <w:szCs w:val="22"/>
        </w:rPr>
        <w:t>POWH</w:t>
      </w:r>
      <w:r w:rsidRPr="0064498B">
        <w:rPr>
          <w:szCs w:val="22"/>
        </w:rPr>
        <w:t xml:space="preserve"> work to develop a case to support an urgent requirement for theatre plant refurbishment programme will need to commence.  </w:t>
      </w:r>
    </w:p>
    <w:p w14:paraId="0B76B1A9" w14:textId="77777777" w:rsidR="00C268C6" w:rsidRDefault="00C268C6" w:rsidP="00C268C6">
      <w:pPr>
        <w:pStyle w:val="NormaBullet"/>
        <w:rPr>
          <w:szCs w:val="22"/>
        </w:rPr>
      </w:pPr>
      <w:r>
        <w:rPr>
          <w:szCs w:val="22"/>
        </w:rPr>
        <w:t xml:space="preserve">Significant investment will be required for the POWH site to address a number of statutory and infrastructure risks.  The 4 facet survey has required further reworking and will support a prioritised programme of development.  However one of the highest priority investments has had to be the addressing of the fire enforcement notice in theatres on the POWH site.  The level and nature of work and investment in the theatre areas may cause significant site disruption and it would be prudent to consider upgrade to the theatres on the site whilst this disruptive work takes place. </w:t>
      </w:r>
    </w:p>
    <w:p w14:paraId="638A5691" w14:textId="32B195A1" w:rsidR="00C268C6" w:rsidRDefault="00C268C6" w:rsidP="00C268C6">
      <w:pPr>
        <w:pStyle w:val="NormaBullet"/>
        <w:rPr>
          <w:szCs w:val="22"/>
        </w:rPr>
      </w:pPr>
      <w:r>
        <w:rPr>
          <w:szCs w:val="22"/>
        </w:rPr>
        <w:t>In addition to the above it has become apparent that major investment will be required in the fire alarm system on both the POWH site and other sites that have transferr</w:t>
      </w:r>
      <w:r w:rsidR="00B0529A">
        <w:rPr>
          <w:szCs w:val="22"/>
        </w:rPr>
        <w:t>ed from Bridgend including Glanr</w:t>
      </w:r>
      <w:r>
        <w:rPr>
          <w:szCs w:val="22"/>
        </w:rPr>
        <w:t>hyd, Maesteg and other community premises.  Work is ongoing to determine the total costs and discussions are taking place with WG around funding.</w:t>
      </w:r>
    </w:p>
    <w:p w14:paraId="4D27DF07" w14:textId="110CD596" w:rsidR="00C268C6" w:rsidRPr="00C268C6" w:rsidRDefault="00B0529A" w:rsidP="00C268C6">
      <w:pPr>
        <w:pStyle w:val="NormaBullet"/>
        <w:rPr>
          <w:szCs w:val="22"/>
        </w:rPr>
      </w:pPr>
      <w:r>
        <w:rPr>
          <w:szCs w:val="22"/>
        </w:rPr>
        <w:t>CTM</w:t>
      </w:r>
      <w:r w:rsidR="00C268C6">
        <w:rPr>
          <w:szCs w:val="22"/>
        </w:rPr>
        <w:t xml:space="preserve"> will be required to complete anti-ligature works in properties transferring from Bridgend.  The former </w:t>
      </w:r>
      <w:r>
        <w:rPr>
          <w:szCs w:val="22"/>
        </w:rPr>
        <w:t xml:space="preserve">ABMUHB </w:t>
      </w:r>
      <w:r w:rsidR="00C268C6">
        <w:rPr>
          <w:szCs w:val="22"/>
        </w:rPr>
        <w:t>commenced works in limited area in the estate prior to the merger however that work will now need to be completed.  An exercise of due diligence has been undertaken by multi-disciplinary teams to revisit the clinical audits carri</w:t>
      </w:r>
      <w:r>
        <w:rPr>
          <w:szCs w:val="22"/>
        </w:rPr>
        <w:t>ed out to inform required works;</w:t>
      </w:r>
      <w:r w:rsidR="00C268C6">
        <w:rPr>
          <w:szCs w:val="22"/>
        </w:rPr>
        <w:t xml:space="preserve"> it is expected that revised </w:t>
      </w:r>
      <w:r w:rsidR="00C268C6" w:rsidRPr="00C268C6">
        <w:rPr>
          <w:szCs w:val="22"/>
        </w:rPr>
        <w:t xml:space="preserve">costs will be submitted to WG for funding to enable works to commence in early 2020/21. </w:t>
      </w:r>
    </w:p>
    <w:p w14:paraId="0DA3EE08" w14:textId="52EB5E34" w:rsidR="00C268C6" w:rsidRPr="00E72776" w:rsidRDefault="00C268C6" w:rsidP="00C268C6">
      <w:pPr>
        <w:pStyle w:val="NormaBullet"/>
        <w:rPr>
          <w:szCs w:val="22"/>
        </w:rPr>
      </w:pPr>
      <w:r w:rsidRPr="00C268C6">
        <w:rPr>
          <w:szCs w:val="22"/>
        </w:rPr>
        <w:t xml:space="preserve">A recent HIW inspection of mental health services at RGH has reported concerns within the infrastructure of the current inpatient unit affecting patient dignity and respect.  As a result the </w:t>
      </w:r>
      <w:r w:rsidR="009B7AA1">
        <w:rPr>
          <w:szCs w:val="22"/>
        </w:rPr>
        <w:t>UHB</w:t>
      </w:r>
      <w:r w:rsidRPr="00C268C6">
        <w:rPr>
          <w:szCs w:val="22"/>
        </w:rPr>
        <w:t xml:space="preserve"> have had a recommendation that the unit requires investment to address the issues raised.  Work is ongoing </w:t>
      </w:r>
      <w:r w:rsidRPr="00E72776">
        <w:rPr>
          <w:szCs w:val="22"/>
        </w:rPr>
        <w:t xml:space="preserve">to develop the scope of the project and a scoping meeting </w:t>
      </w:r>
      <w:r w:rsidR="00A75D9C">
        <w:rPr>
          <w:szCs w:val="22"/>
        </w:rPr>
        <w:t>has been</w:t>
      </w:r>
      <w:r w:rsidRPr="00E72776">
        <w:rPr>
          <w:szCs w:val="22"/>
        </w:rPr>
        <w:t xml:space="preserve"> arranged with WG to enable this to move forward.  </w:t>
      </w:r>
    </w:p>
    <w:p w14:paraId="64EC683F" w14:textId="77777777" w:rsidR="0051270F" w:rsidRPr="00E72776" w:rsidRDefault="0051270F" w:rsidP="0051270F">
      <w:pPr>
        <w:pStyle w:val="Default"/>
        <w:rPr>
          <w:rFonts w:asciiTheme="minorHAnsi" w:hAnsiTheme="minorHAnsi"/>
          <w:color w:val="auto"/>
          <w:sz w:val="22"/>
          <w:szCs w:val="22"/>
        </w:rPr>
      </w:pPr>
    </w:p>
    <w:p w14:paraId="5C682F1F" w14:textId="77777777" w:rsidR="0051270F" w:rsidRPr="00E72776" w:rsidRDefault="0051270F" w:rsidP="0051270F">
      <w:pPr>
        <w:rPr>
          <w:rFonts w:asciiTheme="minorHAnsi" w:hAnsiTheme="minorHAnsi"/>
          <w:szCs w:val="22"/>
        </w:rPr>
      </w:pPr>
      <w:r w:rsidRPr="00E72776">
        <w:rPr>
          <w:rFonts w:asciiTheme="minorHAnsi" w:hAnsiTheme="minorHAnsi"/>
          <w:szCs w:val="22"/>
        </w:rPr>
        <w:t xml:space="preserve">Schemes to enable service model changes include: </w:t>
      </w:r>
    </w:p>
    <w:p w14:paraId="5E5EE09B" w14:textId="113AD0ED" w:rsidR="00C268C6" w:rsidRPr="0064498B" w:rsidRDefault="00C268C6" w:rsidP="00C268C6">
      <w:pPr>
        <w:pStyle w:val="NormaBullet"/>
        <w:rPr>
          <w:rFonts w:asciiTheme="minorHAnsi" w:hAnsiTheme="minorHAnsi"/>
          <w:szCs w:val="22"/>
        </w:rPr>
      </w:pPr>
      <w:r w:rsidRPr="00E72776">
        <w:rPr>
          <w:rFonts w:asciiTheme="minorHAnsi" w:hAnsiTheme="minorHAnsi"/>
          <w:szCs w:val="22"/>
        </w:rPr>
        <w:t xml:space="preserve">Redesign of RGH to facilitate the outcome of the </w:t>
      </w:r>
      <w:r w:rsidR="00B0529A">
        <w:rPr>
          <w:rFonts w:asciiTheme="minorHAnsi" w:hAnsiTheme="minorHAnsi"/>
          <w:szCs w:val="22"/>
        </w:rPr>
        <w:t>SWP</w:t>
      </w:r>
      <w:r w:rsidRPr="00E72776">
        <w:rPr>
          <w:rFonts w:asciiTheme="minorHAnsi" w:hAnsiTheme="minorHAnsi"/>
          <w:szCs w:val="22"/>
        </w:rPr>
        <w:t xml:space="preserve">.  The transfer of the neonatal and consultant led obstetric services to PCH has enabled the development of an interim FMU at RGH.  This was the planned first phase of the site wide programme, however the delay to the transfer of inpatient paediatric services to PCH has also delayed development </w:t>
      </w:r>
      <w:r w:rsidR="002127B3" w:rsidRPr="00E72776">
        <w:rPr>
          <w:rFonts w:asciiTheme="minorHAnsi" w:hAnsiTheme="minorHAnsi"/>
          <w:szCs w:val="22"/>
        </w:rPr>
        <w:t>of further</w:t>
      </w:r>
      <w:r w:rsidRPr="00E72776">
        <w:rPr>
          <w:rFonts w:asciiTheme="minorHAnsi" w:hAnsiTheme="minorHAnsi"/>
          <w:szCs w:val="22"/>
        </w:rPr>
        <w:t xml:space="preserve"> stages of the programme.  In view of the emerging clinical services strategy and review of services on the RGH site it has become clear that some priorities have changed and the previously planned strategy may need to be re-phased.  The expansion of endoscopy capacity remains critical both in terms of performance and for JAG accreditation and the centralisation of outpatient breast services remain a high priority.  As a result a review of the programme phases and options</w:t>
      </w:r>
      <w:r>
        <w:rPr>
          <w:rFonts w:asciiTheme="minorHAnsi" w:hAnsiTheme="minorHAnsi"/>
          <w:szCs w:val="22"/>
        </w:rPr>
        <w:t xml:space="preserve"> will be carried out in order to prioritise some projects for earlier investment</w:t>
      </w:r>
      <w:r w:rsidRPr="0064498B">
        <w:rPr>
          <w:rFonts w:asciiTheme="minorHAnsi" w:hAnsiTheme="minorHAnsi"/>
          <w:szCs w:val="22"/>
        </w:rPr>
        <w:t>.</w:t>
      </w:r>
    </w:p>
    <w:p w14:paraId="78DB866D"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Reconfiguration of the Dewi Sant site to complete the development into a Health Park facility</w:t>
      </w:r>
      <w:r>
        <w:rPr>
          <w:rFonts w:asciiTheme="minorHAnsi" w:hAnsiTheme="minorHAnsi"/>
          <w:szCs w:val="22"/>
        </w:rPr>
        <w:t>, this work will complete during this IMTP cycle.</w:t>
      </w:r>
      <w:r w:rsidRPr="0064498B">
        <w:rPr>
          <w:rFonts w:asciiTheme="minorHAnsi" w:hAnsiTheme="minorHAnsi"/>
          <w:szCs w:val="22"/>
        </w:rPr>
        <w:t xml:space="preserve"> </w:t>
      </w:r>
    </w:p>
    <w:p w14:paraId="18C107EC" w14:textId="7F731702" w:rsidR="00C268C6" w:rsidRDefault="00C268C6" w:rsidP="00C268C6">
      <w:pPr>
        <w:pStyle w:val="NormaBullet"/>
        <w:rPr>
          <w:rFonts w:asciiTheme="minorHAnsi" w:hAnsiTheme="minorHAnsi"/>
          <w:szCs w:val="22"/>
        </w:rPr>
      </w:pPr>
      <w:r w:rsidRPr="0064498B">
        <w:rPr>
          <w:rFonts w:asciiTheme="minorHAnsi" w:hAnsiTheme="minorHAnsi"/>
          <w:szCs w:val="22"/>
        </w:rPr>
        <w:t>Creation of an integrated primary and community ca</w:t>
      </w:r>
      <w:r w:rsidR="00E72776">
        <w:rPr>
          <w:rFonts w:asciiTheme="minorHAnsi" w:hAnsiTheme="minorHAnsi"/>
          <w:szCs w:val="22"/>
        </w:rPr>
        <w:t>re development in Mountain Ash.</w:t>
      </w:r>
    </w:p>
    <w:p w14:paraId="09182C95" w14:textId="426BCC93" w:rsidR="00E72776" w:rsidRPr="0064498B" w:rsidRDefault="00E72776" w:rsidP="00C268C6">
      <w:pPr>
        <w:pStyle w:val="NormaBullet"/>
        <w:rPr>
          <w:rFonts w:asciiTheme="minorHAnsi" w:hAnsiTheme="minorHAnsi"/>
          <w:szCs w:val="22"/>
        </w:rPr>
      </w:pPr>
      <w:r>
        <w:rPr>
          <w:rFonts w:asciiTheme="minorHAnsi" w:hAnsiTheme="minorHAnsi"/>
          <w:szCs w:val="22"/>
        </w:rPr>
        <w:t xml:space="preserve">Redesign of the dementia day service at </w:t>
      </w:r>
      <w:r w:rsidR="00EF3559">
        <w:rPr>
          <w:rFonts w:asciiTheme="minorHAnsi" w:hAnsiTheme="minorHAnsi"/>
          <w:szCs w:val="22"/>
        </w:rPr>
        <w:t>KHHP</w:t>
      </w:r>
      <w:r>
        <w:rPr>
          <w:rFonts w:asciiTheme="minorHAnsi" w:hAnsiTheme="minorHAnsi"/>
          <w:szCs w:val="22"/>
        </w:rPr>
        <w:t xml:space="preserve"> using ICF Capital funding, to support a new integrated and person centred health and social care model, accompanied by a major culture change project based on the Dementia </w:t>
      </w:r>
      <w:r w:rsidR="0066516A">
        <w:rPr>
          <w:rFonts w:asciiTheme="minorHAnsi" w:hAnsiTheme="minorHAnsi"/>
          <w:szCs w:val="22"/>
        </w:rPr>
        <w:t>C</w:t>
      </w:r>
      <w:r>
        <w:rPr>
          <w:rFonts w:asciiTheme="minorHAnsi" w:hAnsiTheme="minorHAnsi"/>
          <w:szCs w:val="22"/>
        </w:rPr>
        <w:t>are Matters principles.</w:t>
      </w:r>
    </w:p>
    <w:p w14:paraId="4059BA2F" w14:textId="77777777" w:rsidR="00C268C6" w:rsidRPr="0064498B" w:rsidRDefault="00C268C6" w:rsidP="00C268C6">
      <w:pPr>
        <w:pStyle w:val="NormaBullet"/>
        <w:rPr>
          <w:rFonts w:asciiTheme="minorHAnsi" w:hAnsiTheme="minorHAnsi"/>
          <w:szCs w:val="22"/>
        </w:rPr>
      </w:pPr>
      <w:r>
        <w:rPr>
          <w:rFonts w:asciiTheme="minorHAnsi" w:hAnsiTheme="minorHAnsi"/>
          <w:szCs w:val="22"/>
        </w:rPr>
        <w:t xml:space="preserve">Development of </w:t>
      </w:r>
      <w:r w:rsidRPr="0064498B">
        <w:rPr>
          <w:rFonts w:asciiTheme="minorHAnsi" w:hAnsiTheme="minorHAnsi"/>
          <w:szCs w:val="22"/>
        </w:rPr>
        <w:t>centralised decontamination services at POW</w:t>
      </w:r>
      <w:r>
        <w:rPr>
          <w:rFonts w:asciiTheme="minorHAnsi" w:hAnsiTheme="minorHAnsi"/>
          <w:szCs w:val="22"/>
        </w:rPr>
        <w:t>H</w:t>
      </w:r>
      <w:r w:rsidRPr="0064498B">
        <w:rPr>
          <w:rFonts w:asciiTheme="minorHAnsi" w:hAnsiTheme="minorHAnsi"/>
          <w:szCs w:val="22"/>
        </w:rPr>
        <w:t xml:space="preserve"> to address JAG concerns over the c</w:t>
      </w:r>
      <w:r>
        <w:rPr>
          <w:rFonts w:asciiTheme="minorHAnsi" w:hAnsiTheme="minorHAnsi"/>
          <w:szCs w:val="22"/>
        </w:rPr>
        <w:t>urrent arrangements on the site</w:t>
      </w:r>
      <w:r w:rsidRPr="0064498B">
        <w:rPr>
          <w:rFonts w:asciiTheme="minorHAnsi" w:hAnsiTheme="minorHAnsi"/>
          <w:szCs w:val="22"/>
        </w:rPr>
        <w:t xml:space="preserve"> and to ensure compliance with legislation</w:t>
      </w:r>
      <w:r>
        <w:rPr>
          <w:rFonts w:asciiTheme="minorHAnsi" w:hAnsiTheme="minorHAnsi"/>
          <w:szCs w:val="22"/>
        </w:rPr>
        <w:t>, and decontamination policies as well as securing capacity and replacing gaining equipment and infrastructure in the current HSDU.</w:t>
      </w:r>
      <w:r w:rsidRPr="0064498B">
        <w:rPr>
          <w:rFonts w:asciiTheme="minorHAnsi" w:hAnsiTheme="minorHAnsi"/>
          <w:szCs w:val="22"/>
        </w:rPr>
        <w:t xml:space="preserve"> </w:t>
      </w:r>
    </w:p>
    <w:p w14:paraId="4D48618F" w14:textId="1B9D1C36" w:rsidR="00C268C6" w:rsidRPr="0064498B" w:rsidRDefault="00C268C6" w:rsidP="00C268C6">
      <w:pPr>
        <w:pStyle w:val="NormaBullet"/>
        <w:rPr>
          <w:rFonts w:asciiTheme="minorHAnsi" w:hAnsiTheme="minorHAnsi"/>
          <w:szCs w:val="22"/>
        </w:rPr>
      </w:pPr>
      <w:r w:rsidRPr="0064498B">
        <w:rPr>
          <w:rFonts w:asciiTheme="minorHAnsi" w:hAnsiTheme="minorHAnsi"/>
          <w:szCs w:val="22"/>
        </w:rPr>
        <w:lastRenderedPageBreak/>
        <w:t xml:space="preserve">Creation of an emergency surgical assessment unit at </w:t>
      </w:r>
      <w:r w:rsidR="00E32360">
        <w:rPr>
          <w:rFonts w:asciiTheme="minorHAnsi" w:hAnsiTheme="minorHAnsi"/>
          <w:szCs w:val="22"/>
        </w:rPr>
        <w:t>POWH</w:t>
      </w:r>
      <w:r w:rsidRPr="0064498B">
        <w:rPr>
          <w:rFonts w:asciiTheme="minorHAnsi" w:hAnsiTheme="minorHAnsi"/>
          <w:szCs w:val="22"/>
        </w:rPr>
        <w:t xml:space="preserve"> to support front door services and improve emergency performance.</w:t>
      </w:r>
    </w:p>
    <w:p w14:paraId="6CD38589" w14:textId="1703AE30"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Creation of day of surgery assessment areas to improve theatre and bed utilisation at </w:t>
      </w:r>
      <w:r w:rsidR="00E32360">
        <w:rPr>
          <w:rFonts w:asciiTheme="minorHAnsi" w:hAnsiTheme="minorHAnsi"/>
          <w:szCs w:val="22"/>
        </w:rPr>
        <w:t>POWH</w:t>
      </w:r>
      <w:r w:rsidRPr="0064498B">
        <w:rPr>
          <w:rFonts w:asciiTheme="minorHAnsi" w:hAnsiTheme="minorHAnsi"/>
          <w:szCs w:val="22"/>
        </w:rPr>
        <w:t>.</w:t>
      </w:r>
    </w:p>
    <w:p w14:paraId="09B6C9C4" w14:textId="02504107" w:rsidR="00C268C6" w:rsidRPr="0064498B" w:rsidRDefault="00C268C6" w:rsidP="00C268C6">
      <w:pPr>
        <w:pStyle w:val="NormaBullet"/>
        <w:rPr>
          <w:szCs w:val="22"/>
        </w:rPr>
      </w:pPr>
      <w:r w:rsidRPr="0064498B">
        <w:rPr>
          <w:szCs w:val="22"/>
        </w:rPr>
        <w:t xml:space="preserve">Development of a decant ward at </w:t>
      </w:r>
      <w:r w:rsidR="00E32360">
        <w:rPr>
          <w:szCs w:val="22"/>
        </w:rPr>
        <w:t>POWH</w:t>
      </w:r>
      <w:r w:rsidRPr="0064498B">
        <w:rPr>
          <w:szCs w:val="22"/>
        </w:rPr>
        <w:t xml:space="preserve"> to support the delivery of a programme of ward upgrades and improvements alongside programme of further service works with additional capacity to facilitate projects.</w:t>
      </w:r>
    </w:p>
    <w:p w14:paraId="44671462" w14:textId="079847FE" w:rsidR="00C268C6" w:rsidRPr="0064498B" w:rsidRDefault="00C268C6" w:rsidP="00C268C6">
      <w:pPr>
        <w:pStyle w:val="NormaBullet"/>
        <w:rPr>
          <w:szCs w:val="22"/>
        </w:rPr>
      </w:pPr>
      <w:r w:rsidRPr="0064498B">
        <w:rPr>
          <w:szCs w:val="22"/>
        </w:rPr>
        <w:t xml:space="preserve">Capital investment to support the Glaucoma team expansion and improved performance at </w:t>
      </w:r>
      <w:r w:rsidR="00E32360">
        <w:rPr>
          <w:szCs w:val="22"/>
        </w:rPr>
        <w:t>POWH</w:t>
      </w:r>
      <w:r w:rsidRPr="0064498B">
        <w:rPr>
          <w:szCs w:val="22"/>
        </w:rPr>
        <w:t xml:space="preserve">. </w:t>
      </w:r>
    </w:p>
    <w:p w14:paraId="4185C593" w14:textId="77777777" w:rsidR="00C268C6" w:rsidRPr="0064498B" w:rsidRDefault="00C268C6" w:rsidP="00C268C6">
      <w:pPr>
        <w:pStyle w:val="NormaBullet"/>
        <w:rPr>
          <w:szCs w:val="22"/>
        </w:rPr>
      </w:pPr>
      <w:r w:rsidRPr="0064498B">
        <w:rPr>
          <w:szCs w:val="22"/>
        </w:rPr>
        <w:t>Review of corporate accommodation requirements for the new organisation</w:t>
      </w:r>
      <w:r>
        <w:rPr>
          <w:szCs w:val="22"/>
        </w:rPr>
        <w:t>.</w:t>
      </w:r>
    </w:p>
    <w:p w14:paraId="43F9674D" w14:textId="77777777" w:rsidR="00C268C6" w:rsidRPr="0064498B" w:rsidRDefault="00C268C6" w:rsidP="00C268C6">
      <w:pPr>
        <w:pStyle w:val="NormaBullet"/>
        <w:rPr>
          <w:szCs w:val="22"/>
        </w:rPr>
      </w:pPr>
      <w:r w:rsidRPr="0064498B">
        <w:rPr>
          <w:szCs w:val="22"/>
        </w:rPr>
        <w:t xml:space="preserve">Schemes to facilitate improvements in performance and efficiency include: </w:t>
      </w:r>
    </w:p>
    <w:p w14:paraId="51FCD913" w14:textId="77777777" w:rsidR="00C268C6" w:rsidRPr="0064498B" w:rsidRDefault="00C268C6" w:rsidP="00C268C6">
      <w:pPr>
        <w:pStyle w:val="NormalBulletIndent"/>
        <w:rPr>
          <w:szCs w:val="22"/>
        </w:rPr>
      </w:pPr>
      <w:r w:rsidRPr="0064498B">
        <w:rPr>
          <w:szCs w:val="22"/>
        </w:rPr>
        <w:t xml:space="preserve">Major ICT investment to enable the move towards electronic health records, for example including electronic prescribing, document management technology, digital dictation and digitisation. </w:t>
      </w:r>
    </w:p>
    <w:p w14:paraId="6C20A184" w14:textId="62EE7D41" w:rsidR="00C268C6" w:rsidRPr="0064498B" w:rsidRDefault="00C268C6" w:rsidP="00C268C6">
      <w:pPr>
        <w:pStyle w:val="NormalBulletIndent"/>
        <w:rPr>
          <w:szCs w:val="22"/>
        </w:rPr>
      </w:pPr>
      <w:r w:rsidRPr="0064498B">
        <w:rPr>
          <w:szCs w:val="22"/>
        </w:rPr>
        <w:t xml:space="preserve">Expansion of the neonatal unit at </w:t>
      </w:r>
      <w:r w:rsidR="00E32360">
        <w:rPr>
          <w:szCs w:val="22"/>
        </w:rPr>
        <w:t>POWH</w:t>
      </w:r>
      <w:r w:rsidRPr="0064498B">
        <w:rPr>
          <w:szCs w:val="22"/>
        </w:rPr>
        <w:t xml:space="preserve"> in support of the South Wales Alliance programme for delivery of these services. </w:t>
      </w:r>
    </w:p>
    <w:p w14:paraId="3AE12935" w14:textId="77777777" w:rsidR="00C268C6" w:rsidRPr="0064498B" w:rsidRDefault="00C268C6" w:rsidP="00C268C6">
      <w:pPr>
        <w:pStyle w:val="NormalBulletIndent"/>
        <w:rPr>
          <w:szCs w:val="22"/>
        </w:rPr>
      </w:pPr>
      <w:r w:rsidRPr="0064498B">
        <w:rPr>
          <w:szCs w:val="22"/>
        </w:rPr>
        <w:t>Energy management improvement</w:t>
      </w:r>
      <w:r>
        <w:rPr>
          <w:szCs w:val="22"/>
        </w:rPr>
        <w:t>s to secure revenue reductions.</w:t>
      </w:r>
    </w:p>
    <w:p w14:paraId="6AF6B197" w14:textId="77777777" w:rsidR="00C268C6" w:rsidRPr="0064498B" w:rsidRDefault="00C268C6" w:rsidP="00C268C6">
      <w:pPr>
        <w:pStyle w:val="NormalBulletIndent"/>
        <w:rPr>
          <w:szCs w:val="22"/>
        </w:rPr>
      </w:pPr>
      <w:r w:rsidRPr="0064498B">
        <w:rPr>
          <w:szCs w:val="22"/>
        </w:rPr>
        <w:t xml:space="preserve">Radiology Information system replacement. </w:t>
      </w:r>
    </w:p>
    <w:p w14:paraId="1507D7CF" w14:textId="77777777" w:rsidR="00C268C6" w:rsidRPr="0064498B" w:rsidRDefault="00C268C6" w:rsidP="00C268C6">
      <w:pPr>
        <w:pStyle w:val="NormalBulletIndent"/>
        <w:rPr>
          <w:szCs w:val="22"/>
        </w:rPr>
      </w:pPr>
      <w:r w:rsidRPr="0064498B">
        <w:rPr>
          <w:szCs w:val="22"/>
        </w:rPr>
        <w:t xml:space="preserve">Radiology IT performance and resilience. </w:t>
      </w:r>
    </w:p>
    <w:p w14:paraId="68EECDAE" w14:textId="77777777" w:rsidR="00C268C6" w:rsidRPr="0064498B" w:rsidRDefault="00C268C6" w:rsidP="00C268C6">
      <w:pPr>
        <w:pStyle w:val="NormalBulletIndent"/>
        <w:rPr>
          <w:szCs w:val="22"/>
        </w:rPr>
      </w:pPr>
      <w:r w:rsidRPr="0064498B">
        <w:rPr>
          <w:szCs w:val="22"/>
        </w:rPr>
        <w:t xml:space="preserve">WCCIS implementation. </w:t>
      </w:r>
    </w:p>
    <w:p w14:paraId="2C556FDE" w14:textId="52820E91" w:rsidR="00C268C6" w:rsidRPr="0064498B" w:rsidRDefault="00C268C6" w:rsidP="00C268C6">
      <w:pPr>
        <w:pStyle w:val="NormalBulletIndent"/>
        <w:rPr>
          <w:szCs w:val="22"/>
        </w:rPr>
      </w:pPr>
      <w:r w:rsidRPr="0064498B">
        <w:rPr>
          <w:szCs w:val="22"/>
        </w:rPr>
        <w:t xml:space="preserve">Theatre plant upgrade programme at </w:t>
      </w:r>
      <w:r w:rsidR="00E32360">
        <w:rPr>
          <w:szCs w:val="22"/>
        </w:rPr>
        <w:t>POWH</w:t>
      </w:r>
      <w:r w:rsidRPr="0064498B">
        <w:rPr>
          <w:szCs w:val="22"/>
        </w:rPr>
        <w:t>.</w:t>
      </w:r>
    </w:p>
    <w:p w14:paraId="64B16173" w14:textId="576BD801" w:rsidR="00C268C6" w:rsidRPr="0064498B" w:rsidRDefault="00C268C6" w:rsidP="00C268C6">
      <w:pPr>
        <w:pStyle w:val="NormalBulletIndent"/>
        <w:rPr>
          <w:szCs w:val="22"/>
        </w:rPr>
      </w:pPr>
      <w:r w:rsidRPr="0064498B">
        <w:rPr>
          <w:szCs w:val="22"/>
        </w:rPr>
        <w:t xml:space="preserve">Redesign and upgrade of the ITU department at </w:t>
      </w:r>
      <w:r w:rsidR="00E32360">
        <w:rPr>
          <w:szCs w:val="22"/>
        </w:rPr>
        <w:t>POWH</w:t>
      </w:r>
      <w:r w:rsidRPr="0064498B">
        <w:rPr>
          <w:szCs w:val="22"/>
        </w:rPr>
        <w:t xml:space="preserve">. </w:t>
      </w:r>
    </w:p>
    <w:p w14:paraId="4943511B" w14:textId="77777777" w:rsidR="00C268C6" w:rsidRPr="0064498B" w:rsidRDefault="00C268C6" w:rsidP="00C268C6">
      <w:pPr>
        <w:rPr>
          <w:rFonts w:asciiTheme="minorHAnsi" w:hAnsiTheme="minorHAnsi"/>
          <w:szCs w:val="22"/>
        </w:rPr>
      </w:pPr>
      <w:bookmarkStart w:id="211" w:name="_Toc471830075"/>
      <w:bookmarkStart w:id="212" w:name="_Toc473290399"/>
      <w:bookmarkStart w:id="213" w:name="_Toc478738562"/>
      <w:bookmarkStart w:id="214" w:name="_Toc532299711"/>
      <w:bookmarkStart w:id="215" w:name="_Toc532464120"/>
      <w:bookmarkStart w:id="216" w:name="_Toc536195590"/>
    </w:p>
    <w:p w14:paraId="368B48FC" w14:textId="3B05AD7D" w:rsidR="00C268C6" w:rsidRDefault="00C268C6" w:rsidP="00C268C6">
      <w:pPr>
        <w:rPr>
          <w:rFonts w:asciiTheme="minorHAnsi" w:hAnsiTheme="minorHAnsi"/>
          <w:szCs w:val="22"/>
        </w:rPr>
      </w:pPr>
      <w:r w:rsidRPr="0064498B">
        <w:rPr>
          <w:rFonts w:asciiTheme="minorHAnsi" w:hAnsiTheme="minorHAnsi"/>
          <w:szCs w:val="22"/>
        </w:rPr>
        <w:t xml:space="preserve">A number of these schemes have already received </w:t>
      </w:r>
      <w:r w:rsidR="00897141">
        <w:rPr>
          <w:rFonts w:asciiTheme="minorHAnsi" w:hAnsiTheme="minorHAnsi"/>
          <w:szCs w:val="22"/>
        </w:rPr>
        <w:t>WG</w:t>
      </w:r>
      <w:r w:rsidRPr="0064498B">
        <w:rPr>
          <w:rFonts w:asciiTheme="minorHAnsi" w:hAnsiTheme="minorHAnsi"/>
          <w:szCs w:val="22"/>
        </w:rPr>
        <w:t xml:space="preserve"> funding approval and relate specifically to the organisation’s quality and financial plans with capital funding required to facilitate the changes in service models that will lead to achievement of cost reduction plans.  Work is on-going to ensure that the appropriate business cases are developed to secure the critical funding still required and that they are submitted in a timely fashion.  Elements of this investment plan are already acknowledged by </w:t>
      </w:r>
      <w:r w:rsidR="00897141">
        <w:rPr>
          <w:rFonts w:asciiTheme="minorHAnsi" w:hAnsiTheme="minorHAnsi"/>
          <w:szCs w:val="22"/>
        </w:rPr>
        <w:t>WG</w:t>
      </w:r>
      <w:r w:rsidRPr="0064498B">
        <w:rPr>
          <w:rFonts w:asciiTheme="minorHAnsi" w:hAnsiTheme="minorHAnsi"/>
          <w:szCs w:val="22"/>
        </w:rPr>
        <w:t xml:space="preserve"> and either already secured or included in the future All Wales Capital </w:t>
      </w:r>
      <w:r>
        <w:rPr>
          <w:rFonts w:asciiTheme="minorHAnsi" w:hAnsiTheme="minorHAnsi"/>
          <w:szCs w:val="22"/>
        </w:rPr>
        <w:t>Programme.</w:t>
      </w:r>
    </w:p>
    <w:p w14:paraId="187BACAA" w14:textId="77777777" w:rsidR="00C268C6" w:rsidRDefault="00C268C6" w:rsidP="00C268C6">
      <w:pPr>
        <w:rPr>
          <w:rFonts w:asciiTheme="minorHAnsi" w:hAnsiTheme="minorHAnsi"/>
          <w:szCs w:val="22"/>
        </w:rPr>
      </w:pPr>
    </w:p>
    <w:p w14:paraId="5B9BA350" w14:textId="16F6F10A" w:rsidR="00C268C6" w:rsidRPr="0064498B" w:rsidRDefault="00C268C6" w:rsidP="00C268C6">
      <w:pPr>
        <w:rPr>
          <w:rFonts w:asciiTheme="minorHAnsi" w:hAnsiTheme="minorHAnsi"/>
          <w:szCs w:val="22"/>
        </w:rPr>
      </w:pPr>
      <w:r w:rsidRPr="0064498B">
        <w:rPr>
          <w:rFonts w:asciiTheme="minorHAnsi" w:hAnsiTheme="minorHAnsi"/>
          <w:szCs w:val="22"/>
        </w:rPr>
        <w:t xml:space="preserve">With the pressures on </w:t>
      </w:r>
      <w:r w:rsidR="00897141">
        <w:rPr>
          <w:rFonts w:asciiTheme="minorHAnsi" w:hAnsiTheme="minorHAnsi"/>
          <w:szCs w:val="22"/>
        </w:rPr>
        <w:t>WG</w:t>
      </w:r>
      <w:r w:rsidRPr="0064498B">
        <w:rPr>
          <w:rFonts w:asciiTheme="minorHAnsi" w:hAnsiTheme="minorHAnsi"/>
          <w:szCs w:val="22"/>
        </w:rPr>
        <w:t xml:space="preserve"> capi</w:t>
      </w:r>
      <w:r w:rsidR="00C36DA7">
        <w:rPr>
          <w:rFonts w:asciiTheme="minorHAnsi" w:hAnsiTheme="minorHAnsi"/>
          <w:szCs w:val="22"/>
        </w:rPr>
        <w:t xml:space="preserve">tal funding over the next 3 </w:t>
      </w:r>
      <w:r w:rsidRPr="0064498B">
        <w:rPr>
          <w:rFonts w:asciiTheme="minorHAnsi" w:hAnsiTheme="minorHAnsi"/>
          <w:szCs w:val="22"/>
        </w:rPr>
        <w:t xml:space="preserve">years, the </w:t>
      </w:r>
      <w:r w:rsidR="00C36DA7">
        <w:rPr>
          <w:rFonts w:asciiTheme="minorHAnsi" w:hAnsiTheme="minorHAnsi"/>
          <w:szCs w:val="22"/>
        </w:rPr>
        <w:t>UHB</w:t>
      </w:r>
      <w:r w:rsidRPr="0064498B">
        <w:rPr>
          <w:rFonts w:asciiTheme="minorHAnsi" w:hAnsiTheme="minorHAnsi"/>
          <w:szCs w:val="22"/>
        </w:rPr>
        <w:t xml:space="preserve"> will continue to take advantage of any other funding opportunities or routes which become available, such as the Health Technology Fund, ‘Invest to Save’ and Integration Funds.</w:t>
      </w:r>
    </w:p>
    <w:p w14:paraId="7CD51EAF" w14:textId="77777777" w:rsidR="00C268C6" w:rsidRPr="0064498B" w:rsidRDefault="00C268C6" w:rsidP="00C268C6">
      <w:pPr>
        <w:rPr>
          <w:rFonts w:asciiTheme="minorHAnsi" w:hAnsiTheme="minorHAnsi" w:cstheme="minorHAnsi"/>
          <w:szCs w:val="22"/>
        </w:rPr>
      </w:pPr>
    </w:p>
    <w:p w14:paraId="17070BA0" w14:textId="77777777" w:rsidR="00C268C6" w:rsidRDefault="00C268C6" w:rsidP="00C268C6">
      <w:pPr>
        <w:pStyle w:val="Default"/>
        <w:jc w:val="both"/>
        <w:rPr>
          <w:rFonts w:asciiTheme="minorHAnsi" w:hAnsiTheme="minorHAnsi" w:cstheme="minorHAnsi"/>
          <w:color w:val="auto"/>
          <w:sz w:val="22"/>
          <w:szCs w:val="22"/>
        </w:rPr>
      </w:pPr>
      <w:r>
        <w:rPr>
          <w:rFonts w:asciiTheme="minorHAnsi" w:hAnsiTheme="minorHAnsi" w:cstheme="minorHAnsi"/>
          <w:color w:val="auto"/>
          <w:sz w:val="22"/>
          <w:szCs w:val="22"/>
        </w:rPr>
        <w:t xml:space="preserve">The capital priorities for investment will be included within the detailed templates submitted and will include the projects outlined above.  </w:t>
      </w:r>
    </w:p>
    <w:p w14:paraId="0455A9E8" w14:textId="77777777" w:rsidR="00C268C6" w:rsidRDefault="00C268C6" w:rsidP="00C268C6">
      <w:pPr>
        <w:pStyle w:val="Default"/>
        <w:jc w:val="both"/>
        <w:rPr>
          <w:rFonts w:asciiTheme="minorHAnsi" w:hAnsiTheme="minorHAnsi" w:cstheme="minorHAnsi"/>
          <w:color w:val="auto"/>
          <w:sz w:val="22"/>
          <w:szCs w:val="22"/>
        </w:rPr>
      </w:pPr>
    </w:p>
    <w:p w14:paraId="6563E645" w14:textId="09F93BF3" w:rsidR="00C268C6" w:rsidRPr="0064498B" w:rsidRDefault="00C268C6" w:rsidP="00C268C6">
      <w:pPr>
        <w:pStyle w:val="Default"/>
        <w:jc w:val="both"/>
        <w:rPr>
          <w:rFonts w:asciiTheme="minorHAnsi" w:hAnsiTheme="minorHAnsi" w:cstheme="minorHAnsi"/>
          <w:color w:val="auto"/>
          <w:sz w:val="22"/>
          <w:szCs w:val="22"/>
        </w:rPr>
      </w:pPr>
      <w:r w:rsidRPr="0064498B">
        <w:rPr>
          <w:rFonts w:asciiTheme="minorHAnsi" w:hAnsiTheme="minorHAnsi" w:cstheme="minorHAnsi"/>
          <w:color w:val="auto"/>
          <w:sz w:val="22"/>
          <w:szCs w:val="22"/>
        </w:rPr>
        <w:t xml:space="preserve">In addition to the funding requirements outlined above for both approved and priority ranked unapproved schemes, throughout the next planning cycle the </w:t>
      </w:r>
      <w:r w:rsidR="00C36DA7">
        <w:rPr>
          <w:rFonts w:asciiTheme="minorHAnsi" w:hAnsiTheme="minorHAnsi" w:cstheme="minorHAnsi"/>
          <w:color w:val="auto"/>
          <w:sz w:val="22"/>
          <w:szCs w:val="22"/>
        </w:rPr>
        <w:t xml:space="preserve">UHB </w:t>
      </w:r>
      <w:r w:rsidRPr="0064498B">
        <w:rPr>
          <w:rFonts w:asciiTheme="minorHAnsi" w:hAnsiTheme="minorHAnsi" w:cstheme="minorHAnsi"/>
          <w:color w:val="auto"/>
          <w:sz w:val="22"/>
          <w:szCs w:val="22"/>
        </w:rPr>
        <w:t>will also continue to develop work on:</w:t>
      </w:r>
    </w:p>
    <w:p w14:paraId="4485DFB9"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Continued development of the primary care estates and improvements to infrastructure to include:</w:t>
      </w:r>
    </w:p>
    <w:p w14:paraId="5EE4A34F" w14:textId="055C6AB6" w:rsidR="00C268C6" w:rsidRPr="0064498B" w:rsidRDefault="00C268C6" w:rsidP="00C268C6">
      <w:pPr>
        <w:pStyle w:val="NormalBulletIndent"/>
        <w:rPr>
          <w:szCs w:val="22"/>
        </w:rPr>
      </w:pPr>
      <w:r w:rsidRPr="0064498B">
        <w:rPr>
          <w:szCs w:val="22"/>
        </w:rPr>
        <w:t xml:space="preserve">Further development </w:t>
      </w:r>
      <w:r w:rsidR="00907576">
        <w:rPr>
          <w:szCs w:val="22"/>
        </w:rPr>
        <w:t>and agreement of a second phase</w:t>
      </w:r>
      <w:r w:rsidRPr="0064498B">
        <w:rPr>
          <w:szCs w:val="22"/>
        </w:rPr>
        <w:t xml:space="preserve"> Primary and Community Care Estates Development Plan, with associated integrated health and social care developments where appropriate, supporting the delivery of the Primary and Community Care Plan and implementation of the Social Service and Well-Being Act.</w:t>
      </w:r>
    </w:p>
    <w:p w14:paraId="0459E525" w14:textId="11986588" w:rsidR="00C268C6" w:rsidRPr="0064498B" w:rsidRDefault="00907576" w:rsidP="00C268C6">
      <w:pPr>
        <w:pStyle w:val="NormalBulletIndent"/>
        <w:rPr>
          <w:szCs w:val="22"/>
        </w:rPr>
      </w:pPr>
      <w:r>
        <w:rPr>
          <w:szCs w:val="22"/>
        </w:rPr>
        <w:t xml:space="preserve">Jointly develop </w:t>
      </w:r>
      <w:r w:rsidR="00EF3559">
        <w:rPr>
          <w:szCs w:val="22"/>
        </w:rPr>
        <w:t>KHHP</w:t>
      </w:r>
      <w:r>
        <w:rPr>
          <w:szCs w:val="22"/>
        </w:rPr>
        <w:t xml:space="preserve"> </w:t>
      </w:r>
      <w:r w:rsidR="00C268C6" w:rsidRPr="0064498B">
        <w:rPr>
          <w:szCs w:val="22"/>
        </w:rPr>
        <w:t>as a Health and Wellbeing hub for older people with cognitive impairment as part of the Valley Life project</w:t>
      </w:r>
      <w:r w:rsidR="00C268C6">
        <w:rPr>
          <w:szCs w:val="22"/>
        </w:rPr>
        <w:t>.</w:t>
      </w:r>
    </w:p>
    <w:p w14:paraId="07B86EF2" w14:textId="77777777" w:rsidR="00C268C6" w:rsidRPr="0064498B" w:rsidRDefault="00C268C6" w:rsidP="00C268C6">
      <w:pPr>
        <w:pStyle w:val="NormalBulletIndent"/>
        <w:rPr>
          <w:szCs w:val="22"/>
        </w:rPr>
      </w:pPr>
      <w:r w:rsidRPr="0064498B">
        <w:rPr>
          <w:szCs w:val="22"/>
        </w:rPr>
        <w:t xml:space="preserve">Development of a new Primary and social care facility at Mountain Ash under a 3PD development. </w:t>
      </w:r>
    </w:p>
    <w:p w14:paraId="4984FDB9" w14:textId="77777777" w:rsidR="00C268C6" w:rsidRPr="0064498B" w:rsidRDefault="00C268C6" w:rsidP="00C268C6">
      <w:pPr>
        <w:pStyle w:val="NormalBulletIndent"/>
        <w:rPr>
          <w:szCs w:val="22"/>
        </w:rPr>
      </w:pPr>
      <w:r w:rsidRPr="0064498B">
        <w:rPr>
          <w:szCs w:val="22"/>
        </w:rPr>
        <w:t>Development of a plan for accessing Primary Care Improvement Grants to support practices requiring infrastructure improvements.</w:t>
      </w:r>
    </w:p>
    <w:p w14:paraId="0E068ACF" w14:textId="3CEB36B7" w:rsidR="00C268C6" w:rsidRPr="0064498B" w:rsidRDefault="00C268C6" w:rsidP="00C268C6">
      <w:pPr>
        <w:pStyle w:val="NormalBulletIndent"/>
        <w:rPr>
          <w:szCs w:val="22"/>
        </w:rPr>
      </w:pPr>
      <w:r w:rsidRPr="0064498B">
        <w:rPr>
          <w:szCs w:val="22"/>
        </w:rPr>
        <w:t>Further expansion of the Health Park model once Dewi Sant Phase 2 is complete with consideration being given to how YCC and Ysbyty Cwm Rhondda (YCR) may also be able to contribute to this service model in their respective communities.</w:t>
      </w:r>
    </w:p>
    <w:p w14:paraId="2C07F08E" w14:textId="77777777" w:rsidR="00C268C6" w:rsidRPr="0064498B" w:rsidRDefault="00C268C6" w:rsidP="00C268C6">
      <w:pPr>
        <w:pStyle w:val="NormalBulletIndent"/>
        <w:rPr>
          <w:szCs w:val="22"/>
        </w:rPr>
      </w:pPr>
      <w:r w:rsidRPr="0064498B">
        <w:rPr>
          <w:szCs w:val="22"/>
        </w:rPr>
        <w:t>Remodelling of wards at YCC and YCR to support the development of shared care ward environments for patients with Dementia</w:t>
      </w:r>
    </w:p>
    <w:p w14:paraId="47A44AC2"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Completion of all phases of the physical refurbishment works of ground and first floors at PCH to meet the requirements of a live Fire Enforcement notice. </w:t>
      </w:r>
    </w:p>
    <w:p w14:paraId="04D4BFC9"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lastRenderedPageBreak/>
        <w:t>Significant changes to the RGH site as outlined above and further consideration also of Development of phase 2 plans for the Diagnostic Hub.</w:t>
      </w:r>
    </w:p>
    <w:p w14:paraId="70CE242F"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Equipment replacement programmes, statutory compliance and backlog works</w:t>
      </w:r>
      <w:r>
        <w:rPr>
          <w:rFonts w:asciiTheme="minorHAnsi" w:hAnsiTheme="minorHAnsi"/>
          <w:szCs w:val="22"/>
        </w:rPr>
        <w:t xml:space="preserve"> across the whole Health</w:t>
      </w:r>
    </w:p>
    <w:p w14:paraId="2F4F18AF" w14:textId="77777777" w:rsidR="00C268C6" w:rsidRPr="003F79D8" w:rsidRDefault="00C268C6" w:rsidP="00C268C6">
      <w:pPr>
        <w:pStyle w:val="NormaBullet"/>
        <w:rPr>
          <w:rFonts w:asciiTheme="minorHAnsi" w:hAnsiTheme="minorHAnsi"/>
          <w:szCs w:val="22"/>
        </w:rPr>
      </w:pPr>
      <w:r w:rsidRPr="0064498B">
        <w:rPr>
          <w:rFonts w:asciiTheme="minorHAnsi" w:hAnsiTheme="minorHAnsi" w:cstheme="minorBidi"/>
          <w:szCs w:val="22"/>
        </w:rPr>
        <w:t xml:space="preserve">Implementation of a </w:t>
      </w:r>
      <w:r w:rsidRPr="0064498B">
        <w:rPr>
          <w:rFonts w:asciiTheme="minorHAnsi" w:hAnsiTheme="minorHAnsi"/>
          <w:szCs w:val="22"/>
        </w:rPr>
        <w:t xml:space="preserve">Digital health records system, implementation of the Welsh Community Care Information System, completion of the WEDS emergency system implementation and other ICT investment to support digital health. </w:t>
      </w:r>
    </w:p>
    <w:p w14:paraId="0872C3ED" w14:textId="04398A56" w:rsidR="00C268C6" w:rsidRPr="009A43C1" w:rsidRDefault="00C268C6" w:rsidP="00C268C6">
      <w:pPr>
        <w:pStyle w:val="NormaBullet"/>
        <w:rPr>
          <w:rFonts w:asciiTheme="minorHAnsi" w:hAnsiTheme="minorHAnsi"/>
          <w:szCs w:val="22"/>
        </w:rPr>
      </w:pPr>
      <w:r w:rsidRPr="0064498B">
        <w:rPr>
          <w:rFonts w:asciiTheme="minorHAnsi" w:hAnsiTheme="minorHAnsi"/>
          <w:szCs w:val="22"/>
        </w:rPr>
        <w:t>Continuation of a disposal programme, with disposal of Pontypridd a</w:t>
      </w:r>
      <w:r>
        <w:rPr>
          <w:rFonts w:asciiTheme="minorHAnsi" w:hAnsiTheme="minorHAnsi"/>
          <w:szCs w:val="22"/>
        </w:rPr>
        <w:t>nd District Cottage Hospital</w:t>
      </w:r>
      <w:r w:rsidR="00D96ED1">
        <w:rPr>
          <w:rFonts w:asciiTheme="minorHAnsi" w:hAnsiTheme="minorHAnsi"/>
          <w:szCs w:val="22"/>
        </w:rPr>
        <w:t xml:space="preserve">, </w:t>
      </w:r>
      <w:r>
        <w:rPr>
          <w:rFonts w:asciiTheme="minorHAnsi" w:hAnsiTheme="minorHAnsi"/>
          <w:szCs w:val="22"/>
        </w:rPr>
        <w:t>Tonteg Hospital and Ystrad Clinic</w:t>
      </w:r>
    </w:p>
    <w:p w14:paraId="35D3001D"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Review of community premises to determine whether there are further opportunities for site rationalisation. </w:t>
      </w:r>
    </w:p>
    <w:p w14:paraId="7AB82808"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Further development of the Williamstown Warehouse to support the continued centralisation of medical records storage/ management and realise the opportunity for digitisation. </w:t>
      </w:r>
    </w:p>
    <w:p w14:paraId="05E4B066"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Continuation of benchmarking of costs against English and Welsh providers.</w:t>
      </w:r>
    </w:p>
    <w:p w14:paraId="314FE557" w14:textId="427FAF0C"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Negotiations with </w:t>
      </w:r>
      <w:r w:rsidR="00897141">
        <w:rPr>
          <w:rFonts w:asciiTheme="minorHAnsi" w:hAnsiTheme="minorHAnsi"/>
          <w:szCs w:val="22"/>
        </w:rPr>
        <w:t>WG</w:t>
      </w:r>
      <w:r w:rsidRPr="0064498B">
        <w:rPr>
          <w:rFonts w:asciiTheme="minorHAnsi" w:hAnsiTheme="minorHAnsi"/>
          <w:szCs w:val="22"/>
        </w:rPr>
        <w:t xml:space="preserve"> to secure the significant levels of capital to enable change. </w:t>
      </w:r>
    </w:p>
    <w:p w14:paraId="611DFB7E" w14:textId="4D114BFE" w:rsidR="003B1653" w:rsidRDefault="00C268C6" w:rsidP="00C268C6">
      <w:pPr>
        <w:pStyle w:val="NormaBullet"/>
        <w:rPr>
          <w:rFonts w:asciiTheme="minorHAnsi" w:hAnsiTheme="minorHAnsi"/>
          <w:szCs w:val="22"/>
        </w:rPr>
      </w:pPr>
      <w:r w:rsidRPr="0064498B">
        <w:rPr>
          <w:rFonts w:asciiTheme="minorHAnsi" w:hAnsiTheme="minorHAnsi"/>
          <w:szCs w:val="22"/>
        </w:rPr>
        <w:t xml:space="preserve">Development </w:t>
      </w:r>
      <w:r w:rsidRPr="00C268C6">
        <w:rPr>
          <w:rFonts w:asciiTheme="minorHAnsi" w:hAnsiTheme="minorHAnsi"/>
          <w:szCs w:val="22"/>
        </w:rPr>
        <w:t>of an accommodation control plan for RGH and integrate into a HB w</w:t>
      </w:r>
      <w:r w:rsidR="003B1653">
        <w:rPr>
          <w:rFonts w:asciiTheme="minorHAnsi" w:hAnsiTheme="minorHAnsi"/>
          <w:szCs w:val="22"/>
        </w:rPr>
        <w:t>ide accommodation control plan.</w:t>
      </w:r>
    </w:p>
    <w:p w14:paraId="2B9D1B2D" w14:textId="77777777" w:rsidR="003B1653" w:rsidRDefault="003B1653">
      <w:pPr>
        <w:jc w:val="left"/>
        <w:rPr>
          <w:rFonts w:asciiTheme="minorHAnsi" w:hAnsiTheme="minorHAnsi"/>
          <w:szCs w:val="22"/>
        </w:rPr>
      </w:pPr>
      <w:r>
        <w:rPr>
          <w:rFonts w:asciiTheme="minorHAnsi" w:hAnsiTheme="minorHAnsi"/>
          <w:szCs w:val="22"/>
        </w:rPr>
        <w:br w:type="page"/>
      </w:r>
    </w:p>
    <w:p w14:paraId="3A953997" w14:textId="005B7BFE" w:rsidR="00FC2E4A" w:rsidRPr="00C268C6" w:rsidRDefault="00FC2E4A" w:rsidP="00711D72">
      <w:pPr>
        <w:pStyle w:val="Heading1"/>
        <w:rPr>
          <w:szCs w:val="26"/>
        </w:rPr>
      </w:pPr>
      <w:bookmarkStart w:id="217" w:name="_Toc29573974"/>
      <w:r w:rsidRPr="00C268C6">
        <w:rPr>
          <w:szCs w:val="26"/>
        </w:rPr>
        <w:lastRenderedPageBreak/>
        <w:t>STEWARDSHIP</w:t>
      </w:r>
      <w:r w:rsidR="00427470" w:rsidRPr="00C268C6">
        <w:rPr>
          <w:szCs w:val="26"/>
        </w:rPr>
        <w:t xml:space="preserve"> </w:t>
      </w:r>
      <w:r w:rsidR="00C80E61" w:rsidRPr="00C268C6">
        <w:rPr>
          <w:szCs w:val="26"/>
        </w:rPr>
        <w:t>and</w:t>
      </w:r>
      <w:r w:rsidR="003336A8" w:rsidRPr="00C268C6">
        <w:rPr>
          <w:szCs w:val="26"/>
        </w:rPr>
        <w:t xml:space="preserve"> </w:t>
      </w:r>
      <w:r w:rsidRPr="00C268C6">
        <w:rPr>
          <w:szCs w:val="26"/>
        </w:rPr>
        <w:t>GOVERNANCE</w:t>
      </w:r>
      <w:bookmarkEnd w:id="208"/>
      <w:bookmarkEnd w:id="209"/>
      <w:bookmarkEnd w:id="211"/>
      <w:bookmarkEnd w:id="212"/>
      <w:bookmarkEnd w:id="213"/>
      <w:bookmarkEnd w:id="214"/>
      <w:bookmarkEnd w:id="215"/>
      <w:bookmarkEnd w:id="216"/>
      <w:bookmarkEnd w:id="217"/>
      <w:r w:rsidR="003336A8" w:rsidRPr="00C268C6">
        <w:rPr>
          <w:szCs w:val="26"/>
        </w:rPr>
        <w:t xml:space="preserve"> </w:t>
      </w:r>
    </w:p>
    <w:p w14:paraId="29B39887" w14:textId="6971CEBE" w:rsidR="00C268C6" w:rsidRPr="005A628A" w:rsidRDefault="003B1653" w:rsidP="00C268C6">
      <w:pPr>
        <w:pStyle w:val="Heading2"/>
        <w:rPr>
          <w:szCs w:val="22"/>
        </w:rPr>
      </w:pPr>
      <w:bookmarkStart w:id="218" w:name="_Toc29573975"/>
      <w:r w:rsidRPr="005A628A">
        <w:rPr>
          <w:szCs w:val="22"/>
        </w:rPr>
        <w:t>Board Assurance Framework</w:t>
      </w:r>
      <w:bookmarkEnd w:id="218"/>
    </w:p>
    <w:p w14:paraId="3457B69A" w14:textId="31859703" w:rsidR="00C268C6" w:rsidRPr="005A628A" w:rsidRDefault="00C268C6" w:rsidP="00C268C6">
      <w:pPr>
        <w:rPr>
          <w:rFonts w:asciiTheme="minorHAnsi" w:hAnsiTheme="minorHAnsi"/>
          <w:szCs w:val="22"/>
        </w:rPr>
      </w:pPr>
      <w:bookmarkStart w:id="219" w:name="_Toc503816729"/>
      <w:bookmarkStart w:id="220" w:name="_Toc532299715"/>
      <w:bookmarkStart w:id="221" w:name="_Toc532464128"/>
      <w:bookmarkStart w:id="222" w:name="_Toc536195594"/>
      <w:r w:rsidRPr="005A628A">
        <w:rPr>
          <w:rFonts w:asciiTheme="minorHAnsi" w:hAnsiTheme="minorHAnsi"/>
          <w:szCs w:val="22"/>
        </w:rPr>
        <w:t>The Board received its Structured Assessment</w:t>
      </w:r>
      <w:r w:rsidR="005A628A" w:rsidRPr="005A628A">
        <w:rPr>
          <w:rFonts w:asciiTheme="minorHAnsi" w:hAnsiTheme="minorHAnsi"/>
          <w:szCs w:val="22"/>
        </w:rPr>
        <w:t xml:space="preserve"> 2019</w:t>
      </w:r>
      <w:r w:rsidRPr="005A628A">
        <w:rPr>
          <w:rFonts w:asciiTheme="minorHAnsi" w:hAnsiTheme="minorHAnsi"/>
          <w:szCs w:val="22"/>
        </w:rPr>
        <w:t xml:space="preserve"> from the </w:t>
      </w:r>
      <w:r w:rsidR="006777C7" w:rsidRPr="005A628A">
        <w:rPr>
          <w:rFonts w:asciiTheme="minorHAnsi" w:hAnsiTheme="minorHAnsi"/>
          <w:szCs w:val="22"/>
        </w:rPr>
        <w:t>WAO</w:t>
      </w:r>
      <w:r w:rsidRPr="005A628A">
        <w:rPr>
          <w:rFonts w:asciiTheme="minorHAnsi" w:hAnsiTheme="minorHAnsi"/>
          <w:szCs w:val="22"/>
        </w:rPr>
        <w:t xml:space="preserve"> at the Audit Committee meeting in January 2020.  The </w:t>
      </w:r>
      <w:r w:rsidR="005A628A" w:rsidRPr="005A628A">
        <w:rPr>
          <w:rFonts w:asciiTheme="minorHAnsi" w:hAnsiTheme="minorHAnsi"/>
          <w:szCs w:val="22"/>
        </w:rPr>
        <w:t>overall</w:t>
      </w:r>
      <w:r w:rsidRPr="005A628A">
        <w:rPr>
          <w:rFonts w:asciiTheme="minorHAnsi" w:hAnsiTheme="minorHAnsi"/>
          <w:szCs w:val="22"/>
        </w:rPr>
        <w:t xml:space="preserve"> conclusions were as follows:</w:t>
      </w:r>
    </w:p>
    <w:p w14:paraId="24051155" w14:textId="77777777" w:rsidR="00C268C6" w:rsidRPr="005A628A" w:rsidRDefault="00C268C6" w:rsidP="00C268C6">
      <w:pPr>
        <w:autoSpaceDE w:val="0"/>
        <w:autoSpaceDN w:val="0"/>
        <w:adjustRightInd w:val="0"/>
      </w:pPr>
    </w:p>
    <w:p w14:paraId="7176A61E" w14:textId="3C384C6E" w:rsidR="00C268C6" w:rsidRPr="005A628A" w:rsidRDefault="005A628A" w:rsidP="00C268C6">
      <w:pPr>
        <w:autoSpaceDE w:val="0"/>
        <w:autoSpaceDN w:val="0"/>
        <w:adjustRightInd w:val="0"/>
        <w:rPr>
          <w:rFonts w:asciiTheme="minorHAnsi" w:hAnsiTheme="minorHAnsi"/>
          <w:szCs w:val="22"/>
        </w:rPr>
      </w:pPr>
      <w:r w:rsidRPr="005A628A">
        <w:t xml:space="preserve">The </w:t>
      </w:r>
      <w:r w:rsidR="005174C4">
        <w:t>H</w:t>
      </w:r>
      <w:r w:rsidRPr="005A628A">
        <w:t>ealth Board finds itself in a very challenging position.  It must urgently address significant weaknesses in governance and risk management arrangements.  It must tackle on-going workforce challenges and its organisational culture.  Delivering the Bridgend boundary change has been a significant achievement, but the transfer has added to the complexity of the new Health Board’s organisational change priorities.  New leadership in key executive roles, coupled with an acknowledgement and understanding of current challenges, and a good track record of financial management and strategic planning give some optimis</w:t>
      </w:r>
      <w:bookmarkStart w:id="223" w:name="_GoBack"/>
      <w:bookmarkEnd w:id="223"/>
      <w:r w:rsidRPr="005A628A">
        <w:t>m that the required improvements can be achieved.</w:t>
      </w:r>
    </w:p>
    <w:p w14:paraId="6FCFCE99" w14:textId="77777777" w:rsidR="00C268C6" w:rsidRPr="005A628A" w:rsidRDefault="00C268C6" w:rsidP="00C268C6">
      <w:pPr>
        <w:autoSpaceDE w:val="0"/>
        <w:autoSpaceDN w:val="0"/>
        <w:adjustRightInd w:val="0"/>
        <w:rPr>
          <w:rFonts w:asciiTheme="minorHAnsi" w:hAnsiTheme="minorHAnsi"/>
          <w:szCs w:val="22"/>
        </w:rPr>
      </w:pPr>
    </w:p>
    <w:p w14:paraId="1235AD9C" w14:textId="319AF2E8" w:rsidR="00C268C6" w:rsidRDefault="00C268C6" w:rsidP="00C268C6">
      <w:pPr>
        <w:autoSpaceDE w:val="0"/>
        <w:autoSpaceDN w:val="0"/>
        <w:adjustRightInd w:val="0"/>
        <w:rPr>
          <w:rFonts w:asciiTheme="minorHAnsi" w:hAnsiTheme="minorHAnsi"/>
          <w:szCs w:val="22"/>
        </w:rPr>
      </w:pPr>
      <w:r w:rsidRPr="005A628A">
        <w:rPr>
          <w:rFonts w:asciiTheme="minorHAnsi" w:hAnsiTheme="minorHAnsi"/>
          <w:szCs w:val="22"/>
        </w:rPr>
        <w:t xml:space="preserve">Overall, this year’s Structured Assessment work has </w:t>
      </w:r>
      <w:r w:rsidR="005A628A" w:rsidRPr="005A628A">
        <w:rPr>
          <w:rFonts w:asciiTheme="minorHAnsi" w:hAnsiTheme="minorHAnsi"/>
          <w:szCs w:val="22"/>
        </w:rPr>
        <w:t>led to five recommendations in relation to: committee structures and processes, performance management arrangements, change management and IMTP reporting.  Action in response to these recommendations are being developed and will go to the February 2020 Audit Committee.</w:t>
      </w:r>
    </w:p>
    <w:p w14:paraId="53664849" w14:textId="77777777" w:rsidR="00973887" w:rsidRDefault="00973887" w:rsidP="00973887">
      <w:pPr>
        <w:autoSpaceDE w:val="0"/>
        <w:autoSpaceDN w:val="0"/>
        <w:adjustRightInd w:val="0"/>
        <w:rPr>
          <w:rFonts w:asciiTheme="minorHAnsi" w:hAnsiTheme="minorHAnsi"/>
          <w:szCs w:val="22"/>
        </w:rPr>
      </w:pPr>
    </w:p>
    <w:p w14:paraId="15EFF090" w14:textId="7BE15287" w:rsidR="00973887" w:rsidRPr="005A628A" w:rsidRDefault="00973887" w:rsidP="00973887">
      <w:pPr>
        <w:autoSpaceDE w:val="0"/>
        <w:autoSpaceDN w:val="0"/>
        <w:adjustRightInd w:val="0"/>
        <w:rPr>
          <w:rFonts w:asciiTheme="minorHAnsi" w:hAnsiTheme="minorHAnsi"/>
          <w:szCs w:val="22"/>
        </w:rPr>
      </w:pPr>
      <w:r>
        <w:rPr>
          <w:rFonts w:asciiTheme="minorHAnsi" w:hAnsiTheme="minorHAnsi"/>
          <w:szCs w:val="22"/>
        </w:rPr>
        <w:t>The performance management arrangements will change with the implementation of the new operating model, based on the pe</w:t>
      </w:r>
      <w:r>
        <w:rPr>
          <w:rFonts w:asciiTheme="minorHAnsi" w:hAnsiTheme="minorHAnsi"/>
          <w:szCs w:val="22"/>
        </w:rPr>
        <w:t xml:space="preserve">rformance management framework </w:t>
      </w:r>
      <w:r>
        <w:rPr>
          <w:rFonts w:asciiTheme="minorHAnsi" w:hAnsiTheme="minorHAnsi"/>
          <w:szCs w:val="22"/>
        </w:rPr>
        <w:t xml:space="preserve">which emphasises a culture of continuous improvement and learning in all that we do. </w:t>
      </w:r>
    </w:p>
    <w:p w14:paraId="3051EE0C" w14:textId="77777777" w:rsidR="00C268C6" w:rsidRPr="005A628A" w:rsidRDefault="00C268C6" w:rsidP="00C268C6">
      <w:pPr>
        <w:autoSpaceDE w:val="0"/>
        <w:autoSpaceDN w:val="0"/>
        <w:adjustRightInd w:val="0"/>
        <w:rPr>
          <w:rFonts w:asciiTheme="minorHAnsi" w:hAnsiTheme="minorHAnsi"/>
          <w:szCs w:val="22"/>
        </w:rPr>
      </w:pPr>
    </w:p>
    <w:p w14:paraId="2EF24FC7" w14:textId="4D7A43CB" w:rsidR="00C268C6" w:rsidRPr="00E63291" w:rsidRDefault="00C268C6" w:rsidP="00FC3D24">
      <w:r w:rsidRPr="00E63291">
        <w:rPr>
          <w:rFonts w:asciiTheme="minorHAnsi" w:hAnsiTheme="minorHAnsi"/>
          <w:szCs w:val="22"/>
        </w:rPr>
        <w:t>The Health Board’s Board Assurance Framework (BAF) is aligned to its three year Plan and there is a need to continually review these arrangements to ensure</w:t>
      </w:r>
      <w:r w:rsidR="00FC3D24">
        <w:rPr>
          <w:rFonts w:asciiTheme="minorHAnsi" w:hAnsiTheme="minorHAnsi"/>
          <w:szCs w:val="22"/>
        </w:rPr>
        <w:t xml:space="preserve"> t</w:t>
      </w:r>
      <w:r w:rsidRPr="00E63291">
        <w:t xml:space="preserve">hat lessons learnt from across the organisation, such as serious incident reporting and from external reviews, are taken on board swiftly and comprehensively.  </w:t>
      </w:r>
    </w:p>
    <w:p w14:paraId="7DFB8C0F" w14:textId="05409917" w:rsidR="00C268C6" w:rsidRPr="005B6D8B" w:rsidRDefault="00FC3D24" w:rsidP="00C268C6">
      <w:pPr>
        <w:rPr>
          <w:rFonts w:asciiTheme="minorHAnsi" w:hAnsiTheme="minorHAnsi"/>
          <w:szCs w:val="22"/>
        </w:rPr>
      </w:pPr>
      <w:r w:rsidRPr="005B6D8B">
        <w:rPr>
          <w:rFonts w:eastAsia="Cambria"/>
          <w:noProof/>
        </w:rPr>
        <w:drawing>
          <wp:anchor distT="0" distB="0" distL="114300" distR="114300" simplePos="0" relativeHeight="252917760" behindDoc="0" locked="0" layoutInCell="1" allowOverlap="1" wp14:anchorId="09B816AC" wp14:editId="4D606D1C">
            <wp:simplePos x="0" y="0"/>
            <wp:positionH relativeFrom="margin">
              <wp:posOffset>3420110</wp:posOffset>
            </wp:positionH>
            <wp:positionV relativeFrom="paragraph">
              <wp:posOffset>15240</wp:posOffset>
            </wp:positionV>
            <wp:extent cx="2915920" cy="2519680"/>
            <wp:effectExtent l="0" t="0" r="0" b="0"/>
            <wp:wrapSquare wrapText="bothSides"/>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2915920"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4E39ACA" w14:textId="5E6EA6D6" w:rsidR="005B6D8B" w:rsidRPr="005B6D8B" w:rsidRDefault="00C268C6" w:rsidP="00C268C6">
      <w:pPr>
        <w:rPr>
          <w:rFonts w:asciiTheme="minorHAnsi" w:hAnsiTheme="minorHAnsi"/>
          <w:szCs w:val="22"/>
        </w:rPr>
      </w:pPr>
      <w:r w:rsidRPr="005B6D8B">
        <w:rPr>
          <w:rFonts w:asciiTheme="minorHAnsi" w:hAnsiTheme="minorHAnsi"/>
          <w:szCs w:val="22"/>
        </w:rPr>
        <w:t>The BAF maps the business of the Board and its Committees against its</w:t>
      </w:r>
      <w:r w:rsidR="005B6D8B" w:rsidRPr="005B6D8B">
        <w:rPr>
          <w:rFonts w:asciiTheme="minorHAnsi" w:hAnsiTheme="minorHAnsi"/>
          <w:szCs w:val="22"/>
        </w:rPr>
        <w:t xml:space="preserve"> Strategic Well-being</w:t>
      </w:r>
      <w:r w:rsidRPr="005B6D8B">
        <w:rPr>
          <w:rFonts w:asciiTheme="minorHAnsi" w:hAnsiTheme="minorHAnsi"/>
          <w:szCs w:val="22"/>
        </w:rPr>
        <w:t xml:space="preserve"> </w:t>
      </w:r>
      <w:r w:rsidR="005B6D8B" w:rsidRPr="005B6D8B">
        <w:rPr>
          <w:rFonts w:asciiTheme="minorHAnsi" w:hAnsiTheme="minorHAnsi"/>
          <w:szCs w:val="22"/>
        </w:rPr>
        <w:t>Objectives.  The populated BAF has been refreshed to align with the refreshed IMTP, ensuring it reflects all sources of assurance in light of the suite of independent reviews conducted during 2019/20.</w:t>
      </w:r>
    </w:p>
    <w:p w14:paraId="469376AD" w14:textId="559276DB" w:rsidR="00C268C6" w:rsidRPr="005B6D8B" w:rsidRDefault="00C268C6" w:rsidP="00C268C6">
      <w:pPr>
        <w:rPr>
          <w:rFonts w:asciiTheme="minorHAnsi" w:hAnsiTheme="minorHAnsi"/>
          <w:szCs w:val="22"/>
        </w:rPr>
      </w:pPr>
    </w:p>
    <w:p w14:paraId="223C9EC5" w14:textId="165EBD5D" w:rsidR="00C268C6" w:rsidRPr="00E63291" w:rsidRDefault="00C268C6" w:rsidP="00C268C6">
      <w:pPr>
        <w:rPr>
          <w:szCs w:val="22"/>
        </w:rPr>
      </w:pPr>
      <w:r w:rsidRPr="005B6D8B">
        <w:rPr>
          <w:rFonts w:asciiTheme="minorHAnsi" w:hAnsiTheme="minorHAnsi"/>
          <w:szCs w:val="22"/>
        </w:rPr>
        <w:t xml:space="preserve">The BAF is designed to support the Board to deliver its Strategy as outlined within this Plan.  The framework also serves to inform </w:t>
      </w:r>
      <w:r w:rsidRPr="00E63291">
        <w:rPr>
          <w:rFonts w:asciiTheme="minorHAnsi" w:hAnsiTheme="minorHAnsi"/>
          <w:szCs w:val="22"/>
        </w:rPr>
        <w:t>the Board on the principal clinical and corporate risks to the delivery of the Health Board’s objectives.  The BAF aligns principal risks, key controls, its risk appetite and assurances on controls alongside each objective.  Gaps are identified where key controls and assurances are insufficient to mitigate the risk of non-</w:t>
      </w:r>
      <w:r w:rsidRPr="00E63291">
        <w:rPr>
          <w:rFonts w:asciiTheme="minorHAnsi" w:hAnsiTheme="minorHAnsi"/>
          <w:szCs w:val="22"/>
        </w:rPr>
        <w:softHyphen/>
        <w:t xml:space="preserve">delivery of objectives.  This enables the Board to develop and monitor action plans intended to close the gaps.  </w:t>
      </w:r>
      <w:r w:rsidRPr="00E63291">
        <w:rPr>
          <w:szCs w:val="22"/>
        </w:rPr>
        <w:t>At a high level, the schematic to the right represents the Board Assurance System:</w:t>
      </w:r>
      <w:r w:rsidRPr="00E63291">
        <w:rPr>
          <w:noProof/>
        </w:rPr>
        <w:t xml:space="preserve"> </w:t>
      </w:r>
    </w:p>
    <w:p w14:paraId="0AA3AFD4" w14:textId="77777777" w:rsidR="00C268C6" w:rsidRPr="00E63291" w:rsidRDefault="00C268C6" w:rsidP="00C268C6">
      <w:pPr>
        <w:rPr>
          <w:rFonts w:asciiTheme="minorHAnsi" w:hAnsiTheme="minorHAnsi"/>
          <w:szCs w:val="22"/>
        </w:rPr>
      </w:pPr>
    </w:p>
    <w:p w14:paraId="449D1DB3" w14:textId="77777777" w:rsidR="00C268C6" w:rsidRPr="00E63291" w:rsidRDefault="00C268C6" w:rsidP="00C268C6">
      <w:pPr>
        <w:rPr>
          <w:rFonts w:asciiTheme="minorHAnsi" w:hAnsiTheme="minorHAnsi"/>
          <w:szCs w:val="22"/>
        </w:rPr>
      </w:pPr>
      <w:r w:rsidRPr="00E63291">
        <w:rPr>
          <w:rFonts w:asciiTheme="minorHAnsi" w:hAnsiTheme="minorHAnsi"/>
          <w:szCs w:val="22"/>
        </w:rPr>
        <w:t>The Board will:</w:t>
      </w:r>
    </w:p>
    <w:p w14:paraId="5A893305"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Determine its strategic direction and related objectives.</w:t>
      </w:r>
    </w:p>
    <w:p w14:paraId="5C771C3C"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Identify the principal clinical and corporate risks that threaten the achievement of its objectives.</w:t>
      </w:r>
    </w:p>
    <w:p w14:paraId="60830655"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Agree its “risk appetite” recognising the interdependencies of objectives and the impact of mitigating clinical and corporate risks.</w:t>
      </w:r>
    </w:p>
    <w:p w14:paraId="1D96D13C"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Agree the key strategic and operational plans that will deliver those objectives and which encompass the controls and actions in place to manage the identified risks.</w:t>
      </w:r>
    </w:p>
    <w:p w14:paraId="3DE5A2EB"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 xml:space="preserve">Monitor delivery through robust performance, scrutiny and assurance arrangements. </w:t>
      </w:r>
    </w:p>
    <w:p w14:paraId="2DA7ED16"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Ensure that plans are in place to take corrective action where there is minimal assurance that agreed objectives will be fully delivered.</w:t>
      </w:r>
    </w:p>
    <w:p w14:paraId="1E3F250F"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Sustain and uphold dynamic clinical and corporate risk management arrangements across the Health Board.</w:t>
      </w:r>
    </w:p>
    <w:p w14:paraId="777D6F89" w14:textId="77777777" w:rsidR="00C268C6" w:rsidRPr="00E63291" w:rsidRDefault="00C268C6" w:rsidP="00C268C6">
      <w:pPr>
        <w:rPr>
          <w:rFonts w:asciiTheme="minorHAnsi" w:hAnsiTheme="minorHAnsi"/>
          <w:szCs w:val="22"/>
        </w:rPr>
      </w:pPr>
    </w:p>
    <w:p w14:paraId="222CD8BA" w14:textId="768119DC" w:rsidR="00C268C6" w:rsidRPr="003B1653" w:rsidRDefault="00C268C6" w:rsidP="00C268C6">
      <w:pPr>
        <w:rPr>
          <w:rFonts w:asciiTheme="minorHAnsi" w:hAnsiTheme="minorHAnsi"/>
          <w:szCs w:val="22"/>
        </w:rPr>
      </w:pPr>
      <w:r w:rsidRPr="003B1653">
        <w:rPr>
          <w:rFonts w:asciiTheme="minorHAnsi" w:hAnsiTheme="minorHAnsi"/>
          <w:szCs w:val="22"/>
        </w:rPr>
        <w:lastRenderedPageBreak/>
        <w:t>In November 2019 the Board revised how it receives assurance on risk and agreed to transfer delegated scrutiny and assurance on risk management arrangements from the Quality</w:t>
      </w:r>
      <w:r w:rsidR="00B14915">
        <w:rPr>
          <w:rFonts w:asciiTheme="minorHAnsi" w:hAnsiTheme="minorHAnsi"/>
          <w:szCs w:val="22"/>
        </w:rPr>
        <w:t xml:space="preserve"> and </w:t>
      </w:r>
      <w:r w:rsidRPr="003B1653">
        <w:rPr>
          <w:rFonts w:asciiTheme="minorHAnsi" w:hAnsiTheme="minorHAnsi"/>
          <w:szCs w:val="22"/>
        </w:rPr>
        <w:t>Safety Co</w:t>
      </w:r>
      <w:r w:rsidR="00B14915">
        <w:rPr>
          <w:rFonts w:asciiTheme="minorHAnsi" w:hAnsiTheme="minorHAnsi"/>
          <w:szCs w:val="22"/>
        </w:rPr>
        <w:t>mmittee to the Audit Committee.</w:t>
      </w:r>
    </w:p>
    <w:p w14:paraId="2D831816" w14:textId="77777777" w:rsidR="00C268C6" w:rsidRPr="003B1653" w:rsidRDefault="00C268C6" w:rsidP="00C268C6">
      <w:pPr>
        <w:rPr>
          <w:rFonts w:asciiTheme="minorHAnsi" w:hAnsiTheme="minorHAnsi"/>
          <w:szCs w:val="22"/>
        </w:rPr>
      </w:pPr>
    </w:p>
    <w:p w14:paraId="193FC688" w14:textId="77777777" w:rsidR="00C268C6" w:rsidRPr="003B1653" w:rsidRDefault="00C268C6" w:rsidP="00C268C6">
      <w:pPr>
        <w:rPr>
          <w:rFonts w:asciiTheme="minorHAnsi" w:hAnsiTheme="minorHAnsi"/>
          <w:szCs w:val="22"/>
        </w:rPr>
      </w:pPr>
      <w:r w:rsidRPr="003B1653">
        <w:rPr>
          <w:rFonts w:asciiTheme="minorHAnsi" w:hAnsiTheme="minorHAnsi"/>
          <w:szCs w:val="22"/>
        </w:rPr>
        <w:t>In line with current arrangements, each principal clinical and corporate risk is assigned to the Board or as appropriate to a Board Committee, which has responsibility on behalf of the Board to seek assurance and provide scrutiny so that those risks are being managed in accordance with the agreed risk appetite, approved plans and the organisations values.  Each risk has a lead director allocated in order that the mitigation actions are owned and acted upon and regularly reviewed and updated.</w:t>
      </w:r>
    </w:p>
    <w:p w14:paraId="3EB00E46" w14:textId="77777777" w:rsidR="00C268C6" w:rsidRPr="003B1653" w:rsidRDefault="00C268C6" w:rsidP="00C268C6">
      <w:pPr>
        <w:rPr>
          <w:szCs w:val="22"/>
        </w:rPr>
      </w:pPr>
    </w:p>
    <w:p w14:paraId="7F7378D5" w14:textId="4A6B6879" w:rsidR="00C268C6" w:rsidRDefault="00C268C6" w:rsidP="00C268C6">
      <w:pPr>
        <w:rPr>
          <w:rFonts w:asciiTheme="minorHAnsi" w:hAnsiTheme="minorHAnsi"/>
          <w:szCs w:val="22"/>
        </w:rPr>
      </w:pPr>
      <w:r w:rsidRPr="003B1653">
        <w:rPr>
          <w:rFonts w:asciiTheme="minorHAnsi" w:hAnsiTheme="minorHAnsi"/>
          <w:szCs w:val="22"/>
        </w:rPr>
        <w:t>To ensure appropriate scrutiny and assurance arrangements are in place, the Board is supported by</w:t>
      </w:r>
      <w:r w:rsidR="00B14915">
        <w:rPr>
          <w:rFonts w:asciiTheme="minorHAnsi" w:hAnsiTheme="minorHAnsi"/>
          <w:szCs w:val="22"/>
        </w:rPr>
        <w:t xml:space="preserve"> a number of committees, namely</w:t>
      </w:r>
      <w:r w:rsidRPr="003B1653">
        <w:rPr>
          <w:rFonts w:asciiTheme="minorHAnsi" w:hAnsiTheme="minorHAnsi"/>
          <w:szCs w:val="22"/>
        </w:rPr>
        <w:t xml:space="preserve"> Audit; Quality &amp; Safety; Remuneration and Terms of Service; Mental Health Act Monitoring; Finance, Performance and Workforce; Charitable Funds and the Primary and Community Care Committee.  In November 2019, the Board approved the establishment of the Information Governance and ICT Committee, and br</w:t>
      </w:r>
      <w:r w:rsidRPr="006507D5">
        <w:rPr>
          <w:rFonts w:asciiTheme="minorHAnsi" w:hAnsiTheme="minorHAnsi"/>
          <w:szCs w:val="22"/>
        </w:rPr>
        <w:t>oadened the remit of the Primary and Community Services Committee to include Population and Partnerships.</w:t>
      </w:r>
      <w:r w:rsidR="006507D5" w:rsidRPr="006507D5">
        <w:rPr>
          <w:rFonts w:asciiTheme="minorHAnsi" w:hAnsiTheme="minorHAnsi"/>
          <w:szCs w:val="22"/>
        </w:rPr>
        <w:t xml:space="preserve">  </w:t>
      </w:r>
      <w:r w:rsidRPr="006507D5">
        <w:rPr>
          <w:rFonts w:asciiTheme="minorHAnsi" w:hAnsiTheme="minorHAnsi"/>
          <w:szCs w:val="22"/>
        </w:rPr>
        <w:t xml:space="preserve">The Board also agreed to increase the regularity of the Charitable Funds Committee from </w:t>
      </w:r>
      <w:r w:rsidR="00B15712">
        <w:rPr>
          <w:rFonts w:asciiTheme="minorHAnsi" w:hAnsiTheme="minorHAnsi"/>
          <w:szCs w:val="22"/>
        </w:rPr>
        <w:t>annually to quarterly</w:t>
      </w:r>
      <w:r w:rsidRPr="006507D5">
        <w:rPr>
          <w:rFonts w:asciiTheme="minorHAnsi" w:hAnsiTheme="minorHAnsi"/>
          <w:szCs w:val="22"/>
        </w:rPr>
        <w:t xml:space="preserve">. </w:t>
      </w:r>
      <w:r w:rsidR="00B14915" w:rsidRPr="006507D5">
        <w:rPr>
          <w:rFonts w:asciiTheme="minorHAnsi" w:hAnsiTheme="minorHAnsi"/>
          <w:szCs w:val="22"/>
        </w:rPr>
        <w:t xml:space="preserve"> </w:t>
      </w:r>
      <w:r w:rsidRPr="006507D5">
        <w:rPr>
          <w:rFonts w:asciiTheme="minorHAnsi" w:hAnsiTheme="minorHAnsi"/>
          <w:szCs w:val="22"/>
        </w:rPr>
        <w:t>These committees of the Board undertake scrutiny and assurance in relation to the delivery of the Board’s strategic priorities, compliance with legislation, providing safe and effective services, learning lessons, sharing good practice and delivering other key targets identified within this IMTP.</w:t>
      </w:r>
    </w:p>
    <w:p w14:paraId="7DEA67D1" w14:textId="77777777" w:rsidR="00BB7370" w:rsidRPr="006507D5" w:rsidRDefault="00BB7370" w:rsidP="00C268C6">
      <w:pPr>
        <w:rPr>
          <w:rFonts w:asciiTheme="minorHAnsi" w:hAnsiTheme="minorHAnsi"/>
          <w:szCs w:val="22"/>
        </w:rPr>
      </w:pPr>
    </w:p>
    <w:p w14:paraId="29DC27AA" w14:textId="5A5D1401" w:rsidR="00BB7370" w:rsidRPr="00CA53D6" w:rsidRDefault="00BB7370" w:rsidP="00BB7370">
      <w:pPr>
        <w:rPr>
          <w:rFonts w:cs="Calibri"/>
          <w:szCs w:val="22"/>
        </w:rPr>
      </w:pPr>
      <w:r w:rsidRPr="00CA53D6">
        <w:t>The Health, Safety and Fire Committee (including staff side representatives) was re-launched in December 2019 and ensure</w:t>
      </w:r>
      <w:r w:rsidR="00C87C25">
        <w:t>s</w:t>
      </w:r>
      <w:r w:rsidRPr="00CA53D6">
        <w:t xml:space="preserve"> that health and safety issues are properly considered and managed in line with the Board’s Strategy and related policies.  Regular audits are being planned on prioritised areas and this information will then be used to ensure necessary improvements are introduced and implemented.  A training programme is in place and related resource issues are being addressed to ensure improved compliance and uptake of training.  </w:t>
      </w:r>
    </w:p>
    <w:p w14:paraId="0BEF8E4A" w14:textId="77777777" w:rsidR="00C268C6" w:rsidRPr="006507D5" w:rsidRDefault="00C268C6" w:rsidP="00C268C6">
      <w:pPr>
        <w:rPr>
          <w:rFonts w:asciiTheme="minorHAnsi" w:hAnsiTheme="minorHAnsi"/>
          <w:szCs w:val="22"/>
        </w:rPr>
      </w:pPr>
    </w:p>
    <w:p w14:paraId="00326E73" w14:textId="65DDBC34" w:rsidR="00C268C6" w:rsidRPr="003B1653" w:rsidRDefault="00C268C6" w:rsidP="00C268C6">
      <w:pPr>
        <w:rPr>
          <w:rFonts w:asciiTheme="minorHAnsi" w:hAnsiTheme="minorHAnsi"/>
          <w:szCs w:val="22"/>
        </w:rPr>
      </w:pPr>
      <w:r w:rsidRPr="003B1653">
        <w:rPr>
          <w:rFonts w:asciiTheme="minorHAnsi" w:hAnsiTheme="minorHAnsi"/>
          <w:szCs w:val="22"/>
        </w:rPr>
        <w:t xml:space="preserve">The introduction of the Quality Governance Framework in February 2019, as well as the arrangements to underpin the work of the Quality </w:t>
      </w:r>
      <w:r w:rsidR="00B14915">
        <w:rPr>
          <w:rFonts w:asciiTheme="minorHAnsi" w:hAnsiTheme="minorHAnsi"/>
          <w:szCs w:val="22"/>
        </w:rPr>
        <w:t>and</w:t>
      </w:r>
      <w:r w:rsidRPr="003B1653">
        <w:rPr>
          <w:rFonts w:asciiTheme="minorHAnsi" w:hAnsiTheme="minorHAnsi"/>
          <w:szCs w:val="22"/>
        </w:rPr>
        <w:t xml:space="preserve"> Safety Committee has seen an early improvement in assurance on quality and safety matters, including scrutiny on the progress of delivering against the Maternity Improvement Project.  </w:t>
      </w:r>
    </w:p>
    <w:p w14:paraId="7FF63173" w14:textId="77777777" w:rsidR="006507D5" w:rsidRDefault="006507D5" w:rsidP="00C268C6">
      <w:pPr>
        <w:rPr>
          <w:rFonts w:asciiTheme="minorHAnsi" w:hAnsiTheme="minorHAnsi"/>
          <w:szCs w:val="22"/>
        </w:rPr>
      </w:pPr>
    </w:p>
    <w:p w14:paraId="5B4E7533" w14:textId="64CCC284" w:rsidR="00C268C6" w:rsidRPr="003B1653" w:rsidRDefault="00C268C6" w:rsidP="00C268C6">
      <w:pPr>
        <w:rPr>
          <w:rFonts w:asciiTheme="minorHAnsi" w:hAnsiTheme="minorHAnsi"/>
          <w:szCs w:val="22"/>
        </w:rPr>
      </w:pPr>
      <w:r w:rsidRPr="003B1653">
        <w:rPr>
          <w:rFonts w:asciiTheme="minorHAnsi" w:hAnsiTheme="minorHAnsi"/>
          <w:szCs w:val="22"/>
        </w:rPr>
        <w:t>Independent Members</w:t>
      </w:r>
      <w:r w:rsidR="00376736">
        <w:rPr>
          <w:rFonts w:asciiTheme="minorHAnsi" w:hAnsiTheme="minorHAnsi"/>
          <w:szCs w:val="22"/>
        </w:rPr>
        <w:t xml:space="preserve"> (IMs)</w:t>
      </w:r>
      <w:r w:rsidRPr="003B1653">
        <w:rPr>
          <w:rFonts w:asciiTheme="minorHAnsi" w:hAnsiTheme="minorHAnsi"/>
          <w:szCs w:val="22"/>
        </w:rPr>
        <w:t xml:space="preserve"> and Directors recognise the important role they play in </w:t>
      </w:r>
      <w:r w:rsidR="00376736">
        <w:rPr>
          <w:rFonts w:asciiTheme="minorHAnsi" w:hAnsiTheme="minorHAnsi"/>
          <w:szCs w:val="22"/>
        </w:rPr>
        <w:t xml:space="preserve">connecting the Board with </w:t>
      </w:r>
      <w:r w:rsidRPr="003B1653">
        <w:rPr>
          <w:rFonts w:asciiTheme="minorHAnsi" w:hAnsiTheme="minorHAnsi"/>
          <w:szCs w:val="22"/>
        </w:rPr>
        <w:t>all levels of the organisation.</w:t>
      </w:r>
      <w:r w:rsidR="00B14915">
        <w:rPr>
          <w:rFonts w:asciiTheme="minorHAnsi" w:hAnsiTheme="minorHAnsi"/>
          <w:szCs w:val="22"/>
        </w:rPr>
        <w:t xml:space="preserve"> </w:t>
      </w:r>
      <w:r w:rsidRPr="003B1653">
        <w:rPr>
          <w:rFonts w:asciiTheme="minorHAnsi" w:hAnsiTheme="minorHAnsi"/>
          <w:szCs w:val="22"/>
        </w:rPr>
        <w:t xml:space="preserve"> Board Engagement is a key focus, with Board Development session venues rotated across all areas of the </w:t>
      </w:r>
      <w:r w:rsidR="00376736">
        <w:rPr>
          <w:rFonts w:asciiTheme="minorHAnsi" w:hAnsiTheme="minorHAnsi"/>
          <w:szCs w:val="22"/>
        </w:rPr>
        <w:t>UHB</w:t>
      </w:r>
      <w:r w:rsidRPr="003B1653">
        <w:rPr>
          <w:rFonts w:asciiTheme="minorHAnsi" w:hAnsiTheme="minorHAnsi"/>
          <w:szCs w:val="22"/>
        </w:rPr>
        <w:t>, all being followed with Board ‘walkabouts’ giving Board members opportunity to gain better understanding of the services, environment and patient and staff experience.</w:t>
      </w:r>
      <w:r w:rsidR="00B14915">
        <w:rPr>
          <w:rFonts w:asciiTheme="minorHAnsi" w:hAnsiTheme="minorHAnsi"/>
          <w:szCs w:val="22"/>
        </w:rPr>
        <w:t xml:space="preserve"> </w:t>
      </w:r>
      <w:r w:rsidRPr="003B1653">
        <w:rPr>
          <w:rFonts w:asciiTheme="minorHAnsi" w:hAnsiTheme="minorHAnsi"/>
          <w:szCs w:val="22"/>
        </w:rPr>
        <w:t xml:space="preserve"> Board engagement is</w:t>
      </w:r>
      <w:r w:rsidR="00376736">
        <w:rPr>
          <w:rFonts w:asciiTheme="minorHAnsi" w:hAnsiTheme="minorHAnsi"/>
          <w:szCs w:val="22"/>
        </w:rPr>
        <w:t xml:space="preserve"> supported through the </w:t>
      </w:r>
      <w:r w:rsidRPr="003B1653">
        <w:rPr>
          <w:rFonts w:asciiTheme="minorHAnsi" w:hAnsiTheme="minorHAnsi"/>
          <w:szCs w:val="22"/>
        </w:rPr>
        <w:t xml:space="preserve">‘Let’s Talk’ engagement events launched in August 2019 with continuous, regular events for staff and patients through informal drop-in sessions and more structured events such as the ‘Let’s Talk Culture’ sessions encouraging staff and patients to develop Values and Behaviours for the new </w:t>
      </w:r>
      <w:r w:rsidR="00520DE3" w:rsidRPr="003B1653">
        <w:rPr>
          <w:rFonts w:asciiTheme="minorHAnsi" w:hAnsiTheme="minorHAnsi"/>
          <w:szCs w:val="22"/>
        </w:rPr>
        <w:t>CT</w:t>
      </w:r>
      <w:r w:rsidR="003B0F4B">
        <w:rPr>
          <w:rFonts w:asciiTheme="minorHAnsi" w:hAnsiTheme="minorHAnsi"/>
          <w:szCs w:val="22"/>
        </w:rPr>
        <w:t>M</w:t>
      </w:r>
      <w:r w:rsidR="00520DE3" w:rsidRPr="003B1653">
        <w:rPr>
          <w:rFonts w:asciiTheme="minorHAnsi" w:hAnsiTheme="minorHAnsi"/>
          <w:szCs w:val="22"/>
        </w:rPr>
        <w:t>UHB</w:t>
      </w:r>
      <w:r w:rsidRPr="003B1653">
        <w:rPr>
          <w:rFonts w:asciiTheme="minorHAnsi" w:hAnsiTheme="minorHAnsi"/>
          <w:szCs w:val="22"/>
        </w:rPr>
        <w:t xml:space="preserve">. </w:t>
      </w:r>
    </w:p>
    <w:p w14:paraId="6BF2FD57" w14:textId="77777777" w:rsidR="00C268C6" w:rsidRPr="003B1653" w:rsidRDefault="00C268C6" w:rsidP="00C268C6">
      <w:pPr>
        <w:rPr>
          <w:rFonts w:asciiTheme="minorHAnsi" w:hAnsiTheme="minorHAnsi"/>
          <w:szCs w:val="22"/>
        </w:rPr>
      </w:pPr>
    </w:p>
    <w:p w14:paraId="63EDEE4F" w14:textId="26FE549B" w:rsidR="00C268C6" w:rsidRDefault="00C268C6" w:rsidP="00C268C6">
      <w:r w:rsidRPr="003B1653">
        <w:t xml:space="preserve">During 2019, </w:t>
      </w:r>
      <w:r w:rsidR="00897141">
        <w:t>WG</w:t>
      </w:r>
      <w:r w:rsidRPr="003B1653">
        <w:t xml:space="preserve"> commissioned the development and delivery of a bespoke Board Development Programme for CTM</w:t>
      </w:r>
      <w:r w:rsidR="00520DE3">
        <w:t>U</w:t>
      </w:r>
      <w:r w:rsidRPr="003B1653">
        <w:t xml:space="preserve">HB Board. </w:t>
      </w:r>
      <w:r w:rsidR="00B14915">
        <w:t xml:space="preserve"> </w:t>
      </w:r>
      <w:r w:rsidRPr="003B1653">
        <w:t>Deloitte were successful in the com</w:t>
      </w:r>
      <w:r w:rsidR="00FC3D24">
        <w:t>petitive tender and commenced</w:t>
      </w:r>
      <w:r w:rsidRPr="003B1653">
        <w:t xml:space="preserve"> initial scoping work during October 2019. </w:t>
      </w:r>
      <w:r w:rsidR="00B14915">
        <w:t xml:space="preserve"> </w:t>
      </w:r>
      <w:r w:rsidRPr="003B1653">
        <w:t>The scoping work will inform the development and content of the subsequent programme to be delivered throughout 2020 to which all Board Members will be required to attend.</w:t>
      </w:r>
      <w:r w:rsidR="00B14915">
        <w:t xml:space="preserve"> </w:t>
      </w:r>
      <w:r w:rsidRPr="003B1653">
        <w:t xml:space="preserve"> In addition, the </w:t>
      </w:r>
      <w:r w:rsidR="00897141">
        <w:t>WG</w:t>
      </w:r>
      <w:r w:rsidRPr="003B1653">
        <w:t xml:space="preserve"> have reviewed and re-launched a 2 day induction programme for all new </w:t>
      </w:r>
      <w:r w:rsidR="00B14915">
        <w:t xml:space="preserve">IMs </w:t>
      </w:r>
      <w:r w:rsidRPr="003B1653">
        <w:t>in NHS Wales. The programme has been opened to all IMs appointed since April 2018.</w:t>
      </w:r>
      <w:r w:rsidR="00B14915">
        <w:t xml:space="preserve"> </w:t>
      </w:r>
      <w:r w:rsidRPr="003B1653">
        <w:t xml:space="preserve"> </w:t>
      </w:r>
      <w:r w:rsidRPr="00D520F5">
        <w:t xml:space="preserve">Four eligible </w:t>
      </w:r>
      <w:r w:rsidR="00B14915" w:rsidRPr="00D520F5">
        <w:t>IMs</w:t>
      </w:r>
      <w:r w:rsidRPr="00D520F5">
        <w:t xml:space="preserve"> have been put forward to attend the induction programme scheduled for December 2019. </w:t>
      </w:r>
      <w:r w:rsidR="00B14915" w:rsidRPr="00D520F5">
        <w:t xml:space="preserve"> </w:t>
      </w:r>
      <w:r w:rsidRPr="00D520F5">
        <w:t>It</w:t>
      </w:r>
      <w:r w:rsidRPr="003B1653">
        <w:t xml:space="preserve"> is intended that any material released by </w:t>
      </w:r>
      <w:r w:rsidR="00897141">
        <w:t>WG</w:t>
      </w:r>
      <w:r w:rsidRPr="003B1653">
        <w:t xml:space="preserve"> to the Chairs and Board Secretaries of NHS Wales will be used to strengthen wider Board Development. </w:t>
      </w:r>
    </w:p>
    <w:p w14:paraId="64A0683F" w14:textId="77777777" w:rsidR="003B1653" w:rsidRPr="003B1653" w:rsidRDefault="003B1653" w:rsidP="00C268C6"/>
    <w:p w14:paraId="39DC48B5" w14:textId="49B0226A" w:rsidR="00C268C6" w:rsidRPr="00E63291" w:rsidRDefault="00C268C6" w:rsidP="00C268C6">
      <w:pPr>
        <w:rPr>
          <w:rFonts w:cs="Arial"/>
          <w:b/>
          <w:bCs/>
          <w:iCs/>
          <w:caps/>
          <w:szCs w:val="22"/>
          <w:lang w:eastAsia="en-US"/>
        </w:rPr>
      </w:pPr>
      <w:r w:rsidRPr="003B1653">
        <w:rPr>
          <w:rFonts w:asciiTheme="minorHAnsi" w:hAnsiTheme="minorHAnsi"/>
          <w:szCs w:val="22"/>
        </w:rPr>
        <w:t xml:space="preserve">The </w:t>
      </w:r>
      <w:r w:rsidR="002665C4">
        <w:rPr>
          <w:rFonts w:asciiTheme="minorHAnsi" w:hAnsiTheme="minorHAnsi"/>
          <w:szCs w:val="22"/>
        </w:rPr>
        <w:t>UHB</w:t>
      </w:r>
      <w:r w:rsidRPr="003B1653">
        <w:rPr>
          <w:rFonts w:asciiTheme="minorHAnsi" w:hAnsiTheme="minorHAnsi"/>
          <w:szCs w:val="22"/>
        </w:rPr>
        <w:t xml:space="preserve"> will ultimately approve and oversee implementation and delivery of the </w:t>
      </w:r>
      <w:r w:rsidR="002665C4">
        <w:rPr>
          <w:rFonts w:asciiTheme="minorHAnsi" w:hAnsiTheme="minorHAnsi"/>
          <w:szCs w:val="22"/>
        </w:rPr>
        <w:t>3</w:t>
      </w:r>
      <w:r w:rsidRPr="003B1653">
        <w:rPr>
          <w:rFonts w:asciiTheme="minorHAnsi" w:hAnsiTheme="minorHAnsi"/>
          <w:szCs w:val="22"/>
        </w:rPr>
        <w:t xml:space="preserve"> year Plan.  Central to implementation and delivery of the Plan is robust local scrutiny and assurance arrangements endorsed by the Board that provide assurance in relation to contractor services, directly provided </w:t>
      </w:r>
      <w:r w:rsidR="002665C4">
        <w:rPr>
          <w:rFonts w:asciiTheme="minorHAnsi" w:hAnsiTheme="minorHAnsi"/>
          <w:szCs w:val="22"/>
        </w:rPr>
        <w:t xml:space="preserve">services </w:t>
      </w:r>
      <w:r w:rsidRPr="003B1653">
        <w:rPr>
          <w:rFonts w:asciiTheme="minorHAnsi" w:hAnsiTheme="minorHAnsi"/>
          <w:szCs w:val="22"/>
        </w:rPr>
        <w:t>and commissioned services.</w:t>
      </w:r>
      <w:bookmarkStart w:id="224" w:name="_Toc536707430"/>
      <w:bookmarkEnd w:id="224"/>
    </w:p>
    <w:p w14:paraId="52DE12D5" w14:textId="77777777" w:rsidR="00C268C6" w:rsidRPr="00E63291" w:rsidRDefault="00C268C6" w:rsidP="00C268C6">
      <w:pPr>
        <w:pStyle w:val="Heading2"/>
        <w:rPr>
          <w:szCs w:val="22"/>
        </w:rPr>
      </w:pPr>
      <w:bookmarkStart w:id="225" w:name="_Toc29573976"/>
      <w:r w:rsidRPr="00E63291">
        <w:rPr>
          <w:szCs w:val="22"/>
        </w:rPr>
        <w:lastRenderedPageBreak/>
        <w:t>Principal Risks to Delivery and Mitigating Actions</w:t>
      </w:r>
      <w:bookmarkEnd w:id="219"/>
      <w:bookmarkEnd w:id="220"/>
      <w:bookmarkEnd w:id="221"/>
      <w:bookmarkEnd w:id="222"/>
      <w:bookmarkEnd w:id="225"/>
    </w:p>
    <w:p w14:paraId="2C854F5F" w14:textId="77777777" w:rsidR="00C268C6" w:rsidRPr="00E63291" w:rsidRDefault="00C268C6" w:rsidP="00C268C6">
      <w:pPr>
        <w:pStyle w:val="Heading3"/>
      </w:pPr>
      <w:r w:rsidRPr="00E63291">
        <w:t>Integrated Risk Management</w:t>
      </w:r>
    </w:p>
    <w:p w14:paraId="1142A8C3" w14:textId="77777777" w:rsidR="00C268C6" w:rsidRPr="00E63291" w:rsidRDefault="00C268C6" w:rsidP="00C268C6">
      <w:r w:rsidRPr="00E63291">
        <w:t xml:space="preserve">The Health Board has an approved strategy for risk management and a related action plan that clearly outlines the organisation’s risk appetite and process for ensuring the Board’s plans are built on a foundation of risk assessment that informs mitigating actions.  </w:t>
      </w:r>
      <w:r w:rsidRPr="00E63291">
        <w:rPr>
          <w:b/>
        </w:rPr>
        <w:t>Chapter 7, Section 7.10</w:t>
      </w:r>
      <w:r w:rsidRPr="00E63291">
        <w:t xml:space="preserve"> also outlines a number of specific risks to a number of current financial assumptions in the Plan which are key.</w:t>
      </w:r>
    </w:p>
    <w:p w14:paraId="4550EBA0" w14:textId="77777777" w:rsidR="00C268C6" w:rsidRPr="00E63291" w:rsidRDefault="00C268C6" w:rsidP="00C268C6"/>
    <w:p w14:paraId="4C6C2819" w14:textId="02D73DBF" w:rsidR="00C268C6" w:rsidRPr="003B1653" w:rsidRDefault="00C268C6" w:rsidP="00C268C6">
      <w:r w:rsidRPr="003B1653">
        <w:t xml:space="preserve">Learning has been identified </w:t>
      </w:r>
      <w:r w:rsidR="00A34A9A">
        <w:t xml:space="preserve">as </w:t>
      </w:r>
      <w:r w:rsidRPr="003B1653">
        <w:t xml:space="preserve">a result of the products of intervention where risk management can be strengthened across the organisation. </w:t>
      </w:r>
      <w:r w:rsidR="00AA4B7F">
        <w:t xml:space="preserve"> </w:t>
      </w:r>
      <w:r w:rsidRPr="003B1653">
        <w:t xml:space="preserve">A comprehensive review is being undertaken to identify opportunities to strengthen risk identification, assessment, mitigation and escalation from ward to Board. </w:t>
      </w:r>
      <w:r w:rsidR="00AA4B7F">
        <w:t xml:space="preserve"> </w:t>
      </w:r>
      <w:r w:rsidRPr="003B1653">
        <w:t xml:space="preserve">This work will assess the Board’s risk appetite in relation to the achievement of strategic objectives set by the Board, and support officers in managing risks locally, </w:t>
      </w:r>
      <w:r w:rsidR="00A34A9A">
        <w:t xml:space="preserve">enabling </w:t>
      </w:r>
      <w:r w:rsidR="00AA4B7F">
        <w:t>effective decision making.</w:t>
      </w:r>
    </w:p>
    <w:p w14:paraId="6C4B3227" w14:textId="77777777" w:rsidR="00C268C6" w:rsidRPr="003B1653" w:rsidRDefault="00C268C6" w:rsidP="00C268C6"/>
    <w:p w14:paraId="60CF68E7" w14:textId="77777777" w:rsidR="00BB7370" w:rsidRDefault="00BB7370" w:rsidP="00BB7370">
      <w:r w:rsidRPr="00CA53D6">
        <w:t>Staff awareness of the need to manage risks is encouraged through regular communication and the Health Board’s Risk Management System ‘DATIX’.</w:t>
      </w:r>
      <w:r>
        <w:t xml:space="preserve"> </w:t>
      </w:r>
      <w:r w:rsidRPr="00CA53D6">
        <w:t xml:space="preserve"> Included in this system are the incident reporting system and the risk register.</w:t>
      </w:r>
      <w:r>
        <w:t xml:space="preserve"> </w:t>
      </w:r>
      <w:r w:rsidRPr="00CA53D6">
        <w:t xml:space="preserve"> The risk register continues to be rolled out to better capture assessed risks and the actions being taken to mitigate and/or escalate them.</w:t>
      </w:r>
    </w:p>
    <w:p w14:paraId="0FF8623A" w14:textId="77777777" w:rsidR="00BB7370" w:rsidRPr="00CA53D6" w:rsidRDefault="00BB7370" w:rsidP="00BB7370">
      <w:r w:rsidRPr="00CA53D6">
        <w:t xml:space="preserve">  </w:t>
      </w:r>
    </w:p>
    <w:p w14:paraId="1BCFF1AA" w14:textId="527914E0" w:rsidR="00C268C6" w:rsidRPr="003B1653" w:rsidRDefault="00C268C6" w:rsidP="00C268C6">
      <w:r w:rsidRPr="003B1653">
        <w:t>Prior to September 2019, the Board received the Corporate Risk Register bi-annually.</w:t>
      </w:r>
      <w:r w:rsidR="00AA4B7F">
        <w:t xml:space="preserve"> </w:t>
      </w:r>
      <w:r w:rsidRPr="003B1653">
        <w:t xml:space="preserve"> At the Board meeting in September 2019, the Board agreed to receive the Risk Register at every meeting.</w:t>
      </w:r>
      <w:r w:rsidR="00AA4B7F">
        <w:t xml:space="preserve"> </w:t>
      </w:r>
      <w:r w:rsidRPr="003B1653">
        <w:t xml:space="preserve"> Work continues to ensure the processes that underpin the timely escalation of risks is effective and will be linked to the re-fresh of the B</w:t>
      </w:r>
      <w:r w:rsidR="00EF6BA7">
        <w:t>AF</w:t>
      </w:r>
      <w:r w:rsidR="00AA4B7F">
        <w:t>.</w:t>
      </w:r>
    </w:p>
    <w:p w14:paraId="1376C507" w14:textId="77777777" w:rsidR="00C268C6" w:rsidRPr="003B1653" w:rsidRDefault="00C268C6" w:rsidP="00C268C6"/>
    <w:p w14:paraId="4E714ED8" w14:textId="786B0D2A" w:rsidR="00C268C6" w:rsidRPr="003B1653" w:rsidRDefault="00C268C6" w:rsidP="00C268C6">
      <w:r w:rsidRPr="003B1653">
        <w:t xml:space="preserve">Each Committee with an allocated risk, reviews them on a quarterly basis.  The Executive team ensure key risks aligned to delivery are considered and scrutinised by the relevant Committee of the Board which is then approved by the Board when it receives the report for scrutiny. </w:t>
      </w:r>
      <w:r w:rsidR="00AA4B7F">
        <w:t xml:space="preserve"> </w:t>
      </w:r>
      <w:r w:rsidRPr="003B1653">
        <w:t xml:space="preserve">The Corporate Risk Register is received and updated at each monthly Management Board to ensure </w:t>
      </w:r>
      <w:r w:rsidR="0006191D">
        <w:t>risks identified are accurately reflected</w:t>
      </w:r>
      <w:r w:rsidRPr="003B1653">
        <w:t>.</w:t>
      </w:r>
    </w:p>
    <w:p w14:paraId="6BEAA23D" w14:textId="52E21087" w:rsidR="00C268C6" w:rsidRPr="009273C2" w:rsidRDefault="00C268C6" w:rsidP="00C268C6">
      <w:pPr>
        <w:rPr>
          <w:highlight w:val="yellow"/>
        </w:rPr>
      </w:pPr>
    </w:p>
    <w:p w14:paraId="235EDBF9" w14:textId="43D742C4" w:rsidR="00C268C6" w:rsidRPr="009273C2" w:rsidRDefault="00C268C6" w:rsidP="00C268C6">
      <w:r w:rsidRPr="009273C2">
        <w:t xml:space="preserve">In reviewing the robustness of a developing organisational risk register, Board Members consider whether the top recorded risks are those that </w:t>
      </w:r>
      <w:r w:rsidR="00A34A9A">
        <w:t>they</w:t>
      </w:r>
      <w:r w:rsidRPr="009273C2">
        <w:t xml:space="preserve"> can relate to and indeed evidence that they are informing the work of the Board and its Committees in delivering its related Strategy.  As at </w:t>
      </w:r>
      <w:r w:rsidR="00F228BA" w:rsidRPr="009273C2">
        <w:t>January</w:t>
      </w:r>
      <w:r w:rsidRPr="009273C2">
        <w:t xml:space="preserve"> 2020, the top risks outlined within th</w:t>
      </w:r>
      <w:r w:rsidR="009273C2" w:rsidRPr="009273C2">
        <w:t>e Health Board’s risk register a</w:t>
      </w:r>
      <w:r w:rsidRPr="009273C2">
        <w:t>re</w:t>
      </w:r>
      <w:r w:rsidR="009273C2" w:rsidRPr="009273C2">
        <w:t xml:space="preserve"> set out in </w:t>
      </w:r>
      <w:r w:rsidR="009273C2" w:rsidRPr="009273C2">
        <w:rPr>
          <w:b/>
        </w:rPr>
        <w:t xml:space="preserve">Annex </w:t>
      </w:r>
      <w:r w:rsidR="00513206">
        <w:rPr>
          <w:b/>
        </w:rPr>
        <w:t>5</w:t>
      </w:r>
      <w:r w:rsidR="009273C2" w:rsidRPr="009273C2">
        <w:t>.</w:t>
      </w:r>
    </w:p>
    <w:p w14:paraId="7DFA5318" w14:textId="77777777" w:rsidR="00CA53D6" w:rsidRPr="00CA53D6" w:rsidRDefault="00CA53D6" w:rsidP="00CA53D6"/>
    <w:p w14:paraId="723641E2" w14:textId="21792D7A" w:rsidR="00663E70" w:rsidRPr="00C268C6" w:rsidRDefault="00883972" w:rsidP="002C7841">
      <w:pPr>
        <w:rPr>
          <w:szCs w:val="22"/>
        </w:rPr>
      </w:pPr>
      <w:r>
        <w:rPr>
          <w:szCs w:val="22"/>
        </w:rPr>
        <w:pict w14:anchorId="4955899F">
          <v:rect id="_x0000_i1026" style="width:0;height:1.5pt" o:hralign="center" o:hrstd="t" o:hr="t" fillcolor="gray" stroked="f"/>
        </w:pict>
      </w:r>
    </w:p>
    <w:sectPr w:rsidR="00663E70" w:rsidRPr="00C268C6" w:rsidSect="00611BEB">
      <w:headerReference w:type="even" r:id="rId133"/>
      <w:headerReference w:type="default" r:id="rId134"/>
      <w:headerReference w:type="first" r:id="rId135"/>
      <w:footerReference w:type="first" r:id="rId136"/>
      <w:pgSz w:w="11906" w:h="16838"/>
      <w:pgMar w:top="964" w:right="964" w:bottom="964" w:left="96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F3F174" w14:textId="77777777" w:rsidR="00883972" w:rsidRDefault="00883972" w:rsidP="00875C8C">
      <w:r>
        <w:separator/>
      </w:r>
    </w:p>
  </w:endnote>
  <w:endnote w:type="continuationSeparator" w:id="0">
    <w:p w14:paraId="6CC67B70" w14:textId="77777777" w:rsidR="00883972" w:rsidRDefault="00883972" w:rsidP="00875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FS Ingrid">
    <w:altName w:val="FS Ingrid"/>
    <w:panose1 w:val="00000000000000000000"/>
    <w:charset w:val="00"/>
    <w:family w:val="swiss"/>
    <w:notTrueType/>
    <w:pitch w:val="default"/>
    <w:sig w:usb0="00000003" w:usb1="00000000" w:usb2="00000000" w:usb3="00000000" w:csb0="00000001" w:csb1="00000000"/>
  </w:font>
  <w:font w:name="Verdana">
    <w:altName w:val="Verdana"/>
    <w:panose1 w:val="020B0604030504040204"/>
    <w:charset w:val="00"/>
    <w:family w:val="swiss"/>
    <w:pitch w:val="variable"/>
    <w:sig w:usb0="A10006FF" w:usb1="4000205B" w:usb2="00000010" w:usb3="00000000" w:csb0="0000019F"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Neo Sans Std">
    <w:altName w:val="Neo Sans Std"/>
    <w:panose1 w:val="00000000000000000000"/>
    <w:charset w:val="00"/>
    <w:family w:val="swiss"/>
    <w:notTrueType/>
    <w:pitch w:val="default"/>
    <w:sig w:usb0="00000003" w:usb1="00000000" w:usb2="00000000" w:usb3="00000000" w:csb0="00000001" w:csb1="00000000"/>
  </w:font>
  <w:font w:name="HelveticaNeue-Italic">
    <w:panose1 w:val="00000000000000000000"/>
    <w:charset w:val="00"/>
    <w:family w:val="auto"/>
    <w:notTrueType/>
    <w:pitch w:val="default"/>
    <w:sig w:usb0="00000003" w:usb1="00000000" w:usb2="00000000" w:usb3="00000000" w:csb0="00000001" w:csb1="00000000"/>
  </w:font>
  <w:font w:name="Metronic Slab Pro Regular">
    <w:altName w:val="Metronic Slab Pro Regular"/>
    <w:panose1 w:val="00000000000000000000"/>
    <w:charset w:val="00"/>
    <w:family w:val="roman"/>
    <w:notTrueType/>
    <w:pitch w:val="default"/>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C9CAD7" w14:textId="00194A30" w:rsidR="00883972" w:rsidRDefault="00883972">
    <w:pPr>
      <w:pStyle w:val="Footer"/>
    </w:pPr>
    <w:r>
      <w:t xml:space="preserve">Page | </w:t>
    </w:r>
    <w:r>
      <w:fldChar w:fldCharType="begin"/>
    </w:r>
    <w:r>
      <w:instrText xml:space="preserve"> PAGE   \* MERGEFORMAT </w:instrText>
    </w:r>
    <w:r>
      <w:fldChar w:fldCharType="separate"/>
    </w:r>
    <w:r w:rsidR="005203D9">
      <w:rPr>
        <w:noProof/>
      </w:rPr>
      <w:t>128</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2F45A7" w14:textId="1F9C64D8" w:rsidR="00883972" w:rsidRDefault="00883972">
    <w:pPr>
      <w:pStyle w:val="Footer"/>
    </w:pPr>
    <w:r>
      <w:fldChar w:fldCharType="begin"/>
    </w:r>
    <w:r>
      <w:instrText xml:space="preserve"> PAGE   \* MERGEFORMAT </w:instrText>
    </w:r>
    <w:r>
      <w:fldChar w:fldCharType="separate"/>
    </w:r>
    <w:r w:rsidR="005203D9">
      <w:rPr>
        <w:noProof/>
      </w:rPr>
      <w:t>ii</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4362889"/>
      <w:docPartObj>
        <w:docPartGallery w:val="Page Numbers (Bottom of Page)"/>
        <w:docPartUnique/>
      </w:docPartObj>
    </w:sdtPr>
    <w:sdtEndPr>
      <w:rPr>
        <w:noProof/>
      </w:rPr>
    </w:sdtEndPr>
    <w:sdtContent>
      <w:p w14:paraId="2A255C81" w14:textId="77777777" w:rsidR="00883972" w:rsidRDefault="00883972">
        <w:pPr>
          <w:pStyle w:val="Footer"/>
        </w:pPr>
        <w:r>
          <w:t xml:space="preserve">Page | </w:t>
        </w:r>
        <w:r>
          <w:fldChar w:fldCharType="begin"/>
        </w:r>
        <w:r>
          <w:instrText xml:space="preserve"> PAGE   \* MERGEFORMAT </w:instrText>
        </w:r>
        <w:r>
          <w:fldChar w:fldCharType="separate"/>
        </w:r>
        <w:r w:rsidR="0012556F">
          <w:rPr>
            <w:noProof/>
          </w:rPr>
          <w:t>43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994A65" w14:textId="77777777" w:rsidR="00883972" w:rsidRDefault="00883972" w:rsidP="00875C8C">
      <w:r>
        <w:separator/>
      </w:r>
    </w:p>
  </w:footnote>
  <w:footnote w:type="continuationSeparator" w:id="0">
    <w:p w14:paraId="0D4EC675" w14:textId="77777777" w:rsidR="00883972" w:rsidRDefault="00883972" w:rsidP="00875C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D2BA61" w14:textId="3030A43A" w:rsidR="00883972" w:rsidRPr="00BC4B53" w:rsidRDefault="00883972" w:rsidP="003635D4">
    <w:pPr>
      <w:pStyle w:val="Header"/>
      <w:spacing w:after="0"/>
      <w:rPr>
        <w:sz w:val="16"/>
        <w:szCs w:val="16"/>
      </w:rPr>
    </w:pPr>
  </w:p>
  <w:p w14:paraId="00E47482" w14:textId="77777777" w:rsidR="00883972" w:rsidRDefault="00883972"/>
  <w:p w14:paraId="3CA76FBA" w14:textId="77777777" w:rsidR="00883972" w:rsidRDefault="00883972"/>
  <w:p w14:paraId="2968F90A" w14:textId="77777777" w:rsidR="00883972" w:rsidRDefault="00883972"/>
  <w:p w14:paraId="63D959E8" w14:textId="77777777" w:rsidR="00883972" w:rsidRDefault="00883972"/>
  <w:p w14:paraId="4E1A1FFB" w14:textId="77777777" w:rsidR="00883972" w:rsidRDefault="0088397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4878EE" w14:textId="3E763152" w:rsidR="00883972" w:rsidRDefault="0088397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6"/>
        <w:szCs w:val="16"/>
      </w:rPr>
      <w:id w:val="-1631007972"/>
      <w:docPartObj>
        <w:docPartGallery w:val="Watermarks"/>
        <w:docPartUnique/>
      </w:docPartObj>
    </w:sdtPr>
    <w:sdtContent>
      <w:p w14:paraId="44BBACC2" w14:textId="079A8ECB" w:rsidR="00883972" w:rsidRPr="00BC4B53" w:rsidRDefault="00883972" w:rsidP="003635D4">
        <w:pPr>
          <w:pStyle w:val="Header"/>
          <w:spacing w:after="0"/>
          <w:rPr>
            <w:sz w:val="16"/>
            <w:szCs w:val="16"/>
          </w:rPr>
        </w:pPr>
        <w:r>
          <w:rPr>
            <w:noProof/>
            <w:sz w:val="16"/>
            <w:szCs w:val="16"/>
            <w:lang w:val="en-US" w:eastAsia="en-US"/>
          </w:rPr>
          <w:pict w14:anchorId="7AFED48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60"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278A52" w14:textId="6DD3A0DD" w:rsidR="00883972" w:rsidRDefault="00883972">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21304" w14:textId="5E04B31E" w:rsidR="00883972" w:rsidRDefault="00883972">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454D07" w14:textId="75585D90" w:rsidR="00883972" w:rsidRDefault="00883972">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7BDD66" w14:textId="074786A2" w:rsidR="00883972" w:rsidRDefault="0088397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multilevel"/>
    <w:tmpl w:val="00000006"/>
    <w:name w:val="WWNum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433248"/>
    <w:multiLevelType w:val="hybridMultilevel"/>
    <w:tmpl w:val="72243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1944B1"/>
    <w:multiLevelType w:val="hybridMultilevel"/>
    <w:tmpl w:val="00AE95F2"/>
    <w:lvl w:ilvl="0" w:tplc="A61E4694">
      <w:start w:val="1"/>
      <w:numFmt w:val="bullet"/>
      <w:pStyle w:val="NormaBulletIndent"/>
      <w:lvlText w:val="o"/>
      <w:lvlJc w:val="left"/>
      <w:pPr>
        <w:ind w:left="1077" w:hanging="360"/>
      </w:pPr>
      <w:rPr>
        <w:rFonts w:ascii="Courier New" w:hAnsi="Courier New" w:cs="Courier New"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 w15:restartNumberingAfterBreak="0">
    <w:nsid w:val="01734BD9"/>
    <w:multiLevelType w:val="hybridMultilevel"/>
    <w:tmpl w:val="05A03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09695E"/>
    <w:multiLevelType w:val="hybridMultilevel"/>
    <w:tmpl w:val="3626D292"/>
    <w:lvl w:ilvl="0" w:tplc="E2A2F9AE">
      <w:start w:val="1"/>
      <w:numFmt w:val="bullet"/>
      <w:pStyle w:val="NormaBullet"/>
      <w:lvlText w:val=""/>
      <w:lvlJc w:val="left"/>
      <w:pPr>
        <w:ind w:left="36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7B43B1"/>
    <w:multiLevelType w:val="hybridMultilevel"/>
    <w:tmpl w:val="1B0E32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026B33"/>
    <w:multiLevelType w:val="multilevel"/>
    <w:tmpl w:val="E8C2EE0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879458A"/>
    <w:multiLevelType w:val="hybridMultilevel"/>
    <w:tmpl w:val="08E47B14"/>
    <w:lvl w:ilvl="0" w:tplc="29D2D764">
      <w:start w:val="1"/>
      <w:numFmt w:val="lowerLetter"/>
      <w:lvlText w:val="%1)"/>
      <w:lvlJc w:val="left"/>
      <w:pPr>
        <w:ind w:left="720" w:hanging="360"/>
      </w:pPr>
      <w:rPr>
        <w:rFonts w:asciiTheme="minorHAnsi" w:eastAsia="Times New Roman" w:hAnsiTheme="minorHAnsi" w:cs="Tahom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98F6720"/>
    <w:multiLevelType w:val="hybridMultilevel"/>
    <w:tmpl w:val="E82EACA8"/>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9" w15:restartNumberingAfterBreak="0">
    <w:nsid w:val="0B4A54FC"/>
    <w:multiLevelType w:val="hybridMultilevel"/>
    <w:tmpl w:val="FC6AF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BBA0405"/>
    <w:multiLevelType w:val="hybridMultilevel"/>
    <w:tmpl w:val="D9B800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BF15043"/>
    <w:multiLevelType w:val="hybridMultilevel"/>
    <w:tmpl w:val="AFD87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DE70F8D"/>
    <w:multiLevelType w:val="hybridMultilevel"/>
    <w:tmpl w:val="C8DA0C8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0F88000F"/>
    <w:multiLevelType w:val="multilevel"/>
    <w:tmpl w:val="E8C2EE0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FAD04B4"/>
    <w:multiLevelType w:val="hybridMultilevel"/>
    <w:tmpl w:val="DB829BEA"/>
    <w:lvl w:ilvl="0" w:tplc="08090003">
      <w:start w:val="1"/>
      <w:numFmt w:val="bullet"/>
      <w:lvlText w:val="o"/>
      <w:lvlJc w:val="left"/>
      <w:pPr>
        <w:ind w:left="1077" w:hanging="360"/>
      </w:pPr>
      <w:rPr>
        <w:rFonts w:ascii="Courier New" w:hAnsi="Courier New" w:cs="Courier New"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5" w15:restartNumberingAfterBreak="0">
    <w:nsid w:val="11116732"/>
    <w:multiLevelType w:val="hybridMultilevel"/>
    <w:tmpl w:val="69F0A7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12E51AB2"/>
    <w:multiLevelType w:val="hybridMultilevel"/>
    <w:tmpl w:val="A3AA36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458398B"/>
    <w:multiLevelType w:val="hybridMultilevel"/>
    <w:tmpl w:val="991A243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53254EC"/>
    <w:multiLevelType w:val="hybridMultilevel"/>
    <w:tmpl w:val="77522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58242CF"/>
    <w:multiLevelType w:val="hybridMultilevel"/>
    <w:tmpl w:val="6FF21A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0" w15:restartNumberingAfterBreak="0">
    <w:nsid w:val="15D37F2D"/>
    <w:multiLevelType w:val="hybridMultilevel"/>
    <w:tmpl w:val="8B9AFC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17210CCC"/>
    <w:multiLevelType w:val="hybridMultilevel"/>
    <w:tmpl w:val="48BCD8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1A1B262D"/>
    <w:multiLevelType w:val="hybridMultilevel"/>
    <w:tmpl w:val="AB102D8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1A475136"/>
    <w:multiLevelType w:val="hybridMultilevel"/>
    <w:tmpl w:val="B70CE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1C38388D"/>
    <w:multiLevelType w:val="hybridMultilevel"/>
    <w:tmpl w:val="567A2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DA15D65"/>
    <w:multiLevelType w:val="hybridMultilevel"/>
    <w:tmpl w:val="DBACD1C8"/>
    <w:lvl w:ilvl="0" w:tplc="08090001">
      <w:start w:val="1"/>
      <w:numFmt w:val="bullet"/>
      <w:lvlText w:val=""/>
      <w:lvlJc w:val="left"/>
      <w:pPr>
        <w:ind w:left="720" w:hanging="360"/>
      </w:pPr>
      <w:rPr>
        <w:rFonts w:ascii="Symbol" w:hAnsi="Symbol" w:hint="default"/>
      </w:rPr>
    </w:lvl>
    <w:lvl w:ilvl="1" w:tplc="731A0576">
      <w:start w:val="3"/>
      <w:numFmt w:val="bullet"/>
      <w:lvlText w:val="-"/>
      <w:lvlJc w:val="left"/>
      <w:pPr>
        <w:ind w:left="1440" w:hanging="360"/>
      </w:pPr>
      <w:rPr>
        <w:rFonts w:ascii="Arial" w:eastAsia="Cambria" w:hAnsi="Arial" w:cs="Arial"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1EEA1D6C"/>
    <w:multiLevelType w:val="hybridMultilevel"/>
    <w:tmpl w:val="EB3C2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1F89011B"/>
    <w:multiLevelType w:val="hybridMultilevel"/>
    <w:tmpl w:val="514404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1FCF0957"/>
    <w:multiLevelType w:val="hybridMultilevel"/>
    <w:tmpl w:val="229E78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20075DFF"/>
    <w:multiLevelType w:val="hybridMultilevel"/>
    <w:tmpl w:val="76AAD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1556C4E"/>
    <w:multiLevelType w:val="hybridMultilevel"/>
    <w:tmpl w:val="7C2E77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16E4265"/>
    <w:multiLevelType w:val="hybridMultilevel"/>
    <w:tmpl w:val="D6C83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21F4258"/>
    <w:multiLevelType w:val="hybridMultilevel"/>
    <w:tmpl w:val="898899F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3" w15:restartNumberingAfterBreak="0">
    <w:nsid w:val="26985679"/>
    <w:multiLevelType w:val="hybridMultilevel"/>
    <w:tmpl w:val="BBC648B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26A65DFD"/>
    <w:multiLevelType w:val="hybridMultilevel"/>
    <w:tmpl w:val="0B5C4D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277739C1"/>
    <w:multiLevelType w:val="hybridMultilevel"/>
    <w:tmpl w:val="B7B4E9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283C40D5"/>
    <w:multiLevelType w:val="hybridMultilevel"/>
    <w:tmpl w:val="CBEE1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2B470407"/>
    <w:multiLevelType w:val="hybridMultilevel"/>
    <w:tmpl w:val="7220C632"/>
    <w:lvl w:ilvl="0" w:tplc="F426EB6A">
      <w:start w:val="1"/>
      <w:numFmt w:val="bullet"/>
      <w:pStyle w:val="IPCBullet1"/>
      <w:lvlText w:val=""/>
      <w:lvlJc w:val="left"/>
      <w:pPr>
        <w:ind w:left="720" w:hanging="360"/>
      </w:pPr>
      <w:rPr>
        <w:rFonts w:ascii="Wingdings 2" w:hAnsi="Wingdings 2" w:hint="default"/>
        <w:color w:val="A4AF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2BFD377D"/>
    <w:multiLevelType w:val="hybridMultilevel"/>
    <w:tmpl w:val="C5144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2C642AF5"/>
    <w:multiLevelType w:val="hybridMultilevel"/>
    <w:tmpl w:val="52586DD2"/>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40" w15:restartNumberingAfterBreak="0">
    <w:nsid w:val="2D3F1538"/>
    <w:multiLevelType w:val="hybridMultilevel"/>
    <w:tmpl w:val="655A9C6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1" w15:restartNumberingAfterBreak="0">
    <w:nsid w:val="2F783EF8"/>
    <w:multiLevelType w:val="hybridMultilevel"/>
    <w:tmpl w:val="C69E19C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30806DE3"/>
    <w:multiLevelType w:val="hybridMultilevel"/>
    <w:tmpl w:val="D5CA5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0E33F32"/>
    <w:multiLevelType w:val="multilevel"/>
    <w:tmpl w:val="E9AE6360"/>
    <w:lvl w:ilvl="0">
      <w:start w:val="1"/>
      <w:numFmt w:val="decimal"/>
      <w:lvlText w:val="%1."/>
      <w:lvlJc w:val="left"/>
      <w:pPr>
        <w:ind w:left="360" w:hanging="360"/>
      </w:pPr>
    </w:lvl>
    <w:lvl w:ilvl="1">
      <w:start w:val="1"/>
      <w:numFmt w:val="decimal"/>
      <w:isLgl/>
      <w:lvlText w:val="%1.%2"/>
      <w:lvlJc w:val="left"/>
      <w:pPr>
        <w:ind w:left="720" w:hanging="720"/>
      </w:pPr>
      <w:rPr>
        <w:b w:val="0"/>
      </w:rPr>
    </w:lvl>
    <w:lvl w:ilvl="2">
      <w:start w:val="1"/>
      <w:numFmt w:val="bullet"/>
      <w:lvlText w:val=""/>
      <w:lvlJc w:val="left"/>
      <w:pPr>
        <w:ind w:left="8092" w:hanging="720"/>
      </w:pPr>
      <w:rPr>
        <w:rFonts w:ascii="Symbol" w:hAnsi="Symbol" w:hint="default"/>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bullet"/>
      <w:lvlText w:val=""/>
      <w:lvlJc w:val="left"/>
      <w:pPr>
        <w:ind w:left="1440" w:hanging="1440"/>
      </w:pPr>
      <w:rPr>
        <w:rFonts w:ascii="Symbol" w:hAnsi="Symbol" w:hint="default"/>
      </w:rPr>
    </w:lvl>
    <w:lvl w:ilvl="8">
      <w:start w:val="1"/>
      <w:numFmt w:val="decimal"/>
      <w:isLgl/>
      <w:lvlText w:val="%1.%2.%3.%4.%5.%6.%7.%8.%9"/>
      <w:lvlJc w:val="left"/>
      <w:pPr>
        <w:ind w:left="1800" w:hanging="1800"/>
      </w:pPr>
    </w:lvl>
  </w:abstractNum>
  <w:abstractNum w:abstractNumId="44" w15:restartNumberingAfterBreak="0">
    <w:nsid w:val="31473628"/>
    <w:multiLevelType w:val="hybridMultilevel"/>
    <w:tmpl w:val="CFA45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16E7E08"/>
    <w:multiLevelType w:val="hybridMultilevel"/>
    <w:tmpl w:val="9A24CB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3280251F"/>
    <w:multiLevelType w:val="hybridMultilevel"/>
    <w:tmpl w:val="B150C9F8"/>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7" w15:restartNumberingAfterBreak="0">
    <w:nsid w:val="32CB5D54"/>
    <w:multiLevelType w:val="hybridMultilevel"/>
    <w:tmpl w:val="7E109F22"/>
    <w:lvl w:ilvl="0" w:tplc="34D2EC00">
      <w:start w:val="2020"/>
      <w:numFmt w:val="bullet"/>
      <w:lvlText w:val="-"/>
      <w:lvlJc w:val="left"/>
      <w:pPr>
        <w:ind w:left="720" w:hanging="360"/>
      </w:pPr>
      <w:rPr>
        <w:rFonts w:ascii="Calibri" w:eastAsiaTheme="minorHAns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34053B5"/>
    <w:multiLevelType w:val="hybridMultilevel"/>
    <w:tmpl w:val="C69E19C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33405C84"/>
    <w:multiLevelType w:val="hybridMultilevel"/>
    <w:tmpl w:val="DA9AC13C"/>
    <w:lvl w:ilvl="0" w:tplc="B95C88CE">
      <w:start w:val="1"/>
      <w:numFmt w:val="bullet"/>
      <w:lvlText w:val="•"/>
      <w:lvlJc w:val="left"/>
      <w:pPr>
        <w:tabs>
          <w:tab w:val="num" w:pos="360"/>
        </w:tabs>
        <w:ind w:left="360" w:hanging="360"/>
      </w:pPr>
      <w:rPr>
        <w:rFonts w:ascii="Arial" w:hAnsi="Arial" w:hint="default"/>
      </w:rPr>
    </w:lvl>
    <w:lvl w:ilvl="1" w:tplc="D7BA7654" w:tentative="1">
      <w:start w:val="1"/>
      <w:numFmt w:val="bullet"/>
      <w:lvlText w:val="•"/>
      <w:lvlJc w:val="left"/>
      <w:pPr>
        <w:tabs>
          <w:tab w:val="num" w:pos="1080"/>
        </w:tabs>
        <w:ind w:left="1080" w:hanging="360"/>
      </w:pPr>
      <w:rPr>
        <w:rFonts w:ascii="Arial" w:hAnsi="Arial" w:hint="default"/>
      </w:rPr>
    </w:lvl>
    <w:lvl w:ilvl="2" w:tplc="E47AC29E" w:tentative="1">
      <w:start w:val="1"/>
      <w:numFmt w:val="bullet"/>
      <w:lvlText w:val="•"/>
      <w:lvlJc w:val="left"/>
      <w:pPr>
        <w:tabs>
          <w:tab w:val="num" w:pos="1800"/>
        </w:tabs>
        <w:ind w:left="1800" w:hanging="360"/>
      </w:pPr>
      <w:rPr>
        <w:rFonts w:ascii="Arial" w:hAnsi="Arial" w:hint="default"/>
      </w:rPr>
    </w:lvl>
    <w:lvl w:ilvl="3" w:tplc="C66A488C" w:tentative="1">
      <w:start w:val="1"/>
      <w:numFmt w:val="bullet"/>
      <w:lvlText w:val="•"/>
      <w:lvlJc w:val="left"/>
      <w:pPr>
        <w:tabs>
          <w:tab w:val="num" w:pos="2520"/>
        </w:tabs>
        <w:ind w:left="2520" w:hanging="360"/>
      </w:pPr>
      <w:rPr>
        <w:rFonts w:ascii="Arial" w:hAnsi="Arial" w:hint="default"/>
      </w:rPr>
    </w:lvl>
    <w:lvl w:ilvl="4" w:tplc="B7F6EA8A" w:tentative="1">
      <w:start w:val="1"/>
      <w:numFmt w:val="bullet"/>
      <w:lvlText w:val="•"/>
      <w:lvlJc w:val="left"/>
      <w:pPr>
        <w:tabs>
          <w:tab w:val="num" w:pos="3240"/>
        </w:tabs>
        <w:ind w:left="3240" w:hanging="360"/>
      </w:pPr>
      <w:rPr>
        <w:rFonts w:ascii="Arial" w:hAnsi="Arial" w:hint="default"/>
      </w:rPr>
    </w:lvl>
    <w:lvl w:ilvl="5" w:tplc="67C68430" w:tentative="1">
      <w:start w:val="1"/>
      <w:numFmt w:val="bullet"/>
      <w:lvlText w:val="•"/>
      <w:lvlJc w:val="left"/>
      <w:pPr>
        <w:tabs>
          <w:tab w:val="num" w:pos="3960"/>
        </w:tabs>
        <w:ind w:left="3960" w:hanging="360"/>
      </w:pPr>
      <w:rPr>
        <w:rFonts w:ascii="Arial" w:hAnsi="Arial" w:hint="default"/>
      </w:rPr>
    </w:lvl>
    <w:lvl w:ilvl="6" w:tplc="8CF07A6A" w:tentative="1">
      <w:start w:val="1"/>
      <w:numFmt w:val="bullet"/>
      <w:lvlText w:val="•"/>
      <w:lvlJc w:val="left"/>
      <w:pPr>
        <w:tabs>
          <w:tab w:val="num" w:pos="4680"/>
        </w:tabs>
        <w:ind w:left="4680" w:hanging="360"/>
      </w:pPr>
      <w:rPr>
        <w:rFonts w:ascii="Arial" w:hAnsi="Arial" w:hint="default"/>
      </w:rPr>
    </w:lvl>
    <w:lvl w:ilvl="7" w:tplc="A232EA56" w:tentative="1">
      <w:start w:val="1"/>
      <w:numFmt w:val="bullet"/>
      <w:lvlText w:val="•"/>
      <w:lvlJc w:val="left"/>
      <w:pPr>
        <w:tabs>
          <w:tab w:val="num" w:pos="5400"/>
        </w:tabs>
        <w:ind w:left="5400" w:hanging="360"/>
      </w:pPr>
      <w:rPr>
        <w:rFonts w:ascii="Arial" w:hAnsi="Arial" w:hint="default"/>
      </w:rPr>
    </w:lvl>
    <w:lvl w:ilvl="8" w:tplc="64FCA224" w:tentative="1">
      <w:start w:val="1"/>
      <w:numFmt w:val="bullet"/>
      <w:lvlText w:val="•"/>
      <w:lvlJc w:val="left"/>
      <w:pPr>
        <w:tabs>
          <w:tab w:val="num" w:pos="6120"/>
        </w:tabs>
        <w:ind w:left="6120" w:hanging="360"/>
      </w:pPr>
      <w:rPr>
        <w:rFonts w:ascii="Arial" w:hAnsi="Arial" w:hint="default"/>
      </w:rPr>
    </w:lvl>
  </w:abstractNum>
  <w:abstractNum w:abstractNumId="50" w15:restartNumberingAfterBreak="0">
    <w:nsid w:val="33EF1CB9"/>
    <w:multiLevelType w:val="hybridMultilevel"/>
    <w:tmpl w:val="216462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1" w15:restartNumberingAfterBreak="0">
    <w:nsid w:val="341E1EB7"/>
    <w:multiLevelType w:val="hybridMultilevel"/>
    <w:tmpl w:val="2894198A"/>
    <w:lvl w:ilvl="0" w:tplc="33883248">
      <w:start w:val="1"/>
      <w:numFmt w:val="bullet"/>
      <w:lvlText w:val="•"/>
      <w:lvlJc w:val="left"/>
      <w:pPr>
        <w:tabs>
          <w:tab w:val="num" w:pos="360"/>
        </w:tabs>
        <w:ind w:left="360" w:hanging="360"/>
      </w:pPr>
      <w:rPr>
        <w:rFonts w:ascii="Arial" w:hAnsi="Arial" w:hint="default"/>
      </w:rPr>
    </w:lvl>
    <w:lvl w:ilvl="1" w:tplc="7A1C1622">
      <w:start w:val="47"/>
      <w:numFmt w:val="bullet"/>
      <w:lvlText w:val="•"/>
      <w:lvlJc w:val="left"/>
      <w:pPr>
        <w:tabs>
          <w:tab w:val="num" w:pos="1080"/>
        </w:tabs>
        <w:ind w:left="1080" w:hanging="360"/>
      </w:pPr>
      <w:rPr>
        <w:rFonts w:ascii="Arial" w:hAnsi="Arial" w:hint="default"/>
      </w:rPr>
    </w:lvl>
    <w:lvl w:ilvl="2" w:tplc="57D4CE0A" w:tentative="1">
      <w:start w:val="1"/>
      <w:numFmt w:val="bullet"/>
      <w:lvlText w:val="•"/>
      <w:lvlJc w:val="left"/>
      <w:pPr>
        <w:tabs>
          <w:tab w:val="num" w:pos="1800"/>
        </w:tabs>
        <w:ind w:left="1800" w:hanging="360"/>
      </w:pPr>
      <w:rPr>
        <w:rFonts w:ascii="Arial" w:hAnsi="Arial" w:hint="default"/>
      </w:rPr>
    </w:lvl>
    <w:lvl w:ilvl="3" w:tplc="DCB6DAA6" w:tentative="1">
      <w:start w:val="1"/>
      <w:numFmt w:val="bullet"/>
      <w:lvlText w:val="•"/>
      <w:lvlJc w:val="left"/>
      <w:pPr>
        <w:tabs>
          <w:tab w:val="num" w:pos="2520"/>
        </w:tabs>
        <w:ind w:left="2520" w:hanging="360"/>
      </w:pPr>
      <w:rPr>
        <w:rFonts w:ascii="Arial" w:hAnsi="Arial" w:hint="default"/>
      </w:rPr>
    </w:lvl>
    <w:lvl w:ilvl="4" w:tplc="C2EEC07E" w:tentative="1">
      <w:start w:val="1"/>
      <w:numFmt w:val="bullet"/>
      <w:lvlText w:val="•"/>
      <w:lvlJc w:val="left"/>
      <w:pPr>
        <w:tabs>
          <w:tab w:val="num" w:pos="3240"/>
        </w:tabs>
        <w:ind w:left="3240" w:hanging="360"/>
      </w:pPr>
      <w:rPr>
        <w:rFonts w:ascii="Arial" w:hAnsi="Arial" w:hint="default"/>
      </w:rPr>
    </w:lvl>
    <w:lvl w:ilvl="5" w:tplc="4DAE6124" w:tentative="1">
      <w:start w:val="1"/>
      <w:numFmt w:val="bullet"/>
      <w:lvlText w:val="•"/>
      <w:lvlJc w:val="left"/>
      <w:pPr>
        <w:tabs>
          <w:tab w:val="num" w:pos="3960"/>
        </w:tabs>
        <w:ind w:left="3960" w:hanging="360"/>
      </w:pPr>
      <w:rPr>
        <w:rFonts w:ascii="Arial" w:hAnsi="Arial" w:hint="default"/>
      </w:rPr>
    </w:lvl>
    <w:lvl w:ilvl="6" w:tplc="128E42EC" w:tentative="1">
      <w:start w:val="1"/>
      <w:numFmt w:val="bullet"/>
      <w:lvlText w:val="•"/>
      <w:lvlJc w:val="left"/>
      <w:pPr>
        <w:tabs>
          <w:tab w:val="num" w:pos="4680"/>
        </w:tabs>
        <w:ind w:left="4680" w:hanging="360"/>
      </w:pPr>
      <w:rPr>
        <w:rFonts w:ascii="Arial" w:hAnsi="Arial" w:hint="default"/>
      </w:rPr>
    </w:lvl>
    <w:lvl w:ilvl="7" w:tplc="B5981C10" w:tentative="1">
      <w:start w:val="1"/>
      <w:numFmt w:val="bullet"/>
      <w:lvlText w:val="•"/>
      <w:lvlJc w:val="left"/>
      <w:pPr>
        <w:tabs>
          <w:tab w:val="num" w:pos="5400"/>
        </w:tabs>
        <w:ind w:left="5400" w:hanging="360"/>
      </w:pPr>
      <w:rPr>
        <w:rFonts w:ascii="Arial" w:hAnsi="Arial" w:hint="default"/>
      </w:rPr>
    </w:lvl>
    <w:lvl w:ilvl="8" w:tplc="F140B790" w:tentative="1">
      <w:start w:val="1"/>
      <w:numFmt w:val="bullet"/>
      <w:lvlText w:val="•"/>
      <w:lvlJc w:val="left"/>
      <w:pPr>
        <w:tabs>
          <w:tab w:val="num" w:pos="6120"/>
        </w:tabs>
        <w:ind w:left="6120" w:hanging="360"/>
      </w:pPr>
      <w:rPr>
        <w:rFonts w:ascii="Arial" w:hAnsi="Arial" w:hint="default"/>
      </w:rPr>
    </w:lvl>
  </w:abstractNum>
  <w:abstractNum w:abstractNumId="52" w15:restartNumberingAfterBreak="0">
    <w:nsid w:val="35F94369"/>
    <w:multiLevelType w:val="hybridMultilevel"/>
    <w:tmpl w:val="BB36AD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36D71FCC"/>
    <w:multiLevelType w:val="hybridMultilevel"/>
    <w:tmpl w:val="1924F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384F5C26"/>
    <w:multiLevelType w:val="hybridMultilevel"/>
    <w:tmpl w:val="4D9858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5" w15:restartNumberingAfterBreak="0">
    <w:nsid w:val="38D6364F"/>
    <w:multiLevelType w:val="hybridMultilevel"/>
    <w:tmpl w:val="9364D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38F001CF"/>
    <w:multiLevelType w:val="hybridMultilevel"/>
    <w:tmpl w:val="64D81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396E6FA8"/>
    <w:multiLevelType w:val="hybridMultilevel"/>
    <w:tmpl w:val="BDB2D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3A2C6296"/>
    <w:multiLevelType w:val="hybridMultilevel"/>
    <w:tmpl w:val="B4DC10E4"/>
    <w:lvl w:ilvl="0" w:tplc="0809000B">
      <w:start w:val="1"/>
      <w:numFmt w:val="bullet"/>
      <w:lvlText w:val=""/>
      <w:lvlJc w:val="left"/>
      <w:pPr>
        <w:ind w:left="720" w:hanging="360"/>
      </w:pPr>
      <w:rPr>
        <w:rFonts w:ascii="Wingdings" w:hAnsi="Wingdings"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3A50553B"/>
    <w:multiLevelType w:val="hybridMultilevel"/>
    <w:tmpl w:val="05CEEB28"/>
    <w:lvl w:ilvl="0" w:tplc="247E4026">
      <w:start w:val="1"/>
      <w:numFmt w:val="bullet"/>
      <w:lvlText w:val=""/>
      <w:lvlJc w:val="left"/>
      <w:pPr>
        <w:ind w:left="580" w:hanging="360"/>
      </w:pPr>
      <w:rPr>
        <w:rFonts w:ascii="Symbol" w:eastAsia="Symbol" w:hAnsi="Symbol" w:hint="default"/>
        <w:sz w:val="24"/>
        <w:szCs w:val="24"/>
      </w:rPr>
    </w:lvl>
    <w:lvl w:ilvl="1" w:tplc="6876CFB2">
      <w:start w:val="1"/>
      <w:numFmt w:val="bullet"/>
      <w:lvlText w:val=""/>
      <w:lvlJc w:val="left"/>
      <w:pPr>
        <w:ind w:left="940" w:hanging="360"/>
      </w:pPr>
      <w:rPr>
        <w:rFonts w:ascii="Symbol" w:eastAsia="Symbol" w:hAnsi="Symbol" w:hint="default"/>
        <w:sz w:val="24"/>
        <w:szCs w:val="24"/>
      </w:rPr>
    </w:lvl>
    <w:lvl w:ilvl="2" w:tplc="A0685AB8">
      <w:start w:val="1"/>
      <w:numFmt w:val="bullet"/>
      <w:lvlText w:val="•"/>
      <w:lvlJc w:val="left"/>
      <w:pPr>
        <w:ind w:left="940" w:hanging="360"/>
      </w:pPr>
      <w:rPr>
        <w:rFonts w:hint="default"/>
      </w:rPr>
    </w:lvl>
    <w:lvl w:ilvl="3" w:tplc="D96CB0A0">
      <w:start w:val="1"/>
      <w:numFmt w:val="bullet"/>
      <w:lvlText w:val="•"/>
      <w:lvlJc w:val="left"/>
      <w:pPr>
        <w:ind w:left="1990" w:hanging="360"/>
      </w:pPr>
      <w:rPr>
        <w:rFonts w:hint="default"/>
      </w:rPr>
    </w:lvl>
    <w:lvl w:ilvl="4" w:tplc="629EE31A">
      <w:start w:val="1"/>
      <w:numFmt w:val="bullet"/>
      <w:lvlText w:val="•"/>
      <w:lvlJc w:val="left"/>
      <w:pPr>
        <w:ind w:left="3041" w:hanging="360"/>
      </w:pPr>
      <w:rPr>
        <w:rFonts w:hint="default"/>
      </w:rPr>
    </w:lvl>
    <w:lvl w:ilvl="5" w:tplc="1E18DD70">
      <w:start w:val="1"/>
      <w:numFmt w:val="bullet"/>
      <w:lvlText w:val="•"/>
      <w:lvlJc w:val="left"/>
      <w:pPr>
        <w:ind w:left="4092" w:hanging="360"/>
      </w:pPr>
      <w:rPr>
        <w:rFonts w:hint="default"/>
      </w:rPr>
    </w:lvl>
    <w:lvl w:ilvl="6" w:tplc="CBD08F60">
      <w:start w:val="1"/>
      <w:numFmt w:val="bullet"/>
      <w:lvlText w:val="•"/>
      <w:lvlJc w:val="left"/>
      <w:pPr>
        <w:ind w:left="5143" w:hanging="360"/>
      </w:pPr>
      <w:rPr>
        <w:rFonts w:hint="default"/>
      </w:rPr>
    </w:lvl>
    <w:lvl w:ilvl="7" w:tplc="F790DACA">
      <w:start w:val="1"/>
      <w:numFmt w:val="bullet"/>
      <w:lvlText w:val="•"/>
      <w:lvlJc w:val="left"/>
      <w:pPr>
        <w:ind w:left="6194" w:hanging="360"/>
      </w:pPr>
      <w:rPr>
        <w:rFonts w:hint="default"/>
      </w:rPr>
    </w:lvl>
    <w:lvl w:ilvl="8" w:tplc="2AF8E46E">
      <w:start w:val="1"/>
      <w:numFmt w:val="bullet"/>
      <w:lvlText w:val="•"/>
      <w:lvlJc w:val="left"/>
      <w:pPr>
        <w:ind w:left="7244" w:hanging="360"/>
      </w:pPr>
      <w:rPr>
        <w:rFonts w:hint="default"/>
      </w:rPr>
    </w:lvl>
  </w:abstractNum>
  <w:abstractNum w:abstractNumId="60" w15:restartNumberingAfterBreak="0">
    <w:nsid w:val="3D1E6992"/>
    <w:multiLevelType w:val="hybridMultilevel"/>
    <w:tmpl w:val="F33E44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1" w15:restartNumberingAfterBreak="0">
    <w:nsid w:val="3DA63CC9"/>
    <w:multiLevelType w:val="hybridMultilevel"/>
    <w:tmpl w:val="4F3C4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3DAC3296"/>
    <w:multiLevelType w:val="hybridMultilevel"/>
    <w:tmpl w:val="776270F2"/>
    <w:lvl w:ilvl="0" w:tplc="74488D4C">
      <w:start w:val="1"/>
      <w:numFmt w:val="bullet"/>
      <w:lvlText w:val=""/>
      <w:lvlJc w:val="left"/>
      <w:pPr>
        <w:ind w:left="810" w:hanging="360"/>
      </w:pPr>
      <w:rPr>
        <w:rFonts w:ascii="Symbol" w:hAnsi="Symbol" w:hint="default"/>
        <w:sz w:val="24"/>
        <w:szCs w:val="24"/>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3" w15:restartNumberingAfterBreak="0">
    <w:nsid w:val="3E7433DC"/>
    <w:multiLevelType w:val="hybridMultilevel"/>
    <w:tmpl w:val="33D4AC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4" w15:restartNumberingAfterBreak="0">
    <w:nsid w:val="43751B09"/>
    <w:multiLevelType w:val="hybridMultilevel"/>
    <w:tmpl w:val="445AA6F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44FD615A"/>
    <w:multiLevelType w:val="hybridMultilevel"/>
    <w:tmpl w:val="B8E01CCC"/>
    <w:lvl w:ilvl="0" w:tplc="D6D430A0">
      <w:start w:val="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45034BC0"/>
    <w:multiLevelType w:val="hybridMultilevel"/>
    <w:tmpl w:val="9DAEB296"/>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67" w15:restartNumberingAfterBreak="0">
    <w:nsid w:val="458C4506"/>
    <w:multiLevelType w:val="hybridMultilevel"/>
    <w:tmpl w:val="823478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45AB6934"/>
    <w:multiLevelType w:val="hybridMultilevel"/>
    <w:tmpl w:val="5C6E8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45AB7E0F"/>
    <w:multiLevelType w:val="hybridMultilevel"/>
    <w:tmpl w:val="C37AD1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0" w15:restartNumberingAfterBreak="0">
    <w:nsid w:val="45E06536"/>
    <w:multiLevelType w:val="hybridMultilevel"/>
    <w:tmpl w:val="4B6241DC"/>
    <w:lvl w:ilvl="0" w:tplc="62B64A94">
      <w:numFmt w:val="bullet"/>
      <w:lvlText w:val="-"/>
      <w:lvlJc w:val="left"/>
      <w:pPr>
        <w:ind w:left="323" w:hanging="360"/>
      </w:pPr>
      <w:rPr>
        <w:rFonts w:ascii="Calibri" w:eastAsiaTheme="minorHAnsi" w:hAnsi="Calibri" w:cs="Calibri" w:hint="default"/>
      </w:rPr>
    </w:lvl>
    <w:lvl w:ilvl="1" w:tplc="08090003" w:tentative="1">
      <w:start w:val="1"/>
      <w:numFmt w:val="bullet"/>
      <w:lvlText w:val="o"/>
      <w:lvlJc w:val="left"/>
      <w:pPr>
        <w:ind w:left="1043" w:hanging="360"/>
      </w:pPr>
      <w:rPr>
        <w:rFonts w:ascii="Courier New" w:hAnsi="Courier New" w:cs="Courier New" w:hint="default"/>
      </w:rPr>
    </w:lvl>
    <w:lvl w:ilvl="2" w:tplc="08090005" w:tentative="1">
      <w:start w:val="1"/>
      <w:numFmt w:val="bullet"/>
      <w:lvlText w:val=""/>
      <w:lvlJc w:val="left"/>
      <w:pPr>
        <w:ind w:left="1763" w:hanging="360"/>
      </w:pPr>
      <w:rPr>
        <w:rFonts w:ascii="Wingdings" w:hAnsi="Wingdings" w:hint="default"/>
      </w:rPr>
    </w:lvl>
    <w:lvl w:ilvl="3" w:tplc="08090001" w:tentative="1">
      <w:start w:val="1"/>
      <w:numFmt w:val="bullet"/>
      <w:lvlText w:val=""/>
      <w:lvlJc w:val="left"/>
      <w:pPr>
        <w:ind w:left="2483" w:hanging="360"/>
      </w:pPr>
      <w:rPr>
        <w:rFonts w:ascii="Symbol" w:hAnsi="Symbol" w:hint="default"/>
      </w:rPr>
    </w:lvl>
    <w:lvl w:ilvl="4" w:tplc="08090003" w:tentative="1">
      <w:start w:val="1"/>
      <w:numFmt w:val="bullet"/>
      <w:lvlText w:val="o"/>
      <w:lvlJc w:val="left"/>
      <w:pPr>
        <w:ind w:left="3203" w:hanging="360"/>
      </w:pPr>
      <w:rPr>
        <w:rFonts w:ascii="Courier New" w:hAnsi="Courier New" w:cs="Courier New" w:hint="default"/>
      </w:rPr>
    </w:lvl>
    <w:lvl w:ilvl="5" w:tplc="08090005" w:tentative="1">
      <w:start w:val="1"/>
      <w:numFmt w:val="bullet"/>
      <w:lvlText w:val=""/>
      <w:lvlJc w:val="left"/>
      <w:pPr>
        <w:ind w:left="3923" w:hanging="360"/>
      </w:pPr>
      <w:rPr>
        <w:rFonts w:ascii="Wingdings" w:hAnsi="Wingdings" w:hint="default"/>
      </w:rPr>
    </w:lvl>
    <w:lvl w:ilvl="6" w:tplc="08090001" w:tentative="1">
      <w:start w:val="1"/>
      <w:numFmt w:val="bullet"/>
      <w:lvlText w:val=""/>
      <w:lvlJc w:val="left"/>
      <w:pPr>
        <w:ind w:left="4643" w:hanging="360"/>
      </w:pPr>
      <w:rPr>
        <w:rFonts w:ascii="Symbol" w:hAnsi="Symbol" w:hint="default"/>
      </w:rPr>
    </w:lvl>
    <w:lvl w:ilvl="7" w:tplc="08090003" w:tentative="1">
      <w:start w:val="1"/>
      <w:numFmt w:val="bullet"/>
      <w:lvlText w:val="o"/>
      <w:lvlJc w:val="left"/>
      <w:pPr>
        <w:ind w:left="5363" w:hanging="360"/>
      </w:pPr>
      <w:rPr>
        <w:rFonts w:ascii="Courier New" w:hAnsi="Courier New" w:cs="Courier New" w:hint="default"/>
      </w:rPr>
    </w:lvl>
    <w:lvl w:ilvl="8" w:tplc="08090005" w:tentative="1">
      <w:start w:val="1"/>
      <w:numFmt w:val="bullet"/>
      <w:lvlText w:val=""/>
      <w:lvlJc w:val="left"/>
      <w:pPr>
        <w:ind w:left="6083" w:hanging="360"/>
      </w:pPr>
      <w:rPr>
        <w:rFonts w:ascii="Wingdings" w:hAnsi="Wingdings" w:hint="default"/>
      </w:rPr>
    </w:lvl>
  </w:abstractNum>
  <w:abstractNum w:abstractNumId="71" w15:restartNumberingAfterBreak="0">
    <w:nsid w:val="476E77D8"/>
    <w:multiLevelType w:val="hybridMultilevel"/>
    <w:tmpl w:val="DF56A1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4B1519C5"/>
    <w:multiLevelType w:val="hybridMultilevel"/>
    <w:tmpl w:val="91EA4D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 w15:restartNumberingAfterBreak="0">
    <w:nsid w:val="4CF818BF"/>
    <w:multiLevelType w:val="hybridMultilevel"/>
    <w:tmpl w:val="2EFCE97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74" w15:restartNumberingAfterBreak="0">
    <w:nsid w:val="4E0D7BF0"/>
    <w:multiLevelType w:val="hybridMultilevel"/>
    <w:tmpl w:val="01A09678"/>
    <w:lvl w:ilvl="0" w:tplc="08090001">
      <w:start w:val="1"/>
      <w:numFmt w:val="bullet"/>
      <w:lvlText w:val=""/>
      <w:lvlJc w:val="left"/>
      <w:pPr>
        <w:tabs>
          <w:tab w:val="num" w:pos="720"/>
        </w:tabs>
        <w:ind w:left="720" w:hanging="360"/>
      </w:pPr>
      <w:rPr>
        <w:rFonts w:ascii="Symbol" w:hAnsi="Symbol" w:hint="default"/>
      </w:rPr>
    </w:lvl>
    <w:lvl w:ilvl="1" w:tplc="2028EA40" w:tentative="1">
      <w:start w:val="1"/>
      <w:numFmt w:val="bullet"/>
      <w:lvlText w:val="•"/>
      <w:lvlJc w:val="left"/>
      <w:pPr>
        <w:tabs>
          <w:tab w:val="num" w:pos="1440"/>
        </w:tabs>
        <w:ind w:left="1440" w:hanging="360"/>
      </w:pPr>
      <w:rPr>
        <w:rFonts w:ascii="Arial" w:hAnsi="Arial" w:hint="default"/>
      </w:rPr>
    </w:lvl>
    <w:lvl w:ilvl="2" w:tplc="17C8BBF6" w:tentative="1">
      <w:start w:val="1"/>
      <w:numFmt w:val="bullet"/>
      <w:lvlText w:val="•"/>
      <w:lvlJc w:val="left"/>
      <w:pPr>
        <w:tabs>
          <w:tab w:val="num" w:pos="2160"/>
        </w:tabs>
        <w:ind w:left="2160" w:hanging="360"/>
      </w:pPr>
      <w:rPr>
        <w:rFonts w:ascii="Arial" w:hAnsi="Arial" w:hint="default"/>
      </w:rPr>
    </w:lvl>
    <w:lvl w:ilvl="3" w:tplc="4802E864" w:tentative="1">
      <w:start w:val="1"/>
      <w:numFmt w:val="bullet"/>
      <w:lvlText w:val="•"/>
      <w:lvlJc w:val="left"/>
      <w:pPr>
        <w:tabs>
          <w:tab w:val="num" w:pos="2880"/>
        </w:tabs>
        <w:ind w:left="2880" w:hanging="360"/>
      </w:pPr>
      <w:rPr>
        <w:rFonts w:ascii="Arial" w:hAnsi="Arial" w:hint="default"/>
      </w:rPr>
    </w:lvl>
    <w:lvl w:ilvl="4" w:tplc="021C4624" w:tentative="1">
      <w:start w:val="1"/>
      <w:numFmt w:val="bullet"/>
      <w:lvlText w:val="•"/>
      <w:lvlJc w:val="left"/>
      <w:pPr>
        <w:tabs>
          <w:tab w:val="num" w:pos="3600"/>
        </w:tabs>
        <w:ind w:left="3600" w:hanging="360"/>
      </w:pPr>
      <w:rPr>
        <w:rFonts w:ascii="Arial" w:hAnsi="Arial" w:hint="default"/>
      </w:rPr>
    </w:lvl>
    <w:lvl w:ilvl="5" w:tplc="481CC258" w:tentative="1">
      <w:start w:val="1"/>
      <w:numFmt w:val="bullet"/>
      <w:lvlText w:val="•"/>
      <w:lvlJc w:val="left"/>
      <w:pPr>
        <w:tabs>
          <w:tab w:val="num" w:pos="4320"/>
        </w:tabs>
        <w:ind w:left="4320" w:hanging="360"/>
      </w:pPr>
      <w:rPr>
        <w:rFonts w:ascii="Arial" w:hAnsi="Arial" w:hint="default"/>
      </w:rPr>
    </w:lvl>
    <w:lvl w:ilvl="6" w:tplc="1AB05120" w:tentative="1">
      <w:start w:val="1"/>
      <w:numFmt w:val="bullet"/>
      <w:lvlText w:val="•"/>
      <w:lvlJc w:val="left"/>
      <w:pPr>
        <w:tabs>
          <w:tab w:val="num" w:pos="5040"/>
        </w:tabs>
        <w:ind w:left="5040" w:hanging="360"/>
      </w:pPr>
      <w:rPr>
        <w:rFonts w:ascii="Arial" w:hAnsi="Arial" w:hint="default"/>
      </w:rPr>
    </w:lvl>
    <w:lvl w:ilvl="7" w:tplc="A9466410" w:tentative="1">
      <w:start w:val="1"/>
      <w:numFmt w:val="bullet"/>
      <w:lvlText w:val="•"/>
      <w:lvlJc w:val="left"/>
      <w:pPr>
        <w:tabs>
          <w:tab w:val="num" w:pos="5760"/>
        </w:tabs>
        <w:ind w:left="5760" w:hanging="360"/>
      </w:pPr>
      <w:rPr>
        <w:rFonts w:ascii="Arial" w:hAnsi="Arial" w:hint="default"/>
      </w:rPr>
    </w:lvl>
    <w:lvl w:ilvl="8" w:tplc="2DA8DCD2" w:tentative="1">
      <w:start w:val="1"/>
      <w:numFmt w:val="bullet"/>
      <w:lvlText w:val="•"/>
      <w:lvlJc w:val="left"/>
      <w:pPr>
        <w:tabs>
          <w:tab w:val="num" w:pos="6480"/>
        </w:tabs>
        <w:ind w:left="6480" w:hanging="360"/>
      </w:pPr>
      <w:rPr>
        <w:rFonts w:ascii="Arial" w:hAnsi="Arial" w:hint="default"/>
      </w:rPr>
    </w:lvl>
  </w:abstractNum>
  <w:abstractNum w:abstractNumId="75" w15:restartNumberingAfterBreak="0">
    <w:nsid w:val="4EA14996"/>
    <w:multiLevelType w:val="hybridMultilevel"/>
    <w:tmpl w:val="669275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6" w15:restartNumberingAfterBreak="0">
    <w:nsid w:val="4F7D325F"/>
    <w:multiLevelType w:val="hybridMultilevel"/>
    <w:tmpl w:val="349839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7" w15:restartNumberingAfterBreak="0">
    <w:nsid w:val="50AD4930"/>
    <w:multiLevelType w:val="hybridMultilevel"/>
    <w:tmpl w:val="EF66B4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78" w15:restartNumberingAfterBreak="0">
    <w:nsid w:val="515A4060"/>
    <w:multiLevelType w:val="hybridMultilevel"/>
    <w:tmpl w:val="EEB2B5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52BF33B7"/>
    <w:multiLevelType w:val="hybridMultilevel"/>
    <w:tmpl w:val="3D0C855E"/>
    <w:lvl w:ilvl="0" w:tplc="C1E27692">
      <w:start w:val="1"/>
      <w:numFmt w:val="bullet"/>
      <w:lvlText w:val="•"/>
      <w:lvlJc w:val="left"/>
      <w:pPr>
        <w:tabs>
          <w:tab w:val="num" w:pos="720"/>
        </w:tabs>
        <w:ind w:left="720" w:hanging="360"/>
      </w:pPr>
      <w:rPr>
        <w:rFonts w:ascii="Arial" w:hAnsi="Aria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4BC2D660" w:tentative="1">
      <w:start w:val="1"/>
      <w:numFmt w:val="bullet"/>
      <w:lvlText w:val="•"/>
      <w:lvlJc w:val="left"/>
      <w:pPr>
        <w:tabs>
          <w:tab w:val="num" w:pos="2160"/>
        </w:tabs>
        <w:ind w:left="2160" w:hanging="360"/>
      </w:pPr>
      <w:rPr>
        <w:rFonts w:ascii="Arial" w:hAnsi="Arial" w:hint="default"/>
      </w:rPr>
    </w:lvl>
    <w:lvl w:ilvl="3" w:tplc="C4D21F9C" w:tentative="1">
      <w:start w:val="1"/>
      <w:numFmt w:val="bullet"/>
      <w:lvlText w:val="•"/>
      <w:lvlJc w:val="left"/>
      <w:pPr>
        <w:tabs>
          <w:tab w:val="num" w:pos="2880"/>
        </w:tabs>
        <w:ind w:left="2880" w:hanging="360"/>
      </w:pPr>
      <w:rPr>
        <w:rFonts w:ascii="Arial" w:hAnsi="Arial" w:hint="default"/>
      </w:rPr>
    </w:lvl>
    <w:lvl w:ilvl="4" w:tplc="0DE0BD30" w:tentative="1">
      <w:start w:val="1"/>
      <w:numFmt w:val="bullet"/>
      <w:lvlText w:val="•"/>
      <w:lvlJc w:val="left"/>
      <w:pPr>
        <w:tabs>
          <w:tab w:val="num" w:pos="3600"/>
        </w:tabs>
        <w:ind w:left="3600" w:hanging="360"/>
      </w:pPr>
      <w:rPr>
        <w:rFonts w:ascii="Arial" w:hAnsi="Arial" w:hint="default"/>
      </w:rPr>
    </w:lvl>
    <w:lvl w:ilvl="5" w:tplc="807CB564" w:tentative="1">
      <w:start w:val="1"/>
      <w:numFmt w:val="bullet"/>
      <w:lvlText w:val="•"/>
      <w:lvlJc w:val="left"/>
      <w:pPr>
        <w:tabs>
          <w:tab w:val="num" w:pos="4320"/>
        </w:tabs>
        <w:ind w:left="4320" w:hanging="360"/>
      </w:pPr>
      <w:rPr>
        <w:rFonts w:ascii="Arial" w:hAnsi="Arial" w:hint="default"/>
      </w:rPr>
    </w:lvl>
    <w:lvl w:ilvl="6" w:tplc="44D299BE" w:tentative="1">
      <w:start w:val="1"/>
      <w:numFmt w:val="bullet"/>
      <w:lvlText w:val="•"/>
      <w:lvlJc w:val="left"/>
      <w:pPr>
        <w:tabs>
          <w:tab w:val="num" w:pos="5040"/>
        </w:tabs>
        <w:ind w:left="5040" w:hanging="360"/>
      </w:pPr>
      <w:rPr>
        <w:rFonts w:ascii="Arial" w:hAnsi="Arial" w:hint="default"/>
      </w:rPr>
    </w:lvl>
    <w:lvl w:ilvl="7" w:tplc="A9A6D3CA" w:tentative="1">
      <w:start w:val="1"/>
      <w:numFmt w:val="bullet"/>
      <w:lvlText w:val="•"/>
      <w:lvlJc w:val="left"/>
      <w:pPr>
        <w:tabs>
          <w:tab w:val="num" w:pos="5760"/>
        </w:tabs>
        <w:ind w:left="5760" w:hanging="360"/>
      </w:pPr>
      <w:rPr>
        <w:rFonts w:ascii="Arial" w:hAnsi="Arial" w:hint="default"/>
      </w:rPr>
    </w:lvl>
    <w:lvl w:ilvl="8" w:tplc="90FCA518" w:tentative="1">
      <w:start w:val="1"/>
      <w:numFmt w:val="bullet"/>
      <w:lvlText w:val="•"/>
      <w:lvlJc w:val="left"/>
      <w:pPr>
        <w:tabs>
          <w:tab w:val="num" w:pos="6480"/>
        </w:tabs>
        <w:ind w:left="6480" w:hanging="360"/>
      </w:pPr>
      <w:rPr>
        <w:rFonts w:ascii="Arial" w:hAnsi="Arial" w:hint="default"/>
      </w:rPr>
    </w:lvl>
  </w:abstractNum>
  <w:abstractNum w:abstractNumId="80" w15:restartNumberingAfterBreak="0">
    <w:nsid w:val="541146F6"/>
    <w:multiLevelType w:val="hybridMultilevel"/>
    <w:tmpl w:val="FB50E8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55C24DE1"/>
    <w:multiLevelType w:val="hybridMultilevel"/>
    <w:tmpl w:val="D0C0E2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2" w15:restartNumberingAfterBreak="0">
    <w:nsid w:val="56485868"/>
    <w:multiLevelType w:val="hybridMultilevel"/>
    <w:tmpl w:val="A8D2256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3" w15:restartNumberingAfterBreak="0">
    <w:nsid w:val="56524476"/>
    <w:multiLevelType w:val="hybridMultilevel"/>
    <w:tmpl w:val="5E623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571579F2"/>
    <w:multiLevelType w:val="hybridMultilevel"/>
    <w:tmpl w:val="1C52F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59D338B8"/>
    <w:multiLevelType w:val="hybridMultilevel"/>
    <w:tmpl w:val="291A50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59E57997"/>
    <w:multiLevelType w:val="hybridMultilevel"/>
    <w:tmpl w:val="B19C2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59F315F9"/>
    <w:multiLevelType w:val="hybridMultilevel"/>
    <w:tmpl w:val="61DCA4B0"/>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88" w15:restartNumberingAfterBreak="0">
    <w:nsid w:val="5B8378F6"/>
    <w:multiLevelType w:val="hybridMultilevel"/>
    <w:tmpl w:val="A3E044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9" w15:restartNumberingAfterBreak="0">
    <w:nsid w:val="5C70733F"/>
    <w:multiLevelType w:val="hybridMultilevel"/>
    <w:tmpl w:val="F258A4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5D752616"/>
    <w:multiLevelType w:val="hybridMultilevel"/>
    <w:tmpl w:val="93A47B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5DB12667"/>
    <w:multiLevelType w:val="hybridMultilevel"/>
    <w:tmpl w:val="09E4AF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2" w15:restartNumberingAfterBreak="0">
    <w:nsid w:val="5F1D30F4"/>
    <w:multiLevelType w:val="hybridMultilevel"/>
    <w:tmpl w:val="55B42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5F57482C"/>
    <w:multiLevelType w:val="hybridMultilevel"/>
    <w:tmpl w:val="F4A28C00"/>
    <w:lvl w:ilvl="0" w:tplc="62B64A94">
      <w:numFmt w:val="bullet"/>
      <w:lvlText w:val="-"/>
      <w:lvlJc w:val="left"/>
      <w:pPr>
        <w:ind w:left="323" w:hanging="360"/>
      </w:pPr>
      <w:rPr>
        <w:rFonts w:ascii="Calibri" w:eastAsiaTheme="minorHAnsi" w:hAnsi="Calibri" w:cs="Calibri" w:hint="default"/>
      </w:rPr>
    </w:lvl>
    <w:lvl w:ilvl="1" w:tplc="08090003" w:tentative="1">
      <w:start w:val="1"/>
      <w:numFmt w:val="bullet"/>
      <w:lvlText w:val="o"/>
      <w:lvlJc w:val="left"/>
      <w:pPr>
        <w:ind w:left="1043" w:hanging="360"/>
      </w:pPr>
      <w:rPr>
        <w:rFonts w:ascii="Courier New" w:hAnsi="Courier New" w:cs="Courier New" w:hint="default"/>
      </w:rPr>
    </w:lvl>
    <w:lvl w:ilvl="2" w:tplc="08090005" w:tentative="1">
      <w:start w:val="1"/>
      <w:numFmt w:val="bullet"/>
      <w:lvlText w:val=""/>
      <w:lvlJc w:val="left"/>
      <w:pPr>
        <w:ind w:left="1763" w:hanging="360"/>
      </w:pPr>
      <w:rPr>
        <w:rFonts w:ascii="Wingdings" w:hAnsi="Wingdings" w:hint="default"/>
      </w:rPr>
    </w:lvl>
    <w:lvl w:ilvl="3" w:tplc="08090001" w:tentative="1">
      <w:start w:val="1"/>
      <w:numFmt w:val="bullet"/>
      <w:lvlText w:val=""/>
      <w:lvlJc w:val="left"/>
      <w:pPr>
        <w:ind w:left="2483" w:hanging="360"/>
      </w:pPr>
      <w:rPr>
        <w:rFonts w:ascii="Symbol" w:hAnsi="Symbol" w:hint="default"/>
      </w:rPr>
    </w:lvl>
    <w:lvl w:ilvl="4" w:tplc="08090003" w:tentative="1">
      <w:start w:val="1"/>
      <w:numFmt w:val="bullet"/>
      <w:lvlText w:val="o"/>
      <w:lvlJc w:val="left"/>
      <w:pPr>
        <w:ind w:left="3203" w:hanging="360"/>
      </w:pPr>
      <w:rPr>
        <w:rFonts w:ascii="Courier New" w:hAnsi="Courier New" w:cs="Courier New" w:hint="default"/>
      </w:rPr>
    </w:lvl>
    <w:lvl w:ilvl="5" w:tplc="08090005" w:tentative="1">
      <w:start w:val="1"/>
      <w:numFmt w:val="bullet"/>
      <w:lvlText w:val=""/>
      <w:lvlJc w:val="left"/>
      <w:pPr>
        <w:ind w:left="3923" w:hanging="360"/>
      </w:pPr>
      <w:rPr>
        <w:rFonts w:ascii="Wingdings" w:hAnsi="Wingdings" w:hint="default"/>
      </w:rPr>
    </w:lvl>
    <w:lvl w:ilvl="6" w:tplc="08090001" w:tentative="1">
      <w:start w:val="1"/>
      <w:numFmt w:val="bullet"/>
      <w:lvlText w:val=""/>
      <w:lvlJc w:val="left"/>
      <w:pPr>
        <w:ind w:left="4643" w:hanging="360"/>
      </w:pPr>
      <w:rPr>
        <w:rFonts w:ascii="Symbol" w:hAnsi="Symbol" w:hint="default"/>
      </w:rPr>
    </w:lvl>
    <w:lvl w:ilvl="7" w:tplc="08090003" w:tentative="1">
      <w:start w:val="1"/>
      <w:numFmt w:val="bullet"/>
      <w:lvlText w:val="o"/>
      <w:lvlJc w:val="left"/>
      <w:pPr>
        <w:ind w:left="5363" w:hanging="360"/>
      </w:pPr>
      <w:rPr>
        <w:rFonts w:ascii="Courier New" w:hAnsi="Courier New" w:cs="Courier New" w:hint="default"/>
      </w:rPr>
    </w:lvl>
    <w:lvl w:ilvl="8" w:tplc="08090005" w:tentative="1">
      <w:start w:val="1"/>
      <w:numFmt w:val="bullet"/>
      <w:lvlText w:val=""/>
      <w:lvlJc w:val="left"/>
      <w:pPr>
        <w:ind w:left="6083" w:hanging="360"/>
      </w:pPr>
      <w:rPr>
        <w:rFonts w:ascii="Wingdings" w:hAnsi="Wingdings" w:hint="default"/>
      </w:rPr>
    </w:lvl>
  </w:abstractNum>
  <w:abstractNum w:abstractNumId="94" w15:restartNumberingAfterBreak="0">
    <w:nsid w:val="60514F12"/>
    <w:multiLevelType w:val="hybridMultilevel"/>
    <w:tmpl w:val="04884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6164767F"/>
    <w:multiLevelType w:val="hybridMultilevel"/>
    <w:tmpl w:val="71787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6" w15:restartNumberingAfterBreak="0">
    <w:nsid w:val="6283001B"/>
    <w:multiLevelType w:val="hybridMultilevel"/>
    <w:tmpl w:val="6D665834"/>
    <w:lvl w:ilvl="0" w:tplc="62B64A94">
      <w:numFmt w:val="bullet"/>
      <w:lvlText w:val="-"/>
      <w:lvlJc w:val="left"/>
      <w:pPr>
        <w:ind w:left="323" w:hanging="360"/>
      </w:pPr>
      <w:rPr>
        <w:rFonts w:ascii="Calibri" w:eastAsiaTheme="minorHAnsi" w:hAnsi="Calibri" w:cs="Calibri" w:hint="default"/>
      </w:rPr>
    </w:lvl>
    <w:lvl w:ilvl="1" w:tplc="08090003" w:tentative="1">
      <w:start w:val="1"/>
      <w:numFmt w:val="bullet"/>
      <w:lvlText w:val="o"/>
      <w:lvlJc w:val="left"/>
      <w:pPr>
        <w:ind w:left="1043" w:hanging="360"/>
      </w:pPr>
      <w:rPr>
        <w:rFonts w:ascii="Courier New" w:hAnsi="Courier New" w:cs="Courier New" w:hint="default"/>
      </w:rPr>
    </w:lvl>
    <w:lvl w:ilvl="2" w:tplc="08090005" w:tentative="1">
      <w:start w:val="1"/>
      <w:numFmt w:val="bullet"/>
      <w:lvlText w:val=""/>
      <w:lvlJc w:val="left"/>
      <w:pPr>
        <w:ind w:left="1763" w:hanging="360"/>
      </w:pPr>
      <w:rPr>
        <w:rFonts w:ascii="Wingdings" w:hAnsi="Wingdings" w:hint="default"/>
      </w:rPr>
    </w:lvl>
    <w:lvl w:ilvl="3" w:tplc="08090001" w:tentative="1">
      <w:start w:val="1"/>
      <w:numFmt w:val="bullet"/>
      <w:lvlText w:val=""/>
      <w:lvlJc w:val="left"/>
      <w:pPr>
        <w:ind w:left="2483" w:hanging="360"/>
      </w:pPr>
      <w:rPr>
        <w:rFonts w:ascii="Symbol" w:hAnsi="Symbol" w:hint="default"/>
      </w:rPr>
    </w:lvl>
    <w:lvl w:ilvl="4" w:tplc="08090003" w:tentative="1">
      <w:start w:val="1"/>
      <w:numFmt w:val="bullet"/>
      <w:lvlText w:val="o"/>
      <w:lvlJc w:val="left"/>
      <w:pPr>
        <w:ind w:left="3203" w:hanging="360"/>
      </w:pPr>
      <w:rPr>
        <w:rFonts w:ascii="Courier New" w:hAnsi="Courier New" w:cs="Courier New" w:hint="default"/>
      </w:rPr>
    </w:lvl>
    <w:lvl w:ilvl="5" w:tplc="08090005" w:tentative="1">
      <w:start w:val="1"/>
      <w:numFmt w:val="bullet"/>
      <w:lvlText w:val=""/>
      <w:lvlJc w:val="left"/>
      <w:pPr>
        <w:ind w:left="3923" w:hanging="360"/>
      </w:pPr>
      <w:rPr>
        <w:rFonts w:ascii="Wingdings" w:hAnsi="Wingdings" w:hint="default"/>
      </w:rPr>
    </w:lvl>
    <w:lvl w:ilvl="6" w:tplc="08090001" w:tentative="1">
      <w:start w:val="1"/>
      <w:numFmt w:val="bullet"/>
      <w:lvlText w:val=""/>
      <w:lvlJc w:val="left"/>
      <w:pPr>
        <w:ind w:left="4643" w:hanging="360"/>
      </w:pPr>
      <w:rPr>
        <w:rFonts w:ascii="Symbol" w:hAnsi="Symbol" w:hint="default"/>
      </w:rPr>
    </w:lvl>
    <w:lvl w:ilvl="7" w:tplc="08090003" w:tentative="1">
      <w:start w:val="1"/>
      <w:numFmt w:val="bullet"/>
      <w:lvlText w:val="o"/>
      <w:lvlJc w:val="left"/>
      <w:pPr>
        <w:ind w:left="5363" w:hanging="360"/>
      </w:pPr>
      <w:rPr>
        <w:rFonts w:ascii="Courier New" w:hAnsi="Courier New" w:cs="Courier New" w:hint="default"/>
      </w:rPr>
    </w:lvl>
    <w:lvl w:ilvl="8" w:tplc="08090005" w:tentative="1">
      <w:start w:val="1"/>
      <w:numFmt w:val="bullet"/>
      <w:lvlText w:val=""/>
      <w:lvlJc w:val="left"/>
      <w:pPr>
        <w:ind w:left="6083" w:hanging="360"/>
      </w:pPr>
      <w:rPr>
        <w:rFonts w:ascii="Wingdings" w:hAnsi="Wingdings" w:hint="default"/>
      </w:rPr>
    </w:lvl>
  </w:abstractNum>
  <w:abstractNum w:abstractNumId="97" w15:restartNumberingAfterBreak="0">
    <w:nsid w:val="639C1C75"/>
    <w:multiLevelType w:val="hybridMultilevel"/>
    <w:tmpl w:val="B6B61A8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8" w15:restartNumberingAfterBreak="0">
    <w:nsid w:val="641D7858"/>
    <w:multiLevelType w:val="hybridMultilevel"/>
    <w:tmpl w:val="3A0C6188"/>
    <w:lvl w:ilvl="0" w:tplc="62B64A94">
      <w:numFmt w:val="bullet"/>
      <w:lvlText w:val="-"/>
      <w:lvlJc w:val="left"/>
      <w:pPr>
        <w:ind w:left="323" w:hanging="360"/>
      </w:pPr>
      <w:rPr>
        <w:rFonts w:ascii="Calibri" w:eastAsiaTheme="minorHAnsi" w:hAnsi="Calibri" w:cs="Calibri" w:hint="default"/>
      </w:rPr>
    </w:lvl>
    <w:lvl w:ilvl="1" w:tplc="08090003" w:tentative="1">
      <w:start w:val="1"/>
      <w:numFmt w:val="bullet"/>
      <w:lvlText w:val="o"/>
      <w:lvlJc w:val="left"/>
      <w:pPr>
        <w:ind w:left="1043" w:hanging="360"/>
      </w:pPr>
      <w:rPr>
        <w:rFonts w:ascii="Courier New" w:hAnsi="Courier New" w:cs="Courier New" w:hint="default"/>
      </w:rPr>
    </w:lvl>
    <w:lvl w:ilvl="2" w:tplc="08090005" w:tentative="1">
      <w:start w:val="1"/>
      <w:numFmt w:val="bullet"/>
      <w:lvlText w:val=""/>
      <w:lvlJc w:val="left"/>
      <w:pPr>
        <w:ind w:left="1763" w:hanging="360"/>
      </w:pPr>
      <w:rPr>
        <w:rFonts w:ascii="Wingdings" w:hAnsi="Wingdings" w:hint="default"/>
      </w:rPr>
    </w:lvl>
    <w:lvl w:ilvl="3" w:tplc="08090001" w:tentative="1">
      <w:start w:val="1"/>
      <w:numFmt w:val="bullet"/>
      <w:lvlText w:val=""/>
      <w:lvlJc w:val="left"/>
      <w:pPr>
        <w:ind w:left="2483" w:hanging="360"/>
      </w:pPr>
      <w:rPr>
        <w:rFonts w:ascii="Symbol" w:hAnsi="Symbol" w:hint="default"/>
      </w:rPr>
    </w:lvl>
    <w:lvl w:ilvl="4" w:tplc="08090003" w:tentative="1">
      <w:start w:val="1"/>
      <w:numFmt w:val="bullet"/>
      <w:lvlText w:val="o"/>
      <w:lvlJc w:val="left"/>
      <w:pPr>
        <w:ind w:left="3203" w:hanging="360"/>
      </w:pPr>
      <w:rPr>
        <w:rFonts w:ascii="Courier New" w:hAnsi="Courier New" w:cs="Courier New" w:hint="default"/>
      </w:rPr>
    </w:lvl>
    <w:lvl w:ilvl="5" w:tplc="08090005" w:tentative="1">
      <w:start w:val="1"/>
      <w:numFmt w:val="bullet"/>
      <w:lvlText w:val=""/>
      <w:lvlJc w:val="left"/>
      <w:pPr>
        <w:ind w:left="3923" w:hanging="360"/>
      </w:pPr>
      <w:rPr>
        <w:rFonts w:ascii="Wingdings" w:hAnsi="Wingdings" w:hint="default"/>
      </w:rPr>
    </w:lvl>
    <w:lvl w:ilvl="6" w:tplc="08090001" w:tentative="1">
      <w:start w:val="1"/>
      <w:numFmt w:val="bullet"/>
      <w:lvlText w:val=""/>
      <w:lvlJc w:val="left"/>
      <w:pPr>
        <w:ind w:left="4643" w:hanging="360"/>
      </w:pPr>
      <w:rPr>
        <w:rFonts w:ascii="Symbol" w:hAnsi="Symbol" w:hint="default"/>
      </w:rPr>
    </w:lvl>
    <w:lvl w:ilvl="7" w:tplc="08090003" w:tentative="1">
      <w:start w:val="1"/>
      <w:numFmt w:val="bullet"/>
      <w:lvlText w:val="o"/>
      <w:lvlJc w:val="left"/>
      <w:pPr>
        <w:ind w:left="5363" w:hanging="360"/>
      </w:pPr>
      <w:rPr>
        <w:rFonts w:ascii="Courier New" w:hAnsi="Courier New" w:cs="Courier New" w:hint="default"/>
      </w:rPr>
    </w:lvl>
    <w:lvl w:ilvl="8" w:tplc="08090005" w:tentative="1">
      <w:start w:val="1"/>
      <w:numFmt w:val="bullet"/>
      <w:lvlText w:val=""/>
      <w:lvlJc w:val="left"/>
      <w:pPr>
        <w:ind w:left="6083" w:hanging="360"/>
      </w:pPr>
      <w:rPr>
        <w:rFonts w:ascii="Wingdings" w:hAnsi="Wingdings" w:hint="default"/>
      </w:rPr>
    </w:lvl>
  </w:abstractNum>
  <w:abstractNum w:abstractNumId="99" w15:restartNumberingAfterBreak="0">
    <w:nsid w:val="65745322"/>
    <w:multiLevelType w:val="hybridMultilevel"/>
    <w:tmpl w:val="4C9201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65860CE4"/>
    <w:multiLevelType w:val="hybridMultilevel"/>
    <w:tmpl w:val="8996B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65A37CE3"/>
    <w:multiLevelType w:val="hybridMultilevel"/>
    <w:tmpl w:val="BCE4E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667B5429"/>
    <w:multiLevelType w:val="hybridMultilevel"/>
    <w:tmpl w:val="D9EA79C8"/>
    <w:lvl w:ilvl="0" w:tplc="DE667E38">
      <w:start w:val="1"/>
      <w:numFmt w:val="bullet"/>
      <w:pStyle w:val="NormalBullet"/>
      <w:lvlText w:val=""/>
      <w:lvlJc w:val="left"/>
      <w:pPr>
        <w:ind w:left="1069"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7740C86"/>
    <w:multiLevelType w:val="hybridMultilevel"/>
    <w:tmpl w:val="4DCAA9B4"/>
    <w:lvl w:ilvl="0" w:tplc="0408065C">
      <w:start w:val="6"/>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6B683FE6"/>
    <w:multiLevelType w:val="hybridMultilevel"/>
    <w:tmpl w:val="56509DC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5" w15:restartNumberingAfterBreak="0">
    <w:nsid w:val="6DB451D8"/>
    <w:multiLevelType w:val="hybridMultilevel"/>
    <w:tmpl w:val="0BF05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6E590D06"/>
    <w:multiLevelType w:val="hybridMultilevel"/>
    <w:tmpl w:val="98C2D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6F322A31"/>
    <w:multiLevelType w:val="hybridMultilevel"/>
    <w:tmpl w:val="A520668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6FD209AF"/>
    <w:multiLevelType w:val="multilevel"/>
    <w:tmpl w:val="805A8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9" w15:restartNumberingAfterBreak="0">
    <w:nsid w:val="701829E0"/>
    <w:multiLevelType w:val="hybridMultilevel"/>
    <w:tmpl w:val="5F3C124E"/>
    <w:lvl w:ilvl="0" w:tplc="B0C8769C">
      <w:start w:val="1"/>
      <w:numFmt w:val="bullet"/>
      <w:lvlText w:val="•"/>
      <w:lvlJc w:val="left"/>
      <w:pPr>
        <w:tabs>
          <w:tab w:val="num" w:pos="360"/>
        </w:tabs>
        <w:ind w:left="360" w:hanging="360"/>
      </w:pPr>
      <w:rPr>
        <w:rFonts w:ascii="Arial" w:hAnsi="Arial" w:hint="default"/>
      </w:rPr>
    </w:lvl>
    <w:lvl w:ilvl="1" w:tplc="A1F80F5A" w:tentative="1">
      <w:start w:val="1"/>
      <w:numFmt w:val="bullet"/>
      <w:lvlText w:val="•"/>
      <w:lvlJc w:val="left"/>
      <w:pPr>
        <w:tabs>
          <w:tab w:val="num" w:pos="1080"/>
        </w:tabs>
        <w:ind w:left="1080" w:hanging="360"/>
      </w:pPr>
      <w:rPr>
        <w:rFonts w:ascii="Arial" w:hAnsi="Arial" w:hint="default"/>
      </w:rPr>
    </w:lvl>
    <w:lvl w:ilvl="2" w:tplc="53F2057E" w:tentative="1">
      <w:start w:val="1"/>
      <w:numFmt w:val="bullet"/>
      <w:lvlText w:val="•"/>
      <w:lvlJc w:val="left"/>
      <w:pPr>
        <w:tabs>
          <w:tab w:val="num" w:pos="1800"/>
        </w:tabs>
        <w:ind w:left="1800" w:hanging="360"/>
      </w:pPr>
      <w:rPr>
        <w:rFonts w:ascii="Arial" w:hAnsi="Arial" w:hint="default"/>
      </w:rPr>
    </w:lvl>
    <w:lvl w:ilvl="3" w:tplc="1A9AFCBE" w:tentative="1">
      <w:start w:val="1"/>
      <w:numFmt w:val="bullet"/>
      <w:lvlText w:val="•"/>
      <w:lvlJc w:val="left"/>
      <w:pPr>
        <w:tabs>
          <w:tab w:val="num" w:pos="2520"/>
        </w:tabs>
        <w:ind w:left="2520" w:hanging="360"/>
      </w:pPr>
      <w:rPr>
        <w:rFonts w:ascii="Arial" w:hAnsi="Arial" w:hint="default"/>
      </w:rPr>
    </w:lvl>
    <w:lvl w:ilvl="4" w:tplc="BD54BD12" w:tentative="1">
      <w:start w:val="1"/>
      <w:numFmt w:val="bullet"/>
      <w:lvlText w:val="•"/>
      <w:lvlJc w:val="left"/>
      <w:pPr>
        <w:tabs>
          <w:tab w:val="num" w:pos="3240"/>
        </w:tabs>
        <w:ind w:left="3240" w:hanging="360"/>
      </w:pPr>
      <w:rPr>
        <w:rFonts w:ascii="Arial" w:hAnsi="Arial" w:hint="default"/>
      </w:rPr>
    </w:lvl>
    <w:lvl w:ilvl="5" w:tplc="E4C4B910" w:tentative="1">
      <w:start w:val="1"/>
      <w:numFmt w:val="bullet"/>
      <w:lvlText w:val="•"/>
      <w:lvlJc w:val="left"/>
      <w:pPr>
        <w:tabs>
          <w:tab w:val="num" w:pos="3960"/>
        </w:tabs>
        <w:ind w:left="3960" w:hanging="360"/>
      </w:pPr>
      <w:rPr>
        <w:rFonts w:ascii="Arial" w:hAnsi="Arial" w:hint="default"/>
      </w:rPr>
    </w:lvl>
    <w:lvl w:ilvl="6" w:tplc="259089DE" w:tentative="1">
      <w:start w:val="1"/>
      <w:numFmt w:val="bullet"/>
      <w:lvlText w:val="•"/>
      <w:lvlJc w:val="left"/>
      <w:pPr>
        <w:tabs>
          <w:tab w:val="num" w:pos="4680"/>
        </w:tabs>
        <w:ind w:left="4680" w:hanging="360"/>
      </w:pPr>
      <w:rPr>
        <w:rFonts w:ascii="Arial" w:hAnsi="Arial" w:hint="default"/>
      </w:rPr>
    </w:lvl>
    <w:lvl w:ilvl="7" w:tplc="9AF07E88" w:tentative="1">
      <w:start w:val="1"/>
      <w:numFmt w:val="bullet"/>
      <w:lvlText w:val="•"/>
      <w:lvlJc w:val="left"/>
      <w:pPr>
        <w:tabs>
          <w:tab w:val="num" w:pos="5400"/>
        </w:tabs>
        <w:ind w:left="5400" w:hanging="360"/>
      </w:pPr>
      <w:rPr>
        <w:rFonts w:ascii="Arial" w:hAnsi="Arial" w:hint="default"/>
      </w:rPr>
    </w:lvl>
    <w:lvl w:ilvl="8" w:tplc="A2C6215A" w:tentative="1">
      <w:start w:val="1"/>
      <w:numFmt w:val="bullet"/>
      <w:lvlText w:val="•"/>
      <w:lvlJc w:val="left"/>
      <w:pPr>
        <w:tabs>
          <w:tab w:val="num" w:pos="6120"/>
        </w:tabs>
        <w:ind w:left="6120" w:hanging="360"/>
      </w:pPr>
      <w:rPr>
        <w:rFonts w:ascii="Arial" w:hAnsi="Arial" w:hint="default"/>
      </w:rPr>
    </w:lvl>
  </w:abstractNum>
  <w:abstractNum w:abstractNumId="110" w15:restartNumberingAfterBreak="0">
    <w:nsid w:val="7124414A"/>
    <w:multiLevelType w:val="multilevel"/>
    <w:tmpl w:val="B0DEB972"/>
    <w:lvl w:ilvl="0">
      <w:start w:val="1"/>
      <w:numFmt w:val="decimal"/>
      <w:pStyle w:val="Heading1"/>
      <w:lvlText w:val="%1."/>
      <w:lvlJc w:val="left"/>
      <w:pPr>
        <w:ind w:left="360" w:hanging="360"/>
      </w:pPr>
    </w:lvl>
    <w:lvl w:ilvl="1">
      <w:start w:val="1"/>
      <w:numFmt w:val="decimal"/>
      <w:pStyle w:val="Heading2"/>
      <w:lvlText w:val="%1.%2"/>
      <w:lvlJc w:val="left"/>
      <w:pPr>
        <w:ind w:left="1710" w:hanging="576"/>
      </w:pPr>
    </w:lvl>
    <w:lvl w:ilvl="2">
      <w:start w:val="1"/>
      <w:numFmt w:val="decimal"/>
      <w:pStyle w:val="Heading3"/>
      <w:lvlText w:val="%1.%2.%3"/>
      <w:lvlJc w:val="left"/>
      <w:pPr>
        <w:ind w:left="2706" w:hanging="72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3840" w:hanging="864"/>
      </w:pPr>
    </w:lvl>
    <w:lvl w:ilvl="4">
      <w:start w:val="1"/>
      <w:numFmt w:val="decimal"/>
      <w:pStyle w:val="Heading5"/>
      <w:lvlText w:val="%1.%2.%3.%4.%5"/>
      <w:lvlJc w:val="left"/>
      <w:pPr>
        <w:ind w:left="-2252" w:hanging="1008"/>
      </w:pPr>
    </w:lvl>
    <w:lvl w:ilvl="5">
      <w:start w:val="1"/>
      <w:numFmt w:val="decimal"/>
      <w:pStyle w:val="Heading6"/>
      <w:lvlText w:val="%1.%2.%3.%4.%5.%6"/>
      <w:lvlJc w:val="left"/>
      <w:pPr>
        <w:ind w:left="-2108" w:hanging="1152"/>
      </w:pPr>
    </w:lvl>
    <w:lvl w:ilvl="6">
      <w:start w:val="1"/>
      <w:numFmt w:val="decimal"/>
      <w:pStyle w:val="Heading7"/>
      <w:lvlText w:val="%1.%2.%3.%4.%5.%6.%7"/>
      <w:lvlJc w:val="left"/>
      <w:pPr>
        <w:ind w:left="-1964" w:hanging="1296"/>
      </w:pPr>
    </w:lvl>
    <w:lvl w:ilvl="7">
      <w:start w:val="1"/>
      <w:numFmt w:val="decimal"/>
      <w:pStyle w:val="Heading8"/>
      <w:lvlText w:val="%1.%2.%3.%4.%5.%6.%7.%8"/>
      <w:lvlJc w:val="left"/>
      <w:pPr>
        <w:ind w:left="-1820" w:hanging="1440"/>
      </w:pPr>
    </w:lvl>
    <w:lvl w:ilvl="8">
      <w:start w:val="1"/>
      <w:numFmt w:val="decimal"/>
      <w:pStyle w:val="Heading9"/>
      <w:lvlText w:val="%1.%2.%3.%4.%5.%6.%7.%8.%9"/>
      <w:lvlJc w:val="left"/>
      <w:pPr>
        <w:ind w:left="-1676" w:hanging="1584"/>
      </w:pPr>
    </w:lvl>
  </w:abstractNum>
  <w:abstractNum w:abstractNumId="111" w15:restartNumberingAfterBreak="0">
    <w:nsid w:val="71993F2F"/>
    <w:multiLevelType w:val="hybridMultilevel"/>
    <w:tmpl w:val="709A432A"/>
    <w:lvl w:ilvl="0" w:tplc="08090001">
      <w:start w:val="1"/>
      <w:numFmt w:val="bullet"/>
      <w:lvlText w:val=""/>
      <w:lvlJc w:val="left"/>
      <w:pPr>
        <w:ind w:left="1437" w:hanging="360"/>
      </w:pPr>
      <w:rPr>
        <w:rFonts w:ascii="Symbol" w:hAnsi="Symbol" w:hint="default"/>
      </w:rPr>
    </w:lvl>
    <w:lvl w:ilvl="1" w:tplc="08090003" w:tentative="1">
      <w:start w:val="1"/>
      <w:numFmt w:val="bullet"/>
      <w:lvlText w:val="o"/>
      <w:lvlJc w:val="left"/>
      <w:pPr>
        <w:ind w:left="2157" w:hanging="360"/>
      </w:pPr>
      <w:rPr>
        <w:rFonts w:ascii="Courier New" w:hAnsi="Courier New" w:cs="Courier New" w:hint="default"/>
      </w:rPr>
    </w:lvl>
    <w:lvl w:ilvl="2" w:tplc="08090005" w:tentative="1">
      <w:start w:val="1"/>
      <w:numFmt w:val="bullet"/>
      <w:lvlText w:val=""/>
      <w:lvlJc w:val="left"/>
      <w:pPr>
        <w:ind w:left="2877" w:hanging="360"/>
      </w:pPr>
      <w:rPr>
        <w:rFonts w:ascii="Wingdings" w:hAnsi="Wingdings" w:hint="default"/>
      </w:rPr>
    </w:lvl>
    <w:lvl w:ilvl="3" w:tplc="08090001" w:tentative="1">
      <w:start w:val="1"/>
      <w:numFmt w:val="bullet"/>
      <w:lvlText w:val=""/>
      <w:lvlJc w:val="left"/>
      <w:pPr>
        <w:ind w:left="3597" w:hanging="360"/>
      </w:pPr>
      <w:rPr>
        <w:rFonts w:ascii="Symbol" w:hAnsi="Symbol" w:hint="default"/>
      </w:rPr>
    </w:lvl>
    <w:lvl w:ilvl="4" w:tplc="08090003" w:tentative="1">
      <w:start w:val="1"/>
      <w:numFmt w:val="bullet"/>
      <w:lvlText w:val="o"/>
      <w:lvlJc w:val="left"/>
      <w:pPr>
        <w:ind w:left="4317" w:hanging="360"/>
      </w:pPr>
      <w:rPr>
        <w:rFonts w:ascii="Courier New" w:hAnsi="Courier New" w:cs="Courier New" w:hint="default"/>
      </w:rPr>
    </w:lvl>
    <w:lvl w:ilvl="5" w:tplc="08090005" w:tentative="1">
      <w:start w:val="1"/>
      <w:numFmt w:val="bullet"/>
      <w:lvlText w:val=""/>
      <w:lvlJc w:val="left"/>
      <w:pPr>
        <w:ind w:left="5037" w:hanging="360"/>
      </w:pPr>
      <w:rPr>
        <w:rFonts w:ascii="Wingdings" w:hAnsi="Wingdings" w:hint="default"/>
      </w:rPr>
    </w:lvl>
    <w:lvl w:ilvl="6" w:tplc="08090001" w:tentative="1">
      <w:start w:val="1"/>
      <w:numFmt w:val="bullet"/>
      <w:lvlText w:val=""/>
      <w:lvlJc w:val="left"/>
      <w:pPr>
        <w:ind w:left="5757" w:hanging="360"/>
      </w:pPr>
      <w:rPr>
        <w:rFonts w:ascii="Symbol" w:hAnsi="Symbol" w:hint="default"/>
      </w:rPr>
    </w:lvl>
    <w:lvl w:ilvl="7" w:tplc="08090003" w:tentative="1">
      <w:start w:val="1"/>
      <w:numFmt w:val="bullet"/>
      <w:lvlText w:val="o"/>
      <w:lvlJc w:val="left"/>
      <w:pPr>
        <w:ind w:left="6477" w:hanging="360"/>
      </w:pPr>
      <w:rPr>
        <w:rFonts w:ascii="Courier New" w:hAnsi="Courier New" w:cs="Courier New" w:hint="default"/>
      </w:rPr>
    </w:lvl>
    <w:lvl w:ilvl="8" w:tplc="08090005" w:tentative="1">
      <w:start w:val="1"/>
      <w:numFmt w:val="bullet"/>
      <w:lvlText w:val=""/>
      <w:lvlJc w:val="left"/>
      <w:pPr>
        <w:ind w:left="7197" w:hanging="360"/>
      </w:pPr>
      <w:rPr>
        <w:rFonts w:ascii="Wingdings" w:hAnsi="Wingdings" w:hint="default"/>
      </w:rPr>
    </w:lvl>
  </w:abstractNum>
  <w:abstractNum w:abstractNumId="112" w15:restartNumberingAfterBreak="0">
    <w:nsid w:val="7395694B"/>
    <w:multiLevelType w:val="hybridMultilevel"/>
    <w:tmpl w:val="3CD08B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3" w15:restartNumberingAfterBreak="0">
    <w:nsid w:val="73AE39E9"/>
    <w:multiLevelType w:val="hybridMultilevel"/>
    <w:tmpl w:val="C5DAAE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4" w15:restartNumberingAfterBreak="0">
    <w:nsid w:val="7410492D"/>
    <w:multiLevelType w:val="hybridMultilevel"/>
    <w:tmpl w:val="312E35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5" w15:restartNumberingAfterBreak="0">
    <w:nsid w:val="742F75CE"/>
    <w:multiLevelType w:val="hybridMultilevel"/>
    <w:tmpl w:val="63D2D9CC"/>
    <w:lvl w:ilvl="0" w:tplc="08090001">
      <w:start w:val="1"/>
      <w:numFmt w:val="bullet"/>
      <w:lvlText w:val=""/>
      <w:lvlJc w:val="left"/>
      <w:pPr>
        <w:tabs>
          <w:tab w:val="num" w:pos="360"/>
        </w:tabs>
        <w:ind w:left="360" w:hanging="360"/>
      </w:pPr>
      <w:rPr>
        <w:rFonts w:ascii="Symbol" w:hAnsi="Symbol" w:hint="default"/>
      </w:rPr>
    </w:lvl>
    <w:lvl w:ilvl="1" w:tplc="6220FDE2">
      <w:start w:val="1"/>
      <w:numFmt w:val="bullet"/>
      <w:lvlText w:val="-"/>
      <w:lvlJc w:val="left"/>
      <w:pPr>
        <w:tabs>
          <w:tab w:val="num" w:pos="1080"/>
        </w:tabs>
        <w:ind w:left="1080" w:hanging="360"/>
      </w:pPr>
      <w:rPr>
        <w:rFonts w:ascii="Times New Roman" w:hAnsi="Times New Roman" w:hint="default"/>
      </w:rPr>
    </w:lvl>
    <w:lvl w:ilvl="2" w:tplc="73B8F306">
      <w:start w:val="1"/>
      <w:numFmt w:val="bullet"/>
      <w:lvlText w:val="-"/>
      <w:lvlJc w:val="left"/>
      <w:pPr>
        <w:tabs>
          <w:tab w:val="num" w:pos="1800"/>
        </w:tabs>
        <w:ind w:left="1800" w:hanging="360"/>
      </w:pPr>
      <w:rPr>
        <w:rFonts w:ascii="Times New Roman" w:hAnsi="Times New Roman" w:hint="default"/>
      </w:rPr>
    </w:lvl>
    <w:lvl w:ilvl="3" w:tplc="CF72F9CA" w:tentative="1">
      <w:start w:val="1"/>
      <w:numFmt w:val="bullet"/>
      <w:lvlText w:val="-"/>
      <w:lvlJc w:val="left"/>
      <w:pPr>
        <w:tabs>
          <w:tab w:val="num" w:pos="2520"/>
        </w:tabs>
        <w:ind w:left="2520" w:hanging="360"/>
      </w:pPr>
      <w:rPr>
        <w:rFonts w:ascii="Times New Roman" w:hAnsi="Times New Roman" w:hint="default"/>
      </w:rPr>
    </w:lvl>
    <w:lvl w:ilvl="4" w:tplc="682CB7DC" w:tentative="1">
      <w:start w:val="1"/>
      <w:numFmt w:val="bullet"/>
      <w:lvlText w:val="-"/>
      <w:lvlJc w:val="left"/>
      <w:pPr>
        <w:tabs>
          <w:tab w:val="num" w:pos="3240"/>
        </w:tabs>
        <w:ind w:left="3240" w:hanging="360"/>
      </w:pPr>
      <w:rPr>
        <w:rFonts w:ascii="Times New Roman" w:hAnsi="Times New Roman" w:hint="default"/>
      </w:rPr>
    </w:lvl>
    <w:lvl w:ilvl="5" w:tplc="076ACADC" w:tentative="1">
      <w:start w:val="1"/>
      <w:numFmt w:val="bullet"/>
      <w:lvlText w:val="-"/>
      <w:lvlJc w:val="left"/>
      <w:pPr>
        <w:tabs>
          <w:tab w:val="num" w:pos="3960"/>
        </w:tabs>
        <w:ind w:left="3960" w:hanging="360"/>
      </w:pPr>
      <w:rPr>
        <w:rFonts w:ascii="Times New Roman" w:hAnsi="Times New Roman" w:hint="default"/>
      </w:rPr>
    </w:lvl>
    <w:lvl w:ilvl="6" w:tplc="F9D85C90" w:tentative="1">
      <w:start w:val="1"/>
      <w:numFmt w:val="bullet"/>
      <w:lvlText w:val="-"/>
      <w:lvlJc w:val="left"/>
      <w:pPr>
        <w:tabs>
          <w:tab w:val="num" w:pos="4680"/>
        </w:tabs>
        <w:ind w:left="4680" w:hanging="360"/>
      </w:pPr>
      <w:rPr>
        <w:rFonts w:ascii="Times New Roman" w:hAnsi="Times New Roman" w:hint="default"/>
      </w:rPr>
    </w:lvl>
    <w:lvl w:ilvl="7" w:tplc="843A0A50" w:tentative="1">
      <w:start w:val="1"/>
      <w:numFmt w:val="bullet"/>
      <w:lvlText w:val="-"/>
      <w:lvlJc w:val="left"/>
      <w:pPr>
        <w:tabs>
          <w:tab w:val="num" w:pos="5400"/>
        </w:tabs>
        <w:ind w:left="5400" w:hanging="360"/>
      </w:pPr>
      <w:rPr>
        <w:rFonts w:ascii="Times New Roman" w:hAnsi="Times New Roman" w:hint="default"/>
      </w:rPr>
    </w:lvl>
    <w:lvl w:ilvl="8" w:tplc="DFD23EBA" w:tentative="1">
      <w:start w:val="1"/>
      <w:numFmt w:val="bullet"/>
      <w:lvlText w:val="-"/>
      <w:lvlJc w:val="left"/>
      <w:pPr>
        <w:tabs>
          <w:tab w:val="num" w:pos="6120"/>
        </w:tabs>
        <w:ind w:left="6120" w:hanging="360"/>
      </w:pPr>
      <w:rPr>
        <w:rFonts w:ascii="Times New Roman" w:hAnsi="Times New Roman" w:hint="default"/>
      </w:rPr>
    </w:lvl>
  </w:abstractNum>
  <w:abstractNum w:abstractNumId="116" w15:restartNumberingAfterBreak="0">
    <w:nsid w:val="74DA21A4"/>
    <w:multiLevelType w:val="hybridMultilevel"/>
    <w:tmpl w:val="81507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75476E0B"/>
    <w:multiLevelType w:val="hybridMultilevel"/>
    <w:tmpl w:val="FC78227A"/>
    <w:lvl w:ilvl="0" w:tplc="7294306C">
      <w:start w:val="1"/>
      <w:numFmt w:val="bullet"/>
      <w:pStyle w:val="NormalBulletIndent"/>
      <w:lvlText w:val="o"/>
      <w:lvlJc w:val="left"/>
      <w:pPr>
        <w:ind w:left="1077" w:hanging="360"/>
      </w:pPr>
      <w:rPr>
        <w:rFonts w:ascii="Courier New" w:hAnsi="Courier New" w:cs="Courier New"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18" w15:restartNumberingAfterBreak="0">
    <w:nsid w:val="75B43FF6"/>
    <w:multiLevelType w:val="hybridMultilevel"/>
    <w:tmpl w:val="61661C26"/>
    <w:lvl w:ilvl="0" w:tplc="174C4250">
      <w:start w:val="1"/>
      <w:numFmt w:val="decimal"/>
      <w:lvlText w:val="%1."/>
      <w:lvlJc w:val="left"/>
      <w:pPr>
        <w:ind w:left="-37" w:hanging="360"/>
      </w:pPr>
      <w:rPr>
        <w:rFonts w:hint="default"/>
      </w:rPr>
    </w:lvl>
    <w:lvl w:ilvl="1" w:tplc="08090019" w:tentative="1">
      <w:start w:val="1"/>
      <w:numFmt w:val="lowerLetter"/>
      <w:lvlText w:val="%2."/>
      <w:lvlJc w:val="left"/>
      <w:pPr>
        <w:ind w:left="683" w:hanging="360"/>
      </w:pPr>
    </w:lvl>
    <w:lvl w:ilvl="2" w:tplc="0809001B" w:tentative="1">
      <w:start w:val="1"/>
      <w:numFmt w:val="lowerRoman"/>
      <w:lvlText w:val="%3."/>
      <w:lvlJc w:val="right"/>
      <w:pPr>
        <w:ind w:left="1403" w:hanging="180"/>
      </w:pPr>
    </w:lvl>
    <w:lvl w:ilvl="3" w:tplc="0809000F" w:tentative="1">
      <w:start w:val="1"/>
      <w:numFmt w:val="decimal"/>
      <w:lvlText w:val="%4."/>
      <w:lvlJc w:val="left"/>
      <w:pPr>
        <w:ind w:left="2123" w:hanging="360"/>
      </w:pPr>
    </w:lvl>
    <w:lvl w:ilvl="4" w:tplc="08090019" w:tentative="1">
      <w:start w:val="1"/>
      <w:numFmt w:val="lowerLetter"/>
      <w:lvlText w:val="%5."/>
      <w:lvlJc w:val="left"/>
      <w:pPr>
        <w:ind w:left="2843" w:hanging="360"/>
      </w:pPr>
    </w:lvl>
    <w:lvl w:ilvl="5" w:tplc="0809001B" w:tentative="1">
      <w:start w:val="1"/>
      <w:numFmt w:val="lowerRoman"/>
      <w:lvlText w:val="%6."/>
      <w:lvlJc w:val="right"/>
      <w:pPr>
        <w:ind w:left="3563" w:hanging="180"/>
      </w:pPr>
    </w:lvl>
    <w:lvl w:ilvl="6" w:tplc="0809000F" w:tentative="1">
      <w:start w:val="1"/>
      <w:numFmt w:val="decimal"/>
      <w:lvlText w:val="%7."/>
      <w:lvlJc w:val="left"/>
      <w:pPr>
        <w:ind w:left="4283" w:hanging="360"/>
      </w:pPr>
    </w:lvl>
    <w:lvl w:ilvl="7" w:tplc="08090019" w:tentative="1">
      <w:start w:val="1"/>
      <w:numFmt w:val="lowerLetter"/>
      <w:lvlText w:val="%8."/>
      <w:lvlJc w:val="left"/>
      <w:pPr>
        <w:ind w:left="5003" w:hanging="360"/>
      </w:pPr>
    </w:lvl>
    <w:lvl w:ilvl="8" w:tplc="0809001B" w:tentative="1">
      <w:start w:val="1"/>
      <w:numFmt w:val="lowerRoman"/>
      <w:lvlText w:val="%9."/>
      <w:lvlJc w:val="right"/>
      <w:pPr>
        <w:ind w:left="5723" w:hanging="180"/>
      </w:pPr>
    </w:lvl>
  </w:abstractNum>
  <w:abstractNum w:abstractNumId="119" w15:restartNumberingAfterBreak="0">
    <w:nsid w:val="7647659B"/>
    <w:multiLevelType w:val="hybridMultilevel"/>
    <w:tmpl w:val="CD90B9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0" w15:restartNumberingAfterBreak="0">
    <w:nsid w:val="764D4662"/>
    <w:multiLevelType w:val="hybridMultilevel"/>
    <w:tmpl w:val="B8F65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76A448CE"/>
    <w:multiLevelType w:val="hybridMultilevel"/>
    <w:tmpl w:val="FCF8771C"/>
    <w:lvl w:ilvl="0" w:tplc="7DA0CBE8">
      <w:start w:val="4"/>
      <w:numFmt w:val="bullet"/>
      <w:lvlText w:val="-"/>
      <w:lvlJc w:val="left"/>
      <w:pPr>
        <w:ind w:left="720" w:hanging="360"/>
      </w:pPr>
      <w:rPr>
        <w:rFonts w:ascii="Calibri" w:eastAsiaTheme="majorEastAsia" w:hAnsi="Calibri"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7A9D334E"/>
    <w:multiLevelType w:val="hybridMultilevel"/>
    <w:tmpl w:val="EF16CC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3" w15:restartNumberingAfterBreak="0">
    <w:nsid w:val="7B7517F2"/>
    <w:multiLevelType w:val="hybridMultilevel"/>
    <w:tmpl w:val="B25AC684"/>
    <w:lvl w:ilvl="0" w:tplc="9266E63E">
      <w:start w:val="1"/>
      <w:numFmt w:val="bullet"/>
      <w:lvlText w:val=""/>
      <w:lvlJc w:val="left"/>
      <w:pPr>
        <w:ind w:left="360" w:hanging="360"/>
      </w:pPr>
      <w:rPr>
        <w:rFonts w:ascii="Symbol" w:hAnsi="Symbol"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4" w15:restartNumberingAfterBreak="0">
    <w:nsid w:val="7D4D4A79"/>
    <w:multiLevelType w:val="hybridMultilevel"/>
    <w:tmpl w:val="9606E58A"/>
    <w:lvl w:ilvl="0" w:tplc="08090001">
      <w:start w:val="1"/>
      <w:numFmt w:val="bullet"/>
      <w:lvlText w:val=""/>
      <w:lvlJc w:val="left"/>
      <w:pPr>
        <w:tabs>
          <w:tab w:val="num" w:pos="720"/>
        </w:tabs>
        <w:ind w:left="720" w:hanging="360"/>
      </w:pPr>
      <w:rPr>
        <w:rFonts w:ascii="Symbol" w:hAnsi="Symbol" w:hint="default"/>
      </w:rPr>
    </w:lvl>
    <w:lvl w:ilvl="1" w:tplc="2E001B1C" w:tentative="1">
      <w:start w:val="1"/>
      <w:numFmt w:val="bullet"/>
      <w:lvlText w:val="•"/>
      <w:lvlJc w:val="left"/>
      <w:pPr>
        <w:tabs>
          <w:tab w:val="num" w:pos="1440"/>
        </w:tabs>
        <w:ind w:left="1440" w:hanging="360"/>
      </w:pPr>
      <w:rPr>
        <w:rFonts w:ascii="Arial" w:hAnsi="Arial" w:hint="default"/>
      </w:rPr>
    </w:lvl>
    <w:lvl w:ilvl="2" w:tplc="3F8A0972" w:tentative="1">
      <w:start w:val="1"/>
      <w:numFmt w:val="bullet"/>
      <w:lvlText w:val="•"/>
      <w:lvlJc w:val="left"/>
      <w:pPr>
        <w:tabs>
          <w:tab w:val="num" w:pos="2160"/>
        </w:tabs>
        <w:ind w:left="2160" w:hanging="360"/>
      </w:pPr>
      <w:rPr>
        <w:rFonts w:ascii="Arial" w:hAnsi="Arial" w:hint="default"/>
      </w:rPr>
    </w:lvl>
    <w:lvl w:ilvl="3" w:tplc="AED6FA26" w:tentative="1">
      <w:start w:val="1"/>
      <w:numFmt w:val="bullet"/>
      <w:lvlText w:val="•"/>
      <w:lvlJc w:val="left"/>
      <w:pPr>
        <w:tabs>
          <w:tab w:val="num" w:pos="2880"/>
        </w:tabs>
        <w:ind w:left="2880" w:hanging="360"/>
      </w:pPr>
      <w:rPr>
        <w:rFonts w:ascii="Arial" w:hAnsi="Arial" w:hint="default"/>
      </w:rPr>
    </w:lvl>
    <w:lvl w:ilvl="4" w:tplc="21C25616" w:tentative="1">
      <w:start w:val="1"/>
      <w:numFmt w:val="bullet"/>
      <w:lvlText w:val="•"/>
      <w:lvlJc w:val="left"/>
      <w:pPr>
        <w:tabs>
          <w:tab w:val="num" w:pos="3600"/>
        </w:tabs>
        <w:ind w:left="3600" w:hanging="360"/>
      </w:pPr>
      <w:rPr>
        <w:rFonts w:ascii="Arial" w:hAnsi="Arial" w:hint="default"/>
      </w:rPr>
    </w:lvl>
    <w:lvl w:ilvl="5" w:tplc="E36EB25C" w:tentative="1">
      <w:start w:val="1"/>
      <w:numFmt w:val="bullet"/>
      <w:lvlText w:val="•"/>
      <w:lvlJc w:val="left"/>
      <w:pPr>
        <w:tabs>
          <w:tab w:val="num" w:pos="4320"/>
        </w:tabs>
        <w:ind w:left="4320" w:hanging="360"/>
      </w:pPr>
      <w:rPr>
        <w:rFonts w:ascii="Arial" w:hAnsi="Arial" w:hint="default"/>
      </w:rPr>
    </w:lvl>
    <w:lvl w:ilvl="6" w:tplc="1A7C4AFC" w:tentative="1">
      <w:start w:val="1"/>
      <w:numFmt w:val="bullet"/>
      <w:lvlText w:val="•"/>
      <w:lvlJc w:val="left"/>
      <w:pPr>
        <w:tabs>
          <w:tab w:val="num" w:pos="5040"/>
        </w:tabs>
        <w:ind w:left="5040" w:hanging="360"/>
      </w:pPr>
      <w:rPr>
        <w:rFonts w:ascii="Arial" w:hAnsi="Arial" w:hint="default"/>
      </w:rPr>
    </w:lvl>
    <w:lvl w:ilvl="7" w:tplc="F934C93E" w:tentative="1">
      <w:start w:val="1"/>
      <w:numFmt w:val="bullet"/>
      <w:lvlText w:val="•"/>
      <w:lvlJc w:val="left"/>
      <w:pPr>
        <w:tabs>
          <w:tab w:val="num" w:pos="5760"/>
        </w:tabs>
        <w:ind w:left="5760" w:hanging="360"/>
      </w:pPr>
      <w:rPr>
        <w:rFonts w:ascii="Arial" w:hAnsi="Arial" w:hint="default"/>
      </w:rPr>
    </w:lvl>
    <w:lvl w:ilvl="8" w:tplc="E954FAE2" w:tentative="1">
      <w:start w:val="1"/>
      <w:numFmt w:val="bullet"/>
      <w:lvlText w:val="•"/>
      <w:lvlJc w:val="left"/>
      <w:pPr>
        <w:tabs>
          <w:tab w:val="num" w:pos="6480"/>
        </w:tabs>
        <w:ind w:left="6480" w:hanging="360"/>
      </w:pPr>
      <w:rPr>
        <w:rFonts w:ascii="Arial" w:hAnsi="Arial" w:hint="default"/>
      </w:rPr>
    </w:lvl>
  </w:abstractNum>
  <w:abstractNum w:abstractNumId="125" w15:restartNumberingAfterBreak="0">
    <w:nsid w:val="7DAA3AA2"/>
    <w:multiLevelType w:val="hybridMultilevel"/>
    <w:tmpl w:val="54547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10"/>
  </w:num>
  <w:num w:numId="2">
    <w:abstractNumId w:val="37"/>
  </w:num>
  <w:num w:numId="3">
    <w:abstractNumId w:val="72"/>
  </w:num>
  <w:num w:numId="4">
    <w:abstractNumId w:val="4"/>
  </w:num>
  <w:num w:numId="5">
    <w:abstractNumId w:val="2"/>
  </w:num>
  <w:num w:numId="6">
    <w:abstractNumId w:val="102"/>
  </w:num>
  <w:num w:numId="7">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7"/>
  </w:num>
  <w:num w:numId="9">
    <w:abstractNumId w:val="25"/>
  </w:num>
  <w:num w:numId="10">
    <w:abstractNumId w:val="50"/>
  </w:num>
  <w:num w:numId="11">
    <w:abstractNumId w:val="78"/>
  </w:num>
  <w:num w:numId="12">
    <w:abstractNumId w:val="16"/>
  </w:num>
  <w:num w:numId="13">
    <w:abstractNumId w:val="6"/>
  </w:num>
  <w:num w:numId="14">
    <w:abstractNumId w:val="13"/>
  </w:num>
  <w:num w:numId="15">
    <w:abstractNumId w:val="94"/>
  </w:num>
  <w:num w:numId="16">
    <w:abstractNumId w:val="90"/>
  </w:num>
  <w:num w:numId="17">
    <w:abstractNumId w:val="46"/>
  </w:num>
  <w:num w:numId="18">
    <w:abstractNumId w:val="92"/>
  </w:num>
  <w:num w:numId="19">
    <w:abstractNumId w:val="79"/>
  </w:num>
  <w:num w:numId="20">
    <w:abstractNumId w:val="56"/>
  </w:num>
  <w:num w:numId="21">
    <w:abstractNumId w:val="66"/>
  </w:num>
  <w:num w:numId="22">
    <w:abstractNumId w:val="99"/>
  </w:num>
  <w:num w:numId="23">
    <w:abstractNumId w:val="23"/>
  </w:num>
  <w:num w:numId="24">
    <w:abstractNumId w:val="10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num>
  <w:num w:numId="26">
    <w:abstractNumId w:val="105"/>
  </w:num>
  <w:num w:numId="27">
    <w:abstractNumId w:val="124"/>
  </w:num>
  <w:num w:numId="28">
    <w:abstractNumId w:val="74"/>
  </w:num>
  <w:num w:numId="29">
    <w:abstractNumId w:val="83"/>
  </w:num>
  <w:num w:numId="30">
    <w:abstractNumId w:val="57"/>
  </w:num>
  <w:num w:numId="31">
    <w:abstractNumId w:val="39"/>
  </w:num>
  <w:num w:numId="32">
    <w:abstractNumId w:val="20"/>
  </w:num>
  <w:num w:numId="33">
    <w:abstractNumId w:val="101"/>
  </w:num>
  <w:num w:numId="34">
    <w:abstractNumId w:val="53"/>
  </w:num>
  <w:num w:numId="35">
    <w:abstractNumId w:val="85"/>
  </w:num>
  <w:num w:numId="36">
    <w:abstractNumId w:val="111"/>
  </w:num>
  <w:num w:numId="37">
    <w:abstractNumId w:val="88"/>
  </w:num>
  <w:num w:numId="38">
    <w:abstractNumId w:val="18"/>
  </w:num>
  <w:num w:numId="39">
    <w:abstractNumId w:val="89"/>
  </w:num>
  <w:num w:numId="40">
    <w:abstractNumId w:val="30"/>
  </w:num>
  <w:num w:numId="41">
    <w:abstractNumId w:val="52"/>
  </w:num>
  <w:num w:numId="42">
    <w:abstractNumId w:val="41"/>
  </w:num>
  <w:num w:numId="43">
    <w:abstractNumId w:val="97"/>
  </w:num>
  <w:num w:numId="44">
    <w:abstractNumId w:val="33"/>
  </w:num>
  <w:num w:numId="45">
    <w:abstractNumId w:val="82"/>
  </w:num>
  <w:num w:numId="46">
    <w:abstractNumId w:val="47"/>
  </w:num>
  <w:num w:numId="47">
    <w:abstractNumId w:val="64"/>
  </w:num>
  <w:num w:numId="48">
    <w:abstractNumId w:val="17"/>
  </w:num>
  <w:num w:numId="49">
    <w:abstractNumId w:val="100"/>
  </w:num>
  <w:num w:numId="50">
    <w:abstractNumId w:val="73"/>
  </w:num>
  <w:num w:numId="51">
    <w:abstractNumId w:val="75"/>
  </w:num>
  <w:num w:numId="52">
    <w:abstractNumId w:val="45"/>
  </w:num>
  <w:num w:numId="53">
    <w:abstractNumId w:val="7"/>
  </w:num>
  <w:num w:numId="54">
    <w:abstractNumId w:val="114"/>
  </w:num>
  <w:num w:numId="55">
    <w:abstractNumId w:val="28"/>
  </w:num>
  <w:num w:numId="56">
    <w:abstractNumId w:val="35"/>
  </w:num>
  <w:num w:numId="57">
    <w:abstractNumId w:val="1"/>
  </w:num>
  <w:num w:numId="58">
    <w:abstractNumId w:val="10"/>
  </w:num>
  <w:num w:numId="59">
    <w:abstractNumId w:val="26"/>
  </w:num>
  <w:num w:numId="60">
    <w:abstractNumId w:val="38"/>
  </w:num>
  <w:num w:numId="61">
    <w:abstractNumId w:val="8"/>
  </w:num>
  <w:num w:numId="62">
    <w:abstractNumId w:val="44"/>
  </w:num>
  <w:num w:numId="63">
    <w:abstractNumId w:val="29"/>
  </w:num>
  <w:num w:numId="64">
    <w:abstractNumId w:val="103"/>
  </w:num>
  <w:num w:numId="65">
    <w:abstractNumId w:val="77"/>
  </w:num>
  <w:num w:numId="66">
    <w:abstractNumId w:val="65"/>
  </w:num>
  <w:num w:numId="67">
    <w:abstractNumId w:val="107"/>
  </w:num>
  <w:num w:numId="68">
    <w:abstractNumId w:val="11"/>
  </w:num>
  <w:num w:numId="69">
    <w:abstractNumId w:val="86"/>
  </w:num>
  <w:num w:numId="70">
    <w:abstractNumId w:val="42"/>
  </w:num>
  <w:num w:numId="71">
    <w:abstractNumId w:val="115"/>
  </w:num>
  <w:num w:numId="72">
    <w:abstractNumId w:val="5"/>
  </w:num>
  <w:num w:numId="73">
    <w:abstractNumId w:val="14"/>
  </w:num>
  <w:num w:numId="74">
    <w:abstractNumId w:val="106"/>
  </w:num>
  <w:num w:numId="75">
    <w:abstractNumId w:val="36"/>
  </w:num>
  <w:num w:numId="76">
    <w:abstractNumId w:val="49"/>
  </w:num>
  <w:num w:numId="77">
    <w:abstractNumId w:val="109"/>
  </w:num>
  <w:num w:numId="78">
    <w:abstractNumId w:val="116"/>
  </w:num>
  <w:num w:numId="79">
    <w:abstractNumId w:val="67"/>
  </w:num>
  <w:num w:numId="80">
    <w:abstractNumId w:val="84"/>
  </w:num>
  <w:num w:numId="81">
    <w:abstractNumId w:val="76"/>
  </w:num>
  <w:num w:numId="82">
    <w:abstractNumId w:val="113"/>
  </w:num>
  <w:num w:numId="83">
    <w:abstractNumId w:val="9"/>
  </w:num>
  <w:num w:numId="84">
    <w:abstractNumId w:val="22"/>
  </w:num>
  <w:num w:numId="85">
    <w:abstractNumId w:val="123"/>
  </w:num>
  <w:num w:numId="86">
    <w:abstractNumId w:val="68"/>
  </w:num>
  <w:num w:numId="87">
    <w:abstractNumId w:val="55"/>
  </w:num>
  <w:num w:numId="88">
    <w:abstractNumId w:val="58"/>
  </w:num>
  <w:num w:numId="89">
    <w:abstractNumId w:val="24"/>
  </w:num>
  <w:num w:numId="90">
    <w:abstractNumId w:val="3"/>
  </w:num>
  <w:num w:numId="91">
    <w:abstractNumId w:val="91"/>
  </w:num>
  <w:num w:numId="92">
    <w:abstractNumId w:val="32"/>
  </w:num>
  <w:num w:numId="93">
    <w:abstractNumId w:val="19"/>
  </w:num>
  <w:num w:numId="94">
    <w:abstractNumId w:val="104"/>
  </w:num>
  <w:num w:numId="95">
    <w:abstractNumId w:val="40"/>
  </w:num>
  <w:num w:numId="96">
    <w:abstractNumId w:val="54"/>
  </w:num>
  <w:num w:numId="97">
    <w:abstractNumId w:val="122"/>
  </w:num>
  <w:num w:numId="98">
    <w:abstractNumId w:val="31"/>
  </w:num>
  <w:num w:numId="99">
    <w:abstractNumId w:val="112"/>
  </w:num>
  <w:num w:numId="100">
    <w:abstractNumId w:val="61"/>
  </w:num>
  <w:num w:numId="101">
    <w:abstractNumId w:val="59"/>
  </w:num>
  <w:num w:numId="102">
    <w:abstractNumId w:val="93"/>
  </w:num>
  <w:num w:numId="103">
    <w:abstractNumId w:val="98"/>
  </w:num>
  <w:num w:numId="104">
    <w:abstractNumId w:val="70"/>
  </w:num>
  <w:num w:numId="105">
    <w:abstractNumId w:val="96"/>
  </w:num>
  <w:num w:numId="106">
    <w:abstractNumId w:val="118"/>
  </w:num>
  <w:num w:numId="107">
    <w:abstractNumId w:val="80"/>
  </w:num>
  <w:num w:numId="108">
    <w:abstractNumId w:val="27"/>
  </w:num>
  <w:num w:numId="109">
    <w:abstractNumId w:val="121"/>
  </w:num>
  <w:num w:numId="110">
    <w:abstractNumId w:val="95"/>
  </w:num>
  <w:num w:numId="111">
    <w:abstractNumId w:val="12"/>
  </w:num>
  <w:num w:numId="112">
    <w:abstractNumId w:val="108"/>
  </w:num>
  <w:num w:numId="113">
    <w:abstractNumId w:val="4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lvlOverride w:ilvl="8">
      <w:startOverride w:val="1"/>
    </w:lvlOverride>
  </w:num>
  <w:num w:numId="114">
    <w:abstractNumId w:val="69"/>
  </w:num>
  <w:num w:numId="115">
    <w:abstractNumId w:val="81"/>
  </w:num>
  <w:num w:numId="116">
    <w:abstractNumId w:val="60"/>
  </w:num>
  <w:num w:numId="117">
    <w:abstractNumId w:val="15"/>
  </w:num>
  <w:num w:numId="118">
    <w:abstractNumId w:val="125"/>
  </w:num>
  <w:num w:numId="119">
    <w:abstractNumId w:val="63"/>
  </w:num>
  <w:num w:numId="120">
    <w:abstractNumId w:val="48"/>
  </w:num>
  <w:num w:numId="121">
    <w:abstractNumId w:val="87"/>
  </w:num>
  <w:num w:numId="122">
    <w:abstractNumId w:val="51"/>
  </w:num>
  <w:num w:numId="123">
    <w:abstractNumId w:val="71"/>
  </w:num>
  <w:num w:numId="124">
    <w:abstractNumId w:val="34"/>
  </w:num>
  <w:num w:numId="125">
    <w:abstractNumId w:val="120"/>
  </w:num>
  <w:num w:numId="126">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19"/>
    <w:lvlOverride w:ilvl="0"/>
    <w:lvlOverride w:ilvl="1"/>
    <w:lvlOverride w:ilvl="2"/>
    <w:lvlOverride w:ilvl="3"/>
    <w:lvlOverride w:ilvl="4"/>
    <w:lvlOverride w:ilvl="5"/>
    <w:lvlOverride w:ilvl="6"/>
    <w:lvlOverride w:ilvl="7"/>
    <w:lvlOverride w:ilvl="8"/>
  </w:num>
  <w:num w:numId="128">
    <w:abstractNumId w:val="62"/>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removePersonalInformation/>
  <w:removeDateAndTime/>
  <w:displayBackgroundShape/>
  <w:embedSystemFonts/>
  <w:activeWritingStyle w:appName="MSWord" w:lang="en-GB" w:vendorID="64" w:dllVersion="131078" w:nlCheck="1" w:checkStyle="1"/>
  <w:activeWritingStyle w:appName="MSWord" w:lang="en-US" w:vendorID="64" w:dllVersion="131078" w:nlCheck="1" w:checkStyle="1"/>
  <w:activeWritingStyle w:appName="MSWord" w:lang="en-AU" w:vendorID="64" w:dllVersion="131078" w:nlCheck="1" w:checkStyle="1"/>
  <w:activeWritingStyle w:appName="MSWord" w:lang="en-NZ" w:vendorID="64" w:dllVersion="131078" w:nlCheck="1" w:checkStyle="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characterSpacingControl w:val="doNotCompress"/>
  <w:hdrShapeDefaults>
    <o:shapedefaults v:ext="edit" spidmax="2061" style="mso-width-relative:margin;mso-height-relative:margin" fillcolor="white">
      <v:fill color="white"/>
      <o:colormru v:ext="edit" colors="#666"/>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9C1"/>
    <w:rsid w:val="00000178"/>
    <w:rsid w:val="000002D6"/>
    <w:rsid w:val="0000042A"/>
    <w:rsid w:val="000005CD"/>
    <w:rsid w:val="00000AA5"/>
    <w:rsid w:val="00001154"/>
    <w:rsid w:val="0000194C"/>
    <w:rsid w:val="00001ACF"/>
    <w:rsid w:val="00002CD9"/>
    <w:rsid w:val="00003053"/>
    <w:rsid w:val="000030BC"/>
    <w:rsid w:val="00003466"/>
    <w:rsid w:val="000038A5"/>
    <w:rsid w:val="00003A7C"/>
    <w:rsid w:val="00003B54"/>
    <w:rsid w:val="00003C40"/>
    <w:rsid w:val="00004028"/>
    <w:rsid w:val="00004859"/>
    <w:rsid w:val="00005692"/>
    <w:rsid w:val="00005743"/>
    <w:rsid w:val="0000583D"/>
    <w:rsid w:val="0000590D"/>
    <w:rsid w:val="00005CD7"/>
    <w:rsid w:val="00006050"/>
    <w:rsid w:val="0000674D"/>
    <w:rsid w:val="00006AC1"/>
    <w:rsid w:val="00006CBF"/>
    <w:rsid w:val="000071CB"/>
    <w:rsid w:val="00007384"/>
    <w:rsid w:val="00007ED7"/>
    <w:rsid w:val="00010120"/>
    <w:rsid w:val="00010376"/>
    <w:rsid w:val="00010A5D"/>
    <w:rsid w:val="00010D79"/>
    <w:rsid w:val="000113A7"/>
    <w:rsid w:val="0001144A"/>
    <w:rsid w:val="00011693"/>
    <w:rsid w:val="00011CAF"/>
    <w:rsid w:val="00011D96"/>
    <w:rsid w:val="000125C8"/>
    <w:rsid w:val="00012E22"/>
    <w:rsid w:val="00012F64"/>
    <w:rsid w:val="00012F69"/>
    <w:rsid w:val="0001300B"/>
    <w:rsid w:val="00013586"/>
    <w:rsid w:val="0001375D"/>
    <w:rsid w:val="00013A84"/>
    <w:rsid w:val="00013B9C"/>
    <w:rsid w:val="00013E0B"/>
    <w:rsid w:val="00013E57"/>
    <w:rsid w:val="00013E5D"/>
    <w:rsid w:val="00014052"/>
    <w:rsid w:val="00014377"/>
    <w:rsid w:val="000143DC"/>
    <w:rsid w:val="00014A14"/>
    <w:rsid w:val="00014B53"/>
    <w:rsid w:val="00014BED"/>
    <w:rsid w:val="00014FD5"/>
    <w:rsid w:val="00015066"/>
    <w:rsid w:val="0001527D"/>
    <w:rsid w:val="00015518"/>
    <w:rsid w:val="000156BB"/>
    <w:rsid w:val="000156DC"/>
    <w:rsid w:val="000156E7"/>
    <w:rsid w:val="000158D5"/>
    <w:rsid w:val="00015AB6"/>
    <w:rsid w:val="00015BDF"/>
    <w:rsid w:val="000162BE"/>
    <w:rsid w:val="0001660C"/>
    <w:rsid w:val="00016B8D"/>
    <w:rsid w:val="00017028"/>
    <w:rsid w:val="000173A0"/>
    <w:rsid w:val="000173FA"/>
    <w:rsid w:val="00017421"/>
    <w:rsid w:val="0002036B"/>
    <w:rsid w:val="00020A22"/>
    <w:rsid w:val="00020B1E"/>
    <w:rsid w:val="00020B98"/>
    <w:rsid w:val="00020F9F"/>
    <w:rsid w:val="000215F0"/>
    <w:rsid w:val="00021BF2"/>
    <w:rsid w:val="00021DE7"/>
    <w:rsid w:val="00022494"/>
    <w:rsid w:val="000227C6"/>
    <w:rsid w:val="00022B3B"/>
    <w:rsid w:val="00023181"/>
    <w:rsid w:val="000235E5"/>
    <w:rsid w:val="00023698"/>
    <w:rsid w:val="00023891"/>
    <w:rsid w:val="000239A3"/>
    <w:rsid w:val="00024036"/>
    <w:rsid w:val="00024326"/>
    <w:rsid w:val="00024385"/>
    <w:rsid w:val="00025025"/>
    <w:rsid w:val="00025212"/>
    <w:rsid w:val="00025478"/>
    <w:rsid w:val="000254A6"/>
    <w:rsid w:val="00025D63"/>
    <w:rsid w:val="0002638E"/>
    <w:rsid w:val="000263F3"/>
    <w:rsid w:val="000266DB"/>
    <w:rsid w:val="00026B7C"/>
    <w:rsid w:val="00026E19"/>
    <w:rsid w:val="0002728C"/>
    <w:rsid w:val="00027BB0"/>
    <w:rsid w:val="0003049D"/>
    <w:rsid w:val="00030FE1"/>
    <w:rsid w:val="00031918"/>
    <w:rsid w:val="00032AC9"/>
    <w:rsid w:val="00032C46"/>
    <w:rsid w:val="00032CA4"/>
    <w:rsid w:val="00032D87"/>
    <w:rsid w:val="0003378A"/>
    <w:rsid w:val="00033955"/>
    <w:rsid w:val="00033D01"/>
    <w:rsid w:val="00033F04"/>
    <w:rsid w:val="00034015"/>
    <w:rsid w:val="00034229"/>
    <w:rsid w:val="00034837"/>
    <w:rsid w:val="00034E76"/>
    <w:rsid w:val="000350A2"/>
    <w:rsid w:val="0003537B"/>
    <w:rsid w:val="000359A4"/>
    <w:rsid w:val="00035C04"/>
    <w:rsid w:val="00036DFF"/>
    <w:rsid w:val="000374A8"/>
    <w:rsid w:val="00037775"/>
    <w:rsid w:val="00037C32"/>
    <w:rsid w:val="000401C8"/>
    <w:rsid w:val="0004068A"/>
    <w:rsid w:val="00040879"/>
    <w:rsid w:val="000411B2"/>
    <w:rsid w:val="0004123B"/>
    <w:rsid w:val="00041326"/>
    <w:rsid w:val="00041349"/>
    <w:rsid w:val="00041924"/>
    <w:rsid w:val="00041F05"/>
    <w:rsid w:val="00041F36"/>
    <w:rsid w:val="00041FA3"/>
    <w:rsid w:val="00042110"/>
    <w:rsid w:val="0004217A"/>
    <w:rsid w:val="00042295"/>
    <w:rsid w:val="00042765"/>
    <w:rsid w:val="00042987"/>
    <w:rsid w:val="00042A6D"/>
    <w:rsid w:val="00042FD8"/>
    <w:rsid w:val="00043018"/>
    <w:rsid w:val="000437C5"/>
    <w:rsid w:val="00043A53"/>
    <w:rsid w:val="00043BCF"/>
    <w:rsid w:val="00043E68"/>
    <w:rsid w:val="00043E7B"/>
    <w:rsid w:val="00044024"/>
    <w:rsid w:val="000440D2"/>
    <w:rsid w:val="000445CB"/>
    <w:rsid w:val="00044A6B"/>
    <w:rsid w:val="00044C98"/>
    <w:rsid w:val="000453DE"/>
    <w:rsid w:val="00045483"/>
    <w:rsid w:val="00045A90"/>
    <w:rsid w:val="00046212"/>
    <w:rsid w:val="00046239"/>
    <w:rsid w:val="00046645"/>
    <w:rsid w:val="00046722"/>
    <w:rsid w:val="00046D7B"/>
    <w:rsid w:val="00047003"/>
    <w:rsid w:val="00047241"/>
    <w:rsid w:val="00047506"/>
    <w:rsid w:val="0004759E"/>
    <w:rsid w:val="000478F2"/>
    <w:rsid w:val="00047C15"/>
    <w:rsid w:val="00047D3A"/>
    <w:rsid w:val="000501CB"/>
    <w:rsid w:val="0005085C"/>
    <w:rsid w:val="000508A2"/>
    <w:rsid w:val="00050C3F"/>
    <w:rsid w:val="000512A5"/>
    <w:rsid w:val="00051FC0"/>
    <w:rsid w:val="000523A5"/>
    <w:rsid w:val="00052706"/>
    <w:rsid w:val="00053299"/>
    <w:rsid w:val="000534F3"/>
    <w:rsid w:val="0005377B"/>
    <w:rsid w:val="00053D99"/>
    <w:rsid w:val="0005409A"/>
    <w:rsid w:val="0005413A"/>
    <w:rsid w:val="000545C7"/>
    <w:rsid w:val="0005472C"/>
    <w:rsid w:val="000547D3"/>
    <w:rsid w:val="00054AD0"/>
    <w:rsid w:val="00054CB6"/>
    <w:rsid w:val="000553F8"/>
    <w:rsid w:val="00055407"/>
    <w:rsid w:val="000554F6"/>
    <w:rsid w:val="000556C2"/>
    <w:rsid w:val="00055790"/>
    <w:rsid w:val="00055AEB"/>
    <w:rsid w:val="00055BBD"/>
    <w:rsid w:val="00055C9F"/>
    <w:rsid w:val="00055E4B"/>
    <w:rsid w:val="00055F58"/>
    <w:rsid w:val="000560E7"/>
    <w:rsid w:val="000561FB"/>
    <w:rsid w:val="00056210"/>
    <w:rsid w:val="000563D1"/>
    <w:rsid w:val="00056528"/>
    <w:rsid w:val="0005692A"/>
    <w:rsid w:val="0005755F"/>
    <w:rsid w:val="000579CA"/>
    <w:rsid w:val="00060224"/>
    <w:rsid w:val="00060252"/>
    <w:rsid w:val="000605E1"/>
    <w:rsid w:val="000610F0"/>
    <w:rsid w:val="000616D2"/>
    <w:rsid w:val="0006191D"/>
    <w:rsid w:val="00061DE0"/>
    <w:rsid w:val="00061FF7"/>
    <w:rsid w:val="00062112"/>
    <w:rsid w:val="00062226"/>
    <w:rsid w:val="000624D2"/>
    <w:rsid w:val="0006267A"/>
    <w:rsid w:val="00062B2D"/>
    <w:rsid w:val="000632B1"/>
    <w:rsid w:val="000633BA"/>
    <w:rsid w:val="00063557"/>
    <w:rsid w:val="00063D96"/>
    <w:rsid w:val="00064101"/>
    <w:rsid w:val="00064195"/>
    <w:rsid w:val="000642A7"/>
    <w:rsid w:val="00064505"/>
    <w:rsid w:val="000654E4"/>
    <w:rsid w:val="00065623"/>
    <w:rsid w:val="00065658"/>
    <w:rsid w:val="00065C37"/>
    <w:rsid w:val="0006602B"/>
    <w:rsid w:val="0006603A"/>
    <w:rsid w:val="00066608"/>
    <w:rsid w:val="000666B4"/>
    <w:rsid w:val="0006687C"/>
    <w:rsid w:val="00066948"/>
    <w:rsid w:val="00066E6F"/>
    <w:rsid w:val="00066F56"/>
    <w:rsid w:val="00067C17"/>
    <w:rsid w:val="00070016"/>
    <w:rsid w:val="000704D0"/>
    <w:rsid w:val="00070579"/>
    <w:rsid w:val="00070DA0"/>
    <w:rsid w:val="00071631"/>
    <w:rsid w:val="00071680"/>
    <w:rsid w:val="00071A58"/>
    <w:rsid w:val="00071B72"/>
    <w:rsid w:val="00071FA4"/>
    <w:rsid w:val="00071FD6"/>
    <w:rsid w:val="000729E2"/>
    <w:rsid w:val="00072C2A"/>
    <w:rsid w:val="00072E91"/>
    <w:rsid w:val="00072ED1"/>
    <w:rsid w:val="00072F15"/>
    <w:rsid w:val="00072FF6"/>
    <w:rsid w:val="00073537"/>
    <w:rsid w:val="00073709"/>
    <w:rsid w:val="000739C1"/>
    <w:rsid w:val="000739DC"/>
    <w:rsid w:val="00073A84"/>
    <w:rsid w:val="00074CEA"/>
    <w:rsid w:val="000751CF"/>
    <w:rsid w:val="000751F8"/>
    <w:rsid w:val="000755C1"/>
    <w:rsid w:val="00075695"/>
    <w:rsid w:val="00076068"/>
    <w:rsid w:val="000760FE"/>
    <w:rsid w:val="0007621C"/>
    <w:rsid w:val="00076389"/>
    <w:rsid w:val="000765C2"/>
    <w:rsid w:val="000765E0"/>
    <w:rsid w:val="00076853"/>
    <w:rsid w:val="00076B29"/>
    <w:rsid w:val="00076D0E"/>
    <w:rsid w:val="00077186"/>
    <w:rsid w:val="000774E1"/>
    <w:rsid w:val="00077B79"/>
    <w:rsid w:val="00077E8E"/>
    <w:rsid w:val="0008066E"/>
    <w:rsid w:val="0008085A"/>
    <w:rsid w:val="00080933"/>
    <w:rsid w:val="00080AD4"/>
    <w:rsid w:val="00080F22"/>
    <w:rsid w:val="00081017"/>
    <w:rsid w:val="000813B8"/>
    <w:rsid w:val="000813D9"/>
    <w:rsid w:val="000820C3"/>
    <w:rsid w:val="0008229D"/>
    <w:rsid w:val="00082356"/>
    <w:rsid w:val="000823D3"/>
    <w:rsid w:val="000828B0"/>
    <w:rsid w:val="00082CC4"/>
    <w:rsid w:val="00082D65"/>
    <w:rsid w:val="00082DF7"/>
    <w:rsid w:val="00083DE4"/>
    <w:rsid w:val="00083EC1"/>
    <w:rsid w:val="00083FB5"/>
    <w:rsid w:val="00084098"/>
    <w:rsid w:val="000843F4"/>
    <w:rsid w:val="00084911"/>
    <w:rsid w:val="00085787"/>
    <w:rsid w:val="00085A2F"/>
    <w:rsid w:val="00085AFB"/>
    <w:rsid w:val="00085DF5"/>
    <w:rsid w:val="00085F9D"/>
    <w:rsid w:val="0008607F"/>
    <w:rsid w:val="000865B0"/>
    <w:rsid w:val="00086634"/>
    <w:rsid w:val="00086AFD"/>
    <w:rsid w:val="00086FCC"/>
    <w:rsid w:val="00087122"/>
    <w:rsid w:val="0008724F"/>
    <w:rsid w:val="000872BF"/>
    <w:rsid w:val="000876FD"/>
    <w:rsid w:val="0008799A"/>
    <w:rsid w:val="00087D7C"/>
    <w:rsid w:val="0009007E"/>
    <w:rsid w:val="000907A8"/>
    <w:rsid w:val="000908A4"/>
    <w:rsid w:val="00090997"/>
    <w:rsid w:val="00090A41"/>
    <w:rsid w:val="00090C87"/>
    <w:rsid w:val="00090E12"/>
    <w:rsid w:val="00090F46"/>
    <w:rsid w:val="00090FA8"/>
    <w:rsid w:val="00091261"/>
    <w:rsid w:val="00091549"/>
    <w:rsid w:val="00091677"/>
    <w:rsid w:val="000916BD"/>
    <w:rsid w:val="00091871"/>
    <w:rsid w:val="00091959"/>
    <w:rsid w:val="000919A5"/>
    <w:rsid w:val="00091DB0"/>
    <w:rsid w:val="000920FB"/>
    <w:rsid w:val="0009210D"/>
    <w:rsid w:val="00093150"/>
    <w:rsid w:val="00093740"/>
    <w:rsid w:val="00093931"/>
    <w:rsid w:val="00093D73"/>
    <w:rsid w:val="00094467"/>
    <w:rsid w:val="000945E1"/>
    <w:rsid w:val="00094A8E"/>
    <w:rsid w:val="00094B45"/>
    <w:rsid w:val="00094D87"/>
    <w:rsid w:val="00094E3E"/>
    <w:rsid w:val="00094F5D"/>
    <w:rsid w:val="000954E3"/>
    <w:rsid w:val="0009553A"/>
    <w:rsid w:val="000956B2"/>
    <w:rsid w:val="00095939"/>
    <w:rsid w:val="00095C9B"/>
    <w:rsid w:val="00095F39"/>
    <w:rsid w:val="000960F9"/>
    <w:rsid w:val="0009623F"/>
    <w:rsid w:val="00096477"/>
    <w:rsid w:val="00096624"/>
    <w:rsid w:val="000967E2"/>
    <w:rsid w:val="000967F0"/>
    <w:rsid w:val="0009759F"/>
    <w:rsid w:val="00097AAF"/>
    <w:rsid w:val="00097F1C"/>
    <w:rsid w:val="00097FD3"/>
    <w:rsid w:val="000A0E10"/>
    <w:rsid w:val="000A1341"/>
    <w:rsid w:val="000A1371"/>
    <w:rsid w:val="000A13AC"/>
    <w:rsid w:val="000A1B13"/>
    <w:rsid w:val="000A1FE0"/>
    <w:rsid w:val="000A1FE8"/>
    <w:rsid w:val="000A2155"/>
    <w:rsid w:val="000A277B"/>
    <w:rsid w:val="000A2DC8"/>
    <w:rsid w:val="000A3510"/>
    <w:rsid w:val="000A355C"/>
    <w:rsid w:val="000A3671"/>
    <w:rsid w:val="000A3A32"/>
    <w:rsid w:val="000A3C79"/>
    <w:rsid w:val="000A4073"/>
    <w:rsid w:val="000A4165"/>
    <w:rsid w:val="000A4808"/>
    <w:rsid w:val="000A498C"/>
    <w:rsid w:val="000A4C35"/>
    <w:rsid w:val="000A4CD5"/>
    <w:rsid w:val="000A4DA5"/>
    <w:rsid w:val="000A52E4"/>
    <w:rsid w:val="000A5C00"/>
    <w:rsid w:val="000A5CAF"/>
    <w:rsid w:val="000A68C0"/>
    <w:rsid w:val="000A6BC0"/>
    <w:rsid w:val="000A6EA4"/>
    <w:rsid w:val="000A7199"/>
    <w:rsid w:val="000A733A"/>
    <w:rsid w:val="000A757C"/>
    <w:rsid w:val="000A757E"/>
    <w:rsid w:val="000A77E0"/>
    <w:rsid w:val="000A77E5"/>
    <w:rsid w:val="000A7800"/>
    <w:rsid w:val="000A78FB"/>
    <w:rsid w:val="000A79EC"/>
    <w:rsid w:val="000A7BA4"/>
    <w:rsid w:val="000A7DA4"/>
    <w:rsid w:val="000A7E13"/>
    <w:rsid w:val="000B0008"/>
    <w:rsid w:val="000B0923"/>
    <w:rsid w:val="000B0CF6"/>
    <w:rsid w:val="000B1460"/>
    <w:rsid w:val="000B15A3"/>
    <w:rsid w:val="000B1629"/>
    <w:rsid w:val="000B16BF"/>
    <w:rsid w:val="000B1729"/>
    <w:rsid w:val="000B1732"/>
    <w:rsid w:val="000B1DCE"/>
    <w:rsid w:val="000B1E2C"/>
    <w:rsid w:val="000B1FFB"/>
    <w:rsid w:val="000B201E"/>
    <w:rsid w:val="000B2076"/>
    <w:rsid w:val="000B2146"/>
    <w:rsid w:val="000B21B2"/>
    <w:rsid w:val="000B2611"/>
    <w:rsid w:val="000B2B80"/>
    <w:rsid w:val="000B3134"/>
    <w:rsid w:val="000B3253"/>
    <w:rsid w:val="000B3ACD"/>
    <w:rsid w:val="000B437B"/>
    <w:rsid w:val="000B47C7"/>
    <w:rsid w:val="000B48FD"/>
    <w:rsid w:val="000B4A63"/>
    <w:rsid w:val="000B4F0F"/>
    <w:rsid w:val="000B521C"/>
    <w:rsid w:val="000B5889"/>
    <w:rsid w:val="000B5A8E"/>
    <w:rsid w:val="000B5F82"/>
    <w:rsid w:val="000B6037"/>
    <w:rsid w:val="000B6749"/>
    <w:rsid w:val="000B68B9"/>
    <w:rsid w:val="000B6DBA"/>
    <w:rsid w:val="000B71AF"/>
    <w:rsid w:val="000B75AA"/>
    <w:rsid w:val="000B7B9F"/>
    <w:rsid w:val="000B7F00"/>
    <w:rsid w:val="000C003B"/>
    <w:rsid w:val="000C041E"/>
    <w:rsid w:val="000C0F75"/>
    <w:rsid w:val="000C38B6"/>
    <w:rsid w:val="000C3994"/>
    <w:rsid w:val="000C3AB6"/>
    <w:rsid w:val="000C3D25"/>
    <w:rsid w:val="000C4142"/>
    <w:rsid w:val="000C453E"/>
    <w:rsid w:val="000C4967"/>
    <w:rsid w:val="000C49A3"/>
    <w:rsid w:val="000C4A75"/>
    <w:rsid w:val="000C4ABF"/>
    <w:rsid w:val="000C4ADD"/>
    <w:rsid w:val="000C4AFE"/>
    <w:rsid w:val="000C4DB8"/>
    <w:rsid w:val="000C5249"/>
    <w:rsid w:val="000C62A5"/>
    <w:rsid w:val="000C6AB3"/>
    <w:rsid w:val="000C6E6A"/>
    <w:rsid w:val="000C71E6"/>
    <w:rsid w:val="000C773C"/>
    <w:rsid w:val="000C7D9C"/>
    <w:rsid w:val="000D0585"/>
    <w:rsid w:val="000D0E4D"/>
    <w:rsid w:val="000D13A5"/>
    <w:rsid w:val="000D1663"/>
    <w:rsid w:val="000D1A5D"/>
    <w:rsid w:val="000D1FF1"/>
    <w:rsid w:val="000D23D9"/>
    <w:rsid w:val="000D24B8"/>
    <w:rsid w:val="000D251D"/>
    <w:rsid w:val="000D253D"/>
    <w:rsid w:val="000D27F4"/>
    <w:rsid w:val="000D28ED"/>
    <w:rsid w:val="000D2D5A"/>
    <w:rsid w:val="000D2DBB"/>
    <w:rsid w:val="000D3661"/>
    <w:rsid w:val="000D37DF"/>
    <w:rsid w:val="000D3E92"/>
    <w:rsid w:val="000D492E"/>
    <w:rsid w:val="000D4C79"/>
    <w:rsid w:val="000D4E2E"/>
    <w:rsid w:val="000D52C3"/>
    <w:rsid w:val="000D5536"/>
    <w:rsid w:val="000D5665"/>
    <w:rsid w:val="000D5710"/>
    <w:rsid w:val="000D5C64"/>
    <w:rsid w:val="000D62F3"/>
    <w:rsid w:val="000D63A6"/>
    <w:rsid w:val="000D67AD"/>
    <w:rsid w:val="000D69D8"/>
    <w:rsid w:val="000D6A69"/>
    <w:rsid w:val="000D6F41"/>
    <w:rsid w:val="000D73E3"/>
    <w:rsid w:val="000D7A91"/>
    <w:rsid w:val="000D7BD9"/>
    <w:rsid w:val="000D7F84"/>
    <w:rsid w:val="000E035C"/>
    <w:rsid w:val="000E0D0A"/>
    <w:rsid w:val="000E1755"/>
    <w:rsid w:val="000E1C86"/>
    <w:rsid w:val="000E2295"/>
    <w:rsid w:val="000E2B0F"/>
    <w:rsid w:val="000E2F63"/>
    <w:rsid w:val="000E32AB"/>
    <w:rsid w:val="000E3646"/>
    <w:rsid w:val="000E3651"/>
    <w:rsid w:val="000E3D08"/>
    <w:rsid w:val="000E3E77"/>
    <w:rsid w:val="000E3F43"/>
    <w:rsid w:val="000E4555"/>
    <w:rsid w:val="000E47C4"/>
    <w:rsid w:val="000E4940"/>
    <w:rsid w:val="000E4AA8"/>
    <w:rsid w:val="000E4D9F"/>
    <w:rsid w:val="000E5312"/>
    <w:rsid w:val="000E5557"/>
    <w:rsid w:val="000E564A"/>
    <w:rsid w:val="000E58CF"/>
    <w:rsid w:val="000E613C"/>
    <w:rsid w:val="000E660E"/>
    <w:rsid w:val="000E695C"/>
    <w:rsid w:val="000E6A5D"/>
    <w:rsid w:val="000E6C94"/>
    <w:rsid w:val="000E7474"/>
    <w:rsid w:val="000E7715"/>
    <w:rsid w:val="000E7B7F"/>
    <w:rsid w:val="000E7BBA"/>
    <w:rsid w:val="000E7F8C"/>
    <w:rsid w:val="000E7FF5"/>
    <w:rsid w:val="000F013A"/>
    <w:rsid w:val="000F018C"/>
    <w:rsid w:val="000F0198"/>
    <w:rsid w:val="000F025D"/>
    <w:rsid w:val="000F10BF"/>
    <w:rsid w:val="000F168B"/>
    <w:rsid w:val="000F19DC"/>
    <w:rsid w:val="000F1A35"/>
    <w:rsid w:val="000F1CE9"/>
    <w:rsid w:val="000F231D"/>
    <w:rsid w:val="000F2385"/>
    <w:rsid w:val="000F23DD"/>
    <w:rsid w:val="000F2A47"/>
    <w:rsid w:val="000F328B"/>
    <w:rsid w:val="000F3526"/>
    <w:rsid w:val="000F3832"/>
    <w:rsid w:val="000F3CDC"/>
    <w:rsid w:val="000F42C6"/>
    <w:rsid w:val="000F50D6"/>
    <w:rsid w:val="000F5207"/>
    <w:rsid w:val="000F5784"/>
    <w:rsid w:val="000F5DB8"/>
    <w:rsid w:val="000F613F"/>
    <w:rsid w:val="000F627F"/>
    <w:rsid w:val="000F62E2"/>
    <w:rsid w:val="000F6A8C"/>
    <w:rsid w:val="000F6D71"/>
    <w:rsid w:val="000F7498"/>
    <w:rsid w:val="00100985"/>
    <w:rsid w:val="00100BFA"/>
    <w:rsid w:val="00100EC9"/>
    <w:rsid w:val="0010136C"/>
    <w:rsid w:val="0010139D"/>
    <w:rsid w:val="00101911"/>
    <w:rsid w:val="00101AC0"/>
    <w:rsid w:val="00101B8A"/>
    <w:rsid w:val="00101EB9"/>
    <w:rsid w:val="001023D0"/>
    <w:rsid w:val="00102403"/>
    <w:rsid w:val="00102693"/>
    <w:rsid w:val="00102A7A"/>
    <w:rsid w:val="001032CC"/>
    <w:rsid w:val="00103485"/>
    <w:rsid w:val="0010355A"/>
    <w:rsid w:val="00103675"/>
    <w:rsid w:val="0010391D"/>
    <w:rsid w:val="00103E5B"/>
    <w:rsid w:val="00103F3E"/>
    <w:rsid w:val="001041B3"/>
    <w:rsid w:val="00104D8E"/>
    <w:rsid w:val="00105292"/>
    <w:rsid w:val="00106525"/>
    <w:rsid w:val="0010667C"/>
    <w:rsid w:val="00106892"/>
    <w:rsid w:val="0010761D"/>
    <w:rsid w:val="001077AD"/>
    <w:rsid w:val="001077AF"/>
    <w:rsid w:val="00107C16"/>
    <w:rsid w:val="00107C1C"/>
    <w:rsid w:val="00107DAB"/>
    <w:rsid w:val="0011023D"/>
    <w:rsid w:val="001104D7"/>
    <w:rsid w:val="0011085D"/>
    <w:rsid w:val="00111113"/>
    <w:rsid w:val="0011136C"/>
    <w:rsid w:val="0011140E"/>
    <w:rsid w:val="001115EE"/>
    <w:rsid w:val="001116AF"/>
    <w:rsid w:val="0011180B"/>
    <w:rsid w:val="00111B54"/>
    <w:rsid w:val="00111B92"/>
    <w:rsid w:val="00111CE2"/>
    <w:rsid w:val="00112032"/>
    <w:rsid w:val="001122C4"/>
    <w:rsid w:val="001125D4"/>
    <w:rsid w:val="0011270F"/>
    <w:rsid w:val="001127F1"/>
    <w:rsid w:val="00112C7D"/>
    <w:rsid w:val="00113238"/>
    <w:rsid w:val="001133E3"/>
    <w:rsid w:val="00113847"/>
    <w:rsid w:val="00113BA3"/>
    <w:rsid w:val="00113D31"/>
    <w:rsid w:val="00113EB6"/>
    <w:rsid w:val="001142D6"/>
    <w:rsid w:val="00114BA4"/>
    <w:rsid w:val="00115601"/>
    <w:rsid w:val="001159F6"/>
    <w:rsid w:val="00115D29"/>
    <w:rsid w:val="00115F67"/>
    <w:rsid w:val="001162D9"/>
    <w:rsid w:val="001163BF"/>
    <w:rsid w:val="00116429"/>
    <w:rsid w:val="00116BB7"/>
    <w:rsid w:val="00116BED"/>
    <w:rsid w:val="0011716D"/>
    <w:rsid w:val="0011757D"/>
    <w:rsid w:val="00117647"/>
    <w:rsid w:val="00120DD3"/>
    <w:rsid w:val="00121083"/>
    <w:rsid w:val="001211D9"/>
    <w:rsid w:val="001217B6"/>
    <w:rsid w:val="001217BE"/>
    <w:rsid w:val="001218E4"/>
    <w:rsid w:val="00121AF8"/>
    <w:rsid w:val="00121F97"/>
    <w:rsid w:val="00122002"/>
    <w:rsid w:val="001222B0"/>
    <w:rsid w:val="001222B3"/>
    <w:rsid w:val="00122447"/>
    <w:rsid w:val="00123022"/>
    <w:rsid w:val="00123D0F"/>
    <w:rsid w:val="00124287"/>
    <w:rsid w:val="00124847"/>
    <w:rsid w:val="00124D22"/>
    <w:rsid w:val="00124D81"/>
    <w:rsid w:val="00124EB2"/>
    <w:rsid w:val="00124FEC"/>
    <w:rsid w:val="0012556F"/>
    <w:rsid w:val="00125AAF"/>
    <w:rsid w:val="00125E5C"/>
    <w:rsid w:val="00126627"/>
    <w:rsid w:val="00126929"/>
    <w:rsid w:val="00126E01"/>
    <w:rsid w:val="00127194"/>
    <w:rsid w:val="00127591"/>
    <w:rsid w:val="0012771C"/>
    <w:rsid w:val="00127A55"/>
    <w:rsid w:val="00127D4A"/>
    <w:rsid w:val="00127FDD"/>
    <w:rsid w:val="001305E6"/>
    <w:rsid w:val="001307C7"/>
    <w:rsid w:val="00130A30"/>
    <w:rsid w:val="0013107A"/>
    <w:rsid w:val="001313E9"/>
    <w:rsid w:val="001315D2"/>
    <w:rsid w:val="00131C4C"/>
    <w:rsid w:val="00131CE1"/>
    <w:rsid w:val="00131D1A"/>
    <w:rsid w:val="00132224"/>
    <w:rsid w:val="001325B2"/>
    <w:rsid w:val="0013261B"/>
    <w:rsid w:val="00132884"/>
    <w:rsid w:val="00132A80"/>
    <w:rsid w:val="00133650"/>
    <w:rsid w:val="0013377B"/>
    <w:rsid w:val="00133803"/>
    <w:rsid w:val="00133FC0"/>
    <w:rsid w:val="001343A0"/>
    <w:rsid w:val="00134CE3"/>
    <w:rsid w:val="00134F25"/>
    <w:rsid w:val="00135081"/>
    <w:rsid w:val="00135602"/>
    <w:rsid w:val="0013594E"/>
    <w:rsid w:val="00135CC3"/>
    <w:rsid w:val="00136036"/>
    <w:rsid w:val="0013618A"/>
    <w:rsid w:val="00137430"/>
    <w:rsid w:val="0013752B"/>
    <w:rsid w:val="001377D0"/>
    <w:rsid w:val="00137900"/>
    <w:rsid w:val="0013798F"/>
    <w:rsid w:val="00137D29"/>
    <w:rsid w:val="00137EB5"/>
    <w:rsid w:val="00137FFA"/>
    <w:rsid w:val="00140566"/>
    <w:rsid w:val="00140573"/>
    <w:rsid w:val="001407A3"/>
    <w:rsid w:val="00140A0D"/>
    <w:rsid w:val="00140A81"/>
    <w:rsid w:val="00141827"/>
    <w:rsid w:val="001428C9"/>
    <w:rsid w:val="00142970"/>
    <w:rsid w:val="00142B8E"/>
    <w:rsid w:val="00142C07"/>
    <w:rsid w:val="00142FA6"/>
    <w:rsid w:val="001437A8"/>
    <w:rsid w:val="00143A29"/>
    <w:rsid w:val="00144221"/>
    <w:rsid w:val="001444D2"/>
    <w:rsid w:val="00144770"/>
    <w:rsid w:val="0014493C"/>
    <w:rsid w:val="00144950"/>
    <w:rsid w:val="00144B09"/>
    <w:rsid w:val="00144BEF"/>
    <w:rsid w:val="0014521C"/>
    <w:rsid w:val="0014558C"/>
    <w:rsid w:val="00145B83"/>
    <w:rsid w:val="00145BB6"/>
    <w:rsid w:val="00145BC6"/>
    <w:rsid w:val="00145D53"/>
    <w:rsid w:val="00145F40"/>
    <w:rsid w:val="00146274"/>
    <w:rsid w:val="0014633D"/>
    <w:rsid w:val="00146649"/>
    <w:rsid w:val="0014672E"/>
    <w:rsid w:val="001478AF"/>
    <w:rsid w:val="00147A1E"/>
    <w:rsid w:val="001504A4"/>
    <w:rsid w:val="00150D42"/>
    <w:rsid w:val="00150DDB"/>
    <w:rsid w:val="00150ECA"/>
    <w:rsid w:val="001512C2"/>
    <w:rsid w:val="001513DC"/>
    <w:rsid w:val="0015166B"/>
    <w:rsid w:val="00151BD5"/>
    <w:rsid w:val="00152491"/>
    <w:rsid w:val="00152820"/>
    <w:rsid w:val="00152AD6"/>
    <w:rsid w:val="00152DA9"/>
    <w:rsid w:val="00152E59"/>
    <w:rsid w:val="00153036"/>
    <w:rsid w:val="001535A9"/>
    <w:rsid w:val="001537FE"/>
    <w:rsid w:val="00153A58"/>
    <w:rsid w:val="00153C26"/>
    <w:rsid w:val="00154286"/>
    <w:rsid w:val="001547E2"/>
    <w:rsid w:val="001548A4"/>
    <w:rsid w:val="00154981"/>
    <w:rsid w:val="0015521E"/>
    <w:rsid w:val="0015537E"/>
    <w:rsid w:val="001554DB"/>
    <w:rsid w:val="00155697"/>
    <w:rsid w:val="001556A9"/>
    <w:rsid w:val="0015640A"/>
    <w:rsid w:val="00156433"/>
    <w:rsid w:val="00156843"/>
    <w:rsid w:val="0015783D"/>
    <w:rsid w:val="00157B4B"/>
    <w:rsid w:val="00160121"/>
    <w:rsid w:val="00160A5B"/>
    <w:rsid w:val="00160BB1"/>
    <w:rsid w:val="00160F32"/>
    <w:rsid w:val="001611AE"/>
    <w:rsid w:val="001616A4"/>
    <w:rsid w:val="0016197A"/>
    <w:rsid w:val="00161C77"/>
    <w:rsid w:val="00161CE7"/>
    <w:rsid w:val="001621F0"/>
    <w:rsid w:val="001623A7"/>
    <w:rsid w:val="001626CB"/>
    <w:rsid w:val="00162C2A"/>
    <w:rsid w:val="001630A8"/>
    <w:rsid w:val="001636FC"/>
    <w:rsid w:val="0016396D"/>
    <w:rsid w:val="00164805"/>
    <w:rsid w:val="00164B05"/>
    <w:rsid w:val="00164D9F"/>
    <w:rsid w:val="0016504B"/>
    <w:rsid w:val="001652EF"/>
    <w:rsid w:val="00166177"/>
    <w:rsid w:val="00166575"/>
    <w:rsid w:val="001669EB"/>
    <w:rsid w:val="00166EED"/>
    <w:rsid w:val="00167261"/>
    <w:rsid w:val="00170657"/>
    <w:rsid w:val="001708DD"/>
    <w:rsid w:val="0017120F"/>
    <w:rsid w:val="00171317"/>
    <w:rsid w:val="0017139D"/>
    <w:rsid w:val="00171714"/>
    <w:rsid w:val="00171A73"/>
    <w:rsid w:val="00171B9B"/>
    <w:rsid w:val="001728DF"/>
    <w:rsid w:val="00172F20"/>
    <w:rsid w:val="001730FB"/>
    <w:rsid w:val="00173103"/>
    <w:rsid w:val="00173834"/>
    <w:rsid w:val="001738FE"/>
    <w:rsid w:val="001739F7"/>
    <w:rsid w:val="00173F65"/>
    <w:rsid w:val="0017414A"/>
    <w:rsid w:val="001741D9"/>
    <w:rsid w:val="00174521"/>
    <w:rsid w:val="00174816"/>
    <w:rsid w:val="00175398"/>
    <w:rsid w:val="001753D3"/>
    <w:rsid w:val="00175FBE"/>
    <w:rsid w:val="001760E8"/>
    <w:rsid w:val="0017621E"/>
    <w:rsid w:val="00176EED"/>
    <w:rsid w:val="001773E9"/>
    <w:rsid w:val="0017770E"/>
    <w:rsid w:val="00177737"/>
    <w:rsid w:val="00177777"/>
    <w:rsid w:val="00177828"/>
    <w:rsid w:val="001778EA"/>
    <w:rsid w:val="001801B7"/>
    <w:rsid w:val="00180224"/>
    <w:rsid w:val="00180380"/>
    <w:rsid w:val="001804BE"/>
    <w:rsid w:val="001807CF"/>
    <w:rsid w:val="00180B50"/>
    <w:rsid w:val="00180D90"/>
    <w:rsid w:val="00180E05"/>
    <w:rsid w:val="00180F50"/>
    <w:rsid w:val="0018110C"/>
    <w:rsid w:val="0018116B"/>
    <w:rsid w:val="00181B26"/>
    <w:rsid w:val="0018231B"/>
    <w:rsid w:val="00182646"/>
    <w:rsid w:val="00182B8D"/>
    <w:rsid w:val="00182E3C"/>
    <w:rsid w:val="00183686"/>
    <w:rsid w:val="0018376E"/>
    <w:rsid w:val="001839AF"/>
    <w:rsid w:val="00185668"/>
    <w:rsid w:val="001859B5"/>
    <w:rsid w:val="00185BA4"/>
    <w:rsid w:val="00186564"/>
    <w:rsid w:val="001872F7"/>
    <w:rsid w:val="00187CDF"/>
    <w:rsid w:val="00187E14"/>
    <w:rsid w:val="00187E4C"/>
    <w:rsid w:val="00187EE5"/>
    <w:rsid w:val="0019020A"/>
    <w:rsid w:val="00190AB3"/>
    <w:rsid w:val="00190BFB"/>
    <w:rsid w:val="00190F95"/>
    <w:rsid w:val="001911BA"/>
    <w:rsid w:val="0019145A"/>
    <w:rsid w:val="001916B5"/>
    <w:rsid w:val="0019228A"/>
    <w:rsid w:val="00192CF8"/>
    <w:rsid w:val="00192D39"/>
    <w:rsid w:val="00193235"/>
    <w:rsid w:val="001936D6"/>
    <w:rsid w:val="00193CEC"/>
    <w:rsid w:val="00194573"/>
    <w:rsid w:val="00194E5C"/>
    <w:rsid w:val="00194F95"/>
    <w:rsid w:val="001951DA"/>
    <w:rsid w:val="00195326"/>
    <w:rsid w:val="00195813"/>
    <w:rsid w:val="001958B1"/>
    <w:rsid w:val="00195A1A"/>
    <w:rsid w:val="00195C09"/>
    <w:rsid w:val="00196349"/>
    <w:rsid w:val="00196841"/>
    <w:rsid w:val="0019741E"/>
    <w:rsid w:val="00197494"/>
    <w:rsid w:val="0019750E"/>
    <w:rsid w:val="00197BF6"/>
    <w:rsid w:val="001A05E4"/>
    <w:rsid w:val="001A0678"/>
    <w:rsid w:val="001A09D8"/>
    <w:rsid w:val="001A0B14"/>
    <w:rsid w:val="001A0D63"/>
    <w:rsid w:val="001A1303"/>
    <w:rsid w:val="001A1E93"/>
    <w:rsid w:val="001A20D5"/>
    <w:rsid w:val="001A23A3"/>
    <w:rsid w:val="001A2434"/>
    <w:rsid w:val="001A2479"/>
    <w:rsid w:val="001A2822"/>
    <w:rsid w:val="001A2EBA"/>
    <w:rsid w:val="001A2F04"/>
    <w:rsid w:val="001A3181"/>
    <w:rsid w:val="001A326C"/>
    <w:rsid w:val="001A391A"/>
    <w:rsid w:val="001A3DD6"/>
    <w:rsid w:val="001A4109"/>
    <w:rsid w:val="001A4324"/>
    <w:rsid w:val="001A53F7"/>
    <w:rsid w:val="001A5660"/>
    <w:rsid w:val="001A576B"/>
    <w:rsid w:val="001A5957"/>
    <w:rsid w:val="001A7043"/>
    <w:rsid w:val="001A7521"/>
    <w:rsid w:val="001A763F"/>
    <w:rsid w:val="001A7701"/>
    <w:rsid w:val="001B0188"/>
    <w:rsid w:val="001B0799"/>
    <w:rsid w:val="001B0914"/>
    <w:rsid w:val="001B1107"/>
    <w:rsid w:val="001B11DB"/>
    <w:rsid w:val="001B126B"/>
    <w:rsid w:val="001B13FA"/>
    <w:rsid w:val="001B1578"/>
    <w:rsid w:val="001B18A5"/>
    <w:rsid w:val="001B1E3F"/>
    <w:rsid w:val="001B2263"/>
    <w:rsid w:val="001B2316"/>
    <w:rsid w:val="001B24FB"/>
    <w:rsid w:val="001B261F"/>
    <w:rsid w:val="001B2BC3"/>
    <w:rsid w:val="001B3576"/>
    <w:rsid w:val="001B3AFE"/>
    <w:rsid w:val="001B3BF7"/>
    <w:rsid w:val="001B3EE6"/>
    <w:rsid w:val="001B4071"/>
    <w:rsid w:val="001B45E7"/>
    <w:rsid w:val="001B4623"/>
    <w:rsid w:val="001B46AF"/>
    <w:rsid w:val="001B4C6B"/>
    <w:rsid w:val="001B4F1A"/>
    <w:rsid w:val="001B54F1"/>
    <w:rsid w:val="001B56B6"/>
    <w:rsid w:val="001B6102"/>
    <w:rsid w:val="001B6A7E"/>
    <w:rsid w:val="001B6D22"/>
    <w:rsid w:val="001B7489"/>
    <w:rsid w:val="001B748F"/>
    <w:rsid w:val="001B7714"/>
    <w:rsid w:val="001B7D5E"/>
    <w:rsid w:val="001B7FF5"/>
    <w:rsid w:val="001C01F3"/>
    <w:rsid w:val="001C0387"/>
    <w:rsid w:val="001C0916"/>
    <w:rsid w:val="001C093E"/>
    <w:rsid w:val="001C0BF4"/>
    <w:rsid w:val="001C0F94"/>
    <w:rsid w:val="001C157F"/>
    <w:rsid w:val="001C1887"/>
    <w:rsid w:val="001C18AC"/>
    <w:rsid w:val="001C20A7"/>
    <w:rsid w:val="001C23B5"/>
    <w:rsid w:val="001C24DE"/>
    <w:rsid w:val="001C25C5"/>
    <w:rsid w:val="001C26C2"/>
    <w:rsid w:val="001C2EF0"/>
    <w:rsid w:val="001C3A0A"/>
    <w:rsid w:val="001C3D7A"/>
    <w:rsid w:val="001C403E"/>
    <w:rsid w:val="001C40A1"/>
    <w:rsid w:val="001C4F56"/>
    <w:rsid w:val="001C50EA"/>
    <w:rsid w:val="001C53C6"/>
    <w:rsid w:val="001C5E36"/>
    <w:rsid w:val="001C5FF8"/>
    <w:rsid w:val="001C6985"/>
    <w:rsid w:val="001C6A14"/>
    <w:rsid w:val="001C6C75"/>
    <w:rsid w:val="001C7361"/>
    <w:rsid w:val="001C74D0"/>
    <w:rsid w:val="001C779F"/>
    <w:rsid w:val="001D0748"/>
    <w:rsid w:val="001D0B64"/>
    <w:rsid w:val="001D0D04"/>
    <w:rsid w:val="001D0E9B"/>
    <w:rsid w:val="001D0F72"/>
    <w:rsid w:val="001D1023"/>
    <w:rsid w:val="001D1322"/>
    <w:rsid w:val="001D1861"/>
    <w:rsid w:val="001D2006"/>
    <w:rsid w:val="001D2345"/>
    <w:rsid w:val="001D26BF"/>
    <w:rsid w:val="001D2D0F"/>
    <w:rsid w:val="001D3058"/>
    <w:rsid w:val="001D3064"/>
    <w:rsid w:val="001D313B"/>
    <w:rsid w:val="001D3395"/>
    <w:rsid w:val="001D351B"/>
    <w:rsid w:val="001D38F4"/>
    <w:rsid w:val="001D3A4E"/>
    <w:rsid w:val="001D3B80"/>
    <w:rsid w:val="001D403D"/>
    <w:rsid w:val="001D4168"/>
    <w:rsid w:val="001D42F5"/>
    <w:rsid w:val="001D443F"/>
    <w:rsid w:val="001D4586"/>
    <w:rsid w:val="001D45E1"/>
    <w:rsid w:val="001D46D1"/>
    <w:rsid w:val="001D4ADB"/>
    <w:rsid w:val="001D4E22"/>
    <w:rsid w:val="001D53B6"/>
    <w:rsid w:val="001D53E3"/>
    <w:rsid w:val="001D59E2"/>
    <w:rsid w:val="001D5ACF"/>
    <w:rsid w:val="001D5CE3"/>
    <w:rsid w:val="001D60A3"/>
    <w:rsid w:val="001D62F2"/>
    <w:rsid w:val="001D65F9"/>
    <w:rsid w:val="001D6EF0"/>
    <w:rsid w:val="001D73A5"/>
    <w:rsid w:val="001D765A"/>
    <w:rsid w:val="001D7750"/>
    <w:rsid w:val="001D79C4"/>
    <w:rsid w:val="001D7B09"/>
    <w:rsid w:val="001D7B85"/>
    <w:rsid w:val="001D7C49"/>
    <w:rsid w:val="001D7F20"/>
    <w:rsid w:val="001D7F2D"/>
    <w:rsid w:val="001E0633"/>
    <w:rsid w:val="001E0A2D"/>
    <w:rsid w:val="001E0E0C"/>
    <w:rsid w:val="001E1683"/>
    <w:rsid w:val="001E19EF"/>
    <w:rsid w:val="001E1B82"/>
    <w:rsid w:val="001E1BE4"/>
    <w:rsid w:val="001E1C5E"/>
    <w:rsid w:val="001E1D8C"/>
    <w:rsid w:val="001E201E"/>
    <w:rsid w:val="001E2306"/>
    <w:rsid w:val="001E2399"/>
    <w:rsid w:val="001E259B"/>
    <w:rsid w:val="001E2728"/>
    <w:rsid w:val="001E28AC"/>
    <w:rsid w:val="001E28F0"/>
    <w:rsid w:val="001E2EAB"/>
    <w:rsid w:val="001E2EB7"/>
    <w:rsid w:val="001E32FE"/>
    <w:rsid w:val="001E3A02"/>
    <w:rsid w:val="001E3B0D"/>
    <w:rsid w:val="001E3B6A"/>
    <w:rsid w:val="001E4399"/>
    <w:rsid w:val="001E4851"/>
    <w:rsid w:val="001E49F2"/>
    <w:rsid w:val="001E516F"/>
    <w:rsid w:val="001E5590"/>
    <w:rsid w:val="001E57B8"/>
    <w:rsid w:val="001E5C16"/>
    <w:rsid w:val="001E6652"/>
    <w:rsid w:val="001E6B11"/>
    <w:rsid w:val="001E6D64"/>
    <w:rsid w:val="001E6D77"/>
    <w:rsid w:val="001E70A6"/>
    <w:rsid w:val="001E7341"/>
    <w:rsid w:val="001E74EB"/>
    <w:rsid w:val="001E7559"/>
    <w:rsid w:val="001E7569"/>
    <w:rsid w:val="001E7703"/>
    <w:rsid w:val="001E77E8"/>
    <w:rsid w:val="001E7A20"/>
    <w:rsid w:val="001E7EAD"/>
    <w:rsid w:val="001F0158"/>
    <w:rsid w:val="001F01BB"/>
    <w:rsid w:val="001F03E7"/>
    <w:rsid w:val="001F0E00"/>
    <w:rsid w:val="001F11AC"/>
    <w:rsid w:val="001F1943"/>
    <w:rsid w:val="001F1BA1"/>
    <w:rsid w:val="001F1F60"/>
    <w:rsid w:val="001F20D0"/>
    <w:rsid w:val="001F23FB"/>
    <w:rsid w:val="001F2792"/>
    <w:rsid w:val="001F3465"/>
    <w:rsid w:val="001F38F7"/>
    <w:rsid w:val="001F39D2"/>
    <w:rsid w:val="001F3EAE"/>
    <w:rsid w:val="001F47DC"/>
    <w:rsid w:val="001F4F7D"/>
    <w:rsid w:val="001F5515"/>
    <w:rsid w:val="001F562C"/>
    <w:rsid w:val="001F56DA"/>
    <w:rsid w:val="001F5985"/>
    <w:rsid w:val="001F5995"/>
    <w:rsid w:val="001F5B9A"/>
    <w:rsid w:val="001F5D48"/>
    <w:rsid w:val="001F615C"/>
    <w:rsid w:val="001F61EE"/>
    <w:rsid w:val="001F61FC"/>
    <w:rsid w:val="001F6D90"/>
    <w:rsid w:val="001F6F29"/>
    <w:rsid w:val="001F7239"/>
    <w:rsid w:val="001F74B3"/>
    <w:rsid w:val="001F797D"/>
    <w:rsid w:val="00200054"/>
    <w:rsid w:val="002001A9"/>
    <w:rsid w:val="0020023E"/>
    <w:rsid w:val="002003F5"/>
    <w:rsid w:val="002005F6"/>
    <w:rsid w:val="0020066C"/>
    <w:rsid w:val="00200A36"/>
    <w:rsid w:val="00200E85"/>
    <w:rsid w:val="00201791"/>
    <w:rsid w:val="00201BD9"/>
    <w:rsid w:val="0020215A"/>
    <w:rsid w:val="002026BE"/>
    <w:rsid w:val="00202841"/>
    <w:rsid w:val="00202852"/>
    <w:rsid w:val="00202860"/>
    <w:rsid w:val="0020314A"/>
    <w:rsid w:val="002031D5"/>
    <w:rsid w:val="00203269"/>
    <w:rsid w:val="0020397B"/>
    <w:rsid w:val="00203D51"/>
    <w:rsid w:val="00203DD4"/>
    <w:rsid w:val="002043EB"/>
    <w:rsid w:val="002045F9"/>
    <w:rsid w:val="0020477C"/>
    <w:rsid w:val="00204B5B"/>
    <w:rsid w:val="00204E56"/>
    <w:rsid w:val="00205014"/>
    <w:rsid w:val="002050D3"/>
    <w:rsid w:val="002054DB"/>
    <w:rsid w:val="0020550E"/>
    <w:rsid w:val="002056C0"/>
    <w:rsid w:val="002059D7"/>
    <w:rsid w:val="00205FFD"/>
    <w:rsid w:val="002063A4"/>
    <w:rsid w:val="00206484"/>
    <w:rsid w:val="0020655A"/>
    <w:rsid w:val="00206625"/>
    <w:rsid w:val="00206A11"/>
    <w:rsid w:val="00206BD5"/>
    <w:rsid w:val="00206CE1"/>
    <w:rsid w:val="002070DD"/>
    <w:rsid w:val="002072C0"/>
    <w:rsid w:val="00207387"/>
    <w:rsid w:val="00207501"/>
    <w:rsid w:val="00207551"/>
    <w:rsid w:val="00210040"/>
    <w:rsid w:val="00210055"/>
    <w:rsid w:val="002109B4"/>
    <w:rsid w:val="00210F0E"/>
    <w:rsid w:val="002114FD"/>
    <w:rsid w:val="0021185D"/>
    <w:rsid w:val="00211C71"/>
    <w:rsid w:val="00211F41"/>
    <w:rsid w:val="00212706"/>
    <w:rsid w:val="002127B3"/>
    <w:rsid w:val="00212E20"/>
    <w:rsid w:val="002130FE"/>
    <w:rsid w:val="002133C7"/>
    <w:rsid w:val="00213505"/>
    <w:rsid w:val="0021369B"/>
    <w:rsid w:val="00213703"/>
    <w:rsid w:val="0021377D"/>
    <w:rsid w:val="00213A3A"/>
    <w:rsid w:val="00213B98"/>
    <w:rsid w:val="00213F83"/>
    <w:rsid w:val="0021480C"/>
    <w:rsid w:val="0021492D"/>
    <w:rsid w:val="00214CBD"/>
    <w:rsid w:val="00214EA4"/>
    <w:rsid w:val="0021545B"/>
    <w:rsid w:val="00215772"/>
    <w:rsid w:val="00215C11"/>
    <w:rsid w:val="00215F35"/>
    <w:rsid w:val="002161C3"/>
    <w:rsid w:val="00216737"/>
    <w:rsid w:val="00216C4D"/>
    <w:rsid w:val="00216D19"/>
    <w:rsid w:val="00216D30"/>
    <w:rsid w:val="00217023"/>
    <w:rsid w:val="00217126"/>
    <w:rsid w:val="0021722D"/>
    <w:rsid w:val="0021794F"/>
    <w:rsid w:val="00217A92"/>
    <w:rsid w:val="002208E0"/>
    <w:rsid w:val="00220B2B"/>
    <w:rsid w:val="00220B5F"/>
    <w:rsid w:val="00221400"/>
    <w:rsid w:val="00221712"/>
    <w:rsid w:val="00221EC5"/>
    <w:rsid w:val="00221F64"/>
    <w:rsid w:val="00222244"/>
    <w:rsid w:val="00222D03"/>
    <w:rsid w:val="00222DF8"/>
    <w:rsid w:val="002231BE"/>
    <w:rsid w:val="00223469"/>
    <w:rsid w:val="002238C4"/>
    <w:rsid w:val="00223AA1"/>
    <w:rsid w:val="00223D3E"/>
    <w:rsid w:val="00223FD1"/>
    <w:rsid w:val="00224415"/>
    <w:rsid w:val="00224EFF"/>
    <w:rsid w:val="00225204"/>
    <w:rsid w:val="002257E0"/>
    <w:rsid w:val="00225ADD"/>
    <w:rsid w:val="00225E85"/>
    <w:rsid w:val="00226634"/>
    <w:rsid w:val="002266F1"/>
    <w:rsid w:val="00226B7E"/>
    <w:rsid w:val="00226CFA"/>
    <w:rsid w:val="00226DD4"/>
    <w:rsid w:val="00226F03"/>
    <w:rsid w:val="00226F71"/>
    <w:rsid w:val="002271F0"/>
    <w:rsid w:val="00227925"/>
    <w:rsid w:val="00227F63"/>
    <w:rsid w:val="00230370"/>
    <w:rsid w:val="00230DCD"/>
    <w:rsid w:val="0023131D"/>
    <w:rsid w:val="002317CC"/>
    <w:rsid w:val="00231807"/>
    <w:rsid w:val="0023181E"/>
    <w:rsid w:val="00231CB1"/>
    <w:rsid w:val="00231EDD"/>
    <w:rsid w:val="0023216A"/>
    <w:rsid w:val="00232EE4"/>
    <w:rsid w:val="0023302A"/>
    <w:rsid w:val="00233A04"/>
    <w:rsid w:val="00234323"/>
    <w:rsid w:val="00234340"/>
    <w:rsid w:val="00234390"/>
    <w:rsid w:val="002343DD"/>
    <w:rsid w:val="0023451C"/>
    <w:rsid w:val="0023477D"/>
    <w:rsid w:val="00235311"/>
    <w:rsid w:val="002355D5"/>
    <w:rsid w:val="00236275"/>
    <w:rsid w:val="002365B3"/>
    <w:rsid w:val="0023660F"/>
    <w:rsid w:val="00236C78"/>
    <w:rsid w:val="00236D00"/>
    <w:rsid w:val="00236DB7"/>
    <w:rsid w:val="00236FD0"/>
    <w:rsid w:val="00237020"/>
    <w:rsid w:val="00237FBF"/>
    <w:rsid w:val="00241E52"/>
    <w:rsid w:val="002427A0"/>
    <w:rsid w:val="002427C3"/>
    <w:rsid w:val="0024294C"/>
    <w:rsid w:val="002429EB"/>
    <w:rsid w:val="00242BE0"/>
    <w:rsid w:val="002433E3"/>
    <w:rsid w:val="002439D5"/>
    <w:rsid w:val="00243AD9"/>
    <w:rsid w:val="00243D69"/>
    <w:rsid w:val="00244395"/>
    <w:rsid w:val="00244870"/>
    <w:rsid w:val="00244927"/>
    <w:rsid w:val="002450FD"/>
    <w:rsid w:val="002452D1"/>
    <w:rsid w:val="002453A2"/>
    <w:rsid w:val="00245708"/>
    <w:rsid w:val="002457ED"/>
    <w:rsid w:val="00245A19"/>
    <w:rsid w:val="00245C0C"/>
    <w:rsid w:val="00245FA8"/>
    <w:rsid w:val="00245FDB"/>
    <w:rsid w:val="00246430"/>
    <w:rsid w:val="00246773"/>
    <w:rsid w:val="00246B1A"/>
    <w:rsid w:val="00247DD2"/>
    <w:rsid w:val="00247F41"/>
    <w:rsid w:val="002501BE"/>
    <w:rsid w:val="00250779"/>
    <w:rsid w:val="002510CD"/>
    <w:rsid w:val="002515DB"/>
    <w:rsid w:val="00251607"/>
    <w:rsid w:val="00251E99"/>
    <w:rsid w:val="0025213E"/>
    <w:rsid w:val="00252496"/>
    <w:rsid w:val="00252DFA"/>
    <w:rsid w:val="0025392D"/>
    <w:rsid w:val="00253BAA"/>
    <w:rsid w:val="00254114"/>
    <w:rsid w:val="002541AE"/>
    <w:rsid w:val="00254242"/>
    <w:rsid w:val="002551B2"/>
    <w:rsid w:val="002552A3"/>
    <w:rsid w:val="00255339"/>
    <w:rsid w:val="002555E5"/>
    <w:rsid w:val="002556C3"/>
    <w:rsid w:val="00255C0E"/>
    <w:rsid w:val="0025629D"/>
    <w:rsid w:val="002564A4"/>
    <w:rsid w:val="00256805"/>
    <w:rsid w:val="00256B28"/>
    <w:rsid w:val="00256FC0"/>
    <w:rsid w:val="0025707A"/>
    <w:rsid w:val="002571E1"/>
    <w:rsid w:val="00257218"/>
    <w:rsid w:val="00257675"/>
    <w:rsid w:val="00257A8B"/>
    <w:rsid w:val="00257AF7"/>
    <w:rsid w:val="00257ED0"/>
    <w:rsid w:val="00260E28"/>
    <w:rsid w:val="00260E80"/>
    <w:rsid w:val="00261296"/>
    <w:rsid w:val="00261391"/>
    <w:rsid w:val="002616F5"/>
    <w:rsid w:val="00261775"/>
    <w:rsid w:val="0026196C"/>
    <w:rsid w:val="00261978"/>
    <w:rsid w:val="0026199E"/>
    <w:rsid w:val="002619A2"/>
    <w:rsid w:val="00261D02"/>
    <w:rsid w:val="002626E6"/>
    <w:rsid w:val="002627D6"/>
    <w:rsid w:val="00262ADC"/>
    <w:rsid w:val="00262B5C"/>
    <w:rsid w:val="002634EF"/>
    <w:rsid w:val="00263CB4"/>
    <w:rsid w:val="002642CE"/>
    <w:rsid w:val="00264363"/>
    <w:rsid w:val="002643AB"/>
    <w:rsid w:val="0026490A"/>
    <w:rsid w:val="00264DE9"/>
    <w:rsid w:val="00264E5C"/>
    <w:rsid w:val="00265C18"/>
    <w:rsid w:val="00265F1F"/>
    <w:rsid w:val="00265F57"/>
    <w:rsid w:val="002665A0"/>
    <w:rsid w:val="002665C4"/>
    <w:rsid w:val="0026686A"/>
    <w:rsid w:val="0026719F"/>
    <w:rsid w:val="00267F93"/>
    <w:rsid w:val="002700DD"/>
    <w:rsid w:val="00270514"/>
    <w:rsid w:val="00270609"/>
    <w:rsid w:val="002714B8"/>
    <w:rsid w:val="00271594"/>
    <w:rsid w:val="002715E2"/>
    <w:rsid w:val="00271BC9"/>
    <w:rsid w:val="00271F1A"/>
    <w:rsid w:val="002720D2"/>
    <w:rsid w:val="002721E4"/>
    <w:rsid w:val="00272E22"/>
    <w:rsid w:val="002731AB"/>
    <w:rsid w:val="00273317"/>
    <w:rsid w:val="002737FF"/>
    <w:rsid w:val="00273829"/>
    <w:rsid w:val="00273B7E"/>
    <w:rsid w:val="00273C96"/>
    <w:rsid w:val="00273DDA"/>
    <w:rsid w:val="00273FBF"/>
    <w:rsid w:val="00274AD3"/>
    <w:rsid w:val="00275251"/>
    <w:rsid w:val="002757CC"/>
    <w:rsid w:val="00275968"/>
    <w:rsid w:val="002759BF"/>
    <w:rsid w:val="00275C45"/>
    <w:rsid w:val="00275E4C"/>
    <w:rsid w:val="002762D9"/>
    <w:rsid w:val="002765E5"/>
    <w:rsid w:val="00276BE6"/>
    <w:rsid w:val="00276DAB"/>
    <w:rsid w:val="002771FD"/>
    <w:rsid w:val="00277D25"/>
    <w:rsid w:val="00277DB7"/>
    <w:rsid w:val="00277DFE"/>
    <w:rsid w:val="00280487"/>
    <w:rsid w:val="002805DA"/>
    <w:rsid w:val="002806A1"/>
    <w:rsid w:val="002806B3"/>
    <w:rsid w:val="00280872"/>
    <w:rsid w:val="00281542"/>
    <w:rsid w:val="00281557"/>
    <w:rsid w:val="00281A09"/>
    <w:rsid w:val="00281A1F"/>
    <w:rsid w:val="00281B96"/>
    <w:rsid w:val="00281C73"/>
    <w:rsid w:val="00281FC6"/>
    <w:rsid w:val="002822AB"/>
    <w:rsid w:val="00282433"/>
    <w:rsid w:val="00282477"/>
    <w:rsid w:val="00282916"/>
    <w:rsid w:val="00282CB6"/>
    <w:rsid w:val="002831A0"/>
    <w:rsid w:val="00283BE2"/>
    <w:rsid w:val="0028421B"/>
    <w:rsid w:val="002844A1"/>
    <w:rsid w:val="00284CB8"/>
    <w:rsid w:val="002852BA"/>
    <w:rsid w:val="002855E9"/>
    <w:rsid w:val="002856D4"/>
    <w:rsid w:val="0028592C"/>
    <w:rsid w:val="00285993"/>
    <w:rsid w:val="00285F5F"/>
    <w:rsid w:val="00286E5A"/>
    <w:rsid w:val="0028742F"/>
    <w:rsid w:val="00287475"/>
    <w:rsid w:val="002877AF"/>
    <w:rsid w:val="00287B4E"/>
    <w:rsid w:val="0029059A"/>
    <w:rsid w:val="00290AD1"/>
    <w:rsid w:val="00290B01"/>
    <w:rsid w:val="00291188"/>
    <w:rsid w:val="00291232"/>
    <w:rsid w:val="0029198E"/>
    <w:rsid w:val="00291E96"/>
    <w:rsid w:val="002920A4"/>
    <w:rsid w:val="00292187"/>
    <w:rsid w:val="00292434"/>
    <w:rsid w:val="002924AC"/>
    <w:rsid w:val="002925BB"/>
    <w:rsid w:val="00292B90"/>
    <w:rsid w:val="00292F65"/>
    <w:rsid w:val="0029323C"/>
    <w:rsid w:val="0029392C"/>
    <w:rsid w:val="00293B6B"/>
    <w:rsid w:val="00294166"/>
    <w:rsid w:val="00294405"/>
    <w:rsid w:val="00294B4E"/>
    <w:rsid w:val="00296307"/>
    <w:rsid w:val="00296507"/>
    <w:rsid w:val="00296D5A"/>
    <w:rsid w:val="002970B8"/>
    <w:rsid w:val="002971F6"/>
    <w:rsid w:val="0029736E"/>
    <w:rsid w:val="00297B40"/>
    <w:rsid w:val="00297CB0"/>
    <w:rsid w:val="002A057F"/>
    <w:rsid w:val="002A07BA"/>
    <w:rsid w:val="002A0B53"/>
    <w:rsid w:val="002A0BD1"/>
    <w:rsid w:val="002A0F8D"/>
    <w:rsid w:val="002A117C"/>
    <w:rsid w:val="002A17BD"/>
    <w:rsid w:val="002A188E"/>
    <w:rsid w:val="002A1969"/>
    <w:rsid w:val="002A2124"/>
    <w:rsid w:val="002A23AE"/>
    <w:rsid w:val="002A25E5"/>
    <w:rsid w:val="002A26A0"/>
    <w:rsid w:val="002A28E1"/>
    <w:rsid w:val="002A2BF7"/>
    <w:rsid w:val="002A2F0F"/>
    <w:rsid w:val="002A3179"/>
    <w:rsid w:val="002A31A6"/>
    <w:rsid w:val="002A3312"/>
    <w:rsid w:val="002A3500"/>
    <w:rsid w:val="002A4117"/>
    <w:rsid w:val="002A43DB"/>
    <w:rsid w:val="002A45F7"/>
    <w:rsid w:val="002A4ECE"/>
    <w:rsid w:val="002A4F16"/>
    <w:rsid w:val="002A4F46"/>
    <w:rsid w:val="002A5838"/>
    <w:rsid w:val="002A5BBE"/>
    <w:rsid w:val="002A5D5F"/>
    <w:rsid w:val="002A5DEB"/>
    <w:rsid w:val="002A6471"/>
    <w:rsid w:val="002A64D5"/>
    <w:rsid w:val="002A6530"/>
    <w:rsid w:val="002A65F9"/>
    <w:rsid w:val="002A6AFA"/>
    <w:rsid w:val="002A6B28"/>
    <w:rsid w:val="002A6C8C"/>
    <w:rsid w:val="002A71AF"/>
    <w:rsid w:val="002A74AD"/>
    <w:rsid w:val="002A7521"/>
    <w:rsid w:val="002A7524"/>
    <w:rsid w:val="002A7BD2"/>
    <w:rsid w:val="002A7E0E"/>
    <w:rsid w:val="002B033C"/>
    <w:rsid w:val="002B0828"/>
    <w:rsid w:val="002B0872"/>
    <w:rsid w:val="002B0AD2"/>
    <w:rsid w:val="002B0C94"/>
    <w:rsid w:val="002B0E30"/>
    <w:rsid w:val="002B103C"/>
    <w:rsid w:val="002B1302"/>
    <w:rsid w:val="002B1731"/>
    <w:rsid w:val="002B1C2D"/>
    <w:rsid w:val="002B1D5A"/>
    <w:rsid w:val="002B2449"/>
    <w:rsid w:val="002B248F"/>
    <w:rsid w:val="002B3587"/>
    <w:rsid w:val="002B37C7"/>
    <w:rsid w:val="002B3BCF"/>
    <w:rsid w:val="002B408B"/>
    <w:rsid w:val="002B446F"/>
    <w:rsid w:val="002B572D"/>
    <w:rsid w:val="002B58AA"/>
    <w:rsid w:val="002B58EA"/>
    <w:rsid w:val="002B6326"/>
    <w:rsid w:val="002B6947"/>
    <w:rsid w:val="002B6A8D"/>
    <w:rsid w:val="002B6A93"/>
    <w:rsid w:val="002B6BF8"/>
    <w:rsid w:val="002B6C70"/>
    <w:rsid w:val="002B6CF9"/>
    <w:rsid w:val="002B6D3B"/>
    <w:rsid w:val="002B6D7C"/>
    <w:rsid w:val="002B7221"/>
    <w:rsid w:val="002B75FF"/>
    <w:rsid w:val="002B7870"/>
    <w:rsid w:val="002B7914"/>
    <w:rsid w:val="002B7AEB"/>
    <w:rsid w:val="002B7AFA"/>
    <w:rsid w:val="002C00C6"/>
    <w:rsid w:val="002C01F6"/>
    <w:rsid w:val="002C053E"/>
    <w:rsid w:val="002C0971"/>
    <w:rsid w:val="002C0B14"/>
    <w:rsid w:val="002C0E8D"/>
    <w:rsid w:val="002C0EC9"/>
    <w:rsid w:val="002C1077"/>
    <w:rsid w:val="002C10AF"/>
    <w:rsid w:val="002C1991"/>
    <w:rsid w:val="002C1FB4"/>
    <w:rsid w:val="002C2477"/>
    <w:rsid w:val="002C2669"/>
    <w:rsid w:val="002C2834"/>
    <w:rsid w:val="002C3DAF"/>
    <w:rsid w:val="002C3DD9"/>
    <w:rsid w:val="002C4018"/>
    <w:rsid w:val="002C4251"/>
    <w:rsid w:val="002C43A6"/>
    <w:rsid w:val="002C44A8"/>
    <w:rsid w:val="002C4919"/>
    <w:rsid w:val="002C4922"/>
    <w:rsid w:val="002C4B27"/>
    <w:rsid w:val="002C4E32"/>
    <w:rsid w:val="002C4EC0"/>
    <w:rsid w:val="002C4F77"/>
    <w:rsid w:val="002C56EA"/>
    <w:rsid w:val="002C5C39"/>
    <w:rsid w:val="002C5F6E"/>
    <w:rsid w:val="002C65C7"/>
    <w:rsid w:val="002C690B"/>
    <w:rsid w:val="002C69DB"/>
    <w:rsid w:val="002C6A38"/>
    <w:rsid w:val="002C6BE3"/>
    <w:rsid w:val="002C6FA2"/>
    <w:rsid w:val="002C761B"/>
    <w:rsid w:val="002C77C1"/>
    <w:rsid w:val="002C7841"/>
    <w:rsid w:val="002C794B"/>
    <w:rsid w:val="002C7C42"/>
    <w:rsid w:val="002D0270"/>
    <w:rsid w:val="002D0521"/>
    <w:rsid w:val="002D05DE"/>
    <w:rsid w:val="002D06B7"/>
    <w:rsid w:val="002D08FB"/>
    <w:rsid w:val="002D09C9"/>
    <w:rsid w:val="002D09FB"/>
    <w:rsid w:val="002D142A"/>
    <w:rsid w:val="002D16E3"/>
    <w:rsid w:val="002D1A93"/>
    <w:rsid w:val="002D1F31"/>
    <w:rsid w:val="002D1FA3"/>
    <w:rsid w:val="002D21B8"/>
    <w:rsid w:val="002D23E0"/>
    <w:rsid w:val="002D2D2B"/>
    <w:rsid w:val="002D2EED"/>
    <w:rsid w:val="002D3C42"/>
    <w:rsid w:val="002D4634"/>
    <w:rsid w:val="002D4B38"/>
    <w:rsid w:val="002D4F78"/>
    <w:rsid w:val="002D50AF"/>
    <w:rsid w:val="002D5177"/>
    <w:rsid w:val="002D52ED"/>
    <w:rsid w:val="002D5491"/>
    <w:rsid w:val="002D55EE"/>
    <w:rsid w:val="002D5AFF"/>
    <w:rsid w:val="002D5DD0"/>
    <w:rsid w:val="002D6470"/>
    <w:rsid w:val="002D6484"/>
    <w:rsid w:val="002D6B75"/>
    <w:rsid w:val="002D6BEB"/>
    <w:rsid w:val="002D6E26"/>
    <w:rsid w:val="002D6FEC"/>
    <w:rsid w:val="002D71A3"/>
    <w:rsid w:val="002D7C55"/>
    <w:rsid w:val="002D7F72"/>
    <w:rsid w:val="002E02B2"/>
    <w:rsid w:val="002E034C"/>
    <w:rsid w:val="002E0443"/>
    <w:rsid w:val="002E0A05"/>
    <w:rsid w:val="002E1091"/>
    <w:rsid w:val="002E1344"/>
    <w:rsid w:val="002E15BB"/>
    <w:rsid w:val="002E168F"/>
    <w:rsid w:val="002E16C5"/>
    <w:rsid w:val="002E1D59"/>
    <w:rsid w:val="002E1E65"/>
    <w:rsid w:val="002E20B5"/>
    <w:rsid w:val="002E227E"/>
    <w:rsid w:val="002E26FD"/>
    <w:rsid w:val="002E2D55"/>
    <w:rsid w:val="002E3192"/>
    <w:rsid w:val="002E31EA"/>
    <w:rsid w:val="002E3731"/>
    <w:rsid w:val="002E3922"/>
    <w:rsid w:val="002E39B0"/>
    <w:rsid w:val="002E3B81"/>
    <w:rsid w:val="002E424C"/>
    <w:rsid w:val="002E4540"/>
    <w:rsid w:val="002E47DC"/>
    <w:rsid w:val="002E49D4"/>
    <w:rsid w:val="002E4AC2"/>
    <w:rsid w:val="002E4CDB"/>
    <w:rsid w:val="002E54F5"/>
    <w:rsid w:val="002E5B11"/>
    <w:rsid w:val="002E636A"/>
    <w:rsid w:val="002E6969"/>
    <w:rsid w:val="002E6F78"/>
    <w:rsid w:val="002E7558"/>
    <w:rsid w:val="002E76B8"/>
    <w:rsid w:val="002E7AF0"/>
    <w:rsid w:val="002E7B00"/>
    <w:rsid w:val="002E7D16"/>
    <w:rsid w:val="002F01FB"/>
    <w:rsid w:val="002F067E"/>
    <w:rsid w:val="002F0A19"/>
    <w:rsid w:val="002F0E59"/>
    <w:rsid w:val="002F133F"/>
    <w:rsid w:val="002F138B"/>
    <w:rsid w:val="002F1702"/>
    <w:rsid w:val="002F175F"/>
    <w:rsid w:val="002F19FE"/>
    <w:rsid w:val="002F2794"/>
    <w:rsid w:val="002F2BE8"/>
    <w:rsid w:val="002F30D0"/>
    <w:rsid w:val="002F39A2"/>
    <w:rsid w:val="002F3E17"/>
    <w:rsid w:val="002F4356"/>
    <w:rsid w:val="002F43DB"/>
    <w:rsid w:val="002F4732"/>
    <w:rsid w:val="002F4CCF"/>
    <w:rsid w:val="002F4D05"/>
    <w:rsid w:val="002F5789"/>
    <w:rsid w:val="002F604B"/>
    <w:rsid w:val="002F63AB"/>
    <w:rsid w:val="002F679E"/>
    <w:rsid w:val="002F6B54"/>
    <w:rsid w:val="002F7071"/>
    <w:rsid w:val="002F719B"/>
    <w:rsid w:val="002F74C1"/>
    <w:rsid w:val="002F7CCB"/>
    <w:rsid w:val="003009DA"/>
    <w:rsid w:val="00300A9E"/>
    <w:rsid w:val="00300B4E"/>
    <w:rsid w:val="003013AD"/>
    <w:rsid w:val="0030198C"/>
    <w:rsid w:val="00301F58"/>
    <w:rsid w:val="003021D9"/>
    <w:rsid w:val="003023DC"/>
    <w:rsid w:val="00302F8E"/>
    <w:rsid w:val="00303121"/>
    <w:rsid w:val="003035A7"/>
    <w:rsid w:val="0030399A"/>
    <w:rsid w:val="00303B58"/>
    <w:rsid w:val="00303BD1"/>
    <w:rsid w:val="00303BD6"/>
    <w:rsid w:val="00303EB7"/>
    <w:rsid w:val="003040C4"/>
    <w:rsid w:val="003040FF"/>
    <w:rsid w:val="00304305"/>
    <w:rsid w:val="003045C5"/>
    <w:rsid w:val="00304A45"/>
    <w:rsid w:val="00304CCA"/>
    <w:rsid w:val="00304EB0"/>
    <w:rsid w:val="00305C25"/>
    <w:rsid w:val="00306B67"/>
    <w:rsid w:val="00306F28"/>
    <w:rsid w:val="003072EE"/>
    <w:rsid w:val="00307867"/>
    <w:rsid w:val="00307AA5"/>
    <w:rsid w:val="00307DE5"/>
    <w:rsid w:val="00310926"/>
    <w:rsid w:val="00310E0F"/>
    <w:rsid w:val="003110AC"/>
    <w:rsid w:val="0031127B"/>
    <w:rsid w:val="003112B9"/>
    <w:rsid w:val="0031158E"/>
    <w:rsid w:val="0031164F"/>
    <w:rsid w:val="00311CD3"/>
    <w:rsid w:val="00311EDB"/>
    <w:rsid w:val="0031237E"/>
    <w:rsid w:val="0031294C"/>
    <w:rsid w:val="00312DF3"/>
    <w:rsid w:val="00312F37"/>
    <w:rsid w:val="00313196"/>
    <w:rsid w:val="00313245"/>
    <w:rsid w:val="00314114"/>
    <w:rsid w:val="00314799"/>
    <w:rsid w:val="003153D5"/>
    <w:rsid w:val="00315F54"/>
    <w:rsid w:val="00315F7E"/>
    <w:rsid w:val="003164C0"/>
    <w:rsid w:val="00316521"/>
    <w:rsid w:val="00316946"/>
    <w:rsid w:val="00316D4A"/>
    <w:rsid w:val="0031706C"/>
    <w:rsid w:val="00317070"/>
    <w:rsid w:val="0031752F"/>
    <w:rsid w:val="003177E1"/>
    <w:rsid w:val="0032026E"/>
    <w:rsid w:val="00320C3D"/>
    <w:rsid w:val="0032110C"/>
    <w:rsid w:val="00321541"/>
    <w:rsid w:val="00321CFD"/>
    <w:rsid w:val="00322560"/>
    <w:rsid w:val="00322A39"/>
    <w:rsid w:val="00322A85"/>
    <w:rsid w:val="00322BDA"/>
    <w:rsid w:val="00322F2C"/>
    <w:rsid w:val="00323EC1"/>
    <w:rsid w:val="00323F8B"/>
    <w:rsid w:val="00323FBD"/>
    <w:rsid w:val="003241CD"/>
    <w:rsid w:val="00324B25"/>
    <w:rsid w:val="00324BEA"/>
    <w:rsid w:val="00324EDE"/>
    <w:rsid w:val="00324F58"/>
    <w:rsid w:val="003253C4"/>
    <w:rsid w:val="00325491"/>
    <w:rsid w:val="003256DC"/>
    <w:rsid w:val="003257FB"/>
    <w:rsid w:val="0032595E"/>
    <w:rsid w:val="0032629F"/>
    <w:rsid w:val="00326368"/>
    <w:rsid w:val="0032660E"/>
    <w:rsid w:val="00326825"/>
    <w:rsid w:val="00326DEF"/>
    <w:rsid w:val="0032787F"/>
    <w:rsid w:val="003278EA"/>
    <w:rsid w:val="00327932"/>
    <w:rsid w:val="003302A4"/>
    <w:rsid w:val="003302A6"/>
    <w:rsid w:val="00330406"/>
    <w:rsid w:val="00330662"/>
    <w:rsid w:val="003309B4"/>
    <w:rsid w:val="003315C3"/>
    <w:rsid w:val="00331836"/>
    <w:rsid w:val="003319EB"/>
    <w:rsid w:val="0033208F"/>
    <w:rsid w:val="0033234E"/>
    <w:rsid w:val="003323DC"/>
    <w:rsid w:val="00332426"/>
    <w:rsid w:val="00332696"/>
    <w:rsid w:val="003328B5"/>
    <w:rsid w:val="00332A65"/>
    <w:rsid w:val="00332B56"/>
    <w:rsid w:val="0033324D"/>
    <w:rsid w:val="003336A8"/>
    <w:rsid w:val="0033375C"/>
    <w:rsid w:val="00333AF2"/>
    <w:rsid w:val="0033428E"/>
    <w:rsid w:val="0033463A"/>
    <w:rsid w:val="003349F7"/>
    <w:rsid w:val="00334E5D"/>
    <w:rsid w:val="00335054"/>
    <w:rsid w:val="003350AE"/>
    <w:rsid w:val="00335615"/>
    <w:rsid w:val="00335ACB"/>
    <w:rsid w:val="00335C7D"/>
    <w:rsid w:val="003361B2"/>
    <w:rsid w:val="003369B8"/>
    <w:rsid w:val="00336AEA"/>
    <w:rsid w:val="00336B82"/>
    <w:rsid w:val="003373FA"/>
    <w:rsid w:val="00337FDF"/>
    <w:rsid w:val="003401CD"/>
    <w:rsid w:val="003401DA"/>
    <w:rsid w:val="003403BE"/>
    <w:rsid w:val="00340927"/>
    <w:rsid w:val="003409BF"/>
    <w:rsid w:val="00340BCE"/>
    <w:rsid w:val="00340C0C"/>
    <w:rsid w:val="00340CF7"/>
    <w:rsid w:val="00340E84"/>
    <w:rsid w:val="003410CC"/>
    <w:rsid w:val="003416C3"/>
    <w:rsid w:val="00341920"/>
    <w:rsid w:val="00341C46"/>
    <w:rsid w:val="0034227F"/>
    <w:rsid w:val="00342949"/>
    <w:rsid w:val="00342BDD"/>
    <w:rsid w:val="00342C13"/>
    <w:rsid w:val="0034312D"/>
    <w:rsid w:val="00343BE9"/>
    <w:rsid w:val="003440B4"/>
    <w:rsid w:val="00344178"/>
    <w:rsid w:val="0034561D"/>
    <w:rsid w:val="00345AE0"/>
    <w:rsid w:val="0034637C"/>
    <w:rsid w:val="003465DC"/>
    <w:rsid w:val="003466BB"/>
    <w:rsid w:val="00346741"/>
    <w:rsid w:val="0034675B"/>
    <w:rsid w:val="00346D8E"/>
    <w:rsid w:val="00346F94"/>
    <w:rsid w:val="0034740E"/>
    <w:rsid w:val="003474EE"/>
    <w:rsid w:val="00347586"/>
    <w:rsid w:val="00347D38"/>
    <w:rsid w:val="00347F99"/>
    <w:rsid w:val="00350302"/>
    <w:rsid w:val="003506F4"/>
    <w:rsid w:val="003508D8"/>
    <w:rsid w:val="00351622"/>
    <w:rsid w:val="00351AAD"/>
    <w:rsid w:val="00351EA1"/>
    <w:rsid w:val="003520FF"/>
    <w:rsid w:val="0035212D"/>
    <w:rsid w:val="0035243C"/>
    <w:rsid w:val="00352F08"/>
    <w:rsid w:val="00353752"/>
    <w:rsid w:val="003538BF"/>
    <w:rsid w:val="00353AF5"/>
    <w:rsid w:val="00353E87"/>
    <w:rsid w:val="00354376"/>
    <w:rsid w:val="00354690"/>
    <w:rsid w:val="003547F1"/>
    <w:rsid w:val="003548B9"/>
    <w:rsid w:val="00354A0F"/>
    <w:rsid w:val="00354A57"/>
    <w:rsid w:val="00354C49"/>
    <w:rsid w:val="003550CC"/>
    <w:rsid w:val="00355567"/>
    <w:rsid w:val="0035594A"/>
    <w:rsid w:val="00355A51"/>
    <w:rsid w:val="00355A55"/>
    <w:rsid w:val="003564CC"/>
    <w:rsid w:val="003570B7"/>
    <w:rsid w:val="00357727"/>
    <w:rsid w:val="00357A43"/>
    <w:rsid w:val="00357C9C"/>
    <w:rsid w:val="00357F0B"/>
    <w:rsid w:val="00361473"/>
    <w:rsid w:val="00361AC9"/>
    <w:rsid w:val="00361C79"/>
    <w:rsid w:val="00361DD1"/>
    <w:rsid w:val="00361E5A"/>
    <w:rsid w:val="003621A5"/>
    <w:rsid w:val="00362B4A"/>
    <w:rsid w:val="00362FAD"/>
    <w:rsid w:val="0036312B"/>
    <w:rsid w:val="00363428"/>
    <w:rsid w:val="003635D4"/>
    <w:rsid w:val="003636B7"/>
    <w:rsid w:val="00363868"/>
    <w:rsid w:val="00363B26"/>
    <w:rsid w:val="00363D33"/>
    <w:rsid w:val="0036423A"/>
    <w:rsid w:val="00364A17"/>
    <w:rsid w:val="00364A65"/>
    <w:rsid w:val="00364E9E"/>
    <w:rsid w:val="00364FF8"/>
    <w:rsid w:val="0036555A"/>
    <w:rsid w:val="003658DC"/>
    <w:rsid w:val="00365B79"/>
    <w:rsid w:val="00365EF4"/>
    <w:rsid w:val="003665F5"/>
    <w:rsid w:val="0036661B"/>
    <w:rsid w:val="00366966"/>
    <w:rsid w:val="003669BD"/>
    <w:rsid w:val="00366AC7"/>
    <w:rsid w:val="00366CB3"/>
    <w:rsid w:val="0036713D"/>
    <w:rsid w:val="003672CF"/>
    <w:rsid w:val="00367D55"/>
    <w:rsid w:val="00367F1F"/>
    <w:rsid w:val="00367FFE"/>
    <w:rsid w:val="003702FE"/>
    <w:rsid w:val="003703FA"/>
    <w:rsid w:val="0037056D"/>
    <w:rsid w:val="00370C2C"/>
    <w:rsid w:val="00370F79"/>
    <w:rsid w:val="003712CD"/>
    <w:rsid w:val="0037169C"/>
    <w:rsid w:val="0037174D"/>
    <w:rsid w:val="00371B1C"/>
    <w:rsid w:val="00371F37"/>
    <w:rsid w:val="0037245E"/>
    <w:rsid w:val="0037250F"/>
    <w:rsid w:val="00372558"/>
    <w:rsid w:val="00372771"/>
    <w:rsid w:val="00372E13"/>
    <w:rsid w:val="0037302F"/>
    <w:rsid w:val="00373248"/>
    <w:rsid w:val="0037331E"/>
    <w:rsid w:val="003738CA"/>
    <w:rsid w:val="00373AAE"/>
    <w:rsid w:val="00373B28"/>
    <w:rsid w:val="00373D4C"/>
    <w:rsid w:val="00373E4D"/>
    <w:rsid w:val="00373E71"/>
    <w:rsid w:val="00375989"/>
    <w:rsid w:val="00375B16"/>
    <w:rsid w:val="00376736"/>
    <w:rsid w:val="003772C7"/>
    <w:rsid w:val="0037735A"/>
    <w:rsid w:val="0037751D"/>
    <w:rsid w:val="0037786F"/>
    <w:rsid w:val="0037788A"/>
    <w:rsid w:val="00377DBC"/>
    <w:rsid w:val="0038031F"/>
    <w:rsid w:val="00380365"/>
    <w:rsid w:val="00380895"/>
    <w:rsid w:val="00381080"/>
    <w:rsid w:val="00382001"/>
    <w:rsid w:val="00382002"/>
    <w:rsid w:val="0038222C"/>
    <w:rsid w:val="00382293"/>
    <w:rsid w:val="0038238A"/>
    <w:rsid w:val="00382C58"/>
    <w:rsid w:val="00383071"/>
    <w:rsid w:val="0038318B"/>
    <w:rsid w:val="003836B9"/>
    <w:rsid w:val="00383BDA"/>
    <w:rsid w:val="00383E44"/>
    <w:rsid w:val="003840CC"/>
    <w:rsid w:val="003842D6"/>
    <w:rsid w:val="003843D7"/>
    <w:rsid w:val="00384C94"/>
    <w:rsid w:val="00384CA1"/>
    <w:rsid w:val="00384E34"/>
    <w:rsid w:val="00385270"/>
    <w:rsid w:val="003853B9"/>
    <w:rsid w:val="003853E5"/>
    <w:rsid w:val="00385B87"/>
    <w:rsid w:val="00385C70"/>
    <w:rsid w:val="00385FDF"/>
    <w:rsid w:val="00386419"/>
    <w:rsid w:val="0038668B"/>
    <w:rsid w:val="003866E7"/>
    <w:rsid w:val="00386894"/>
    <w:rsid w:val="0038721B"/>
    <w:rsid w:val="003877DA"/>
    <w:rsid w:val="00387B8E"/>
    <w:rsid w:val="00387DAB"/>
    <w:rsid w:val="00390438"/>
    <w:rsid w:val="0039043B"/>
    <w:rsid w:val="0039045E"/>
    <w:rsid w:val="0039065C"/>
    <w:rsid w:val="003909B1"/>
    <w:rsid w:val="00390AE2"/>
    <w:rsid w:val="00390FF6"/>
    <w:rsid w:val="00391674"/>
    <w:rsid w:val="00391AB5"/>
    <w:rsid w:val="00391EEB"/>
    <w:rsid w:val="003921F6"/>
    <w:rsid w:val="003923F3"/>
    <w:rsid w:val="0039258A"/>
    <w:rsid w:val="00392621"/>
    <w:rsid w:val="00392FAD"/>
    <w:rsid w:val="0039355F"/>
    <w:rsid w:val="003937A2"/>
    <w:rsid w:val="003937FA"/>
    <w:rsid w:val="00393930"/>
    <w:rsid w:val="00393A9B"/>
    <w:rsid w:val="00393DF2"/>
    <w:rsid w:val="003944DB"/>
    <w:rsid w:val="003948E3"/>
    <w:rsid w:val="00394CC9"/>
    <w:rsid w:val="0039520A"/>
    <w:rsid w:val="003953F9"/>
    <w:rsid w:val="0039551D"/>
    <w:rsid w:val="003955F6"/>
    <w:rsid w:val="003957A4"/>
    <w:rsid w:val="00395BB5"/>
    <w:rsid w:val="00395D96"/>
    <w:rsid w:val="00396284"/>
    <w:rsid w:val="003964B0"/>
    <w:rsid w:val="00396718"/>
    <w:rsid w:val="00397299"/>
    <w:rsid w:val="00397BC1"/>
    <w:rsid w:val="00397FE6"/>
    <w:rsid w:val="003A097B"/>
    <w:rsid w:val="003A0AF3"/>
    <w:rsid w:val="003A0BD3"/>
    <w:rsid w:val="003A0F32"/>
    <w:rsid w:val="003A1310"/>
    <w:rsid w:val="003A1F82"/>
    <w:rsid w:val="003A2462"/>
    <w:rsid w:val="003A2539"/>
    <w:rsid w:val="003A25D1"/>
    <w:rsid w:val="003A263D"/>
    <w:rsid w:val="003A27ED"/>
    <w:rsid w:val="003A2A53"/>
    <w:rsid w:val="003A2B2E"/>
    <w:rsid w:val="003A2D12"/>
    <w:rsid w:val="003A394C"/>
    <w:rsid w:val="003A39EA"/>
    <w:rsid w:val="003A3DF2"/>
    <w:rsid w:val="003A3FBD"/>
    <w:rsid w:val="003A4290"/>
    <w:rsid w:val="003A4405"/>
    <w:rsid w:val="003A49BF"/>
    <w:rsid w:val="003A4A78"/>
    <w:rsid w:val="003A4A7D"/>
    <w:rsid w:val="003A4F5F"/>
    <w:rsid w:val="003A53E3"/>
    <w:rsid w:val="003A5555"/>
    <w:rsid w:val="003A5CA9"/>
    <w:rsid w:val="003A5CDF"/>
    <w:rsid w:val="003A5DBB"/>
    <w:rsid w:val="003A5DD2"/>
    <w:rsid w:val="003A64C4"/>
    <w:rsid w:val="003A6E91"/>
    <w:rsid w:val="003A6FBC"/>
    <w:rsid w:val="003A700B"/>
    <w:rsid w:val="003A70A3"/>
    <w:rsid w:val="003A7907"/>
    <w:rsid w:val="003A796A"/>
    <w:rsid w:val="003A7A6E"/>
    <w:rsid w:val="003A7A8F"/>
    <w:rsid w:val="003B013B"/>
    <w:rsid w:val="003B0F4B"/>
    <w:rsid w:val="003B1653"/>
    <w:rsid w:val="003B1852"/>
    <w:rsid w:val="003B1F9F"/>
    <w:rsid w:val="003B2980"/>
    <w:rsid w:val="003B2B52"/>
    <w:rsid w:val="003B2CC2"/>
    <w:rsid w:val="003B359F"/>
    <w:rsid w:val="003B3990"/>
    <w:rsid w:val="003B3B19"/>
    <w:rsid w:val="003B3C4C"/>
    <w:rsid w:val="003B3CAE"/>
    <w:rsid w:val="003B3EBE"/>
    <w:rsid w:val="003B4323"/>
    <w:rsid w:val="003B4658"/>
    <w:rsid w:val="003B477D"/>
    <w:rsid w:val="003B4834"/>
    <w:rsid w:val="003B4C0D"/>
    <w:rsid w:val="003B5076"/>
    <w:rsid w:val="003B52E9"/>
    <w:rsid w:val="003B5D84"/>
    <w:rsid w:val="003B600B"/>
    <w:rsid w:val="003B6186"/>
    <w:rsid w:val="003B69FB"/>
    <w:rsid w:val="003B7511"/>
    <w:rsid w:val="003B7614"/>
    <w:rsid w:val="003B7AE6"/>
    <w:rsid w:val="003C0324"/>
    <w:rsid w:val="003C0544"/>
    <w:rsid w:val="003C0BDF"/>
    <w:rsid w:val="003C0F09"/>
    <w:rsid w:val="003C0F7B"/>
    <w:rsid w:val="003C11A7"/>
    <w:rsid w:val="003C150D"/>
    <w:rsid w:val="003C1516"/>
    <w:rsid w:val="003C161A"/>
    <w:rsid w:val="003C17BE"/>
    <w:rsid w:val="003C182D"/>
    <w:rsid w:val="003C1F4F"/>
    <w:rsid w:val="003C232F"/>
    <w:rsid w:val="003C2DB3"/>
    <w:rsid w:val="003C3E9D"/>
    <w:rsid w:val="003C41B5"/>
    <w:rsid w:val="003C45D8"/>
    <w:rsid w:val="003C4B43"/>
    <w:rsid w:val="003C4B46"/>
    <w:rsid w:val="003C4DE4"/>
    <w:rsid w:val="003C4EEF"/>
    <w:rsid w:val="003C5776"/>
    <w:rsid w:val="003C5D28"/>
    <w:rsid w:val="003C5F89"/>
    <w:rsid w:val="003C6056"/>
    <w:rsid w:val="003C60B1"/>
    <w:rsid w:val="003C6539"/>
    <w:rsid w:val="003C6732"/>
    <w:rsid w:val="003C68FF"/>
    <w:rsid w:val="003C6C86"/>
    <w:rsid w:val="003C6CBE"/>
    <w:rsid w:val="003C6E37"/>
    <w:rsid w:val="003C6F4D"/>
    <w:rsid w:val="003C6FD2"/>
    <w:rsid w:val="003C7C13"/>
    <w:rsid w:val="003C7D16"/>
    <w:rsid w:val="003D03A3"/>
    <w:rsid w:val="003D0778"/>
    <w:rsid w:val="003D0B77"/>
    <w:rsid w:val="003D162C"/>
    <w:rsid w:val="003D18DB"/>
    <w:rsid w:val="003D19E0"/>
    <w:rsid w:val="003D1DEE"/>
    <w:rsid w:val="003D23B9"/>
    <w:rsid w:val="003D24EC"/>
    <w:rsid w:val="003D268D"/>
    <w:rsid w:val="003D28EC"/>
    <w:rsid w:val="003D2B15"/>
    <w:rsid w:val="003D2EFC"/>
    <w:rsid w:val="003D325A"/>
    <w:rsid w:val="003D381E"/>
    <w:rsid w:val="003D3CCB"/>
    <w:rsid w:val="003D425B"/>
    <w:rsid w:val="003D450B"/>
    <w:rsid w:val="003D48F6"/>
    <w:rsid w:val="003D51F0"/>
    <w:rsid w:val="003D528E"/>
    <w:rsid w:val="003D570F"/>
    <w:rsid w:val="003D573E"/>
    <w:rsid w:val="003D5DD6"/>
    <w:rsid w:val="003D6AF3"/>
    <w:rsid w:val="003D6E21"/>
    <w:rsid w:val="003D70A9"/>
    <w:rsid w:val="003D71FE"/>
    <w:rsid w:val="003D733A"/>
    <w:rsid w:val="003D764D"/>
    <w:rsid w:val="003D7699"/>
    <w:rsid w:val="003D78A4"/>
    <w:rsid w:val="003E04D3"/>
    <w:rsid w:val="003E094D"/>
    <w:rsid w:val="003E0EE8"/>
    <w:rsid w:val="003E15B5"/>
    <w:rsid w:val="003E15FC"/>
    <w:rsid w:val="003E2318"/>
    <w:rsid w:val="003E2447"/>
    <w:rsid w:val="003E246C"/>
    <w:rsid w:val="003E2EE0"/>
    <w:rsid w:val="003E3146"/>
    <w:rsid w:val="003E32F6"/>
    <w:rsid w:val="003E3305"/>
    <w:rsid w:val="003E336D"/>
    <w:rsid w:val="003E42BD"/>
    <w:rsid w:val="003E42FA"/>
    <w:rsid w:val="003E45FD"/>
    <w:rsid w:val="003E4C07"/>
    <w:rsid w:val="003E4C5D"/>
    <w:rsid w:val="003E4D30"/>
    <w:rsid w:val="003E4D68"/>
    <w:rsid w:val="003E4D93"/>
    <w:rsid w:val="003E573C"/>
    <w:rsid w:val="003E5EFC"/>
    <w:rsid w:val="003E6FB7"/>
    <w:rsid w:val="003E6FE0"/>
    <w:rsid w:val="003E7307"/>
    <w:rsid w:val="003E75BB"/>
    <w:rsid w:val="003E7800"/>
    <w:rsid w:val="003E7B11"/>
    <w:rsid w:val="003F0853"/>
    <w:rsid w:val="003F0871"/>
    <w:rsid w:val="003F102E"/>
    <w:rsid w:val="003F107C"/>
    <w:rsid w:val="003F1E70"/>
    <w:rsid w:val="003F2698"/>
    <w:rsid w:val="003F2A7E"/>
    <w:rsid w:val="003F3048"/>
    <w:rsid w:val="003F307C"/>
    <w:rsid w:val="003F32B4"/>
    <w:rsid w:val="003F3522"/>
    <w:rsid w:val="003F3AC4"/>
    <w:rsid w:val="003F3DB7"/>
    <w:rsid w:val="003F3E11"/>
    <w:rsid w:val="003F4347"/>
    <w:rsid w:val="003F43C4"/>
    <w:rsid w:val="003F4840"/>
    <w:rsid w:val="003F494A"/>
    <w:rsid w:val="003F531B"/>
    <w:rsid w:val="003F5A70"/>
    <w:rsid w:val="003F5ECF"/>
    <w:rsid w:val="003F66C4"/>
    <w:rsid w:val="003F681D"/>
    <w:rsid w:val="003F6A61"/>
    <w:rsid w:val="003F6D41"/>
    <w:rsid w:val="003F7865"/>
    <w:rsid w:val="003F79D8"/>
    <w:rsid w:val="003F7B36"/>
    <w:rsid w:val="003F7E65"/>
    <w:rsid w:val="003F7F7B"/>
    <w:rsid w:val="00400088"/>
    <w:rsid w:val="00400A79"/>
    <w:rsid w:val="00400FC4"/>
    <w:rsid w:val="00401435"/>
    <w:rsid w:val="004017C4"/>
    <w:rsid w:val="00401F41"/>
    <w:rsid w:val="0040226C"/>
    <w:rsid w:val="0040226F"/>
    <w:rsid w:val="004022E3"/>
    <w:rsid w:val="00403263"/>
    <w:rsid w:val="004032B8"/>
    <w:rsid w:val="0040333B"/>
    <w:rsid w:val="00403D69"/>
    <w:rsid w:val="00404013"/>
    <w:rsid w:val="004040CC"/>
    <w:rsid w:val="00404115"/>
    <w:rsid w:val="00404AD9"/>
    <w:rsid w:val="00405095"/>
    <w:rsid w:val="00405096"/>
    <w:rsid w:val="004052D5"/>
    <w:rsid w:val="0040564B"/>
    <w:rsid w:val="00405BF6"/>
    <w:rsid w:val="00405CC0"/>
    <w:rsid w:val="00405D00"/>
    <w:rsid w:val="0040636E"/>
    <w:rsid w:val="00406880"/>
    <w:rsid w:val="004069C5"/>
    <w:rsid w:val="00406D24"/>
    <w:rsid w:val="00407620"/>
    <w:rsid w:val="004076F6"/>
    <w:rsid w:val="0040789E"/>
    <w:rsid w:val="0040796B"/>
    <w:rsid w:val="00407A1A"/>
    <w:rsid w:val="00407A67"/>
    <w:rsid w:val="00407C37"/>
    <w:rsid w:val="00407CF3"/>
    <w:rsid w:val="00407EFD"/>
    <w:rsid w:val="00410294"/>
    <w:rsid w:val="00410783"/>
    <w:rsid w:val="004107B1"/>
    <w:rsid w:val="004110BE"/>
    <w:rsid w:val="004112CC"/>
    <w:rsid w:val="00411A8B"/>
    <w:rsid w:val="00411AA9"/>
    <w:rsid w:val="00411AFF"/>
    <w:rsid w:val="00411B9E"/>
    <w:rsid w:val="0041211C"/>
    <w:rsid w:val="004121F0"/>
    <w:rsid w:val="0041223D"/>
    <w:rsid w:val="004124A2"/>
    <w:rsid w:val="004129CC"/>
    <w:rsid w:val="00412A80"/>
    <w:rsid w:val="00412F91"/>
    <w:rsid w:val="004130DD"/>
    <w:rsid w:val="00413525"/>
    <w:rsid w:val="004138C9"/>
    <w:rsid w:val="00413AA0"/>
    <w:rsid w:val="00413BA0"/>
    <w:rsid w:val="004142B5"/>
    <w:rsid w:val="00414773"/>
    <w:rsid w:val="004148C3"/>
    <w:rsid w:val="00414D8A"/>
    <w:rsid w:val="004157B3"/>
    <w:rsid w:val="004157BD"/>
    <w:rsid w:val="00415A78"/>
    <w:rsid w:val="00415DF7"/>
    <w:rsid w:val="0041637C"/>
    <w:rsid w:val="00416582"/>
    <w:rsid w:val="00416862"/>
    <w:rsid w:val="0041687E"/>
    <w:rsid w:val="00416DFD"/>
    <w:rsid w:val="00416F70"/>
    <w:rsid w:val="004177E5"/>
    <w:rsid w:val="00417A33"/>
    <w:rsid w:val="004203E2"/>
    <w:rsid w:val="00421377"/>
    <w:rsid w:val="0042138E"/>
    <w:rsid w:val="004218C2"/>
    <w:rsid w:val="00421A19"/>
    <w:rsid w:val="00421F20"/>
    <w:rsid w:val="0042217E"/>
    <w:rsid w:val="004222F8"/>
    <w:rsid w:val="004223AC"/>
    <w:rsid w:val="00423035"/>
    <w:rsid w:val="00423575"/>
    <w:rsid w:val="00423C32"/>
    <w:rsid w:val="004245E7"/>
    <w:rsid w:val="00424B93"/>
    <w:rsid w:val="00424D74"/>
    <w:rsid w:val="00425DC1"/>
    <w:rsid w:val="0042623D"/>
    <w:rsid w:val="00426432"/>
    <w:rsid w:val="0042686F"/>
    <w:rsid w:val="00427192"/>
    <w:rsid w:val="00427470"/>
    <w:rsid w:val="00427751"/>
    <w:rsid w:val="00427881"/>
    <w:rsid w:val="00427ED5"/>
    <w:rsid w:val="0043010C"/>
    <w:rsid w:val="004301DB"/>
    <w:rsid w:val="004306E6"/>
    <w:rsid w:val="00430B1C"/>
    <w:rsid w:val="00430C0A"/>
    <w:rsid w:val="00430F7B"/>
    <w:rsid w:val="004318DC"/>
    <w:rsid w:val="00431946"/>
    <w:rsid w:val="00431F78"/>
    <w:rsid w:val="0043256A"/>
    <w:rsid w:val="0043277B"/>
    <w:rsid w:val="00432B60"/>
    <w:rsid w:val="00433030"/>
    <w:rsid w:val="00433B62"/>
    <w:rsid w:val="00433CDA"/>
    <w:rsid w:val="00433DA9"/>
    <w:rsid w:val="00433DAB"/>
    <w:rsid w:val="004341AA"/>
    <w:rsid w:val="00434395"/>
    <w:rsid w:val="00434833"/>
    <w:rsid w:val="00434849"/>
    <w:rsid w:val="00434B5B"/>
    <w:rsid w:val="00434E18"/>
    <w:rsid w:val="004356F6"/>
    <w:rsid w:val="00436254"/>
    <w:rsid w:val="004365B5"/>
    <w:rsid w:val="00436981"/>
    <w:rsid w:val="00436A4C"/>
    <w:rsid w:val="00436F86"/>
    <w:rsid w:val="00436FB0"/>
    <w:rsid w:val="00437154"/>
    <w:rsid w:val="0043741E"/>
    <w:rsid w:val="00437485"/>
    <w:rsid w:val="004375A0"/>
    <w:rsid w:val="00437EA2"/>
    <w:rsid w:val="004401BE"/>
    <w:rsid w:val="00440286"/>
    <w:rsid w:val="00440345"/>
    <w:rsid w:val="004407E2"/>
    <w:rsid w:val="0044086B"/>
    <w:rsid w:val="00440EC9"/>
    <w:rsid w:val="00440FE0"/>
    <w:rsid w:val="0044151C"/>
    <w:rsid w:val="00441D1A"/>
    <w:rsid w:val="00442342"/>
    <w:rsid w:val="004425DF"/>
    <w:rsid w:val="00443217"/>
    <w:rsid w:val="00443A47"/>
    <w:rsid w:val="00443AE7"/>
    <w:rsid w:val="0044431C"/>
    <w:rsid w:val="004449EF"/>
    <w:rsid w:val="00444CDD"/>
    <w:rsid w:val="00444E02"/>
    <w:rsid w:val="00444EBF"/>
    <w:rsid w:val="00445534"/>
    <w:rsid w:val="0044580E"/>
    <w:rsid w:val="0044612A"/>
    <w:rsid w:val="004461A8"/>
    <w:rsid w:val="004466D5"/>
    <w:rsid w:val="00446E5C"/>
    <w:rsid w:val="00446F5E"/>
    <w:rsid w:val="004470C6"/>
    <w:rsid w:val="004478EC"/>
    <w:rsid w:val="00447939"/>
    <w:rsid w:val="0045035D"/>
    <w:rsid w:val="004505C0"/>
    <w:rsid w:val="00450AF1"/>
    <w:rsid w:val="00450C4A"/>
    <w:rsid w:val="0045117F"/>
    <w:rsid w:val="0045132C"/>
    <w:rsid w:val="00451D39"/>
    <w:rsid w:val="00452225"/>
    <w:rsid w:val="0045224C"/>
    <w:rsid w:val="00452354"/>
    <w:rsid w:val="004523D0"/>
    <w:rsid w:val="00452641"/>
    <w:rsid w:val="004526D9"/>
    <w:rsid w:val="00452824"/>
    <w:rsid w:val="004528F5"/>
    <w:rsid w:val="00452F95"/>
    <w:rsid w:val="00453094"/>
    <w:rsid w:val="004534D1"/>
    <w:rsid w:val="00453648"/>
    <w:rsid w:val="00453745"/>
    <w:rsid w:val="0045417B"/>
    <w:rsid w:val="00454199"/>
    <w:rsid w:val="00454618"/>
    <w:rsid w:val="00455087"/>
    <w:rsid w:val="004551AB"/>
    <w:rsid w:val="00455627"/>
    <w:rsid w:val="004556E6"/>
    <w:rsid w:val="00456455"/>
    <w:rsid w:val="00456469"/>
    <w:rsid w:val="004566FD"/>
    <w:rsid w:val="004567E9"/>
    <w:rsid w:val="00456C13"/>
    <w:rsid w:val="00456C35"/>
    <w:rsid w:val="004571EB"/>
    <w:rsid w:val="00457430"/>
    <w:rsid w:val="004577B3"/>
    <w:rsid w:val="004578C5"/>
    <w:rsid w:val="00457A69"/>
    <w:rsid w:val="00457BD7"/>
    <w:rsid w:val="004605AB"/>
    <w:rsid w:val="004606C1"/>
    <w:rsid w:val="004609D8"/>
    <w:rsid w:val="00460A53"/>
    <w:rsid w:val="00460CDE"/>
    <w:rsid w:val="00460E25"/>
    <w:rsid w:val="004616AF"/>
    <w:rsid w:val="00461E94"/>
    <w:rsid w:val="004623A2"/>
    <w:rsid w:val="0046271E"/>
    <w:rsid w:val="00462D50"/>
    <w:rsid w:val="0046308B"/>
    <w:rsid w:val="0046312D"/>
    <w:rsid w:val="0046377F"/>
    <w:rsid w:val="00463A2A"/>
    <w:rsid w:val="00463C4B"/>
    <w:rsid w:val="00463D6B"/>
    <w:rsid w:val="00463F3A"/>
    <w:rsid w:val="004640B4"/>
    <w:rsid w:val="0046429E"/>
    <w:rsid w:val="00464CE7"/>
    <w:rsid w:val="00464D2A"/>
    <w:rsid w:val="00465AFC"/>
    <w:rsid w:val="00465B9E"/>
    <w:rsid w:val="00465C91"/>
    <w:rsid w:val="00465F08"/>
    <w:rsid w:val="00466174"/>
    <w:rsid w:val="004663FE"/>
    <w:rsid w:val="004671D3"/>
    <w:rsid w:val="00467249"/>
    <w:rsid w:val="00467746"/>
    <w:rsid w:val="00467ECF"/>
    <w:rsid w:val="00470398"/>
    <w:rsid w:val="004703DD"/>
    <w:rsid w:val="0047053B"/>
    <w:rsid w:val="00470A1C"/>
    <w:rsid w:val="00470C39"/>
    <w:rsid w:val="00470D71"/>
    <w:rsid w:val="00470EB7"/>
    <w:rsid w:val="00470EE1"/>
    <w:rsid w:val="00470FEF"/>
    <w:rsid w:val="00471207"/>
    <w:rsid w:val="00471306"/>
    <w:rsid w:val="00471494"/>
    <w:rsid w:val="004716B4"/>
    <w:rsid w:val="00472A46"/>
    <w:rsid w:val="00472A64"/>
    <w:rsid w:val="00472D3C"/>
    <w:rsid w:val="00472DBD"/>
    <w:rsid w:val="0047305B"/>
    <w:rsid w:val="00473757"/>
    <w:rsid w:val="00473F75"/>
    <w:rsid w:val="00475091"/>
    <w:rsid w:val="004750F3"/>
    <w:rsid w:val="00475B37"/>
    <w:rsid w:val="00475FCC"/>
    <w:rsid w:val="004765EF"/>
    <w:rsid w:val="0047674D"/>
    <w:rsid w:val="00476953"/>
    <w:rsid w:val="00476D7F"/>
    <w:rsid w:val="004770D3"/>
    <w:rsid w:val="0047768F"/>
    <w:rsid w:val="00477784"/>
    <w:rsid w:val="00477FC9"/>
    <w:rsid w:val="004802B5"/>
    <w:rsid w:val="00480AC6"/>
    <w:rsid w:val="00480BB7"/>
    <w:rsid w:val="00480C33"/>
    <w:rsid w:val="00480C41"/>
    <w:rsid w:val="00480DFB"/>
    <w:rsid w:val="00480EE8"/>
    <w:rsid w:val="00481348"/>
    <w:rsid w:val="004817E2"/>
    <w:rsid w:val="00481AD5"/>
    <w:rsid w:val="0048244A"/>
    <w:rsid w:val="0048254E"/>
    <w:rsid w:val="00482870"/>
    <w:rsid w:val="00483762"/>
    <w:rsid w:val="004840FE"/>
    <w:rsid w:val="0048449D"/>
    <w:rsid w:val="004845B1"/>
    <w:rsid w:val="004846BC"/>
    <w:rsid w:val="00484943"/>
    <w:rsid w:val="00484DB0"/>
    <w:rsid w:val="00485152"/>
    <w:rsid w:val="00485155"/>
    <w:rsid w:val="0048537A"/>
    <w:rsid w:val="004859CF"/>
    <w:rsid w:val="00485A5B"/>
    <w:rsid w:val="00485B32"/>
    <w:rsid w:val="0048676A"/>
    <w:rsid w:val="00486C0B"/>
    <w:rsid w:val="00486CD7"/>
    <w:rsid w:val="00487375"/>
    <w:rsid w:val="0048753F"/>
    <w:rsid w:val="00487727"/>
    <w:rsid w:val="00487856"/>
    <w:rsid w:val="00487F77"/>
    <w:rsid w:val="00490010"/>
    <w:rsid w:val="00490304"/>
    <w:rsid w:val="00490335"/>
    <w:rsid w:val="00490A38"/>
    <w:rsid w:val="0049162E"/>
    <w:rsid w:val="0049219A"/>
    <w:rsid w:val="0049231B"/>
    <w:rsid w:val="004925EA"/>
    <w:rsid w:val="004929CF"/>
    <w:rsid w:val="00492AF5"/>
    <w:rsid w:val="00492BCF"/>
    <w:rsid w:val="00492ED7"/>
    <w:rsid w:val="00493120"/>
    <w:rsid w:val="0049371F"/>
    <w:rsid w:val="00493894"/>
    <w:rsid w:val="00493A5A"/>
    <w:rsid w:val="00493BFA"/>
    <w:rsid w:val="00493F7B"/>
    <w:rsid w:val="0049401F"/>
    <w:rsid w:val="004942AE"/>
    <w:rsid w:val="0049435B"/>
    <w:rsid w:val="004945BC"/>
    <w:rsid w:val="00494915"/>
    <w:rsid w:val="00494CE6"/>
    <w:rsid w:val="0049507B"/>
    <w:rsid w:val="00495A94"/>
    <w:rsid w:val="00495D7F"/>
    <w:rsid w:val="0049618A"/>
    <w:rsid w:val="004968E7"/>
    <w:rsid w:val="00496D4D"/>
    <w:rsid w:val="00497251"/>
    <w:rsid w:val="0049744D"/>
    <w:rsid w:val="0049776C"/>
    <w:rsid w:val="0049777E"/>
    <w:rsid w:val="004977C3"/>
    <w:rsid w:val="00497CDE"/>
    <w:rsid w:val="00497F59"/>
    <w:rsid w:val="004A002B"/>
    <w:rsid w:val="004A015A"/>
    <w:rsid w:val="004A039C"/>
    <w:rsid w:val="004A07C5"/>
    <w:rsid w:val="004A0A3C"/>
    <w:rsid w:val="004A0AF5"/>
    <w:rsid w:val="004A0BB4"/>
    <w:rsid w:val="004A16F1"/>
    <w:rsid w:val="004A1A39"/>
    <w:rsid w:val="004A1DEB"/>
    <w:rsid w:val="004A24DB"/>
    <w:rsid w:val="004A280D"/>
    <w:rsid w:val="004A28CC"/>
    <w:rsid w:val="004A2B3C"/>
    <w:rsid w:val="004A3111"/>
    <w:rsid w:val="004A325F"/>
    <w:rsid w:val="004A3270"/>
    <w:rsid w:val="004A36EB"/>
    <w:rsid w:val="004A3885"/>
    <w:rsid w:val="004A400D"/>
    <w:rsid w:val="004A4321"/>
    <w:rsid w:val="004A43CA"/>
    <w:rsid w:val="004A45D6"/>
    <w:rsid w:val="004A4794"/>
    <w:rsid w:val="004A491D"/>
    <w:rsid w:val="004A4EA1"/>
    <w:rsid w:val="004A5055"/>
    <w:rsid w:val="004A57A8"/>
    <w:rsid w:val="004A5B83"/>
    <w:rsid w:val="004A62A7"/>
    <w:rsid w:val="004A63AE"/>
    <w:rsid w:val="004A6568"/>
    <w:rsid w:val="004A6DA3"/>
    <w:rsid w:val="004A74BC"/>
    <w:rsid w:val="004A7974"/>
    <w:rsid w:val="004B0773"/>
    <w:rsid w:val="004B0843"/>
    <w:rsid w:val="004B08BD"/>
    <w:rsid w:val="004B0D79"/>
    <w:rsid w:val="004B0E7C"/>
    <w:rsid w:val="004B1107"/>
    <w:rsid w:val="004B1705"/>
    <w:rsid w:val="004B170E"/>
    <w:rsid w:val="004B1B98"/>
    <w:rsid w:val="004B1BA2"/>
    <w:rsid w:val="004B20C1"/>
    <w:rsid w:val="004B223F"/>
    <w:rsid w:val="004B2800"/>
    <w:rsid w:val="004B2B6A"/>
    <w:rsid w:val="004B2DE1"/>
    <w:rsid w:val="004B2F4B"/>
    <w:rsid w:val="004B316C"/>
    <w:rsid w:val="004B321A"/>
    <w:rsid w:val="004B3745"/>
    <w:rsid w:val="004B3EF4"/>
    <w:rsid w:val="004B40D2"/>
    <w:rsid w:val="004B40EB"/>
    <w:rsid w:val="004B4520"/>
    <w:rsid w:val="004B4D84"/>
    <w:rsid w:val="004B4F1C"/>
    <w:rsid w:val="004B5C3E"/>
    <w:rsid w:val="004B6084"/>
    <w:rsid w:val="004B6415"/>
    <w:rsid w:val="004B6AFB"/>
    <w:rsid w:val="004B6B86"/>
    <w:rsid w:val="004B6BFA"/>
    <w:rsid w:val="004B7335"/>
    <w:rsid w:val="004B7500"/>
    <w:rsid w:val="004B7722"/>
    <w:rsid w:val="004B7D2A"/>
    <w:rsid w:val="004B7EAC"/>
    <w:rsid w:val="004B7EB0"/>
    <w:rsid w:val="004C066A"/>
    <w:rsid w:val="004C0FCF"/>
    <w:rsid w:val="004C154E"/>
    <w:rsid w:val="004C164D"/>
    <w:rsid w:val="004C1C4C"/>
    <w:rsid w:val="004C1DB2"/>
    <w:rsid w:val="004C2263"/>
    <w:rsid w:val="004C2379"/>
    <w:rsid w:val="004C2968"/>
    <w:rsid w:val="004C29F7"/>
    <w:rsid w:val="004C2B1F"/>
    <w:rsid w:val="004C3578"/>
    <w:rsid w:val="004C4305"/>
    <w:rsid w:val="004C4D85"/>
    <w:rsid w:val="004C522C"/>
    <w:rsid w:val="004C524E"/>
    <w:rsid w:val="004C5AD9"/>
    <w:rsid w:val="004C5B4A"/>
    <w:rsid w:val="004C5DF0"/>
    <w:rsid w:val="004C5EAE"/>
    <w:rsid w:val="004C6AF3"/>
    <w:rsid w:val="004C6D6C"/>
    <w:rsid w:val="004C71EA"/>
    <w:rsid w:val="004C786E"/>
    <w:rsid w:val="004C7D42"/>
    <w:rsid w:val="004D00F5"/>
    <w:rsid w:val="004D01C8"/>
    <w:rsid w:val="004D0E81"/>
    <w:rsid w:val="004D16F0"/>
    <w:rsid w:val="004D17B8"/>
    <w:rsid w:val="004D18CB"/>
    <w:rsid w:val="004D194B"/>
    <w:rsid w:val="004D1D12"/>
    <w:rsid w:val="004D1F9F"/>
    <w:rsid w:val="004D1FFC"/>
    <w:rsid w:val="004D27E7"/>
    <w:rsid w:val="004D2840"/>
    <w:rsid w:val="004D2CD6"/>
    <w:rsid w:val="004D2FA9"/>
    <w:rsid w:val="004D311C"/>
    <w:rsid w:val="004D39C9"/>
    <w:rsid w:val="004D3A9C"/>
    <w:rsid w:val="004D3CE6"/>
    <w:rsid w:val="004D4000"/>
    <w:rsid w:val="004D467F"/>
    <w:rsid w:val="004D4826"/>
    <w:rsid w:val="004D4CF7"/>
    <w:rsid w:val="004D4F97"/>
    <w:rsid w:val="004D513E"/>
    <w:rsid w:val="004D56EF"/>
    <w:rsid w:val="004D5DEC"/>
    <w:rsid w:val="004D6580"/>
    <w:rsid w:val="004D66E3"/>
    <w:rsid w:val="004D6A0B"/>
    <w:rsid w:val="004D7883"/>
    <w:rsid w:val="004D7E7D"/>
    <w:rsid w:val="004E02DC"/>
    <w:rsid w:val="004E0369"/>
    <w:rsid w:val="004E04AB"/>
    <w:rsid w:val="004E04F6"/>
    <w:rsid w:val="004E0B3E"/>
    <w:rsid w:val="004E1498"/>
    <w:rsid w:val="004E1626"/>
    <w:rsid w:val="004E1BF1"/>
    <w:rsid w:val="004E2D20"/>
    <w:rsid w:val="004E2E6F"/>
    <w:rsid w:val="004E3183"/>
    <w:rsid w:val="004E321C"/>
    <w:rsid w:val="004E330F"/>
    <w:rsid w:val="004E3659"/>
    <w:rsid w:val="004E3E5F"/>
    <w:rsid w:val="004E3E76"/>
    <w:rsid w:val="004E3F20"/>
    <w:rsid w:val="004E435B"/>
    <w:rsid w:val="004E4B38"/>
    <w:rsid w:val="004E4B77"/>
    <w:rsid w:val="004E50ED"/>
    <w:rsid w:val="004E56BB"/>
    <w:rsid w:val="004E579D"/>
    <w:rsid w:val="004E5887"/>
    <w:rsid w:val="004E5D13"/>
    <w:rsid w:val="004E5FA7"/>
    <w:rsid w:val="004E654A"/>
    <w:rsid w:val="004E6C84"/>
    <w:rsid w:val="004E6C9D"/>
    <w:rsid w:val="004E6D00"/>
    <w:rsid w:val="004E6F33"/>
    <w:rsid w:val="004E77B5"/>
    <w:rsid w:val="004E7C3B"/>
    <w:rsid w:val="004E7DD3"/>
    <w:rsid w:val="004E7ED1"/>
    <w:rsid w:val="004F002E"/>
    <w:rsid w:val="004F0269"/>
    <w:rsid w:val="004F0477"/>
    <w:rsid w:val="004F0A15"/>
    <w:rsid w:val="004F0CDF"/>
    <w:rsid w:val="004F0D38"/>
    <w:rsid w:val="004F13AC"/>
    <w:rsid w:val="004F13EB"/>
    <w:rsid w:val="004F1653"/>
    <w:rsid w:val="004F22FD"/>
    <w:rsid w:val="004F23BA"/>
    <w:rsid w:val="004F26D5"/>
    <w:rsid w:val="004F2D49"/>
    <w:rsid w:val="004F3075"/>
    <w:rsid w:val="004F3470"/>
    <w:rsid w:val="004F3D01"/>
    <w:rsid w:val="004F404A"/>
    <w:rsid w:val="004F4421"/>
    <w:rsid w:val="004F4B1E"/>
    <w:rsid w:val="004F4D18"/>
    <w:rsid w:val="004F4FB0"/>
    <w:rsid w:val="004F5434"/>
    <w:rsid w:val="004F54D7"/>
    <w:rsid w:val="004F5969"/>
    <w:rsid w:val="004F5C44"/>
    <w:rsid w:val="004F62C6"/>
    <w:rsid w:val="004F65B4"/>
    <w:rsid w:val="004F6C5D"/>
    <w:rsid w:val="004F6F26"/>
    <w:rsid w:val="004F7392"/>
    <w:rsid w:val="004F7447"/>
    <w:rsid w:val="004F799E"/>
    <w:rsid w:val="004F7A37"/>
    <w:rsid w:val="004F7AC5"/>
    <w:rsid w:val="004F7C37"/>
    <w:rsid w:val="005007E0"/>
    <w:rsid w:val="00500D3D"/>
    <w:rsid w:val="00501472"/>
    <w:rsid w:val="0050192D"/>
    <w:rsid w:val="00501A5E"/>
    <w:rsid w:val="00501AA5"/>
    <w:rsid w:val="00501B21"/>
    <w:rsid w:val="00501C3E"/>
    <w:rsid w:val="00501D40"/>
    <w:rsid w:val="005028F1"/>
    <w:rsid w:val="00502946"/>
    <w:rsid w:val="005029AC"/>
    <w:rsid w:val="005029C2"/>
    <w:rsid w:val="00502B5B"/>
    <w:rsid w:val="00503C48"/>
    <w:rsid w:val="00503C98"/>
    <w:rsid w:val="005041EE"/>
    <w:rsid w:val="005043C3"/>
    <w:rsid w:val="00504777"/>
    <w:rsid w:val="005048E0"/>
    <w:rsid w:val="00504A66"/>
    <w:rsid w:val="00504A83"/>
    <w:rsid w:val="00504B56"/>
    <w:rsid w:val="00504ECC"/>
    <w:rsid w:val="00505623"/>
    <w:rsid w:val="0050566A"/>
    <w:rsid w:val="00505769"/>
    <w:rsid w:val="005057B9"/>
    <w:rsid w:val="00505B1F"/>
    <w:rsid w:val="005060C8"/>
    <w:rsid w:val="005064BF"/>
    <w:rsid w:val="00506A75"/>
    <w:rsid w:val="00506D57"/>
    <w:rsid w:val="00506E3A"/>
    <w:rsid w:val="00507052"/>
    <w:rsid w:val="00507696"/>
    <w:rsid w:val="00507DCC"/>
    <w:rsid w:val="0051026C"/>
    <w:rsid w:val="00510B93"/>
    <w:rsid w:val="00510D9F"/>
    <w:rsid w:val="00510DCF"/>
    <w:rsid w:val="00511255"/>
    <w:rsid w:val="00511C50"/>
    <w:rsid w:val="0051270F"/>
    <w:rsid w:val="00512762"/>
    <w:rsid w:val="005129A7"/>
    <w:rsid w:val="00512B8C"/>
    <w:rsid w:val="00512B91"/>
    <w:rsid w:val="00513206"/>
    <w:rsid w:val="005133CB"/>
    <w:rsid w:val="005140F2"/>
    <w:rsid w:val="0051421B"/>
    <w:rsid w:val="00514295"/>
    <w:rsid w:val="0051442A"/>
    <w:rsid w:val="005145AE"/>
    <w:rsid w:val="00514650"/>
    <w:rsid w:val="005148E1"/>
    <w:rsid w:val="0051491C"/>
    <w:rsid w:val="00514A00"/>
    <w:rsid w:val="00514B73"/>
    <w:rsid w:val="005152BA"/>
    <w:rsid w:val="00515507"/>
    <w:rsid w:val="0051555D"/>
    <w:rsid w:val="0051558A"/>
    <w:rsid w:val="00515F11"/>
    <w:rsid w:val="005165A2"/>
    <w:rsid w:val="005166AA"/>
    <w:rsid w:val="00516978"/>
    <w:rsid w:val="00516E74"/>
    <w:rsid w:val="005174C4"/>
    <w:rsid w:val="00517539"/>
    <w:rsid w:val="00517AB0"/>
    <w:rsid w:val="00520088"/>
    <w:rsid w:val="00520364"/>
    <w:rsid w:val="005203D9"/>
    <w:rsid w:val="00520D20"/>
    <w:rsid w:val="00520DAC"/>
    <w:rsid w:val="00520DE3"/>
    <w:rsid w:val="005212DA"/>
    <w:rsid w:val="00521432"/>
    <w:rsid w:val="0052194F"/>
    <w:rsid w:val="00521AF6"/>
    <w:rsid w:val="00521C8C"/>
    <w:rsid w:val="00521C91"/>
    <w:rsid w:val="00521E05"/>
    <w:rsid w:val="00522504"/>
    <w:rsid w:val="005226ED"/>
    <w:rsid w:val="00522BEA"/>
    <w:rsid w:val="0052307A"/>
    <w:rsid w:val="0052316B"/>
    <w:rsid w:val="0052319C"/>
    <w:rsid w:val="005234DB"/>
    <w:rsid w:val="005236F1"/>
    <w:rsid w:val="0052374B"/>
    <w:rsid w:val="00523CA1"/>
    <w:rsid w:val="00523EB1"/>
    <w:rsid w:val="00523F46"/>
    <w:rsid w:val="005241AA"/>
    <w:rsid w:val="0052502B"/>
    <w:rsid w:val="005250E4"/>
    <w:rsid w:val="005255EC"/>
    <w:rsid w:val="005257DD"/>
    <w:rsid w:val="00525EE5"/>
    <w:rsid w:val="0052663D"/>
    <w:rsid w:val="00526667"/>
    <w:rsid w:val="005267D1"/>
    <w:rsid w:val="0052682A"/>
    <w:rsid w:val="00526874"/>
    <w:rsid w:val="005270FB"/>
    <w:rsid w:val="00527110"/>
    <w:rsid w:val="00527DA2"/>
    <w:rsid w:val="00527F10"/>
    <w:rsid w:val="00527F3A"/>
    <w:rsid w:val="00530181"/>
    <w:rsid w:val="005303C5"/>
    <w:rsid w:val="005309DC"/>
    <w:rsid w:val="00530F5B"/>
    <w:rsid w:val="00531321"/>
    <w:rsid w:val="005315BB"/>
    <w:rsid w:val="00531983"/>
    <w:rsid w:val="00531A38"/>
    <w:rsid w:val="0053215B"/>
    <w:rsid w:val="0053279A"/>
    <w:rsid w:val="0053342B"/>
    <w:rsid w:val="00533575"/>
    <w:rsid w:val="005337B8"/>
    <w:rsid w:val="005338B8"/>
    <w:rsid w:val="00533959"/>
    <w:rsid w:val="00533A9C"/>
    <w:rsid w:val="00533F9D"/>
    <w:rsid w:val="0053405B"/>
    <w:rsid w:val="00534103"/>
    <w:rsid w:val="0053474F"/>
    <w:rsid w:val="005347A8"/>
    <w:rsid w:val="005347D4"/>
    <w:rsid w:val="00534CC1"/>
    <w:rsid w:val="00534F7F"/>
    <w:rsid w:val="00535273"/>
    <w:rsid w:val="0053531A"/>
    <w:rsid w:val="005358D9"/>
    <w:rsid w:val="00535E59"/>
    <w:rsid w:val="00536402"/>
    <w:rsid w:val="00536897"/>
    <w:rsid w:val="0053709E"/>
    <w:rsid w:val="00537223"/>
    <w:rsid w:val="00537387"/>
    <w:rsid w:val="00537763"/>
    <w:rsid w:val="005378C1"/>
    <w:rsid w:val="00537B94"/>
    <w:rsid w:val="00537D9E"/>
    <w:rsid w:val="00537F62"/>
    <w:rsid w:val="005400A3"/>
    <w:rsid w:val="005407AA"/>
    <w:rsid w:val="005407F3"/>
    <w:rsid w:val="00540A3A"/>
    <w:rsid w:val="00540B5E"/>
    <w:rsid w:val="00540BA4"/>
    <w:rsid w:val="00540D72"/>
    <w:rsid w:val="00540DF0"/>
    <w:rsid w:val="00541049"/>
    <w:rsid w:val="005414AE"/>
    <w:rsid w:val="0054199B"/>
    <w:rsid w:val="005419AD"/>
    <w:rsid w:val="00541CD7"/>
    <w:rsid w:val="00542171"/>
    <w:rsid w:val="00542268"/>
    <w:rsid w:val="00542BDB"/>
    <w:rsid w:val="00542C3F"/>
    <w:rsid w:val="00542F2D"/>
    <w:rsid w:val="00542FC3"/>
    <w:rsid w:val="00543467"/>
    <w:rsid w:val="00543526"/>
    <w:rsid w:val="00543849"/>
    <w:rsid w:val="00543905"/>
    <w:rsid w:val="00543A04"/>
    <w:rsid w:val="00543A71"/>
    <w:rsid w:val="005441AE"/>
    <w:rsid w:val="005445A4"/>
    <w:rsid w:val="00544673"/>
    <w:rsid w:val="005452F3"/>
    <w:rsid w:val="005454AF"/>
    <w:rsid w:val="00545724"/>
    <w:rsid w:val="00545A1C"/>
    <w:rsid w:val="00545A95"/>
    <w:rsid w:val="00545D58"/>
    <w:rsid w:val="0054602F"/>
    <w:rsid w:val="0054685F"/>
    <w:rsid w:val="0054721D"/>
    <w:rsid w:val="005472C7"/>
    <w:rsid w:val="00547333"/>
    <w:rsid w:val="00547BBA"/>
    <w:rsid w:val="00547FDB"/>
    <w:rsid w:val="00550724"/>
    <w:rsid w:val="0055087D"/>
    <w:rsid w:val="00550E0C"/>
    <w:rsid w:val="0055119E"/>
    <w:rsid w:val="005513B5"/>
    <w:rsid w:val="00551907"/>
    <w:rsid w:val="00551CBF"/>
    <w:rsid w:val="00551FC2"/>
    <w:rsid w:val="005521CB"/>
    <w:rsid w:val="005522D7"/>
    <w:rsid w:val="0055250A"/>
    <w:rsid w:val="00552595"/>
    <w:rsid w:val="0055259F"/>
    <w:rsid w:val="0055273F"/>
    <w:rsid w:val="00552E33"/>
    <w:rsid w:val="005533F2"/>
    <w:rsid w:val="0055353A"/>
    <w:rsid w:val="005539E2"/>
    <w:rsid w:val="00553CC6"/>
    <w:rsid w:val="00554381"/>
    <w:rsid w:val="00554B5B"/>
    <w:rsid w:val="0055508D"/>
    <w:rsid w:val="00555187"/>
    <w:rsid w:val="00555192"/>
    <w:rsid w:val="005551CD"/>
    <w:rsid w:val="00555415"/>
    <w:rsid w:val="005554F9"/>
    <w:rsid w:val="0055578A"/>
    <w:rsid w:val="00555C41"/>
    <w:rsid w:val="00555D46"/>
    <w:rsid w:val="00555E50"/>
    <w:rsid w:val="00555F04"/>
    <w:rsid w:val="00556AC3"/>
    <w:rsid w:val="00556D42"/>
    <w:rsid w:val="00557047"/>
    <w:rsid w:val="00557157"/>
    <w:rsid w:val="005578C5"/>
    <w:rsid w:val="00557AE1"/>
    <w:rsid w:val="00557AFA"/>
    <w:rsid w:val="005600F7"/>
    <w:rsid w:val="00560185"/>
    <w:rsid w:val="00560AEE"/>
    <w:rsid w:val="00560D0A"/>
    <w:rsid w:val="00560EA1"/>
    <w:rsid w:val="00561621"/>
    <w:rsid w:val="00561F5B"/>
    <w:rsid w:val="0056218C"/>
    <w:rsid w:val="005622E8"/>
    <w:rsid w:val="005623FC"/>
    <w:rsid w:val="00562989"/>
    <w:rsid w:val="005629E0"/>
    <w:rsid w:val="00563046"/>
    <w:rsid w:val="005630E3"/>
    <w:rsid w:val="00563611"/>
    <w:rsid w:val="00563758"/>
    <w:rsid w:val="00563B62"/>
    <w:rsid w:val="00563B75"/>
    <w:rsid w:val="00563B98"/>
    <w:rsid w:val="00563C72"/>
    <w:rsid w:val="00563D5D"/>
    <w:rsid w:val="00563ED1"/>
    <w:rsid w:val="0056407A"/>
    <w:rsid w:val="005644D1"/>
    <w:rsid w:val="0056489D"/>
    <w:rsid w:val="00564AE2"/>
    <w:rsid w:val="0056514F"/>
    <w:rsid w:val="00566008"/>
    <w:rsid w:val="005663B7"/>
    <w:rsid w:val="0056680B"/>
    <w:rsid w:val="0056697E"/>
    <w:rsid w:val="005669E1"/>
    <w:rsid w:val="00566C3A"/>
    <w:rsid w:val="00566F60"/>
    <w:rsid w:val="0056766A"/>
    <w:rsid w:val="00567862"/>
    <w:rsid w:val="0057006F"/>
    <w:rsid w:val="0057011A"/>
    <w:rsid w:val="0057023B"/>
    <w:rsid w:val="0057058A"/>
    <w:rsid w:val="0057070C"/>
    <w:rsid w:val="00570BFC"/>
    <w:rsid w:val="0057113B"/>
    <w:rsid w:val="0057125F"/>
    <w:rsid w:val="005712B3"/>
    <w:rsid w:val="005717DF"/>
    <w:rsid w:val="00571CD7"/>
    <w:rsid w:val="00571FCA"/>
    <w:rsid w:val="00572E3D"/>
    <w:rsid w:val="00572EC2"/>
    <w:rsid w:val="00572FB7"/>
    <w:rsid w:val="005734F5"/>
    <w:rsid w:val="00573556"/>
    <w:rsid w:val="00573563"/>
    <w:rsid w:val="0057382A"/>
    <w:rsid w:val="00573855"/>
    <w:rsid w:val="00574118"/>
    <w:rsid w:val="0057441B"/>
    <w:rsid w:val="0057476D"/>
    <w:rsid w:val="00574A4B"/>
    <w:rsid w:val="005754B3"/>
    <w:rsid w:val="005758C8"/>
    <w:rsid w:val="00575B86"/>
    <w:rsid w:val="0057600D"/>
    <w:rsid w:val="00576144"/>
    <w:rsid w:val="005763C6"/>
    <w:rsid w:val="005768F4"/>
    <w:rsid w:val="0057696C"/>
    <w:rsid w:val="00576A75"/>
    <w:rsid w:val="00576AF3"/>
    <w:rsid w:val="00576DA3"/>
    <w:rsid w:val="0057713C"/>
    <w:rsid w:val="00577CCA"/>
    <w:rsid w:val="005805F6"/>
    <w:rsid w:val="00580928"/>
    <w:rsid w:val="00580D21"/>
    <w:rsid w:val="00580F37"/>
    <w:rsid w:val="005815EF"/>
    <w:rsid w:val="00581918"/>
    <w:rsid w:val="005822D3"/>
    <w:rsid w:val="005825C4"/>
    <w:rsid w:val="0058275B"/>
    <w:rsid w:val="00582B58"/>
    <w:rsid w:val="00582EB8"/>
    <w:rsid w:val="00582F57"/>
    <w:rsid w:val="00583043"/>
    <w:rsid w:val="00583E2C"/>
    <w:rsid w:val="00583EF7"/>
    <w:rsid w:val="005842F5"/>
    <w:rsid w:val="005847B2"/>
    <w:rsid w:val="00584C85"/>
    <w:rsid w:val="00584CDE"/>
    <w:rsid w:val="005854E0"/>
    <w:rsid w:val="005855E2"/>
    <w:rsid w:val="0058591F"/>
    <w:rsid w:val="00585A06"/>
    <w:rsid w:val="00585E17"/>
    <w:rsid w:val="0058681D"/>
    <w:rsid w:val="005869FE"/>
    <w:rsid w:val="00586E1E"/>
    <w:rsid w:val="00586FAC"/>
    <w:rsid w:val="00587159"/>
    <w:rsid w:val="005877B3"/>
    <w:rsid w:val="00587C21"/>
    <w:rsid w:val="00587D5A"/>
    <w:rsid w:val="00587E65"/>
    <w:rsid w:val="00587E82"/>
    <w:rsid w:val="005904E0"/>
    <w:rsid w:val="00590667"/>
    <w:rsid w:val="005908DD"/>
    <w:rsid w:val="005908F2"/>
    <w:rsid w:val="00590ADA"/>
    <w:rsid w:val="00590DB4"/>
    <w:rsid w:val="00590E70"/>
    <w:rsid w:val="00590F59"/>
    <w:rsid w:val="005913B0"/>
    <w:rsid w:val="005914E1"/>
    <w:rsid w:val="00591645"/>
    <w:rsid w:val="005917CC"/>
    <w:rsid w:val="0059181E"/>
    <w:rsid w:val="0059186E"/>
    <w:rsid w:val="00591E0A"/>
    <w:rsid w:val="00592070"/>
    <w:rsid w:val="005925FC"/>
    <w:rsid w:val="00592796"/>
    <w:rsid w:val="00593149"/>
    <w:rsid w:val="00593384"/>
    <w:rsid w:val="00593586"/>
    <w:rsid w:val="00593773"/>
    <w:rsid w:val="00593CB5"/>
    <w:rsid w:val="00593FC7"/>
    <w:rsid w:val="005940DA"/>
    <w:rsid w:val="005940E7"/>
    <w:rsid w:val="00594314"/>
    <w:rsid w:val="00594326"/>
    <w:rsid w:val="0059444E"/>
    <w:rsid w:val="005948B4"/>
    <w:rsid w:val="0059512C"/>
    <w:rsid w:val="00595130"/>
    <w:rsid w:val="00596241"/>
    <w:rsid w:val="0059665C"/>
    <w:rsid w:val="00596EA3"/>
    <w:rsid w:val="00596F47"/>
    <w:rsid w:val="00597179"/>
    <w:rsid w:val="00597733"/>
    <w:rsid w:val="00597755"/>
    <w:rsid w:val="00597C2B"/>
    <w:rsid w:val="00597D23"/>
    <w:rsid w:val="005A00A3"/>
    <w:rsid w:val="005A02E6"/>
    <w:rsid w:val="005A03F2"/>
    <w:rsid w:val="005A077F"/>
    <w:rsid w:val="005A07A1"/>
    <w:rsid w:val="005A0BDE"/>
    <w:rsid w:val="005A0E5D"/>
    <w:rsid w:val="005A0EDF"/>
    <w:rsid w:val="005A1586"/>
    <w:rsid w:val="005A1CE5"/>
    <w:rsid w:val="005A1CE7"/>
    <w:rsid w:val="005A1EB7"/>
    <w:rsid w:val="005A1EF8"/>
    <w:rsid w:val="005A21B7"/>
    <w:rsid w:val="005A2403"/>
    <w:rsid w:val="005A2A5D"/>
    <w:rsid w:val="005A2E14"/>
    <w:rsid w:val="005A2F48"/>
    <w:rsid w:val="005A36F2"/>
    <w:rsid w:val="005A3845"/>
    <w:rsid w:val="005A3DBC"/>
    <w:rsid w:val="005A45C0"/>
    <w:rsid w:val="005A47D6"/>
    <w:rsid w:val="005A498D"/>
    <w:rsid w:val="005A4F60"/>
    <w:rsid w:val="005A507A"/>
    <w:rsid w:val="005A5442"/>
    <w:rsid w:val="005A5493"/>
    <w:rsid w:val="005A5497"/>
    <w:rsid w:val="005A5EAE"/>
    <w:rsid w:val="005A6055"/>
    <w:rsid w:val="005A60BC"/>
    <w:rsid w:val="005A628A"/>
    <w:rsid w:val="005A64DF"/>
    <w:rsid w:val="005A651F"/>
    <w:rsid w:val="005A66C6"/>
    <w:rsid w:val="005A6744"/>
    <w:rsid w:val="005A6DE8"/>
    <w:rsid w:val="005A6FE8"/>
    <w:rsid w:val="005A767D"/>
    <w:rsid w:val="005A7964"/>
    <w:rsid w:val="005A7EF9"/>
    <w:rsid w:val="005B070D"/>
    <w:rsid w:val="005B16F6"/>
    <w:rsid w:val="005B178C"/>
    <w:rsid w:val="005B1879"/>
    <w:rsid w:val="005B1DCD"/>
    <w:rsid w:val="005B1F85"/>
    <w:rsid w:val="005B2149"/>
    <w:rsid w:val="005B238F"/>
    <w:rsid w:val="005B2477"/>
    <w:rsid w:val="005B2A60"/>
    <w:rsid w:val="005B30AB"/>
    <w:rsid w:val="005B3217"/>
    <w:rsid w:val="005B3FF5"/>
    <w:rsid w:val="005B40C2"/>
    <w:rsid w:val="005B4220"/>
    <w:rsid w:val="005B4293"/>
    <w:rsid w:val="005B4331"/>
    <w:rsid w:val="005B44BD"/>
    <w:rsid w:val="005B4776"/>
    <w:rsid w:val="005B47A1"/>
    <w:rsid w:val="005B4AE3"/>
    <w:rsid w:val="005B4B35"/>
    <w:rsid w:val="005B4CF2"/>
    <w:rsid w:val="005B4F06"/>
    <w:rsid w:val="005B4F33"/>
    <w:rsid w:val="005B564F"/>
    <w:rsid w:val="005B6D8B"/>
    <w:rsid w:val="005B6DA1"/>
    <w:rsid w:val="005B6EE1"/>
    <w:rsid w:val="005B6EFE"/>
    <w:rsid w:val="005B78EC"/>
    <w:rsid w:val="005B79D9"/>
    <w:rsid w:val="005B7A0F"/>
    <w:rsid w:val="005B7B92"/>
    <w:rsid w:val="005C02D6"/>
    <w:rsid w:val="005C0380"/>
    <w:rsid w:val="005C03F5"/>
    <w:rsid w:val="005C0573"/>
    <w:rsid w:val="005C0686"/>
    <w:rsid w:val="005C0E55"/>
    <w:rsid w:val="005C1EB6"/>
    <w:rsid w:val="005C1F2B"/>
    <w:rsid w:val="005C2008"/>
    <w:rsid w:val="005C3797"/>
    <w:rsid w:val="005C3AAA"/>
    <w:rsid w:val="005C3F95"/>
    <w:rsid w:val="005C4068"/>
    <w:rsid w:val="005C41D1"/>
    <w:rsid w:val="005C422E"/>
    <w:rsid w:val="005C45E3"/>
    <w:rsid w:val="005C4A5F"/>
    <w:rsid w:val="005C4C9C"/>
    <w:rsid w:val="005C4EA5"/>
    <w:rsid w:val="005C51A3"/>
    <w:rsid w:val="005C5258"/>
    <w:rsid w:val="005C578F"/>
    <w:rsid w:val="005C5D13"/>
    <w:rsid w:val="005C602C"/>
    <w:rsid w:val="005C6355"/>
    <w:rsid w:val="005C6875"/>
    <w:rsid w:val="005C6D45"/>
    <w:rsid w:val="005C6D57"/>
    <w:rsid w:val="005C7996"/>
    <w:rsid w:val="005C7FC8"/>
    <w:rsid w:val="005D01A9"/>
    <w:rsid w:val="005D0B3D"/>
    <w:rsid w:val="005D0D63"/>
    <w:rsid w:val="005D0D86"/>
    <w:rsid w:val="005D1480"/>
    <w:rsid w:val="005D170C"/>
    <w:rsid w:val="005D1A6C"/>
    <w:rsid w:val="005D21BF"/>
    <w:rsid w:val="005D244A"/>
    <w:rsid w:val="005D245F"/>
    <w:rsid w:val="005D2481"/>
    <w:rsid w:val="005D2D63"/>
    <w:rsid w:val="005D2E2A"/>
    <w:rsid w:val="005D34A5"/>
    <w:rsid w:val="005D35E5"/>
    <w:rsid w:val="005D384E"/>
    <w:rsid w:val="005D3910"/>
    <w:rsid w:val="005D3915"/>
    <w:rsid w:val="005D3967"/>
    <w:rsid w:val="005D3A2A"/>
    <w:rsid w:val="005D3A7D"/>
    <w:rsid w:val="005D3FDF"/>
    <w:rsid w:val="005D45C4"/>
    <w:rsid w:val="005D4743"/>
    <w:rsid w:val="005D4DC1"/>
    <w:rsid w:val="005D5241"/>
    <w:rsid w:val="005D5383"/>
    <w:rsid w:val="005D5445"/>
    <w:rsid w:val="005D55D5"/>
    <w:rsid w:val="005D6261"/>
    <w:rsid w:val="005D6CC0"/>
    <w:rsid w:val="005D7340"/>
    <w:rsid w:val="005D74D5"/>
    <w:rsid w:val="005D7B40"/>
    <w:rsid w:val="005E0277"/>
    <w:rsid w:val="005E0331"/>
    <w:rsid w:val="005E09AC"/>
    <w:rsid w:val="005E0B49"/>
    <w:rsid w:val="005E1060"/>
    <w:rsid w:val="005E1119"/>
    <w:rsid w:val="005E1469"/>
    <w:rsid w:val="005E169A"/>
    <w:rsid w:val="005E16D1"/>
    <w:rsid w:val="005E18CB"/>
    <w:rsid w:val="005E226E"/>
    <w:rsid w:val="005E2931"/>
    <w:rsid w:val="005E2D76"/>
    <w:rsid w:val="005E30E4"/>
    <w:rsid w:val="005E3197"/>
    <w:rsid w:val="005E31AA"/>
    <w:rsid w:val="005E4BD6"/>
    <w:rsid w:val="005E501A"/>
    <w:rsid w:val="005E5146"/>
    <w:rsid w:val="005E52CF"/>
    <w:rsid w:val="005E558A"/>
    <w:rsid w:val="005E56B0"/>
    <w:rsid w:val="005E5D64"/>
    <w:rsid w:val="005E60CD"/>
    <w:rsid w:val="005E6178"/>
    <w:rsid w:val="005E63C2"/>
    <w:rsid w:val="005E650A"/>
    <w:rsid w:val="005E70C8"/>
    <w:rsid w:val="005E71A7"/>
    <w:rsid w:val="005E79A9"/>
    <w:rsid w:val="005E7A79"/>
    <w:rsid w:val="005F0128"/>
    <w:rsid w:val="005F05F8"/>
    <w:rsid w:val="005F0B29"/>
    <w:rsid w:val="005F0DDC"/>
    <w:rsid w:val="005F0DED"/>
    <w:rsid w:val="005F11D5"/>
    <w:rsid w:val="005F11EE"/>
    <w:rsid w:val="005F15CC"/>
    <w:rsid w:val="005F184D"/>
    <w:rsid w:val="005F1859"/>
    <w:rsid w:val="005F1BC2"/>
    <w:rsid w:val="005F2124"/>
    <w:rsid w:val="005F25DF"/>
    <w:rsid w:val="005F2768"/>
    <w:rsid w:val="005F2838"/>
    <w:rsid w:val="005F2E35"/>
    <w:rsid w:val="005F34BE"/>
    <w:rsid w:val="005F3D99"/>
    <w:rsid w:val="005F5256"/>
    <w:rsid w:val="005F548D"/>
    <w:rsid w:val="005F5A5D"/>
    <w:rsid w:val="005F5AF9"/>
    <w:rsid w:val="005F5DE0"/>
    <w:rsid w:val="005F65CD"/>
    <w:rsid w:val="005F6EE1"/>
    <w:rsid w:val="005F6F47"/>
    <w:rsid w:val="005F705E"/>
    <w:rsid w:val="005F7568"/>
    <w:rsid w:val="005F7880"/>
    <w:rsid w:val="005F79BD"/>
    <w:rsid w:val="005F7A52"/>
    <w:rsid w:val="005F7D38"/>
    <w:rsid w:val="0060023B"/>
    <w:rsid w:val="0060063A"/>
    <w:rsid w:val="006006F0"/>
    <w:rsid w:val="00600A1D"/>
    <w:rsid w:val="00600C94"/>
    <w:rsid w:val="006012A4"/>
    <w:rsid w:val="00601746"/>
    <w:rsid w:val="00601C9D"/>
    <w:rsid w:val="00601FC9"/>
    <w:rsid w:val="00602347"/>
    <w:rsid w:val="006028E6"/>
    <w:rsid w:val="006029ED"/>
    <w:rsid w:val="00602C86"/>
    <w:rsid w:val="00602C95"/>
    <w:rsid w:val="00603278"/>
    <w:rsid w:val="006034BA"/>
    <w:rsid w:val="0060397C"/>
    <w:rsid w:val="00603AF0"/>
    <w:rsid w:val="00603C05"/>
    <w:rsid w:val="006042E8"/>
    <w:rsid w:val="0060456D"/>
    <w:rsid w:val="00604595"/>
    <w:rsid w:val="006048DC"/>
    <w:rsid w:val="0060499E"/>
    <w:rsid w:val="006049C9"/>
    <w:rsid w:val="00604B63"/>
    <w:rsid w:val="00605250"/>
    <w:rsid w:val="006053B7"/>
    <w:rsid w:val="00605870"/>
    <w:rsid w:val="00605A88"/>
    <w:rsid w:val="006061C9"/>
    <w:rsid w:val="00606271"/>
    <w:rsid w:val="00606367"/>
    <w:rsid w:val="0060652B"/>
    <w:rsid w:val="00606A2E"/>
    <w:rsid w:val="00606A5B"/>
    <w:rsid w:val="00606EBF"/>
    <w:rsid w:val="00606F5E"/>
    <w:rsid w:val="006070F5"/>
    <w:rsid w:val="006072E7"/>
    <w:rsid w:val="006073FB"/>
    <w:rsid w:val="00607824"/>
    <w:rsid w:val="0060790C"/>
    <w:rsid w:val="00607A32"/>
    <w:rsid w:val="00607AAD"/>
    <w:rsid w:val="00607AC6"/>
    <w:rsid w:val="00607C30"/>
    <w:rsid w:val="00610284"/>
    <w:rsid w:val="0061041B"/>
    <w:rsid w:val="006108F0"/>
    <w:rsid w:val="00610CCB"/>
    <w:rsid w:val="0061125C"/>
    <w:rsid w:val="00611327"/>
    <w:rsid w:val="00611781"/>
    <w:rsid w:val="00611BEB"/>
    <w:rsid w:val="0061218F"/>
    <w:rsid w:val="00612731"/>
    <w:rsid w:val="006127CA"/>
    <w:rsid w:val="00612ACB"/>
    <w:rsid w:val="00612B6B"/>
    <w:rsid w:val="00612BCA"/>
    <w:rsid w:val="00612EDC"/>
    <w:rsid w:val="00613173"/>
    <w:rsid w:val="00613431"/>
    <w:rsid w:val="006137CE"/>
    <w:rsid w:val="00613831"/>
    <w:rsid w:val="00613B68"/>
    <w:rsid w:val="00613DC8"/>
    <w:rsid w:val="00614850"/>
    <w:rsid w:val="0061492C"/>
    <w:rsid w:val="00614BBE"/>
    <w:rsid w:val="00614C6A"/>
    <w:rsid w:val="00614E91"/>
    <w:rsid w:val="00615319"/>
    <w:rsid w:val="0061549C"/>
    <w:rsid w:val="0061559A"/>
    <w:rsid w:val="006155A0"/>
    <w:rsid w:val="006157F7"/>
    <w:rsid w:val="00615DC4"/>
    <w:rsid w:val="0061607B"/>
    <w:rsid w:val="00616500"/>
    <w:rsid w:val="00616988"/>
    <w:rsid w:val="00616A79"/>
    <w:rsid w:val="00616CAB"/>
    <w:rsid w:val="00617370"/>
    <w:rsid w:val="00617489"/>
    <w:rsid w:val="00617760"/>
    <w:rsid w:val="00617ED8"/>
    <w:rsid w:val="00617F12"/>
    <w:rsid w:val="0062001C"/>
    <w:rsid w:val="006201C7"/>
    <w:rsid w:val="00620451"/>
    <w:rsid w:val="0062060B"/>
    <w:rsid w:val="006206EE"/>
    <w:rsid w:val="00620D23"/>
    <w:rsid w:val="00621233"/>
    <w:rsid w:val="00621ADE"/>
    <w:rsid w:val="00621E66"/>
    <w:rsid w:val="00622119"/>
    <w:rsid w:val="0062325D"/>
    <w:rsid w:val="006237B9"/>
    <w:rsid w:val="00623B06"/>
    <w:rsid w:val="00623BA8"/>
    <w:rsid w:val="00624259"/>
    <w:rsid w:val="006243AC"/>
    <w:rsid w:val="0062484C"/>
    <w:rsid w:val="00624A8C"/>
    <w:rsid w:val="00624C4F"/>
    <w:rsid w:val="00624FEE"/>
    <w:rsid w:val="0062558B"/>
    <w:rsid w:val="00625DED"/>
    <w:rsid w:val="00626150"/>
    <w:rsid w:val="00626164"/>
    <w:rsid w:val="006264B6"/>
    <w:rsid w:val="0062689A"/>
    <w:rsid w:val="00627073"/>
    <w:rsid w:val="006276A5"/>
    <w:rsid w:val="00627EDC"/>
    <w:rsid w:val="00630196"/>
    <w:rsid w:val="00630426"/>
    <w:rsid w:val="00630810"/>
    <w:rsid w:val="00630C65"/>
    <w:rsid w:val="00630DBC"/>
    <w:rsid w:val="00631A7A"/>
    <w:rsid w:val="00632032"/>
    <w:rsid w:val="006320D9"/>
    <w:rsid w:val="006322CA"/>
    <w:rsid w:val="006326F1"/>
    <w:rsid w:val="00632A8A"/>
    <w:rsid w:val="00633841"/>
    <w:rsid w:val="00633F00"/>
    <w:rsid w:val="0063487D"/>
    <w:rsid w:val="00634BB5"/>
    <w:rsid w:val="00635090"/>
    <w:rsid w:val="00635566"/>
    <w:rsid w:val="0063590E"/>
    <w:rsid w:val="00635A53"/>
    <w:rsid w:val="00635C9B"/>
    <w:rsid w:val="00635FAE"/>
    <w:rsid w:val="00635FE9"/>
    <w:rsid w:val="00636296"/>
    <w:rsid w:val="00636808"/>
    <w:rsid w:val="006376FB"/>
    <w:rsid w:val="006378F3"/>
    <w:rsid w:val="00637EC5"/>
    <w:rsid w:val="006400FF"/>
    <w:rsid w:val="006406C9"/>
    <w:rsid w:val="00641781"/>
    <w:rsid w:val="0064184D"/>
    <w:rsid w:val="00641EF2"/>
    <w:rsid w:val="00642495"/>
    <w:rsid w:val="006425D1"/>
    <w:rsid w:val="00642A55"/>
    <w:rsid w:val="00642E7B"/>
    <w:rsid w:val="0064337E"/>
    <w:rsid w:val="006437F9"/>
    <w:rsid w:val="00643A39"/>
    <w:rsid w:val="00643B61"/>
    <w:rsid w:val="00643CCE"/>
    <w:rsid w:val="006447B6"/>
    <w:rsid w:val="0064498B"/>
    <w:rsid w:val="00644AB7"/>
    <w:rsid w:val="00644CBD"/>
    <w:rsid w:val="00645059"/>
    <w:rsid w:val="00645230"/>
    <w:rsid w:val="00645872"/>
    <w:rsid w:val="00645FF3"/>
    <w:rsid w:val="006461C7"/>
    <w:rsid w:val="00646292"/>
    <w:rsid w:val="00646646"/>
    <w:rsid w:val="006466A2"/>
    <w:rsid w:val="00646D7D"/>
    <w:rsid w:val="0064734D"/>
    <w:rsid w:val="006474EA"/>
    <w:rsid w:val="00647BCA"/>
    <w:rsid w:val="00647C84"/>
    <w:rsid w:val="006500D9"/>
    <w:rsid w:val="0065044C"/>
    <w:rsid w:val="006506C3"/>
    <w:rsid w:val="00650758"/>
    <w:rsid w:val="006507D5"/>
    <w:rsid w:val="00650DF0"/>
    <w:rsid w:val="00651291"/>
    <w:rsid w:val="00651318"/>
    <w:rsid w:val="006516E3"/>
    <w:rsid w:val="0065179D"/>
    <w:rsid w:val="006519DB"/>
    <w:rsid w:val="00651DE4"/>
    <w:rsid w:val="0065217F"/>
    <w:rsid w:val="006521DB"/>
    <w:rsid w:val="0065225A"/>
    <w:rsid w:val="00652493"/>
    <w:rsid w:val="00652EA1"/>
    <w:rsid w:val="0065301F"/>
    <w:rsid w:val="0065331F"/>
    <w:rsid w:val="006534B9"/>
    <w:rsid w:val="006535D1"/>
    <w:rsid w:val="006537F3"/>
    <w:rsid w:val="0065398F"/>
    <w:rsid w:val="00653D3A"/>
    <w:rsid w:val="00653E6D"/>
    <w:rsid w:val="00653F6A"/>
    <w:rsid w:val="006545EF"/>
    <w:rsid w:val="00654D2C"/>
    <w:rsid w:val="00655183"/>
    <w:rsid w:val="006551D2"/>
    <w:rsid w:val="00655564"/>
    <w:rsid w:val="006559F7"/>
    <w:rsid w:val="00655E88"/>
    <w:rsid w:val="00655FE2"/>
    <w:rsid w:val="00656AF7"/>
    <w:rsid w:val="00656D17"/>
    <w:rsid w:val="00656FDA"/>
    <w:rsid w:val="00657254"/>
    <w:rsid w:val="0065726A"/>
    <w:rsid w:val="0065753B"/>
    <w:rsid w:val="00657595"/>
    <w:rsid w:val="00657C0D"/>
    <w:rsid w:val="0066028E"/>
    <w:rsid w:val="00660AA0"/>
    <w:rsid w:val="00660AFF"/>
    <w:rsid w:val="00660B0E"/>
    <w:rsid w:val="00660CF8"/>
    <w:rsid w:val="00660D03"/>
    <w:rsid w:val="00661186"/>
    <w:rsid w:val="006614C7"/>
    <w:rsid w:val="00661E57"/>
    <w:rsid w:val="006621BD"/>
    <w:rsid w:val="00662533"/>
    <w:rsid w:val="0066259E"/>
    <w:rsid w:val="00662667"/>
    <w:rsid w:val="00662F53"/>
    <w:rsid w:val="00663187"/>
    <w:rsid w:val="0066378D"/>
    <w:rsid w:val="00663902"/>
    <w:rsid w:val="006639EE"/>
    <w:rsid w:val="00663E70"/>
    <w:rsid w:val="006643BF"/>
    <w:rsid w:val="00664775"/>
    <w:rsid w:val="006648A8"/>
    <w:rsid w:val="006648DE"/>
    <w:rsid w:val="00664CB7"/>
    <w:rsid w:val="00664E16"/>
    <w:rsid w:val="00665061"/>
    <w:rsid w:val="0066516A"/>
    <w:rsid w:val="00665D6C"/>
    <w:rsid w:val="00665EB1"/>
    <w:rsid w:val="006663CF"/>
    <w:rsid w:val="00666B2D"/>
    <w:rsid w:val="00667036"/>
    <w:rsid w:val="0066707A"/>
    <w:rsid w:val="006673CB"/>
    <w:rsid w:val="0066759F"/>
    <w:rsid w:val="0066792D"/>
    <w:rsid w:val="00667ED7"/>
    <w:rsid w:val="00667F2F"/>
    <w:rsid w:val="006701F4"/>
    <w:rsid w:val="006702ED"/>
    <w:rsid w:val="00670421"/>
    <w:rsid w:val="00670AD9"/>
    <w:rsid w:val="006713B7"/>
    <w:rsid w:val="0067140F"/>
    <w:rsid w:val="006720FA"/>
    <w:rsid w:val="006723CD"/>
    <w:rsid w:val="00672915"/>
    <w:rsid w:val="00672E1C"/>
    <w:rsid w:val="00672EED"/>
    <w:rsid w:val="00673138"/>
    <w:rsid w:val="00673322"/>
    <w:rsid w:val="00673B5D"/>
    <w:rsid w:val="00673B96"/>
    <w:rsid w:val="00673C64"/>
    <w:rsid w:val="00673D96"/>
    <w:rsid w:val="00674456"/>
    <w:rsid w:val="0067512E"/>
    <w:rsid w:val="00675761"/>
    <w:rsid w:val="00675A5C"/>
    <w:rsid w:val="00675E7E"/>
    <w:rsid w:val="00676225"/>
    <w:rsid w:val="00676270"/>
    <w:rsid w:val="00676272"/>
    <w:rsid w:val="0067640B"/>
    <w:rsid w:val="0067649E"/>
    <w:rsid w:val="006764FF"/>
    <w:rsid w:val="0067664B"/>
    <w:rsid w:val="0067672C"/>
    <w:rsid w:val="0067681B"/>
    <w:rsid w:val="00676A36"/>
    <w:rsid w:val="00676D1E"/>
    <w:rsid w:val="00677078"/>
    <w:rsid w:val="006774FE"/>
    <w:rsid w:val="006777C7"/>
    <w:rsid w:val="00677F0B"/>
    <w:rsid w:val="00677FC7"/>
    <w:rsid w:val="006800AB"/>
    <w:rsid w:val="00680620"/>
    <w:rsid w:val="006807ED"/>
    <w:rsid w:val="0068087A"/>
    <w:rsid w:val="0068088F"/>
    <w:rsid w:val="006815EF"/>
    <w:rsid w:val="00681A82"/>
    <w:rsid w:val="00681F0D"/>
    <w:rsid w:val="0068209D"/>
    <w:rsid w:val="00682B93"/>
    <w:rsid w:val="00682C6F"/>
    <w:rsid w:val="00683787"/>
    <w:rsid w:val="00684434"/>
    <w:rsid w:val="006845B4"/>
    <w:rsid w:val="0068460D"/>
    <w:rsid w:val="006848B5"/>
    <w:rsid w:val="00684B4B"/>
    <w:rsid w:val="00685417"/>
    <w:rsid w:val="00685831"/>
    <w:rsid w:val="00685DB7"/>
    <w:rsid w:val="0068660E"/>
    <w:rsid w:val="006866C4"/>
    <w:rsid w:val="00686FDA"/>
    <w:rsid w:val="006871E7"/>
    <w:rsid w:val="00690223"/>
    <w:rsid w:val="00690536"/>
    <w:rsid w:val="00690713"/>
    <w:rsid w:val="00690BE4"/>
    <w:rsid w:val="00690CF8"/>
    <w:rsid w:val="00690D1C"/>
    <w:rsid w:val="00690F19"/>
    <w:rsid w:val="00691320"/>
    <w:rsid w:val="00691D52"/>
    <w:rsid w:val="00691EA0"/>
    <w:rsid w:val="00691ED6"/>
    <w:rsid w:val="006921A8"/>
    <w:rsid w:val="006933E5"/>
    <w:rsid w:val="00693646"/>
    <w:rsid w:val="006936B2"/>
    <w:rsid w:val="00693A29"/>
    <w:rsid w:val="00693EEF"/>
    <w:rsid w:val="00694031"/>
    <w:rsid w:val="00694519"/>
    <w:rsid w:val="00694842"/>
    <w:rsid w:val="0069552B"/>
    <w:rsid w:val="00696382"/>
    <w:rsid w:val="0069652C"/>
    <w:rsid w:val="00697976"/>
    <w:rsid w:val="006979D3"/>
    <w:rsid w:val="00697B02"/>
    <w:rsid w:val="00697BD6"/>
    <w:rsid w:val="00697CCA"/>
    <w:rsid w:val="00697FBC"/>
    <w:rsid w:val="006A0951"/>
    <w:rsid w:val="006A0A3B"/>
    <w:rsid w:val="006A0E07"/>
    <w:rsid w:val="006A1246"/>
    <w:rsid w:val="006A178F"/>
    <w:rsid w:val="006A1AB2"/>
    <w:rsid w:val="006A1D6E"/>
    <w:rsid w:val="006A1F0A"/>
    <w:rsid w:val="006A240D"/>
    <w:rsid w:val="006A286B"/>
    <w:rsid w:val="006A334F"/>
    <w:rsid w:val="006A3537"/>
    <w:rsid w:val="006A3918"/>
    <w:rsid w:val="006A3C0A"/>
    <w:rsid w:val="006A3CAD"/>
    <w:rsid w:val="006A4508"/>
    <w:rsid w:val="006A4535"/>
    <w:rsid w:val="006A4644"/>
    <w:rsid w:val="006A46A9"/>
    <w:rsid w:val="006A4942"/>
    <w:rsid w:val="006A4D30"/>
    <w:rsid w:val="006A5EAB"/>
    <w:rsid w:val="006A6240"/>
    <w:rsid w:val="006A6B02"/>
    <w:rsid w:val="006A6F2D"/>
    <w:rsid w:val="006A7419"/>
    <w:rsid w:val="006A7668"/>
    <w:rsid w:val="006B09CD"/>
    <w:rsid w:val="006B0C33"/>
    <w:rsid w:val="006B0CAB"/>
    <w:rsid w:val="006B1842"/>
    <w:rsid w:val="006B189A"/>
    <w:rsid w:val="006B21B4"/>
    <w:rsid w:val="006B2734"/>
    <w:rsid w:val="006B2A82"/>
    <w:rsid w:val="006B31E5"/>
    <w:rsid w:val="006B364C"/>
    <w:rsid w:val="006B3BEB"/>
    <w:rsid w:val="006B4330"/>
    <w:rsid w:val="006B4419"/>
    <w:rsid w:val="006B481A"/>
    <w:rsid w:val="006B48F5"/>
    <w:rsid w:val="006B4B23"/>
    <w:rsid w:val="006B4E5F"/>
    <w:rsid w:val="006B5143"/>
    <w:rsid w:val="006B5996"/>
    <w:rsid w:val="006B5C87"/>
    <w:rsid w:val="006B5D30"/>
    <w:rsid w:val="006B5E45"/>
    <w:rsid w:val="006B617B"/>
    <w:rsid w:val="006B6B15"/>
    <w:rsid w:val="006B6C27"/>
    <w:rsid w:val="006B6DFD"/>
    <w:rsid w:val="006B6F86"/>
    <w:rsid w:val="006B7435"/>
    <w:rsid w:val="006B7854"/>
    <w:rsid w:val="006B7ECA"/>
    <w:rsid w:val="006B7FCE"/>
    <w:rsid w:val="006C14E4"/>
    <w:rsid w:val="006C1520"/>
    <w:rsid w:val="006C1912"/>
    <w:rsid w:val="006C1ABA"/>
    <w:rsid w:val="006C1F13"/>
    <w:rsid w:val="006C237C"/>
    <w:rsid w:val="006C245B"/>
    <w:rsid w:val="006C2679"/>
    <w:rsid w:val="006C2CCC"/>
    <w:rsid w:val="006C3128"/>
    <w:rsid w:val="006C353B"/>
    <w:rsid w:val="006C36C2"/>
    <w:rsid w:val="006C3BA7"/>
    <w:rsid w:val="006C3DF9"/>
    <w:rsid w:val="006C4523"/>
    <w:rsid w:val="006C45B8"/>
    <w:rsid w:val="006C4862"/>
    <w:rsid w:val="006C487E"/>
    <w:rsid w:val="006C48A8"/>
    <w:rsid w:val="006C4A61"/>
    <w:rsid w:val="006C4F07"/>
    <w:rsid w:val="006C513C"/>
    <w:rsid w:val="006C5332"/>
    <w:rsid w:val="006C5F00"/>
    <w:rsid w:val="006C62E1"/>
    <w:rsid w:val="006C6532"/>
    <w:rsid w:val="006C698A"/>
    <w:rsid w:val="006C6CAB"/>
    <w:rsid w:val="006C706F"/>
    <w:rsid w:val="006C77A1"/>
    <w:rsid w:val="006C7923"/>
    <w:rsid w:val="006C7DE6"/>
    <w:rsid w:val="006D0413"/>
    <w:rsid w:val="006D067C"/>
    <w:rsid w:val="006D0703"/>
    <w:rsid w:val="006D1010"/>
    <w:rsid w:val="006D147E"/>
    <w:rsid w:val="006D158A"/>
    <w:rsid w:val="006D1665"/>
    <w:rsid w:val="006D190C"/>
    <w:rsid w:val="006D1DCB"/>
    <w:rsid w:val="006D20DD"/>
    <w:rsid w:val="006D277D"/>
    <w:rsid w:val="006D29FB"/>
    <w:rsid w:val="006D2E14"/>
    <w:rsid w:val="006D2E41"/>
    <w:rsid w:val="006D2FBD"/>
    <w:rsid w:val="006D31EB"/>
    <w:rsid w:val="006D346C"/>
    <w:rsid w:val="006D3956"/>
    <w:rsid w:val="006D3C6C"/>
    <w:rsid w:val="006D3DA5"/>
    <w:rsid w:val="006D3E79"/>
    <w:rsid w:val="006D40D7"/>
    <w:rsid w:val="006D4136"/>
    <w:rsid w:val="006D43E6"/>
    <w:rsid w:val="006D499C"/>
    <w:rsid w:val="006D4B8F"/>
    <w:rsid w:val="006D5357"/>
    <w:rsid w:val="006D6489"/>
    <w:rsid w:val="006D6ABD"/>
    <w:rsid w:val="006D7111"/>
    <w:rsid w:val="006D737E"/>
    <w:rsid w:val="006D75E2"/>
    <w:rsid w:val="006D797B"/>
    <w:rsid w:val="006D7985"/>
    <w:rsid w:val="006E03FC"/>
    <w:rsid w:val="006E06EC"/>
    <w:rsid w:val="006E096B"/>
    <w:rsid w:val="006E1005"/>
    <w:rsid w:val="006E1307"/>
    <w:rsid w:val="006E1362"/>
    <w:rsid w:val="006E13D9"/>
    <w:rsid w:val="006E18E2"/>
    <w:rsid w:val="006E19BA"/>
    <w:rsid w:val="006E1A64"/>
    <w:rsid w:val="006E1AF6"/>
    <w:rsid w:val="006E1D43"/>
    <w:rsid w:val="006E203C"/>
    <w:rsid w:val="006E25FD"/>
    <w:rsid w:val="006E2984"/>
    <w:rsid w:val="006E2A82"/>
    <w:rsid w:val="006E2A9A"/>
    <w:rsid w:val="006E2C39"/>
    <w:rsid w:val="006E365D"/>
    <w:rsid w:val="006E3851"/>
    <w:rsid w:val="006E3A34"/>
    <w:rsid w:val="006E3B07"/>
    <w:rsid w:val="006E3EDF"/>
    <w:rsid w:val="006E41B4"/>
    <w:rsid w:val="006E4330"/>
    <w:rsid w:val="006E440A"/>
    <w:rsid w:val="006E4769"/>
    <w:rsid w:val="006E49AA"/>
    <w:rsid w:val="006E4A03"/>
    <w:rsid w:val="006E4AE6"/>
    <w:rsid w:val="006E4CF0"/>
    <w:rsid w:val="006E51A4"/>
    <w:rsid w:val="006E5598"/>
    <w:rsid w:val="006E560D"/>
    <w:rsid w:val="006E573E"/>
    <w:rsid w:val="006E58A2"/>
    <w:rsid w:val="006E62EC"/>
    <w:rsid w:val="006E67B6"/>
    <w:rsid w:val="006E6915"/>
    <w:rsid w:val="006E69AE"/>
    <w:rsid w:val="006E7022"/>
    <w:rsid w:val="006E7098"/>
    <w:rsid w:val="006E76E8"/>
    <w:rsid w:val="006E7749"/>
    <w:rsid w:val="006F07B7"/>
    <w:rsid w:val="006F090B"/>
    <w:rsid w:val="006F0D14"/>
    <w:rsid w:val="006F127F"/>
    <w:rsid w:val="006F12FC"/>
    <w:rsid w:val="006F165C"/>
    <w:rsid w:val="006F1926"/>
    <w:rsid w:val="006F1A67"/>
    <w:rsid w:val="006F1D25"/>
    <w:rsid w:val="006F20B7"/>
    <w:rsid w:val="006F2241"/>
    <w:rsid w:val="006F2291"/>
    <w:rsid w:val="006F22B8"/>
    <w:rsid w:val="006F2788"/>
    <w:rsid w:val="006F3146"/>
    <w:rsid w:val="006F34D2"/>
    <w:rsid w:val="006F36FC"/>
    <w:rsid w:val="006F3900"/>
    <w:rsid w:val="006F39A6"/>
    <w:rsid w:val="006F3BBE"/>
    <w:rsid w:val="006F3FA8"/>
    <w:rsid w:val="006F40D4"/>
    <w:rsid w:val="006F42D3"/>
    <w:rsid w:val="006F4830"/>
    <w:rsid w:val="006F56FB"/>
    <w:rsid w:val="006F5709"/>
    <w:rsid w:val="006F577A"/>
    <w:rsid w:val="006F5B88"/>
    <w:rsid w:val="006F6131"/>
    <w:rsid w:val="006F6BE7"/>
    <w:rsid w:val="006F6E13"/>
    <w:rsid w:val="006F75DC"/>
    <w:rsid w:val="006F76CF"/>
    <w:rsid w:val="006F7826"/>
    <w:rsid w:val="006F7C21"/>
    <w:rsid w:val="006F7DEC"/>
    <w:rsid w:val="006F7ED5"/>
    <w:rsid w:val="007003EE"/>
    <w:rsid w:val="00700421"/>
    <w:rsid w:val="007009BC"/>
    <w:rsid w:val="00701066"/>
    <w:rsid w:val="007012BC"/>
    <w:rsid w:val="007013D7"/>
    <w:rsid w:val="0070157D"/>
    <w:rsid w:val="00701ABF"/>
    <w:rsid w:val="00701FD6"/>
    <w:rsid w:val="00702192"/>
    <w:rsid w:val="007024F5"/>
    <w:rsid w:val="00702945"/>
    <w:rsid w:val="00702A71"/>
    <w:rsid w:val="00702A83"/>
    <w:rsid w:val="00703483"/>
    <w:rsid w:val="00703AB2"/>
    <w:rsid w:val="007042B0"/>
    <w:rsid w:val="0070455E"/>
    <w:rsid w:val="007048B0"/>
    <w:rsid w:val="00704C5C"/>
    <w:rsid w:val="00705A93"/>
    <w:rsid w:val="00705ABF"/>
    <w:rsid w:val="00706272"/>
    <w:rsid w:val="00706320"/>
    <w:rsid w:val="00706464"/>
    <w:rsid w:val="007066AD"/>
    <w:rsid w:val="00706D00"/>
    <w:rsid w:val="007071C7"/>
    <w:rsid w:val="007074FC"/>
    <w:rsid w:val="00707722"/>
    <w:rsid w:val="00707745"/>
    <w:rsid w:val="0071007C"/>
    <w:rsid w:val="00710276"/>
    <w:rsid w:val="007105D0"/>
    <w:rsid w:val="0071088E"/>
    <w:rsid w:val="007111FC"/>
    <w:rsid w:val="00711435"/>
    <w:rsid w:val="00711600"/>
    <w:rsid w:val="007116DD"/>
    <w:rsid w:val="00711839"/>
    <w:rsid w:val="00711D72"/>
    <w:rsid w:val="00711DC2"/>
    <w:rsid w:val="00711F0A"/>
    <w:rsid w:val="0071297D"/>
    <w:rsid w:val="00712B80"/>
    <w:rsid w:val="00712F65"/>
    <w:rsid w:val="0071302E"/>
    <w:rsid w:val="00713081"/>
    <w:rsid w:val="007131C2"/>
    <w:rsid w:val="00713319"/>
    <w:rsid w:val="0071378A"/>
    <w:rsid w:val="007138A7"/>
    <w:rsid w:val="00713A6B"/>
    <w:rsid w:val="00713D64"/>
    <w:rsid w:val="00714227"/>
    <w:rsid w:val="00714BD2"/>
    <w:rsid w:val="00715236"/>
    <w:rsid w:val="00715311"/>
    <w:rsid w:val="00715556"/>
    <w:rsid w:val="00715766"/>
    <w:rsid w:val="007159DA"/>
    <w:rsid w:val="0071662B"/>
    <w:rsid w:val="007167E4"/>
    <w:rsid w:val="00716A79"/>
    <w:rsid w:val="00716A80"/>
    <w:rsid w:val="00716C12"/>
    <w:rsid w:val="00717398"/>
    <w:rsid w:val="007178A0"/>
    <w:rsid w:val="0072014E"/>
    <w:rsid w:val="007203FB"/>
    <w:rsid w:val="00720598"/>
    <w:rsid w:val="00720A63"/>
    <w:rsid w:val="00720C65"/>
    <w:rsid w:val="00721035"/>
    <w:rsid w:val="00721262"/>
    <w:rsid w:val="00721354"/>
    <w:rsid w:val="00721D87"/>
    <w:rsid w:val="0072234E"/>
    <w:rsid w:val="00722624"/>
    <w:rsid w:val="00722986"/>
    <w:rsid w:val="0072358D"/>
    <w:rsid w:val="0072364F"/>
    <w:rsid w:val="0072371E"/>
    <w:rsid w:val="00723906"/>
    <w:rsid w:val="00723BE2"/>
    <w:rsid w:val="00723F96"/>
    <w:rsid w:val="00724076"/>
    <w:rsid w:val="00724199"/>
    <w:rsid w:val="00724A9E"/>
    <w:rsid w:val="00724D76"/>
    <w:rsid w:val="00724F50"/>
    <w:rsid w:val="00725961"/>
    <w:rsid w:val="007279D1"/>
    <w:rsid w:val="00727E8D"/>
    <w:rsid w:val="0073030A"/>
    <w:rsid w:val="00730560"/>
    <w:rsid w:val="0073072B"/>
    <w:rsid w:val="00730989"/>
    <w:rsid w:val="00731280"/>
    <w:rsid w:val="00731505"/>
    <w:rsid w:val="00731C4F"/>
    <w:rsid w:val="00731CBE"/>
    <w:rsid w:val="00731DFE"/>
    <w:rsid w:val="00731EB6"/>
    <w:rsid w:val="00731FB8"/>
    <w:rsid w:val="007322E9"/>
    <w:rsid w:val="007327E1"/>
    <w:rsid w:val="007329E6"/>
    <w:rsid w:val="00732A74"/>
    <w:rsid w:val="00732C11"/>
    <w:rsid w:val="00733345"/>
    <w:rsid w:val="00733853"/>
    <w:rsid w:val="00733CAD"/>
    <w:rsid w:val="00734056"/>
    <w:rsid w:val="00734143"/>
    <w:rsid w:val="007350A0"/>
    <w:rsid w:val="00735183"/>
    <w:rsid w:val="00735293"/>
    <w:rsid w:val="007355BA"/>
    <w:rsid w:val="0073562C"/>
    <w:rsid w:val="0073583E"/>
    <w:rsid w:val="007358E7"/>
    <w:rsid w:val="00735ADC"/>
    <w:rsid w:val="00735B1D"/>
    <w:rsid w:val="007377F6"/>
    <w:rsid w:val="007379A0"/>
    <w:rsid w:val="00737ABD"/>
    <w:rsid w:val="00737E01"/>
    <w:rsid w:val="007401C6"/>
    <w:rsid w:val="00740587"/>
    <w:rsid w:val="00740661"/>
    <w:rsid w:val="00740786"/>
    <w:rsid w:val="00740A22"/>
    <w:rsid w:val="00740AD8"/>
    <w:rsid w:val="007415B8"/>
    <w:rsid w:val="00741958"/>
    <w:rsid w:val="00741B7D"/>
    <w:rsid w:val="00741B91"/>
    <w:rsid w:val="00741C13"/>
    <w:rsid w:val="00741DA4"/>
    <w:rsid w:val="0074210D"/>
    <w:rsid w:val="0074288A"/>
    <w:rsid w:val="00742FF4"/>
    <w:rsid w:val="007438AB"/>
    <w:rsid w:val="007442A1"/>
    <w:rsid w:val="0074451C"/>
    <w:rsid w:val="007445A0"/>
    <w:rsid w:val="00744B55"/>
    <w:rsid w:val="00744BF1"/>
    <w:rsid w:val="00744C05"/>
    <w:rsid w:val="007450BB"/>
    <w:rsid w:val="007453B1"/>
    <w:rsid w:val="00745483"/>
    <w:rsid w:val="0074578E"/>
    <w:rsid w:val="007459A7"/>
    <w:rsid w:val="00745A53"/>
    <w:rsid w:val="007461D1"/>
    <w:rsid w:val="007464CC"/>
    <w:rsid w:val="007465A4"/>
    <w:rsid w:val="007469E2"/>
    <w:rsid w:val="00746E5E"/>
    <w:rsid w:val="0074700B"/>
    <w:rsid w:val="00747396"/>
    <w:rsid w:val="00747810"/>
    <w:rsid w:val="00747AC5"/>
    <w:rsid w:val="007501B6"/>
    <w:rsid w:val="007501DA"/>
    <w:rsid w:val="0075029C"/>
    <w:rsid w:val="00750420"/>
    <w:rsid w:val="007506CB"/>
    <w:rsid w:val="007507A7"/>
    <w:rsid w:val="0075080A"/>
    <w:rsid w:val="00750A6B"/>
    <w:rsid w:val="00752231"/>
    <w:rsid w:val="00752524"/>
    <w:rsid w:val="0075285C"/>
    <w:rsid w:val="00752FAD"/>
    <w:rsid w:val="00753157"/>
    <w:rsid w:val="007532AC"/>
    <w:rsid w:val="007534B4"/>
    <w:rsid w:val="00753983"/>
    <w:rsid w:val="00753AEB"/>
    <w:rsid w:val="00753CB9"/>
    <w:rsid w:val="00753F3C"/>
    <w:rsid w:val="00754167"/>
    <w:rsid w:val="00754288"/>
    <w:rsid w:val="00754FD1"/>
    <w:rsid w:val="0075503F"/>
    <w:rsid w:val="007552A2"/>
    <w:rsid w:val="00755C40"/>
    <w:rsid w:val="00756555"/>
    <w:rsid w:val="007567E7"/>
    <w:rsid w:val="00756967"/>
    <w:rsid w:val="0075699F"/>
    <w:rsid w:val="00756BB2"/>
    <w:rsid w:val="00756C92"/>
    <w:rsid w:val="00757335"/>
    <w:rsid w:val="007574F2"/>
    <w:rsid w:val="007577A0"/>
    <w:rsid w:val="0075794E"/>
    <w:rsid w:val="00757A38"/>
    <w:rsid w:val="00757C81"/>
    <w:rsid w:val="00760761"/>
    <w:rsid w:val="007607D0"/>
    <w:rsid w:val="00760889"/>
    <w:rsid w:val="00760CFA"/>
    <w:rsid w:val="00760DFA"/>
    <w:rsid w:val="00761088"/>
    <w:rsid w:val="007617FE"/>
    <w:rsid w:val="0076188C"/>
    <w:rsid w:val="00761DE2"/>
    <w:rsid w:val="0076251F"/>
    <w:rsid w:val="007629DD"/>
    <w:rsid w:val="00762C81"/>
    <w:rsid w:val="00762E7D"/>
    <w:rsid w:val="007630C1"/>
    <w:rsid w:val="007631D8"/>
    <w:rsid w:val="0076335B"/>
    <w:rsid w:val="00763D27"/>
    <w:rsid w:val="007640ED"/>
    <w:rsid w:val="00764305"/>
    <w:rsid w:val="00764953"/>
    <w:rsid w:val="00764D69"/>
    <w:rsid w:val="0076549B"/>
    <w:rsid w:val="007655EF"/>
    <w:rsid w:val="00766272"/>
    <w:rsid w:val="0076649F"/>
    <w:rsid w:val="007664A9"/>
    <w:rsid w:val="007664FD"/>
    <w:rsid w:val="007666D0"/>
    <w:rsid w:val="007666F5"/>
    <w:rsid w:val="00766AF6"/>
    <w:rsid w:val="00766CC8"/>
    <w:rsid w:val="0076723D"/>
    <w:rsid w:val="00767403"/>
    <w:rsid w:val="007674A5"/>
    <w:rsid w:val="00767506"/>
    <w:rsid w:val="00767AF8"/>
    <w:rsid w:val="00767B53"/>
    <w:rsid w:val="00767F22"/>
    <w:rsid w:val="007701FC"/>
    <w:rsid w:val="007704B2"/>
    <w:rsid w:val="007706BF"/>
    <w:rsid w:val="0077074F"/>
    <w:rsid w:val="007708D9"/>
    <w:rsid w:val="00771353"/>
    <w:rsid w:val="00771357"/>
    <w:rsid w:val="00771363"/>
    <w:rsid w:val="00771F3B"/>
    <w:rsid w:val="007721A7"/>
    <w:rsid w:val="007721C3"/>
    <w:rsid w:val="0077260F"/>
    <w:rsid w:val="00772830"/>
    <w:rsid w:val="00772D0C"/>
    <w:rsid w:val="00772D55"/>
    <w:rsid w:val="00773317"/>
    <w:rsid w:val="0077331D"/>
    <w:rsid w:val="007734DE"/>
    <w:rsid w:val="0077365E"/>
    <w:rsid w:val="00773C02"/>
    <w:rsid w:val="00773C2C"/>
    <w:rsid w:val="00773C32"/>
    <w:rsid w:val="00773E3C"/>
    <w:rsid w:val="00773EF5"/>
    <w:rsid w:val="00773F38"/>
    <w:rsid w:val="00773F6C"/>
    <w:rsid w:val="0077416B"/>
    <w:rsid w:val="007741E8"/>
    <w:rsid w:val="00774232"/>
    <w:rsid w:val="007742CA"/>
    <w:rsid w:val="00774D79"/>
    <w:rsid w:val="00775152"/>
    <w:rsid w:val="00775490"/>
    <w:rsid w:val="00775647"/>
    <w:rsid w:val="0077584F"/>
    <w:rsid w:val="00775C4B"/>
    <w:rsid w:val="00775DDA"/>
    <w:rsid w:val="007763E9"/>
    <w:rsid w:val="007779E1"/>
    <w:rsid w:val="0078084B"/>
    <w:rsid w:val="00780863"/>
    <w:rsid w:val="00780A87"/>
    <w:rsid w:val="00780EB0"/>
    <w:rsid w:val="00781DD1"/>
    <w:rsid w:val="00782241"/>
    <w:rsid w:val="007825D6"/>
    <w:rsid w:val="007825E2"/>
    <w:rsid w:val="00782822"/>
    <w:rsid w:val="00782A43"/>
    <w:rsid w:val="00782A63"/>
    <w:rsid w:val="00782F1E"/>
    <w:rsid w:val="007833DC"/>
    <w:rsid w:val="00783A3F"/>
    <w:rsid w:val="00783F5D"/>
    <w:rsid w:val="007841F2"/>
    <w:rsid w:val="00784657"/>
    <w:rsid w:val="00784735"/>
    <w:rsid w:val="00784768"/>
    <w:rsid w:val="007848B2"/>
    <w:rsid w:val="007855D3"/>
    <w:rsid w:val="007857F6"/>
    <w:rsid w:val="00785BDC"/>
    <w:rsid w:val="00785D7B"/>
    <w:rsid w:val="00786192"/>
    <w:rsid w:val="00786209"/>
    <w:rsid w:val="0078633F"/>
    <w:rsid w:val="00786368"/>
    <w:rsid w:val="00786AC8"/>
    <w:rsid w:val="00786CA5"/>
    <w:rsid w:val="00787129"/>
    <w:rsid w:val="007879F9"/>
    <w:rsid w:val="00787D06"/>
    <w:rsid w:val="00787D2F"/>
    <w:rsid w:val="00787E1C"/>
    <w:rsid w:val="00790250"/>
    <w:rsid w:val="0079027D"/>
    <w:rsid w:val="0079073C"/>
    <w:rsid w:val="00790A60"/>
    <w:rsid w:val="00790F1E"/>
    <w:rsid w:val="007913A6"/>
    <w:rsid w:val="007915DE"/>
    <w:rsid w:val="007919E8"/>
    <w:rsid w:val="007922AF"/>
    <w:rsid w:val="00792C74"/>
    <w:rsid w:val="00792D6F"/>
    <w:rsid w:val="00792EE6"/>
    <w:rsid w:val="0079366A"/>
    <w:rsid w:val="007939F1"/>
    <w:rsid w:val="00793E22"/>
    <w:rsid w:val="0079471D"/>
    <w:rsid w:val="00794B29"/>
    <w:rsid w:val="00794EDF"/>
    <w:rsid w:val="0079578A"/>
    <w:rsid w:val="007958CA"/>
    <w:rsid w:val="00796472"/>
    <w:rsid w:val="007965DE"/>
    <w:rsid w:val="00796A21"/>
    <w:rsid w:val="00796D08"/>
    <w:rsid w:val="00796FBD"/>
    <w:rsid w:val="0079723B"/>
    <w:rsid w:val="00797368"/>
    <w:rsid w:val="00797E1E"/>
    <w:rsid w:val="007A01ED"/>
    <w:rsid w:val="007A077C"/>
    <w:rsid w:val="007A0978"/>
    <w:rsid w:val="007A0AB9"/>
    <w:rsid w:val="007A1121"/>
    <w:rsid w:val="007A115C"/>
    <w:rsid w:val="007A11D8"/>
    <w:rsid w:val="007A12E7"/>
    <w:rsid w:val="007A1439"/>
    <w:rsid w:val="007A15A7"/>
    <w:rsid w:val="007A1A94"/>
    <w:rsid w:val="007A1DAB"/>
    <w:rsid w:val="007A1EA4"/>
    <w:rsid w:val="007A2088"/>
    <w:rsid w:val="007A2471"/>
    <w:rsid w:val="007A2748"/>
    <w:rsid w:val="007A28B6"/>
    <w:rsid w:val="007A2A36"/>
    <w:rsid w:val="007A2A71"/>
    <w:rsid w:val="007A3139"/>
    <w:rsid w:val="007A4458"/>
    <w:rsid w:val="007A44D0"/>
    <w:rsid w:val="007A4620"/>
    <w:rsid w:val="007A4D5D"/>
    <w:rsid w:val="007A4DCA"/>
    <w:rsid w:val="007A522C"/>
    <w:rsid w:val="007A5602"/>
    <w:rsid w:val="007A5777"/>
    <w:rsid w:val="007A587D"/>
    <w:rsid w:val="007A5A8F"/>
    <w:rsid w:val="007A5BDA"/>
    <w:rsid w:val="007A6008"/>
    <w:rsid w:val="007A6527"/>
    <w:rsid w:val="007A674B"/>
    <w:rsid w:val="007A6F66"/>
    <w:rsid w:val="007A7CBD"/>
    <w:rsid w:val="007B0240"/>
    <w:rsid w:val="007B0541"/>
    <w:rsid w:val="007B099D"/>
    <w:rsid w:val="007B0AAF"/>
    <w:rsid w:val="007B0DCA"/>
    <w:rsid w:val="007B0FFA"/>
    <w:rsid w:val="007B1800"/>
    <w:rsid w:val="007B20CA"/>
    <w:rsid w:val="007B212D"/>
    <w:rsid w:val="007B2784"/>
    <w:rsid w:val="007B3A23"/>
    <w:rsid w:val="007B3C46"/>
    <w:rsid w:val="007B3D3F"/>
    <w:rsid w:val="007B3FAC"/>
    <w:rsid w:val="007B4090"/>
    <w:rsid w:val="007B4143"/>
    <w:rsid w:val="007B41D2"/>
    <w:rsid w:val="007B4479"/>
    <w:rsid w:val="007B4509"/>
    <w:rsid w:val="007B4F9D"/>
    <w:rsid w:val="007B576F"/>
    <w:rsid w:val="007B591D"/>
    <w:rsid w:val="007B5AE8"/>
    <w:rsid w:val="007B5B40"/>
    <w:rsid w:val="007B5C2B"/>
    <w:rsid w:val="007B5EE7"/>
    <w:rsid w:val="007B5EEE"/>
    <w:rsid w:val="007B6DC3"/>
    <w:rsid w:val="007B6F4C"/>
    <w:rsid w:val="007B72A8"/>
    <w:rsid w:val="007B73F1"/>
    <w:rsid w:val="007B7619"/>
    <w:rsid w:val="007B79E0"/>
    <w:rsid w:val="007B7D03"/>
    <w:rsid w:val="007B7DF1"/>
    <w:rsid w:val="007C0A3F"/>
    <w:rsid w:val="007C13AF"/>
    <w:rsid w:val="007C1423"/>
    <w:rsid w:val="007C1783"/>
    <w:rsid w:val="007C1C2D"/>
    <w:rsid w:val="007C2570"/>
    <w:rsid w:val="007C2866"/>
    <w:rsid w:val="007C2BA1"/>
    <w:rsid w:val="007C31B1"/>
    <w:rsid w:val="007C3373"/>
    <w:rsid w:val="007C34BD"/>
    <w:rsid w:val="007C3AF2"/>
    <w:rsid w:val="007C45C4"/>
    <w:rsid w:val="007C47B4"/>
    <w:rsid w:val="007C4A0B"/>
    <w:rsid w:val="007C4D11"/>
    <w:rsid w:val="007C4DC9"/>
    <w:rsid w:val="007C4F49"/>
    <w:rsid w:val="007C4F4E"/>
    <w:rsid w:val="007C509C"/>
    <w:rsid w:val="007C5AD3"/>
    <w:rsid w:val="007C5D18"/>
    <w:rsid w:val="007C5FE4"/>
    <w:rsid w:val="007C65A6"/>
    <w:rsid w:val="007C66B6"/>
    <w:rsid w:val="007C7188"/>
    <w:rsid w:val="007C75DC"/>
    <w:rsid w:val="007C77C9"/>
    <w:rsid w:val="007C7906"/>
    <w:rsid w:val="007C7B83"/>
    <w:rsid w:val="007C7B9C"/>
    <w:rsid w:val="007D0113"/>
    <w:rsid w:val="007D0359"/>
    <w:rsid w:val="007D0661"/>
    <w:rsid w:val="007D0912"/>
    <w:rsid w:val="007D09FD"/>
    <w:rsid w:val="007D0BAA"/>
    <w:rsid w:val="007D0DA3"/>
    <w:rsid w:val="007D0E83"/>
    <w:rsid w:val="007D136E"/>
    <w:rsid w:val="007D139A"/>
    <w:rsid w:val="007D1646"/>
    <w:rsid w:val="007D20BB"/>
    <w:rsid w:val="007D214D"/>
    <w:rsid w:val="007D2632"/>
    <w:rsid w:val="007D2E7F"/>
    <w:rsid w:val="007D2EAD"/>
    <w:rsid w:val="007D30CF"/>
    <w:rsid w:val="007D3248"/>
    <w:rsid w:val="007D3289"/>
    <w:rsid w:val="007D3F0F"/>
    <w:rsid w:val="007D4195"/>
    <w:rsid w:val="007D42E0"/>
    <w:rsid w:val="007D48E4"/>
    <w:rsid w:val="007D4E17"/>
    <w:rsid w:val="007D5BE2"/>
    <w:rsid w:val="007D6191"/>
    <w:rsid w:val="007D62E5"/>
    <w:rsid w:val="007D6397"/>
    <w:rsid w:val="007D6D88"/>
    <w:rsid w:val="007D6E2D"/>
    <w:rsid w:val="007D71A0"/>
    <w:rsid w:val="007E0460"/>
    <w:rsid w:val="007E0909"/>
    <w:rsid w:val="007E0929"/>
    <w:rsid w:val="007E093B"/>
    <w:rsid w:val="007E0A3A"/>
    <w:rsid w:val="007E0BAC"/>
    <w:rsid w:val="007E10D3"/>
    <w:rsid w:val="007E1A50"/>
    <w:rsid w:val="007E1CD8"/>
    <w:rsid w:val="007E2820"/>
    <w:rsid w:val="007E2A97"/>
    <w:rsid w:val="007E2E92"/>
    <w:rsid w:val="007E2F40"/>
    <w:rsid w:val="007E308E"/>
    <w:rsid w:val="007E3423"/>
    <w:rsid w:val="007E3433"/>
    <w:rsid w:val="007E3B5A"/>
    <w:rsid w:val="007E3CF5"/>
    <w:rsid w:val="007E3EF6"/>
    <w:rsid w:val="007E4030"/>
    <w:rsid w:val="007E425A"/>
    <w:rsid w:val="007E460C"/>
    <w:rsid w:val="007E4622"/>
    <w:rsid w:val="007E4736"/>
    <w:rsid w:val="007E491E"/>
    <w:rsid w:val="007E4D4E"/>
    <w:rsid w:val="007E4FC9"/>
    <w:rsid w:val="007E509F"/>
    <w:rsid w:val="007E551C"/>
    <w:rsid w:val="007E5D93"/>
    <w:rsid w:val="007E625C"/>
    <w:rsid w:val="007E66D9"/>
    <w:rsid w:val="007E67BD"/>
    <w:rsid w:val="007E6D18"/>
    <w:rsid w:val="007E6D69"/>
    <w:rsid w:val="007E6F3D"/>
    <w:rsid w:val="007E7576"/>
    <w:rsid w:val="007E792F"/>
    <w:rsid w:val="007E7CF0"/>
    <w:rsid w:val="007E7ECD"/>
    <w:rsid w:val="007F017E"/>
    <w:rsid w:val="007F05EA"/>
    <w:rsid w:val="007F0684"/>
    <w:rsid w:val="007F0CCC"/>
    <w:rsid w:val="007F0DC7"/>
    <w:rsid w:val="007F0F84"/>
    <w:rsid w:val="007F10C9"/>
    <w:rsid w:val="007F14C0"/>
    <w:rsid w:val="007F151A"/>
    <w:rsid w:val="007F1A8D"/>
    <w:rsid w:val="007F1F50"/>
    <w:rsid w:val="007F2227"/>
    <w:rsid w:val="007F240A"/>
    <w:rsid w:val="007F2681"/>
    <w:rsid w:val="007F284B"/>
    <w:rsid w:val="007F2B92"/>
    <w:rsid w:val="007F307E"/>
    <w:rsid w:val="007F37AA"/>
    <w:rsid w:val="007F3A2A"/>
    <w:rsid w:val="007F3C71"/>
    <w:rsid w:val="007F3C83"/>
    <w:rsid w:val="007F3FD5"/>
    <w:rsid w:val="007F402A"/>
    <w:rsid w:val="007F4429"/>
    <w:rsid w:val="007F446D"/>
    <w:rsid w:val="007F45F9"/>
    <w:rsid w:val="007F4781"/>
    <w:rsid w:val="007F48A0"/>
    <w:rsid w:val="007F49FB"/>
    <w:rsid w:val="007F4A46"/>
    <w:rsid w:val="007F5493"/>
    <w:rsid w:val="007F5C1E"/>
    <w:rsid w:val="007F63F0"/>
    <w:rsid w:val="007F68FA"/>
    <w:rsid w:val="007F74D7"/>
    <w:rsid w:val="007F777B"/>
    <w:rsid w:val="007F7860"/>
    <w:rsid w:val="00800113"/>
    <w:rsid w:val="00800207"/>
    <w:rsid w:val="00800628"/>
    <w:rsid w:val="00800666"/>
    <w:rsid w:val="008006DA"/>
    <w:rsid w:val="00800705"/>
    <w:rsid w:val="00800B4D"/>
    <w:rsid w:val="00800C4B"/>
    <w:rsid w:val="0080121B"/>
    <w:rsid w:val="00801B24"/>
    <w:rsid w:val="00801E58"/>
    <w:rsid w:val="00801EBD"/>
    <w:rsid w:val="00802233"/>
    <w:rsid w:val="00802271"/>
    <w:rsid w:val="00802D7D"/>
    <w:rsid w:val="00803159"/>
    <w:rsid w:val="00803379"/>
    <w:rsid w:val="00803429"/>
    <w:rsid w:val="00803810"/>
    <w:rsid w:val="00803BFE"/>
    <w:rsid w:val="00803C02"/>
    <w:rsid w:val="00803CA5"/>
    <w:rsid w:val="00803CCE"/>
    <w:rsid w:val="00803CEE"/>
    <w:rsid w:val="00803E4E"/>
    <w:rsid w:val="00803E5B"/>
    <w:rsid w:val="0080410C"/>
    <w:rsid w:val="00804287"/>
    <w:rsid w:val="0080461A"/>
    <w:rsid w:val="00804C80"/>
    <w:rsid w:val="00804F8C"/>
    <w:rsid w:val="00805007"/>
    <w:rsid w:val="00805015"/>
    <w:rsid w:val="008054F8"/>
    <w:rsid w:val="00805EEC"/>
    <w:rsid w:val="0080640F"/>
    <w:rsid w:val="00806605"/>
    <w:rsid w:val="0080666F"/>
    <w:rsid w:val="008067AE"/>
    <w:rsid w:val="00806A05"/>
    <w:rsid w:val="008072EA"/>
    <w:rsid w:val="00807895"/>
    <w:rsid w:val="00807DAD"/>
    <w:rsid w:val="00810106"/>
    <w:rsid w:val="00810400"/>
    <w:rsid w:val="00810647"/>
    <w:rsid w:val="00810913"/>
    <w:rsid w:val="00810D9F"/>
    <w:rsid w:val="00811057"/>
    <w:rsid w:val="00811EAB"/>
    <w:rsid w:val="00812449"/>
    <w:rsid w:val="0081267A"/>
    <w:rsid w:val="00812693"/>
    <w:rsid w:val="00812784"/>
    <w:rsid w:val="00812994"/>
    <w:rsid w:val="00812C5E"/>
    <w:rsid w:val="00812D28"/>
    <w:rsid w:val="00813376"/>
    <w:rsid w:val="008138B7"/>
    <w:rsid w:val="00813968"/>
    <w:rsid w:val="00814366"/>
    <w:rsid w:val="00814368"/>
    <w:rsid w:val="008144F1"/>
    <w:rsid w:val="00814707"/>
    <w:rsid w:val="008149D5"/>
    <w:rsid w:val="00814D34"/>
    <w:rsid w:val="00814EE8"/>
    <w:rsid w:val="00814F30"/>
    <w:rsid w:val="0081510E"/>
    <w:rsid w:val="00815803"/>
    <w:rsid w:val="008160B3"/>
    <w:rsid w:val="00816666"/>
    <w:rsid w:val="00816B7F"/>
    <w:rsid w:val="00816C98"/>
    <w:rsid w:val="00816F38"/>
    <w:rsid w:val="00816FCA"/>
    <w:rsid w:val="00817146"/>
    <w:rsid w:val="008177CA"/>
    <w:rsid w:val="00817A06"/>
    <w:rsid w:val="00817AE6"/>
    <w:rsid w:val="00820301"/>
    <w:rsid w:val="008205D9"/>
    <w:rsid w:val="0082063B"/>
    <w:rsid w:val="008208C0"/>
    <w:rsid w:val="00820AFD"/>
    <w:rsid w:val="00820F31"/>
    <w:rsid w:val="0082134B"/>
    <w:rsid w:val="008213E9"/>
    <w:rsid w:val="00822337"/>
    <w:rsid w:val="00822729"/>
    <w:rsid w:val="00822B8E"/>
    <w:rsid w:val="00822C56"/>
    <w:rsid w:val="00822DDD"/>
    <w:rsid w:val="00822E2E"/>
    <w:rsid w:val="0082338F"/>
    <w:rsid w:val="00823453"/>
    <w:rsid w:val="00823765"/>
    <w:rsid w:val="008237FC"/>
    <w:rsid w:val="00823EF1"/>
    <w:rsid w:val="008240C7"/>
    <w:rsid w:val="00824316"/>
    <w:rsid w:val="00824374"/>
    <w:rsid w:val="008243C4"/>
    <w:rsid w:val="00824727"/>
    <w:rsid w:val="00824D33"/>
    <w:rsid w:val="00824EFD"/>
    <w:rsid w:val="00824FA5"/>
    <w:rsid w:val="0082541C"/>
    <w:rsid w:val="00825425"/>
    <w:rsid w:val="00825489"/>
    <w:rsid w:val="00826009"/>
    <w:rsid w:val="008268D4"/>
    <w:rsid w:val="00826BE6"/>
    <w:rsid w:val="00827273"/>
    <w:rsid w:val="0082756E"/>
    <w:rsid w:val="008276D4"/>
    <w:rsid w:val="00827792"/>
    <w:rsid w:val="00830012"/>
    <w:rsid w:val="00830C5F"/>
    <w:rsid w:val="00830F75"/>
    <w:rsid w:val="0083108E"/>
    <w:rsid w:val="008310E8"/>
    <w:rsid w:val="008312D4"/>
    <w:rsid w:val="008316C2"/>
    <w:rsid w:val="00831B36"/>
    <w:rsid w:val="00831C39"/>
    <w:rsid w:val="008323DF"/>
    <w:rsid w:val="00832418"/>
    <w:rsid w:val="008325A9"/>
    <w:rsid w:val="008326D4"/>
    <w:rsid w:val="00832757"/>
    <w:rsid w:val="00832A65"/>
    <w:rsid w:val="00832B80"/>
    <w:rsid w:val="00832C56"/>
    <w:rsid w:val="00832DF8"/>
    <w:rsid w:val="008346E2"/>
    <w:rsid w:val="008346E7"/>
    <w:rsid w:val="008346F9"/>
    <w:rsid w:val="00834E62"/>
    <w:rsid w:val="008350D9"/>
    <w:rsid w:val="008359D3"/>
    <w:rsid w:val="00835D84"/>
    <w:rsid w:val="008363DB"/>
    <w:rsid w:val="008366C8"/>
    <w:rsid w:val="0083690D"/>
    <w:rsid w:val="00836A3C"/>
    <w:rsid w:val="00837113"/>
    <w:rsid w:val="00837169"/>
    <w:rsid w:val="00837522"/>
    <w:rsid w:val="008378A0"/>
    <w:rsid w:val="00837DCB"/>
    <w:rsid w:val="00837EE9"/>
    <w:rsid w:val="00837FA6"/>
    <w:rsid w:val="00840208"/>
    <w:rsid w:val="00840223"/>
    <w:rsid w:val="00840436"/>
    <w:rsid w:val="00840608"/>
    <w:rsid w:val="00840625"/>
    <w:rsid w:val="00840861"/>
    <w:rsid w:val="00840D05"/>
    <w:rsid w:val="00840F66"/>
    <w:rsid w:val="008417F8"/>
    <w:rsid w:val="0084195D"/>
    <w:rsid w:val="00841A7C"/>
    <w:rsid w:val="00841B5B"/>
    <w:rsid w:val="00842407"/>
    <w:rsid w:val="0084319E"/>
    <w:rsid w:val="00843394"/>
    <w:rsid w:val="00843C9A"/>
    <w:rsid w:val="00843D96"/>
    <w:rsid w:val="0084418A"/>
    <w:rsid w:val="008446DE"/>
    <w:rsid w:val="00844974"/>
    <w:rsid w:val="00844981"/>
    <w:rsid w:val="00844C0B"/>
    <w:rsid w:val="00844E7A"/>
    <w:rsid w:val="0084517C"/>
    <w:rsid w:val="008452DB"/>
    <w:rsid w:val="00845A36"/>
    <w:rsid w:val="00845CC0"/>
    <w:rsid w:val="00845DFF"/>
    <w:rsid w:val="0084607E"/>
    <w:rsid w:val="008467D3"/>
    <w:rsid w:val="00846BB8"/>
    <w:rsid w:val="00846FBD"/>
    <w:rsid w:val="008470CC"/>
    <w:rsid w:val="008476EF"/>
    <w:rsid w:val="00847C92"/>
    <w:rsid w:val="00847CEE"/>
    <w:rsid w:val="0085026A"/>
    <w:rsid w:val="008505DD"/>
    <w:rsid w:val="008506F0"/>
    <w:rsid w:val="00850995"/>
    <w:rsid w:val="008509C4"/>
    <w:rsid w:val="00850C2F"/>
    <w:rsid w:val="00850CCB"/>
    <w:rsid w:val="00850DFB"/>
    <w:rsid w:val="008510EA"/>
    <w:rsid w:val="0085164C"/>
    <w:rsid w:val="0085166B"/>
    <w:rsid w:val="00851E4A"/>
    <w:rsid w:val="00852262"/>
    <w:rsid w:val="008523C1"/>
    <w:rsid w:val="008523D8"/>
    <w:rsid w:val="00852797"/>
    <w:rsid w:val="00852E00"/>
    <w:rsid w:val="008531F1"/>
    <w:rsid w:val="00853311"/>
    <w:rsid w:val="0085332F"/>
    <w:rsid w:val="0085346B"/>
    <w:rsid w:val="00853CDB"/>
    <w:rsid w:val="00853DCF"/>
    <w:rsid w:val="00854DDB"/>
    <w:rsid w:val="0085570B"/>
    <w:rsid w:val="008558E0"/>
    <w:rsid w:val="00855B75"/>
    <w:rsid w:val="00855C32"/>
    <w:rsid w:val="00855C33"/>
    <w:rsid w:val="00855D33"/>
    <w:rsid w:val="00855E9A"/>
    <w:rsid w:val="00856128"/>
    <w:rsid w:val="0085638A"/>
    <w:rsid w:val="00856895"/>
    <w:rsid w:val="008568B9"/>
    <w:rsid w:val="00856E38"/>
    <w:rsid w:val="00856EBD"/>
    <w:rsid w:val="008570A6"/>
    <w:rsid w:val="008574A7"/>
    <w:rsid w:val="00857A6B"/>
    <w:rsid w:val="00860190"/>
    <w:rsid w:val="0086021D"/>
    <w:rsid w:val="008602A4"/>
    <w:rsid w:val="00860AC8"/>
    <w:rsid w:val="0086126F"/>
    <w:rsid w:val="00861351"/>
    <w:rsid w:val="00861D27"/>
    <w:rsid w:val="008621DE"/>
    <w:rsid w:val="0086230A"/>
    <w:rsid w:val="00862835"/>
    <w:rsid w:val="00862A6D"/>
    <w:rsid w:val="00862D99"/>
    <w:rsid w:val="00863D34"/>
    <w:rsid w:val="0086456A"/>
    <w:rsid w:val="0086466A"/>
    <w:rsid w:val="00864735"/>
    <w:rsid w:val="00864FF9"/>
    <w:rsid w:val="00865B2A"/>
    <w:rsid w:val="0086625D"/>
    <w:rsid w:val="008664BA"/>
    <w:rsid w:val="0086689F"/>
    <w:rsid w:val="00866947"/>
    <w:rsid w:val="00867063"/>
    <w:rsid w:val="00867806"/>
    <w:rsid w:val="008704EA"/>
    <w:rsid w:val="008713F4"/>
    <w:rsid w:val="00871476"/>
    <w:rsid w:val="0087191B"/>
    <w:rsid w:val="008719EE"/>
    <w:rsid w:val="00871AA4"/>
    <w:rsid w:val="00871C34"/>
    <w:rsid w:val="00871FBD"/>
    <w:rsid w:val="00872372"/>
    <w:rsid w:val="0087237F"/>
    <w:rsid w:val="0087268B"/>
    <w:rsid w:val="00872F07"/>
    <w:rsid w:val="00873231"/>
    <w:rsid w:val="00873556"/>
    <w:rsid w:val="00873793"/>
    <w:rsid w:val="00873949"/>
    <w:rsid w:val="00873FA1"/>
    <w:rsid w:val="00874059"/>
    <w:rsid w:val="00874781"/>
    <w:rsid w:val="00874C96"/>
    <w:rsid w:val="00874E7B"/>
    <w:rsid w:val="00875C8C"/>
    <w:rsid w:val="00876289"/>
    <w:rsid w:val="00876337"/>
    <w:rsid w:val="008766AA"/>
    <w:rsid w:val="008776AF"/>
    <w:rsid w:val="0088081E"/>
    <w:rsid w:val="00880D8F"/>
    <w:rsid w:val="00880EE0"/>
    <w:rsid w:val="00881660"/>
    <w:rsid w:val="00881845"/>
    <w:rsid w:val="008818CF"/>
    <w:rsid w:val="00881DD6"/>
    <w:rsid w:val="0088207E"/>
    <w:rsid w:val="00882528"/>
    <w:rsid w:val="00882A4A"/>
    <w:rsid w:val="00882A90"/>
    <w:rsid w:val="00882ADD"/>
    <w:rsid w:val="00882E75"/>
    <w:rsid w:val="00883218"/>
    <w:rsid w:val="00883244"/>
    <w:rsid w:val="00883370"/>
    <w:rsid w:val="0088352E"/>
    <w:rsid w:val="008835F4"/>
    <w:rsid w:val="008837B1"/>
    <w:rsid w:val="00883851"/>
    <w:rsid w:val="00883972"/>
    <w:rsid w:val="00883A6C"/>
    <w:rsid w:val="00883BA1"/>
    <w:rsid w:val="00883C06"/>
    <w:rsid w:val="00883E63"/>
    <w:rsid w:val="00883FC9"/>
    <w:rsid w:val="00884455"/>
    <w:rsid w:val="008846C9"/>
    <w:rsid w:val="008848CA"/>
    <w:rsid w:val="00884C56"/>
    <w:rsid w:val="008853F6"/>
    <w:rsid w:val="008856C5"/>
    <w:rsid w:val="0088607A"/>
    <w:rsid w:val="00886247"/>
    <w:rsid w:val="00886283"/>
    <w:rsid w:val="00886C02"/>
    <w:rsid w:val="00886E2E"/>
    <w:rsid w:val="008871D4"/>
    <w:rsid w:val="008876B7"/>
    <w:rsid w:val="00887787"/>
    <w:rsid w:val="00887DB2"/>
    <w:rsid w:val="00887E50"/>
    <w:rsid w:val="0089036C"/>
    <w:rsid w:val="0089047B"/>
    <w:rsid w:val="008904EC"/>
    <w:rsid w:val="00890562"/>
    <w:rsid w:val="008916A2"/>
    <w:rsid w:val="00891C38"/>
    <w:rsid w:val="00891FBD"/>
    <w:rsid w:val="008922F5"/>
    <w:rsid w:val="008931D6"/>
    <w:rsid w:val="00893A75"/>
    <w:rsid w:val="00893E77"/>
    <w:rsid w:val="008941FF"/>
    <w:rsid w:val="008942B1"/>
    <w:rsid w:val="00894839"/>
    <w:rsid w:val="00895723"/>
    <w:rsid w:val="008957EC"/>
    <w:rsid w:val="00895D29"/>
    <w:rsid w:val="00895DEE"/>
    <w:rsid w:val="0089625E"/>
    <w:rsid w:val="008963BA"/>
    <w:rsid w:val="008967B8"/>
    <w:rsid w:val="008968AC"/>
    <w:rsid w:val="00896FA5"/>
    <w:rsid w:val="00897141"/>
    <w:rsid w:val="00897408"/>
    <w:rsid w:val="00897475"/>
    <w:rsid w:val="008975C0"/>
    <w:rsid w:val="0089784F"/>
    <w:rsid w:val="008A0424"/>
    <w:rsid w:val="008A0632"/>
    <w:rsid w:val="008A098B"/>
    <w:rsid w:val="008A0C29"/>
    <w:rsid w:val="008A0C7B"/>
    <w:rsid w:val="008A0D80"/>
    <w:rsid w:val="008A105E"/>
    <w:rsid w:val="008A1294"/>
    <w:rsid w:val="008A15AF"/>
    <w:rsid w:val="008A18A7"/>
    <w:rsid w:val="008A18EA"/>
    <w:rsid w:val="008A1DC1"/>
    <w:rsid w:val="008A1E16"/>
    <w:rsid w:val="008A2A3D"/>
    <w:rsid w:val="008A2CCE"/>
    <w:rsid w:val="008A2E5A"/>
    <w:rsid w:val="008A2ED4"/>
    <w:rsid w:val="008A3349"/>
    <w:rsid w:val="008A33B2"/>
    <w:rsid w:val="008A3471"/>
    <w:rsid w:val="008A34B4"/>
    <w:rsid w:val="008A3620"/>
    <w:rsid w:val="008A3736"/>
    <w:rsid w:val="008A3968"/>
    <w:rsid w:val="008A3D85"/>
    <w:rsid w:val="008A3E5C"/>
    <w:rsid w:val="008A45A5"/>
    <w:rsid w:val="008A45B3"/>
    <w:rsid w:val="008A4604"/>
    <w:rsid w:val="008A465F"/>
    <w:rsid w:val="008A47A1"/>
    <w:rsid w:val="008A4837"/>
    <w:rsid w:val="008A4C4D"/>
    <w:rsid w:val="008A4F20"/>
    <w:rsid w:val="008A503F"/>
    <w:rsid w:val="008A5629"/>
    <w:rsid w:val="008A5757"/>
    <w:rsid w:val="008A595B"/>
    <w:rsid w:val="008A5ABB"/>
    <w:rsid w:val="008A5E07"/>
    <w:rsid w:val="008A5E3F"/>
    <w:rsid w:val="008A62DF"/>
    <w:rsid w:val="008A6486"/>
    <w:rsid w:val="008A64B9"/>
    <w:rsid w:val="008A6727"/>
    <w:rsid w:val="008A68EB"/>
    <w:rsid w:val="008A6C20"/>
    <w:rsid w:val="008A75C0"/>
    <w:rsid w:val="008A77F9"/>
    <w:rsid w:val="008A799F"/>
    <w:rsid w:val="008B008C"/>
    <w:rsid w:val="008B0272"/>
    <w:rsid w:val="008B02C8"/>
    <w:rsid w:val="008B094D"/>
    <w:rsid w:val="008B0954"/>
    <w:rsid w:val="008B0AAA"/>
    <w:rsid w:val="008B0F85"/>
    <w:rsid w:val="008B0FDE"/>
    <w:rsid w:val="008B1AB1"/>
    <w:rsid w:val="008B1D3C"/>
    <w:rsid w:val="008B1F9C"/>
    <w:rsid w:val="008B29B6"/>
    <w:rsid w:val="008B2DD9"/>
    <w:rsid w:val="008B2E92"/>
    <w:rsid w:val="008B2FA4"/>
    <w:rsid w:val="008B30B5"/>
    <w:rsid w:val="008B30B7"/>
    <w:rsid w:val="008B3233"/>
    <w:rsid w:val="008B327B"/>
    <w:rsid w:val="008B3EE9"/>
    <w:rsid w:val="008B4136"/>
    <w:rsid w:val="008B4540"/>
    <w:rsid w:val="008B4B6D"/>
    <w:rsid w:val="008B4DBB"/>
    <w:rsid w:val="008B517B"/>
    <w:rsid w:val="008B534D"/>
    <w:rsid w:val="008B581A"/>
    <w:rsid w:val="008B59CD"/>
    <w:rsid w:val="008B5D15"/>
    <w:rsid w:val="008B6049"/>
    <w:rsid w:val="008B608F"/>
    <w:rsid w:val="008B6795"/>
    <w:rsid w:val="008B6AB9"/>
    <w:rsid w:val="008B6E76"/>
    <w:rsid w:val="008B7010"/>
    <w:rsid w:val="008B7643"/>
    <w:rsid w:val="008B7DFB"/>
    <w:rsid w:val="008C0940"/>
    <w:rsid w:val="008C0AD3"/>
    <w:rsid w:val="008C1411"/>
    <w:rsid w:val="008C1413"/>
    <w:rsid w:val="008C21D7"/>
    <w:rsid w:val="008C247C"/>
    <w:rsid w:val="008C281B"/>
    <w:rsid w:val="008C302E"/>
    <w:rsid w:val="008C3377"/>
    <w:rsid w:val="008C3A6F"/>
    <w:rsid w:val="008C3AF0"/>
    <w:rsid w:val="008C3F56"/>
    <w:rsid w:val="008C4AAD"/>
    <w:rsid w:val="008C4B04"/>
    <w:rsid w:val="008C506D"/>
    <w:rsid w:val="008C573E"/>
    <w:rsid w:val="008C5917"/>
    <w:rsid w:val="008C5960"/>
    <w:rsid w:val="008C5AAD"/>
    <w:rsid w:val="008C5B19"/>
    <w:rsid w:val="008C627F"/>
    <w:rsid w:val="008C6713"/>
    <w:rsid w:val="008C7207"/>
    <w:rsid w:val="008C78E9"/>
    <w:rsid w:val="008D02BF"/>
    <w:rsid w:val="008D03F5"/>
    <w:rsid w:val="008D0AD7"/>
    <w:rsid w:val="008D0CAD"/>
    <w:rsid w:val="008D1796"/>
    <w:rsid w:val="008D1CA6"/>
    <w:rsid w:val="008D1D1D"/>
    <w:rsid w:val="008D1D9F"/>
    <w:rsid w:val="008D1FEB"/>
    <w:rsid w:val="008D2219"/>
    <w:rsid w:val="008D261B"/>
    <w:rsid w:val="008D2773"/>
    <w:rsid w:val="008D2ADF"/>
    <w:rsid w:val="008D33C6"/>
    <w:rsid w:val="008D344A"/>
    <w:rsid w:val="008D3AAA"/>
    <w:rsid w:val="008D3D34"/>
    <w:rsid w:val="008D3FE9"/>
    <w:rsid w:val="008D4F53"/>
    <w:rsid w:val="008D5F33"/>
    <w:rsid w:val="008D6508"/>
    <w:rsid w:val="008D6838"/>
    <w:rsid w:val="008D6B37"/>
    <w:rsid w:val="008D6D67"/>
    <w:rsid w:val="008D7479"/>
    <w:rsid w:val="008D76B9"/>
    <w:rsid w:val="008D7786"/>
    <w:rsid w:val="008D7BBC"/>
    <w:rsid w:val="008D7C8F"/>
    <w:rsid w:val="008D7D3B"/>
    <w:rsid w:val="008D7D76"/>
    <w:rsid w:val="008D7E4B"/>
    <w:rsid w:val="008E040B"/>
    <w:rsid w:val="008E0A56"/>
    <w:rsid w:val="008E0E1E"/>
    <w:rsid w:val="008E131C"/>
    <w:rsid w:val="008E17A6"/>
    <w:rsid w:val="008E1A3F"/>
    <w:rsid w:val="008E20BE"/>
    <w:rsid w:val="008E23BF"/>
    <w:rsid w:val="008E24C2"/>
    <w:rsid w:val="008E2C2D"/>
    <w:rsid w:val="008E312C"/>
    <w:rsid w:val="008E31A4"/>
    <w:rsid w:val="008E31E5"/>
    <w:rsid w:val="008E34CC"/>
    <w:rsid w:val="008E357D"/>
    <w:rsid w:val="008E3708"/>
    <w:rsid w:val="008E396E"/>
    <w:rsid w:val="008E3CA4"/>
    <w:rsid w:val="008E3E78"/>
    <w:rsid w:val="008E4D91"/>
    <w:rsid w:val="008E52B3"/>
    <w:rsid w:val="008E56A7"/>
    <w:rsid w:val="008E5744"/>
    <w:rsid w:val="008E5F36"/>
    <w:rsid w:val="008E5F74"/>
    <w:rsid w:val="008E61D8"/>
    <w:rsid w:val="008E62FB"/>
    <w:rsid w:val="008E6A49"/>
    <w:rsid w:val="008E6CFE"/>
    <w:rsid w:val="008E6E04"/>
    <w:rsid w:val="008E6FC9"/>
    <w:rsid w:val="008E71DE"/>
    <w:rsid w:val="008E79FF"/>
    <w:rsid w:val="008E7B84"/>
    <w:rsid w:val="008E7DC1"/>
    <w:rsid w:val="008F0383"/>
    <w:rsid w:val="008F03CB"/>
    <w:rsid w:val="008F08F1"/>
    <w:rsid w:val="008F0A21"/>
    <w:rsid w:val="008F1239"/>
    <w:rsid w:val="008F12A2"/>
    <w:rsid w:val="008F1425"/>
    <w:rsid w:val="008F16F6"/>
    <w:rsid w:val="008F1720"/>
    <w:rsid w:val="008F1804"/>
    <w:rsid w:val="008F2B74"/>
    <w:rsid w:val="008F2BA7"/>
    <w:rsid w:val="008F32EB"/>
    <w:rsid w:val="008F361B"/>
    <w:rsid w:val="008F3658"/>
    <w:rsid w:val="008F42BE"/>
    <w:rsid w:val="008F468D"/>
    <w:rsid w:val="008F4C05"/>
    <w:rsid w:val="008F5010"/>
    <w:rsid w:val="008F551A"/>
    <w:rsid w:val="008F5DB2"/>
    <w:rsid w:val="008F63D6"/>
    <w:rsid w:val="008F6612"/>
    <w:rsid w:val="008F69F1"/>
    <w:rsid w:val="008F6B98"/>
    <w:rsid w:val="008F6BF4"/>
    <w:rsid w:val="008F7014"/>
    <w:rsid w:val="008F70B0"/>
    <w:rsid w:val="008F72AA"/>
    <w:rsid w:val="008F7401"/>
    <w:rsid w:val="008F78C7"/>
    <w:rsid w:val="008F78F7"/>
    <w:rsid w:val="008F7D82"/>
    <w:rsid w:val="008F7DFF"/>
    <w:rsid w:val="0090025C"/>
    <w:rsid w:val="0090055A"/>
    <w:rsid w:val="00900F67"/>
    <w:rsid w:val="00901029"/>
    <w:rsid w:val="009013F9"/>
    <w:rsid w:val="009015BC"/>
    <w:rsid w:val="00901D20"/>
    <w:rsid w:val="009021E3"/>
    <w:rsid w:val="009025F5"/>
    <w:rsid w:val="00902C98"/>
    <w:rsid w:val="00902F66"/>
    <w:rsid w:val="009036A1"/>
    <w:rsid w:val="00903C3E"/>
    <w:rsid w:val="0090402D"/>
    <w:rsid w:val="00904055"/>
    <w:rsid w:val="00904128"/>
    <w:rsid w:val="0090526B"/>
    <w:rsid w:val="009052CE"/>
    <w:rsid w:val="0090552A"/>
    <w:rsid w:val="00905A9D"/>
    <w:rsid w:val="00905C69"/>
    <w:rsid w:val="00906219"/>
    <w:rsid w:val="00906938"/>
    <w:rsid w:val="00906981"/>
    <w:rsid w:val="00906C0E"/>
    <w:rsid w:val="00907576"/>
    <w:rsid w:val="00907591"/>
    <w:rsid w:val="00907968"/>
    <w:rsid w:val="00910423"/>
    <w:rsid w:val="00910B75"/>
    <w:rsid w:val="00910C80"/>
    <w:rsid w:val="00910F6D"/>
    <w:rsid w:val="00910FD5"/>
    <w:rsid w:val="0091101A"/>
    <w:rsid w:val="0091116F"/>
    <w:rsid w:val="00911440"/>
    <w:rsid w:val="00911986"/>
    <w:rsid w:val="00911F35"/>
    <w:rsid w:val="00911FDC"/>
    <w:rsid w:val="00911FE6"/>
    <w:rsid w:val="00912151"/>
    <w:rsid w:val="009122EF"/>
    <w:rsid w:val="00912845"/>
    <w:rsid w:val="00912953"/>
    <w:rsid w:val="00912A75"/>
    <w:rsid w:val="00912FB7"/>
    <w:rsid w:val="009136F6"/>
    <w:rsid w:val="0091375F"/>
    <w:rsid w:val="00913ACF"/>
    <w:rsid w:val="00913F3A"/>
    <w:rsid w:val="009142FE"/>
    <w:rsid w:val="00914485"/>
    <w:rsid w:val="00914570"/>
    <w:rsid w:val="00914A67"/>
    <w:rsid w:val="00914BFD"/>
    <w:rsid w:val="00914C7D"/>
    <w:rsid w:val="00914D52"/>
    <w:rsid w:val="00915174"/>
    <w:rsid w:val="00915D7C"/>
    <w:rsid w:val="00916495"/>
    <w:rsid w:val="0091673C"/>
    <w:rsid w:val="00916BE0"/>
    <w:rsid w:val="00916CCD"/>
    <w:rsid w:val="009174FC"/>
    <w:rsid w:val="00917993"/>
    <w:rsid w:val="00917ABC"/>
    <w:rsid w:val="00917AD1"/>
    <w:rsid w:val="00917AD7"/>
    <w:rsid w:val="00917BF0"/>
    <w:rsid w:val="00917C32"/>
    <w:rsid w:val="00920398"/>
    <w:rsid w:val="0092054B"/>
    <w:rsid w:val="00920596"/>
    <w:rsid w:val="00920597"/>
    <w:rsid w:val="00920753"/>
    <w:rsid w:val="00920C02"/>
    <w:rsid w:val="00920EC9"/>
    <w:rsid w:val="00920F25"/>
    <w:rsid w:val="0092114B"/>
    <w:rsid w:val="009211FA"/>
    <w:rsid w:val="009214FB"/>
    <w:rsid w:val="00921888"/>
    <w:rsid w:val="00922241"/>
    <w:rsid w:val="009226A5"/>
    <w:rsid w:val="00922926"/>
    <w:rsid w:val="00922B1B"/>
    <w:rsid w:val="00923414"/>
    <w:rsid w:val="0092353E"/>
    <w:rsid w:val="00923713"/>
    <w:rsid w:val="00923748"/>
    <w:rsid w:val="00923C4A"/>
    <w:rsid w:val="009244DF"/>
    <w:rsid w:val="009249BB"/>
    <w:rsid w:val="00924D1B"/>
    <w:rsid w:val="00924DF7"/>
    <w:rsid w:val="0092585B"/>
    <w:rsid w:val="00925E40"/>
    <w:rsid w:val="0092654E"/>
    <w:rsid w:val="00926674"/>
    <w:rsid w:val="00926C0B"/>
    <w:rsid w:val="00926E53"/>
    <w:rsid w:val="009273C2"/>
    <w:rsid w:val="009273F4"/>
    <w:rsid w:val="0092765A"/>
    <w:rsid w:val="00927D22"/>
    <w:rsid w:val="00927DE3"/>
    <w:rsid w:val="00927FDB"/>
    <w:rsid w:val="0093000B"/>
    <w:rsid w:val="009300B2"/>
    <w:rsid w:val="009305B5"/>
    <w:rsid w:val="00930745"/>
    <w:rsid w:val="00931086"/>
    <w:rsid w:val="0093116F"/>
    <w:rsid w:val="0093148D"/>
    <w:rsid w:val="009317DF"/>
    <w:rsid w:val="00931CEC"/>
    <w:rsid w:val="00931EA6"/>
    <w:rsid w:val="00931ED1"/>
    <w:rsid w:val="009322BE"/>
    <w:rsid w:val="0093242C"/>
    <w:rsid w:val="0093276D"/>
    <w:rsid w:val="00932A39"/>
    <w:rsid w:val="009330E3"/>
    <w:rsid w:val="00933143"/>
    <w:rsid w:val="00933170"/>
    <w:rsid w:val="0093353A"/>
    <w:rsid w:val="009346E7"/>
    <w:rsid w:val="009348EC"/>
    <w:rsid w:val="00934CEB"/>
    <w:rsid w:val="00935070"/>
    <w:rsid w:val="00935317"/>
    <w:rsid w:val="009358F7"/>
    <w:rsid w:val="00935BFE"/>
    <w:rsid w:val="00935E56"/>
    <w:rsid w:val="00935E80"/>
    <w:rsid w:val="00936356"/>
    <w:rsid w:val="00936448"/>
    <w:rsid w:val="009366D2"/>
    <w:rsid w:val="009366FC"/>
    <w:rsid w:val="00936A0D"/>
    <w:rsid w:val="00936F71"/>
    <w:rsid w:val="00937041"/>
    <w:rsid w:val="009373B6"/>
    <w:rsid w:val="00937563"/>
    <w:rsid w:val="00937898"/>
    <w:rsid w:val="009378AE"/>
    <w:rsid w:val="00937CD6"/>
    <w:rsid w:val="00937D13"/>
    <w:rsid w:val="009400F5"/>
    <w:rsid w:val="009406B6"/>
    <w:rsid w:val="00940928"/>
    <w:rsid w:val="009409B2"/>
    <w:rsid w:val="00940A81"/>
    <w:rsid w:val="00940E02"/>
    <w:rsid w:val="00940F6F"/>
    <w:rsid w:val="009411FC"/>
    <w:rsid w:val="00941433"/>
    <w:rsid w:val="009416C9"/>
    <w:rsid w:val="00941E3F"/>
    <w:rsid w:val="00941FCE"/>
    <w:rsid w:val="009420F2"/>
    <w:rsid w:val="00942283"/>
    <w:rsid w:val="00942B62"/>
    <w:rsid w:val="00942B6C"/>
    <w:rsid w:val="00943296"/>
    <w:rsid w:val="009432C3"/>
    <w:rsid w:val="0094337C"/>
    <w:rsid w:val="00943472"/>
    <w:rsid w:val="009438BA"/>
    <w:rsid w:val="00943A87"/>
    <w:rsid w:val="00943F7D"/>
    <w:rsid w:val="00943FFD"/>
    <w:rsid w:val="00944357"/>
    <w:rsid w:val="00944D4B"/>
    <w:rsid w:val="00945451"/>
    <w:rsid w:val="0094549F"/>
    <w:rsid w:val="00945814"/>
    <w:rsid w:val="009459D6"/>
    <w:rsid w:val="00945A06"/>
    <w:rsid w:val="00945B49"/>
    <w:rsid w:val="00945C32"/>
    <w:rsid w:val="009460D8"/>
    <w:rsid w:val="00946126"/>
    <w:rsid w:val="0094624D"/>
    <w:rsid w:val="00946457"/>
    <w:rsid w:val="00946981"/>
    <w:rsid w:val="009469A7"/>
    <w:rsid w:val="00946E04"/>
    <w:rsid w:val="00946E6A"/>
    <w:rsid w:val="009470EA"/>
    <w:rsid w:val="00947535"/>
    <w:rsid w:val="00947588"/>
    <w:rsid w:val="00947657"/>
    <w:rsid w:val="009476F2"/>
    <w:rsid w:val="009479C2"/>
    <w:rsid w:val="00947CCF"/>
    <w:rsid w:val="00950992"/>
    <w:rsid w:val="00950AB2"/>
    <w:rsid w:val="00950AB3"/>
    <w:rsid w:val="009512D6"/>
    <w:rsid w:val="009515C9"/>
    <w:rsid w:val="00951DAB"/>
    <w:rsid w:val="00951E1B"/>
    <w:rsid w:val="00951F6A"/>
    <w:rsid w:val="00951FDA"/>
    <w:rsid w:val="009525B8"/>
    <w:rsid w:val="00952C45"/>
    <w:rsid w:val="00953152"/>
    <w:rsid w:val="00953536"/>
    <w:rsid w:val="009539D9"/>
    <w:rsid w:val="00953A66"/>
    <w:rsid w:val="00953E19"/>
    <w:rsid w:val="00954461"/>
    <w:rsid w:val="00954655"/>
    <w:rsid w:val="0095469D"/>
    <w:rsid w:val="0095478B"/>
    <w:rsid w:val="009548ED"/>
    <w:rsid w:val="009549EB"/>
    <w:rsid w:val="00954AA2"/>
    <w:rsid w:val="00954BC1"/>
    <w:rsid w:val="00954C9A"/>
    <w:rsid w:val="00954DC8"/>
    <w:rsid w:val="00954E37"/>
    <w:rsid w:val="00954F22"/>
    <w:rsid w:val="0095502D"/>
    <w:rsid w:val="00955379"/>
    <w:rsid w:val="0095577B"/>
    <w:rsid w:val="00955A0D"/>
    <w:rsid w:val="00955B61"/>
    <w:rsid w:val="00955ECF"/>
    <w:rsid w:val="0095617C"/>
    <w:rsid w:val="009561A1"/>
    <w:rsid w:val="009562C6"/>
    <w:rsid w:val="009562CF"/>
    <w:rsid w:val="00956464"/>
    <w:rsid w:val="0095654F"/>
    <w:rsid w:val="0095666F"/>
    <w:rsid w:val="00956EC1"/>
    <w:rsid w:val="009575E4"/>
    <w:rsid w:val="00957B74"/>
    <w:rsid w:val="00957D09"/>
    <w:rsid w:val="0096035F"/>
    <w:rsid w:val="009606E0"/>
    <w:rsid w:val="009610CD"/>
    <w:rsid w:val="009618FB"/>
    <w:rsid w:val="00961AB4"/>
    <w:rsid w:val="00961BF9"/>
    <w:rsid w:val="00961F1B"/>
    <w:rsid w:val="0096243F"/>
    <w:rsid w:val="009624C0"/>
    <w:rsid w:val="0096258C"/>
    <w:rsid w:val="00962979"/>
    <w:rsid w:val="00962B16"/>
    <w:rsid w:val="00962C2E"/>
    <w:rsid w:val="0096317E"/>
    <w:rsid w:val="009631CD"/>
    <w:rsid w:val="009634F7"/>
    <w:rsid w:val="00963655"/>
    <w:rsid w:val="00963776"/>
    <w:rsid w:val="0096486B"/>
    <w:rsid w:val="00964CF8"/>
    <w:rsid w:val="009652FC"/>
    <w:rsid w:val="009653E3"/>
    <w:rsid w:val="00965A0A"/>
    <w:rsid w:val="00966B75"/>
    <w:rsid w:val="00966F54"/>
    <w:rsid w:val="00967654"/>
    <w:rsid w:val="009676FE"/>
    <w:rsid w:val="009703BF"/>
    <w:rsid w:val="00970685"/>
    <w:rsid w:val="00970891"/>
    <w:rsid w:val="00970C0E"/>
    <w:rsid w:val="00970C37"/>
    <w:rsid w:val="00970C3C"/>
    <w:rsid w:val="009710BE"/>
    <w:rsid w:val="00971728"/>
    <w:rsid w:val="009718E6"/>
    <w:rsid w:val="00971C8A"/>
    <w:rsid w:val="00972127"/>
    <w:rsid w:val="00972A43"/>
    <w:rsid w:val="009733B1"/>
    <w:rsid w:val="00973887"/>
    <w:rsid w:val="009739DF"/>
    <w:rsid w:val="00973ABD"/>
    <w:rsid w:val="00973CA6"/>
    <w:rsid w:val="00973F4D"/>
    <w:rsid w:val="00974144"/>
    <w:rsid w:val="00974362"/>
    <w:rsid w:val="00974D03"/>
    <w:rsid w:val="0097505A"/>
    <w:rsid w:val="009751CB"/>
    <w:rsid w:val="00975671"/>
    <w:rsid w:val="00975B53"/>
    <w:rsid w:val="00976479"/>
    <w:rsid w:val="00977D92"/>
    <w:rsid w:val="00977E0F"/>
    <w:rsid w:val="00980335"/>
    <w:rsid w:val="00980370"/>
    <w:rsid w:val="00980445"/>
    <w:rsid w:val="00980596"/>
    <w:rsid w:val="0098077C"/>
    <w:rsid w:val="00981684"/>
    <w:rsid w:val="00982642"/>
    <w:rsid w:val="00982648"/>
    <w:rsid w:val="0098314C"/>
    <w:rsid w:val="0098324A"/>
    <w:rsid w:val="0098336B"/>
    <w:rsid w:val="009833CC"/>
    <w:rsid w:val="009837AB"/>
    <w:rsid w:val="00983B54"/>
    <w:rsid w:val="0098400E"/>
    <w:rsid w:val="00984758"/>
    <w:rsid w:val="009849BA"/>
    <w:rsid w:val="00984BC2"/>
    <w:rsid w:val="00984D63"/>
    <w:rsid w:val="009853C7"/>
    <w:rsid w:val="00985560"/>
    <w:rsid w:val="0098579B"/>
    <w:rsid w:val="00985811"/>
    <w:rsid w:val="0098598B"/>
    <w:rsid w:val="00985B0D"/>
    <w:rsid w:val="00985B15"/>
    <w:rsid w:val="00985CE2"/>
    <w:rsid w:val="00985E68"/>
    <w:rsid w:val="0098658D"/>
    <w:rsid w:val="009865D6"/>
    <w:rsid w:val="00986602"/>
    <w:rsid w:val="00986EAA"/>
    <w:rsid w:val="0098731D"/>
    <w:rsid w:val="0098785A"/>
    <w:rsid w:val="00987945"/>
    <w:rsid w:val="00987D4D"/>
    <w:rsid w:val="009902AA"/>
    <w:rsid w:val="00990723"/>
    <w:rsid w:val="00990D8E"/>
    <w:rsid w:val="00990E0C"/>
    <w:rsid w:val="00991046"/>
    <w:rsid w:val="0099153A"/>
    <w:rsid w:val="00991AF6"/>
    <w:rsid w:val="00991E65"/>
    <w:rsid w:val="00991F37"/>
    <w:rsid w:val="00992145"/>
    <w:rsid w:val="0099225E"/>
    <w:rsid w:val="00992960"/>
    <w:rsid w:val="00993585"/>
    <w:rsid w:val="009935AC"/>
    <w:rsid w:val="00993CB9"/>
    <w:rsid w:val="00994AA6"/>
    <w:rsid w:val="00994CD4"/>
    <w:rsid w:val="009953FF"/>
    <w:rsid w:val="00995AA9"/>
    <w:rsid w:val="00995AD6"/>
    <w:rsid w:val="00995DCE"/>
    <w:rsid w:val="0099649B"/>
    <w:rsid w:val="0099661A"/>
    <w:rsid w:val="00997419"/>
    <w:rsid w:val="00997518"/>
    <w:rsid w:val="00997568"/>
    <w:rsid w:val="009977D2"/>
    <w:rsid w:val="00997CAD"/>
    <w:rsid w:val="009A04A9"/>
    <w:rsid w:val="009A070B"/>
    <w:rsid w:val="009A08DD"/>
    <w:rsid w:val="009A0B0F"/>
    <w:rsid w:val="009A0E65"/>
    <w:rsid w:val="009A18E6"/>
    <w:rsid w:val="009A1D3B"/>
    <w:rsid w:val="009A2C9F"/>
    <w:rsid w:val="009A3027"/>
    <w:rsid w:val="009A333A"/>
    <w:rsid w:val="009A3817"/>
    <w:rsid w:val="009A3910"/>
    <w:rsid w:val="009A393C"/>
    <w:rsid w:val="009A3F4C"/>
    <w:rsid w:val="009A4138"/>
    <w:rsid w:val="009A43C1"/>
    <w:rsid w:val="009A4645"/>
    <w:rsid w:val="009A4953"/>
    <w:rsid w:val="009A4B0A"/>
    <w:rsid w:val="009A4EC0"/>
    <w:rsid w:val="009A5CA6"/>
    <w:rsid w:val="009A5D51"/>
    <w:rsid w:val="009A5D67"/>
    <w:rsid w:val="009A5D6A"/>
    <w:rsid w:val="009A5DEB"/>
    <w:rsid w:val="009A5E40"/>
    <w:rsid w:val="009A6028"/>
    <w:rsid w:val="009A6385"/>
    <w:rsid w:val="009A650F"/>
    <w:rsid w:val="009A6716"/>
    <w:rsid w:val="009A6A77"/>
    <w:rsid w:val="009A6BFD"/>
    <w:rsid w:val="009A7068"/>
    <w:rsid w:val="009A707E"/>
    <w:rsid w:val="009A7366"/>
    <w:rsid w:val="009A7EAC"/>
    <w:rsid w:val="009A7F02"/>
    <w:rsid w:val="009B0067"/>
    <w:rsid w:val="009B01E5"/>
    <w:rsid w:val="009B03C2"/>
    <w:rsid w:val="009B0856"/>
    <w:rsid w:val="009B08FE"/>
    <w:rsid w:val="009B1930"/>
    <w:rsid w:val="009B21BC"/>
    <w:rsid w:val="009B22CE"/>
    <w:rsid w:val="009B2630"/>
    <w:rsid w:val="009B29E2"/>
    <w:rsid w:val="009B2A78"/>
    <w:rsid w:val="009B2A9B"/>
    <w:rsid w:val="009B2FA3"/>
    <w:rsid w:val="009B36A2"/>
    <w:rsid w:val="009B377E"/>
    <w:rsid w:val="009B3CE4"/>
    <w:rsid w:val="009B452B"/>
    <w:rsid w:val="009B4571"/>
    <w:rsid w:val="009B48D8"/>
    <w:rsid w:val="009B4C94"/>
    <w:rsid w:val="009B4F57"/>
    <w:rsid w:val="009B5C40"/>
    <w:rsid w:val="009B62A4"/>
    <w:rsid w:val="009B6636"/>
    <w:rsid w:val="009B6A87"/>
    <w:rsid w:val="009B6EDE"/>
    <w:rsid w:val="009B706A"/>
    <w:rsid w:val="009B720F"/>
    <w:rsid w:val="009B79ED"/>
    <w:rsid w:val="009B7AA1"/>
    <w:rsid w:val="009B7C95"/>
    <w:rsid w:val="009C085E"/>
    <w:rsid w:val="009C0E56"/>
    <w:rsid w:val="009C113E"/>
    <w:rsid w:val="009C178B"/>
    <w:rsid w:val="009C18E2"/>
    <w:rsid w:val="009C1992"/>
    <w:rsid w:val="009C1AF9"/>
    <w:rsid w:val="009C1B1E"/>
    <w:rsid w:val="009C1C2D"/>
    <w:rsid w:val="009C2736"/>
    <w:rsid w:val="009C280F"/>
    <w:rsid w:val="009C2B6E"/>
    <w:rsid w:val="009C2EE6"/>
    <w:rsid w:val="009C34EC"/>
    <w:rsid w:val="009C4219"/>
    <w:rsid w:val="009C42D8"/>
    <w:rsid w:val="009C50B0"/>
    <w:rsid w:val="009C5D15"/>
    <w:rsid w:val="009C5E68"/>
    <w:rsid w:val="009C5EAA"/>
    <w:rsid w:val="009C6288"/>
    <w:rsid w:val="009C656D"/>
    <w:rsid w:val="009C671B"/>
    <w:rsid w:val="009C67C7"/>
    <w:rsid w:val="009C691A"/>
    <w:rsid w:val="009C6977"/>
    <w:rsid w:val="009C6A4B"/>
    <w:rsid w:val="009C6C70"/>
    <w:rsid w:val="009C725B"/>
    <w:rsid w:val="009C7580"/>
    <w:rsid w:val="009C76A9"/>
    <w:rsid w:val="009C76B1"/>
    <w:rsid w:val="009C7AB8"/>
    <w:rsid w:val="009C7C83"/>
    <w:rsid w:val="009C7D14"/>
    <w:rsid w:val="009D0562"/>
    <w:rsid w:val="009D0563"/>
    <w:rsid w:val="009D0C6D"/>
    <w:rsid w:val="009D0C77"/>
    <w:rsid w:val="009D1778"/>
    <w:rsid w:val="009D17B1"/>
    <w:rsid w:val="009D1E50"/>
    <w:rsid w:val="009D23D8"/>
    <w:rsid w:val="009D26A5"/>
    <w:rsid w:val="009D30CB"/>
    <w:rsid w:val="009D33D9"/>
    <w:rsid w:val="009D4AF3"/>
    <w:rsid w:val="009D4DC0"/>
    <w:rsid w:val="009D4F35"/>
    <w:rsid w:val="009D5357"/>
    <w:rsid w:val="009D5598"/>
    <w:rsid w:val="009D5B33"/>
    <w:rsid w:val="009D5C68"/>
    <w:rsid w:val="009D5FBD"/>
    <w:rsid w:val="009D6150"/>
    <w:rsid w:val="009D6151"/>
    <w:rsid w:val="009D70F7"/>
    <w:rsid w:val="009D7513"/>
    <w:rsid w:val="009D75E8"/>
    <w:rsid w:val="009D7691"/>
    <w:rsid w:val="009D78F6"/>
    <w:rsid w:val="009E0387"/>
    <w:rsid w:val="009E03C5"/>
    <w:rsid w:val="009E04CE"/>
    <w:rsid w:val="009E0619"/>
    <w:rsid w:val="009E0BC7"/>
    <w:rsid w:val="009E12FB"/>
    <w:rsid w:val="009E133E"/>
    <w:rsid w:val="009E17EF"/>
    <w:rsid w:val="009E1D81"/>
    <w:rsid w:val="009E21B7"/>
    <w:rsid w:val="009E2440"/>
    <w:rsid w:val="009E26B7"/>
    <w:rsid w:val="009E273D"/>
    <w:rsid w:val="009E28DD"/>
    <w:rsid w:val="009E296E"/>
    <w:rsid w:val="009E2D40"/>
    <w:rsid w:val="009E34CB"/>
    <w:rsid w:val="009E3666"/>
    <w:rsid w:val="009E3BD0"/>
    <w:rsid w:val="009E3F0C"/>
    <w:rsid w:val="009E42DD"/>
    <w:rsid w:val="009E49BB"/>
    <w:rsid w:val="009E508A"/>
    <w:rsid w:val="009E519F"/>
    <w:rsid w:val="009E571C"/>
    <w:rsid w:val="009E5BC4"/>
    <w:rsid w:val="009E5D2B"/>
    <w:rsid w:val="009E5F2C"/>
    <w:rsid w:val="009E63DE"/>
    <w:rsid w:val="009E6521"/>
    <w:rsid w:val="009E66B1"/>
    <w:rsid w:val="009E6B02"/>
    <w:rsid w:val="009E70F6"/>
    <w:rsid w:val="009E7493"/>
    <w:rsid w:val="009E7AD1"/>
    <w:rsid w:val="009F0100"/>
    <w:rsid w:val="009F04FA"/>
    <w:rsid w:val="009F06FB"/>
    <w:rsid w:val="009F0771"/>
    <w:rsid w:val="009F07CF"/>
    <w:rsid w:val="009F0F9B"/>
    <w:rsid w:val="009F1055"/>
    <w:rsid w:val="009F1577"/>
    <w:rsid w:val="009F21AF"/>
    <w:rsid w:val="009F2A6D"/>
    <w:rsid w:val="009F2CCB"/>
    <w:rsid w:val="009F3289"/>
    <w:rsid w:val="009F3662"/>
    <w:rsid w:val="009F3741"/>
    <w:rsid w:val="009F37C0"/>
    <w:rsid w:val="009F399B"/>
    <w:rsid w:val="009F3C84"/>
    <w:rsid w:val="009F3D89"/>
    <w:rsid w:val="009F3DC7"/>
    <w:rsid w:val="009F4395"/>
    <w:rsid w:val="009F45D6"/>
    <w:rsid w:val="009F4EF0"/>
    <w:rsid w:val="009F4FFD"/>
    <w:rsid w:val="009F5440"/>
    <w:rsid w:val="009F54B8"/>
    <w:rsid w:val="009F6118"/>
    <w:rsid w:val="009F6667"/>
    <w:rsid w:val="009F670F"/>
    <w:rsid w:val="009F6923"/>
    <w:rsid w:val="009F6B44"/>
    <w:rsid w:val="009F70E1"/>
    <w:rsid w:val="009F7305"/>
    <w:rsid w:val="009F78A3"/>
    <w:rsid w:val="009F795D"/>
    <w:rsid w:val="009F79BE"/>
    <w:rsid w:val="009F7BA0"/>
    <w:rsid w:val="00A008F4"/>
    <w:rsid w:val="00A0091A"/>
    <w:rsid w:val="00A009D8"/>
    <w:rsid w:val="00A012FC"/>
    <w:rsid w:val="00A017AC"/>
    <w:rsid w:val="00A019AF"/>
    <w:rsid w:val="00A01D2F"/>
    <w:rsid w:val="00A02455"/>
    <w:rsid w:val="00A02484"/>
    <w:rsid w:val="00A029F3"/>
    <w:rsid w:val="00A03181"/>
    <w:rsid w:val="00A033BE"/>
    <w:rsid w:val="00A04012"/>
    <w:rsid w:val="00A040A1"/>
    <w:rsid w:val="00A0421C"/>
    <w:rsid w:val="00A04984"/>
    <w:rsid w:val="00A05187"/>
    <w:rsid w:val="00A05324"/>
    <w:rsid w:val="00A05DD0"/>
    <w:rsid w:val="00A061DE"/>
    <w:rsid w:val="00A066AD"/>
    <w:rsid w:val="00A0689E"/>
    <w:rsid w:val="00A0691D"/>
    <w:rsid w:val="00A07EB1"/>
    <w:rsid w:val="00A10388"/>
    <w:rsid w:val="00A10481"/>
    <w:rsid w:val="00A10A18"/>
    <w:rsid w:val="00A1145A"/>
    <w:rsid w:val="00A117BC"/>
    <w:rsid w:val="00A117DA"/>
    <w:rsid w:val="00A11962"/>
    <w:rsid w:val="00A11A70"/>
    <w:rsid w:val="00A11EE6"/>
    <w:rsid w:val="00A11FB8"/>
    <w:rsid w:val="00A12F0D"/>
    <w:rsid w:val="00A1335B"/>
    <w:rsid w:val="00A13C28"/>
    <w:rsid w:val="00A13CF7"/>
    <w:rsid w:val="00A13D6F"/>
    <w:rsid w:val="00A13D83"/>
    <w:rsid w:val="00A14A2D"/>
    <w:rsid w:val="00A14D60"/>
    <w:rsid w:val="00A14EB7"/>
    <w:rsid w:val="00A15A2C"/>
    <w:rsid w:val="00A15B93"/>
    <w:rsid w:val="00A15BC2"/>
    <w:rsid w:val="00A15FA3"/>
    <w:rsid w:val="00A16A51"/>
    <w:rsid w:val="00A16ACC"/>
    <w:rsid w:val="00A16E53"/>
    <w:rsid w:val="00A17278"/>
    <w:rsid w:val="00A172C3"/>
    <w:rsid w:val="00A20787"/>
    <w:rsid w:val="00A20CAD"/>
    <w:rsid w:val="00A215F3"/>
    <w:rsid w:val="00A217F5"/>
    <w:rsid w:val="00A2199F"/>
    <w:rsid w:val="00A21B36"/>
    <w:rsid w:val="00A21D7E"/>
    <w:rsid w:val="00A2242A"/>
    <w:rsid w:val="00A22AE0"/>
    <w:rsid w:val="00A22E33"/>
    <w:rsid w:val="00A237EF"/>
    <w:rsid w:val="00A239A9"/>
    <w:rsid w:val="00A24095"/>
    <w:rsid w:val="00A247F7"/>
    <w:rsid w:val="00A24C3B"/>
    <w:rsid w:val="00A25124"/>
    <w:rsid w:val="00A25139"/>
    <w:rsid w:val="00A2533E"/>
    <w:rsid w:val="00A25706"/>
    <w:rsid w:val="00A25F7F"/>
    <w:rsid w:val="00A2603B"/>
    <w:rsid w:val="00A267E6"/>
    <w:rsid w:val="00A26E2C"/>
    <w:rsid w:val="00A2706F"/>
    <w:rsid w:val="00A27200"/>
    <w:rsid w:val="00A2728B"/>
    <w:rsid w:val="00A273D9"/>
    <w:rsid w:val="00A278FB"/>
    <w:rsid w:val="00A27C3A"/>
    <w:rsid w:val="00A300AE"/>
    <w:rsid w:val="00A300D1"/>
    <w:rsid w:val="00A30430"/>
    <w:rsid w:val="00A3070E"/>
    <w:rsid w:val="00A30B60"/>
    <w:rsid w:val="00A313B1"/>
    <w:rsid w:val="00A3157D"/>
    <w:rsid w:val="00A316C1"/>
    <w:rsid w:val="00A31AEB"/>
    <w:rsid w:val="00A31D64"/>
    <w:rsid w:val="00A321F6"/>
    <w:rsid w:val="00A325DD"/>
    <w:rsid w:val="00A32A85"/>
    <w:rsid w:val="00A32A91"/>
    <w:rsid w:val="00A32C3D"/>
    <w:rsid w:val="00A330C3"/>
    <w:rsid w:val="00A330E6"/>
    <w:rsid w:val="00A33178"/>
    <w:rsid w:val="00A337DB"/>
    <w:rsid w:val="00A33938"/>
    <w:rsid w:val="00A34227"/>
    <w:rsid w:val="00A34255"/>
    <w:rsid w:val="00A343D6"/>
    <w:rsid w:val="00A343E1"/>
    <w:rsid w:val="00A343EA"/>
    <w:rsid w:val="00A34756"/>
    <w:rsid w:val="00A34A9A"/>
    <w:rsid w:val="00A35032"/>
    <w:rsid w:val="00A35506"/>
    <w:rsid w:val="00A35B41"/>
    <w:rsid w:val="00A36607"/>
    <w:rsid w:val="00A3681F"/>
    <w:rsid w:val="00A36854"/>
    <w:rsid w:val="00A369D3"/>
    <w:rsid w:val="00A36A0C"/>
    <w:rsid w:val="00A36CF7"/>
    <w:rsid w:val="00A36F9C"/>
    <w:rsid w:val="00A36FFF"/>
    <w:rsid w:val="00A37465"/>
    <w:rsid w:val="00A37E40"/>
    <w:rsid w:val="00A40421"/>
    <w:rsid w:val="00A404D5"/>
    <w:rsid w:val="00A4081E"/>
    <w:rsid w:val="00A408FE"/>
    <w:rsid w:val="00A4090F"/>
    <w:rsid w:val="00A40B2E"/>
    <w:rsid w:val="00A40B4F"/>
    <w:rsid w:val="00A419A1"/>
    <w:rsid w:val="00A41B4B"/>
    <w:rsid w:val="00A420D6"/>
    <w:rsid w:val="00A4219C"/>
    <w:rsid w:val="00A422B1"/>
    <w:rsid w:val="00A4253A"/>
    <w:rsid w:val="00A4321F"/>
    <w:rsid w:val="00A434CE"/>
    <w:rsid w:val="00A43738"/>
    <w:rsid w:val="00A43802"/>
    <w:rsid w:val="00A4391F"/>
    <w:rsid w:val="00A43C2E"/>
    <w:rsid w:val="00A43E68"/>
    <w:rsid w:val="00A43E9B"/>
    <w:rsid w:val="00A4404F"/>
    <w:rsid w:val="00A4414D"/>
    <w:rsid w:val="00A4482E"/>
    <w:rsid w:val="00A448B4"/>
    <w:rsid w:val="00A44C2C"/>
    <w:rsid w:val="00A44D7B"/>
    <w:rsid w:val="00A45CA5"/>
    <w:rsid w:val="00A46053"/>
    <w:rsid w:val="00A461CA"/>
    <w:rsid w:val="00A465F2"/>
    <w:rsid w:val="00A472F2"/>
    <w:rsid w:val="00A47574"/>
    <w:rsid w:val="00A47B1E"/>
    <w:rsid w:val="00A47B5F"/>
    <w:rsid w:val="00A47B63"/>
    <w:rsid w:val="00A47C72"/>
    <w:rsid w:val="00A47CFC"/>
    <w:rsid w:val="00A47F19"/>
    <w:rsid w:val="00A50040"/>
    <w:rsid w:val="00A508A8"/>
    <w:rsid w:val="00A50F52"/>
    <w:rsid w:val="00A510B3"/>
    <w:rsid w:val="00A510E6"/>
    <w:rsid w:val="00A51CF0"/>
    <w:rsid w:val="00A52162"/>
    <w:rsid w:val="00A5261B"/>
    <w:rsid w:val="00A526B0"/>
    <w:rsid w:val="00A5277E"/>
    <w:rsid w:val="00A52C94"/>
    <w:rsid w:val="00A532F8"/>
    <w:rsid w:val="00A532FB"/>
    <w:rsid w:val="00A533C9"/>
    <w:rsid w:val="00A537E3"/>
    <w:rsid w:val="00A538F7"/>
    <w:rsid w:val="00A53C47"/>
    <w:rsid w:val="00A53F62"/>
    <w:rsid w:val="00A5415C"/>
    <w:rsid w:val="00A544BF"/>
    <w:rsid w:val="00A5453E"/>
    <w:rsid w:val="00A547F2"/>
    <w:rsid w:val="00A54C3E"/>
    <w:rsid w:val="00A55190"/>
    <w:rsid w:val="00A554B9"/>
    <w:rsid w:val="00A55757"/>
    <w:rsid w:val="00A5585A"/>
    <w:rsid w:val="00A566DC"/>
    <w:rsid w:val="00A5741A"/>
    <w:rsid w:val="00A574B7"/>
    <w:rsid w:val="00A57B28"/>
    <w:rsid w:val="00A60057"/>
    <w:rsid w:val="00A60070"/>
    <w:rsid w:val="00A600A2"/>
    <w:rsid w:val="00A60470"/>
    <w:rsid w:val="00A60516"/>
    <w:rsid w:val="00A60646"/>
    <w:rsid w:val="00A60775"/>
    <w:rsid w:val="00A6084C"/>
    <w:rsid w:val="00A611A7"/>
    <w:rsid w:val="00A61B3E"/>
    <w:rsid w:val="00A621D0"/>
    <w:rsid w:val="00A624D6"/>
    <w:rsid w:val="00A62953"/>
    <w:rsid w:val="00A62D4F"/>
    <w:rsid w:val="00A62ED6"/>
    <w:rsid w:val="00A640EA"/>
    <w:rsid w:val="00A643F6"/>
    <w:rsid w:val="00A64446"/>
    <w:rsid w:val="00A64519"/>
    <w:rsid w:val="00A645F6"/>
    <w:rsid w:val="00A65CBE"/>
    <w:rsid w:val="00A65CF4"/>
    <w:rsid w:val="00A65E2A"/>
    <w:rsid w:val="00A65FDE"/>
    <w:rsid w:val="00A664B3"/>
    <w:rsid w:val="00A66717"/>
    <w:rsid w:val="00A66E34"/>
    <w:rsid w:val="00A6702C"/>
    <w:rsid w:val="00A67106"/>
    <w:rsid w:val="00A70055"/>
    <w:rsid w:val="00A7018B"/>
    <w:rsid w:val="00A70DDC"/>
    <w:rsid w:val="00A70F83"/>
    <w:rsid w:val="00A710E9"/>
    <w:rsid w:val="00A71624"/>
    <w:rsid w:val="00A718E2"/>
    <w:rsid w:val="00A71C1F"/>
    <w:rsid w:val="00A71C27"/>
    <w:rsid w:val="00A72104"/>
    <w:rsid w:val="00A722D6"/>
    <w:rsid w:val="00A7258F"/>
    <w:rsid w:val="00A725AF"/>
    <w:rsid w:val="00A72979"/>
    <w:rsid w:val="00A72ED5"/>
    <w:rsid w:val="00A7340C"/>
    <w:rsid w:val="00A737F4"/>
    <w:rsid w:val="00A738B6"/>
    <w:rsid w:val="00A73B9D"/>
    <w:rsid w:val="00A73D1D"/>
    <w:rsid w:val="00A741CD"/>
    <w:rsid w:val="00A74A44"/>
    <w:rsid w:val="00A74FEB"/>
    <w:rsid w:val="00A7554A"/>
    <w:rsid w:val="00A75D9C"/>
    <w:rsid w:val="00A75E3D"/>
    <w:rsid w:val="00A7635B"/>
    <w:rsid w:val="00A7669F"/>
    <w:rsid w:val="00A76B31"/>
    <w:rsid w:val="00A771A4"/>
    <w:rsid w:val="00A77280"/>
    <w:rsid w:val="00A772FA"/>
    <w:rsid w:val="00A77325"/>
    <w:rsid w:val="00A7772B"/>
    <w:rsid w:val="00A777DC"/>
    <w:rsid w:val="00A77901"/>
    <w:rsid w:val="00A77C61"/>
    <w:rsid w:val="00A77EB6"/>
    <w:rsid w:val="00A80229"/>
    <w:rsid w:val="00A80396"/>
    <w:rsid w:val="00A80BF1"/>
    <w:rsid w:val="00A81060"/>
    <w:rsid w:val="00A8109E"/>
    <w:rsid w:val="00A81193"/>
    <w:rsid w:val="00A812AE"/>
    <w:rsid w:val="00A8142E"/>
    <w:rsid w:val="00A8166B"/>
    <w:rsid w:val="00A81CCB"/>
    <w:rsid w:val="00A81D56"/>
    <w:rsid w:val="00A81E5B"/>
    <w:rsid w:val="00A81F05"/>
    <w:rsid w:val="00A826C4"/>
    <w:rsid w:val="00A82A6D"/>
    <w:rsid w:val="00A8329F"/>
    <w:rsid w:val="00A837E5"/>
    <w:rsid w:val="00A83A43"/>
    <w:rsid w:val="00A83C63"/>
    <w:rsid w:val="00A83DC0"/>
    <w:rsid w:val="00A84079"/>
    <w:rsid w:val="00A845F3"/>
    <w:rsid w:val="00A8462F"/>
    <w:rsid w:val="00A84921"/>
    <w:rsid w:val="00A84983"/>
    <w:rsid w:val="00A84BE9"/>
    <w:rsid w:val="00A85AA1"/>
    <w:rsid w:val="00A85CCB"/>
    <w:rsid w:val="00A85D6F"/>
    <w:rsid w:val="00A85E37"/>
    <w:rsid w:val="00A863C5"/>
    <w:rsid w:val="00A8681D"/>
    <w:rsid w:val="00A8692E"/>
    <w:rsid w:val="00A869A6"/>
    <w:rsid w:val="00A86D03"/>
    <w:rsid w:val="00A86D15"/>
    <w:rsid w:val="00A872B1"/>
    <w:rsid w:val="00A8736F"/>
    <w:rsid w:val="00A8770F"/>
    <w:rsid w:val="00A878D9"/>
    <w:rsid w:val="00A87B05"/>
    <w:rsid w:val="00A901AA"/>
    <w:rsid w:val="00A903CA"/>
    <w:rsid w:val="00A9061D"/>
    <w:rsid w:val="00A90DF2"/>
    <w:rsid w:val="00A910C4"/>
    <w:rsid w:val="00A91282"/>
    <w:rsid w:val="00A91455"/>
    <w:rsid w:val="00A91AEF"/>
    <w:rsid w:val="00A91E75"/>
    <w:rsid w:val="00A91FAE"/>
    <w:rsid w:val="00A920DB"/>
    <w:rsid w:val="00A926DB"/>
    <w:rsid w:val="00A92EA6"/>
    <w:rsid w:val="00A92EAB"/>
    <w:rsid w:val="00A9305A"/>
    <w:rsid w:val="00A93180"/>
    <w:rsid w:val="00A931B0"/>
    <w:rsid w:val="00A931F3"/>
    <w:rsid w:val="00A9339D"/>
    <w:rsid w:val="00A93B27"/>
    <w:rsid w:val="00A93C70"/>
    <w:rsid w:val="00A9405F"/>
    <w:rsid w:val="00A9435F"/>
    <w:rsid w:val="00A94574"/>
    <w:rsid w:val="00A94CB4"/>
    <w:rsid w:val="00A94CEE"/>
    <w:rsid w:val="00A94E6C"/>
    <w:rsid w:val="00A94E94"/>
    <w:rsid w:val="00A95622"/>
    <w:rsid w:val="00A956F6"/>
    <w:rsid w:val="00A95756"/>
    <w:rsid w:val="00A95987"/>
    <w:rsid w:val="00A96DB5"/>
    <w:rsid w:val="00A96F3A"/>
    <w:rsid w:val="00A977A0"/>
    <w:rsid w:val="00A97A86"/>
    <w:rsid w:val="00A97B69"/>
    <w:rsid w:val="00A97E1C"/>
    <w:rsid w:val="00A97FE5"/>
    <w:rsid w:val="00AA01D5"/>
    <w:rsid w:val="00AA025C"/>
    <w:rsid w:val="00AA0699"/>
    <w:rsid w:val="00AA0DD5"/>
    <w:rsid w:val="00AA1A82"/>
    <w:rsid w:val="00AA1B02"/>
    <w:rsid w:val="00AA1DDA"/>
    <w:rsid w:val="00AA2796"/>
    <w:rsid w:val="00AA2930"/>
    <w:rsid w:val="00AA2C63"/>
    <w:rsid w:val="00AA3895"/>
    <w:rsid w:val="00AA3B07"/>
    <w:rsid w:val="00AA3EB0"/>
    <w:rsid w:val="00AA44B2"/>
    <w:rsid w:val="00AA4595"/>
    <w:rsid w:val="00AA4828"/>
    <w:rsid w:val="00AA4B7F"/>
    <w:rsid w:val="00AA5960"/>
    <w:rsid w:val="00AA59F1"/>
    <w:rsid w:val="00AA5C28"/>
    <w:rsid w:val="00AA5E2B"/>
    <w:rsid w:val="00AA603C"/>
    <w:rsid w:val="00AA6188"/>
    <w:rsid w:val="00AA67EE"/>
    <w:rsid w:val="00AA6B50"/>
    <w:rsid w:val="00AA6C60"/>
    <w:rsid w:val="00AA7065"/>
    <w:rsid w:val="00AA72C4"/>
    <w:rsid w:val="00AA73CE"/>
    <w:rsid w:val="00AA765E"/>
    <w:rsid w:val="00AA7661"/>
    <w:rsid w:val="00AA7852"/>
    <w:rsid w:val="00AA7C4E"/>
    <w:rsid w:val="00AA7E94"/>
    <w:rsid w:val="00AB04F6"/>
    <w:rsid w:val="00AB07C5"/>
    <w:rsid w:val="00AB08C8"/>
    <w:rsid w:val="00AB0B49"/>
    <w:rsid w:val="00AB0CA2"/>
    <w:rsid w:val="00AB0E46"/>
    <w:rsid w:val="00AB0F0C"/>
    <w:rsid w:val="00AB15E7"/>
    <w:rsid w:val="00AB17A1"/>
    <w:rsid w:val="00AB1969"/>
    <w:rsid w:val="00AB1D3F"/>
    <w:rsid w:val="00AB20F3"/>
    <w:rsid w:val="00AB272F"/>
    <w:rsid w:val="00AB2B92"/>
    <w:rsid w:val="00AB3371"/>
    <w:rsid w:val="00AB365B"/>
    <w:rsid w:val="00AB3906"/>
    <w:rsid w:val="00AB3924"/>
    <w:rsid w:val="00AB3BC6"/>
    <w:rsid w:val="00AB420A"/>
    <w:rsid w:val="00AB4762"/>
    <w:rsid w:val="00AB47BA"/>
    <w:rsid w:val="00AB4D8B"/>
    <w:rsid w:val="00AB4FA6"/>
    <w:rsid w:val="00AB541A"/>
    <w:rsid w:val="00AB59A3"/>
    <w:rsid w:val="00AB5BA4"/>
    <w:rsid w:val="00AB5C07"/>
    <w:rsid w:val="00AB5C0F"/>
    <w:rsid w:val="00AB5D79"/>
    <w:rsid w:val="00AB5DF0"/>
    <w:rsid w:val="00AB5EC3"/>
    <w:rsid w:val="00AB5EE6"/>
    <w:rsid w:val="00AB6022"/>
    <w:rsid w:val="00AB63E4"/>
    <w:rsid w:val="00AB737D"/>
    <w:rsid w:val="00AB7439"/>
    <w:rsid w:val="00AB751B"/>
    <w:rsid w:val="00AB7C6D"/>
    <w:rsid w:val="00AB7E15"/>
    <w:rsid w:val="00AB7E4D"/>
    <w:rsid w:val="00AC0079"/>
    <w:rsid w:val="00AC03D1"/>
    <w:rsid w:val="00AC05FA"/>
    <w:rsid w:val="00AC0678"/>
    <w:rsid w:val="00AC06EE"/>
    <w:rsid w:val="00AC0708"/>
    <w:rsid w:val="00AC0789"/>
    <w:rsid w:val="00AC07BE"/>
    <w:rsid w:val="00AC08E3"/>
    <w:rsid w:val="00AC0B0F"/>
    <w:rsid w:val="00AC1091"/>
    <w:rsid w:val="00AC11E9"/>
    <w:rsid w:val="00AC1552"/>
    <w:rsid w:val="00AC16E3"/>
    <w:rsid w:val="00AC1A98"/>
    <w:rsid w:val="00AC1CB8"/>
    <w:rsid w:val="00AC1FD1"/>
    <w:rsid w:val="00AC2309"/>
    <w:rsid w:val="00AC243B"/>
    <w:rsid w:val="00AC25C9"/>
    <w:rsid w:val="00AC29A4"/>
    <w:rsid w:val="00AC29B7"/>
    <w:rsid w:val="00AC2B71"/>
    <w:rsid w:val="00AC2DA8"/>
    <w:rsid w:val="00AC2EC7"/>
    <w:rsid w:val="00AC2EDF"/>
    <w:rsid w:val="00AC3627"/>
    <w:rsid w:val="00AC3FAB"/>
    <w:rsid w:val="00AC4040"/>
    <w:rsid w:val="00AC4664"/>
    <w:rsid w:val="00AC4707"/>
    <w:rsid w:val="00AC4FEB"/>
    <w:rsid w:val="00AC51A3"/>
    <w:rsid w:val="00AC5335"/>
    <w:rsid w:val="00AC55BB"/>
    <w:rsid w:val="00AC58AF"/>
    <w:rsid w:val="00AC58DF"/>
    <w:rsid w:val="00AC5BEF"/>
    <w:rsid w:val="00AC5C46"/>
    <w:rsid w:val="00AC65B5"/>
    <w:rsid w:val="00AC6818"/>
    <w:rsid w:val="00AC6BE0"/>
    <w:rsid w:val="00AC6C88"/>
    <w:rsid w:val="00AC6D08"/>
    <w:rsid w:val="00AC71C6"/>
    <w:rsid w:val="00AC75DD"/>
    <w:rsid w:val="00AC774D"/>
    <w:rsid w:val="00AC7835"/>
    <w:rsid w:val="00AC78FB"/>
    <w:rsid w:val="00AC7C7E"/>
    <w:rsid w:val="00AC7CD2"/>
    <w:rsid w:val="00AD044D"/>
    <w:rsid w:val="00AD0483"/>
    <w:rsid w:val="00AD0D0F"/>
    <w:rsid w:val="00AD0D5C"/>
    <w:rsid w:val="00AD2565"/>
    <w:rsid w:val="00AD26B6"/>
    <w:rsid w:val="00AD2BA1"/>
    <w:rsid w:val="00AD2CED"/>
    <w:rsid w:val="00AD2E81"/>
    <w:rsid w:val="00AD35D2"/>
    <w:rsid w:val="00AD3723"/>
    <w:rsid w:val="00AD3C00"/>
    <w:rsid w:val="00AD4E68"/>
    <w:rsid w:val="00AD5691"/>
    <w:rsid w:val="00AD5C9B"/>
    <w:rsid w:val="00AD5DF9"/>
    <w:rsid w:val="00AD6243"/>
    <w:rsid w:val="00AD62E3"/>
    <w:rsid w:val="00AD64D5"/>
    <w:rsid w:val="00AD663C"/>
    <w:rsid w:val="00AD690D"/>
    <w:rsid w:val="00AD6DF3"/>
    <w:rsid w:val="00AD7128"/>
    <w:rsid w:val="00AD72BA"/>
    <w:rsid w:val="00AD73C5"/>
    <w:rsid w:val="00AD78EB"/>
    <w:rsid w:val="00AD7A1F"/>
    <w:rsid w:val="00AD7A29"/>
    <w:rsid w:val="00AD7BF3"/>
    <w:rsid w:val="00AD7EF6"/>
    <w:rsid w:val="00AD7F67"/>
    <w:rsid w:val="00AE00A0"/>
    <w:rsid w:val="00AE0405"/>
    <w:rsid w:val="00AE05E5"/>
    <w:rsid w:val="00AE0836"/>
    <w:rsid w:val="00AE0C07"/>
    <w:rsid w:val="00AE0DC9"/>
    <w:rsid w:val="00AE0E91"/>
    <w:rsid w:val="00AE1120"/>
    <w:rsid w:val="00AE1B54"/>
    <w:rsid w:val="00AE1EF3"/>
    <w:rsid w:val="00AE20C6"/>
    <w:rsid w:val="00AE222F"/>
    <w:rsid w:val="00AE244E"/>
    <w:rsid w:val="00AE273E"/>
    <w:rsid w:val="00AE2753"/>
    <w:rsid w:val="00AE2A7C"/>
    <w:rsid w:val="00AE2B02"/>
    <w:rsid w:val="00AE2B67"/>
    <w:rsid w:val="00AE369C"/>
    <w:rsid w:val="00AE3907"/>
    <w:rsid w:val="00AE3AEC"/>
    <w:rsid w:val="00AE3D67"/>
    <w:rsid w:val="00AE3E3B"/>
    <w:rsid w:val="00AE40CD"/>
    <w:rsid w:val="00AE40F3"/>
    <w:rsid w:val="00AE422A"/>
    <w:rsid w:val="00AE4298"/>
    <w:rsid w:val="00AE4580"/>
    <w:rsid w:val="00AE46AB"/>
    <w:rsid w:val="00AE49CF"/>
    <w:rsid w:val="00AE4C82"/>
    <w:rsid w:val="00AE4FC7"/>
    <w:rsid w:val="00AE5372"/>
    <w:rsid w:val="00AE5841"/>
    <w:rsid w:val="00AE5929"/>
    <w:rsid w:val="00AE5F0A"/>
    <w:rsid w:val="00AE67CF"/>
    <w:rsid w:val="00AE6883"/>
    <w:rsid w:val="00AE6BF6"/>
    <w:rsid w:val="00AE6D1B"/>
    <w:rsid w:val="00AE6E1C"/>
    <w:rsid w:val="00AE70F8"/>
    <w:rsid w:val="00AE7669"/>
    <w:rsid w:val="00AE785D"/>
    <w:rsid w:val="00AE788B"/>
    <w:rsid w:val="00AE7CCA"/>
    <w:rsid w:val="00AF0322"/>
    <w:rsid w:val="00AF0AF0"/>
    <w:rsid w:val="00AF0C8E"/>
    <w:rsid w:val="00AF0FA0"/>
    <w:rsid w:val="00AF0FC7"/>
    <w:rsid w:val="00AF1100"/>
    <w:rsid w:val="00AF1523"/>
    <w:rsid w:val="00AF175E"/>
    <w:rsid w:val="00AF2147"/>
    <w:rsid w:val="00AF248B"/>
    <w:rsid w:val="00AF2572"/>
    <w:rsid w:val="00AF2909"/>
    <w:rsid w:val="00AF2A00"/>
    <w:rsid w:val="00AF2A31"/>
    <w:rsid w:val="00AF2DC1"/>
    <w:rsid w:val="00AF2E32"/>
    <w:rsid w:val="00AF2EF9"/>
    <w:rsid w:val="00AF338F"/>
    <w:rsid w:val="00AF3E3A"/>
    <w:rsid w:val="00AF452D"/>
    <w:rsid w:val="00AF4C3A"/>
    <w:rsid w:val="00AF54D7"/>
    <w:rsid w:val="00AF5605"/>
    <w:rsid w:val="00AF56B1"/>
    <w:rsid w:val="00AF5C8C"/>
    <w:rsid w:val="00AF5E51"/>
    <w:rsid w:val="00AF62F3"/>
    <w:rsid w:val="00AF6813"/>
    <w:rsid w:val="00AF6E9F"/>
    <w:rsid w:val="00AF6ED7"/>
    <w:rsid w:val="00AF700E"/>
    <w:rsid w:val="00AF7088"/>
    <w:rsid w:val="00B0080B"/>
    <w:rsid w:val="00B008F0"/>
    <w:rsid w:val="00B0092B"/>
    <w:rsid w:val="00B00CFA"/>
    <w:rsid w:val="00B00EA0"/>
    <w:rsid w:val="00B0109F"/>
    <w:rsid w:val="00B01135"/>
    <w:rsid w:val="00B01553"/>
    <w:rsid w:val="00B01B61"/>
    <w:rsid w:val="00B01E96"/>
    <w:rsid w:val="00B0284F"/>
    <w:rsid w:val="00B02BD8"/>
    <w:rsid w:val="00B02C0D"/>
    <w:rsid w:val="00B02E96"/>
    <w:rsid w:val="00B03124"/>
    <w:rsid w:val="00B03228"/>
    <w:rsid w:val="00B03505"/>
    <w:rsid w:val="00B039F7"/>
    <w:rsid w:val="00B03DA0"/>
    <w:rsid w:val="00B03DE8"/>
    <w:rsid w:val="00B03F87"/>
    <w:rsid w:val="00B045DF"/>
    <w:rsid w:val="00B047DD"/>
    <w:rsid w:val="00B0483C"/>
    <w:rsid w:val="00B0484F"/>
    <w:rsid w:val="00B04BA3"/>
    <w:rsid w:val="00B04D4E"/>
    <w:rsid w:val="00B04DCB"/>
    <w:rsid w:val="00B04E32"/>
    <w:rsid w:val="00B05188"/>
    <w:rsid w:val="00B0523F"/>
    <w:rsid w:val="00B0529A"/>
    <w:rsid w:val="00B052C2"/>
    <w:rsid w:val="00B05692"/>
    <w:rsid w:val="00B05694"/>
    <w:rsid w:val="00B0595E"/>
    <w:rsid w:val="00B06050"/>
    <w:rsid w:val="00B066C9"/>
    <w:rsid w:val="00B068F9"/>
    <w:rsid w:val="00B06FA1"/>
    <w:rsid w:val="00B070CE"/>
    <w:rsid w:val="00B07595"/>
    <w:rsid w:val="00B07C5B"/>
    <w:rsid w:val="00B07CA1"/>
    <w:rsid w:val="00B07CE0"/>
    <w:rsid w:val="00B07E57"/>
    <w:rsid w:val="00B07F7F"/>
    <w:rsid w:val="00B104F9"/>
    <w:rsid w:val="00B1081B"/>
    <w:rsid w:val="00B10A58"/>
    <w:rsid w:val="00B10AA3"/>
    <w:rsid w:val="00B1100F"/>
    <w:rsid w:val="00B11156"/>
    <w:rsid w:val="00B1126E"/>
    <w:rsid w:val="00B113FA"/>
    <w:rsid w:val="00B11436"/>
    <w:rsid w:val="00B11666"/>
    <w:rsid w:val="00B1190E"/>
    <w:rsid w:val="00B11C8B"/>
    <w:rsid w:val="00B11FC4"/>
    <w:rsid w:val="00B120DA"/>
    <w:rsid w:val="00B12698"/>
    <w:rsid w:val="00B128CD"/>
    <w:rsid w:val="00B12CD7"/>
    <w:rsid w:val="00B13284"/>
    <w:rsid w:val="00B135BF"/>
    <w:rsid w:val="00B13BA4"/>
    <w:rsid w:val="00B13CD2"/>
    <w:rsid w:val="00B1428B"/>
    <w:rsid w:val="00B14915"/>
    <w:rsid w:val="00B15063"/>
    <w:rsid w:val="00B152B8"/>
    <w:rsid w:val="00B154FA"/>
    <w:rsid w:val="00B15562"/>
    <w:rsid w:val="00B1562A"/>
    <w:rsid w:val="00B15712"/>
    <w:rsid w:val="00B157EE"/>
    <w:rsid w:val="00B15BEA"/>
    <w:rsid w:val="00B1631F"/>
    <w:rsid w:val="00B16484"/>
    <w:rsid w:val="00B16533"/>
    <w:rsid w:val="00B1657B"/>
    <w:rsid w:val="00B16A9B"/>
    <w:rsid w:val="00B16AC6"/>
    <w:rsid w:val="00B16BA4"/>
    <w:rsid w:val="00B170EE"/>
    <w:rsid w:val="00B171AD"/>
    <w:rsid w:val="00B173B8"/>
    <w:rsid w:val="00B1756C"/>
    <w:rsid w:val="00B1763E"/>
    <w:rsid w:val="00B17732"/>
    <w:rsid w:val="00B1790F"/>
    <w:rsid w:val="00B17D9A"/>
    <w:rsid w:val="00B17E2A"/>
    <w:rsid w:val="00B2004D"/>
    <w:rsid w:val="00B20182"/>
    <w:rsid w:val="00B20753"/>
    <w:rsid w:val="00B20F2F"/>
    <w:rsid w:val="00B21973"/>
    <w:rsid w:val="00B223DD"/>
    <w:rsid w:val="00B22838"/>
    <w:rsid w:val="00B22EAF"/>
    <w:rsid w:val="00B235B1"/>
    <w:rsid w:val="00B23677"/>
    <w:rsid w:val="00B23C71"/>
    <w:rsid w:val="00B23CBF"/>
    <w:rsid w:val="00B243BB"/>
    <w:rsid w:val="00B244EA"/>
    <w:rsid w:val="00B2469A"/>
    <w:rsid w:val="00B24C85"/>
    <w:rsid w:val="00B2503F"/>
    <w:rsid w:val="00B25308"/>
    <w:rsid w:val="00B255A0"/>
    <w:rsid w:val="00B257DB"/>
    <w:rsid w:val="00B257EF"/>
    <w:rsid w:val="00B25DBB"/>
    <w:rsid w:val="00B25F12"/>
    <w:rsid w:val="00B25F7C"/>
    <w:rsid w:val="00B26073"/>
    <w:rsid w:val="00B26203"/>
    <w:rsid w:val="00B26468"/>
    <w:rsid w:val="00B26909"/>
    <w:rsid w:val="00B26EA7"/>
    <w:rsid w:val="00B26EEE"/>
    <w:rsid w:val="00B26F8E"/>
    <w:rsid w:val="00B271F4"/>
    <w:rsid w:val="00B271FE"/>
    <w:rsid w:val="00B274AF"/>
    <w:rsid w:val="00B2767F"/>
    <w:rsid w:val="00B27862"/>
    <w:rsid w:val="00B27FB2"/>
    <w:rsid w:val="00B30702"/>
    <w:rsid w:val="00B30714"/>
    <w:rsid w:val="00B3078D"/>
    <w:rsid w:val="00B30916"/>
    <w:rsid w:val="00B30CBE"/>
    <w:rsid w:val="00B31519"/>
    <w:rsid w:val="00B31742"/>
    <w:rsid w:val="00B31788"/>
    <w:rsid w:val="00B318BF"/>
    <w:rsid w:val="00B31A3E"/>
    <w:rsid w:val="00B31E9C"/>
    <w:rsid w:val="00B32105"/>
    <w:rsid w:val="00B323F8"/>
    <w:rsid w:val="00B324D5"/>
    <w:rsid w:val="00B32979"/>
    <w:rsid w:val="00B32E55"/>
    <w:rsid w:val="00B333DB"/>
    <w:rsid w:val="00B334B9"/>
    <w:rsid w:val="00B33590"/>
    <w:rsid w:val="00B339C8"/>
    <w:rsid w:val="00B33A9B"/>
    <w:rsid w:val="00B3441B"/>
    <w:rsid w:val="00B34742"/>
    <w:rsid w:val="00B34CAE"/>
    <w:rsid w:val="00B35271"/>
    <w:rsid w:val="00B353E5"/>
    <w:rsid w:val="00B35DAD"/>
    <w:rsid w:val="00B35E18"/>
    <w:rsid w:val="00B35FDC"/>
    <w:rsid w:val="00B36206"/>
    <w:rsid w:val="00B363E0"/>
    <w:rsid w:val="00B3705E"/>
    <w:rsid w:val="00B377DD"/>
    <w:rsid w:val="00B37B01"/>
    <w:rsid w:val="00B37C2A"/>
    <w:rsid w:val="00B37D9D"/>
    <w:rsid w:val="00B40182"/>
    <w:rsid w:val="00B401A4"/>
    <w:rsid w:val="00B4024F"/>
    <w:rsid w:val="00B40678"/>
    <w:rsid w:val="00B40E94"/>
    <w:rsid w:val="00B41171"/>
    <w:rsid w:val="00B4131D"/>
    <w:rsid w:val="00B41577"/>
    <w:rsid w:val="00B41630"/>
    <w:rsid w:val="00B41CF8"/>
    <w:rsid w:val="00B42160"/>
    <w:rsid w:val="00B4257E"/>
    <w:rsid w:val="00B43030"/>
    <w:rsid w:val="00B4364F"/>
    <w:rsid w:val="00B43935"/>
    <w:rsid w:val="00B43A29"/>
    <w:rsid w:val="00B43D0E"/>
    <w:rsid w:val="00B44337"/>
    <w:rsid w:val="00B443B8"/>
    <w:rsid w:val="00B443E0"/>
    <w:rsid w:val="00B447A8"/>
    <w:rsid w:val="00B448B2"/>
    <w:rsid w:val="00B449BE"/>
    <w:rsid w:val="00B44A28"/>
    <w:rsid w:val="00B44A97"/>
    <w:rsid w:val="00B45BB5"/>
    <w:rsid w:val="00B461F1"/>
    <w:rsid w:val="00B4684A"/>
    <w:rsid w:val="00B46C57"/>
    <w:rsid w:val="00B47020"/>
    <w:rsid w:val="00B47445"/>
    <w:rsid w:val="00B47603"/>
    <w:rsid w:val="00B47BF4"/>
    <w:rsid w:val="00B47DF9"/>
    <w:rsid w:val="00B47FF3"/>
    <w:rsid w:val="00B505F8"/>
    <w:rsid w:val="00B50717"/>
    <w:rsid w:val="00B5099D"/>
    <w:rsid w:val="00B50D4F"/>
    <w:rsid w:val="00B50D6C"/>
    <w:rsid w:val="00B50ED7"/>
    <w:rsid w:val="00B513B6"/>
    <w:rsid w:val="00B515E8"/>
    <w:rsid w:val="00B516DD"/>
    <w:rsid w:val="00B52EBB"/>
    <w:rsid w:val="00B5311C"/>
    <w:rsid w:val="00B53C5D"/>
    <w:rsid w:val="00B53E76"/>
    <w:rsid w:val="00B5400B"/>
    <w:rsid w:val="00B54024"/>
    <w:rsid w:val="00B54448"/>
    <w:rsid w:val="00B54AAD"/>
    <w:rsid w:val="00B54C80"/>
    <w:rsid w:val="00B54EE1"/>
    <w:rsid w:val="00B5508C"/>
    <w:rsid w:val="00B55344"/>
    <w:rsid w:val="00B55469"/>
    <w:rsid w:val="00B559CF"/>
    <w:rsid w:val="00B55B4F"/>
    <w:rsid w:val="00B55E83"/>
    <w:rsid w:val="00B55F4D"/>
    <w:rsid w:val="00B56199"/>
    <w:rsid w:val="00B563B4"/>
    <w:rsid w:val="00B563DA"/>
    <w:rsid w:val="00B56A2A"/>
    <w:rsid w:val="00B56B07"/>
    <w:rsid w:val="00B576C7"/>
    <w:rsid w:val="00B5795C"/>
    <w:rsid w:val="00B579A9"/>
    <w:rsid w:val="00B57A37"/>
    <w:rsid w:val="00B57CC4"/>
    <w:rsid w:val="00B60057"/>
    <w:rsid w:val="00B60471"/>
    <w:rsid w:val="00B60915"/>
    <w:rsid w:val="00B60D00"/>
    <w:rsid w:val="00B6123F"/>
    <w:rsid w:val="00B61746"/>
    <w:rsid w:val="00B61ADD"/>
    <w:rsid w:val="00B62545"/>
    <w:rsid w:val="00B62567"/>
    <w:rsid w:val="00B6259A"/>
    <w:rsid w:val="00B62790"/>
    <w:rsid w:val="00B62AEA"/>
    <w:rsid w:val="00B62BF4"/>
    <w:rsid w:val="00B6348F"/>
    <w:rsid w:val="00B63491"/>
    <w:rsid w:val="00B6386E"/>
    <w:rsid w:val="00B6389D"/>
    <w:rsid w:val="00B63937"/>
    <w:rsid w:val="00B6394A"/>
    <w:rsid w:val="00B63C3F"/>
    <w:rsid w:val="00B64032"/>
    <w:rsid w:val="00B64271"/>
    <w:rsid w:val="00B643A9"/>
    <w:rsid w:val="00B64D88"/>
    <w:rsid w:val="00B64E81"/>
    <w:rsid w:val="00B65429"/>
    <w:rsid w:val="00B6552B"/>
    <w:rsid w:val="00B65AB7"/>
    <w:rsid w:val="00B65C0E"/>
    <w:rsid w:val="00B65CB9"/>
    <w:rsid w:val="00B66177"/>
    <w:rsid w:val="00B66814"/>
    <w:rsid w:val="00B66962"/>
    <w:rsid w:val="00B669A6"/>
    <w:rsid w:val="00B66B04"/>
    <w:rsid w:val="00B6765C"/>
    <w:rsid w:val="00B67AB2"/>
    <w:rsid w:val="00B67D46"/>
    <w:rsid w:val="00B70216"/>
    <w:rsid w:val="00B70608"/>
    <w:rsid w:val="00B70859"/>
    <w:rsid w:val="00B70AEB"/>
    <w:rsid w:val="00B70B97"/>
    <w:rsid w:val="00B71C28"/>
    <w:rsid w:val="00B71F21"/>
    <w:rsid w:val="00B7286C"/>
    <w:rsid w:val="00B734DD"/>
    <w:rsid w:val="00B73BFA"/>
    <w:rsid w:val="00B73D97"/>
    <w:rsid w:val="00B74158"/>
    <w:rsid w:val="00B74808"/>
    <w:rsid w:val="00B74F58"/>
    <w:rsid w:val="00B74FC8"/>
    <w:rsid w:val="00B761A6"/>
    <w:rsid w:val="00B76238"/>
    <w:rsid w:val="00B76BBA"/>
    <w:rsid w:val="00B76BC1"/>
    <w:rsid w:val="00B76BD3"/>
    <w:rsid w:val="00B76D9C"/>
    <w:rsid w:val="00B76DA9"/>
    <w:rsid w:val="00B7724F"/>
    <w:rsid w:val="00B77735"/>
    <w:rsid w:val="00B77845"/>
    <w:rsid w:val="00B77E70"/>
    <w:rsid w:val="00B80368"/>
    <w:rsid w:val="00B8066E"/>
    <w:rsid w:val="00B80852"/>
    <w:rsid w:val="00B80ADD"/>
    <w:rsid w:val="00B80BF0"/>
    <w:rsid w:val="00B8135C"/>
    <w:rsid w:val="00B81876"/>
    <w:rsid w:val="00B81B64"/>
    <w:rsid w:val="00B81D66"/>
    <w:rsid w:val="00B81DCA"/>
    <w:rsid w:val="00B81EA0"/>
    <w:rsid w:val="00B81EF1"/>
    <w:rsid w:val="00B82641"/>
    <w:rsid w:val="00B82B29"/>
    <w:rsid w:val="00B82DE9"/>
    <w:rsid w:val="00B83013"/>
    <w:rsid w:val="00B83064"/>
    <w:rsid w:val="00B8350B"/>
    <w:rsid w:val="00B83525"/>
    <w:rsid w:val="00B83BE7"/>
    <w:rsid w:val="00B83E88"/>
    <w:rsid w:val="00B84214"/>
    <w:rsid w:val="00B8421F"/>
    <w:rsid w:val="00B84513"/>
    <w:rsid w:val="00B8489C"/>
    <w:rsid w:val="00B848A4"/>
    <w:rsid w:val="00B84AF8"/>
    <w:rsid w:val="00B84F10"/>
    <w:rsid w:val="00B85374"/>
    <w:rsid w:val="00B85612"/>
    <w:rsid w:val="00B8562A"/>
    <w:rsid w:val="00B8566C"/>
    <w:rsid w:val="00B85A43"/>
    <w:rsid w:val="00B85EEA"/>
    <w:rsid w:val="00B85F6F"/>
    <w:rsid w:val="00B86234"/>
    <w:rsid w:val="00B8625F"/>
    <w:rsid w:val="00B863B2"/>
    <w:rsid w:val="00B86FE5"/>
    <w:rsid w:val="00B87BCA"/>
    <w:rsid w:val="00B87BDD"/>
    <w:rsid w:val="00B901F5"/>
    <w:rsid w:val="00B902BD"/>
    <w:rsid w:val="00B907F5"/>
    <w:rsid w:val="00B90A1C"/>
    <w:rsid w:val="00B90DE6"/>
    <w:rsid w:val="00B911B9"/>
    <w:rsid w:val="00B913EB"/>
    <w:rsid w:val="00B9140E"/>
    <w:rsid w:val="00B9160B"/>
    <w:rsid w:val="00B91786"/>
    <w:rsid w:val="00B9233A"/>
    <w:rsid w:val="00B9241A"/>
    <w:rsid w:val="00B92A60"/>
    <w:rsid w:val="00B92BF5"/>
    <w:rsid w:val="00B92FC6"/>
    <w:rsid w:val="00B931C3"/>
    <w:rsid w:val="00B931EB"/>
    <w:rsid w:val="00B9325F"/>
    <w:rsid w:val="00B93329"/>
    <w:rsid w:val="00B9348B"/>
    <w:rsid w:val="00B93F8A"/>
    <w:rsid w:val="00B94395"/>
    <w:rsid w:val="00B943D3"/>
    <w:rsid w:val="00B943E6"/>
    <w:rsid w:val="00B94A5D"/>
    <w:rsid w:val="00B9504A"/>
    <w:rsid w:val="00B95750"/>
    <w:rsid w:val="00B95CFD"/>
    <w:rsid w:val="00B95FFE"/>
    <w:rsid w:val="00B960FF"/>
    <w:rsid w:val="00B961CB"/>
    <w:rsid w:val="00B968C5"/>
    <w:rsid w:val="00B96B34"/>
    <w:rsid w:val="00B96E68"/>
    <w:rsid w:val="00B970F1"/>
    <w:rsid w:val="00B97111"/>
    <w:rsid w:val="00B971B0"/>
    <w:rsid w:val="00B973A1"/>
    <w:rsid w:val="00B9758F"/>
    <w:rsid w:val="00B975C2"/>
    <w:rsid w:val="00BA047B"/>
    <w:rsid w:val="00BA0C19"/>
    <w:rsid w:val="00BA0CAF"/>
    <w:rsid w:val="00BA108A"/>
    <w:rsid w:val="00BA1241"/>
    <w:rsid w:val="00BA133A"/>
    <w:rsid w:val="00BA1435"/>
    <w:rsid w:val="00BA16ED"/>
    <w:rsid w:val="00BA1B97"/>
    <w:rsid w:val="00BA21EB"/>
    <w:rsid w:val="00BA2BC4"/>
    <w:rsid w:val="00BA35DF"/>
    <w:rsid w:val="00BA361D"/>
    <w:rsid w:val="00BA3B77"/>
    <w:rsid w:val="00BA4244"/>
    <w:rsid w:val="00BA4568"/>
    <w:rsid w:val="00BA4680"/>
    <w:rsid w:val="00BA479E"/>
    <w:rsid w:val="00BA4A9C"/>
    <w:rsid w:val="00BA4EC0"/>
    <w:rsid w:val="00BA524B"/>
    <w:rsid w:val="00BA53C0"/>
    <w:rsid w:val="00BA5535"/>
    <w:rsid w:val="00BA56DB"/>
    <w:rsid w:val="00BA5A31"/>
    <w:rsid w:val="00BA5A41"/>
    <w:rsid w:val="00BA5BF6"/>
    <w:rsid w:val="00BA5D81"/>
    <w:rsid w:val="00BA5DC3"/>
    <w:rsid w:val="00BA5E27"/>
    <w:rsid w:val="00BA6054"/>
    <w:rsid w:val="00BA6738"/>
    <w:rsid w:val="00BA67DF"/>
    <w:rsid w:val="00BA6A4D"/>
    <w:rsid w:val="00BA6A94"/>
    <w:rsid w:val="00BA6B96"/>
    <w:rsid w:val="00BA6FB8"/>
    <w:rsid w:val="00BA72BE"/>
    <w:rsid w:val="00BA733D"/>
    <w:rsid w:val="00BA7599"/>
    <w:rsid w:val="00BA7A8B"/>
    <w:rsid w:val="00BA7E95"/>
    <w:rsid w:val="00BA7EFC"/>
    <w:rsid w:val="00BA7F01"/>
    <w:rsid w:val="00BA7F8B"/>
    <w:rsid w:val="00BB0474"/>
    <w:rsid w:val="00BB05B2"/>
    <w:rsid w:val="00BB08C4"/>
    <w:rsid w:val="00BB0938"/>
    <w:rsid w:val="00BB0ECA"/>
    <w:rsid w:val="00BB162F"/>
    <w:rsid w:val="00BB1A8C"/>
    <w:rsid w:val="00BB1AA3"/>
    <w:rsid w:val="00BB1B36"/>
    <w:rsid w:val="00BB1B59"/>
    <w:rsid w:val="00BB2410"/>
    <w:rsid w:val="00BB24A6"/>
    <w:rsid w:val="00BB25D0"/>
    <w:rsid w:val="00BB2B8C"/>
    <w:rsid w:val="00BB2BA8"/>
    <w:rsid w:val="00BB2BD9"/>
    <w:rsid w:val="00BB2DE2"/>
    <w:rsid w:val="00BB2EE7"/>
    <w:rsid w:val="00BB31B2"/>
    <w:rsid w:val="00BB327F"/>
    <w:rsid w:val="00BB399A"/>
    <w:rsid w:val="00BB3A72"/>
    <w:rsid w:val="00BB3F34"/>
    <w:rsid w:val="00BB3F8B"/>
    <w:rsid w:val="00BB51B2"/>
    <w:rsid w:val="00BB58E0"/>
    <w:rsid w:val="00BB625D"/>
    <w:rsid w:val="00BB6320"/>
    <w:rsid w:val="00BB643D"/>
    <w:rsid w:val="00BB65A4"/>
    <w:rsid w:val="00BB665E"/>
    <w:rsid w:val="00BB6DE0"/>
    <w:rsid w:val="00BB7370"/>
    <w:rsid w:val="00BB783D"/>
    <w:rsid w:val="00BB7B73"/>
    <w:rsid w:val="00BB7B78"/>
    <w:rsid w:val="00BC02E4"/>
    <w:rsid w:val="00BC0530"/>
    <w:rsid w:val="00BC06B3"/>
    <w:rsid w:val="00BC0ABF"/>
    <w:rsid w:val="00BC0B27"/>
    <w:rsid w:val="00BC0E14"/>
    <w:rsid w:val="00BC0FA9"/>
    <w:rsid w:val="00BC10FB"/>
    <w:rsid w:val="00BC1141"/>
    <w:rsid w:val="00BC11CD"/>
    <w:rsid w:val="00BC18B4"/>
    <w:rsid w:val="00BC1DFB"/>
    <w:rsid w:val="00BC1E7C"/>
    <w:rsid w:val="00BC265A"/>
    <w:rsid w:val="00BC26BA"/>
    <w:rsid w:val="00BC286C"/>
    <w:rsid w:val="00BC298E"/>
    <w:rsid w:val="00BC29E9"/>
    <w:rsid w:val="00BC2B60"/>
    <w:rsid w:val="00BC2F80"/>
    <w:rsid w:val="00BC386D"/>
    <w:rsid w:val="00BC39B4"/>
    <w:rsid w:val="00BC3B09"/>
    <w:rsid w:val="00BC3E60"/>
    <w:rsid w:val="00BC404C"/>
    <w:rsid w:val="00BC447F"/>
    <w:rsid w:val="00BC4B53"/>
    <w:rsid w:val="00BC4E45"/>
    <w:rsid w:val="00BC50E6"/>
    <w:rsid w:val="00BC516F"/>
    <w:rsid w:val="00BC5767"/>
    <w:rsid w:val="00BC5A69"/>
    <w:rsid w:val="00BC5CB1"/>
    <w:rsid w:val="00BC6338"/>
    <w:rsid w:val="00BC6357"/>
    <w:rsid w:val="00BC63A4"/>
    <w:rsid w:val="00BC63FE"/>
    <w:rsid w:val="00BC6499"/>
    <w:rsid w:val="00BC65CD"/>
    <w:rsid w:val="00BC6794"/>
    <w:rsid w:val="00BC684B"/>
    <w:rsid w:val="00BC6A28"/>
    <w:rsid w:val="00BC6CDD"/>
    <w:rsid w:val="00BC7075"/>
    <w:rsid w:val="00BC7141"/>
    <w:rsid w:val="00BC77C7"/>
    <w:rsid w:val="00BC7826"/>
    <w:rsid w:val="00BC7937"/>
    <w:rsid w:val="00BC7AD1"/>
    <w:rsid w:val="00BC7AF2"/>
    <w:rsid w:val="00BC7DCE"/>
    <w:rsid w:val="00BD0059"/>
    <w:rsid w:val="00BD04D0"/>
    <w:rsid w:val="00BD059A"/>
    <w:rsid w:val="00BD0916"/>
    <w:rsid w:val="00BD0C36"/>
    <w:rsid w:val="00BD0CC4"/>
    <w:rsid w:val="00BD1847"/>
    <w:rsid w:val="00BD19ED"/>
    <w:rsid w:val="00BD1D23"/>
    <w:rsid w:val="00BD1DC0"/>
    <w:rsid w:val="00BD1E20"/>
    <w:rsid w:val="00BD1E31"/>
    <w:rsid w:val="00BD1EAB"/>
    <w:rsid w:val="00BD2600"/>
    <w:rsid w:val="00BD26EA"/>
    <w:rsid w:val="00BD2BB2"/>
    <w:rsid w:val="00BD2E30"/>
    <w:rsid w:val="00BD3535"/>
    <w:rsid w:val="00BD35E7"/>
    <w:rsid w:val="00BD3B20"/>
    <w:rsid w:val="00BD3C75"/>
    <w:rsid w:val="00BD3EFD"/>
    <w:rsid w:val="00BD4256"/>
    <w:rsid w:val="00BD44BE"/>
    <w:rsid w:val="00BD45A6"/>
    <w:rsid w:val="00BD4B9D"/>
    <w:rsid w:val="00BD4C60"/>
    <w:rsid w:val="00BD4CAE"/>
    <w:rsid w:val="00BD4D0A"/>
    <w:rsid w:val="00BD4E8A"/>
    <w:rsid w:val="00BD5286"/>
    <w:rsid w:val="00BD59EA"/>
    <w:rsid w:val="00BD5B4D"/>
    <w:rsid w:val="00BD5DCB"/>
    <w:rsid w:val="00BD6410"/>
    <w:rsid w:val="00BD6C05"/>
    <w:rsid w:val="00BD7017"/>
    <w:rsid w:val="00BD75FA"/>
    <w:rsid w:val="00BD7A65"/>
    <w:rsid w:val="00BD7B30"/>
    <w:rsid w:val="00BD7B6E"/>
    <w:rsid w:val="00BD7C22"/>
    <w:rsid w:val="00BD7E11"/>
    <w:rsid w:val="00BD7EB8"/>
    <w:rsid w:val="00BD7EE0"/>
    <w:rsid w:val="00BE054C"/>
    <w:rsid w:val="00BE05E9"/>
    <w:rsid w:val="00BE0E01"/>
    <w:rsid w:val="00BE0E9B"/>
    <w:rsid w:val="00BE12B2"/>
    <w:rsid w:val="00BE1501"/>
    <w:rsid w:val="00BE19F9"/>
    <w:rsid w:val="00BE1CD7"/>
    <w:rsid w:val="00BE1DF7"/>
    <w:rsid w:val="00BE1F70"/>
    <w:rsid w:val="00BE1F83"/>
    <w:rsid w:val="00BE21DF"/>
    <w:rsid w:val="00BE23B3"/>
    <w:rsid w:val="00BE2490"/>
    <w:rsid w:val="00BE283B"/>
    <w:rsid w:val="00BE2B0B"/>
    <w:rsid w:val="00BE2D12"/>
    <w:rsid w:val="00BE2F51"/>
    <w:rsid w:val="00BE2F77"/>
    <w:rsid w:val="00BE317C"/>
    <w:rsid w:val="00BE3877"/>
    <w:rsid w:val="00BE38E7"/>
    <w:rsid w:val="00BE3B2B"/>
    <w:rsid w:val="00BE3FD2"/>
    <w:rsid w:val="00BE47DF"/>
    <w:rsid w:val="00BE4C0C"/>
    <w:rsid w:val="00BE4FAD"/>
    <w:rsid w:val="00BE53F0"/>
    <w:rsid w:val="00BE59C0"/>
    <w:rsid w:val="00BE5BCE"/>
    <w:rsid w:val="00BE5DA7"/>
    <w:rsid w:val="00BE5FC6"/>
    <w:rsid w:val="00BE6102"/>
    <w:rsid w:val="00BE646C"/>
    <w:rsid w:val="00BE65B8"/>
    <w:rsid w:val="00BE69B0"/>
    <w:rsid w:val="00BE6BDB"/>
    <w:rsid w:val="00BE6D17"/>
    <w:rsid w:val="00BE6D87"/>
    <w:rsid w:val="00BE7536"/>
    <w:rsid w:val="00BE7871"/>
    <w:rsid w:val="00BE7CBF"/>
    <w:rsid w:val="00BE7EE1"/>
    <w:rsid w:val="00BE7FDF"/>
    <w:rsid w:val="00BF0497"/>
    <w:rsid w:val="00BF06C5"/>
    <w:rsid w:val="00BF0AFA"/>
    <w:rsid w:val="00BF0C95"/>
    <w:rsid w:val="00BF0CF5"/>
    <w:rsid w:val="00BF10FC"/>
    <w:rsid w:val="00BF1102"/>
    <w:rsid w:val="00BF1B02"/>
    <w:rsid w:val="00BF1BAA"/>
    <w:rsid w:val="00BF1BAB"/>
    <w:rsid w:val="00BF1F94"/>
    <w:rsid w:val="00BF20F5"/>
    <w:rsid w:val="00BF2503"/>
    <w:rsid w:val="00BF26EE"/>
    <w:rsid w:val="00BF2752"/>
    <w:rsid w:val="00BF2907"/>
    <w:rsid w:val="00BF292A"/>
    <w:rsid w:val="00BF2B84"/>
    <w:rsid w:val="00BF3369"/>
    <w:rsid w:val="00BF35FA"/>
    <w:rsid w:val="00BF381E"/>
    <w:rsid w:val="00BF3A70"/>
    <w:rsid w:val="00BF3A7C"/>
    <w:rsid w:val="00BF3B12"/>
    <w:rsid w:val="00BF414C"/>
    <w:rsid w:val="00BF41CB"/>
    <w:rsid w:val="00BF49D6"/>
    <w:rsid w:val="00BF4C11"/>
    <w:rsid w:val="00BF5396"/>
    <w:rsid w:val="00BF565A"/>
    <w:rsid w:val="00BF59D8"/>
    <w:rsid w:val="00BF5ABB"/>
    <w:rsid w:val="00BF5E28"/>
    <w:rsid w:val="00BF5EEA"/>
    <w:rsid w:val="00BF6074"/>
    <w:rsid w:val="00BF6362"/>
    <w:rsid w:val="00BF6A13"/>
    <w:rsid w:val="00BF6EEB"/>
    <w:rsid w:val="00BF70E2"/>
    <w:rsid w:val="00BF729A"/>
    <w:rsid w:val="00BF7471"/>
    <w:rsid w:val="00BF74AB"/>
    <w:rsid w:val="00BF74CF"/>
    <w:rsid w:val="00BF78FD"/>
    <w:rsid w:val="00C00027"/>
    <w:rsid w:val="00C00231"/>
    <w:rsid w:val="00C005B6"/>
    <w:rsid w:val="00C006AC"/>
    <w:rsid w:val="00C0126E"/>
    <w:rsid w:val="00C01548"/>
    <w:rsid w:val="00C02278"/>
    <w:rsid w:val="00C02494"/>
    <w:rsid w:val="00C024BD"/>
    <w:rsid w:val="00C025AC"/>
    <w:rsid w:val="00C02A90"/>
    <w:rsid w:val="00C02BAC"/>
    <w:rsid w:val="00C02C00"/>
    <w:rsid w:val="00C02C5F"/>
    <w:rsid w:val="00C0322C"/>
    <w:rsid w:val="00C03455"/>
    <w:rsid w:val="00C042A8"/>
    <w:rsid w:val="00C042B4"/>
    <w:rsid w:val="00C042C0"/>
    <w:rsid w:val="00C04AC5"/>
    <w:rsid w:val="00C055CF"/>
    <w:rsid w:val="00C05D96"/>
    <w:rsid w:val="00C05E9E"/>
    <w:rsid w:val="00C061B5"/>
    <w:rsid w:val="00C0652F"/>
    <w:rsid w:val="00C0673B"/>
    <w:rsid w:val="00C068F9"/>
    <w:rsid w:val="00C069B6"/>
    <w:rsid w:val="00C06AE8"/>
    <w:rsid w:val="00C06B3A"/>
    <w:rsid w:val="00C06ECB"/>
    <w:rsid w:val="00C06F12"/>
    <w:rsid w:val="00C07253"/>
    <w:rsid w:val="00C100F9"/>
    <w:rsid w:val="00C10133"/>
    <w:rsid w:val="00C10377"/>
    <w:rsid w:val="00C10653"/>
    <w:rsid w:val="00C1093D"/>
    <w:rsid w:val="00C10987"/>
    <w:rsid w:val="00C10BAB"/>
    <w:rsid w:val="00C1113A"/>
    <w:rsid w:val="00C11306"/>
    <w:rsid w:val="00C113E1"/>
    <w:rsid w:val="00C1155D"/>
    <w:rsid w:val="00C11691"/>
    <w:rsid w:val="00C11986"/>
    <w:rsid w:val="00C11CC9"/>
    <w:rsid w:val="00C128D9"/>
    <w:rsid w:val="00C12E2A"/>
    <w:rsid w:val="00C13B9E"/>
    <w:rsid w:val="00C13BD9"/>
    <w:rsid w:val="00C1403C"/>
    <w:rsid w:val="00C14576"/>
    <w:rsid w:val="00C14AA1"/>
    <w:rsid w:val="00C15973"/>
    <w:rsid w:val="00C15AFF"/>
    <w:rsid w:val="00C15BCC"/>
    <w:rsid w:val="00C15E54"/>
    <w:rsid w:val="00C15E71"/>
    <w:rsid w:val="00C15FDC"/>
    <w:rsid w:val="00C166B1"/>
    <w:rsid w:val="00C1694C"/>
    <w:rsid w:val="00C16B68"/>
    <w:rsid w:val="00C16F9B"/>
    <w:rsid w:val="00C17EEB"/>
    <w:rsid w:val="00C2093D"/>
    <w:rsid w:val="00C21071"/>
    <w:rsid w:val="00C21832"/>
    <w:rsid w:val="00C21FC7"/>
    <w:rsid w:val="00C2201E"/>
    <w:rsid w:val="00C22964"/>
    <w:rsid w:val="00C22D3D"/>
    <w:rsid w:val="00C2335E"/>
    <w:rsid w:val="00C239EF"/>
    <w:rsid w:val="00C23AD9"/>
    <w:rsid w:val="00C23C25"/>
    <w:rsid w:val="00C23D97"/>
    <w:rsid w:val="00C24EF6"/>
    <w:rsid w:val="00C24F29"/>
    <w:rsid w:val="00C253F6"/>
    <w:rsid w:val="00C25488"/>
    <w:rsid w:val="00C258DF"/>
    <w:rsid w:val="00C2605B"/>
    <w:rsid w:val="00C260F0"/>
    <w:rsid w:val="00C2650D"/>
    <w:rsid w:val="00C268C6"/>
    <w:rsid w:val="00C2696C"/>
    <w:rsid w:val="00C270D2"/>
    <w:rsid w:val="00C277FF"/>
    <w:rsid w:val="00C306B2"/>
    <w:rsid w:val="00C306CA"/>
    <w:rsid w:val="00C3070B"/>
    <w:rsid w:val="00C31321"/>
    <w:rsid w:val="00C31F91"/>
    <w:rsid w:val="00C3247B"/>
    <w:rsid w:val="00C324B5"/>
    <w:rsid w:val="00C326FE"/>
    <w:rsid w:val="00C32E24"/>
    <w:rsid w:val="00C32F47"/>
    <w:rsid w:val="00C332AD"/>
    <w:rsid w:val="00C334E1"/>
    <w:rsid w:val="00C33725"/>
    <w:rsid w:val="00C3387A"/>
    <w:rsid w:val="00C33905"/>
    <w:rsid w:val="00C33FA8"/>
    <w:rsid w:val="00C34260"/>
    <w:rsid w:val="00C344F0"/>
    <w:rsid w:val="00C3498F"/>
    <w:rsid w:val="00C34A98"/>
    <w:rsid w:val="00C34CEF"/>
    <w:rsid w:val="00C34E03"/>
    <w:rsid w:val="00C34E10"/>
    <w:rsid w:val="00C34E5D"/>
    <w:rsid w:val="00C358BA"/>
    <w:rsid w:val="00C35CD6"/>
    <w:rsid w:val="00C35E6B"/>
    <w:rsid w:val="00C360C2"/>
    <w:rsid w:val="00C361E4"/>
    <w:rsid w:val="00C36241"/>
    <w:rsid w:val="00C36264"/>
    <w:rsid w:val="00C3659F"/>
    <w:rsid w:val="00C36677"/>
    <w:rsid w:val="00C36DA7"/>
    <w:rsid w:val="00C37258"/>
    <w:rsid w:val="00C373BF"/>
    <w:rsid w:val="00C3770B"/>
    <w:rsid w:val="00C40025"/>
    <w:rsid w:val="00C413DD"/>
    <w:rsid w:val="00C414B1"/>
    <w:rsid w:val="00C41DA1"/>
    <w:rsid w:val="00C41E31"/>
    <w:rsid w:val="00C42A4F"/>
    <w:rsid w:val="00C42E90"/>
    <w:rsid w:val="00C42F79"/>
    <w:rsid w:val="00C431D1"/>
    <w:rsid w:val="00C43345"/>
    <w:rsid w:val="00C433AA"/>
    <w:rsid w:val="00C439C8"/>
    <w:rsid w:val="00C43F7E"/>
    <w:rsid w:val="00C4421B"/>
    <w:rsid w:val="00C442FF"/>
    <w:rsid w:val="00C443A2"/>
    <w:rsid w:val="00C4472F"/>
    <w:rsid w:val="00C45070"/>
    <w:rsid w:val="00C451E3"/>
    <w:rsid w:val="00C45375"/>
    <w:rsid w:val="00C45824"/>
    <w:rsid w:val="00C46192"/>
    <w:rsid w:val="00C46BA5"/>
    <w:rsid w:val="00C47505"/>
    <w:rsid w:val="00C478E5"/>
    <w:rsid w:val="00C47B64"/>
    <w:rsid w:val="00C47B8A"/>
    <w:rsid w:val="00C50613"/>
    <w:rsid w:val="00C50726"/>
    <w:rsid w:val="00C5087A"/>
    <w:rsid w:val="00C510E9"/>
    <w:rsid w:val="00C516E5"/>
    <w:rsid w:val="00C51987"/>
    <w:rsid w:val="00C519ED"/>
    <w:rsid w:val="00C51A65"/>
    <w:rsid w:val="00C51D5F"/>
    <w:rsid w:val="00C51E08"/>
    <w:rsid w:val="00C52023"/>
    <w:rsid w:val="00C5293A"/>
    <w:rsid w:val="00C52CF9"/>
    <w:rsid w:val="00C53190"/>
    <w:rsid w:val="00C53473"/>
    <w:rsid w:val="00C53714"/>
    <w:rsid w:val="00C53CF6"/>
    <w:rsid w:val="00C53EA5"/>
    <w:rsid w:val="00C5408F"/>
    <w:rsid w:val="00C54158"/>
    <w:rsid w:val="00C545F1"/>
    <w:rsid w:val="00C5463A"/>
    <w:rsid w:val="00C54ECD"/>
    <w:rsid w:val="00C54FD1"/>
    <w:rsid w:val="00C5566C"/>
    <w:rsid w:val="00C558B9"/>
    <w:rsid w:val="00C559A9"/>
    <w:rsid w:val="00C55A39"/>
    <w:rsid w:val="00C55B9D"/>
    <w:rsid w:val="00C55DED"/>
    <w:rsid w:val="00C55DF4"/>
    <w:rsid w:val="00C55F0D"/>
    <w:rsid w:val="00C5681C"/>
    <w:rsid w:val="00C5689C"/>
    <w:rsid w:val="00C56B7F"/>
    <w:rsid w:val="00C56B94"/>
    <w:rsid w:val="00C574FB"/>
    <w:rsid w:val="00C5774E"/>
    <w:rsid w:val="00C577D1"/>
    <w:rsid w:val="00C57958"/>
    <w:rsid w:val="00C57C36"/>
    <w:rsid w:val="00C57EF0"/>
    <w:rsid w:val="00C607A0"/>
    <w:rsid w:val="00C60979"/>
    <w:rsid w:val="00C60B84"/>
    <w:rsid w:val="00C60F88"/>
    <w:rsid w:val="00C6137F"/>
    <w:rsid w:val="00C615FA"/>
    <w:rsid w:val="00C618CA"/>
    <w:rsid w:val="00C62C62"/>
    <w:rsid w:val="00C62F51"/>
    <w:rsid w:val="00C6315B"/>
    <w:rsid w:val="00C63299"/>
    <w:rsid w:val="00C632BF"/>
    <w:rsid w:val="00C634A4"/>
    <w:rsid w:val="00C64117"/>
    <w:rsid w:val="00C64962"/>
    <w:rsid w:val="00C64A53"/>
    <w:rsid w:val="00C64D17"/>
    <w:rsid w:val="00C64D22"/>
    <w:rsid w:val="00C64D3F"/>
    <w:rsid w:val="00C64D85"/>
    <w:rsid w:val="00C64DE4"/>
    <w:rsid w:val="00C652C3"/>
    <w:rsid w:val="00C65CC0"/>
    <w:rsid w:val="00C65F0E"/>
    <w:rsid w:val="00C6604A"/>
    <w:rsid w:val="00C66E27"/>
    <w:rsid w:val="00C6734E"/>
    <w:rsid w:val="00C67438"/>
    <w:rsid w:val="00C679A4"/>
    <w:rsid w:val="00C67DC7"/>
    <w:rsid w:val="00C67DD0"/>
    <w:rsid w:val="00C706E1"/>
    <w:rsid w:val="00C70C86"/>
    <w:rsid w:val="00C70CCC"/>
    <w:rsid w:val="00C70D01"/>
    <w:rsid w:val="00C70EF8"/>
    <w:rsid w:val="00C720AE"/>
    <w:rsid w:val="00C72261"/>
    <w:rsid w:val="00C72354"/>
    <w:rsid w:val="00C724A3"/>
    <w:rsid w:val="00C72911"/>
    <w:rsid w:val="00C72DE9"/>
    <w:rsid w:val="00C72E11"/>
    <w:rsid w:val="00C72E82"/>
    <w:rsid w:val="00C73145"/>
    <w:rsid w:val="00C73C04"/>
    <w:rsid w:val="00C7405F"/>
    <w:rsid w:val="00C74493"/>
    <w:rsid w:val="00C74E2B"/>
    <w:rsid w:val="00C75098"/>
    <w:rsid w:val="00C753CD"/>
    <w:rsid w:val="00C75B87"/>
    <w:rsid w:val="00C7639E"/>
    <w:rsid w:val="00C7660A"/>
    <w:rsid w:val="00C766E8"/>
    <w:rsid w:val="00C76BEB"/>
    <w:rsid w:val="00C7731B"/>
    <w:rsid w:val="00C7732F"/>
    <w:rsid w:val="00C776F1"/>
    <w:rsid w:val="00C779BE"/>
    <w:rsid w:val="00C77D3A"/>
    <w:rsid w:val="00C8003C"/>
    <w:rsid w:val="00C80059"/>
    <w:rsid w:val="00C80132"/>
    <w:rsid w:val="00C80CEF"/>
    <w:rsid w:val="00C80E61"/>
    <w:rsid w:val="00C811E1"/>
    <w:rsid w:val="00C8149D"/>
    <w:rsid w:val="00C81514"/>
    <w:rsid w:val="00C815FA"/>
    <w:rsid w:val="00C81C39"/>
    <w:rsid w:val="00C81F67"/>
    <w:rsid w:val="00C8228F"/>
    <w:rsid w:val="00C82C3A"/>
    <w:rsid w:val="00C82E2D"/>
    <w:rsid w:val="00C8330E"/>
    <w:rsid w:val="00C8446F"/>
    <w:rsid w:val="00C8486E"/>
    <w:rsid w:val="00C848AE"/>
    <w:rsid w:val="00C84BAE"/>
    <w:rsid w:val="00C84F2F"/>
    <w:rsid w:val="00C8503D"/>
    <w:rsid w:val="00C85301"/>
    <w:rsid w:val="00C85620"/>
    <w:rsid w:val="00C85808"/>
    <w:rsid w:val="00C85815"/>
    <w:rsid w:val="00C85DD6"/>
    <w:rsid w:val="00C862F4"/>
    <w:rsid w:val="00C8644A"/>
    <w:rsid w:val="00C86744"/>
    <w:rsid w:val="00C873BF"/>
    <w:rsid w:val="00C8795C"/>
    <w:rsid w:val="00C879D4"/>
    <w:rsid w:val="00C87C25"/>
    <w:rsid w:val="00C900FA"/>
    <w:rsid w:val="00C902E3"/>
    <w:rsid w:val="00C9090C"/>
    <w:rsid w:val="00C90FC8"/>
    <w:rsid w:val="00C912CF"/>
    <w:rsid w:val="00C913DE"/>
    <w:rsid w:val="00C914AD"/>
    <w:rsid w:val="00C914CB"/>
    <w:rsid w:val="00C91931"/>
    <w:rsid w:val="00C919F9"/>
    <w:rsid w:val="00C9206E"/>
    <w:rsid w:val="00C922E1"/>
    <w:rsid w:val="00C9254D"/>
    <w:rsid w:val="00C92913"/>
    <w:rsid w:val="00C92B3F"/>
    <w:rsid w:val="00C92D75"/>
    <w:rsid w:val="00C93009"/>
    <w:rsid w:val="00C93024"/>
    <w:rsid w:val="00C9345E"/>
    <w:rsid w:val="00C9382A"/>
    <w:rsid w:val="00C93E10"/>
    <w:rsid w:val="00C9446C"/>
    <w:rsid w:val="00C94A3C"/>
    <w:rsid w:val="00C95B13"/>
    <w:rsid w:val="00C9630A"/>
    <w:rsid w:val="00C96784"/>
    <w:rsid w:val="00C97241"/>
    <w:rsid w:val="00C97254"/>
    <w:rsid w:val="00C972A4"/>
    <w:rsid w:val="00C97905"/>
    <w:rsid w:val="00C97D7E"/>
    <w:rsid w:val="00C97E5F"/>
    <w:rsid w:val="00CA003C"/>
    <w:rsid w:val="00CA01CF"/>
    <w:rsid w:val="00CA03CA"/>
    <w:rsid w:val="00CA04DB"/>
    <w:rsid w:val="00CA161A"/>
    <w:rsid w:val="00CA19CC"/>
    <w:rsid w:val="00CA1E99"/>
    <w:rsid w:val="00CA245D"/>
    <w:rsid w:val="00CA2796"/>
    <w:rsid w:val="00CA28DB"/>
    <w:rsid w:val="00CA2EF6"/>
    <w:rsid w:val="00CA31C6"/>
    <w:rsid w:val="00CA34AE"/>
    <w:rsid w:val="00CA3543"/>
    <w:rsid w:val="00CA396A"/>
    <w:rsid w:val="00CA3A45"/>
    <w:rsid w:val="00CA4884"/>
    <w:rsid w:val="00CA4B46"/>
    <w:rsid w:val="00CA4DBD"/>
    <w:rsid w:val="00CA4F18"/>
    <w:rsid w:val="00CA53D6"/>
    <w:rsid w:val="00CA543D"/>
    <w:rsid w:val="00CA5788"/>
    <w:rsid w:val="00CA5F1F"/>
    <w:rsid w:val="00CA6230"/>
    <w:rsid w:val="00CA672E"/>
    <w:rsid w:val="00CA673E"/>
    <w:rsid w:val="00CA6B5D"/>
    <w:rsid w:val="00CA6DC8"/>
    <w:rsid w:val="00CA7182"/>
    <w:rsid w:val="00CA7288"/>
    <w:rsid w:val="00CA7CEB"/>
    <w:rsid w:val="00CB02E8"/>
    <w:rsid w:val="00CB03EC"/>
    <w:rsid w:val="00CB0D0C"/>
    <w:rsid w:val="00CB0DF5"/>
    <w:rsid w:val="00CB0F5B"/>
    <w:rsid w:val="00CB0FF8"/>
    <w:rsid w:val="00CB10D4"/>
    <w:rsid w:val="00CB145B"/>
    <w:rsid w:val="00CB1644"/>
    <w:rsid w:val="00CB186D"/>
    <w:rsid w:val="00CB1C9E"/>
    <w:rsid w:val="00CB212F"/>
    <w:rsid w:val="00CB223C"/>
    <w:rsid w:val="00CB25C8"/>
    <w:rsid w:val="00CB271B"/>
    <w:rsid w:val="00CB3A34"/>
    <w:rsid w:val="00CB429A"/>
    <w:rsid w:val="00CB45F1"/>
    <w:rsid w:val="00CB46CF"/>
    <w:rsid w:val="00CB485A"/>
    <w:rsid w:val="00CB4A67"/>
    <w:rsid w:val="00CB4C79"/>
    <w:rsid w:val="00CB4CD7"/>
    <w:rsid w:val="00CB5055"/>
    <w:rsid w:val="00CB535B"/>
    <w:rsid w:val="00CB550C"/>
    <w:rsid w:val="00CB60BA"/>
    <w:rsid w:val="00CB616E"/>
    <w:rsid w:val="00CB62A5"/>
    <w:rsid w:val="00CB637C"/>
    <w:rsid w:val="00CB686C"/>
    <w:rsid w:val="00CB6D5F"/>
    <w:rsid w:val="00CB6D9C"/>
    <w:rsid w:val="00CB6E6E"/>
    <w:rsid w:val="00CB7565"/>
    <w:rsid w:val="00CB79B5"/>
    <w:rsid w:val="00CB7E1D"/>
    <w:rsid w:val="00CB7FD7"/>
    <w:rsid w:val="00CC057F"/>
    <w:rsid w:val="00CC0985"/>
    <w:rsid w:val="00CC128C"/>
    <w:rsid w:val="00CC153C"/>
    <w:rsid w:val="00CC1788"/>
    <w:rsid w:val="00CC179D"/>
    <w:rsid w:val="00CC17E6"/>
    <w:rsid w:val="00CC1812"/>
    <w:rsid w:val="00CC189C"/>
    <w:rsid w:val="00CC20BF"/>
    <w:rsid w:val="00CC22F5"/>
    <w:rsid w:val="00CC28C5"/>
    <w:rsid w:val="00CC2E80"/>
    <w:rsid w:val="00CC354F"/>
    <w:rsid w:val="00CC38BC"/>
    <w:rsid w:val="00CC3CEE"/>
    <w:rsid w:val="00CC3D40"/>
    <w:rsid w:val="00CC3EDA"/>
    <w:rsid w:val="00CC3F25"/>
    <w:rsid w:val="00CC43EC"/>
    <w:rsid w:val="00CC444F"/>
    <w:rsid w:val="00CC4834"/>
    <w:rsid w:val="00CC4DE4"/>
    <w:rsid w:val="00CC4F63"/>
    <w:rsid w:val="00CC58C2"/>
    <w:rsid w:val="00CC5AD0"/>
    <w:rsid w:val="00CC5D38"/>
    <w:rsid w:val="00CC5E19"/>
    <w:rsid w:val="00CC6B75"/>
    <w:rsid w:val="00CC6FF9"/>
    <w:rsid w:val="00CC75C7"/>
    <w:rsid w:val="00CC7A3B"/>
    <w:rsid w:val="00CD059C"/>
    <w:rsid w:val="00CD0A42"/>
    <w:rsid w:val="00CD0A9F"/>
    <w:rsid w:val="00CD0D9F"/>
    <w:rsid w:val="00CD1488"/>
    <w:rsid w:val="00CD180F"/>
    <w:rsid w:val="00CD19F7"/>
    <w:rsid w:val="00CD200B"/>
    <w:rsid w:val="00CD21D9"/>
    <w:rsid w:val="00CD2663"/>
    <w:rsid w:val="00CD2F18"/>
    <w:rsid w:val="00CD3F1D"/>
    <w:rsid w:val="00CD4289"/>
    <w:rsid w:val="00CD457F"/>
    <w:rsid w:val="00CD4605"/>
    <w:rsid w:val="00CD4619"/>
    <w:rsid w:val="00CD4929"/>
    <w:rsid w:val="00CD4EF8"/>
    <w:rsid w:val="00CD5056"/>
    <w:rsid w:val="00CD5238"/>
    <w:rsid w:val="00CD5499"/>
    <w:rsid w:val="00CD582F"/>
    <w:rsid w:val="00CD5CAC"/>
    <w:rsid w:val="00CD5D51"/>
    <w:rsid w:val="00CD5F20"/>
    <w:rsid w:val="00CD6021"/>
    <w:rsid w:val="00CD60C5"/>
    <w:rsid w:val="00CD686E"/>
    <w:rsid w:val="00CD747E"/>
    <w:rsid w:val="00CD787E"/>
    <w:rsid w:val="00CD7A05"/>
    <w:rsid w:val="00CE01AD"/>
    <w:rsid w:val="00CE0598"/>
    <w:rsid w:val="00CE080F"/>
    <w:rsid w:val="00CE081C"/>
    <w:rsid w:val="00CE08CD"/>
    <w:rsid w:val="00CE1A2C"/>
    <w:rsid w:val="00CE1B09"/>
    <w:rsid w:val="00CE2276"/>
    <w:rsid w:val="00CE2565"/>
    <w:rsid w:val="00CE2A2A"/>
    <w:rsid w:val="00CE2F0F"/>
    <w:rsid w:val="00CE301B"/>
    <w:rsid w:val="00CE3898"/>
    <w:rsid w:val="00CE3DE5"/>
    <w:rsid w:val="00CE3F2A"/>
    <w:rsid w:val="00CE41B2"/>
    <w:rsid w:val="00CE45D8"/>
    <w:rsid w:val="00CE56A5"/>
    <w:rsid w:val="00CE596A"/>
    <w:rsid w:val="00CE5B67"/>
    <w:rsid w:val="00CE5D4B"/>
    <w:rsid w:val="00CE5E96"/>
    <w:rsid w:val="00CE6515"/>
    <w:rsid w:val="00CE66A7"/>
    <w:rsid w:val="00CE66BF"/>
    <w:rsid w:val="00CE673D"/>
    <w:rsid w:val="00CE7068"/>
    <w:rsid w:val="00CE72E2"/>
    <w:rsid w:val="00CE77C7"/>
    <w:rsid w:val="00CE7ED2"/>
    <w:rsid w:val="00CF024C"/>
    <w:rsid w:val="00CF0317"/>
    <w:rsid w:val="00CF03A5"/>
    <w:rsid w:val="00CF04AB"/>
    <w:rsid w:val="00CF081F"/>
    <w:rsid w:val="00CF0E0A"/>
    <w:rsid w:val="00CF16CC"/>
    <w:rsid w:val="00CF19B8"/>
    <w:rsid w:val="00CF1B7E"/>
    <w:rsid w:val="00CF1F93"/>
    <w:rsid w:val="00CF202B"/>
    <w:rsid w:val="00CF236F"/>
    <w:rsid w:val="00CF2389"/>
    <w:rsid w:val="00CF23CA"/>
    <w:rsid w:val="00CF248F"/>
    <w:rsid w:val="00CF267E"/>
    <w:rsid w:val="00CF2A2A"/>
    <w:rsid w:val="00CF2AD6"/>
    <w:rsid w:val="00CF2C74"/>
    <w:rsid w:val="00CF3366"/>
    <w:rsid w:val="00CF3719"/>
    <w:rsid w:val="00CF39C3"/>
    <w:rsid w:val="00CF3E91"/>
    <w:rsid w:val="00CF454B"/>
    <w:rsid w:val="00CF53E8"/>
    <w:rsid w:val="00CF58EA"/>
    <w:rsid w:val="00CF6065"/>
    <w:rsid w:val="00CF66B6"/>
    <w:rsid w:val="00CF6D69"/>
    <w:rsid w:val="00CF73C8"/>
    <w:rsid w:val="00CF74C9"/>
    <w:rsid w:val="00CF75AF"/>
    <w:rsid w:val="00CF7621"/>
    <w:rsid w:val="00D00109"/>
    <w:rsid w:val="00D0026D"/>
    <w:rsid w:val="00D00509"/>
    <w:rsid w:val="00D00BDE"/>
    <w:rsid w:val="00D016EC"/>
    <w:rsid w:val="00D01707"/>
    <w:rsid w:val="00D019FB"/>
    <w:rsid w:val="00D02126"/>
    <w:rsid w:val="00D021B6"/>
    <w:rsid w:val="00D027A6"/>
    <w:rsid w:val="00D02B6E"/>
    <w:rsid w:val="00D02CB9"/>
    <w:rsid w:val="00D02F57"/>
    <w:rsid w:val="00D03121"/>
    <w:rsid w:val="00D034F9"/>
    <w:rsid w:val="00D0368C"/>
    <w:rsid w:val="00D037B6"/>
    <w:rsid w:val="00D03B8F"/>
    <w:rsid w:val="00D03CE2"/>
    <w:rsid w:val="00D03E1C"/>
    <w:rsid w:val="00D03EA5"/>
    <w:rsid w:val="00D0522A"/>
    <w:rsid w:val="00D0559B"/>
    <w:rsid w:val="00D058AF"/>
    <w:rsid w:val="00D062B9"/>
    <w:rsid w:val="00D0669F"/>
    <w:rsid w:val="00D066F9"/>
    <w:rsid w:val="00D06733"/>
    <w:rsid w:val="00D06999"/>
    <w:rsid w:val="00D06E19"/>
    <w:rsid w:val="00D06E70"/>
    <w:rsid w:val="00D07313"/>
    <w:rsid w:val="00D07450"/>
    <w:rsid w:val="00D07539"/>
    <w:rsid w:val="00D07C8C"/>
    <w:rsid w:val="00D101C4"/>
    <w:rsid w:val="00D10912"/>
    <w:rsid w:val="00D109EF"/>
    <w:rsid w:val="00D10B55"/>
    <w:rsid w:val="00D10C04"/>
    <w:rsid w:val="00D10F44"/>
    <w:rsid w:val="00D11076"/>
    <w:rsid w:val="00D1154B"/>
    <w:rsid w:val="00D116D8"/>
    <w:rsid w:val="00D11944"/>
    <w:rsid w:val="00D11E77"/>
    <w:rsid w:val="00D1227E"/>
    <w:rsid w:val="00D12716"/>
    <w:rsid w:val="00D12D1E"/>
    <w:rsid w:val="00D130C2"/>
    <w:rsid w:val="00D132CC"/>
    <w:rsid w:val="00D13306"/>
    <w:rsid w:val="00D1372D"/>
    <w:rsid w:val="00D13BD7"/>
    <w:rsid w:val="00D13D4F"/>
    <w:rsid w:val="00D13DEA"/>
    <w:rsid w:val="00D14028"/>
    <w:rsid w:val="00D145F3"/>
    <w:rsid w:val="00D14ACA"/>
    <w:rsid w:val="00D14FA8"/>
    <w:rsid w:val="00D15EBF"/>
    <w:rsid w:val="00D15F5A"/>
    <w:rsid w:val="00D1643C"/>
    <w:rsid w:val="00D16737"/>
    <w:rsid w:val="00D16A31"/>
    <w:rsid w:val="00D1736E"/>
    <w:rsid w:val="00D20004"/>
    <w:rsid w:val="00D201A9"/>
    <w:rsid w:val="00D209CD"/>
    <w:rsid w:val="00D20B8C"/>
    <w:rsid w:val="00D2133C"/>
    <w:rsid w:val="00D2142E"/>
    <w:rsid w:val="00D2160B"/>
    <w:rsid w:val="00D21739"/>
    <w:rsid w:val="00D218E0"/>
    <w:rsid w:val="00D21FE6"/>
    <w:rsid w:val="00D22340"/>
    <w:rsid w:val="00D22861"/>
    <w:rsid w:val="00D22D6B"/>
    <w:rsid w:val="00D23281"/>
    <w:rsid w:val="00D23F8D"/>
    <w:rsid w:val="00D24063"/>
    <w:rsid w:val="00D24080"/>
    <w:rsid w:val="00D24476"/>
    <w:rsid w:val="00D2469F"/>
    <w:rsid w:val="00D2482A"/>
    <w:rsid w:val="00D24BC3"/>
    <w:rsid w:val="00D24BCA"/>
    <w:rsid w:val="00D25137"/>
    <w:rsid w:val="00D2524C"/>
    <w:rsid w:val="00D25620"/>
    <w:rsid w:val="00D26EAF"/>
    <w:rsid w:val="00D27769"/>
    <w:rsid w:val="00D279C7"/>
    <w:rsid w:val="00D3011B"/>
    <w:rsid w:val="00D308CF"/>
    <w:rsid w:val="00D30BA0"/>
    <w:rsid w:val="00D30C88"/>
    <w:rsid w:val="00D316AD"/>
    <w:rsid w:val="00D31842"/>
    <w:rsid w:val="00D31983"/>
    <w:rsid w:val="00D32308"/>
    <w:rsid w:val="00D3264D"/>
    <w:rsid w:val="00D32791"/>
    <w:rsid w:val="00D3289E"/>
    <w:rsid w:val="00D32A34"/>
    <w:rsid w:val="00D32B50"/>
    <w:rsid w:val="00D32D97"/>
    <w:rsid w:val="00D32EC1"/>
    <w:rsid w:val="00D330A6"/>
    <w:rsid w:val="00D332A1"/>
    <w:rsid w:val="00D3359F"/>
    <w:rsid w:val="00D339AB"/>
    <w:rsid w:val="00D33B86"/>
    <w:rsid w:val="00D34048"/>
    <w:rsid w:val="00D341CB"/>
    <w:rsid w:val="00D3428C"/>
    <w:rsid w:val="00D34647"/>
    <w:rsid w:val="00D34A29"/>
    <w:rsid w:val="00D34CA3"/>
    <w:rsid w:val="00D3540E"/>
    <w:rsid w:val="00D356D2"/>
    <w:rsid w:val="00D362BE"/>
    <w:rsid w:val="00D36463"/>
    <w:rsid w:val="00D405B1"/>
    <w:rsid w:val="00D40622"/>
    <w:rsid w:val="00D408C0"/>
    <w:rsid w:val="00D41703"/>
    <w:rsid w:val="00D41C4B"/>
    <w:rsid w:val="00D42412"/>
    <w:rsid w:val="00D42CC9"/>
    <w:rsid w:val="00D42D55"/>
    <w:rsid w:val="00D42DE2"/>
    <w:rsid w:val="00D4302A"/>
    <w:rsid w:val="00D43151"/>
    <w:rsid w:val="00D43D92"/>
    <w:rsid w:val="00D4404F"/>
    <w:rsid w:val="00D44128"/>
    <w:rsid w:val="00D4414F"/>
    <w:rsid w:val="00D44F66"/>
    <w:rsid w:val="00D45096"/>
    <w:rsid w:val="00D453EC"/>
    <w:rsid w:val="00D454ED"/>
    <w:rsid w:val="00D45AB7"/>
    <w:rsid w:val="00D45AC3"/>
    <w:rsid w:val="00D45D20"/>
    <w:rsid w:val="00D45FFF"/>
    <w:rsid w:val="00D46605"/>
    <w:rsid w:val="00D468B9"/>
    <w:rsid w:val="00D468D5"/>
    <w:rsid w:val="00D46C46"/>
    <w:rsid w:val="00D474A8"/>
    <w:rsid w:val="00D47BF0"/>
    <w:rsid w:val="00D5009A"/>
    <w:rsid w:val="00D50795"/>
    <w:rsid w:val="00D5094F"/>
    <w:rsid w:val="00D50ADD"/>
    <w:rsid w:val="00D50C1C"/>
    <w:rsid w:val="00D50E7B"/>
    <w:rsid w:val="00D50FA6"/>
    <w:rsid w:val="00D5135C"/>
    <w:rsid w:val="00D51821"/>
    <w:rsid w:val="00D51B45"/>
    <w:rsid w:val="00D51CB4"/>
    <w:rsid w:val="00D51D96"/>
    <w:rsid w:val="00D52099"/>
    <w:rsid w:val="00D520F5"/>
    <w:rsid w:val="00D522D3"/>
    <w:rsid w:val="00D52328"/>
    <w:rsid w:val="00D52406"/>
    <w:rsid w:val="00D52817"/>
    <w:rsid w:val="00D52960"/>
    <w:rsid w:val="00D52B62"/>
    <w:rsid w:val="00D52D03"/>
    <w:rsid w:val="00D5377D"/>
    <w:rsid w:val="00D539CF"/>
    <w:rsid w:val="00D53A3A"/>
    <w:rsid w:val="00D53AEF"/>
    <w:rsid w:val="00D542C0"/>
    <w:rsid w:val="00D542F1"/>
    <w:rsid w:val="00D54339"/>
    <w:rsid w:val="00D546C5"/>
    <w:rsid w:val="00D54944"/>
    <w:rsid w:val="00D54CA2"/>
    <w:rsid w:val="00D54E91"/>
    <w:rsid w:val="00D54EB0"/>
    <w:rsid w:val="00D55032"/>
    <w:rsid w:val="00D550E0"/>
    <w:rsid w:val="00D5554E"/>
    <w:rsid w:val="00D55B0F"/>
    <w:rsid w:val="00D55BBD"/>
    <w:rsid w:val="00D55CEC"/>
    <w:rsid w:val="00D57D09"/>
    <w:rsid w:val="00D60266"/>
    <w:rsid w:val="00D603D9"/>
    <w:rsid w:val="00D6084B"/>
    <w:rsid w:val="00D608DD"/>
    <w:rsid w:val="00D60D06"/>
    <w:rsid w:val="00D60D68"/>
    <w:rsid w:val="00D60E0D"/>
    <w:rsid w:val="00D612BD"/>
    <w:rsid w:val="00D61342"/>
    <w:rsid w:val="00D6186A"/>
    <w:rsid w:val="00D61D9D"/>
    <w:rsid w:val="00D61DAD"/>
    <w:rsid w:val="00D621FF"/>
    <w:rsid w:val="00D632A1"/>
    <w:rsid w:val="00D63492"/>
    <w:rsid w:val="00D63D30"/>
    <w:rsid w:val="00D643E8"/>
    <w:rsid w:val="00D647D1"/>
    <w:rsid w:val="00D64AD9"/>
    <w:rsid w:val="00D6506B"/>
    <w:rsid w:val="00D653D4"/>
    <w:rsid w:val="00D65EA6"/>
    <w:rsid w:val="00D65FF0"/>
    <w:rsid w:val="00D6661C"/>
    <w:rsid w:val="00D6673A"/>
    <w:rsid w:val="00D66982"/>
    <w:rsid w:val="00D66BD1"/>
    <w:rsid w:val="00D66CF2"/>
    <w:rsid w:val="00D66E10"/>
    <w:rsid w:val="00D66F40"/>
    <w:rsid w:val="00D670C9"/>
    <w:rsid w:val="00D6720F"/>
    <w:rsid w:val="00D6745D"/>
    <w:rsid w:val="00D674B7"/>
    <w:rsid w:val="00D677A1"/>
    <w:rsid w:val="00D7014F"/>
    <w:rsid w:val="00D704EA"/>
    <w:rsid w:val="00D7087A"/>
    <w:rsid w:val="00D708A7"/>
    <w:rsid w:val="00D70FBA"/>
    <w:rsid w:val="00D711A0"/>
    <w:rsid w:val="00D72133"/>
    <w:rsid w:val="00D7237E"/>
    <w:rsid w:val="00D723DB"/>
    <w:rsid w:val="00D72792"/>
    <w:rsid w:val="00D72D49"/>
    <w:rsid w:val="00D72F78"/>
    <w:rsid w:val="00D731CF"/>
    <w:rsid w:val="00D73261"/>
    <w:rsid w:val="00D73B8A"/>
    <w:rsid w:val="00D73C5E"/>
    <w:rsid w:val="00D73FD0"/>
    <w:rsid w:val="00D741C1"/>
    <w:rsid w:val="00D74293"/>
    <w:rsid w:val="00D742FE"/>
    <w:rsid w:val="00D746EB"/>
    <w:rsid w:val="00D74BF0"/>
    <w:rsid w:val="00D75202"/>
    <w:rsid w:val="00D757E8"/>
    <w:rsid w:val="00D75CF9"/>
    <w:rsid w:val="00D75D25"/>
    <w:rsid w:val="00D75E41"/>
    <w:rsid w:val="00D763EC"/>
    <w:rsid w:val="00D765AA"/>
    <w:rsid w:val="00D76840"/>
    <w:rsid w:val="00D76886"/>
    <w:rsid w:val="00D76AAB"/>
    <w:rsid w:val="00D76C07"/>
    <w:rsid w:val="00D77131"/>
    <w:rsid w:val="00D7774C"/>
    <w:rsid w:val="00D77AB8"/>
    <w:rsid w:val="00D77B86"/>
    <w:rsid w:val="00D80215"/>
    <w:rsid w:val="00D80240"/>
    <w:rsid w:val="00D811AD"/>
    <w:rsid w:val="00D812C6"/>
    <w:rsid w:val="00D818EA"/>
    <w:rsid w:val="00D81C03"/>
    <w:rsid w:val="00D81EE9"/>
    <w:rsid w:val="00D81FBF"/>
    <w:rsid w:val="00D820CC"/>
    <w:rsid w:val="00D82277"/>
    <w:rsid w:val="00D82857"/>
    <w:rsid w:val="00D829D0"/>
    <w:rsid w:val="00D82B7E"/>
    <w:rsid w:val="00D82DE3"/>
    <w:rsid w:val="00D83109"/>
    <w:rsid w:val="00D8365C"/>
    <w:rsid w:val="00D83ADF"/>
    <w:rsid w:val="00D83B13"/>
    <w:rsid w:val="00D83C6A"/>
    <w:rsid w:val="00D83E4F"/>
    <w:rsid w:val="00D84A41"/>
    <w:rsid w:val="00D84E13"/>
    <w:rsid w:val="00D85222"/>
    <w:rsid w:val="00D852F5"/>
    <w:rsid w:val="00D8540C"/>
    <w:rsid w:val="00D8588A"/>
    <w:rsid w:val="00D85D10"/>
    <w:rsid w:val="00D85E2E"/>
    <w:rsid w:val="00D86338"/>
    <w:rsid w:val="00D86C1C"/>
    <w:rsid w:val="00D871EC"/>
    <w:rsid w:val="00D900A8"/>
    <w:rsid w:val="00D9037F"/>
    <w:rsid w:val="00D90485"/>
    <w:rsid w:val="00D9056C"/>
    <w:rsid w:val="00D90A5A"/>
    <w:rsid w:val="00D90F8A"/>
    <w:rsid w:val="00D91158"/>
    <w:rsid w:val="00D91529"/>
    <w:rsid w:val="00D918BC"/>
    <w:rsid w:val="00D91AA3"/>
    <w:rsid w:val="00D91E9B"/>
    <w:rsid w:val="00D91EE1"/>
    <w:rsid w:val="00D92370"/>
    <w:rsid w:val="00D928C5"/>
    <w:rsid w:val="00D92EB3"/>
    <w:rsid w:val="00D931D8"/>
    <w:rsid w:val="00D93851"/>
    <w:rsid w:val="00D93AA2"/>
    <w:rsid w:val="00D93F12"/>
    <w:rsid w:val="00D941E3"/>
    <w:rsid w:val="00D94374"/>
    <w:rsid w:val="00D94DE5"/>
    <w:rsid w:val="00D952F5"/>
    <w:rsid w:val="00D9536D"/>
    <w:rsid w:val="00D953A9"/>
    <w:rsid w:val="00D959CB"/>
    <w:rsid w:val="00D95D3E"/>
    <w:rsid w:val="00D95E8F"/>
    <w:rsid w:val="00D95FCF"/>
    <w:rsid w:val="00D96050"/>
    <w:rsid w:val="00D960A9"/>
    <w:rsid w:val="00D964CC"/>
    <w:rsid w:val="00D966E4"/>
    <w:rsid w:val="00D96821"/>
    <w:rsid w:val="00D96ED1"/>
    <w:rsid w:val="00D96FED"/>
    <w:rsid w:val="00D974EE"/>
    <w:rsid w:val="00D9756F"/>
    <w:rsid w:val="00D97C7A"/>
    <w:rsid w:val="00DA01F6"/>
    <w:rsid w:val="00DA04B2"/>
    <w:rsid w:val="00DA08D1"/>
    <w:rsid w:val="00DA0AA1"/>
    <w:rsid w:val="00DA0B5D"/>
    <w:rsid w:val="00DA0F67"/>
    <w:rsid w:val="00DA1072"/>
    <w:rsid w:val="00DA10CF"/>
    <w:rsid w:val="00DA1106"/>
    <w:rsid w:val="00DA1208"/>
    <w:rsid w:val="00DA12A8"/>
    <w:rsid w:val="00DA1725"/>
    <w:rsid w:val="00DA17F6"/>
    <w:rsid w:val="00DA1DB0"/>
    <w:rsid w:val="00DA2A95"/>
    <w:rsid w:val="00DA2B31"/>
    <w:rsid w:val="00DA30FE"/>
    <w:rsid w:val="00DA3637"/>
    <w:rsid w:val="00DA39A9"/>
    <w:rsid w:val="00DA3F7C"/>
    <w:rsid w:val="00DA499E"/>
    <w:rsid w:val="00DA4FEA"/>
    <w:rsid w:val="00DA5685"/>
    <w:rsid w:val="00DA63AD"/>
    <w:rsid w:val="00DA63EB"/>
    <w:rsid w:val="00DA6506"/>
    <w:rsid w:val="00DA67AD"/>
    <w:rsid w:val="00DA68B3"/>
    <w:rsid w:val="00DA6FF7"/>
    <w:rsid w:val="00DA719D"/>
    <w:rsid w:val="00DA7528"/>
    <w:rsid w:val="00DA75A9"/>
    <w:rsid w:val="00DB07D3"/>
    <w:rsid w:val="00DB07DA"/>
    <w:rsid w:val="00DB095D"/>
    <w:rsid w:val="00DB09C0"/>
    <w:rsid w:val="00DB0A86"/>
    <w:rsid w:val="00DB0AF0"/>
    <w:rsid w:val="00DB12A5"/>
    <w:rsid w:val="00DB14B6"/>
    <w:rsid w:val="00DB1605"/>
    <w:rsid w:val="00DB1719"/>
    <w:rsid w:val="00DB19A0"/>
    <w:rsid w:val="00DB19DB"/>
    <w:rsid w:val="00DB19E5"/>
    <w:rsid w:val="00DB1A10"/>
    <w:rsid w:val="00DB1DB4"/>
    <w:rsid w:val="00DB238B"/>
    <w:rsid w:val="00DB2467"/>
    <w:rsid w:val="00DB28BC"/>
    <w:rsid w:val="00DB2A3C"/>
    <w:rsid w:val="00DB2DD2"/>
    <w:rsid w:val="00DB33D2"/>
    <w:rsid w:val="00DB37DB"/>
    <w:rsid w:val="00DB3872"/>
    <w:rsid w:val="00DB3BA1"/>
    <w:rsid w:val="00DB49B5"/>
    <w:rsid w:val="00DB4B11"/>
    <w:rsid w:val="00DB4BA3"/>
    <w:rsid w:val="00DB4F26"/>
    <w:rsid w:val="00DB579C"/>
    <w:rsid w:val="00DB58BA"/>
    <w:rsid w:val="00DB5BA6"/>
    <w:rsid w:val="00DB5EEA"/>
    <w:rsid w:val="00DB65FB"/>
    <w:rsid w:val="00DB694C"/>
    <w:rsid w:val="00DB69E4"/>
    <w:rsid w:val="00DB6A73"/>
    <w:rsid w:val="00DB7088"/>
    <w:rsid w:val="00DB76BB"/>
    <w:rsid w:val="00DB7748"/>
    <w:rsid w:val="00DC0DB9"/>
    <w:rsid w:val="00DC16A1"/>
    <w:rsid w:val="00DC16DE"/>
    <w:rsid w:val="00DC1892"/>
    <w:rsid w:val="00DC1BA2"/>
    <w:rsid w:val="00DC2088"/>
    <w:rsid w:val="00DC27DC"/>
    <w:rsid w:val="00DC2CC8"/>
    <w:rsid w:val="00DC33B9"/>
    <w:rsid w:val="00DC34F9"/>
    <w:rsid w:val="00DC3A4E"/>
    <w:rsid w:val="00DC3C29"/>
    <w:rsid w:val="00DC3EAB"/>
    <w:rsid w:val="00DC403C"/>
    <w:rsid w:val="00DC4054"/>
    <w:rsid w:val="00DC4336"/>
    <w:rsid w:val="00DC4866"/>
    <w:rsid w:val="00DC4AC4"/>
    <w:rsid w:val="00DC4ADC"/>
    <w:rsid w:val="00DC4E60"/>
    <w:rsid w:val="00DC518C"/>
    <w:rsid w:val="00DC5586"/>
    <w:rsid w:val="00DC567E"/>
    <w:rsid w:val="00DC57FE"/>
    <w:rsid w:val="00DC5D93"/>
    <w:rsid w:val="00DC5F2E"/>
    <w:rsid w:val="00DC6109"/>
    <w:rsid w:val="00DC6969"/>
    <w:rsid w:val="00DC6BC3"/>
    <w:rsid w:val="00DC6FDD"/>
    <w:rsid w:val="00DC724F"/>
    <w:rsid w:val="00DC7511"/>
    <w:rsid w:val="00DC7B02"/>
    <w:rsid w:val="00DC7B7F"/>
    <w:rsid w:val="00DC7CD1"/>
    <w:rsid w:val="00DD003A"/>
    <w:rsid w:val="00DD0089"/>
    <w:rsid w:val="00DD0535"/>
    <w:rsid w:val="00DD0793"/>
    <w:rsid w:val="00DD127A"/>
    <w:rsid w:val="00DD129E"/>
    <w:rsid w:val="00DD1355"/>
    <w:rsid w:val="00DD1E3C"/>
    <w:rsid w:val="00DD1E8D"/>
    <w:rsid w:val="00DD2409"/>
    <w:rsid w:val="00DD285A"/>
    <w:rsid w:val="00DD31A8"/>
    <w:rsid w:val="00DD343A"/>
    <w:rsid w:val="00DD3A26"/>
    <w:rsid w:val="00DD3D04"/>
    <w:rsid w:val="00DD4074"/>
    <w:rsid w:val="00DD463A"/>
    <w:rsid w:val="00DD4F2E"/>
    <w:rsid w:val="00DD518A"/>
    <w:rsid w:val="00DD5215"/>
    <w:rsid w:val="00DD52BF"/>
    <w:rsid w:val="00DD5897"/>
    <w:rsid w:val="00DD5B18"/>
    <w:rsid w:val="00DD5BD4"/>
    <w:rsid w:val="00DD616F"/>
    <w:rsid w:val="00DD623D"/>
    <w:rsid w:val="00DD6275"/>
    <w:rsid w:val="00DD62C9"/>
    <w:rsid w:val="00DD62D4"/>
    <w:rsid w:val="00DD6892"/>
    <w:rsid w:val="00DD6CE2"/>
    <w:rsid w:val="00DD7337"/>
    <w:rsid w:val="00DD7573"/>
    <w:rsid w:val="00DD7745"/>
    <w:rsid w:val="00DD79F4"/>
    <w:rsid w:val="00DD7AD0"/>
    <w:rsid w:val="00DE0B4C"/>
    <w:rsid w:val="00DE0B75"/>
    <w:rsid w:val="00DE0E6B"/>
    <w:rsid w:val="00DE0F02"/>
    <w:rsid w:val="00DE0FC0"/>
    <w:rsid w:val="00DE1057"/>
    <w:rsid w:val="00DE10BA"/>
    <w:rsid w:val="00DE118C"/>
    <w:rsid w:val="00DE147A"/>
    <w:rsid w:val="00DE1DA7"/>
    <w:rsid w:val="00DE200C"/>
    <w:rsid w:val="00DE2103"/>
    <w:rsid w:val="00DE2877"/>
    <w:rsid w:val="00DE2D36"/>
    <w:rsid w:val="00DE3193"/>
    <w:rsid w:val="00DE3666"/>
    <w:rsid w:val="00DE3866"/>
    <w:rsid w:val="00DE3A76"/>
    <w:rsid w:val="00DE4D19"/>
    <w:rsid w:val="00DE55D1"/>
    <w:rsid w:val="00DE619B"/>
    <w:rsid w:val="00DE6403"/>
    <w:rsid w:val="00DE6713"/>
    <w:rsid w:val="00DE695E"/>
    <w:rsid w:val="00DE6BFB"/>
    <w:rsid w:val="00DE6C47"/>
    <w:rsid w:val="00DE7164"/>
    <w:rsid w:val="00DE746A"/>
    <w:rsid w:val="00DE7678"/>
    <w:rsid w:val="00DE76EE"/>
    <w:rsid w:val="00DE7D92"/>
    <w:rsid w:val="00DF01C3"/>
    <w:rsid w:val="00DF0778"/>
    <w:rsid w:val="00DF0BA5"/>
    <w:rsid w:val="00DF0DB1"/>
    <w:rsid w:val="00DF0FF7"/>
    <w:rsid w:val="00DF114E"/>
    <w:rsid w:val="00DF1745"/>
    <w:rsid w:val="00DF1753"/>
    <w:rsid w:val="00DF1835"/>
    <w:rsid w:val="00DF18B2"/>
    <w:rsid w:val="00DF1BD3"/>
    <w:rsid w:val="00DF2108"/>
    <w:rsid w:val="00DF3462"/>
    <w:rsid w:val="00DF3561"/>
    <w:rsid w:val="00DF37AC"/>
    <w:rsid w:val="00DF3BEE"/>
    <w:rsid w:val="00DF3D41"/>
    <w:rsid w:val="00DF4005"/>
    <w:rsid w:val="00DF4197"/>
    <w:rsid w:val="00DF42B4"/>
    <w:rsid w:val="00DF48CB"/>
    <w:rsid w:val="00DF498C"/>
    <w:rsid w:val="00DF4AAD"/>
    <w:rsid w:val="00DF4E21"/>
    <w:rsid w:val="00DF5013"/>
    <w:rsid w:val="00DF55EB"/>
    <w:rsid w:val="00DF561D"/>
    <w:rsid w:val="00DF563B"/>
    <w:rsid w:val="00DF573D"/>
    <w:rsid w:val="00DF5AA0"/>
    <w:rsid w:val="00DF6052"/>
    <w:rsid w:val="00DF64D5"/>
    <w:rsid w:val="00DF6C7C"/>
    <w:rsid w:val="00DF7479"/>
    <w:rsid w:val="00DF76F9"/>
    <w:rsid w:val="00DF7A92"/>
    <w:rsid w:val="00DF7C7C"/>
    <w:rsid w:val="00DF7DA1"/>
    <w:rsid w:val="00DF7DBB"/>
    <w:rsid w:val="00E003E4"/>
    <w:rsid w:val="00E0078B"/>
    <w:rsid w:val="00E00A0B"/>
    <w:rsid w:val="00E00B11"/>
    <w:rsid w:val="00E00B7F"/>
    <w:rsid w:val="00E00BE9"/>
    <w:rsid w:val="00E00CA7"/>
    <w:rsid w:val="00E01162"/>
    <w:rsid w:val="00E02078"/>
    <w:rsid w:val="00E023DB"/>
    <w:rsid w:val="00E02463"/>
    <w:rsid w:val="00E02A88"/>
    <w:rsid w:val="00E02C36"/>
    <w:rsid w:val="00E02DD8"/>
    <w:rsid w:val="00E02FB9"/>
    <w:rsid w:val="00E03050"/>
    <w:rsid w:val="00E03BD3"/>
    <w:rsid w:val="00E03C0E"/>
    <w:rsid w:val="00E03CE7"/>
    <w:rsid w:val="00E04961"/>
    <w:rsid w:val="00E04ADC"/>
    <w:rsid w:val="00E0557C"/>
    <w:rsid w:val="00E0618F"/>
    <w:rsid w:val="00E06806"/>
    <w:rsid w:val="00E0749A"/>
    <w:rsid w:val="00E07712"/>
    <w:rsid w:val="00E0773B"/>
    <w:rsid w:val="00E07A0B"/>
    <w:rsid w:val="00E07C06"/>
    <w:rsid w:val="00E07EB5"/>
    <w:rsid w:val="00E10477"/>
    <w:rsid w:val="00E10CB3"/>
    <w:rsid w:val="00E10D14"/>
    <w:rsid w:val="00E110B3"/>
    <w:rsid w:val="00E110D9"/>
    <w:rsid w:val="00E1133A"/>
    <w:rsid w:val="00E11511"/>
    <w:rsid w:val="00E11838"/>
    <w:rsid w:val="00E11D6A"/>
    <w:rsid w:val="00E12043"/>
    <w:rsid w:val="00E12123"/>
    <w:rsid w:val="00E12448"/>
    <w:rsid w:val="00E12464"/>
    <w:rsid w:val="00E1248C"/>
    <w:rsid w:val="00E124DD"/>
    <w:rsid w:val="00E12536"/>
    <w:rsid w:val="00E12F4C"/>
    <w:rsid w:val="00E136ED"/>
    <w:rsid w:val="00E139D9"/>
    <w:rsid w:val="00E13B19"/>
    <w:rsid w:val="00E145BF"/>
    <w:rsid w:val="00E1483F"/>
    <w:rsid w:val="00E14C4E"/>
    <w:rsid w:val="00E151D2"/>
    <w:rsid w:val="00E15D8D"/>
    <w:rsid w:val="00E15FC5"/>
    <w:rsid w:val="00E1616C"/>
    <w:rsid w:val="00E162E7"/>
    <w:rsid w:val="00E164B7"/>
    <w:rsid w:val="00E16783"/>
    <w:rsid w:val="00E16C8A"/>
    <w:rsid w:val="00E179A9"/>
    <w:rsid w:val="00E20475"/>
    <w:rsid w:val="00E205B8"/>
    <w:rsid w:val="00E20655"/>
    <w:rsid w:val="00E20970"/>
    <w:rsid w:val="00E20B8E"/>
    <w:rsid w:val="00E20E32"/>
    <w:rsid w:val="00E210F5"/>
    <w:rsid w:val="00E2117E"/>
    <w:rsid w:val="00E2145B"/>
    <w:rsid w:val="00E2150E"/>
    <w:rsid w:val="00E21591"/>
    <w:rsid w:val="00E215A4"/>
    <w:rsid w:val="00E2182C"/>
    <w:rsid w:val="00E21C26"/>
    <w:rsid w:val="00E21DCD"/>
    <w:rsid w:val="00E21EB4"/>
    <w:rsid w:val="00E226EC"/>
    <w:rsid w:val="00E2274F"/>
    <w:rsid w:val="00E22867"/>
    <w:rsid w:val="00E22E56"/>
    <w:rsid w:val="00E2302B"/>
    <w:rsid w:val="00E2311A"/>
    <w:rsid w:val="00E23202"/>
    <w:rsid w:val="00E23422"/>
    <w:rsid w:val="00E23531"/>
    <w:rsid w:val="00E23DE7"/>
    <w:rsid w:val="00E23EB9"/>
    <w:rsid w:val="00E23FB4"/>
    <w:rsid w:val="00E2441A"/>
    <w:rsid w:val="00E244C8"/>
    <w:rsid w:val="00E246C8"/>
    <w:rsid w:val="00E24EB5"/>
    <w:rsid w:val="00E25178"/>
    <w:rsid w:val="00E2521D"/>
    <w:rsid w:val="00E254A8"/>
    <w:rsid w:val="00E254AB"/>
    <w:rsid w:val="00E256D0"/>
    <w:rsid w:val="00E25953"/>
    <w:rsid w:val="00E25CC9"/>
    <w:rsid w:val="00E260A7"/>
    <w:rsid w:val="00E26247"/>
    <w:rsid w:val="00E2661C"/>
    <w:rsid w:val="00E26BA6"/>
    <w:rsid w:val="00E271E8"/>
    <w:rsid w:val="00E27243"/>
    <w:rsid w:val="00E2786B"/>
    <w:rsid w:val="00E279E1"/>
    <w:rsid w:val="00E27AA7"/>
    <w:rsid w:val="00E3015F"/>
    <w:rsid w:val="00E30B7D"/>
    <w:rsid w:val="00E30CCD"/>
    <w:rsid w:val="00E30D11"/>
    <w:rsid w:val="00E311D5"/>
    <w:rsid w:val="00E3134A"/>
    <w:rsid w:val="00E315BA"/>
    <w:rsid w:val="00E31850"/>
    <w:rsid w:val="00E31993"/>
    <w:rsid w:val="00E319CC"/>
    <w:rsid w:val="00E31AB5"/>
    <w:rsid w:val="00E31B7F"/>
    <w:rsid w:val="00E31D55"/>
    <w:rsid w:val="00E31DF7"/>
    <w:rsid w:val="00E3209F"/>
    <w:rsid w:val="00E32360"/>
    <w:rsid w:val="00E32465"/>
    <w:rsid w:val="00E32674"/>
    <w:rsid w:val="00E327E2"/>
    <w:rsid w:val="00E32BAB"/>
    <w:rsid w:val="00E32D0B"/>
    <w:rsid w:val="00E32E72"/>
    <w:rsid w:val="00E32EDE"/>
    <w:rsid w:val="00E32F6D"/>
    <w:rsid w:val="00E33087"/>
    <w:rsid w:val="00E333AC"/>
    <w:rsid w:val="00E334A5"/>
    <w:rsid w:val="00E3388B"/>
    <w:rsid w:val="00E33F23"/>
    <w:rsid w:val="00E3461E"/>
    <w:rsid w:val="00E348BC"/>
    <w:rsid w:val="00E348D8"/>
    <w:rsid w:val="00E34A51"/>
    <w:rsid w:val="00E34B30"/>
    <w:rsid w:val="00E35235"/>
    <w:rsid w:val="00E35AF5"/>
    <w:rsid w:val="00E364DA"/>
    <w:rsid w:val="00E36872"/>
    <w:rsid w:val="00E37942"/>
    <w:rsid w:val="00E37BFE"/>
    <w:rsid w:val="00E4042F"/>
    <w:rsid w:val="00E40AAF"/>
    <w:rsid w:val="00E40DAD"/>
    <w:rsid w:val="00E41787"/>
    <w:rsid w:val="00E41A14"/>
    <w:rsid w:val="00E41CB3"/>
    <w:rsid w:val="00E42F4C"/>
    <w:rsid w:val="00E43753"/>
    <w:rsid w:val="00E44122"/>
    <w:rsid w:val="00E4420B"/>
    <w:rsid w:val="00E45BB5"/>
    <w:rsid w:val="00E45BCC"/>
    <w:rsid w:val="00E4608C"/>
    <w:rsid w:val="00E4693E"/>
    <w:rsid w:val="00E46DB2"/>
    <w:rsid w:val="00E470BE"/>
    <w:rsid w:val="00E47428"/>
    <w:rsid w:val="00E50327"/>
    <w:rsid w:val="00E5075E"/>
    <w:rsid w:val="00E50C80"/>
    <w:rsid w:val="00E50EC4"/>
    <w:rsid w:val="00E513FD"/>
    <w:rsid w:val="00E520BB"/>
    <w:rsid w:val="00E52207"/>
    <w:rsid w:val="00E522E5"/>
    <w:rsid w:val="00E52ECE"/>
    <w:rsid w:val="00E52F25"/>
    <w:rsid w:val="00E53468"/>
    <w:rsid w:val="00E53974"/>
    <w:rsid w:val="00E53AC1"/>
    <w:rsid w:val="00E54162"/>
    <w:rsid w:val="00E5422A"/>
    <w:rsid w:val="00E54424"/>
    <w:rsid w:val="00E54534"/>
    <w:rsid w:val="00E54725"/>
    <w:rsid w:val="00E54BDA"/>
    <w:rsid w:val="00E54D1F"/>
    <w:rsid w:val="00E550CE"/>
    <w:rsid w:val="00E55510"/>
    <w:rsid w:val="00E556C9"/>
    <w:rsid w:val="00E5587C"/>
    <w:rsid w:val="00E55F42"/>
    <w:rsid w:val="00E56A32"/>
    <w:rsid w:val="00E56B02"/>
    <w:rsid w:val="00E56B67"/>
    <w:rsid w:val="00E56EF2"/>
    <w:rsid w:val="00E57076"/>
    <w:rsid w:val="00E57198"/>
    <w:rsid w:val="00E574A1"/>
    <w:rsid w:val="00E57BEB"/>
    <w:rsid w:val="00E6012C"/>
    <w:rsid w:val="00E603F8"/>
    <w:rsid w:val="00E603FD"/>
    <w:rsid w:val="00E60940"/>
    <w:rsid w:val="00E60FE9"/>
    <w:rsid w:val="00E619DF"/>
    <w:rsid w:val="00E621DA"/>
    <w:rsid w:val="00E62701"/>
    <w:rsid w:val="00E629D5"/>
    <w:rsid w:val="00E62B60"/>
    <w:rsid w:val="00E62EDD"/>
    <w:rsid w:val="00E63080"/>
    <w:rsid w:val="00E63136"/>
    <w:rsid w:val="00E63291"/>
    <w:rsid w:val="00E63BA1"/>
    <w:rsid w:val="00E63BB0"/>
    <w:rsid w:val="00E63C1D"/>
    <w:rsid w:val="00E63F05"/>
    <w:rsid w:val="00E64997"/>
    <w:rsid w:val="00E64A8F"/>
    <w:rsid w:val="00E65851"/>
    <w:rsid w:val="00E658B9"/>
    <w:rsid w:val="00E65B5A"/>
    <w:rsid w:val="00E65EB4"/>
    <w:rsid w:val="00E65F89"/>
    <w:rsid w:val="00E661AC"/>
    <w:rsid w:val="00E666E0"/>
    <w:rsid w:val="00E66BAF"/>
    <w:rsid w:val="00E66E09"/>
    <w:rsid w:val="00E67157"/>
    <w:rsid w:val="00E673B3"/>
    <w:rsid w:val="00E67786"/>
    <w:rsid w:val="00E70576"/>
    <w:rsid w:val="00E70658"/>
    <w:rsid w:val="00E70F7D"/>
    <w:rsid w:val="00E71780"/>
    <w:rsid w:val="00E72396"/>
    <w:rsid w:val="00E72776"/>
    <w:rsid w:val="00E72F1F"/>
    <w:rsid w:val="00E72F46"/>
    <w:rsid w:val="00E72FE3"/>
    <w:rsid w:val="00E73096"/>
    <w:rsid w:val="00E73334"/>
    <w:rsid w:val="00E73482"/>
    <w:rsid w:val="00E73BF8"/>
    <w:rsid w:val="00E742F7"/>
    <w:rsid w:val="00E743C9"/>
    <w:rsid w:val="00E745DE"/>
    <w:rsid w:val="00E74CD5"/>
    <w:rsid w:val="00E74E9B"/>
    <w:rsid w:val="00E758A3"/>
    <w:rsid w:val="00E758A5"/>
    <w:rsid w:val="00E76035"/>
    <w:rsid w:val="00E7629C"/>
    <w:rsid w:val="00E76501"/>
    <w:rsid w:val="00E76783"/>
    <w:rsid w:val="00E76917"/>
    <w:rsid w:val="00E76B4F"/>
    <w:rsid w:val="00E76C6C"/>
    <w:rsid w:val="00E76E69"/>
    <w:rsid w:val="00E7709F"/>
    <w:rsid w:val="00E77195"/>
    <w:rsid w:val="00E77C88"/>
    <w:rsid w:val="00E80225"/>
    <w:rsid w:val="00E80B77"/>
    <w:rsid w:val="00E8133A"/>
    <w:rsid w:val="00E81CB7"/>
    <w:rsid w:val="00E81CE5"/>
    <w:rsid w:val="00E81DB3"/>
    <w:rsid w:val="00E81E5F"/>
    <w:rsid w:val="00E81F5E"/>
    <w:rsid w:val="00E827BB"/>
    <w:rsid w:val="00E8281A"/>
    <w:rsid w:val="00E831C5"/>
    <w:rsid w:val="00E831E1"/>
    <w:rsid w:val="00E8441C"/>
    <w:rsid w:val="00E845CF"/>
    <w:rsid w:val="00E85198"/>
    <w:rsid w:val="00E85368"/>
    <w:rsid w:val="00E85595"/>
    <w:rsid w:val="00E856F4"/>
    <w:rsid w:val="00E857F0"/>
    <w:rsid w:val="00E85881"/>
    <w:rsid w:val="00E85B0D"/>
    <w:rsid w:val="00E860FD"/>
    <w:rsid w:val="00E86218"/>
    <w:rsid w:val="00E863E8"/>
    <w:rsid w:val="00E8653E"/>
    <w:rsid w:val="00E8686B"/>
    <w:rsid w:val="00E86951"/>
    <w:rsid w:val="00E869A8"/>
    <w:rsid w:val="00E86ACA"/>
    <w:rsid w:val="00E86BA1"/>
    <w:rsid w:val="00E86D20"/>
    <w:rsid w:val="00E87261"/>
    <w:rsid w:val="00E872CF"/>
    <w:rsid w:val="00E87527"/>
    <w:rsid w:val="00E8764F"/>
    <w:rsid w:val="00E87784"/>
    <w:rsid w:val="00E8799E"/>
    <w:rsid w:val="00E87A22"/>
    <w:rsid w:val="00E87A9B"/>
    <w:rsid w:val="00E87B68"/>
    <w:rsid w:val="00E90327"/>
    <w:rsid w:val="00E90817"/>
    <w:rsid w:val="00E90D73"/>
    <w:rsid w:val="00E90F47"/>
    <w:rsid w:val="00E9119C"/>
    <w:rsid w:val="00E915F0"/>
    <w:rsid w:val="00E91B4D"/>
    <w:rsid w:val="00E91C88"/>
    <w:rsid w:val="00E92288"/>
    <w:rsid w:val="00E92296"/>
    <w:rsid w:val="00E92298"/>
    <w:rsid w:val="00E922E7"/>
    <w:rsid w:val="00E92413"/>
    <w:rsid w:val="00E928B0"/>
    <w:rsid w:val="00E92AB6"/>
    <w:rsid w:val="00E92C96"/>
    <w:rsid w:val="00E93087"/>
    <w:rsid w:val="00E93371"/>
    <w:rsid w:val="00E9357E"/>
    <w:rsid w:val="00E935AC"/>
    <w:rsid w:val="00E93633"/>
    <w:rsid w:val="00E93693"/>
    <w:rsid w:val="00E936A3"/>
    <w:rsid w:val="00E936CC"/>
    <w:rsid w:val="00E9388F"/>
    <w:rsid w:val="00E938EB"/>
    <w:rsid w:val="00E940AD"/>
    <w:rsid w:val="00E94BC2"/>
    <w:rsid w:val="00E95113"/>
    <w:rsid w:val="00E951C0"/>
    <w:rsid w:val="00E952EE"/>
    <w:rsid w:val="00E955EC"/>
    <w:rsid w:val="00E95CA9"/>
    <w:rsid w:val="00E95F31"/>
    <w:rsid w:val="00E962D1"/>
    <w:rsid w:val="00E96660"/>
    <w:rsid w:val="00E966EC"/>
    <w:rsid w:val="00E96D2B"/>
    <w:rsid w:val="00E96F09"/>
    <w:rsid w:val="00E976DB"/>
    <w:rsid w:val="00E97829"/>
    <w:rsid w:val="00E978D3"/>
    <w:rsid w:val="00EA01F0"/>
    <w:rsid w:val="00EA0458"/>
    <w:rsid w:val="00EA04BE"/>
    <w:rsid w:val="00EA0640"/>
    <w:rsid w:val="00EA0C2A"/>
    <w:rsid w:val="00EA128E"/>
    <w:rsid w:val="00EA14A5"/>
    <w:rsid w:val="00EA14FD"/>
    <w:rsid w:val="00EA1551"/>
    <w:rsid w:val="00EA1AA6"/>
    <w:rsid w:val="00EA1D20"/>
    <w:rsid w:val="00EA1FB3"/>
    <w:rsid w:val="00EA227A"/>
    <w:rsid w:val="00EA24D2"/>
    <w:rsid w:val="00EA27BA"/>
    <w:rsid w:val="00EA2AEB"/>
    <w:rsid w:val="00EA2D4C"/>
    <w:rsid w:val="00EA3005"/>
    <w:rsid w:val="00EA3112"/>
    <w:rsid w:val="00EA3384"/>
    <w:rsid w:val="00EA353B"/>
    <w:rsid w:val="00EA3794"/>
    <w:rsid w:val="00EA3CC6"/>
    <w:rsid w:val="00EA443E"/>
    <w:rsid w:val="00EA46AD"/>
    <w:rsid w:val="00EA49D6"/>
    <w:rsid w:val="00EA539C"/>
    <w:rsid w:val="00EA5830"/>
    <w:rsid w:val="00EA5893"/>
    <w:rsid w:val="00EA5A79"/>
    <w:rsid w:val="00EA66DE"/>
    <w:rsid w:val="00EA76FA"/>
    <w:rsid w:val="00EA7B9D"/>
    <w:rsid w:val="00EB0475"/>
    <w:rsid w:val="00EB0488"/>
    <w:rsid w:val="00EB048E"/>
    <w:rsid w:val="00EB07CD"/>
    <w:rsid w:val="00EB0877"/>
    <w:rsid w:val="00EB09A6"/>
    <w:rsid w:val="00EB1297"/>
    <w:rsid w:val="00EB133C"/>
    <w:rsid w:val="00EB1C5F"/>
    <w:rsid w:val="00EB1D8A"/>
    <w:rsid w:val="00EB277F"/>
    <w:rsid w:val="00EB27CC"/>
    <w:rsid w:val="00EB30B3"/>
    <w:rsid w:val="00EB32A9"/>
    <w:rsid w:val="00EB3A7D"/>
    <w:rsid w:val="00EB3EB3"/>
    <w:rsid w:val="00EB4566"/>
    <w:rsid w:val="00EB5198"/>
    <w:rsid w:val="00EB55F9"/>
    <w:rsid w:val="00EB5CFE"/>
    <w:rsid w:val="00EB5F0E"/>
    <w:rsid w:val="00EB651B"/>
    <w:rsid w:val="00EB661E"/>
    <w:rsid w:val="00EB68E0"/>
    <w:rsid w:val="00EB6924"/>
    <w:rsid w:val="00EB6AA7"/>
    <w:rsid w:val="00EB6C4D"/>
    <w:rsid w:val="00EB71A2"/>
    <w:rsid w:val="00EB765C"/>
    <w:rsid w:val="00EB7684"/>
    <w:rsid w:val="00EB7C29"/>
    <w:rsid w:val="00EB7C9B"/>
    <w:rsid w:val="00EB7F15"/>
    <w:rsid w:val="00EC067F"/>
    <w:rsid w:val="00EC092E"/>
    <w:rsid w:val="00EC0B7A"/>
    <w:rsid w:val="00EC0C0D"/>
    <w:rsid w:val="00EC14E0"/>
    <w:rsid w:val="00EC1AA9"/>
    <w:rsid w:val="00EC1CD3"/>
    <w:rsid w:val="00EC1DB9"/>
    <w:rsid w:val="00EC1DFD"/>
    <w:rsid w:val="00EC1FDD"/>
    <w:rsid w:val="00EC211F"/>
    <w:rsid w:val="00EC2873"/>
    <w:rsid w:val="00EC3773"/>
    <w:rsid w:val="00EC3774"/>
    <w:rsid w:val="00EC3A18"/>
    <w:rsid w:val="00EC4298"/>
    <w:rsid w:val="00EC4416"/>
    <w:rsid w:val="00EC4D4A"/>
    <w:rsid w:val="00EC4F34"/>
    <w:rsid w:val="00EC5356"/>
    <w:rsid w:val="00EC57AD"/>
    <w:rsid w:val="00EC5E41"/>
    <w:rsid w:val="00EC6007"/>
    <w:rsid w:val="00EC639B"/>
    <w:rsid w:val="00EC69E0"/>
    <w:rsid w:val="00EC6D66"/>
    <w:rsid w:val="00EC7884"/>
    <w:rsid w:val="00EC7C42"/>
    <w:rsid w:val="00EC7D85"/>
    <w:rsid w:val="00ED0165"/>
    <w:rsid w:val="00ED0187"/>
    <w:rsid w:val="00ED0715"/>
    <w:rsid w:val="00ED08CB"/>
    <w:rsid w:val="00ED08E6"/>
    <w:rsid w:val="00ED09BA"/>
    <w:rsid w:val="00ED0FBD"/>
    <w:rsid w:val="00ED1106"/>
    <w:rsid w:val="00ED124B"/>
    <w:rsid w:val="00ED13EE"/>
    <w:rsid w:val="00ED2406"/>
    <w:rsid w:val="00ED2A63"/>
    <w:rsid w:val="00ED2AD2"/>
    <w:rsid w:val="00ED2C11"/>
    <w:rsid w:val="00ED2F25"/>
    <w:rsid w:val="00ED32C0"/>
    <w:rsid w:val="00ED33DF"/>
    <w:rsid w:val="00ED3450"/>
    <w:rsid w:val="00ED39F7"/>
    <w:rsid w:val="00ED3EC6"/>
    <w:rsid w:val="00ED425F"/>
    <w:rsid w:val="00ED4448"/>
    <w:rsid w:val="00ED4844"/>
    <w:rsid w:val="00ED4940"/>
    <w:rsid w:val="00ED4EBF"/>
    <w:rsid w:val="00ED5CD5"/>
    <w:rsid w:val="00ED5D48"/>
    <w:rsid w:val="00ED608C"/>
    <w:rsid w:val="00ED6489"/>
    <w:rsid w:val="00ED6609"/>
    <w:rsid w:val="00ED6642"/>
    <w:rsid w:val="00ED6925"/>
    <w:rsid w:val="00ED6A5C"/>
    <w:rsid w:val="00ED6B7D"/>
    <w:rsid w:val="00ED6BCA"/>
    <w:rsid w:val="00ED6DE1"/>
    <w:rsid w:val="00ED716B"/>
    <w:rsid w:val="00ED74E5"/>
    <w:rsid w:val="00ED7AF3"/>
    <w:rsid w:val="00ED7DA4"/>
    <w:rsid w:val="00ED7DD4"/>
    <w:rsid w:val="00EE00C1"/>
    <w:rsid w:val="00EE044B"/>
    <w:rsid w:val="00EE0997"/>
    <w:rsid w:val="00EE15EA"/>
    <w:rsid w:val="00EE18A9"/>
    <w:rsid w:val="00EE1A67"/>
    <w:rsid w:val="00EE1C20"/>
    <w:rsid w:val="00EE1F98"/>
    <w:rsid w:val="00EE20E4"/>
    <w:rsid w:val="00EE2122"/>
    <w:rsid w:val="00EE244C"/>
    <w:rsid w:val="00EE2544"/>
    <w:rsid w:val="00EE26ED"/>
    <w:rsid w:val="00EE2AC7"/>
    <w:rsid w:val="00EE2B6C"/>
    <w:rsid w:val="00EE2F32"/>
    <w:rsid w:val="00EE30EF"/>
    <w:rsid w:val="00EE32C6"/>
    <w:rsid w:val="00EE3432"/>
    <w:rsid w:val="00EE3B4E"/>
    <w:rsid w:val="00EE3D81"/>
    <w:rsid w:val="00EE4026"/>
    <w:rsid w:val="00EE40F9"/>
    <w:rsid w:val="00EE4156"/>
    <w:rsid w:val="00EE4675"/>
    <w:rsid w:val="00EE4FD0"/>
    <w:rsid w:val="00EE5198"/>
    <w:rsid w:val="00EE55F7"/>
    <w:rsid w:val="00EE5810"/>
    <w:rsid w:val="00EE5D09"/>
    <w:rsid w:val="00EE6036"/>
    <w:rsid w:val="00EE630C"/>
    <w:rsid w:val="00EE65DD"/>
    <w:rsid w:val="00EE70ED"/>
    <w:rsid w:val="00EE7136"/>
    <w:rsid w:val="00EE7166"/>
    <w:rsid w:val="00EE74A7"/>
    <w:rsid w:val="00EE75BC"/>
    <w:rsid w:val="00EE76BA"/>
    <w:rsid w:val="00EE7890"/>
    <w:rsid w:val="00EF036D"/>
    <w:rsid w:val="00EF0674"/>
    <w:rsid w:val="00EF0727"/>
    <w:rsid w:val="00EF086A"/>
    <w:rsid w:val="00EF0D98"/>
    <w:rsid w:val="00EF0E2F"/>
    <w:rsid w:val="00EF1067"/>
    <w:rsid w:val="00EF1BDD"/>
    <w:rsid w:val="00EF1D1A"/>
    <w:rsid w:val="00EF2252"/>
    <w:rsid w:val="00EF2501"/>
    <w:rsid w:val="00EF2638"/>
    <w:rsid w:val="00EF2FD7"/>
    <w:rsid w:val="00EF331F"/>
    <w:rsid w:val="00EF3559"/>
    <w:rsid w:val="00EF3599"/>
    <w:rsid w:val="00EF36A7"/>
    <w:rsid w:val="00EF3BAE"/>
    <w:rsid w:val="00EF451C"/>
    <w:rsid w:val="00EF4589"/>
    <w:rsid w:val="00EF4835"/>
    <w:rsid w:val="00EF4B13"/>
    <w:rsid w:val="00EF4B58"/>
    <w:rsid w:val="00EF5221"/>
    <w:rsid w:val="00EF5400"/>
    <w:rsid w:val="00EF5849"/>
    <w:rsid w:val="00EF58EE"/>
    <w:rsid w:val="00EF5907"/>
    <w:rsid w:val="00EF5AD3"/>
    <w:rsid w:val="00EF5C9A"/>
    <w:rsid w:val="00EF689B"/>
    <w:rsid w:val="00EF6BA7"/>
    <w:rsid w:val="00EF70BC"/>
    <w:rsid w:val="00EF7109"/>
    <w:rsid w:val="00EF721B"/>
    <w:rsid w:val="00EF78BC"/>
    <w:rsid w:val="00EF796F"/>
    <w:rsid w:val="00EF79B6"/>
    <w:rsid w:val="00EF7D35"/>
    <w:rsid w:val="00F0033A"/>
    <w:rsid w:val="00F00458"/>
    <w:rsid w:val="00F0063F"/>
    <w:rsid w:val="00F006AC"/>
    <w:rsid w:val="00F006D1"/>
    <w:rsid w:val="00F00A2D"/>
    <w:rsid w:val="00F011E3"/>
    <w:rsid w:val="00F019BC"/>
    <w:rsid w:val="00F01A2B"/>
    <w:rsid w:val="00F01B02"/>
    <w:rsid w:val="00F01E1E"/>
    <w:rsid w:val="00F01EC5"/>
    <w:rsid w:val="00F01F94"/>
    <w:rsid w:val="00F020BD"/>
    <w:rsid w:val="00F0228D"/>
    <w:rsid w:val="00F026F8"/>
    <w:rsid w:val="00F027A4"/>
    <w:rsid w:val="00F0295D"/>
    <w:rsid w:val="00F02CA9"/>
    <w:rsid w:val="00F02FB0"/>
    <w:rsid w:val="00F03183"/>
    <w:rsid w:val="00F0363E"/>
    <w:rsid w:val="00F03924"/>
    <w:rsid w:val="00F03A1D"/>
    <w:rsid w:val="00F04429"/>
    <w:rsid w:val="00F046E4"/>
    <w:rsid w:val="00F046EB"/>
    <w:rsid w:val="00F0495B"/>
    <w:rsid w:val="00F04F41"/>
    <w:rsid w:val="00F051E4"/>
    <w:rsid w:val="00F05588"/>
    <w:rsid w:val="00F0559F"/>
    <w:rsid w:val="00F059B0"/>
    <w:rsid w:val="00F059C9"/>
    <w:rsid w:val="00F05B1E"/>
    <w:rsid w:val="00F06323"/>
    <w:rsid w:val="00F06368"/>
    <w:rsid w:val="00F064C1"/>
    <w:rsid w:val="00F06530"/>
    <w:rsid w:val="00F06B31"/>
    <w:rsid w:val="00F06D02"/>
    <w:rsid w:val="00F06D98"/>
    <w:rsid w:val="00F07883"/>
    <w:rsid w:val="00F07A8B"/>
    <w:rsid w:val="00F07D6F"/>
    <w:rsid w:val="00F10195"/>
    <w:rsid w:val="00F10503"/>
    <w:rsid w:val="00F1065A"/>
    <w:rsid w:val="00F10664"/>
    <w:rsid w:val="00F10944"/>
    <w:rsid w:val="00F10C1E"/>
    <w:rsid w:val="00F10DD0"/>
    <w:rsid w:val="00F1137D"/>
    <w:rsid w:val="00F11485"/>
    <w:rsid w:val="00F11A2D"/>
    <w:rsid w:val="00F11D69"/>
    <w:rsid w:val="00F1268D"/>
    <w:rsid w:val="00F12977"/>
    <w:rsid w:val="00F1297F"/>
    <w:rsid w:val="00F12D07"/>
    <w:rsid w:val="00F1359B"/>
    <w:rsid w:val="00F13714"/>
    <w:rsid w:val="00F13910"/>
    <w:rsid w:val="00F1399E"/>
    <w:rsid w:val="00F13A2E"/>
    <w:rsid w:val="00F13C93"/>
    <w:rsid w:val="00F14145"/>
    <w:rsid w:val="00F146F5"/>
    <w:rsid w:val="00F147B4"/>
    <w:rsid w:val="00F14896"/>
    <w:rsid w:val="00F14CD1"/>
    <w:rsid w:val="00F14D4E"/>
    <w:rsid w:val="00F15294"/>
    <w:rsid w:val="00F157BC"/>
    <w:rsid w:val="00F1658F"/>
    <w:rsid w:val="00F16615"/>
    <w:rsid w:val="00F16851"/>
    <w:rsid w:val="00F169F8"/>
    <w:rsid w:val="00F1722E"/>
    <w:rsid w:val="00F17A7A"/>
    <w:rsid w:val="00F17C2F"/>
    <w:rsid w:val="00F17E65"/>
    <w:rsid w:val="00F2016E"/>
    <w:rsid w:val="00F20334"/>
    <w:rsid w:val="00F207C1"/>
    <w:rsid w:val="00F207EC"/>
    <w:rsid w:val="00F20983"/>
    <w:rsid w:val="00F211A2"/>
    <w:rsid w:val="00F215C4"/>
    <w:rsid w:val="00F2172F"/>
    <w:rsid w:val="00F21C08"/>
    <w:rsid w:val="00F21CDB"/>
    <w:rsid w:val="00F21D41"/>
    <w:rsid w:val="00F22090"/>
    <w:rsid w:val="00F22170"/>
    <w:rsid w:val="00F228BA"/>
    <w:rsid w:val="00F228D9"/>
    <w:rsid w:val="00F23EF6"/>
    <w:rsid w:val="00F24078"/>
    <w:rsid w:val="00F24C5A"/>
    <w:rsid w:val="00F255AA"/>
    <w:rsid w:val="00F25E63"/>
    <w:rsid w:val="00F2636B"/>
    <w:rsid w:val="00F26406"/>
    <w:rsid w:val="00F26502"/>
    <w:rsid w:val="00F26B27"/>
    <w:rsid w:val="00F270A4"/>
    <w:rsid w:val="00F27203"/>
    <w:rsid w:val="00F27379"/>
    <w:rsid w:val="00F27640"/>
    <w:rsid w:val="00F278F3"/>
    <w:rsid w:val="00F279EB"/>
    <w:rsid w:val="00F27A2B"/>
    <w:rsid w:val="00F3005D"/>
    <w:rsid w:val="00F30273"/>
    <w:rsid w:val="00F30882"/>
    <w:rsid w:val="00F30AF3"/>
    <w:rsid w:val="00F30EF3"/>
    <w:rsid w:val="00F31456"/>
    <w:rsid w:val="00F315DB"/>
    <w:rsid w:val="00F32062"/>
    <w:rsid w:val="00F323D6"/>
    <w:rsid w:val="00F32DFD"/>
    <w:rsid w:val="00F33132"/>
    <w:rsid w:val="00F3367B"/>
    <w:rsid w:val="00F33761"/>
    <w:rsid w:val="00F3390E"/>
    <w:rsid w:val="00F3391B"/>
    <w:rsid w:val="00F33A29"/>
    <w:rsid w:val="00F33A65"/>
    <w:rsid w:val="00F33B63"/>
    <w:rsid w:val="00F33DF5"/>
    <w:rsid w:val="00F33F37"/>
    <w:rsid w:val="00F3402A"/>
    <w:rsid w:val="00F34203"/>
    <w:rsid w:val="00F34231"/>
    <w:rsid w:val="00F3478F"/>
    <w:rsid w:val="00F34D2E"/>
    <w:rsid w:val="00F350AD"/>
    <w:rsid w:val="00F359E7"/>
    <w:rsid w:val="00F35B03"/>
    <w:rsid w:val="00F36C00"/>
    <w:rsid w:val="00F36FCF"/>
    <w:rsid w:val="00F37290"/>
    <w:rsid w:val="00F3763B"/>
    <w:rsid w:val="00F37877"/>
    <w:rsid w:val="00F37A61"/>
    <w:rsid w:val="00F37ECD"/>
    <w:rsid w:val="00F4047D"/>
    <w:rsid w:val="00F405D9"/>
    <w:rsid w:val="00F416B8"/>
    <w:rsid w:val="00F41C00"/>
    <w:rsid w:val="00F41C3C"/>
    <w:rsid w:val="00F41F43"/>
    <w:rsid w:val="00F41FA5"/>
    <w:rsid w:val="00F42817"/>
    <w:rsid w:val="00F42905"/>
    <w:rsid w:val="00F42965"/>
    <w:rsid w:val="00F42B01"/>
    <w:rsid w:val="00F4320C"/>
    <w:rsid w:val="00F4329B"/>
    <w:rsid w:val="00F43314"/>
    <w:rsid w:val="00F44191"/>
    <w:rsid w:val="00F4423A"/>
    <w:rsid w:val="00F44440"/>
    <w:rsid w:val="00F4446E"/>
    <w:rsid w:val="00F445C2"/>
    <w:rsid w:val="00F449EE"/>
    <w:rsid w:val="00F44A81"/>
    <w:rsid w:val="00F44D9A"/>
    <w:rsid w:val="00F44EFE"/>
    <w:rsid w:val="00F45142"/>
    <w:rsid w:val="00F4517C"/>
    <w:rsid w:val="00F45399"/>
    <w:rsid w:val="00F455AE"/>
    <w:rsid w:val="00F45663"/>
    <w:rsid w:val="00F4594C"/>
    <w:rsid w:val="00F45A85"/>
    <w:rsid w:val="00F45D70"/>
    <w:rsid w:val="00F463FF"/>
    <w:rsid w:val="00F46528"/>
    <w:rsid w:val="00F4676F"/>
    <w:rsid w:val="00F4715F"/>
    <w:rsid w:val="00F4756B"/>
    <w:rsid w:val="00F50147"/>
    <w:rsid w:val="00F50455"/>
    <w:rsid w:val="00F50749"/>
    <w:rsid w:val="00F5080D"/>
    <w:rsid w:val="00F50AB2"/>
    <w:rsid w:val="00F50BF5"/>
    <w:rsid w:val="00F50DBE"/>
    <w:rsid w:val="00F50F23"/>
    <w:rsid w:val="00F51376"/>
    <w:rsid w:val="00F516BF"/>
    <w:rsid w:val="00F51883"/>
    <w:rsid w:val="00F51916"/>
    <w:rsid w:val="00F51F93"/>
    <w:rsid w:val="00F52244"/>
    <w:rsid w:val="00F52A1E"/>
    <w:rsid w:val="00F52F5D"/>
    <w:rsid w:val="00F53427"/>
    <w:rsid w:val="00F5370F"/>
    <w:rsid w:val="00F537E4"/>
    <w:rsid w:val="00F53A0F"/>
    <w:rsid w:val="00F546A8"/>
    <w:rsid w:val="00F54876"/>
    <w:rsid w:val="00F5489A"/>
    <w:rsid w:val="00F54E06"/>
    <w:rsid w:val="00F54EE3"/>
    <w:rsid w:val="00F55125"/>
    <w:rsid w:val="00F551CF"/>
    <w:rsid w:val="00F552A0"/>
    <w:rsid w:val="00F55690"/>
    <w:rsid w:val="00F5586E"/>
    <w:rsid w:val="00F559B9"/>
    <w:rsid w:val="00F55A07"/>
    <w:rsid w:val="00F55B54"/>
    <w:rsid w:val="00F5606E"/>
    <w:rsid w:val="00F567DD"/>
    <w:rsid w:val="00F56832"/>
    <w:rsid w:val="00F5720B"/>
    <w:rsid w:val="00F57C1E"/>
    <w:rsid w:val="00F601C6"/>
    <w:rsid w:val="00F60A35"/>
    <w:rsid w:val="00F61562"/>
    <w:rsid w:val="00F625D0"/>
    <w:rsid w:val="00F625F6"/>
    <w:rsid w:val="00F6294C"/>
    <w:rsid w:val="00F62B29"/>
    <w:rsid w:val="00F62B47"/>
    <w:rsid w:val="00F6343F"/>
    <w:rsid w:val="00F636CB"/>
    <w:rsid w:val="00F63A54"/>
    <w:rsid w:val="00F63C49"/>
    <w:rsid w:val="00F63E77"/>
    <w:rsid w:val="00F65163"/>
    <w:rsid w:val="00F651A2"/>
    <w:rsid w:val="00F6529D"/>
    <w:rsid w:val="00F656FF"/>
    <w:rsid w:val="00F658B2"/>
    <w:rsid w:val="00F659F3"/>
    <w:rsid w:val="00F66513"/>
    <w:rsid w:val="00F669E2"/>
    <w:rsid w:val="00F66A0A"/>
    <w:rsid w:val="00F66B22"/>
    <w:rsid w:val="00F66BF4"/>
    <w:rsid w:val="00F66CE4"/>
    <w:rsid w:val="00F66E3B"/>
    <w:rsid w:val="00F6737F"/>
    <w:rsid w:val="00F67628"/>
    <w:rsid w:val="00F67D0D"/>
    <w:rsid w:val="00F67F2A"/>
    <w:rsid w:val="00F70088"/>
    <w:rsid w:val="00F70133"/>
    <w:rsid w:val="00F70518"/>
    <w:rsid w:val="00F70780"/>
    <w:rsid w:val="00F70B24"/>
    <w:rsid w:val="00F70E54"/>
    <w:rsid w:val="00F711CA"/>
    <w:rsid w:val="00F71ED6"/>
    <w:rsid w:val="00F720C8"/>
    <w:rsid w:val="00F72137"/>
    <w:rsid w:val="00F72B12"/>
    <w:rsid w:val="00F72C89"/>
    <w:rsid w:val="00F7315E"/>
    <w:rsid w:val="00F73303"/>
    <w:rsid w:val="00F73467"/>
    <w:rsid w:val="00F73C67"/>
    <w:rsid w:val="00F73DA5"/>
    <w:rsid w:val="00F73F61"/>
    <w:rsid w:val="00F7491F"/>
    <w:rsid w:val="00F74B3C"/>
    <w:rsid w:val="00F75123"/>
    <w:rsid w:val="00F7515D"/>
    <w:rsid w:val="00F752E8"/>
    <w:rsid w:val="00F75837"/>
    <w:rsid w:val="00F75BB3"/>
    <w:rsid w:val="00F75F5B"/>
    <w:rsid w:val="00F7614D"/>
    <w:rsid w:val="00F76555"/>
    <w:rsid w:val="00F76625"/>
    <w:rsid w:val="00F7667E"/>
    <w:rsid w:val="00F7679D"/>
    <w:rsid w:val="00F767D3"/>
    <w:rsid w:val="00F7749B"/>
    <w:rsid w:val="00F77878"/>
    <w:rsid w:val="00F77BCB"/>
    <w:rsid w:val="00F77E11"/>
    <w:rsid w:val="00F77ED0"/>
    <w:rsid w:val="00F77ED3"/>
    <w:rsid w:val="00F80581"/>
    <w:rsid w:val="00F805C7"/>
    <w:rsid w:val="00F807E8"/>
    <w:rsid w:val="00F80AD3"/>
    <w:rsid w:val="00F80C6E"/>
    <w:rsid w:val="00F81314"/>
    <w:rsid w:val="00F81BBA"/>
    <w:rsid w:val="00F821CC"/>
    <w:rsid w:val="00F82C2F"/>
    <w:rsid w:val="00F82CB6"/>
    <w:rsid w:val="00F83164"/>
    <w:rsid w:val="00F83FA9"/>
    <w:rsid w:val="00F8450F"/>
    <w:rsid w:val="00F8458C"/>
    <w:rsid w:val="00F84BD0"/>
    <w:rsid w:val="00F85ADB"/>
    <w:rsid w:val="00F85E99"/>
    <w:rsid w:val="00F8625D"/>
    <w:rsid w:val="00F863C8"/>
    <w:rsid w:val="00F86504"/>
    <w:rsid w:val="00F86608"/>
    <w:rsid w:val="00F8664F"/>
    <w:rsid w:val="00F86B8E"/>
    <w:rsid w:val="00F86CF3"/>
    <w:rsid w:val="00F8748F"/>
    <w:rsid w:val="00F874A4"/>
    <w:rsid w:val="00F874F8"/>
    <w:rsid w:val="00F87770"/>
    <w:rsid w:val="00F87A3D"/>
    <w:rsid w:val="00F87A47"/>
    <w:rsid w:val="00F87B38"/>
    <w:rsid w:val="00F87B62"/>
    <w:rsid w:val="00F903C5"/>
    <w:rsid w:val="00F9046C"/>
    <w:rsid w:val="00F911A3"/>
    <w:rsid w:val="00F91DD7"/>
    <w:rsid w:val="00F9252E"/>
    <w:rsid w:val="00F92792"/>
    <w:rsid w:val="00F93095"/>
    <w:rsid w:val="00F93693"/>
    <w:rsid w:val="00F93999"/>
    <w:rsid w:val="00F93B0D"/>
    <w:rsid w:val="00F946F4"/>
    <w:rsid w:val="00F9510C"/>
    <w:rsid w:val="00F951A4"/>
    <w:rsid w:val="00F951CC"/>
    <w:rsid w:val="00F95251"/>
    <w:rsid w:val="00F9545A"/>
    <w:rsid w:val="00F9588C"/>
    <w:rsid w:val="00F958BC"/>
    <w:rsid w:val="00F95E15"/>
    <w:rsid w:val="00F96870"/>
    <w:rsid w:val="00F9689B"/>
    <w:rsid w:val="00F96F6E"/>
    <w:rsid w:val="00F978BA"/>
    <w:rsid w:val="00F979C9"/>
    <w:rsid w:val="00F97AFE"/>
    <w:rsid w:val="00F97B57"/>
    <w:rsid w:val="00F97C4E"/>
    <w:rsid w:val="00F97F4E"/>
    <w:rsid w:val="00FA0145"/>
    <w:rsid w:val="00FA01AA"/>
    <w:rsid w:val="00FA0495"/>
    <w:rsid w:val="00FA0611"/>
    <w:rsid w:val="00FA06A5"/>
    <w:rsid w:val="00FA1010"/>
    <w:rsid w:val="00FA1993"/>
    <w:rsid w:val="00FA1B2C"/>
    <w:rsid w:val="00FA1D58"/>
    <w:rsid w:val="00FA2039"/>
    <w:rsid w:val="00FA24FC"/>
    <w:rsid w:val="00FA27CB"/>
    <w:rsid w:val="00FA28BC"/>
    <w:rsid w:val="00FA2C69"/>
    <w:rsid w:val="00FA2DB2"/>
    <w:rsid w:val="00FA30FC"/>
    <w:rsid w:val="00FA3159"/>
    <w:rsid w:val="00FA318B"/>
    <w:rsid w:val="00FA3980"/>
    <w:rsid w:val="00FA3A1E"/>
    <w:rsid w:val="00FA3B0B"/>
    <w:rsid w:val="00FA3D90"/>
    <w:rsid w:val="00FA3EC7"/>
    <w:rsid w:val="00FA3F79"/>
    <w:rsid w:val="00FA4C84"/>
    <w:rsid w:val="00FA4D6C"/>
    <w:rsid w:val="00FA52B7"/>
    <w:rsid w:val="00FA5362"/>
    <w:rsid w:val="00FA588D"/>
    <w:rsid w:val="00FA6269"/>
    <w:rsid w:val="00FA6323"/>
    <w:rsid w:val="00FA6513"/>
    <w:rsid w:val="00FA719A"/>
    <w:rsid w:val="00FA7457"/>
    <w:rsid w:val="00FA74AF"/>
    <w:rsid w:val="00FA78E8"/>
    <w:rsid w:val="00FA79CD"/>
    <w:rsid w:val="00FA7B2E"/>
    <w:rsid w:val="00FA7F35"/>
    <w:rsid w:val="00FB030E"/>
    <w:rsid w:val="00FB0773"/>
    <w:rsid w:val="00FB0A75"/>
    <w:rsid w:val="00FB0F48"/>
    <w:rsid w:val="00FB1187"/>
    <w:rsid w:val="00FB17AC"/>
    <w:rsid w:val="00FB187C"/>
    <w:rsid w:val="00FB1CB5"/>
    <w:rsid w:val="00FB211F"/>
    <w:rsid w:val="00FB21FE"/>
    <w:rsid w:val="00FB2423"/>
    <w:rsid w:val="00FB24FD"/>
    <w:rsid w:val="00FB257F"/>
    <w:rsid w:val="00FB2E52"/>
    <w:rsid w:val="00FB30FD"/>
    <w:rsid w:val="00FB310F"/>
    <w:rsid w:val="00FB3432"/>
    <w:rsid w:val="00FB3469"/>
    <w:rsid w:val="00FB3849"/>
    <w:rsid w:val="00FB4644"/>
    <w:rsid w:val="00FB4FDF"/>
    <w:rsid w:val="00FB544B"/>
    <w:rsid w:val="00FB55D9"/>
    <w:rsid w:val="00FB5854"/>
    <w:rsid w:val="00FB58FD"/>
    <w:rsid w:val="00FB5900"/>
    <w:rsid w:val="00FB5D43"/>
    <w:rsid w:val="00FB600F"/>
    <w:rsid w:val="00FB6255"/>
    <w:rsid w:val="00FB631E"/>
    <w:rsid w:val="00FB63D3"/>
    <w:rsid w:val="00FB6A71"/>
    <w:rsid w:val="00FB6BAB"/>
    <w:rsid w:val="00FB715B"/>
    <w:rsid w:val="00FB7C54"/>
    <w:rsid w:val="00FC0022"/>
    <w:rsid w:val="00FC004D"/>
    <w:rsid w:val="00FC044D"/>
    <w:rsid w:val="00FC04E0"/>
    <w:rsid w:val="00FC0A30"/>
    <w:rsid w:val="00FC0A57"/>
    <w:rsid w:val="00FC0BF8"/>
    <w:rsid w:val="00FC0D00"/>
    <w:rsid w:val="00FC1177"/>
    <w:rsid w:val="00FC1731"/>
    <w:rsid w:val="00FC1A56"/>
    <w:rsid w:val="00FC1B48"/>
    <w:rsid w:val="00FC2594"/>
    <w:rsid w:val="00FC2B14"/>
    <w:rsid w:val="00FC2E4A"/>
    <w:rsid w:val="00FC3158"/>
    <w:rsid w:val="00FC358C"/>
    <w:rsid w:val="00FC3591"/>
    <w:rsid w:val="00FC3D24"/>
    <w:rsid w:val="00FC3D87"/>
    <w:rsid w:val="00FC3D8F"/>
    <w:rsid w:val="00FC3DED"/>
    <w:rsid w:val="00FC4293"/>
    <w:rsid w:val="00FC4412"/>
    <w:rsid w:val="00FC4B95"/>
    <w:rsid w:val="00FC4E16"/>
    <w:rsid w:val="00FC4E77"/>
    <w:rsid w:val="00FC52C3"/>
    <w:rsid w:val="00FC536D"/>
    <w:rsid w:val="00FC5504"/>
    <w:rsid w:val="00FC5593"/>
    <w:rsid w:val="00FC5707"/>
    <w:rsid w:val="00FC6282"/>
    <w:rsid w:val="00FC66A8"/>
    <w:rsid w:val="00FC694C"/>
    <w:rsid w:val="00FC6DFD"/>
    <w:rsid w:val="00FC6EC6"/>
    <w:rsid w:val="00FC6FAA"/>
    <w:rsid w:val="00FC709A"/>
    <w:rsid w:val="00FC7D1E"/>
    <w:rsid w:val="00FD0245"/>
    <w:rsid w:val="00FD03CE"/>
    <w:rsid w:val="00FD0409"/>
    <w:rsid w:val="00FD0543"/>
    <w:rsid w:val="00FD09DE"/>
    <w:rsid w:val="00FD0B03"/>
    <w:rsid w:val="00FD1316"/>
    <w:rsid w:val="00FD1F66"/>
    <w:rsid w:val="00FD2722"/>
    <w:rsid w:val="00FD2E56"/>
    <w:rsid w:val="00FD2FBF"/>
    <w:rsid w:val="00FD3419"/>
    <w:rsid w:val="00FD35B8"/>
    <w:rsid w:val="00FD3B83"/>
    <w:rsid w:val="00FD3D46"/>
    <w:rsid w:val="00FD4149"/>
    <w:rsid w:val="00FD41A2"/>
    <w:rsid w:val="00FD4347"/>
    <w:rsid w:val="00FD4627"/>
    <w:rsid w:val="00FD49F5"/>
    <w:rsid w:val="00FD591C"/>
    <w:rsid w:val="00FD5FED"/>
    <w:rsid w:val="00FD6BF5"/>
    <w:rsid w:val="00FD700D"/>
    <w:rsid w:val="00FD7465"/>
    <w:rsid w:val="00FD79F9"/>
    <w:rsid w:val="00FD7A71"/>
    <w:rsid w:val="00FE037B"/>
    <w:rsid w:val="00FE07BC"/>
    <w:rsid w:val="00FE09F7"/>
    <w:rsid w:val="00FE0B2E"/>
    <w:rsid w:val="00FE0B91"/>
    <w:rsid w:val="00FE1187"/>
    <w:rsid w:val="00FE11A7"/>
    <w:rsid w:val="00FE1787"/>
    <w:rsid w:val="00FE1B20"/>
    <w:rsid w:val="00FE1B24"/>
    <w:rsid w:val="00FE1BBB"/>
    <w:rsid w:val="00FE1C37"/>
    <w:rsid w:val="00FE23D4"/>
    <w:rsid w:val="00FE25A3"/>
    <w:rsid w:val="00FE2780"/>
    <w:rsid w:val="00FE27ED"/>
    <w:rsid w:val="00FE2A30"/>
    <w:rsid w:val="00FE2E2F"/>
    <w:rsid w:val="00FE2E66"/>
    <w:rsid w:val="00FE30E7"/>
    <w:rsid w:val="00FE3309"/>
    <w:rsid w:val="00FE35BE"/>
    <w:rsid w:val="00FE367B"/>
    <w:rsid w:val="00FE3966"/>
    <w:rsid w:val="00FE3D9B"/>
    <w:rsid w:val="00FE43E7"/>
    <w:rsid w:val="00FE4441"/>
    <w:rsid w:val="00FE46F1"/>
    <w:rsid w:val="00FE4DAF"/>
    <w:rsid w:val="00FE4FE4"/>
    <w:rsid w:val="00FE5029"/>
    <w:rsid w:val="00FE5274"/>
    <w:rsid w:val="00FE54C5"/>
    <w:rsid w:val="00FE6630"/>
    <w:rsid w:val="00FE67FD"/>
    <w:rsid w:val="00FE6BB2"/>
    <w:rsid w:val="00FE6BD9"/>
    <w:rsid w:val="00FE6DEC"/>
    <w:rsid w:val="00FE6F59"/>
    <w:rsid w:val="00FE727D"/>
    <w:rsid w:val="00FE72C1"/>
    <w:rsid w:val="00FF00C3"/>
    <w:rsid w:val="00FF0107"/>
    <w:rsid w:val="00FF01E9"/>
    <w:rsid w:val="00FF081D"/>
    <w:rsid w:val="00FF0CA8"/>
    <w:rsid w:val="00FF0D85"/>
    <w:rsid w:val="00FF1D96"/>
    <w:rsid w:val="00FF1EF5"/>
    <w:rsid w:val="00FF28E8"/>
    <w:rsid w:val="00FF2B68"/>
    <w:rsid w:val="00FF2E58"/>
    <w:rsid w:val="00FF2EB4"/>
    <w:rsid w:val="00FF312E"/>
    <w:rsid w:val="00FF3762"/>
    <w:rsid w:val="00FF3A40"/>
    <w:rsid w:val="00FF3A73"/>
    <w:rsid w:val="00FF3A76"/>
    <w:rsid w:val="00FF3B11"/>
    <w:rsid w:val="00FF3C3C"/>
    <w:rsid w:val="00FF3CE8"/>
    <w:rsid w:val="00FF3E8F"/>
    <w:rsid w:val="00FF40B4"/>
    <w:rsid w:val="00FF4204"/>
    <w:rsid w:val="00FF445F"/>
    <w:rsid w:val="00FF4514"/>
    <w:rsid w:val="00FF458D"/>
    <w:rsid w:val="00FF4728"/>
    <w:rsid w:val="00FF4B30"/>
    <w:rsid w:val="00FF4BE4"/>
    <w:rsid w:val="00FF4CFB"/>
    <w:rsid w:val="00FF4D66"/>
    <w:rsid w:val="00FF4EDF"/>
    <w:rsid w:val="00FF5601"/>
    <w:rsid w:val="00FF5A28"/>
    <w:rsid w:val="00FF5C7B"/>
    <w:rsid w:val="00FF60DB"/>
    <w:rsid w:val="00FF6103"/>
    <w:rsid w:val="00FF65CC"/>
    <w:rsid w:val="00FF68AE"/>
    <w:rsid w:val="00FF68F7"/>
    <w:rsid w:val="00FF6DB3"/>
    <w:rsid w:val="00FF70D9"/>
    <w:rsid w:val="00FF7559"/>
    <w:rsid w:val="00FF77A8"/>
    <w:rsid w:val="00FF7F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61" style="mso-width-relative:margin;mso-height-relative:margin" fillcolor="white">
      <v:fill color="white"/>
      <o:colormru v:ext="edit" colors="#666"/>
    </o:shapedefaults>
    <o:shapelayout v:ext="edit">
      <o:idmap v:ext="edit" data="1"/>
    </o:shapelayout>
  </w:shapeDefaults>
  <w:decimalSymbol w:val="."/>
  <w:listSeparator w:val=","/>
  <w14:docId w14:val="30149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iPriority="0"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iPriority="0" w:unhideWhenUsed="1"/>
    <w:lsdException w:name="Balloon Text" w:locked="1" w:semiHidden="1" w:unhideWhenUsed="1"/>
    <w:lsdException w:name="Table Grid" w:uiPriority="39" w:qFormat="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357E"/>
    <w:pPr>
      <w:jc w:val="both"/>
    </w:pPr>
    <w:rPr>
      <w:rFonts w:ascii="Calibri" w:hAnsi="Calibri" w:cs="Tahoma"/>
      <w:szCs w:val="24"/>
    </w:rPr>
  </w:style>
  <w:style w:type="paragraph" w:styleId="Heading1">
    <w:name w:val="heading 1"/>
    <w:basedOn w:val="Normal"/>
    <w:next w:val="Normal"/>
    <w:link w:val="Heading1Char"/>
    <w:uiPriority w:val="99"/>
    <w:qFormat/>
    <w:locked/>
    <w:rsid w:val="002551B2"/>
    <w:pPr>
      <w:keepNext/>
      <w:numPr>
        <w:numId w:val="1"/>
      </w:numPr>
      <w:tabs>
        <w:tab w:val="left" w:pos="1134"/>
      </w:tabs>
      <w:spacing w:before="240" w:after="240"/>
      <w:ind w:left="1072" w:hanging="1072"/>
      <w:outlineLvl w:val="0"/>
    </w:pPr>
    <w:rPr>
      <w:rFonts w:cs="Arial"/>
      <w:b/>
      <w:bCs/>
      <w:caps/>
      <w:kern w:val="32"/>
      <w:sz w:val="26"/>
      <w:szCs w:val="32"/>
      <w:lang w:eastAsia="en-US"/>
    </w:rPr>
  </w:style>
  <w:style w:type="paragraph" w:styleId="Heading2">
    <w:name w:val="heading 2"/>
    <w:basedOn w:val="Normal"/>
    <w:next w:val="Normal"/>
    <w:link w:val="Heading2Char"/>
    <w:uiPriority w:val="99"/>
    <w:qFormat/>
    <w:rsid w:val="00926E53"/>
    <w:pPr>
      <w:keepNext/>
      <w:numPr>
        <w:ilvl w:val="1"/>
        <w:numId w:val="1"/>
      </w:numPr>
      <w:spacing w:before="240" w:after="120"/>
      <w:ind w:left="1072" w:hanging="1072"/>
      <w:outlineLvl w:val="1"/>
    </w:pPr>
    <w:rPr>
      <w:rFonts w:cs="Arial"/>
      <w:b/>
      <w:bCs/>
      <w:iCs/>
      <w:caps/>
      <w:szCs w:val="28"/>
      <w:lang w:eastAsia="en-US"/>
    </w:rPr>
  </w:style>
  <w:style w:type="paragraph" w:styleId="Heading3">
    <w:name w:val="heading 3"/>
    <w:basedOn w:val="Normal"/>
    <w:next w:val="Normal"/>
    <w:link w:val="Heading3Char"/>
    <w:uiPriority w:val="9"/>
    <w:unhideWhenUsed/>
    <w:qFormat/>
    <w:locked/>
    <w:rsid w:val="00F1359B"/>
    <w:pPr>
      <w:keepNext/>
      <w:keepLines/>
      <w:numPr>
        <w:ilvl w:val="2"/>
        <w:numId w:val="1"/>
      </w:numPr>
      <w:spacing w:before="240" w:after="120"/>
      <w:ind w:left="1072" w:hanging="1072"/>
      <w:outlineLvl w:val="2"/>
    </w:pPr>
    <w:rPr>
      <w:rFonts w:eastAsiaTheme="majorEastAsia" w:cstheme="majorBidi"/>
      <w:b/>
      <w:bCs/>
    </w:rPr>
  </w:style>
  <w:style w:type="paragraph" w:styleId="Heading4">
    <w:name w:val="heading 4"/>
    <w:basedOn w:val="Normal"/>
    <w:next w:val="Normal"/>
    <w:link w:val="Heading4Char"/>
    <w:uiPriority w:val="9"/>
    <w:unhideWhenUsed/>
    <w:qFormat/>
    <w:locked/>
    <w:rsid w:val="004A74BC"/>
    <w:pPr>
      <w:keepNext/>
      <w:keepLines/>
      <w:numPr>
        <w:ilvl w:val="3"/>
        <w:numId w:val="1"/>
      </w:numPr>
      <w:spacing w:before="240" w:after="120"/>
      <w:ind w:left="1072" w:hanging="1072"/>
      <w:outlineLvl w:val="3"/>
    </w:pPr>
    <w:rPr>
      <w:rFonts w:eastAsiaTheme="majorEastAsia" w:cstheme="majorBidi"/>
      <w:b/>
      <w:bCs/>
      <w:iCs/>
    </w:rPr>
  </w:style>
  <w:style w:type="paragraph" w:styleId="Heading5">
    <w:name w:val="heading 5"/>
    <w:basedOn w:val="Normal"/>
    <w:next w:val="Normal"/>
    <w:link w:val="Heading5Char"/>
    <w:uiPriority w:val="9"/>
    <w:unhideWhenUsed/>
    <w:qFormat/>
    <w:locked/>
    <w:rsid w:val="00D066F9"/>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locked/>
    <w:rsid w:val="00D066F9"/>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locked/>
    <w:rsid w:val="00D066F9"/>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qFormat/>
    <w:rsid w:val="00A420D6"/>
    <w:pPr>
      <w:keepNext/>
      <w:numPr>
        <w:ilvl w:val="7"/>
        <w:numId w:val="1"/>
      </w:numPr>
      <w:spacing w:before="120"/>
      <w:jc w:val="center"/>
      <w:outlineLvl w:val="7"/>
    </w:pPr>
    <w:rPr>
      <w:rFonts w:ascii="Arial" w:hAnsi="Arial" w:cs="Arial"/>
      <w:b/>
      <w:bCs/>
      <w:lang w:eastAsia="en-US"/>
    </w:rPr>
  </w:style>
  <w:style w:type="paragraph" w:styleId="Heading9">
    <w:name w:val="heading 9"/>
    <w:basedOn w:val="Normal"/>
    <w:next w:val="Normal"/>
    <w:link w:val="Heading9Char"/>
    <w:uiPriority w:val="9"/>
    <w:semiHidden/>
    <w:unhideWhenUsed/>
    <w:qFormat/>
    <w:locked/>
    <w:rsid w:val="00D066F9"/>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551B2"/>
    <w:rPr>
      <w:rFonts w:ascii="Calibri" w:hAnsi="Calibri" w:cs="Arial"/>
      <w:b/>
      <w:bCs/>
      <w:caps/>
      <w:kern w:val="32"/>
      <w:sz w:val="26"/>
      <w:szCs w:val="32"/>
      <w:lang w:eastAsia="en-US"/>
    </w:rPr>
  </w:style>
  <w:style w:type="character" w:customStyle="1" w:styleId="Heading2Char">
    <w:name w:val="Heading 2 Char"/>
    <w:basedOn w:val="DefaultParagraphFont"/>
    <w:link w:val="Heading2"/>
    <w:uiPriority w:val="99"/>
    <w:locked/>
    <w:rsid w:val="00926E53"/>
    <w:rPr>
      <w:rFonts w:ascii="Calibri" w:hAnsi="Calibri" w:cs="Arial"/>
      <w:b/>
      <w:bCs/>
      <w:iCs/>
      <w:caps/>
      <w:szCs w:val="28"/>
      <w:lang w:eastAsia="en-US"/>
    </w:rPr>
  </w:style>
  <w:style w:type="character" w:customStyle="1" w:styleId="Heading3Char">
    <w:name w:val="Heading 3 Char"/>
    <w:basedOn w:val="DefaultParagraphFont"/>
    <w:link w:val="Heading3"/>
    <w:uiPriority w:val="9"/>
    <w:rsid w:val="00F1359B"/>
    <w:rPr>
      <w:rFonts w:ascii="Calibri" w:eastAsiaTheme="majorEastAsia" w:hAnsi="Calibri" w:cstheme="majorBidi"/>
      <w:b/>
      <w:bCs/>
      <w:szCs w:val="24"/>
    </w:rPr>
  </w:style>
  <w:style w:type="character" w:customStyle="1" w:styleId="Heading4Char">
    <w:name w:val="Heading 4 Char"/>
    <w:basedOn w:val="DefaultParagraphFont"/>
    <w:link w:val="Heading4"/>
    <w:uiPriority w:val="9"/>
    <w:rsid w:val="004A74BC"/>
    <w:rPr>
      <w:rFonts w:ascii="Calibri" w:eastAsiaTheme="majorEastAsia" w:hAnsi="Calibri" w:cstheme="majorBidi"/>
      <w:b/>
      <w:bCs/>
      <w:iCs/>
      <w:szCs w:val="24"/>
    </w:rPr>
  </w:style>
  <w:style w:type="character" w:customStyle="1" w:styleId="Heading5Char">
    <w:name w:val="Heading 5 Char"/>
    <w:basedOn w:val="DefaultParagraphFont"/>
    <w:link w:val="Heading5"/>
    <w:uiPriority w:val="9"/>
    <w:rsid w:val="00D066F9"/>
    <w:rPr>
      <w:rFonts w:asciiTheme="majorHAnsi" w:eastAsiaTheme="majorEastAsia" w:hAnsiTheme="majorHAnsi" w:cstheme="majorBidi"/>
      <w:color w:val="243F60" w:themeColor="accent1" w:themeShade="7F"/>
      <w:szCs w:val="24"/>
    </w:rPr>
  </w:style>
  <w:style w:type="character" w:customStyle="1" w:styleId="Heading6Char">
    <w:name w:val="Heading 6 Char"/>
    <w:basedOn w:val="DefaultParagraphFont"/>
    <w:link w:val="Heading6"/>
    <w:uiPriority w:val="9"/>
    <w:semiHidden/>
    <w:rsid w:val="00D066F9"/>
    <w:rPr>
      <w:rFonts w:asciiTheme="majorHAnsi" w:eastAsiaTheme="majorEastAsia" w:hAnsiTheme="majorHAnsi" w:cstheme="majorBidi"/>
      <w:i/>
      <w:iCs/>
      <w:color w:val="243F60" w:themeColor="accent1" w:themeShade="7F"/>
      <w:szCs w:val="24"/>
    </w:rPr>
  </w:style>
  <w:style w:type="character" w:customStyle="1" w:styleId="Heading7Char">
    <w:name w:val="Heading 7 Char"/>
    <w:basedOn w:val="DefaultParagraphFont"/>
    <w:link w:val="Heading7"/>
    <w:uiPriority w:val="9"/>
    <w:semiHidden/>
    <w:rsid w:val="00D066F9"/>
    <w:rPr>
      <w:rFonts w:asciiTheme="majorHAnsi" w:eastAsiaTheme="majorEastAsia" w:hAnsiTheme="majorHAnsi" w:cstheme="majorBidi"/>
      <w:i/>
      <w:iCs/>
      <w:color w:val="404040" w:themeColor="text1" w:themeTint="BF"/>
      <w:szCs w:val="24"/>
    </w:rPr>
  </w:style>
  <w:style w:type="character" w:customStyle="1" w:styleId="Heading8Char">
    <w:name w:val="Heading 8 Char"/>
    <w:basedOn w:val="DefaultParagraphFont"/>
    <w:link w:val="Heading8"/>
    <w:uiPriority w:val="99"/>
    <w:locked/>
    <w:rsid w:val="00A420D6"/>
    <w:rPr>
      <w:rFonts w:ascii="Arial" w:hAnsi="Arial" w:cs="Arial"/>
      <w:b/>
      <w:bCs/>
      <w:szCs w:val="24"/>
      <w:lang w:eastAsia="en-US"/>
    </w:rPr>
  </w:style>
  <w:style w:type="character" w:customStyle="1" w:styleId="Heading9Char">
    <w:name w:val="Heading 9 Char"/>
    <w:basedOn w:val="DefaultParagraphFont"/>
    <w:link w:val="Heading9"/>
    <w:uiPriority w:val="9"/>
    <w:semiHidden/>
    <w:rsid w:val="00D066F9"/>
    <w:rPr>
      <w:rFonts w:asciiTheme="majorHAnsi" w:eastAsiaTheme="majorEastAsia" w:hAnsiTheme="majorHAnsi" w:cstheme="majorBidi"/>
      <w:i/>
      <w:iCs/>
      <w:color w:val="404040" w:themeColor="text1" w:themeTint="BF"/>
      <w:sz w:val="20"/>
      <w:szCs w:val="20"/>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0739C1"/>
    <w:pPr>
      <w:ind w:left="720"/>
      <w:contextualSpacing/>
    </w:p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933170"/>
    <w:rPr>
      <w:rFonts w:ascii="Tahoma" w:hAnsi="Tahoma" w:cs="Tahoma"/>
      <w:sz w:val="24"/>
      <w:szCs w:val="24"/>
    </w:rPr>
  </w:style>
  <w:style w:type="paragraph" w:customStyle="1" w:styleId="Default">
    <w:name w:val="Default"/>
    <w:rsid w:val="000739C1"/>
    <w:pPr>
      <w:autoSpaceDE w:val="0"/>
      <w:autoSpaceDN w:val="0"/>
      <w:adjustRightInd w:val="0"/>
    </w:pPr>
    <w:rPr>
      <w:rFonts w:ascii="Arial" w:hAnsi="Arial" w:cs="Arial"/>
      <w:color w:val="000000"/>
      <w:sz w:val="24"/>
      <w:szCs w:val="24"/>
    </w:rPr>
  </w:style>
  <w:style w:type="table" w:styleId="TableGrid">
    <w:name w:val="Table Grid"/>
    <w:basedOn w:val="TableNormal"/>
    <w:uiPriority w:val="39"/>
    <w:qFormat/>
    <w:rsid w:val="00DE6403"/>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basedOn w:val="DefaultParagraphFont"/>
    <w:uiPriority w:val="99"/>
    <w:qFormat/>
    <w:rsid w:val="00D57D09"/>
    <w:rPr>
      <w:rFonts w:cs="Times New Roman"/>
      <w:b/>
      <w:bCs/>
    </w:rPr>
  </w:style>
  <w:style w:type="character" w:styleId="Hyperlink">
    <w:name w:val="Hyperlink"/>
    <w:basedOn w:val="DefaultParagraphFont"/>
    <w:uiPriority w:val="99"/>
    <w:rsid w:val="00D57D09"/>
    <w:rPr>
      <w:rFonts w:cs="Times New Roman"/>
      <w:color w:val="0000FF"/>
      <w:u w:val="single"/>
    </w:rPr>
  </w:style>
  <w:style w:type="paragraph" w:styleId="BalloonText">
    <w:name w:val="Balloon Text"/>
    <w:basedOn w:val="Normal"/>
    <w:link w:val="BalloonTextChar"/>
    <w:uiPriority w:val="99"/>
    <w:rsid w:val="0021722D"/>
    <w:rPr>
      <w:sz w:val="16"/>
      <w:szCs w:val="16"/>
    </w:rPr>
  </w:style>
  <w:style w:type="character" w:customStyle="1" w:styleId="BalloonTextChar">
    <w:name w:val="Balloon Text Char"/>
    <w:basedOn w:val="DefaultParagraphFont"/>
    <w:link w:val="BalloonText"/>
    <w:uiPriority w:val="99"/>
    <w:locked/>
    <w:rsid w:val="0021722D"/>
    <w:rPr>
      <w:rFonts w:ascii="Tahoma" w:hAnsi="Tahoma" w:cs="Tahoma"/>
      <w:sz w:val="16"/>
      <w:szCs w:val="16"/>
    </w:rPr>
  </w:style>
  <w:style w:type="character" w:styleId="FollowedHyperlink">
    <w:name w:val="FollowedHyperlink"/>
    <w:basedOn w:val="DefaultParagraphFont"/>
    <w:uiPriority w:val="99"/>
    <w:rsid w:val="00E179A9"/>
    <w:rPr>
      <w:rFonts w:cs="Times New Roman"/>
      <w:color w:val="800080"/>
      <w:u w:val="single"/>
    </w:rPr>
  </w:style>
  <w:style w:type="paragraph" w:styleId="Footer">
    <w:name w:val="footer"/>
    <w:aliases w:val="Doc Footer"/>
    <w:basedOn w:val="Normal"/>
    <w:link w:val="FooterChar"/>
    <w:rsid w:val="006A1D6E"/>
    <w:pPr>
      <w:tabs>
        <w:tab w:val="center" w:pos="4513"/>
        <w:tab w:val="right" w:pos="9026"/>
      </w:tabs>
    </w:pPr>
    <w:rPr>
      <w:rFonts w:cs="Times New Roman"/>
      <w:szCs w:val="22"/>
      <w:lang w:eastAsia="en-US"/>
    </w:rPr>
  </w:style>
  <w:style w:type="character" w:customStyle="1" w:styleId="FooterChar">
    <w:name w:val="Footer Char"/>
    <w:aliases w:val="Doc Footer Char"/>
    <w:basedOn w:val="DefaultParagraphFont"/>
    <w:link w:val="Footer"/>
    <w:locked/>
    <w:rsid w:val="006A1D6E"/>
    <w:rPr>
      <w:rFonts w:ascii="Calibri" w:hAnsi="Calibri" w:cs="Times New Roman"/>
      <w:sz w:val="22"/>
      <w:szCs w:val="22"/>
      <w:lang w:eastAsia="en-US"/>
    </w:rPr>
  </w:style>
  <w:style w:type="paragraph" w:styleId="BodyText">
    <w:name w:val="Body Text"/>
    <w:basedOn w:val="Normal"/>
    <w:link w:val="BodyTextChar"/>
    <w:uiPriority w:val="99"/>
    <w:rsid w:val="006A1D6E"/>
    <w:pPr>
      <w:spacing w:after="120"/>
      <w:ind w:left="425" w:hanging="357"/>
    </w:pPr>
    <w:rPr>
      <w:rFonts w:ascii="Times New Roman" w:hAnsi="Times New Roman" w:cs="Times New Roman"/>
    </w:rPr>
  </w:style>
  <w:style w:type="character" w:customStyle="1" w:styleId="BodyTextChar">
    <w:name w:val="Body Text Char"/>
    <w:basedOn w:val="DefaultParagraphFont"/>
    <w:link w:val="BodyText"/>
    <w:uiPriority w:val="99"/>
    <w:locked/>
    <w:rsid w:val="006A1D6E"/>
    <w:rPr>
      <w:rFonts w:eastAsia="Times New Roman" w:cs="Times New Roman"/>
      <w:sz w:val="24"/>
      <w:szCs w:val="24"/>
    </w:rPr>
  </w:style>
  <w:style w:type="character" w:styleId="CommentReference">
    <w:name w:val="annotation reference"/>
    <w:basedOn w:val="DefaultParagraphFont"/>
    <w:rsid w:val="006A1D6E"/>
    <w:rPr>
      <w:rFonts w:cs="Times New Roman"/>
      <w:sz w:val="16"/>
      <w:szCs w:val="16"/>
    </w:rPr>
  </w:style>
  <w:style w:type="paragraph" w:styleId="CommentText">
    <w:name w:val="annotation text"/>
    <w:basedOn w:val="Normal"/>
    <w:link w:val="CommentTextChar"/>
    <w:uiPriority w:val="99"/>
    <w:rsid w:val="006A1D6E"/>
    <w:pPr>
      <w:spacing w:after="200"/>
    </w:pPr>
    <w:rPr>
      <w:rFonts w:cs="Times New Roman"/>
      <w:sz w:val="20"/>
      <w:szCs w:val="20"/>
      <w:lang w:eastAsia="en-US"/>
    </w:rPr>
  </w:style>
  <w:style w:type="character" w:customStyle="1" w:styleId="CommentTextChar">
    <w:name w:val="Comment Text Char"/>
    <w:basedOn w:val="DefaultParagraphFont"/>
    <w:link w:val="CommentText"/>
    <w:uiPriority w:val="99"/>
    <w:locked/>
    <w:rsid w:val="006A1D6E"/>
    <w:rPr>
      <w:rFonts w:ascii="Calibri" w:hAnsi="Calibri" w:cs="Times New Roman"/>
      <w:lang w:eastAsia="en-US"/>
    </w:rPr>
  </w:style>
  <w:style w:type="paragraph" w:styleId="FootnoteText">
    <w:name w:val="footnote text"/>
    <w:aliases w:val="fn,Footnote Text (EKOS),Footnote (EKOS)"/>
    <w:basedOn w:val="Normal"/>
    <w:link w:val="FootnoteTextChar"/>
    <w:uiPriority w:val="99"/>
    <w:rsid w:val="00875C8C"/>
    <w:rPr>
      <w:sz w:val="20"/>
      <w:szCs w:val="20"/>
    </w:rPr>
  </w:style>
  <w:style w:type="character" w:customStyle="1" w:styleId="FootnoteTextChar">
    <w:name w:val="Footnote Text Char"/>
    <w:aliases w:val="fn Char,Footnote Text (EKOS) Char,Footnote (EKOS) Char"/>
    <w:basedOn w:val="DefaultParagraphFont"/>
    <w:link w:val="FootnoteText"/>
    <w:uiPriority w:val="99"/>
    <w:locked/>
    <w:rsid w:val="00875C8C"/>
    <w:rPr>
      <w:rFonts w:ascii="Tahoma" w:hAnsi="Tahoma" w:cs="Tahoma"/>
    </w:rPr>
  </w:style>
  <w:style w:type="character" w:styleId="FootnoteReference">
    <w:name w:val="footnote reference"/>
    <w:basedOn w:val="DefaultParagraphFont"/>
    <w:uiPriority w:val="99"/>
    <w:rsid w:val="00875C8C"/>
    <w:rPr>
      <w:rFonts w:cs="Times New Roman"/>
      <w:vertAlign w:val="superscript"/>
    </w:rPr>
  </w:style>
  <w:style w:type="paragraph" w:styleId="Header">
    <w:name w:val="header"/>
    <w:basedOn w:val="Normal"/>
    <w:link w:val="HeaderChar"/>
    <w:uiPriority w:val="99"/>
    <w:rsid w:val="00E860FD"/>
    <w:pPr>
      <w:tabs>
        <w:tab w:val="center" w:pos="4513"/>
        <w:tab w:val="right" w:pos="9026"/>
      </w:tabs>
      <w:spacing w:after="240"/>
    </w:pPr>
    <w:rPr>
      <w:b/>
      <w:caps/>
      <w:sz w:val="28"/>
    </w:rPr>
  </w:style>
  <w:style w:type="character" w:customStyle="1" w:styleId="HeaderChar">
    <w:name w:val="Header Char"/>
    <w:basedOn w:val="DefaultParagraphFont"/>
    <w:link w:val="Header"/>
    <w:uiPriority w:val="99"/>
    <w:locked/>
    <w:rsid w:val="00E860FD"/>
    <w:rPr>
      <w:rFonts w:ascii="Calibri" w:hAnsi="Calibri" w:cs="Tahoma"/>
      <w:b/>
      <w:caps/>
      <w:sz w:val="28"/>
      <w:szCs w:val="24"/>
    </w:rPr>
  </w:style>
  <w:style w:type="character" w:styleId="PlaceholderText">
    <w:name w:val="Placeholder Text"/>
    <w:basedOn w:val="DefaultParagraphFont"/>
    <w:uiPriority w:val="99"/>
    <w:semiHidden/>
    <w:rsid w:val="00470A1C"/>
    <w:rPr>
      <w:rFonts w:cs="Times New Roman"/>
      <w:color w:val="808080"/>
    </w:rPr>
  </w:style>
  <w:style w:type="paragraph" w:customStyle="1" w:styleId="Pa6">
    <w:name w:val="Pa6"/>
    <w:basedOn w:val="Normal"/>
    <w:next w:val="Normal"/>
    <w:uiPriority w:val="99"/>
    <w:rsid w:val="009E66B1"/>
    <w:pPr>
      <w:autoSpaceDE w:val="0"/>
      <w:autoSpaceDN w:val="0"/>
      <w:adjustRightInd w:val="0"/>
      <w:spacing w:line="241" w:lineRule="atLeast"/>
    </w:pPr>
    <w:rPr>
      <w:rFonts w:ascii="FS Ingrid" w:hAnsi="FS Ingrid" w:cs="Times New Roman"/>
    </w:rPr>
  </w:style>
  <w:style w:type="paragraph" w:customStyle="1" w:styleId="Pa0">
    <w:name w:val="Pa0"/>
    <w:basedOn w:val="Normal"/>
    <w:next w:val="Normal"/>
    <w:uiPriority w:val="99"/>
    <w:rsid w:val="009E66B1"/>
    <w:pPr>
      <w:autoSpaceDE w:val="0"/>
      <w:autoSpaceDN w:val="0"/>
      <w:adjustRightInd w:val="0"/>
      <w:spacing w:line="241" w:lineRule="atLeast"/>
    </w:pPr>
    <w:rPr>
      <w:rFonts w:ascii="FS Ingrid" w:hAnsi="FS Ingrid" w:cs="Times New Roman"/>
    </w:rPr>
  </w:style>
  <w:style w:type="paragraph" w:customStyle="1" w:styleId="Pa1">
    <w:name w:val="Pa1"/>
    <w:basedOn w:val="Normal"/>
    <w:next w:val="Normal"/>
    <w:uiPriority w:val="99"/>
    <w:rsid w:val="009E66B1"/>
    <w:pPr>
      <w:autoSpaceDE w:val="0"/>
      <w:autoSpaceDN w:val="0"/>
      <w:adjustRightInd w:val="0"/>
      <w:spacing w:line="241" w:lineRule="atLeast"/>
    </w:pPr>
    <w:rPr>
      <w:rFonts w:ascii="FS Ingrid" w:hAnsi="FS Ingrid" w:cs="Times New Roman"/>
    </w:rPr>
  </w:style>
  <w:style w:type="paragraph" w:styleId="Title">
    <w:name w:val="Title"/>
    <w:basedOn w:val="Normal"/>
    <w:link w:val="TitleChar"/>
    <w:uiPriority w:val="99"/>
    <w:qFormat/>
    <w:rsid w:val="00B74808"/>
    <w:pPr>
      <w:spacing w:line="480" w:lineRule="auto"/>
      <w:jc w:val="center"/>
    </w:pPr>
    <w:rPr>
      <w:rFonts w:ascii="Times New Roman" w:hAnsi="Times New Roman" w:cs="Times New Roman"/>
      <w:b/>
      <w:bCs/>
      <w:lang w:eastAsia="en-US"/>
    </w:rPr>
  </w:style>
  <w:style w:type="character" w:customStyle="1" w:styleId="TitleChar">
    <w:name w:val="Title Char"/>
    <w:basedOn w:val="DefaultParagraphFont"/>
    <w:link w:val="Title"/>
    <w:uiPriority w:val="99"/>
    <w:locked/>
    <w:rsid w:val="00B74808"/>
    <w:rPr>
      <w:rFonts w:cs="Times New Roman"/>
      <w:b/>
      <w:bCs/>
      <w:sz w:val="24"/>
      <w:szCs w:val="24"/>
      <w:lang w:eastAsia="en-US"/>
    </w:rPr>
  </w:style>
  <w:style w:type="paragraph" w:styleId="NormalWeb">
    <w:name w:val="Normal (Web)"/>
    <w:basedOn w:val="Normal"/>
    <w:uiPriority w:val="99"/>
    <w:rsid w:val="00A420D6"/>
    <w:pPr>
      <w:spacing w:before="100" w:beforeAutospacing="1" w:after="100" w:afterAutospacing="1"/>
    </w:pPr>
    <w:rPr>
      <w:rFonts w:ascii="Times New Roman" w:hAnsi="Times New Roman" w:cs="Times New Roman"/>
    </w:rPr>
  </w:style>
  <w:style w:type="paragraph" w:customStyle="1" w:styleId="msolistparagraph0">
    <w:name w:val="msolistparagraph"/>
    <w:basedOn w:val="Normal"/>
    <w:uiPriority w:val="99"/>
    <w:rsid w:val="00A420D6"/>
    <w:pPr>
      <w:ind w:left="720"/>
    </w:pPr>
    <w:rPr>
      <w:rFonts w:cs="Times New Roman"/>
      <w:szCs w:val="22"/>
    </w:rPr>
  </w:style>
  <w:style w:type="paragraph" w:styleId="EndnoteText">
    <w:name w:val="endnote text"/>
    <w:basedOn w:val="Normal"/>
    <w:link w:val="EndnoteTextChar"/>
    <w:uiPriority w:val="99"/>
    <w:rsid w:val="00A420D6"/>
    <w:pPr>
      <w:ind w:left="425" w:hanging="357"/>
    </w:pPr>
    <w:rPr>
      <w:rFonts w:ascii="Times New Roman" w:hAnsi="Times New Roman" w:cs="Times New Roman"/>
      <w:sz w:val="20"/>
      <w:szCs w:val="20"/>
    </w:rPr>
  </w:style>
  <w:style w:type="character" w:customStyle="1" w:styleId="EndnoteTextChar">
    <w:name w:val="Endnote Text Char"/>
    <w:basedOn w:val="DefaultParagraphFont"/>
    <w:link w:val="EndnoteText"/>
    <w:uiPriority w:val="99"/>
    <w:locked/>
    <w:rsid w:val="00A420D6"/>
    <w:rPr>
      <w:rFonts w:eastAsia="Times New Roman" w:cs="Times New Roman"/>
    </w:rPr>
  </w:style>
  <w:style w:type="character" w:styleId="EndnoteReference">
    <w:name w:val="endnote reference"/>
    <w:basedOn w:val="DefaultParagraphFont"/>
    <w:uiPriority w:val="99"/>
    <w:rsid w:val="00A420D6"/>
    <w:rPr>
      <w:rFonts w:cs="Times New Roman"/>
      <w:vertAlign w:val="superscript"/>
    </w:rPr>
  </w:style>
  <w:style w:type="paragraph" w:styleId="CommentSubject">
    <w:name w:val="annotation subject"/>
    <w:basedOn w:val="CommentText"/>
    <w:next w:val="CommentText"/>
    <w:link w:val="CommentSubjectChar"/>
    <w:uiPriority w:val="99"/>
    <w:rsid w:val="00A420D6"/>
    <w:rPr>
      <w:b/>
      <w:bCs/>
    </w:rPr>
  </w:style>
  <w:style w:type="character" w:customStyle="1" w:styleId="CommentSubjectChar">
    <w:name w:val="Comment Subject Char"/>
    <w:basedOn w:val="CommentTextChar"/>
    <w:link w:val="CommentSubject"/>
    <w:uiPriority w:val="99"/>
    <w:locked/>
    <w:rsid w:val="00A420D6"/>
    <w:rPr>
      <w:rFonts w:ascii="Calibri" w:hAnsi="Calibri" w:cs="Times New Roman"/>
      <w:b/>
      <w:bCs/>
      <w:lang w:eastAsia="en-US"/>
    </w:rPr>
  </w:style>
  <w:style w:type="paragraph" w:styleId="DocumentMap">
    <w:name w:val="Document Map"/>
    <w:basedOn w:val="Normal"/>
    <w:link w:val="DocumentMapChar"/>
    <w:uiPriority w:val="99"/>
    <w:rsid w:val="00A420D6"/>
    <w:rPr>
      <w:sz w:val="16"/>
      <w:szCs w:val="16"/>
      <w:lang w:eastAsia="en-US"/>
    </w:rPr>
  </w:style>
  <w:style w:type="character" w:customStyle="1" w:styleId="DocumentMapChar">
    <w:name w:val="Document Map Char"/>
    <w:basedOn w:val="DefaultParagraphFont"/>
    <w:link w:val="DocumentMap"/>
    <w:uiPriority w:val="99"/>
    <w:locked/>
    <w:rsid w:val="00A420D6"/>
    <w:rPr>
      <w:rFonts w:ascii="Tahoma" w:hAnsi="Tahoma" w:cs="Tahoma"/>
      <w:sz w:val="16"/>
      <w:szCs w:val="16"/>
      <w:lang w:eastAsia="en-US"/>
    </w:rPr>
  </w:style>
  <w:style w:type="character" w:styleId="Emphasis">
    <w:name w:val="Emphasis"/>
    <w:basedOn w:val="DefaultParagraphFont"/>
    <w:uiPriority w:val="99"/>
    <w:qFormat/>
    <w:rsid w:val="00A420D6"/>
    <w:rPr>
      <w:rFonts w:cs="Times New Roman"/>
      <w:i/>
      <w:iCs/>
    </w:rPr>
  </w:style>
  <w:style w:type="paragraph" w:styleId="Revision">
    <w:name w:val="Revision"/>
    <w:hidden/>
    <w:uiPriority w:val="99"/>
    <w:semiHidden/>
    <w:rsid w:val="00FF7F85"/>
    <w:rPr>
      <w:rFonts w:ascii="Tahoma" w:hAnsi="Tahoma" w:cs="Tahoma"/>
      <w:sz w:val="24"/>
      <w:szCs w:val="24"/>
    </w:rPr>
  </w:style>
  <w:style w:type="character" w:customStyle="1" w:styleId="FooterChar1">
    <w:name w:val="Footer Char1"/>
    <w:aliases w:val="Doc Footer Char1"/>
    <w:basedOn w:val="DefaultParagraphFont"/>
    <w:uiPriority w:val="99"/>
    <w:locked/>
    <w:rsid w:val="00B04E32"/>
    <w:rPr>
      <w:rFonts w:ascii="Arial" w:hAnsi="Arial" w:cs="Times New Roman"/>
      <w:sz w:val="24"/>
      <w:szCs w:val="24"/>
      <w:lang w:val="en-GB" w:eastAsia="en-GB" w:bidi="ar-SA"/>
    </w:rPr>
  </w:style>
  <w:style w:type="paragraph" w:customStyle="1" w:styleId="Default1">
    <w:name w:val="Default1"/>
    <w:basedOn w:val="Normal"/>
    <w:next w:val="Normal"/>
    <w:uiPriority w:val="99"/>
    <w:rsid w:val="007631D8"/>
    <w:pPr>
      <w:autoSpaceDE w:val="0"/>
      <w:autoSpaceDN w:val="0"/>
      <w:adjustRightInd w:val="0"/>
    </w:pPr>
    <w:rPr>
      <w:rFonts w:cs="Times New Roman"/>
    </w:rPr>
  </w:style>
  <w:style w:type="paragraph" w:styleId="BodyTextIndent">
    <w:name w:val="Body Text Indent"/>
    <w:basedOn w:val="Normal"/>
    <w:link w:val="BodyTextIndentChar"/>
    <w:uiPriority w:val="99"/>
    <w:locked/>
    <w:rsid w:val="00690713"/>
    <w:pPr>
      <w:spacing w:after="120"/>
      <w:ind w:left="283"/>
    </w:pPr>
  </w:style>
  <w:style w:type="character" w:customStyle="1" w:styleId="BodyTextIndentChar">
    <w:name w:val="Body Text Indent Char"/>
    <w:basedOn w:val="DefaultParagraphFont"/>
    <w:link w:val="BodyTextIndent"/>
    <w:uiPriority w:val="99"/>
    <w:locked/>
    <w:rsid w:val="00067C17"/>
    <w:rPr>
      <w:rFonts w:ascii="Tahoma" w:hAnsi="Tahoma" w:cs="Tahoma"/>
      <w:sz w:val="24"/>
      <w:szCs w:val="24"/>
    </w:rPr>
  </w:style>
  <w:style w:type="paragraph" w:customStyle="1" w:styleId="Body">
    <w:name w:val="Body"/>
    <w:uiPriority w:val="99"/>
    <w:rsid w:val="00A80229"/>
    <w:rPr>
      <w:rFonts w:ascii="Verdana" w:hAnsi="Verdana" w:cs="Verdana"/>
      <w:color w:val="000000"/>
      <w:sz w:val="24"/>
      <w:szCs w:val="24"/>
      <w:u w:color="000000"/>
    </w:rPr>
  </w:style>
  <w:style w:type="paragraph" w:customStyle="1" w:styleId="pharmentry">
    <w:name w:val="pharmentry"/>
    <w:basedOn w:val="Normal"/>
    <w:uiPriority w:val="99"/>
    <w:rsid w:val="00FF1EF5"/>
    <w:pPr>
      <w:spacing w:before="100" w:beforeAutospacing="1" w:after="100" w:afterAutospacing="1"/>
    </w:pPr>
    <w:rPr>
      <w:rFonts w:ascii="Times New Roman" w:hAnsi="Times New Roman" w:cs="Times New Roman"/>
    </w:rPr>
  </w:style>
  <w:style w:type="paragraph" w:customStyle="1" w:styleId="intro">
    <w:name w:val="intro"/>
    <w:basedOn w:val="Normal"/>
    <w:uiPriority w:val="99"/>
    <w:rsid w:val="00571CD7"/>
    <w:pPr>
      <w:spacing w:before="100" w:beforeAutospacing="1" w:after="240"/>
    </w:pPr>
    <w:rPr>
      <w:rFonts w:ascii="Times New Roman" w:hAnsi="Times New Roman" w:cs="Times New Roman"/>
    </w:rPr>
  </w:style>
  <w:style w:type="character" w:customStyle="1" w:styleId="citationauthor">
    <w:name w:val="citation_author"/>
    <w:basedOn w:val="DefaultParagraphFont"/>
    <w:rsid w:val="00571CD7"/>
  </w:style>
  <w:style w:type="character" w:customStyle="1" w:styleId="citationdate">
    <w:name w:val="citation_date"/>
    <w:basedOn w:val="DefaultParagraphFont"/>
    <w:rsid w:val="00571CD7"/>
  </w:style>
  <w:style w:type="character" w:customStyle="1" w:styleId="citationarticletitle">
    <w:name w:val="citation_article_title"/>
    <w:basedOn w:val="DefaultParagraphFont"/>
    <w:rsid w:val="00571CD7"/>
  </w:style>
  <w:style w:type="character" w:customStyle="1" w:styleId="citationjournaltitle">
    <w:name w:val="citation_journal_title"/>
    <w:basedOn w:val="DefaultParagraphFont"/>
    <w:rsid w:val="00571CD7"/>
  </w:style>
  <w:style w:type="character" w:customStyle="1" w:styleId="citationissue">
    <w:name w:val="citation_issue"/>
    <w:basedOn w:val="DefaultParagraphFont"/>
    <w:rsid w:val="00571CD7"/>
  </w:style>
  <w:style w:type="character" w:customStyle="1" w:styleId="citationstartpage">
    <w:name w:val="citation_start_page"/>
    <w:basedOn w:val="DefaultParagraphFont"/>
    <w:rsid w:val="00571CD7"/>
  </w:style>
  <w:style w:type="character" w:customStyle="1" w:styleId="citationdoi">
    <w:name w:val="citation_doi"/>
    <w:basedOn w:val="DefaultParagraphFont"/>
    <w:rsid w:val="00571CD7"/>
  </w:style>
  <w:style w:type="paragraph" w:customStyle="1" w:styleId="CoverSheet">
    <w:name w:val="Cover Sheet"/>
    <w:basedOn w:val="Normal"/>
    <w:uiPriority w:val="99"/>
    <w:rsid w:val="00430F7B"/>
    <w:pPr>
      <w:spacing w:before="120"/>
    </w:pPr>
    <w:rPr>
      <w:rFonts w:ascii="Arial" w:hAnsi="Arial" w:cs="Arial"/>
      <w:szCs w:val="20"/>
      <w:lang w:eastAsia="en-US"/>
    </w:rPr>
  </w:style>
  <w:style w:type="paragraph" w:styleId="Subtitle">
    <w:name w:val="Subtitle"/>
    <w:basedOn w:val="Normal"/>
    <w:link w:val="SubtitleChar"/>
    <w:uiPriority w:val="11"/>
    <w:qFormat/>
    <w:locked/>
    <w:rsid w:val="0005413A"/>
    <w:pPr>
      <w:jc w:val="center"/>
    </w:pPr>
    <w:rPr>
      <w:rFonts w:ascii="Times New Roman" w:eastAsiaTheme="minorHAnsi" w:hAnsi="Times New Roman" w:cs="Times New Roman"/>
      <w:sz w:val="28"/>
      <w:szCs w:val="28"/>
    </w:rPr>
  </w:style>
  <w:style w:type="character" w:customStyle="1" w:styleId="SubtitleChar">
    <w:name w:val="Subtitle Char"/>
    <w:basedOn w:val="DefaultParagraphFont"/>
    <w:link w:val="Subtitle"/>
    <w:uiPriority w:val="11"/>
    <w:rsid w:val="0005413A"/>
    <w:rPr>
      <w:rFonts w:eastAsiaTheme="minorHAnsi"/>
      <w:sz w:val="28"/>
      <w:szCs w:val="28"/>
    </w:rPr>
  </w:style>
  <w:style w:type="paragraph" w:customStyle="1" w:styleId="Pa13">
    <w:name w:val="Pa13"/>
    <w:basedOn w:val="Normal"/>
    <w:next w:val="Normal"/>
    <w:uiPriority w:val="99"/>
    <w:rsid w:val="00487375"/>
    <w:pPr>
      <w:autoSpaceDE w:val="0"/>
      <w:autoSpaceDN w:val="0"/>
      <w:adjustRightInd w:val="0"/>
      <w:spacing w:line="241" w:lineRule="atLeast"/>
    </w:pPr>
    <w:rPr>
      <w:rFonts w:ascii="Frutiger LT Std 45 Light" w:hAnsi="Frutiger LT Std 45 Light" w:cs="Times New Roman"/>
    </w:rPr>
  </w:style>
  <w:style w:type="table" w:styleId="MediumShading2-Accent2">
    <w:name w:val="Medium Shading 2 Accent 2"/>
    <w:basedOn w:val="TableNormal"/>
    <w:uiPriority w:val="64"/>
    <w:rsid w:val="00A845F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A845F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uiPriority w:val="64"/>
    <w:rsid w:val="00A845F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4">
    <w:name w:val="Light List Accent 4"/>
    <w:basedOn w:val="TableNormal"/>
    <w:uiPriority w:val="61"/>
    <w:rsid w:val="00A845F3"/>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A845F3"/>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Shading-Accent5">
    <w:name w:val="Light Shading Accent 5"/>
    <w:basedOn w:val="TableNormal"/>
    <w:uiPriority w:val="60"/>
    <w:rsid w:val="003350AE"/>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3">
    <w:name w:val="Light Shading Accent 3"/>
    <w:basedOn w:val="TableNormal"/>
    <w:uiPriority w:val="60"/>
    <w:rsid w:val="00C1113A"/>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TOC1">
    <w:name w:val="toc 1"/>
    <w:basedOn w:val="Normal"/>
    <w:next w:val="Normal"/>
    <w:autoRedefine/>
    <w:uiPriority w:val="39"/>
    <w:rsid w:val="00124FEC"/>
    <w:pPr>
      <w:spacing w:before="360" w:after="360"/>
      <w:jc w:val="left"/>
    </w:pPr>
    <w:rPr>
      <w:rFonts w:asciiTheme="minorHAnsi" w:hAnsiTheme="minorHAnsi"/>
      <w:b/>
      <w:bCs/>
      <w:caps/>
      <w:szCs w:val="22"/>
      <w:u w:val="single"/>
    </w:rPr>
  </w:style>
  <w:style w:type="paragraph" w:styleId="TOC2">
    <w:name w:val="toc 2"/>
    <w:basedOn w:val="Normal"/>
    <w:next w:val="Normal"/>
    <w:autoRedefine/>
    <w:uiPriority w:val="39"/>
    <w:rsid w:val="00124FEC"/>
    <w:pPr>
      <w:jc w:val="left"/>
    </w:pPr>
    <w:rPr>
      <w:rFonts w:asciiTheme="minorHAnsi" w:hAnsiTheme="minorHAnsi"/>
      <w:b/>
      <w:bCs/>
      <w:smallCaps/>
      <w:szCs w:val="22"/>
    </w:rPr>
  </w:style>
  <w:style w:type="paragraph" w:styleId="TOC3">
    <w:name w:val="toc 3"/>
    <w:basedOn w:val="Normal"/>
    <w:next w:val="Normal"/>
    <w:autoRedefine/>
    <w:uiPriority w:val="39"/>
    <w:rsid w:val="006B31E5"/>
    <w:pPr>
      <w:jc w:val="left"/>
    </w:pPr>
    <w:rPr>
      <w:rFonts w:asciiTheme="minorHAnsi" w:hAnsiTheme="minorHAnsi"/>
      <w:smallCaps/>
      <w:szCs w:val="22"/>
    </w:rPr>
  </w:style>
  <w:style w:type="table" w:customStyle="1" w:styleId="LightShading-Accent11">
    <w:name w:val="Light Shading - Accent 11"/>
    <w:basedOn w:val="TableNormal"/>
    <w:uiPriority w:val="60"/>
    <w:rsid w:val="00A47574"/>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Accent11">
    <w:name w:val="Light List - Accent 11"/>
    <w:basedOn w:val="TableNormal"/>
    <w:uiPriority w:val="61"/>
    <w:rsid w:val="000266DB"/>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3-Accent5">
    <w:name w:val="Medium Grid 3 Accent 5"/>
    <w:basedOn w:val="TableNormal"/>
    <w:uiPriority w:val="69"/>
    <w:rsid w:val="00750A6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olorfulGrid-Accent5">
    <w:name w:val="Colorful Grid Accent 5"/>
    <w:basedOn w:val="TableNormal"/>
    <w:uiPriority w:val="73"/>
    <w:rsid w:val="00750A6B"/>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Shading1-Accent5">
    <w:name w:val="Medium Shading 1 Accent 5"/>
    <w:basedOn w:val="TableNormal"/>
    <w:uiPriority w:val="63"/>
    <w:rsid w:val="00750A6B"/>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ColorfulShading-Accent5">
    <w:name w:val="Colorful Shading Accent 5"/>
    <w:basedOn w:val="TableNormal"/>
    <w:uiPriority w:val="71"/>
    <w:rsid w:val="00750A6B"/>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MediumGrid1-Accent5">
    <w:name w:val="Medium Grid 1 Accent 5"/>
    <w:basedOn w:val="TableNormal"/>
    <w:uiPriority w:val="67"/>
    <w:rsid w:val="00750A6B"/>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LightShading-Accent12">
    <w:name w:val="Light Shading - Accent 12"/>
    <w:basedOn w:val="TableNormal"/>
    <w:uiPriority w:val="60"/>
    <w:rsid w:val="00CA04D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Grid-Accent11">
    <w:name w:val="Light Grid - Accent 11"/>
    <w:basedOn w:val="TableNormal"/>
    <w:uiPriority w:val="62"/>
    <w:rsid w:val="00504ECC"/>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1-Accent3">
    <w:name w:val="Medium Shading 1 Accent 3"/>
    <w:basedOn w:val="TableNormal"/>
    <w:uiPriority w:val="63"/>
    <w:rsid w:val="00460CDE"/>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Web3">
    <w:name w:val="Table Web 3"/>
    <w:basedOn w:val="TableNormal"/>
    <w:locked/>
    <w:rsid w:val="00CD582F"/>
    <w:rPr>
      <w:rFonts w:ascii="Verdana" w:hAnsi="Verdana"/>
      <w:sz w:val="24"/>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DarkList-Accent3">
    <w:name w:val="Dark List Accent 3"/>
    <w:basedOn w:val="TableNormal"/>
    <w:uiPriority w:val="70"/>
    <w:rsid w:val="001E1BE4"/>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paragraph" w:customStyle="1" w:styleId="msonospacing0">
    <w:name w:val="msonospacing"/>
    <w:uiPriority w:val="99"/>
    <w:rsid w:val="00C5689C"/>
    <w:rPr>
      <w:rFonts w:ascii="Calibri" w:hAnsi="Calibri"/>
      <w:lang w:eastAsia="en-US"/>
    </w:rPr>
  </w:style>
  <w:style w:type="table" w:customStyle="1" w:styleId="LightGrid-Accent12">
    <w:name w:val="Light Grid - Accent 12"/>
    <w:basedOn w:val="TableNormal"/>
    <w:uiPriority w:val="62"/>
    <w:rsid w:val="003538BF"/>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olorfulGrid-Accent1">
    <w:name w:val="Colorful Grid Accent 1"/>
    <w:basedOn w:val="TableNormal"/>
    <w:uiPriority w:val="73"/>
    <w:rsid w:val="001115EE"/>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LightList-Accent12">
    <w:name w:val="Light List - Accent 12"/>
    <w:basedOn w:val="TableNormal"/>
    <w:uiPriority w:val="61"/>
    <w:rsid w:val="00E20655"/>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DarkList-Accent1">
    <w:name w:val="Dark List Accent 1"/>
    <w:basedOn w:val="TableNormal"/>
    <w:uiPriority w:val="70"/>
    <w:rsid w:val="005B2A60"/>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6">
    <w:name w:val="Dark List Accent 6"/>
    <w:basedOn w:val="TableNormal"/>
    <w:uiPriority w:val="70"/>
    <w:rsid w:val="001116AF"/>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Accent3">
    <w:name w:val="Colorful Shading Accent 3"/>
    <w:basedOn w:val="TableNormal"/>
    <w:uiPriority w:val="71"/>
    <w:rsid w:val="00E35235"/>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paragraph" w:styleId="NoSpacing">
    <w:name w:val="No Spacing"/>
    <w:uiPriority w:val="1"/>
    <w:qFormat/>
    <w:rsid w:val="008A5E3F"/>
    <w:rPr>
      <w:rFonts w:ascii="Calibri" w:hAnsi="Calibri"/>
      <w:lang w:eastAsia="en-US"/>
    </w:rPr>
  </w:style>
  <w:style w:type="paragraph" w:customStyle="1" w:styleId="yiv9304505675msonormal">
    <w:name w:val="yiv9304505675msonormal"/>
    <w:basedOn w:val="Normal"/>
    <w:uiPriority w:val="99"/>
    <w:rsid w:val="00A60070"/>
    <w:pPr>
      <w:spacing w:before="100" w:beforeAutospacing="1" w:after="100" w:afterAutospacing="1"/>
    </w:pPr>
    <w:rPr>
      <w:rFonts w:ascii="Times New Roman" w:hAnsi="Times New Roman" w:cs="Times New Roman"/>
    </w:rPr>
  </w:style>
  <w:style w:type="table" w:customStyle="1" w:styleId="LightGrid1">
    <w:name w:val="Light Grid1"/>
    <w:basedOn w:val="TableNormal"/>
    <w:uiPriority w:val="62"/>
    <w:rsid w:val="00E666E0"/>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CM18">
    <w:name w:val="CM18"/>
    <w:basedOn w:val="Default"/>
    <w:next w:val="Default"/>
    <w:uiPriority w:val="99"/>
    <w:rsid w:val="00B33A9B"/>
    <w:pPr>
      <w:widowControl w:val="0"/>
    </w:pPr>
    <w:rPr>
      <w:rFonts w:ascii="Helvetica" w:hAnsi="Helvetica" w:cs="Times New Roman"/>
      <w:color w:val="auto"/>
    </w:rPr>
  </w:style>
  <w:style w:type="paragraph" w:styleId="PlainText">
    <w:name w:val="Plain Text"/>
    <w:basedOn w:val="Normal"/>
    <w:link w:val="PlainTextChar"/>
    <w:uiPriority w:val="99"/>
    <w:locked/>
    <w:rsid w:val="00A96DB5"/>
    <w:rPr>
      <w:rFonts w:ascii="Consolas" w:hAnsi="Consolas" w:cs="Times New Roman"/>
      <w:sz w:val="21"/>
      <w:szCs w:val="21"/>
    </w:rPr>
  </w:style>
  <w:style w:type="character" w:customStyle="1" w:styleId="PlainTextChar">
    <w:name w:val="Plain Text Char"/>
    <w:basedOn w:val="DefaultParagraphFont"/>
    <w:link w:val="PlainText"/>
    <w:uiPriority w:val="99"/>
    <w:rsid w:val="00A96DB5"/>
    <w:rPr>
      <w:rFonts w:ascii="Consolas" w:hAnsi="Consolas"/>
      <w:sz w:val="21"/>
      <w:szCs w:val="21"/>
    </w:rPr>
  </w:style>
  <w:style w:type="paragraph" w:customStyle="1" w:styleId="BodyA">
    <w:name w:val="Body A"/>
    <w:uiPriority w:val="99"/>
    <w:rsid w:val="004A400D"/>
    <w:pPr>
      <w:pBdr>
        <w:top w:val="nil"/>
        <w:left w:val="nil"/>
        <w:bottom w:val="nil"/>
        <w:right w:val="nil"/>
        <w:between w:val="nil"/>
        <w:bar w:val="nil"/>
      </w:pBdr>
    </w:pPr>
    <w:rPr>
      <w:rFonts w:eastAsia="Arial Unicode MS" w:hAnsi="Arial Unicode MS" w:cs="Arial Unicode MS"/>
      <w:color w:val="000000"/>
      <w:sz w:val="24"/>
      <w:szCs w:val="24"/>
      <w:u w:color="000000"/>
      <w:bdr w:val="nil"/>
      <w:lang w:val="en-US"/>
    </w:rPr>
  </w:style>
  <w:style w:type="paragraph" w:customStyle="1" w:styleId="StyleHeaderNotBold">
    <w:name w:val="Style Header + Not Bold"/>
    <w:basedOn w:val="Header"/>
    <w:uiPriority w:val="99"/>
    <w:rsid w:val="003D425B"/>
  </w:style>
  <w:style w:type="paragraph" w:styleId="TOCHeading">
    <w:name w:val="TOC Heading"/>
    <w:basedOn w:val="Heading1"/>
    <w:next w:val="Normal"/>
    <w:uiPriority w:val="39"/>
    <w:semiHidden/>
    <w:unhideWhenUsed/>
    <w:qFormat/>
    <w:rsid w:val="001A391A"/>
    <w:pPr>
      <w:keepLines/>
      <w:numPr>
        <w:numId w:val="0"/>
      </w:numPr>
      <w:tabs>
        <w:tab w:val="clear" w:pos="1134"/>
      </w:tabs>
      <w:spacing w:before="480" w:after="0" w:line="276" w:lineRule="auto"/>
      <w:outlineLvl w:val="9"/>
    </w:pPr>
    <w:rPr>
      <w:rFonts w:asciiTheme="majorHAnsi" w:eastAsiaTheme="majorEastAsia" w:hAnsiTheme="majorHAnsi" w:cstheme="majorBidi"/>
      <w:caps w:val="0"/>
      <w:color w:val="365F91" w:themeColor="accent1" w:themeShade="BF"/>
      <w:kern w:val="0"/>
      <w:szCs w:val="28"/>
      <w:lang w:val="en-US"/>
    </w:rPr>
  </w:style>
  <w:style w:type="paragraph" w:styleId="TOC4">
    <w:name w:val="toc 4"/>
    <w:basedOn w:val="Normal"/>
    <w:next w:val="Normal"/>
    <w:autoRedefine/>
    <w:uiPriority w:val="39"/>
    <w:unhideWhenUsed/>
    <w:rsid w:val="00786192"/>
    <w:pPr>
      <w:jc w:val="left"/>
    </w:pPr>
    <w:rPr>
      <w:rFonts w:asciiTheme="minorHAnsi" w:hAnsiTheme="minorHAnsi"/>
      <w:szCs w:val="22"/>
    </w:rPr>
  </w:style>
  <w:style w:type="paragraph" w:styleId="TOC5">
    <w:name w:val="toc 5"/>
    <w:basedOn w:val="Normal"/>
    <w:next w:val="Normal"/>
    <w:autoRedefine/>
    <w:uiPriority w:val="39"/>
    <w:unhideWhenUsed/>
    <w:rsid w:val="001A391A"/>
    <w:pPr>
      <w:jc w:val="left"/>
    </w:pPr>
    <w:rPr>
      <w:rFonts w:asciiTheme="minorHAnsi" w:hAnsiTheme="minorHAnsi"/>
      <w:szCs w:val="22"/>
    </w:rPr>
  </w:style>
  <w:style w:type="paragraph" w:styleId="TOC6">
    <w:name w:val="toc 6"/>
    <w:basedOn w:val="Normal"/>
    <w:next w:val="Normal"/>
    <w:autoRedefine/>
    <w:uiPriority w:val="39"/>
    <w:unhideWhenUsed/>
    <w:rsid w:val="001A391A"/>
    <w:pPr>
      <w:jc w:val="left"/>
    </w:pPr>
    <w:rPr>
      <w:rFonts w:asciiTheme="minorHAnsi" w:hAnsiTheme="minorHAnsi"/>
      <w:szCs w:val="22"/>
    </w:rPr>
  </w:style>
  <w:style w:type="paragraph" w:styleId="TOC7">
    <w:name w:val="toc 7"/>
    <w:basedOn w:val="Normal"/>
    <w:next w:val="Normal"/>
    <w:autoRedefine/>
    <w:uiPriority w:val="39"/>
    <w:unhideWhenUsed/>
    <w:rsid w:val="001A391A"/>
    <w:pPr>
      <w:jc w:val="left"/>
    </w:pPr>
    <w:rPr>
      <w:rFonts w:asciiTheme="minorHAnsi" w:hAnsiTheme="minorHAnsi"/>
      <w:szCs w:val="22"/>
    </w:rPr>
  </w:style>
  <w:style w:type="paragraph" w:styleId="TOC8">
    <w:name w:val="toc 8"/>
    <w:basedOn w:val="Normal"/>
    <w:next w:val="Normal"/>
    <w:autoRedefine/>
    <w:uiPriority w:val="39"/>
    <w:unhideWhenUsed/>
    <w:rsid w:val="001A391A"/>
    <w:pPr>
      <w:jc w:val="left"/>
    </w:pPr>
    <w:rPr>
      <w:rFonts w:asciiTheme="minorHAnsi" w:hAnsiTheme="minorHAnsi"/>
      <w:szCs w:val="22"/>
    </w:rPr>
  </w:style>
  <w:style w:type="paragraph" w:styleId="TOC9">
    <w:name w:val="toc 9"/>
    <w:basedOn w:val="Normal"/>
    <w:next w:val="Normal"/>
    <w:autoRedefine/>
    <w:uiPriority w:val="39"/>
    <w:unhideWhenUsed/>
    <w:rsid w:val="001A391A"/>
    <w:pPr>
      <w:jc w:val="left"/>
    </w:pPr>
    <w:rPr>
      <w:rFonts w:asciiTheme="minorHAnsi" w:hAnsiTheme="minorHAnsi"/>
      <w:szCs w:val="22"/>
    </w:rPr>
  </w:style>
  <w:style w:type="character" w:customStyle="1" w:styleId="st1">
    <w:name w:val="st1"/>
    <w:basedOn w:val="DefaultParagraphFont"/>
    <w:rsid w:val="005822D3"/>
  </w:style>
  <w:style w:type="table" w:customStyle="1" w:styleId="GridTable4-Accent51">
    <w:name w:val="Grid Table 4 - Accent 51"/>
    <w:basedOn w:val="TableNormal"/>
    <w:uiPriority w:val="49"/>
    <w:rsid w:val="00801B24"/>
    <w:rPr>
      <w:rFonts w:asciiTheme="minorHAnsi" w:eastAsiaTheme="minorHAnsi" w:hAnsiTheme="minorHAnsi" w:cstheme="minorBidi"/>
      <w:lang w:eastAsia="en-US"/>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apple-converted-space">
    <w:name w:val="apple-converted-space"/>
    <w:basedOn w:val="DefaultParagraphFont"/>
    <w:rsid w:val="00753157"/>
  </w:style>
  <w:style w:type="paragraph" w:customStyle="1" w:styleId="IPCBullet1">
    <w:name w:val="IPC Bullet 1"/>
    <w:basedOn w:val="Normal"/>
    <w:uiPriority w:val="99"/>
    <w:qFormat/>
    <w:rsid w:val="00CF74C9"/>
    <w:pPr>
      <w:numPr>
        <w:numId w:val="2"/>
      </w:numPr>
      <w:tabs>
        <w:tab w:val="left" w:pos="426"/>
      </w:tabs>
      <w:spacing w:after="60"/>
      <w:ind w:left="425" w:hanging="425"/>
      <w:jc w:val="left"/>
    </w:pPr>
    <w:rPr>
      <w:rFonts w:ascii="Arial" w:hAnsi="Arial" w:cs="Helvetica"/>
      <w:lang w:eastAsia="en-US"/>
    </w:rPr>
  </w:style>
  <w:style w:type="paragraph" w:customStyle="1" w:styleId="rtecenter">
    <w:name w:val="rtecenter"/>
    <w:basedOn w:val="Normal"/>
    <w:uiPriority w:val="99"/>
    <w:rsid w:val="00476953"/>
    <w:pPr>
      <w:spacing w:line="172" w:lineRule="atLeast"/>
      <w:jc w:val="center"/>
      <w:textAlignment w:val="baseline"/>
    </w:pPr>
    <w:rPr>
      <w:rFonts w:ascii="Arial" w:hAnsi="Arial" w:cs="Arial"/>
      <w:color w:val="666666"/>
      <w:sz w:val="14"/>
      <w:szCs w:val="14"/>
    </w:rPr>
  </w:style>
  <w:style w:type="paragraph" w:customStyle="1" w:styleId="western">
    <w:name w:val="western"/>
    <w:basedOn w:val="Normal"/>
    <w:uiPriority w:val="99"/>
    <w:rsid w:val="005E4BD6"/>
    <w:pPr>
      <w:spacing w:before="100" w:beforeAutospacing="1" w:after="142" w:line="288" w:lineRule="auto"/>
      <w:jc w:val="left"/>
    </w:pPr>
    <w:rPr>
      <w:rFonts w:ascii="Times New Roman" w:eastAsiaTheme="minorHAnsi" w:hAnsi="Times New Roman" w:cs="Times New Roman"/>
      <w:lang w:val="en-US" w:eastAsia="en-US"/>
    </w:rPr>
  </w:style>
  <w:style w:type="paragraph" w:customStyle="1" w:styleId="NormaBullet">
    <w:name w:val="Norma (Bullet)"/>
    <w:basedOn w:val="ListParagraph"/>
    <w:qFormat/>
    <w:rsid w:val="002C6A38"/>
    <w:pPr>
      <w:numPr>
        <w:numId w:val="4"/>
      </w:numPr>
      <w:contextualSpacing w:val="0"/>
    </w:pPr>
  </w:style>
  <w:style w:type="paragraph" w:customStyle="1" w:styleId="NormaBulletIndent">
    <w:name w:val="Norma (Bullet Indent)"/>
    <w:basedOn w:val="Normal"/>
    <w:uiPriority w:val="99"/>
    <w:qFormat/>
    <w:rsid w:val="001B4071"/>
    <w:pPr>
      <w:numPr>
        <w:numId w:val="5"/>
      </w:numPr>
    </w:pPr>
  </w:style>
  <w:style w:type="paragraph" w:customStyle="1" w:styleId="WordDefaultStyleA">
    <w:name w:val="Word Default Style A"/>
    <w:uiPriority w:val="99"/>
    <w:rsid w:val="00C53714"/>
    <w:rPr>
      <w:rFonts w:eastAsia="Arial Unicode MS" w:cs="Arial Unicode MS"/>
      <w:color w:val="000000"/>
      <w:sz w:val="24"/>
      <w:szCs w:val="24"/>
      <w:u w:color="000000"/>
      <w:lang w:val="en-US" w:eastAsia="en-US"/>
    </w:rPr>
  </w:style>
  <w:style w:type="paragraph" w:styleId="Caption">
    <w:name w:val="caption"/>
    <w:basedOn w:val="Normal"/>
    <w:next w:val="Normal"/>
    <w:uiPriority w:val="35"/>
    <w:unhideWhenUsed/>
    <w:qFormat/>
    <w:locked/>
    <w:rsid w:val="0039551D"/>
    <w:pPr>
      <w:spacing w:after="200"/>
      <w:jc w:val="left"/>
    </w:pPr>
    <w:rPr>
      <w:rFonts w:eastAsiaTheme="minorHAnsi" w:cstheme="minorBidi"/>
      <w:b/>
      <w:bCs/>
      <w:color w:val="4F81BD" w:themeColor="accent1"/>
      <w:sz w:val="18"/>
      <w:szCs w:val="18"/>
      <w:lang w:val="en-US" w:eastAsia="en-US"/>
    </w:rPr>
  </w:style>
  <w:style w:type="paragraph" w:customStyle="1" w:styleId="NormalBullet">
    <w:name w:val="Normal (Bullet)"/>
    <w:basedOn w:val="ListParagraph"/>
    <w:uiPriority w:val="99"/>
    <w:qFormat/>
    <w:rsid w:val="0039551D"/>
    <w:pPr>
      <w:numPr>
        <w:numId w:val="6"/>
      </w:numPr>
      <w:ind w:left="357" w:hanging="357"/>
    </w:pPr>
    <w:rPr>
      <w:rFonts w:cs="Times New Roman"/>
    </w:rPr>
  </w:style>
  <w:style w:type="character" w:customStyle="1" w:styleId="A7">
    <w:name w:val="A7"/>
    <w:uiPriority w:val="99"/>
    <w:rsid w:val="00F41F43"/>
    <w:rPr>
      <w:rFonts w:cs="Neo Sans Std"/>
      <w:color w:val="000000"/>
      <w:sz w:val="18"/>
      <w:szCs w:val="18"/>
    </w:rPr>
  </w:style>
  <w:style w:type="table" w:styleId="TableGridLight">
    <w:name w:val="Grid Table Light"/>
    <w:basedOn w:val="TableNormal"/>
    <w:uiPriority w:val="40"/>
    <w:rsid w:val="00527F3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Italictext">
    <w:name w:val="Italic text"/>
    <w:uiPriority w:val="99"/>
    <w:rsid w:val="009A3910"/>
    <w:rPr>
      <w:rFonts w:ascii="HelveticaNeue-Italic" w:hAnsi="HelveticaNeue-Italic" w:cs="HelveticaNeue-Italic"/>
      <w:i/>
      <w:iCs/>
      <w:color w:val="000000"/>
      <w:spacing w:val="0"/>
      <w:sz w:val="24"/>
      <w:szCs w:val="24"/>
      <w:u w:val="none"/>
      <w:vertAlign w:val="baseline"/>
    </w:rPr>
  </w:style>
  <w:style w:type="table" w:customStyle="1" w:styleId="TableGrid1">
    <w:name w:val="Table Grid1"/>
    <w:basedOn w:val="TableNormal"/>
    <w:next w:val="TableGrid"/>
    <w:rsid w:val="00D50FA6"/>
    <w:rPr>
      <w:rFonts w:ascii="Verdana" w:hAnsi="Verdana"/>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D50FA6"/>
    <w:rPr>
      <w:rFonts w:ascii="Verdana" w:hAnsi="Verdana"/>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BulletIndent">
    <w:name w:val="Normal (Bullet Indent)"/>
    <w:basedOn w:val="ListParagraph"/>
    <w:qFormat/>
    <w:rsid w:val="00BF78FD"/>
    <w:pPr>
      <w:numPr>
        <w:numId w:val="8"/>
      </w:numPr>
      <w:ind w:left="714" w:hanging="357"/>
    </w:pPr>
    <w:rPr>
      <w:rFonts w:cs="Arial"/>
    </w:rPr>
  </w:style>
  <w:style w:type="character" w:styleId="SubtleReference">
    <w:name w:val="Subtle Reference"/>
    <w:basedOn w:val="DefaultParagraphFont"/>
    <w:uiPriority w:val="31"/>
    <w:qFormat/>
    <w:rsid w:val="00536897"/>
    <w:rPr>
      <w:smallCaps/>
      <w:color w:val="5A5A5A" w:themeColor="text1" w:themeTint="A5"/>
    </w:rPr>
  </w:style>
  <w:style w:type="character" w:customStyle="1" w:styleId="FootnoteTextChar1">
    <w:name w:val="Footnote Text Char1"/>
    <w:aliases w:val="fn Char1,Footnote Text (EKOS) Char1,Footnote (EKOS) Char1"/>
    <w:basedOn w:val="DefaultParagraphFont"/>
    <w:uiPriority w:val="99"/>
    <w:semiHidden/>
    <w:rsid w:val="00BF6074"/>
    <w:rPr>
      <w:rFonts w:ascii="Calibri" w:eastAsia="Times New Roman" w:hAnsi="Calibri" w:cs="Tahoma"/>
      <w:sz w:val="20"/>
      <w:szCs w:val="20"/>
      <w:lang w:val="en-GB" w:eastAsia="en-GB"/>
    </w:rPr>
  </w:style>
  <w:style w:type="table" w:customStyle="1" w:styleId="TableGridLight1">
    <w:name w:val="Table Grid Light1"/>
    <w:basedOn w:val="TableNormal"/>
    <w:uiPriority w:val="40"/>
    <w:rsid w:val="00BF607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tyleHeading2PatternClearAccent2">
    <w:name w:val="Style Heading 2 + Pattern: Clear (Accent 2)"/>
    <w:basedOn w:val="Heading2"/>
    <w:rsid w:val="0073562C"/>
    <w:pPr>
      <w:shd w:val="clear" w:color="auto" w:fill="D99594" w:themeFill="accent2" w:themeFillTint="99"/>
    </w:pPr>
    <w:rPr>
      <w:rFonts w:cs="Times New Roman"/>
      <w:iCs w:val="0"/>
      <w:szCs w:val="20"/>
    </w:rPr>
  </w:style>
  <w:style w:type="character" w:customStyle="1" w:styleId="A4">
    <w:name w:val="A4"/>
    <w:uiPriority w:val="99"/>
    <w:rsid w:val="00095F39"/>
    <w:rPr>
      <w:color w:val="000000"/>
      <w:sz w:val="79"/>
    </w:rPr>
  </w:style>
  <w:style w:type="table" w:customStyle="1" w:styleId="TableGrid3">
    <w:name w:val="Table Grid3"/>
    <w:basedOn w:val="TableNormal"/>
    <w:next w:val="TableGrid"/>
    <w:uiPriority w:val="39"/>
    <w:rsid w:val="000227C6"/>
    <w:pPr>
      <w:jc w:val="center"/>
    </w:pPr>
    <w:rPr>
      <w:rFonts w:ascii="Verdana" w:eastAsiaTheme="minorHAnsi" w:hAnsi="Verdana"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NormaBullet11pt">
    <w:name w:val="Style Norma (Bullet) + 11 pt"/>
    <w:basedOn w:val="NormaBullet"/>
    <w:rsid w:val="00BF78FD"/>
  </w:style>
  <w:style w:type="paragraph" w:customStyle="1" w:styleId="Pa5">
    <w:name w:val="Pa5"/>
    <w:basedOn w:val="Normal"/>
    <w:next w:val="Normal"/>
    <w:uiPriority w:val="99"/>
    <w:rsid w:val="00D852F5"/>
    <w:pPr>
      <w:autoSpaceDE w:val="0"/>
      <w:autoSpaceDN w:val="0"/>
      <w:adjustRightInd w:val="0"/>
      <w:spacing w:line="201" w:lineRule="atLeast"/>
      <w:jc w:val="left"/>
    </w:pPr>
    <w:rPr>
      <w:rFonts w:ascii="Metronic Slab Pro Regular" w:eastAsiaTheme="minorHAnsi" w:hAnsi="Metronic Slab Pro Regular" w:cstheme="minorBidi"/>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448">
      <w:bodyDiv w:val="1"/>
      <w:marLeft w:val="0"/>
      <w:marRight w:val="0"/>
      <w:marTop w:val="0"/>
      <w:marBottom w:val="0"/>
      <w:divBdr>
        <w:top w:val="none" w:sz="0" w:space="0" w:color="auto"/>
        <w:left w:val="none" w:sz="0" w:space="0" w:color="auto"/>
        <w:bottom w:val="none" w:sz="0" w:space="0" w:color="auto"/>
        <w:right w:val="none" w:sz="0" w:space="0" w:color="auto"/>
      </w:divBdr>
    </w:div>
    <w:div w:id="8412898">
      <w:bodyDiv w:val="1"/>
      <w:marLeft w:val="0"/>
      <w:marRight w:val="0"/>
      <w:marTop w:val="0"/>
      <w:marBottom w:val="0"/>
      <w:divBdr>
        <w:top w:val="none" w:sz="0" w:space="0" w:color="auto"/>
        <w:left w:val="none" w:sz="0" w:space="0" w:color="auto"/>
        <w:bottom w:val="none" w:sz="0" w:space="0" w:color="auto"/>
        <w:right w:val="none" w:sz="0" w:space="0" w:color="auto"/>
      </w:divBdr>
    </w:div>
    <w:div w:id="9988111">
      <w:bodyDiv w:val="1"/>
      <w:marLeft w:val="0"/>
      <w:marRight w:val="0"/>
      <w:marTop w:val="0"/>
      <w:marBottom w:val="0"/>
      <w:divBdr>
        <w:top w:val="none" w:sz="0" w:space="0" w:color="auto"/>
        <w:left w:val="none" w:sz="0" w:space="0" w:color="auto"/>
        <w:bottom w:val="none" w:sz="0" w:space="0" w:color="auto"/>
        <w:right w:val="none" w:sz="0" w:space="0" w:color="auto"/>
      </w:divBdr>
    </w:div>
    <w:div w:id="10885932">
      <w:bodyDiv w:val="1"/>
      <w:marLeft w:val="0"/>
      <w:marRight w:val="0"/>
      <w:marTop w:val="0"/>
      <w:marBottom w:val="0"/>
      <w:divBdr>
        <w:top w:val="none" w:sz="0" w:space="0" w:color="auto"/>
        <w:left w:val="none" w:sz="0" w:space="0" w:color="auto"/>
        <w:bottom w:val="none" w:sz="0" w:space="0" w:color="auto"/>
        <w:right w:val="none" w:sz="0" w:space="0" w:color="auto"/>
      </w:divBdr>
    </w:div>
    <w:div w:id="45957642">
      <w:bodyDiv w:val="1"/>
      <w:marLeft w:val="0"/>
      <w:marRight w:val="0"/>
      <w:marTop w:val="0"/>
      <w:marBottom w:val="0"/>
      <w:divBdr>
        <w:top w:val="none" w:sz="0" w:space="0" w:color="auto"/>
        <w:left w:val="none" w:sz="0" w:space="0" w:color="auto"/>
        <w:bottom w:val="none" w:sz="0" w:space="0" w:color="auto"/>
        <w:right w:val="none" w:sz="0" w:space="0" w:color="auto"/>
      </w:divBdr>
    </w:div>
    <w:div w:id="75589874">
      <w:bodyDiv w:val="1"/>
      <w:marLeft w:val="0"/>
      <w:marRight w:val="0"/>
      <w:marTop w:val="0"/>
      <w:marBottom w:val="0"/>
      <w:divBdr>
        <w:top w:val="none" w:sz="0" w:space="0" w:color="auto"/>
        <w:left w:val="none" w:sz="0" w:space="0" w:color="auto"/>
        <w:bottom w:val="none" w:sz="0" w:space="0" w:color="auto"/>
        <w:right w:val="none" w:sz="0" w:space="0" w:color="auto"/>
      </w:divBdr>
    </w:div>
    <w:div w:id="80417848">
      <w:bodyDiv w:val="1"/>
      <w:marLeft w:val="0"/>
      <w:marRight w:val="0"/>
      <w:marTop w:val="0"/>
      <w:marBottom w:val="0"/>
      <w:divBdr>
        <w:top w:val="none" w:sz="0" w:space="0" w:color="auto"/>
        <w:left w:val="none" w:sz="0" w:space="0" w:color="auto"/>
        <w:bottom w:val="none" w:sz="0" w:space="0" w:color="auto"/>
        <w:right w:val="none" w:sz="0" w:space="0" w:color="auto"/>
      </w:divBdr>
    </w:div>
    <w:div w:id="92216158">
      <w:bodyDiv w:val="1"/>
      <w:marLeft w:val="0"/>
      <w:marRight w:val="0"/>
      <w:marTop w:val="0"/>
      <w:marBottom w:val="0"/>
      <w:divBdr>
        <w:top w:val="none" w:sz="0" w:space="0" w:color="auto"/>
        <w:left w:val="none" w:sz="0" w:space="0" w:color="auto"/>
        <w:bottom w:val="none" w:sz="0" w:space="0" w:color="auto"/>
        <w:right w:val="none" w:sz="0" w:space="0" w:color="auto"/>
      </w:divBdr>
    </w:div>
    <w:div w:id="93332828">
      <w:bodyDiv w:val="1"/>
      <w:marLeft w:val="0"/>
      <w:marRight w:val="0"/>
      <w:marTop w:val="0"/>
      <w:marBottom w:val="0"/>
      <w:divBdr>
        <w:top w:val="none" w:sz="0" w:space="0" w:color="auto"/>
        <w:left w:val="none" w:sz="0" w:space="0" w:color="auto"/>
        <w:bottom w:val="none" w:sz="0" w:space="0" w:color="auto"/>
        <w:right w:val="none" w:sz="0" w:space="0" w:color="auto"/>
      </w:divBdr>
    </w:div>
    <w:div w:id="105544247">
      <w:bodyDiv w:val="1"/>
      <w:marLeft w:val="0"/>
      <w:marRight w:val="0"/>
      <w:marTop w:val="0"/>
      <w:marBottom w:val="0"/>
      <w:divBdr>
        <w:top w:val="none" w:sz="0" w:space="0" w:color="auto"/>
        <w:left w:val="none" w:sz="0" w:space="0" w:color="auto"/>
        <w:bottom w:val="none" w:sz="0" w:space="0" w:color="auto"/>
        <w:right w:val="none" w:sz="0" w:space="0" w:color="auto"/>
      </w:divBdr>
    </w:div>
    <w:div w:id="108742620">
      <w:bodyDiv w:val="1"/>
      <w:marLeft w:val="0"/>
      <w:marRight w:val="0"/>
      <w:marTop w:val="0"/>
      <w:marBottom w:val="0"/>
      <w:divBdr>
        <w:top w:val="none" w:sz="0" w:space="0" w:color="auto"/>
        <w:left w:val="none" w:sz="0" w:space="0" w:color="auto"/>
        <w:bottom w:val="none" w:sz="0" w:space="0" w:color="auto"/>
        <w:right w:val="none" w:sz="0" w:space="0" w:color="auto"/>
      </w:divBdr>
    </w:div>
    <w:div w:id="116340637">
      <w:bodyDiv w:val="1"/>
      <w:marLeft w:val="0"/>
      <w:marRight w:val="0"/>
      <w:marTop w:val="0"/>
      <w:marBottom w:val="0"/>
      <w:divBdr>
        <w:top w:val="none" w:sz="0" w:space="0" w:color="auto"/>
        <w:left w:val="none" w:sz="0" w:space="0" w:color="auto"/>
        <w:bottom w:val="none" w:sz="0" w:space="0" w:color="auto"/>
        <w:right w:val="none" w:sz="0" w:space="0" w:color="auto"/>
      </w:divBdr>
    </w:div>
    <w:div w:id="147334148">
      <w:bodyDiv w:val="1"/>
      <w:marLeft w:val="0"/>
      <w:marRight w:val="0"/>
      <w:marTop w:val="0"/>
      <w:marBottom w:val="0"/>
      <w:divBdr>
        <w:top w:val="none" w:sz="0" w:space="0" w:color="auto"/>
        <w:left w:val="none" w:sz="0" w:space="0" w:color="auto"/>
        <w:bottom w:val="none" w:sz="0" w:space="0" w:color="auto"/>
        <w:right w:val="none" w:sz="0" w:space="0" w:color="auto"/>
      </w:divBdr>
    </w:div>
    <w:div w:id="154229233">
      <w:bodyDiv w:val="1"/>
      <w:marLeft w:val="0"/>
      <w:marRight w:val="0"/>
      <w:marTop w:val="0"/>
      <w:marBottom w:val="0"/>
      <w:divBdr>
        <w:top w:val="none" w:sz="0" w:space="0" w:color="auto"/>
        <w:left w:val="none" w:sz="0" w:space="0" w:color="auto"/>
        <w:bottom w:val="none" w:sz="0" w:space="0" w:color="auto"/>
        <w:right w:val="none" w:sz="0" w:space="0" w:color="auto"/>
      </w:divBdr>
    </w:div>
    <w:div w:id="187984887">
      <w:bodyDiv w:val="1"/>
      <w:marLeft w:val="0"/>
      <w:marRight w:val="0"/>
      <w:marTop w:val="0"/>
      <w:marBottom w:val="0"/>
      <w:divBdr>
        <w:top w:val="none" w:sz="0" w:space="0" w:color="auto"/>
        <w:left w:val="none" w:sz="0" w:space="0" w:color="auto"/>
        <w:bottom w:val="none" w:sz="0" w:space="0" w:color="auto"/>
        <w:right w:val="none" w:sz="0" w:space="0" w:color="auto"/>
      </w:divBdr>
    </w:div>
    <w:div w:id="201331894">
      <w:bodyDiv w:val="1"/>
      <w:marLeft w:val="0"/>
      <w:marRight w:val="0"/>
      <w:marTop w:val="0"/>
      <w:marBottom w:val="0"/>
      <w:divBdr>
        <w:top w:val="none" w:sz="0" w:space="0" w:color="auto"/>
        <w:left w:val="none" w:sz="0" w:space="0" w:color="auto"/>
        <w:bottom w:val="none" w:sz="0" w:space="0" w:color="auto"/>
        <w:right w:val="none" w:sz="0" w:space="0" w:color="auto"/>
      </w:divBdr>
      <w:divsChild>
        <w:div w:id="2019843660">
          <w:marLeft w:val="360"/>
          <w:marRight w:val="0"/>
          <w:marTop w:val="200"/>
          <w:marBottom w:val="0"/>
          <w:divBdr>
            <w:top w:val="none" w:sz="0" w:space="0" w:color="auto"/>
            <w:left w:val="none" w:sz="0" w:space="0" w:color="auto"/>
            <w:bottom w:val="none" w:sz="0" w:space="0" w:color="auto"/>
            <w:right w:val="none" w:sz="0" w:space="0" w:color="auto"/>
          </w:divBdr>
        </w:div>
        <w:div w:id="1813474531">
          <w:marLeft w:val="360"/>
          <w:marRight w:val="0"/>
          <w:marTop w:val="200"/>
          <w:marBottom w:val="0"/>
          <w:divBdr>
            <w:top w:val="none" w:sz="0" w:space="0" w:color="auto"/>
            <w:left w:val="none" w:sz="0" w:space="0" w:color="auto"/>
            <w:bottom w:val="none" w:sz="0" w:space="0" w:color="auto"/>
            <w:right w:val="none" w:sz="0" w:space="0" w:color="auto"/>
          </w:divBdr>
        </w:div>
        <w:div w:id="485627499">
          <w:marLeft w:val="360"/>
          <w:marRight w:val="0"/>
          <w:marTop w:val="200"/>
          <w:marBottom w:val="0"/>
          <w:divBdr>
            <w:top w:val="none" w:sz="0" w:space="0" w:color="auto"/>
            <w:left w:val="none" w:sz="0" w:space="0" w:color="auto"/>
            <w:bottom w:val="none" w:sz="0" w:space="0" w:color="auto"/>
            <w:right w:val="none" w:sz="0" w:space="0" w:color="auto"/>
          </w:divBdr>
        </w:div>
        <w:div w:id="690229941">
          <w:marLeft w:val="360"/>
          <w:marRight w:val="0"/>
          <w:marTop w:val="200"/>
          <w:marBottom w:val="0"/>
          <w:divBdr>
            <w:top w:val="none" w:sz="0" w:space="0" w:color="auto"/>
            <w:left w:val="none" w:sz="0" w:space="0" w:color="auto"/>
            <w:bottom w:val="none" w:sz="0" w:space="0" w:color="auto"/>
            <w:right w:val="none" w:sz="0" w:space="0" w:color="auto"/>
          </w:divBdr>
        </w:div>
        <w:div w:id="58405259">
          <w:marLeft w:val="360"/>
          <w:marRight w:val="0"/>
          <w:marTop w:val="200"/>
          <w:marBottom w:val="0"/>
          <w:divBdr>
            <w:top w:val="none" w:sz="0" w:space="0" w:color="auto"/>
            <w:left w:val="none" w:sz="0" w:space="0" w:color="auto"/>
            <w:bottom w:val="none" w:sz="0" w:space="0" w:color="auto"/>
            <w:right w:val="none" w:sz="0" w:space="0" w:color="auto"/>
          </w:divBdr>
        </w:div>
        <w:div w:id="1401750278">
          <w:marLeft w:val="360"/>
          <w:marRight w:val="0"/>
          <w:marTop w:val="200"/>
          <w:marBottom w:val="0"/>
          <w:divBdr>
            <w:top w:val="none" w:sz="0" w:space="0" w:color="auto"/>
            <w:left w:val="none" w:sz="0" w:space="0" w:color="auto"/>
            <w:bottom w:val="none" w:sz="0" w:space="0" w:color="auto"/>
            <w:right w:val="none" w:sz="0" w:space="0" w:color="auto"/>
          </w:divBdr>
        </w:div>
      </w:divsChild>
    </w:div>
    <w:div w:id="210458840">
      <w:bodyDiv w:val="1"/>
      <w:marLeft w:val="0"/>
      <w:marRight w:val="0"/>
      <w:marTop w:val="0"/>
      <w:marBottom w:val="0"/>
      <w:divBdr>
        <w:top w:val="none" w:sz="0" w:space="0" w:color="auto"/>
        <w:left w:val="none" w:sz="0" w:space="0" w:color="auto"/>
        <w:bottom w:val="none" w:sz="0" w:space="0" w:color="auto"/>
        <w:right w:val="none" w:sz="0" w:space="0" w:color="auto"/>
      </w:divBdr>
    </w:div>
    <w:div w:id="211774659">
      <w:bodyDiv w:val="1"/>
      <w:marLeft w:val="0"/>
      <w:marRight w:val="0"/>
      <w:marTop w:val="0"/>
      <w:marBottom w:val="0"/>
      <w:divBdr>
        <w:top w:val="none" w:sz="0" w:space="0" w:color="auto"/>
        <w:left w:val="none" w:sz="0" w:space="0" w:color="auto"/>
        <w:bottom w:val="none" w:sz="0" w:space="0" w:color="auto"/>
        <w:right w:val="none" w:sz="0" w:space="0" w:color="auto"/>
      </w:divBdr>
    </w:div>
    <w:div w:id="224730758">
      <w:bodyDiv w:val="1"/>
      <w:marLeft w:val="0"/>
      <w:marRight w:val="0"/>
      <w:marTop w:val="0"/>
      <w:marBottom w:val="0"/>
      <w:divBdr>
        <w:top w:val="none" w:sz="0" w:space="0" w:color="auto"/>
        <w:left w:val="none" w:sz="0" w:space="0" w:color="auto"/>
        <w:bottom w:val="none" w:sz="0" w:space="0" w:color="auto"/>
        <w:right w:val="none" w:sz="0" w:space="0" w:color="auto"/>
      </w:divBdr>
    </w:div>
    <w:div w:id="228079749">
      <w:bodyDiv w:val="1"/>
      <w:marLeft w:val="0"/>
      <w:marRight w:val="0"/>
      <w:marTop w:val="0"/>
      <w:marBottom w:val="0"/>
      <w:divBdr>
        <w:top w:val="none" w:sz="0" w:space="0" w:color="auto"/>
        <w:left w:val="none" w:sz="0" w:space="0" w:color="auto"/>
        <w:bottom w:val="none" w:sz="0" w:space="0" w:color="auto"/>
        <w:right w:val="none" w:sz="0" w:space="0" w:color="auto"/>
      </w:divBdr>
      <w:divsChild>
        <w:div w:id="1521817332">
          <w:marLeft w:val="0"/>
          <w:marRight w:val="0"/>
          <w:marTop w:val="100"/>
          <w:marBottom w:val="100"/>
          <w:divBdr>
            <w:top w:val="none" w:sz="0" w:space="0" w:color="auto"/>
            <w:left w:val="none" w:sz="0" w:space="0" w:color="auto"/>
            <w:bottom w:val="none" w:sz="0" w:space="0" w:color="auto"/>
            <w:right w:val="none" w:sz="0" w:space="0" w:color="auto"/>
          </w:divBdr>
          <w:divsChild>
            <w:div w:id="96802690">
              <w:marLeft w:val="0"/>
              <w:marRight w:val="0"/>
              <w:marTop w:val="0"/>
              <w:marBottom w:val="0"/>
              <w:divBdr>
                <w:top w:val="none" w:sz="0" w:space="0" w:color="auto"/>
                <w:left w:val="none" w:sz="0" w:space="0" w:color="auto"/>
                <w:bottom w:val="none" w:sz="0" w:space="0" w:color="auto"/>
                <w:right w:val="none" w:sz="0" w:space="0" w:color="auto"/>
              </w:divBdr>
              <w:divsChild>
                <w:div w:id="1961715816">
                  <w:marLeft w:val="150"/>
                  <w:marRight w:val="150"/>
                  <w:marTop w:val="0"/>
                  <w:marBottom w:val="0"/>
                  <w:divBdr>
                    <w:top w:val="none" w:sz="0" w:space="0" w:color="auto"/>
                    <w:left w:val="none" w:sz="0" w:space="0" w:color="auto"/>
                    <w:bottom w:val="none" w:sz="0" w:space="0" w:color="auto"/>
                    <w:right w:val="none" w:sz="0" w:space="0" w:color="auto"/>
                  </w:divBdr>
                  <w:divsChild>
                    <w:div w:id="1206941701">
                      <w:marLeft w:val="0"/>
                      <w:marRight w:val="0"/>
                      <w:marTop w:val="0"/>
                      <w:marBottom w:val="0"/>
                      <w:divBdr>
                        <w:top w:val="none" w:sz="0" w:space="0" w:color="auto"/>
                        <w:left w:val="none" w:sz="0" w:space="0" w:color="auto"/>
                        <w:bottom w:val="none" w:sz="0" w:space="0" w:color="auto"/>
                        <w:right w:val="none" w:sz="0" w:space="0" w:color="auto"/>
                      </w:divBdr>
                      <w:divsChild>
                        <w:div w:id="1828084070">
                          <w:marLeft w:val="0"/>
                          <w:marRight w:val="0"/>
                          <w:marTop w:val="0"/>
                          <w:marBottom w:val="0"/>
                          <w:divBdr>
                            <w:top w:val="none" w:sz="0" w:space="0" w:color="auto"/>
                            <w:left w:val="none" w:sz="0" w:space="0" w:color="auto"/>
                            <w:bottom w:val="none" w:sz="0" w:space="0" w:color="auto"/>
                            <w:right w:val="none" w:sz="0" w:space="0" w:color="auto"/>
                          </w:divBdr>
                          <w:divsChild>
                            <w:div w:id="1020665891">
                              <w:marLeft w:val="0"/>
                              <w:marRight w:val="0"/>
                              <w:marTop w:val="0"/>
                              <w:marBottom w:val="0"/>
                              <w:divBdr>
                                <w:top w:val="none" w:sz="0" w:space="0" w:color="auto"/>
                                <w:left w:val="none" w:sz="0" w:space="0" w:color="auto"/>
                                <w:bottom w:val="none" w:sz="0" w:space="0" w:color="auto"/>
                                <w:right w:val="none" w:sz="0" w:space="0" w:color="auto"/>
                              </w:divBdr>
                              <w:divsChild>
                                <w:div w:id="1120029019">
                                  <w:marLeft w:val="0"/>
                                  <w:marRight w:val="0"/>
                                  <w:marTop w:val="0"/>
                                  <w:marBottom w:val="0"/>
                                  <w:divBdr>
                                    <w:top w:val="none" w:sz="0" w:space="0" w:color="auto"/>
                                    <w:left w:val="none" w:sz="0" w:space="0" w:color="auto"/>
                                    <w:bottom w:val="none" w:sz="0" w:space="0" w:color="auto"/>
                                    <w:right w:val="none" w:sz="0" w:space="0" w:color="auto"/>
                                  </w:divBdr>
                                  <w:divsChild>
                                    <w:div w:id="987519695">
                                      <w:marLeft w:val="0"/>
                                      <w:marRight w:val="0"/>
                                      <w:marTop w:val="0"/>
                                      <w:marBottom w:val="0"/>
                                      <w:divBdr>
                                        <w:top w:val="none" w:sz="0" w:space="0" w:color="auto"/>
                                        <w:left w:val="none" w:sz="0" w:space="0" w:color="auto"/>
                                        <w:bottom w:val="none" w:sz="0" w:space="0" w:color="auto"/>
                                        <w:right w:val="none" w:sz="0" w:space="0" w:color="auto"/>
                                      </w:divBdr>
                                    </w:div>
                                    <w:div w:id="12796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8097418">
      <w:bodyDiv w:val="1"/>
      <w:marLeft w:val="0"/>
      <w:marRight w:val="0"/>
      <w:marTop w:val="0"/>
      <w:marBottom w:val="0"/>
      <w:divBdr>
        <w:top w:val="none" w:sz="0" w:space="0" w:color="auto"/>
        <w:left w:val="none" w:sz="0" w:space="0" w:color="auto"/>
        <w:bottom w:val="none" w:sz="0" w:space="0" w:color="auto"/>
        <w:right w:val="none" w:sz="0" w:space="0" w:color="auto"/>
      </w:divBdr>
    </w:div>
    <w:div w:id="240718213">
      <w:bodyDiv w:val="1"/>
      <w:marLeft w:val="0"/>
      <w:marRight w:val="0"/>
      <w:marTop w:val="0"/>
      <w:marBottom w:val="0"/>
      <w:divBdr>
        <w:top w:val="none" w:sz="0" w:space="0" w:color="auto"/>
        <w:left w:val="none" w:sz="0" w:space="0" w:color="auto"/>
        <w:bottom w:val="none" w:sz="0" w:space="0" w:color="auto"/>
        <w:right w:val="none" w:sz="0" w:space="0" w:color="auto"/>
      </w:divBdr>
    </w:div>
    <w:div w:id="252393657">
      <w:marLeft w:val="0"/>
      <w:marRight w:val="0"/>
      <w:marTop w:val="0"/>
      <w:marBottom w:val="0"/>
      <w:divBdr>
        <w:top w:val="none" w:sz="0" w:space="0" w:color="auto"/>
        <w:left w:val="none" w:sz="0" w:space="0" w:color="auto"/>
        <w:bottom w:val="none" w:sz="0" w:space="0" w:color="auto"/>
        <w:right w:val="none" w:sz="0" w:space="0" w:color="auto"/>
      </w:divBdr>
      <w:divsChild>
        <w:div w:id="252393692">
          <w:marLeft w:val="0"/>
          <w:marRight w:val="0"/>
          <w:marTop w:val="100"/>
          <w:marBottom w:val="100"/>
          <w:divBdr>
            <w:top w:val="none" w:sz="0" w:space="0" w:color="auto"/>
            <w:left w:val="none" w:sz="0" w:space="0" w:color="auto"/>
            <w:bottom w:val="none" w:sz="0" w:space="0" w:color="auto"/>
            <w:right w:val="none" w:sz="0" w:space="0" w:color="auto"/>
          </w:divBdr>
          <w:divsChild>
            <w:div w:id="252393681">
              <w:marLeft w:val="0"/>
              <w:marRight w:val="0"/>
              <w:marTop w:val="0"/>
              <w:marBottom w:val="0"/>
              <w:divBdr>
                <w:top w:val="none" w:sz="0" w:space="0" w:color="auto"/>
                <w:left w:val="none" w:sz="0" w:space="0" w:color="auto"/>
                <w:bottom w:val="none" w:sz="0" w:space="0" w:color="auto"/>
                <w:right w:val="none" w:sz="0" w:space="0" w:color="auto"/>
              </w:divBdr>
              <w:divsChild>
                <w:div w:id="252393702">
                  <w:marLeft w:val="150"/>
                  <w:marRight w:val="150"/>
                  <w:marTop w:val="0"/>
                  <w:marBottom w:val="0"/>
                  <w:divBdr>
                    <w:top w:val="none" w:sz="0" w:space="0" w:color="auto"/>
                    <w:left w:val="none" w:sz="0" w:space="0" w:color="auto"/>
                    <w:bottom w:val="none" w:sz="0" w:space="0" w:color="auto"/>
                    <w:right w:val="none" w:sz="0" w:space="0" w:color="auto"/>
                  </w:divBdr>
                  <w:divsChild>
                    <w:div w:id="252393699">
                      <w:marLeft w:val="0"/>
                      <w:marRight w:val="0"/>
                      <w:marTop w:val="0"/>
                      <w:marBottom w:val="0"/>
                      <w:divBdr>
                        <w:top w:val="none" w:sz="0" w:space="0" w:color="auto"/>
                        <w:left w:val="none" w:sz="0" w:space="0" w:color="auto"/>
                        <w:bottom w:val="none" w:sz="0" w:space="0" w:color="auto"/>
                        <w:right w:val="none" w:sz="0" w:space="0" w:color="auto"/>
                      </w:divBdr>
                      <w:divsChild>
                        <w:div w:id="252393659">
                          <w:marLeft w:val="0"/>
                          <w:marRight w:val="0"/>
                          <w:marTop w:val="0"/>
                          <w:marBottom w:val="0"/>
                          <w:divBdr>
                            <w:top w:val="none" w:sz="0" w:space="0" w:color="auto"/>
                            <w:left w:val="none" w:sz="0" w:space="0" w:color="auto"/>
                            <w:bottom w:val="none" w:sz="0" w:space="0" w:color="auto"/>
                            <w:right w:val="none" w:sz="0" w:space="0" w:color="auto"/>
                          </w:divBdr>
                          <w:divsChild>
                            <w:div w:id="252393685">
                              <w:marLeft w:val="0"/>
                              <w:marRight w:val="0"/>
                              <w:marTop w:val="0"/>
                              <w:marBottom w:val="0"/>
                              <w:divBdr>
                                <w:top w:val="none" w:sz="0" w:space="0" w:color="auto"/>
                                <w:left w:val="none" w:sz="0" w:space="0" w:color="auto"/>
                                <w:bottom w:val="none" w:sz="0" w:space="0" w:color="auto"/>
                                <w:right w:val="none" w:sz="0" w:space="0" w:color="auto"/>
                              </w:divBdr>
                              <w:divsChild>
                                <w:div w:id="252393706">
                                  <w:marLeft w:val="0"/>
                                  <w:marRight w:val="0"/>
                                  <w:marTop w:val="0"/>
                                  <w:marBottom w:val="0"/>
                                  <w:divBdr>
                                    <w:top w:val="none" w:sz="0" w:space="0" w:color="auto"/>
                                    <w:left w:val="none" w:sz="0" w:space="0" w:color="auto"/>
                                    <w:bottom w:val="none" w:sz="0" w:space="0" w:color="auto"/>
                                    <w:right w:val="none" w:sz="0" w:space="0" w:color="auto"/>
                                  </w:divBdr>
                                  <w:divsChild>
                                    <w:div w:id="252393650">
                                      <w:marLeft w:val="0"/>
                                      <w:marRight w:val="0"/>
                                      <w:marTop w:val="0"/>
                                      <w:marBottom w:val="0"/>
                                      <w:divBdr>
                                        <w:top w:val="none" w:sz="0" w:space="0" w:color="auto"/>
                                        <w:left w:val="none" w:sz="0" w:space="0" w:color="auto"/>
                                        <w:bottom w:val="none" w:sz="0" w:space="0" w:color="auto"/>
                                        <w:right w:val="none" w:sz="0" w:space="0" w:color="auto"/>
                                      </w:divBdr>
                                    </w:div>
                                    <w:div w:id="252393656">
                                      <w:marLeft w:val="0"/>
                                      <w:marRight w:val="0"/>
                                      <w:marTop w:val="0"/>
                                      <w:marBottom w:val="0"/>
                                      <w:divBdr>
                                        <w:top w:val="none" w:sz="0" w:space="0" w:color="auto"/>
                                        <w:left w:val="none" w:sz="0" w:space="0" w:color="auto"/>
                                        <w:bottom w:val="none" w:sz="0" w:space="0" w:color="auto"/>
                                        <w:right w:val="none" w:sz="0" w:space="0" w:color="auto"/>
                                      </w:divBdr>
                                    </w:div>
                                    <w:div w:id="252393658">
                                      <w:marLeft w:val="0"/>
                                      <w:marRight w:val="0"/>
                                      <w:marTop w:val="0"/>
                                      <w:marBottom w:val="0"/>
                                      <w:divBdr>
                                        <w:top w:val="none" w:sz="0" w:space="0" w:color="auto"/>
                                        <w:left w:val="none" w:sz="0" w:space="0" w:color="auto"/>
                                        <w:bottom w:val="none" w:sz="0" w:space="0" w:color="auto"/>
                                        <w:right w:val="none" w:sz="0" w:space="0" w:color="auto"/>
                                      </w:divBdr>
                                    </w:div>
                                    <w:div w:id="252393662">
                                      <w:marLeft w:val="0"/>
                                      <w:marRight w:val="0"/>
                                      <w:marTop w:val="0"/>
                                      <w:marBottom w:val="0"/>
                                      <w:divBdr>
                                        <w:top w:val="none" w:sz="0" w:space="0" w:color="auto"/>
                                        <w:left w:val="none" w:sz="0" w:space="0" w:color="auto"/>
                                        <w:bottom w:val="none" w:sz="0" w:space="0" w:color="auto"/>
                                        <w:right w:val="none" w:sz="0" w:space="0" w:color="auto"/>
                                      </w:divBdr>
                                    </w:div>
                                    <w:div w:id="252393663">
                                      <w:marLeft w:val="0"/>
                                      <w:marRight w:val="0"/>
                                      <w:marTop w:val="0"/>
                                      <w:marBottom w:val="0"/>
                                      <w:divBdr>
                                        <w:top w:val="none" w:sz="0" w:space="0" w:color="auto"/>
                                        <w:left w:val="none" w:sz="0" w:space="0" w:color="auto"/>
                                        <w:bottom w:val="none" w:sz="0" w:space="0" w:color="auto"/>
                                        <w:right w:val="none" w:sz="0" w:space="0" w:color="auto"/>
                                      </w:divBdr>
                                    </w:div>
                                    <w:div w:id="252393664">
                                      <w:marLeft w:val="0"/>
                                      <w:marRight w:val="0"/>
                                      <w:marTop w:val="0"/>
                                      <w:marBottom w:val="0"/>
                                      <w:divBdr>
                                        <w:top w:val="none" w:sz="0" w:space="0" w:color="auto"/>
                                        <w:left w:val="none" w:sz="0" w:space="0" w:color="auto"/>
                                        <w:bottom w:val="none" w:sz="0" w:space="0" w:color="auto"/>
                                        <w:right w:val="none" w:sz="0" w:space="0" w:color="auto"/>
                                      </w:divBdr>
                                    </w:div>
                                    <w:div w:id="252393665">
                                      <w:marLeft w:val="0"/>
                                      <w:marRight w:val="0"/>
                                      <w:marTop w:val="0"/>
                                      <w:marBottom w:val="0"/>
                                      <w:divBdr>
                                        <w:top w:val="none" w:sz="0" w:space="0" w:color="auto"/>
                                        <w:left w:val="none" w:sz="0" w:space="0" w:color="auto"/>
                                        <w:bottom w:val="none" w:sz="0" w:space="0" w:color="auto"/>
                                        <w:right w:val="none" w:sz="0" w:space="0" w:color="auto"/>
                                      </w:divBdr>
                                    </w:div>
                                    <w:div w:id="252393666">
                                      <w:marLeft w:val="0"/>
                                      <w:marRight w:val="0"/>
                                      <w:marTop w:val="0"/>
                                      <w:marBottom w:val="0"/>
                                      <w:divBdr>
                                        <w:top w:val="none" w:sz="0" w:space="0" w:color="auto"/>
                                        <w:left w:val="none" w:sz="0" w:space="0" w:color="auto"/>
                                        <w:bottom w:val="none" w:sz="0" w:space="0" w:color="auto"/>
                                        <w:right w:val="none" w:sz="0" w:space="0" w:color="auto"/>
                                      </w:divBdr>
                                    </w:div>
                                    <w:div w:id="252393668">
                                      <w:marLeft w:val="0"/>
                                      <w:marRight w:val="0"/>
                                      <w:marTop w:val="0"/>
                                      <w:marBottom w:val="0"/>
                                      <w:divBdr>
                                        <w:top w:val="none" w:sz="0" w:space="0" w:color="auto"/>
                                        <w:left w:val="none" w:sz="0" w:space="0" w:color="auto"/>
                                        <w:bottom w:val="none" w:sz="0" w:space="0" w:color="auto"/>
                                        <w:right w:val="none" w:sz="0" w:space="0" w:color="auto"/>
                                      </w:divBdr>
                                    </w:div>
                                    <w:div w:id="252393670">
                                      <w:marLeft w:val="0"/>
                                      <w:marRight w:val="0"/>
                                      <w:marTop w:val="0"/>
                                      <w:marBottom w:val="0"/>
                                      <w:divBdr>
                                        <w:top w:val="none" w:sz="0" w:space="0" w:color="auto"/>
                                        <w:left w:val="none" w:sz="0" w:space="0" w:color="auto"/>
                                        <w:bottom w:val="none" w:sz="0" w:space="0" w:color="auto"/>
                                        <w:right w:val="none" w:sz="0" w:space="0" w:color="auto"/>
                                      </w:divBdr>
                                    </w:div>
                                    <w:div w:id="252393671">
                                      <w:marLeft w:val="0"/>
                                      <w:marRight w:val="0"/>
                                      <w:marTop w:val="0"/>
                                      <w:marBottom w:val="0"/>
                                      <w:divBdr>
                                        <w:top w:val="none" w:sz="0" w:space="0" w:color="auto"/>
                                        <w:left w:val="none" w:sz="0" w:space="0" w:color="auto"/>
                                        <w:bottom w:val="none" w:sz="0" w:space="0" w:color="auto"/>
                                        <w:right w:val="none" w:sz="0" w:space="0" w:color="auto"/>
                                      </w:divBdr>
                                    </w:div>
                                    <w:div w:id="252393673">
                                      <w:marLeft w:val="0"/>
                                      <w:marRight w:val="0"/>
                                      <w:marTop w:val="0"/>
                                      <w:marBottom w:val="0"/>
                                      <w:divBdr>
                                        <w:top w:val="none" w:sz="0" w:space="0" w:color="auto"/>
                                        <w:left w:val="none" w:sz="0" w:space="0" w:color="auto"/>
                                        <w:bottom w:val="none" w:sz="0" w:space="0" w:color="auto"/>
                                        <w:right w:val="none" w:sz="0" w:space="0" w:color="auto"/>
                                      </w:divBdr>
                                    </w:div>
                                    <w:div w:id="252393674">
                                      <w:marLeft w:val="0"/>
                                      <w:marRight w:val="0"/>
                                      <w:marTop w:val="0"/>
                                      <w:marBottom w:val="0"/>
                                      <w:divBdr>
                                        <w:top w:val="none" w:sz="0" w:space="0" w:color="auto"/>
                                        <w:left w:val="none" w:sz="0" w:space="0" w:color="auto"/>
                                        <w:bottom w:val="none" w:sz="0" w:space="0" w:color="auto"/>
                                        <w:right w:val="none" w:sz="0" w:space="0" w:color="auto"/>
                                      </w:divBdr>
                                    </w:div>
                                    <w:div w:id="252393677">
                                      <w:marLeft w:val="0"/>
                                      <w:marRight w:val="0"/>
                                      <w:marTop w:val="0"/>
                                      <w:marBottom w:val="0"/>
                                      <w:divBdr>
                                        <w:top w:val="none" w:sz="0" w:space="0" w:color="auto"/>
                                        <w:left w:val="none" w:sz="0" w:space="0" w:color="auto"/>
                                        <w:bottom w:val="none" w:sz="0" w:space="0" w:color="auto"/>
                                        <w:right w:val="none" w:sz="0" w:space="0" w:color="auto"/>
                                      </w:divBdr>
                                    </w:div>
                                    <w:div w:id="252393678">
                                      <w:marLeft w:val="0"/>
                                      <w:marRight w:val="0"/>
                                      <w:marTop w:val="0"/>
                                      <w:marBottom w:val="0"/>
                                      <w:divBdr>
                                        <w:top w:val="none" w:sz="0" w:space="0" w:color="auto"/>
                                        <w:left w:val="none" w:sz="0" w:space="0" w:color="auto"/>
                                        <w:bottom w:val="none" w:sz="0" w:space="0" w:color="auto"/>
                                        <w:right w:val="none" w:sz="0" w:space="0" w:color="auto"/>
                                      </w:divBdr>
                                    </w:div>
                                    <w:div w:id="252393682">
                                      <w:marLeft w:val="0"/>
                                      <w:marRight w:val="0"/>
                                      <w:marTop w:val="0"/>
                                      <w:marBottom w:val="0"/>
                                      <w:divBdr>
                                        <w:top w:val="none" w:sz="0" w:space="0" w:color="auto"/>
                                        <w:left w:val="none" w:sz="0" w:space="0" w:color="auto"/>
                                        <w:bottom w:val="none" w:sz="0" w:space="0" w:color="auto"/>
                                        <w:right w:val="none" w:sz="0" w:space="0" w:color="auto"/>
                                      </w:divBdr>
                                    </w:div>
                                    <w:div w:id="252393687">
                                      <w:marLeft w:val="0"/>
                                      <w:marRight w:val="0"/>
                                      <w:marTop w:val="0"/>
                                      <w:marBottom w:val="0"/>
                                      <w:divBdr>
                                        <w:top w:val="none" w:sz="0" w:space="0" w:color="auto"/>
                                        <w:left w:val="none" w:sz="0" w:space="0" w:color="auto"/>
                                        <w:bottom w:val="none" w:sz="0" w:space="0" w:color="auto"/>
                                        <w:right w:val="none" w:sz="0" w:space="0" w:color="auto"/>
                                      </w:divBdr>
                                    </w:div>
                                    <w:div w:id="252393691">
                                      <w:marLeft w:val="0"/>
                                      <w:marRight w:val="0"/>
                                      <w:marTop w:val="0"/>
                                      <w:marBottom w:val="0"/>
                                      <w:divBdr>
                                        <w:top w:val="none" w:sz="0" w:space="0" w:color="auto"/>
                                        <w:left w:val="none" w:sz="0" w:space="0" w:color="auto"/>
                                        <w:bottom w:val="none" w:sz="0" w:space="0" w:color="auto"/>
                                        <w:right w:val="none" w:sz="0" w:space="0" w:color="auto"/>
                                      </w:divBdr>
                                    </w:div>
                                    <w:div w:id="252393693">
                                      <w:marLeft w:val="0"/>
                                      <w:marRight w:val="0"/>
                                      <w:marTop w:val="0"/>
                                      <w:marBottom w:val="0"/>
                                      <w:divBdr>
                                        <w:top w:val="none" w:sz="0" w:space="0" w:color="auto"/>
                                        <w:left w:val="none" w:sz="0" w:space="0" w:color="auto"/>
                                        <w:bottom w:val="none" w:sz="0" w:space="0" w:color="auto"/>
                                        <w:right w:val="none" w:sz="0" w:space="0" w:color="auto"/>
                                      </w:divBdr>
                                    </w:div>
                                    <w:div w:id="252393694">
                                      <w:marLeft w:val="0"/>
                                      <w:marRight w:val="0"/>
                                      <w:marTop w:val="0"/>
                                      <w:marBottom w:val="0"/>
                                      <w:divBdr>
                                        <w:top w:val="none" w:sz="0" w:space="0" w:color="auto"/>
                                        <w:left w:val="none" w:sz="0" w:space="0" w:color="auto"/>
                                        <w:bottom w:val="none" w:sz="0" w:space="0" w:color="auto"/>
                                        <w:right w:val="none" w:sz="0" w:space="0" w:color="auto"/>
                                      </w:divBdr>
                                    </w:div>
                                    <w:div w:id="252393695">
                                      <w:marLeft w:val="0"/>
                                      <w:marRight w:val="0"/>
                                      <w:marTop w:val="0"/>
                                      <w:marBottom w:val="0"/>
                                      <w:divBdr>
                                        <w:top w:val="none" w:sz="0" w:space="0" w:color="auto"/>
                                        <w:left w:val="none" w:sz="0" w:space="0" w:color="auto"/>
                                        <w:bottom w:val="none" w:sz="0" w:space="0" w:color="auto"/>
                                        <w:right w:val="none" w:sz="0" w:space="0" w:color="auto"/>
                                      </w:divBdr>
                                    </w:div>
                                    <w:div w:id="252393700">
                                      <w:marLeft w:val="0"/>
                                      <w:marRight w:val="0"/>
                                      <w:marTop w:val="0"/>
                                      <w:marBottom w:val="0"/>
                                      <w:divBdr>
                                        <w:top w:val="none" w:sz="0" w:space="0" w:color="auto"/>
                                        <w:left w:val="none" w:sz="0" w:space="0" w:color="auto"/>
                                        <w:bottom w:val="none" w:sz="0" w:space="0" w:color="auto"/>
                                        <w:right w:val="none" w:sz="0" w:space="0" w:color="auto"/>
                                      </w:divBdr>
                                    </w:div>
                                    <w:div w:id="252393705">
                                      <w:marLeft w:val="0"/>
                                      <w:marRight w:val="0"/>
                                      <w:marTop w:val="0"/>
                                      <w:marBottom w:val="0"/>
                                      <w:divBdr>
                                        <w:top w:val="none" w:sz="0" w:space="0" w:color="auto"/>
                                        <w:left w:val="none" w:sz="0" w:space="0" w:color="auto"/>
                                        <w:bottom w:val="none" w:sz="0" w:space="0" w:color="auto"/>
                                        <w:right w:val="none" w:sz="0" w:space="0" w:color="auto"/>
                                      </w:divBdr>
                                    </w:div>
                                    <w:div w:id="252393707">
                                      <w:marLeft w:val="0"/>
                                      <w:marRight w:val="0"/>
                                      <w:marTop w:val="0"/>
                                      <w:marBottom w:val="0"/>
                                      <w:divBdr>
                                        <w:top w:val="none" w:sz="0" w:space="0" w:color="auto"/>
                                        <w:left w:val="none" w:sz="0" w:space="0" w:color="auto"/>
                                        <w:bottom w:val="none" w:sz="0" w:space="0" w:color="auto"/>
                                        <w:right w:val="none" w:sz="0" w:space="0" w:color="auto"/>
                                      </w:divBdr>
                                    </w:div>
                                    <w:div w:id="252393708">
                                      <w:marLeft w:val="0"/>
                                      <w:marRight w:val="0"/>
                                      <w:marTop w:val="0"/>
                                      <w:marBottom w:val="0"/>
                                      <w:divBdr>
                                        <w:top w:val="none" w:sz="0" w:space="0" w:color="auto"/>
                                        <w:left w:val="none" w:sz="0" w:space="0" w:color="auto"/>
                                        <w:bottom w:val="none" w:sz="0" w:space="0" w:color="auto"/>
                                        <w:right w:val="none" w:sz="0" w:space="0" w:color="auto"/>
                                      </w:divBdr>
                                    </w:div>
                                    <w:div w:id="252393711">
                                      <w:marLeft w:val="0"/>
                                      <w:marRight w:val="0"/>
                                      <w:marTop w:val="0"/>
                                      <w:marBottom w:val="0"/>
                                      <w:divBdr>
                                        <w:top w:val="none" w:sz="0" w:space="0" w:color="auto"/>
                                        <w:left w:val="none" w:sz="0" w:space="0" w:color="auto"/>
                                        <w:bottom w:val="none" w:sz="0" w:space="0" w:color="auto"/>
                                        <w:right w:val="none" w:sz="0" w:space="0" w:color="auto"/>
                                      </w:divBdr>
                                    </w:div>
                                    <w:div w:id="252393712">
                                      <w:marLeft w:val="0"/>
                                      <w:marRight w:val="0"/>
                                      <w:marTop w:val="0"/>
                                      <w:marBottom w:val="0"/>
                                      <w:divBdr>
                                        <w:top w:val="none" w:sz="0" w:space="0" w:color="auto"/>
                                        <w:left w:val="none" w:sz="0" w:space="0" w:color="auto"/>
                                        <w:bottom w:val="none" w:sz="0" w:space="0" w:color="auto"/>
                                        <w:right w:val="none" w:sz="0" w:space="0" w:color="auto"/>
                                      </w:divBdr>
                                    </w:div>
                                    <w:div w:id="252393715">
                                      <w:marLeft w:val="0"/>
                                      <w:marRight w:val="0"/>
                                      <w:marTop w:val="0"/>
                                      <w:marBottom w:val="0"/>
                                      <w:divBdr>
                                        <w:top w:val="none" w:sz="0" w:space="0" w:color="auto"/>
                                        <w:left w:val="none" w:sz="0" w:space="0" w:color="auto"/>
                                        <w:bottom w:val="none" w:sz="0" w:space="0" w:color="auto"/>
                                        <w:right w:val="none" w:sz="0" w:space="0" w:color="auto"/>
                                      </w:divBdr>
                                    </w:div>
                                    <w:div w:id="25239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2393660">
      <w:marLeft w:val="0"/>
      <w:marRight w:val="0"/>
      <w:marTop w:val="0"/>
      <w:marBottom w:val="0"/>
      <w:divBdr>
        <w:top w:val="none" w:sz="0" w:space="0" w:color="auto"/>
        <w:left w:val="none" w:sz="0" w:space="0" w:color="auto"/>
        <w:bottom w:val="none" w:sz="0" w:space="0" w:color="auto"/>
        <w:right w:val="none" w:sz="0" w:space="0" w:color="auto"/>
      </w:divBdr>
      <w:divsChild>
        <w:div w:id="252393676">
          <w:marLeft w:val="0"/>
          <w:marRight w:val="0"/>
          <w:marTop w:val="100"/>
          <w:marBottom w:val="100"/>
          <w:divBdr>
            <w:top w:val="none" w:sz="0" w:space="0" w:color="auto"/>
            <w:left w:val="none" w:sz="0" w:space="0" w:color="auto"/>
            <w:bottom w:val="none" w:sz="0" w:space="0" w:color="auto"/>
            <w:right w:val="none" w:sz="0" w:space="0" w:color="auto"/>
          </w:divBdr>
          <w:divsChild>
            <w:div w:id="252393697">
              <w:marLeft w:val="0"/>
              <w:marRight w:val="0"/>
              <w:marTop w:val="0"/>
              <w:marBottom w:val="0"/>
              <w:divBdr>
                <w:top w:val="none" w:sz="0" w:space="0" w:color="auto"/>
                <w:left w:val="none" w:sz="0" w:space="0" w:color="auto"/>
                <w:bottom w:val="none" w:sz="0" w:space="0" w:color="auto"/>
                <w:right w:val="none" w:sz="0" w:space="0" w:color="auto"/>
              </w:divBdr>
              <w:divsChild>
                <w:div w:id="252393713">
                  <w:marLeft w:val="150"/>
                  <w:marRight w:val="150"/>
                  <w:marTop w:val="0"/>
                  <w:marBottom w:val="0"/>
                  <w:divBdr>
                    <w:top w:val="none" w:sz="0" w:space="0" w:color="auto"/>
                    <w:left w:val="none" w:sz="0" w:space="0" w:color="auto"/>
                    <w:bottom w:val="none" w:sz="0" w:space="0" w:color="auto"/>
                    <w:right w:val="none" w:sz="0" w:space="0" w:color="auto"/>
                  </w:divBdr>
                  <w:divsChild>
                    <w:div w:id="252393672">
                      <w:marLeft w:val="0"/>
                      <w:marRight w:val="0"/>
                      <w:marTop w:val="0"/>
                      <w:marBottom w:val="0"/>
                      <w:divBdr>
                        <w:top w:val="none" w:sz="0" w:space="0" w:color="auto"/>
                        <w:left w:val="none" w:sz="0" w:space="0" w:color="auto"/>
                        <w:bottom w:val="none" w:sz="0" w:space="0" w:color="auto"/>
                        <w:right w:val="none" w:sz="0" w:space="0" w:color="auto"/>
                      </w:divBdr>
                      <w:divsChild>
                        <w:div w:id="252393704">
                          <w:marLeft w:val="0"/>
                          <w:marRight w:val="0"/>
                          <w:marTop w:val="0"/>
                          <w:marBottom w:val="0"/>
                          <w:divBdr>
                            <w:top w:val="none" w:sz="0" w:space="0" w:color="auto"/>
                            <w:left w:val="none" w:sz="0" w:space="0" w:color="auto"/>
                            <w:bottom w:val="none" w:sz="0" w:space="0" w:color="auto"/>
                            <w:right w:val="none" w:sz="0" w:space="0" w:color="auto"/>
                          </w:divBdr>
                          <w:divsChild>
                            <w:div w:id="252393696">
                              <w:marLeft w:val="0"/>
                              <w:marRight w:val="0"/>
                              <w:marTop w:val="0"/>
                              <w:marBottom w:val="0"/>
                              <w:divBdr>
                                <w:top w:val="none" w:sz="0" w:space="0" w:color="auto"/>
                                <w:left w:val="none" w:sz="0" w:space="0" w:color="auto"/>
                                <w:bottom w:val="none" w:sz="0" w:space="0" w:color="auto"/>
                                <w:right w:val="none" w:sz="0" w:space="0" w:color="auto"/>
                              </w:divBdr>
                              <w:divsChild>
                                <w:div w:id="252393649">
                                  <w:marLeft w:val="0"/>
                                  <w:marRight w:val="0"/>
                                  <w:marTop w:val="0"/>
                                  <w:marBottom w:val="0"/>
                                  <w:divBdr>
                                    <w:top w:val="none" w:sz="0" w:space="0" w:color="auto"/>
                                    <w:left w:val="none" w:sz="0" w:space="0" w:color="auto"/>
                                    <w:bottom w:val="none" w:sz="0" w:space="0" w:color="auto"/>
                                    <w:right w:val="none" w:sz="0" w:space="0" w:color="auto"/>
                                  </w:divBdr>
                                  <w:divsChild>
                                    <w:div w:id="252393646">
                                      <w:marLeft w:val="0"/>
                                      <w:marRight w:val="0"/>
                                      <w:marTop w:val="0"/>
                                      <w:marBottom w:val="0"/>
                                      <w:divBdr>
                                        <w:top w:val="none" w:sz="0" w:space="0" w:color="auto"/>
                                        <w:left w:val="none" w:sz="0" w:space="0" w:color="auto"/>
                                        <w:bottom w:val="none" w:sz="0" w:space="0" w:color="auto"/>
                                        <w:right w:val="none" w:sz="0" w:space="0" w:color="auto"/>
                                      </w:divBdr>
                                    </w:div>
                                    <w:div w:id="252393647">
                                      <w:marLeft w:val="0"/>
                                      <w:marRight w:val="0"/>
                                      <w:marTop w:val="0"/>
                                      <w:marBottom w:val="0"/>
                                      <w:divBdr>
                                        <w:top w:val="none" w:sz="0" w:space="0" w:color="auto"/>
                                        <w:left w:val="none" w:sz="0" w:space="0" w:color="auto"/>
                                        <w:bottom w:val="none" w:sz="0" w:space="0" w:color="auto"/>
                                        <w:right w:val="none" w:sz="0" w:space="0" w:color="auto"/>
                                      </w:divBdr>
                                    </w:div>
                                    <w:div w:id="252393648">
                                      <w:marLeft w:val="0"/>
                                      <w:marRight w:val="0"/>
                                      <w:marTop w:val="0"/>
                                      <w:marBottom w:val="0"/>
                                      <w:divBdr>
                                        <w:top w:val="none" w:sz="0" w:space="0" w:color="auto"/>
                                        <w:left w:val="none" w:sz="0" w:space="0" w:color="auto"/>
                                        <w:bottom w:val="none" w:sz="0" w:space="0" w:color="auto"/>
                                        <w:right w:val="none" w:sz="0" w:space="0" w:color="auto"/>
                                      </w:divBdr>
                                    </w:div>
                                    <w:div w:id="252393651">
                                      <w:marLeft w:val="0"/>
                                      <w:marRight w:val="0"/>
                                      <w:marTop w:val="0"/>
                                      <w:marBottom w:val="0"/>
                                      <w:divBdr>
                                        <w:top w:val="none" w:sz="0" w:space="0" w:color="auto"/>
                                        <w:left w:val="none" w:sz="0" w:space="0" w:color="auto"/>
                                        <w:bottom w:val="none" w:sz="0" w:space="0" w:color="auto"/>
                                        <w:right w:val="none" w:sz="0" w:space="0" w:color="auto"/>
                                      </w:divBdr>
                                    </w:div>
                                    <w:div w:id="252393652">
                                      <w:marLeft w:val="0"/>
                                      <w:marRight w:val="0"/>
                                      <w:marTop w:val="0"/>
                                      <w:marBottom w:val="0"/>
                                      <w:divBdr>
                                        <w:top w:val="none" w:sz="0" w:space="0" w:color="auto"/>
                                        <w:left w:val="none" w:sz="0" w:space="0" w:color="auto"/>
                                        <w:bottom w:val="none" w:sz="0" w:space="0" w:color="auto"/>
                                        <w:right w:val="none" w:sz="0" w:space="0" w:color="auto"/>
                                      </w:divBdr>
                                    </w:div>
                                    <w:div w:id="252393653">
                                      <w:marLeft w:val="0"/>
                                      <w:marRight w:val="0"/>
                                      <w:marTop w:val="0"/>
                                      <w:marBottom w:val="0"/>
                                      <w:divBdr>
                                        <w:top w:val="none" w:sz="0" w:space="0" w:color="auto"/>
                                        <w:left w:val="none" w:sz="0" w:space="0" w:color="auto"/>
                                        <w:bottom w:val="none" w:sz="0" w:space="0" w:color="auto"/>
                                        <w:right w:val="none" w:sz="0" w:space="0" w:color="auto"/>
                                      </w:divBdr>
                                    </w:div>
                                    <w:div w:id="252393654">
                                      <w:marLeft w:val="0"/>
                                      <w:marRight w:val="0"/>
                                      <w:marTop w:val="0"/>
                                      <w:marBottom w:val="0"/>
                                      <w:divBdr>
                                        <w:top w:val="none" w:sz="0" w:space="0" w:color="auto"/>
                                        <w:left w:val="none" w:sz="0" w:space="0" w:color="auto"/>
                                        <w:bottom w:val="none" w:sz="0" w:space="0" w:color="auto"/>
                                        <w:right w:val="none" w:sz="0" w:space="0" w:color="auto"/>
                                      </w:divBdr>
                                    </w:div>
                                    <w:div w:id="252393655">
                                      <w:marLeft w:val="0"/>
                                      <w:marRight w:val="0"/>
                                      <w:marTop w:val="0"/>
                                      <w:marBottom w:val="0"/>
                                      <w:divBdr>
                                        <w:top w:val="none" w:sz="0" w:space="0" w:color="auto"/>
                                        <w:left w:val="none" w:sz="0" w:space="0" w:color="auto"/>
                                        <w:bottom w:val="none" w:sz="0" w:space="0" w:color="auto"/>
                                        <w:right w:val="none" w:sz="0" w:space="0" w:color="auto"/>
                                      </w:divBdr>
                                    </w:div>
                                    <w:div w:id="252393661">
                                      <w:marLeft w:val="0"/>
                                      <w:marRight w:val="0"/>
                                      <w:marTop w:val="0"/>
                                      <w:marBottom w:val="0"/>
                                      <w:divBdr>
                                        <w:top w:val="none" w:sz="0" w:space="0" w:color="auto"/>
                                        <w:left w:val="none" w:sz="0" w:space="0" w:color="auto"/>
                                        <w:bottom w:val="none" w:sz="0" w:space="0" w:color="auto"/>
                                        <w:right w:val="none" w:sz="0" w:space="0" w:color="auto"/>
                                      </w:divBdr>
                                    </w:div>
                                    <w:div w:id="252393667">
                                      <w:marLeft w:val="0"/>
                                      <w:marRight w:val="0"/>
                                      <w:marTop w:val="0"/>
                                      <w:marBottom w:val="0"/>
                                      <w:divBdr>
                                        <w:top w:val="none" w:sz="0" w:space="0" w:color="auto"/>
                                        <w:left w:val="none" w:sz="0" w:space="0" w:color="auto"/>
                                        <w:bottom w:val="none" w:sz="0" w:space="0" w:color="auto"/>
                                        <w:right w:val="none" w:sz="0" w:space="0" w:color="auto"/>
                                      </w:divBdr>
                                    </w:div>
                                    <w:div w:id="252393669">
                                      <w:marLeft w:val="0"/>
                                      <w:marRight w:val="0"/>
                                      <w:marTop w:val="0"/>
                                      <w:marBottom w:val="0"/>
                                      <w:divBdr>
                                        <w:top w:val="none" w:sz="0" w:space="0" w:color="auto"/>
                                        <w:left w:val="none" w:sz="0" w:space="0" w:color="auto"/>
                                        <w:bottom w:val="none" w:sz="0" w:space="0" w:color="auto"/>
                                        <w:right w:val="none" w:sz="0" w:space="0" w:color="auto"/>
                                      </w:divBdr>
                                    </w:div>
                                    <w:div w:id="252393675">
                                      <w:marLeft w:val="0"/>
                                      <w:marRight w:val="0"/>
                                      <w:marTop w:val="0"/>
                                      <w:marBottom w:val="0"/>
                                      <w:divBdr>
                                        <w:top w:val="none" w:sz="0" w:space="0" w:color="auto"/>
                                        <w:left w:val="none" w:sz="0" w:space="0" w:color="auto"/>
                                        <w:bottom w:val="none" w:sz="0" w:space="0" w:color="auto"/>
                                        <w:right w:val="none" w:sz="0" w:space="0" w:color="auto"/>
                                      </w:divBdr>
                                    </w:div>
                                    <w:div w:id="252393679">
                                      <w:marLeft w:val="0"/>
                                      <w:marRight w:val="0"/>
                                      <w:marTop w:val="0"/>
                                      <w:marBottom w:val="0"/>
                                      <w:divBdr>
                                        <w:top w:val="none" w:sz="0" w:space="0" w:color="auto"/>
                                        <w:left w:val="none" w:sz="0" w:space="0" w:color="auto"/>
                                        <w:bottom w:val="none" w:sz="0" w:space="0" w:color="auto"/>
                                        <w:right w:val="none" w:sz="0" w:space="0" w:color="auto"/>
                                      </w:divBdr>
                                    </w:div>
                                    <w:div w:id="252393680">
                                      <w:marLeft w:val="0"/>
                                      <w:marRight w:val="0"/>
                                      <w:marTop w:val="0"/>
                                      <w:marBottom w:val="0"/>
                                      <w:divBdr>
                                        <w:top w:val="none" w:sz="0" w:space="0" w:color="auto"/>
                                        <w:left w:val="none" w:sz="0" w:space="0" w:color="auto"/>
                                        <w:bottom w:val="none" w:sz="0" w:space="0" w:color="auto"/>
                                        <w:right w:val="none" w:sz="0" w:space="0" w:color="auto"/>
                                      </w:divBdr>
                                    </w:div>
                                    <w:div w:id="252393683">
                                      <w:marLeft w:val="0"/>
                                      <w:marRight w:val="0"/>
                                      <w:marTop w:val="0"/>
                                      <w:marBottom w:val="0"/>
                                      <w:divBdr>
                                        <w:top w:val="none" w:sz="0" w:space="0" w:color="auto"/>
                                        <w:left w:val="none" w:sz="0" w:space="0" w:color="auto"/>
                                        <w:bottom w:val="none" w:sz="0" w:space="0" w:color="auto"/>
                                        <w:right w:val="none" w:sz="0" w:space="0" w:color="auto"/>
                                      </w:divBdr>
                                    </w:div>
                                    <w:div w:id="252393684">
                                      <w:marLeft w:val="0"/>
                                      <w:marRight w:val="0"/>
                                      <w:marTop w:val="0"/>
                                      <w:marBottom w:val="0"/>
                                      <w:divBdr>
                                        <w:top w:val="none" w:sz="0" w:space="0" w:color="auto"/>
                                        <w:left w:val="none" w:sz="0" w:space="0" w:color="auto"/>
                                        <w:bottom w:val="none" w:sz="0" w:space="0" w:color="auto"/>
                                        <w:right w:val="none" w:sz="0" w:space="0" w:color="auto"/>
                                      </w:divBdr>
                                    </w:div>
                                    <w:div w:id="252393686">
                                      <w:marLeft w:val="0"/>
                                      <w:marRight w:val="0"/>
                                      <w:marTop w:val="0"/>
                                      <w:marBottom w:val="0"/>
                                      <w:divBdr>
                                        <w:top w:val="none" w:sz="0" w:space="0" w:color="auto"/>
                                        <w:left w:val="none" w:sz="0" w:space="0" w:color="auto"/>
                                        <w:bottom w:val="none" w:sz="0" w:space="0" w:color="auto"/>
                                        <w:right w:val="none" w:sz="0" w:space="0" w:color="auto"/>
                                      </w:divBdr>
                                    </w:div>
                                    <w:div w:id="252393688">
                                      <w:marLeft w:val="0"/>
                                      <w:marRight w:val="0"/>
                                      <w:marTop w:val="0"/>
                                      <w:marBottom w:val="0"/>
                                      <w:divBdr>
                                        <w:top w:val="none" w:sz="0" w:space="0" w:color="auto"/>
                                        <w:left w:val="none" w:sz="0" w:space="0" w:color="auto"/>
                                        <w:bottom w:val="none" w:sz="0" w:space="0" w:color="auto"/>
                                        <w:right w:val="none" w:sz="0" w:space="0" w:color="auto"/>
                                      </w:divBdr>
                                    </w:div>
                                    <w:div w:id="252393689">
                                      <w:marLeft w:val="0"/>
                                      <w:marRight w:val="0"/>
                                      <w:marTop w:val="0"/>
                                      <w:marBottom w:val="0"/>
                                      <w:divBdr>
                                        <w:top w:val="none" w:sz="0" w:space="0" w:color="auto"/>
                                        <w:left w:val="none" w:sz="0" w:space="0" w:color="auto"/>
                                        <w:bottom w:val="none" w:sz="0" w:space="0" w:color="auto"/>
                                        <w:right w:val="none" w:sz="0" w:space="0" w:color="auto"/>
                                      </w:divBdr>
                                    </w:div>
                                    <w:div w:id="252393690">
                                      <w:marLeft w:val="0"/>
                                      <w:marRight w:val="0"/>
                                      <w:marTop w:val="0"/>
                                      <w:marBottom w:val="0"/>
                                      <w:divBdr>
                                        <w:top w:val="none" w:sz="0" w:space="0" w:color="auto"/>
                                        <w:left w:val="none" w:sz="0" w:space="0" w:color="auto"/>
                                        <w:bottom w:val="none" w:sz="0" w:space="0" w:color="auto"/>
                                        <w:right w:val="none" w:sz="0" w:space="0" w:color="auto"/>
                                      </w:divBdr>
                                    </w:div>
                                    <w:div w:id="252393698">
                                      <w:marLeft w:val="0"/>
                                      <w:marRight w:val="0"/>
                                      <w:marTop w:val="0"/>
                                      <w:marBottom w:val="0"/>
                                      <w:divBdr>
                                        <w:top w:val="none" w:sz="0" w:space="0" w:color="auto"/>
                                        <w:left w:val="none" w:sz="0" w:space="0" w:color="auto"/>
                                        <w:bottom w:val="none" w:sz="0" w:space="0" w:color="auto"/>
                                        <w:right w:val="none" w:sz="0" w:space="0" w:color="auto"/>
                                      </w:divBdr>
                                    </w:div>
                                    <w:div w:id="252393701">
                                      <w:marLeft w:val="0"/>
                                      <w:marRight w:val="0"/>
                                      <w:marTop w:val="0"/>
                                      <w:marBottom w:val="0"/>
                                      <w:divBdr>
                                        <w:top w:val="none" w:sz="0" w:space="0" w:color="auto"/>
                                        <w:left w:val="none" w:sz="0" w:space="0" w:color="auto"/>
                                        <w:bottom w:val="none" w:sz="0" w:space="0" w:color="auto"/>
                                        <w:right w:val="none" w:sz="0" w:space="0" w:color="auto"/>
                                      </w:divBdr>
                                    </w:div>
                                    <w:div w:id="252393703">
                                      <w:marLeft w:val="0"/>
                                      <w:marRight w:val="0"/>
                                      <w:marTop w:val="0"/>
                                      <w:marBottom w:val="0"/>
                                      <w:divBdr>
                                        <w:top w:val="none" w:sz="0" w:space="0" w:color="auto"/>
                                        <w:left w:val="none" w:sz="0" w:space="0" w:color="auto"/>
                                        <w:bottom w:val="none" w:sz="0" w:space="0" w:color="auto"/>
                                        <w:right w:val="none" w:sz="0" w:space="0" w:color="auto"/>
                                      </w:divBdr>
                                    </w:div>
                                    <w:div w:id="252393709">
                                      <w:marLeft w:val="0"/>
                                      <w:marRight w:val="0"/>
                                      <w:marTop w:val="0"/>
                                      <w:marBottom w:val="0"/>
                                      <w:divBdr>
                                        <w:top w:val="none" w:sz="0" w:space="0" w:color="auto"/>
                                        <w:left w:val="none" w:sz="0" w:space="0" w:color="auto"/>
                                        <w:bottom w:val="none" w:sz="0" w:space="0" w:color="auto"/>
                                        <w:right w:val="none" w:sz="0" w:space="0" w:color="auto"/>
                                      </w:divBdr>
                                    </w:div>
                                    <w:div w:id="252393710">
                                      <w:marLeft w:val="0"/>
                                      <w:marRight w:val="0"/>
                                      <w:marTop w:val="0"/>
                                      <w:marBottom w:val="0"/>
                                      <w:divBdr>
                                        <w:top w:val="none" w:sz="0" w:space="0" w:color="auto"/>
                                        <w:left w:val="none" w:sz="0" w:space="0" w:color="auto"/>
                                        <w:bottom w:val="none" w:sz="0" w:space="0" w:color="auto"/>
                                        <w:right w:val="none" w:sz="0" w:space="0" w:color="auto"/>
                                      </w:divBdr>
                                    </w:div>
                                    <w:div w:id="252393714">
                                      <w:marLeft w:val="0"/>
                                      <w:marRight w:val="0"/>
                                      <w:marTop w:val="0"/>
                                      <w:marBottom w:val="0"/>
                                      <w:divBdr>
                                        <w:top w:val="none" w:sz="0" w:space="0" w:color="auto"/>
                                        <w:left w:val="none" w:sz="0" w:space="0" w:color="auto"/>
                                        <w:bottom w:val="none" w:sz="0" w:space="0" w:color="auto"/>
                                        <w:right w:val="none" w:sz="0" w:space="0" w:color="auto"/>
                                      </w:divBdr>
                                    </w:div>
                                    <w:div w:id="252393716">
                                      <w:marLeft w:val="0"/>
                                      <w:marRight w:val="0"/>
                                      <w:marTop w:val="0"/>
                                      <w:marBottom w:val="0"/>
                                      <w:divBdr>
                                        <w:top w:val="none" w:sz="0" w:space="0" w:color="auto"/>
                                        <w:left w:val="none" w:sz="0" w:space="0" w:color="auto"/>
                                        <w:bottom w:val="none" w:sz="0" w:space="0" w:color="auto"/>
                                        <w:right w:val="none" w:sz="0" w:space="0" w:color="auto"/>
                                      </w:divBdr>
                                    </w:div>
                                    <w:div w:id="252393717">
                                      <w:marLeft w:val="0"/>
                                      <w:marRight w:val="0"/>
                                      <w:marTop w:val="0"/>
                                      <w:marBottom w:val="0"/>
                                      <w:divBdr>
                                        <w:top w:val="none" w:sz="0" w:space="0" w:color="auto"/>
                                        <w:left w:val="none" w:sz="0" w:space="0" w:color="auto"/>
                                        <w:bottom w:val="none" w:sz="0" w:space="0" w:color="auto"/>
                                        <w:right w:val="none" w:sz="0" w:space="0" w:color="auto"/>
                                      </w:divBdr>
                                    </w:div>
                                    <w:div w:id="252393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2393720">
      <w:marLeft w:val="0"/>
      <w:marRight w:val="0"/>
      <w:marTop w:val="0"/>
      <w:marBottom w:val="0"/>
      <w:divBdr>
        <w:top w:val="none" w:sz="0" w:space="0" w:color="auto"/>
        <w:left w:val="none" w:sz="0" w:space="0" w:color="auto"/>
        <w:bottom w:val="none" w:sz="0" w:space="0" w:color="auto"/>
        <w:right w:val="none" w:sz="0" w:space="0" w:color="auto"/>
      </w:divBdr>
    </w:div>
    <w:div w:id="252393722">
      <w:marLeft w:val="0"/>
      <w:marRight w:val="0"/>
      <w:marTop w:val="0"/>
      <w:marBottom w:val="0"/>
      <w:divBdr>
        <w:top w:val="none" w:sz="0" w:space="0" w:color="auto"/>
        <w:left w:val="none" w:sz="0" w:space="0" w:color="auto"/>
        <w:bottom w:val="none" w:sz="0" w:space="0" w:color="auto"/>
        <w:right w:val="none" w:sz="0" w:space="0" w:color="auto"/>
      </w:divBdr>
      <w:divsChild>
        <w:div w:id="252393721">
          <w:marLeft w:val="0"/>
          <w:marRight w:val="0"/>
          <w:marTop w:val="0"/>
          <w:marBottom w:val="0"/>
          <w:divBdr>
            <w:top w:val="none" w:sz="0" w:space="0" w:color="auto"/>
            <w:left w:val="none" w:sz="0" w:space="0" w:color="auto"/>
            <w:bottom w:val="none" w:sz="0" w:space="0" w:color="auto"/>
            <w:right w:val="none" w:sz="0" w:space="0" w:color="auto"/>
          </w:divBdr>
        </w:div>
      </w:divsChild>
    </w:div>
    <w:div w:id="252393723">
      <w:marLeft w:val="0"/>
      <w:marRight w:val="0"/>
      <w:marTop w:val="0"/>
      <w:marBottom w:val="0"/>
      <w:divBdr>
        <w:top w:val="none" w:sz="0" w:space="0" w:color="auto"/>
        <w:left w:val="none" w:sz="0" w:space="0" w:color="auto"/>
        <w:bottom w:val="none" w:sz="0" w:space="0" w:color="auto"/>
        <w:right w:val="none" w:sz="0" w:space="0" w:color="auto"/>
      </w:divBdr>
    </w:div>
    <w:div w:id="252393725">
      <w:marLeft w:val="0"/>
      <w:marRight w:val="0"/>
      <w:marTop w:val="0"/>
      <w:marBottom w:val="0"/>
      <w:divBdr>
        <w:top w:val="none" w:sz="0" w:space="0" w:color="auto"/>
        <w:left w:val="none" w:sz="0" w:space="0" w:color="auto"/>
        <w:bottom w:val="none" w:sz="0" w:space="0" w:color="auto"/>
        <w:right w:val="none" w:sz="0" w:space="0" w:color="auto"/>
      </w:divBdr>
    </w:div>
    <w:div w:id="252393726">
      <w:marLeft w:val="0"/>
      <w:marRight w:val="0"/>
      <w:marTop w:val="0"/>
      <w:marBottom w:val="0"/>
      <w:divBdr>
        <w:top w:val="none" w:sz="0" w:space="0" w:color="auto"/>
        <w:left w:val="none" w:sz="0" w:space="0" w:color="auto"/>
        <w:bottom w:val="none" w:sz="0" w:space="0" w:color="auto"/>
        <w:right w:val="none" w:sz="0" w:space="0" w:color="auto"/>
      </w:divBdr>
    </w:div>
    <w:div w:id="252393727">
      <w:marLeft w:val="0"/>
      <w:marRight w:val="0"/>
      <w:marTop w:val="0"/>
      <w:marBottom w:val="0"/>
      <w:divBdr>
        <w:top w:val="none" w:sz="0" w:space="0" w:color="auto"/>
        <w:left w:val="none" w:sz="0" w:space="0" w:color="auto"/>
        <w:bottom w:val="none" w:sz="0" w:space="0" w:color="auto"/>
        <w:right w:val="none" w:sz="0" w:space="0" w:color="auto"/>
      </w:divBdr>
      <w:divsChild>
        <w:div w:id="252393724">
          <w:marLeft w:val="1166"/>
          <w:marRight w:val="0"/>
          <w:marTop w:val="134"/>
          <w:marBottom w:val="0"/>
          <w:divBdr>
            <w:top w:val="none" w:sz="0" w:space="0" w:color="auto"/>
            <w:left w:val="none" w:sz="0" w:space="0" w:color="auto"/>
            <w:bottom w:val="none" w:sz="0" w:space="0" w:color="auto"/>
            <w:right w:val="none" w:sz="0" w:space="0" w:color="auto"/>
          </w:divBdr>
        </w:div>
        <w:div w:id="252393729">
          <w:marLeft w:val="1166"/>
          <w:marRight w:val="0"/>
          <w:marTop w:val="134"/>
          <w:marBottom w:val="0"/>
          <w:divBdr>
            <w:top w:val="none" w:sz="0" w:space="0" w:color="auto"/>
            <w:left w:val="none" w:sz="0" w:space="0" w:color="auto"/>
            <w:bottom w:val="none" w:sz="0" w:space="0" w:color="auto"/>
            <w:right w:val="none" w:sz="0" w:space="0" w:color="auto"/>
          </w:divBdr>
        </w:div>
        <w:div w:id="252393730">
          <w:marLeft w:val="1166"/>
          <w:marRight w:val="0"/>
          <w:marTop w:val="134"/>
          <w:marBottom w:val="0"/>
          <w:divBdr>
            <w:top w:val="none" w:sz="0" w:space="0" w:color="auto"/>
            <w:left w:val="none" w:sz="0" w:space="0" w:color="auto"/>
            <w:bottom w:val="none" w:sz="0" w:space="0" w:color="auto"/>
            <w:right w:val="none" w:sz="0" w:space="0" w:color="auto"/>
          </w:divBdr>
        </w:div>
        <w:div w:id="252393733">
          <w:marLeft w:val="1166"/>
          <w:marRight w:val="0"/>
          <w:marTop w:val="134"/>
          <w:marBottom w:val="0"/>
          <w:divBdr>
            <w:top w:val="none" w:sz="0" w:space="0" w:color="auto"/>
            <w:left w:val="none" w:sz="0" w:space="0" w:color="auto"/>
            <w:bottom w:val="none" w:sz="0" w:space="0" w:color="auto"/>
            <w:right w:val="none" w:sz="0" w:space="0" w:color="auto"/>
          </w:divBdr>
        </w:div>
        <w:div w:id="252393736">
          <w:marLeft w:val="1166"/>
          <w:marRight w:val="0"/>
          <w:marTop w:val="134"/>
          <w:marBottom w:val="0"/>
          <w:divBdr>
            <w:top w:val="none" w:sz="0" w:space="0" w:color="auto"/>
            <w:left w:val="none" w:sz="0" w:space="0" w:color="auto"/>
            <w:bottom w:val="none" w:sz="0" w:space="0" w:color="auto"/>
            <w:right w:val="none" w:sz="0" w:space="0" w:color="auto"/>
          </w:divBdr>
        </w:div>
      </w:divsChild>
    </w:div>
    <w:div w:id="252393728">
      <w:marLeft w:val="0"/>
      <w:marRight w:val="0"/>
      <w:marTop w:val="0"/>
      <w:marBottom w:val="0"/>
      <w:divBdr>
        <w:top w:val="none" w:sz="0" w:space="0" w:color="auto"/>
        <w:left w:val="none" w:sz="0" w:space="0" w:color="auto"/>
        <w:bottom w:val="none" w:sz="0" w:space="0" w:color="auto"/>
        <w:right w:val="none" w:sz="0" w:space="0" w:color="auto"/>
      </w:divBdr>
    </w:div>
    <w:div w:id="252393731">
      <w:marLeft w:val="0"/>
      <w:marRight w:val="0"/>
      <w:marTop w:val="0"/>
      <w:marBottom w:val="0"/>
      <w:divBdr>
        <w:top w:val="none" w:sz="0" w:space="0" w:color="auto"/>
        <w:left w:val="none" w:sz="0" w:space="0" w:color="auto"/>
        <w:bottom w:val="none" w:sz="0" w:space="0" w:color="auto"/>
        <w:right w:val="none" w:sz="0" w:space="0" w:color="auto"/>
      </w:divBdr>
    </w:div>
    <w:div w:id="252393732">
      <w:marLeft w:val="0"/>
      <w:marRight w:val="0"/>
      <w:marTop w:val="0"/>
      <w:marBottom w:val="0"/>
      <w:divBdr>
        <w:top w:val="none" w:sz="0" w:space="0" w:color="auto"/>
        <w:left w:val="none" w:sz="0" w:space="0" w:color="auto"/>
        <w:bottom w:val="none" w:sz="0" w:space="0" w:color="auto"/>
        <w:right w:val="none" w:sz="0" w:space="0" w:color="auto"/>
      </w:divBdr>
    </w:div>
    <w:div w:id="252393734">
      <w:marLeft w:val="0"/>
      <w:marRight w:val="0"/>
      <w:marTop w:val="0"/>
      <w:marBottom w:val="0"/>
      <w:divBdr>
        <w:top w:val="none" w:sz="0" w:space="0" w:color="auto"/>
        <w:left w:val="none" w:sz="0" w:space="0" w:color="auto"/>
        <w:bottom w:val="none" w:sz="0" w:space="0" w:color="auto"/>
        <w:right w:val="none" w:sz="0" w:space="0" w:color="auto"/>
      </w:divBdr>
    </w:div>
    <w:div w:id="252393735">
      <w:marLeft w:val="0"/>
      <w:marRight w:val="0"/>
      <w:marTop w:val="0"/>
      <w:marBottom w:val="0"/>
      <w:divBdr>
        <w:top w:val="none" w:sz="0" w:space="0" w:color="auto"/>
        <w:left w:val="none" w:sz="0" w:space="0" w:color="auto"/>
        <w:bottom w:val="none" w:sz="0" w:space="0" w:color="auto"/>
        <w:right w:val="none" w:sz="0" w:space="0" w:color="auto"/>
      </w:divBdr>
    </w:div>
    <w:div w:id="252393737">
      <w:marLeft w:val="0"/>
      <w:marRight w:val="0"/>
      <w:marTop w:val="0"/>
      <w:marBottom w:val="0"/>
      <w:divBdr>
        <w:top w:val="none" w:sz="0" w:space="0" w:color="auto"/>
        <w:left w:val="none" w:sz="0" w:space="0" w:color="auto"/>
        <w:bottom w:val="none" w:sz="0" w:space="0" w:color="auto"/>
        <w:right w:val="none" w:sz="0" w:space="0" w:color="auto"/>
      </w:divBdr>
    </w:div>
    <w:div w:id="252393738">
      <w:marLeft w:val="0"/>
      <w:marRight w:val="0"/>
      <w:marTop w:val="0"/>
      <w:marBottom w:val="0"/>
      <w:divBdr>
        <w:top w:val="none" w:sz="0" w:space="0" w:color="auto"/>
        <w:left w:val="none" w:sz="0" w:space="0" w:color="auto"/>
        <w:bottom w:val="none" w:sz="0" w:space="0" w:color="auto"/>
        <w:right w:val="none" w:sz="0" w:space="0" w:color="auto"/>
      </w:divBdr>
    </w:div>
    <w:div w:id="281152978">
      <w:bodyDiv w:val="1"/>
      <w:marLeft w:val="0"/>
      <w:marRight w:val="0"/>
      <w:marTop w:val="0"/>
      <w:marBottom w:val="0"/>
      <w:divBdr>
        <w:top w:val="none" w:sz="0" w:space="0" w:color="auto"/>
        <w:left w:val="none" w:sz="0" w:space="0" w:color="auto"/>
        <w:bottom w:val="none" w:sz="0" w:space="0" w:color="auto"/>
        <w:right w:val="none" w:sz="0" w:space="0" w:color="auto"/>
      </w:divBdr>
    </w:div>
    <w:div w:id="304090569">
      <w:bodyDiv w:val="1"/>
      <w:marLeft w:val="0"/>
      <w:marRight w:val="0"/>
      <w:marTop w:val="0"/>
      <w:marBottom w:val="0"/>
      <w:divBdr>
        <w:top w:val="none" w:sz="0" w:space="0" w:color="auto"/>
        <w:left w:val="none" w:sz="0" w:space="0" w:color="auto"/>
        <w:bottom w:val="none" w:sz="0" w:space="0" w:color="auto"/>
        <w:right w:val="none" w:sz="0" w:space="0" w:color="auto"/>
      </w:divBdr>
    </w:div>
    <w:div w:id="313025076">
      <w:bodyDiv w:val="1"/>
      <w:marLeft w:val="0"/>
      <w:marRight w:val="0"/>
      <w:marTop w:val="0"/>
      <w:marBottom w:val="0"/>
      <w:divBdr>
        <w:top w:val="none" w:sz="0" w:space="0" w:color="auto"/>
        <w:left w:val="none" w:sz="0" w:space="0" w:color="auto"/>
        <w:bottom w:val="none" w:sz="0" w:space="0" w:color="auto"/>
        <w:right w:val="none" w:sz="0" w:space="0" w:color="auto"/>
      </w:divBdr>
    </w:div>
    <w:div w:id="313608758">
      <w:bodyDiv w:val="1"/>
      <w:marLeft w:val="0"/>
      <w:marRight w:val="0"/>
      <w:marTop w:val="0"/>
      <w:marBottom w:val="0"/>
      <w:divBdr>
        <w:top w:val="none" w:sz="0" w:space="0" w:color="auto"/>
        <w:left w:val="none" w:sz="0" w:space="0" w:color="auto"/>
        <w:bottom w:val="none" w:sz="0" w:space="0" w:color="auto"/>
        <w:right w:val="none" w:sz="0" w:space="0" w:color="auto"/>
      </w:divBdr>
      <w:divsChild>
        <w:div w:id="23092810">
          <w:marLeft w:val="547"/>
          <w:marRight w:val="0"/>
          <w:marTop w:val="115"/>
          <w:marBottom w:val="0"/>
          <w:divBdr>
            <w:top w:val="none" w:sz="0" w:space="0" w:color="auto"/>
            <w:left w:val="none" w:sz="0" w:space="0" w:color="auto"/>
            <w:bottom w:val="none" w:sz="0" w:space="0" w:color="auto"/>
            <w:right w:val="none" w:sz="0" w:space="0" w:color="auto"/>
          </w:divBdr>
        </w:div>
        <w:div w:id="43146524">
          <w:marLeft w:val="547"/>
          <w:marRight w:val="0"/>
          <w:marTop w:val="115"/>
          <w:marBottom w:val="0"/>
          <w:divBdr>
            <w:top w:val="none" w:sz="0" w:space="0" w:color="auto"/>
            <w:left w:val="none" w:sz="0" w:space="0" w:color="auto"/>
            <w:bottom w:val="none" w:sz="0" w:space="0" w:color="auto"/>
            <w:right w:val="none" w:sz="0" w:space="0" w:color="auto"/>
          </w:divBdr>
        </w:div>
        <w:div w:id="80371272">
          <w:marLeft w:val="547"/>
          <w:marRight w:val="0"/>
          <w:marTop w:val="115"/>
          <w:marBottom w:val="0"/>
          <w:divBdr>
            <w:top w:val="none" w:sz="0" w:space="0" w:color="auto"/>
            <w:left w:val="none" w:sz="0" w:space="0" w:color="auto"/>
            <w:bottom w:val="none" w:sz="0" w:space="0" w:color="auto"/>
            <w:right w:val="none" w:sz="0" w:space="0" w:color="auto"/>
          </w:divBdr>
        </w:div>
        <w:div w:id="427192645">
          <w:marLeft w:val="547"/>
          <w:marRight w:val="0"/>
          <w:marTop w:val="115"/>
          <w:marBottom w:val="0"/>
          <w:divBdr>
            <w:top w:val="none" w:sz="0" w:space="0" w:color="auto"/>
            <w:left w:val="none" w:sz="0" w:space="0" w:color="auto"/>
            <w:bottom w:val="none" w:sz="0" w:space="0" w:color="auto"/>
            <w:right w:val="none" w:sz="0" w:space="0" w:color="auto"/>
          </w:divBdr>
        </w:div>
        <w:div w:id="1393961601">
          <w:marLeft w:val="547"/>
          <w:marRight w:val="0"/>
          <w:marTop w:val="115"/>
          <w:marBottom w:val="0"/>
          <w:divBdr>
            <w:top w:val="none" w:sz="0" w:space="0" w:color="auto"/>
            <w:left w:val="none" w:sz="0" w:space="0" w:color="auto"/>
            <w:bottom w:val="none" w:sz="0" w:space="0" w:color="auto"/>
            <w:right w:val="none" w:sz="0" w:space="0" w:color="auto"/>
          </w:divBdr>
        </w:div>
        <w:div w:id="1543714666">
          <w:marLeft w:val="547"/>
          <w:marRight w:val="0"/>
          <w:marTop w:val="115"/>
          <w:marBottom w:val="0"/>
          <w:divBdr>
            <w:top w:val="none" w:sz="0" w:space="0" w:color="auto"/>
            <w:left w:val="none" w:sz="0" w:space="0" w:color="auto"/>
            <w:bottom w:val="none" w:sz="0" w:space="0" w:color="auto"/>
            <w:right w:val="none" w:sz="0" w:space="0" w:color="auto"/>
          </w:divBdr>
        </w:div>
        <w:div w:id="1917519774">
          <w:marLeft w:val="547"/>
          <w:marRight w:val="0"/>
          <w:marTop w:val="115"/>
          <w:marBottom w:val="0"/>
          <w:divBdr>
            <w:top w:val="none" w:sz="0" w:space="0" w:color="auto"/>
            <w:left w:val="none" w:sz="0" w:space="0" w:color="auto"/>
            <w:bottom w:val="none" w:sz="0" w:space="0" w:color="auto"/>
            <w:right w:val="none" w:sz="0" w:space="0" w:color="auto"/>
          </w:divBdr>
        </w:div>
      </w:divsChild>
    </w:div>
    <w:div w:id="324823060">
      <w:bodyDiv w:val="1"/>
      <w:marLeft w:val="0"/>
      <w:marRight w:val="0"/>
      <w:marTop w:val="0"/>
      <w:marBottom w:val="0"/>
      <w:divBdr>
        <w:top w:val="none" w:sz="0" w:space="0" w:color="auto"/>
        <w:left w:val="none" w:sz="0" w:space="0" w:color="auto"/>
        <w:bottom w:val="none" w:sz="0" w:space="0" w:color="auto"/>
        <w:right w:val="none" w:sz="0" w:space="0" w:color="auto"/>
      </w:divBdr>
    </w:div>
    <w:div w:id="328292129">
      <w:bodyDiv w:val="1"/>
      <w:marLeft w:val="0"/>
      <w:marRight w:val="0"/>
      <w:marTop w:val="0"/>
      <w:marBottom w:val="0"/>
      <w:divBdr>
        <w:top w:val="none" w:sz="0" w:space="0" w:color="auto"/>
        <w:left w:val="none" w:sz="0" w:space="0" w:color="auto"/>
        <w:bottom w:val="none" w:sz="0" w:space="0" w:color="auto"/>
        <w:right w:val="none" w:sz="0" w:space="0" w:color="auto"/>
      </w:divBdr>
    </w:div>
    <w:div w:id="334841924">
      <w:bodyDiv w:val="1"/>
      <w:marLeft w:val="0"/>
      <w:marRight w:val="0"/>
      <w:marTop w:val="0"/>
      <w:marBottom w:val="0"/>
      <w:divBdr>
        <w:top w:val="none" w:sz="0" w:space="0" w:color="auto"/>
        <w:left w:val="none" w:sz="0" w:space="0" w:color="auto"/>
        <w:bottom w:val="none" w:sz="0" w:space="0" w:color="auto"/>
        <w:right w:val="none" w:sz="0" w:space="0" w:color="auto"/>
      </w:divBdr>
    </w:div>
    <w:div w:id="336615159">
      <w:bodyDiv w:val="1"/>
      <w:marLeft w:val="0"/>
      <w:marRight w:val="0"/>
      <w:marTop w:val="0"/>
      <w:marBottom w:val="0"/>
      <w:divBdr>
        <w:top w:val="none" w:sz="0" w:space="0" w:color="auto"/>
        <w:left w:val="none" w:sz="0" w:space="0" w:color="auto"/>
        <w:bottom w:val="none" w:sz="0" w:space="0" w:color="auto"/>
        <w:right w:val="none" w:sz="0" w:space="0" w:color="auto"/>
      </w:divBdr>
    </w:div>
    <w:div w:id="337462312">
      <w:bodyDiv w:val="1"/>
      <w:marLeft w:val="0"/>
      <w:marRight w:val="0"/>
      <w:marTop w:val="0"/>
      <w:marBottom w:val="0"/>
      <w:divBdr>
        <w:top w:val="none" w:sz="0" w:space="0" w:color="auto"/>
        <w:left w:val="none" w:sz="0" w:space="0" w:color="auto"/>
        <w:bottom w:val="none" w:sz="0" w:space="0" w:color="auto"/>
        <w:right w:val="none" w:sz="0" w:space="0" w:color="auto"/>
      </w:divBdr>
    </w:div>
    <w:div w:id="346257271">
      <w:bodyDiv w:val="1"/>
      <w:marLeft w:val="0"/>
      <w:marRight w:val="0"/>
      <w:marTop w:val="0"/>
      <w:marBottom w:val="0"/>
      <w:divBdr>
        <w:top w:val="none" w:sz="0" w:space="0" w:color="auto"/>
        <w:left w:val="none" w:sz="0" w:space="0" w:color="auto"/>
        <w:bottom w:val="none" w:sz="0" w:space="0" w:color="auto"/>
        <w:right w:val="none" w:sz="0" w:space="0" w:color="auto"/>
      </w:divBdr>
    </w:div>
    <w:div w:id="376324572">
      <w:bodyDiv w:val="1"/>
      <w:marLeft w:val="0"/>
      <w:marRight w:val="0"/>
      <w:marTop w:val="0"/>
      <w:marBottom w:val="0"/>
      <w:divBdr>
        <w:top w:val="none" w:sz="0" w:space="0" w:color="auto"/>
        <w:left w:val="none" w:sz="0" w:space="0" w:color="auto"/>
        <w:bottom w:val="none" w:sz="0" w:space="0" w:color="auto"/>
        <w:right w:val="none" w:sz="0" w:space="0" w:color="auto"/>
      </w:divBdr>
    </w:div>
    <w:div w:id="381095926">
      <w:bodyDiv w:val="1"/>
      <w:marLeft w:val="0"/>
      <w:marRight w:val="0"/>
      <w:marTop w:val="0"/>
      <w:marBottom w:val="0"/>
      <w:divBdr>
        <w:top w:val="none" w:sz="0" w:space="0" w:color="auto"/>
        <w:left w:val="none" w:sz="0" w:space="0" w:color="auto"/>
        <w:bottom w:val="none" w:sz="0" w:space="0" w:color="auto"/>
        <w:right w:val="none" w:sz="0" w:space="0" w:color="auto"/>
      </w:divBdr>
    </w:div>
    <w:div w:id="381253466">
      <w:bodyDiv w:val="1"/>
      <w:marLeft w:val="0"/>
      <w:marRight w:val="0"/>
      <w:marTop w:val="0"/>
      <w:marBottom w:val="0"/>
      <w:divBdr>
        <w:top w:val="none" w:sz="0" w:space="0" w:color="auto"/>
        <w:left w:val="none" w:sz="0" w:space="0" w:color="auto"/>
        <w:bottom w:val="none" w:sz="0" w:space="0" w:color="auto"/>
        <w:right w:val="none" w:sz="0" w:space="0" w:color="auto"/>
      </w:divBdr>
    </w:div>
    <w:div w:id="400371054">
      <w:bodyDiv w:val="1"/>
      <w:marLeft w:val="0"/>
      <w:marRight w:val="0"/>
      <w:marTop w:val="0"/>
      <w:marBottom w:val="0"/>
      <w:divBdr>
        <w:top w:val="none" w:sz="0" w:space="0" w:color="auto"/>
        <w:left w:val="none" w:sz="0" w:space="0" w:color="auto"/>
        <w:bottom w:val="none" w:sz="0" w:space="0" w:color="auto"/>
        <w:right w:val="none" w:sz="0" w:space="0" w:color="auto"/>
      </w:divBdr>
    </w:div>
    <w:div w:id="408621130">
      <w:bodyDiv w:val="1"/>
      <w:marLeft w:val="0"/>
      <w:marRight w:val="0"/>
      <w:marTop w:val="0"/>
      <w:marBottom w:val="0"/>
      <w:divBdr>
        <w:top w:val="none" w:sz="0" w:space="0" w:color="auto"/>
        <w:left w:val="none" w:sz="0" w:space="0" w:color="auto"/>
        <w:bottom w:val="none" w:sz="0" w:space="0" w:color="auto"/>
        <w:right w:val="none" w:sz="0" w:space="0" w:color="auto"/>
      </w:divBdr>
    </w:div>
    <w:div w:id="439881824">
      <w:bodyDiv w:val="1"/>
      <w:marLeft w:val="0"/>
      <w:marRight w:val="0"/>
      <w:marTop w:val="0"/>
      <w:marBottom w:val="0"/>
      <w:divBdr>
        <w:top w:val="none" w:sz="0" w:space="0" w:color="auto"/>
        <w:left w:val="none" w:sz="0" w:space="0" w:color="auto"/>
        <w:bottom w:val="none" w:sz="0" w:space="0" w:color="auto"/>
        <w:right w:val="none" w:sz="0" w:space="0" w:color="auto"/>
      </w:divBdr>
    </w:div>
    <w:div w:id="448595672">
      <w:bodyDiv w:val="1"/>
      <w:marLeft w:val="0"/>
      <w:marRight w:val="0"/>
      <w:marTop w:val="0"/>
      <w:marBottom w:val="0"/>
      <w:divBdr>
        <w:top w:val="none" w:sz="0" w:space="0" w:color="auto"/>
        <w:left w:val="none" w:sz="0" w:space="0" w:color="auto"/>
        <w:bottom w:val="none" w:sz="0" w:space="0" w:color="auto"/>
        <w:right w:val="none" w:sz="0" w:space="0" w:color="auto"/>
      </w:divBdr>
    </w:div>
    <w:div w:id="451215687">
      <w:bodyDiv w:val="1"/>
      <w:marLeft w:val="0"/>
      <w:marRight w:val="0"/>
      <w:marTop w:val="0"/>
      <w:marBottom w:val="0"/>
      <w:divBdr>
        <w:top w:val="none" w:sz="0" w:space="0" w:color="auto"/>
        <w:left w:val="none" w:sz="0" w:space="0" w:color="auto"/>
        <w:bottom w:val="none" w:sz="0" w:space="0" w:color="auto"/>
        <w:right w:val="none" w:sz="0" w:space="0" w:color="auto"/>
      </w:divBdr>
    </w:div>
    <w:div w:id="500506467">
      <w:bodyDiv w:val="1"/>
      <w:marLeft w:val="0"/>
      <w:marRight w:val="0"/>
      <w:marTop w:val="0"/>
      <w:marBottom w:val="0"/>
      <w:divBdr>
        <w:top w:val="none" w:sz="0" w:space="0" w:color="auto"/>
        <w:left w:val="none" w:sz="0" w:space="0" w:color="auto"/>
        <w:bottom w:val="none" w:sz="0" w:space="0" w:color="auto"/>
        <w:right w:val="none" w:sz="0" w:space="0" w:color="auto"/>
      </w:divBdr>
    </w:div>
    <w:div w:id="521406085">
      <w:bodyDiv w:val="1"/>
      <w:marLeft w:val="0"/>
      <w:marRight w:val="0"/>
      <w:marTop w:val="0"/>
      <w:marBottom w:val="0"/>
      <w:divBdr>
        <w:top w:val="none" w:sz="0" w:space="0" w:color="auto"/>
        <w:left w:val="none" w:sz="0" w:space="0" w:color="auto"/>
        <w:bottom w:val="none" w:sz="0" w:space="0" w:color="auto"/>
        <w:right w:val="none" w:sz="0" w:space="0" w:color="auto"/>
      </w:divBdr>
    </w:div>
    <w:div w:id="535312981">
      <w:bodyDiv w:val="1"/>
      <w:marLeft w:val="0"/>
      <w:marRight w:val="0"/>
      <w:marTop w:val="0"/>
      <w:marBottom w:val="0"/>
      <w:divBdr>
        <w:top w:val="none" w:sz="0" w:space="0" w:color="auto"/>
        <w:left w:val="none" w:sz="0" w:space="0" w:color="auto"/>
        <w:bottom w:val="none" w:sz="0" w:space="0" w:color="auto"/>
        <w:right w:val="none" w:sz="0" w:space="0" w:color="auto"/>
      </w:divBdr>
    </w:div>
    <w:div w:id="543059156">
      <w:bodyDiv w:val="1"/>
      <w:marLeft w:val="0"/>
      <w:marRight w:val="0"/>
      <w:marTop w:val="0"/>
      <w:marBottom w:val="0"/>
      <w:divBdr>
        <w:top w:val="none" w:sz="0" w:space="0" w:color="auto"/>
        <w:left w:val="none" w:sz="0" w:space="0" w:color="auto"/>
        <w:bottom w:val="none" w:sz="0" w:space="0" w:color="auto"/>
        <w:right w:val="none" w:sz="0" w:space="0" w:color="auto"/>
      </w:divBdr>
      <w:divsChild>
        <w:div w:id="76754154">
          <w:marLeft w:val="806"/>
          <w:marRight w:val="0"/>
          <w:marTop w:val="115"/>
          <w:marBottom w:val="0"/>
          <w:divBdr>
            <w:top w:val="none" w:sz="0" w:space="0" w:color="auto"/>
            <w:left w:val="none" w:sz="0" w:space="0" w:color="auto"/>
            <w:bottom w:val="none" w:sz="0" w:space="0" w:color="auto"/>
            <w:right w:val="none" w:sz="0" w:space="0" w:color="auto"/>
          </w:divBdr>
        </w:div>
        <w:div w:id="387533154">
          <w:marLeft w:val="806"/>
          <w:marRight w:val="0"/>
          <w:marTop w:val="115"/>
          <w:marBottom w:val="0"/>
          <w:divBdr>
            <w:top w:val="none" w:sz="0" w:space="0" w:color="auto"/>
            <w:left w:val="none" w:sz="0" w:space="0" w:color="auto"/>
            <w:bottom w:val="none" w:sz="0" w:space="0" w:color="auto"/>
            <w:right w:val="none" w:sz="0" w:space="0" w:color="auto"/>
          </w:divBdr>
        </w:div>
        <w:div w:id="518541560">
          <w:marLeft w:val="806"/>
          <w:marRight w:val="0"/>
          <w:marTop w:val="115"/>
          <w:marBottom w:val="0"/>
          <w:divBdr>
            <w:top w:val="none" w:sz="0" w:space="0" w:color="auto"/>
            <w:left w:val="none" w:sz="0" w:space="0" w:color="auto"/>
            <w:bottom w:val="none" w:sz="0" w:space="0" w:color="auto"/>
            <w:right w:val="none" w:sz="0" w:space="0" w:color="auto"/>
          </w:divBdr>
        </w:div>
        <w:div w:id="568728173">
          <w:marLeft w:val="806"/>
          <w:marRight w:val="0"/>
          <w:marTop w:val="115"/>
          <w:marBottom w:val="0"/>
          <w:divBdr>
            <w:top w:val="none" w:sz="0" w:space="0" w:color="auto"/>
            <w:left w:val="none" w:sz="0" w:space="0" w:color="auto"/>
            <w:bottom w:val="none" w:sz="0" w:space="0" w:color="auto"/>
            <w:right w:val="none" w:sz="0" w:space="0" w:color="auto"/>
          </w:divBdr>
        </w:div>
        <w:div w:id="1158378695">
          <w:marLeft w:val="806"/>
          <w:marRight w:val="0"/>
          <w:marTop w:val="115"/>
          <w:marBottom w:val="0"/>
          <w:divBdr>
            <w:top w:val="none" w:sz="0" w:space="0" w:color="auto"/>
            <w:left w:val="none" w:sz="0" w:space="0" w:color="auto"/>
            <w:bottom w:val="none" w:sz="0" w:space="0" w:color="auto"/>
            <w:right w:val="none" w:sz="0" w:space="0" w:color="auto"/>
          </w:divBdr>
        </w:div>
        <w:div w:id="1225025107">
          <w:marLeft w:val="806"/>
          <w:marRight w:val="0"/>
          <w:marTop w:val="115"/>
          <w:marBottom w:val="0"/>
          <w:divBdr>
            <w:top w:val="none" w:sz="0" w:space="0" w:color="auto"/>
            <w:left w:val="none" w:sz="0" w:space="0" w:color="auto"/>
            <w:bottom w:val="none" w:sz="0" w:space="0" w:color="auto"/>
            <w:right w:val="none" w:sz="0" w:space="0" w:color="auto"/>
          </w:divBdr>
        </w:div>
        <w:div w:id="1381591541">
          <w:marLeft w:val="806"/>
          <w:marRight w:val="0"/>
          <w:marTop w:val="115"/>
          <w:marBottom w:val="0"/>
          <w:divBdr>
            <w:top w:val="none" w:sz="0" w:space="0" w:color="auto"/>
            <w:left w:val="none" w:sz="0" w:space="0" w:color="auto"/>
            <w:bottom w:val="none" w:sz="0" w:space="0" w:color="auto"/>
            <w:right w:val="none" w:sz="0" w:space="0" w:color="auto"/>
          </w:divBdr>
        </w:div>
        <w:div w:id="1915045062">
          <w:marLeft w:val="806"/>
          <w:marRight w:val="0"/>
          <w:marTop w:val="115"/>
          <w:marBottom w:val="0"/>
          <w:divBdr>
            <w:top w:val="none" w:sz="0" w:space="0" w:color="auto"/>
            <w:left w:val="none" w:sz="0" w:space="0" w:color="auto"/>
            <w:bottom w:val="none" w:sz="0" w:space="0" w:color="auto"/>
            <w:right w:val="none" w:sz="0" w:space="0" w:color="auto"/>
          </w:divBdr>
        </w:div>
        <w:div w:id="2059082370">
          <w:marLeft w:val="806"/>
          <w:marRight w:val="0"/>
          <w:marTop w:val="115"/>
          <w:marBottom w:val="0"/>
          <w:divBdr>
            <w:top w:val="none" w:sz="0" w:space="0" w:color="auto"/>
            <w:left w:val="none" w:sz="0" w:space="0" w:color="auto"/>
            <w:bottom w:val="none" w:sz="0" w:space="0" w:color="auto"/>
            <w:right w:val="none" w:sz="0" w:space="0" w:color="auto"/>
          </w:divBdr>
        </w:div>
      </w:divsChild>
    </w:div>
    <w:div w:id="549389925">
      <w:bodyDiv w:val="1"/>
      <w:marLeft w:val="0"/>
      <w:marRight w:val="0"/>
      <w:marTop w:val="0"/>
      <w:marBottom w:val="0"/>
      <w:divBdr>
        <w:top w:val="none" w:sz="0" w:space="0" w:color="auto"/>
        <w:left w:val="none" w:sz="0" w:space="0" w:color="auto"/>
        <w:bottom w:val="none" w:sz="0" w:space="0" w:color="auto"/>
        <w:right w:val="none" w:sz="0" w:space="0" w:color="auto"/>
      </w:divBdr>
    </w:div>
    <w:div w:id="559290968">
      <w:bodyDiv w:val="1"/>
      <w:marLeft w:val="0"/>
      <w:marRight w:val="0"/>
      <w:marTop w:val="0"/>
      <w:marBottom w:val="0"/>
      <w:divBdr>
        <w:top w:val="none" w:sz="0" w:space="0" w:color="auto"/>
        <w:left w:val="none" w:sz="0" w:space="0" w:color="auto"/>
        <w:bottom w:val="none" w:sz="0" w:space="0" w:color="auto"/>
        <w:right w:val="none" w:sz="0" w:space="0" w:color="auto"/>
      </w:divBdr>
    </w:div>
    <w:div w:id="561910025">
      <w:bodyDiv w:val="1"/>
      <w:marLeft w:val="0"/>
      <w:marRight w:val="0"/>
      <w:marTop w:val="0"/>
      <w:marBottom w:val="0"/>
      <w:divBdr>
        <w:top w:val="none" w:sz="0" w:space="0" w:color="auto"/>
        <w:left w:val="none" w:sz="0" w:space="0" w:color="auto"/>
        <w:bottom w:val="none" w:sz="0" w:space="0" w:color="auto"/>
        <w:right w:val="none" w:sz="0" w:space="0" w:color="auto"/>
      </w:divBdr>
    </w:div>
    <w:div w:id="569921453">
      <w:bodyDiv w:val="1"/>
      <w:marLeft w:val="0"/>
      <w:marRight w:val="0"/>
      <w:marTop w:val="0"/>
      <w:marBottom w:val="0"/>
      <w:divBdr>
        <w:top w:val="none" w:sz="0" w:space="0" w:color="auto"/>
        <w:left w:val="none" w:sz="0" w:space="0" w:color="auto"/>
        <w:bottom w:val="none" w:sz="0" w:space="0" w:color="auto"/>
        <w:right w:val="none" w:sz="0" w:space="0" w:color="auto"/>
      </w:divBdr>
      <w:divsChild>
        <w:div w:id="144133296">
          <w:marLeft w:val="547"/>
          <w:marRight w:val="0"/>
          <w:marTop w:val="96"/>
          <w:marBottom w:val="0"/>
          <w:divBdr>
            <w:top w:val="none" w:sz="0" w:space="0" w:color="auto"/>
            <w:left w:val="none" w:sz="0" w:space="0" w:color="auto"/>
            <w:bottom w:val="none" w:sz="0" w:space="0" w:color="auto"/>
            <w:right w:val="none" w:sz="0" w:space="0" w:color="auto"/>
          </w:divBdr>
        </w:div>
        <w:div w:id="778528718">
          <w:marLeft w:val="547"/>
          <w:marRight w:val="0"/>
          <w:marTop w:val="96"/>
          <w:marBottom w:val="0"/>
          <w:divBdr>
            <w:top w:val="none" w:sz="0" w:space="0" w:color="auto"/>
            <w:left w:val="none" w:sz="0" w:space="0" w:color="auto"/>
            <w:bottom w:val="none" w:sz="0" w:space="0" w:color="auto"/>
            <w:right w:val="none" w:sz="0" w:space="0" w:color="auto"/>
          </w:divBdr>
        </w:div>
        <w:div w:id="1558669035">
          <w:marLeft w:val="547"/>
          <w:marRight w:val="0"/>
          <w:marTop w:val="96"/>
          <w:marBottom w:val="0"/>
          <w:divBdr>
            <w:top w:val="none" w:sz="0" w:space="0" w:color="auto"/>
            <w:left w:val="none" w:sz="0" w:space="0" w:color="auto"/>
            <w:bottom w:val="none" w:sz="0" w:space="0" w:color="auto"/>
            <w:right w:val="none" w:sz="0" w:space="0" w:color="auto"/>
          </w:divBdr>
        </w:div>
        <w:div w:id="1737043524">
          <w:marLeft w:val="547"/>
          <w:marRight w:val="0"/>
          <w:marTop w:val="96"/>
          <w:marBottom w:val="0"/>
          <w:divBdr>
            <w:top w:val="none" w:sz="0" w:space="0" w:color="auto"/>
            <w:left w:val="none" w:sz="0" w:space="0" w:color="auto"/>
            <w:bottom w:val="none" w:sz="0" w:space="0" w:color="auto"/>
            <w:right w:val="none" w:sz="0" w:space="0" w:color="auto"/>
          </w:divBdr>
        </w:div>
        <w:div w:id="1806963983">
          <w:marLeft w:val="547"/>
          <w:marRight w:val="0"/>
          <w:marTop w:val="96"/>
          <w:marBottom w:val="0"/>
          <w:divBdr>
            <w:top w:val="none" w:sz="0" w:space="0" w:color="auto"/>
            <w:left w:val="none" w:sz="0" w:space="0" w:color="auto"/>
            <w:bottom w:val="none" w:sz="0" w:space="0" w:color="auto"/>
            <w:right w:val="none" w:sz="0" w:space="0" w:color="auto"/>
          </w:divBdr>
        </w:div>
        <w:div w:id="1943803159">
          <w:marLeft w:val="547"/>
          <w:marRight w:val="0"/>
          <w:marTop w:val="96"/>
          <w:marBottom w:val="0"/>
          <w:divBdr>
            <w:top w:val="none" w:sz="0" w:space="0" w:color="auto"/>
            <w:left w:val="none" w:sz="0" w:space="0" w:color="auto"/>
            <w:bottom w:val="none" w:sz="0" w:space="0" w:color="auto"/>
            <w:right w:val="none" w:sz="0" w:space="0" w:color="auto"/>
          </w:divBdr>
        </w:div>
      </w:divsChild>
    </w:div>
    <w:div w:id="572541946">
      <w:bodyDiv w:val="1"/>
      <w:marLeft w:val="0"/>
      <w:marRight w:val="0"/>
      <w:marTop w:val="0"/>
      <w:marBottom w:val="0"/>
      <w:divBdr>
        <w:top w:val="none" w:sz="0" w:space="0" w:color="auto"/>
        <w:left w:val="none" w:sz="0" w:space="0" w:color="auto"/>
        <w:bottom w:val="none" w:sz="0" w:space="0" w:color="auto"/>
        <w:right w:val="none" w:sz="0" w:space="0" w:color="auto"/>
      </w:divBdr>
    </w:div>
    <w:div w:id="574508838">
      <w:bodyDiv w:val="1"/>
      <w:marLeft w:val="0"/>
      <w:marRight w:val="0"/>
      <w:marTop w:val="0"/>
      <w:marBottom w:val="0"/>
      <w:divBdr>
        <w:top w:val="none" w:sz="0" w:space="0" w:color="auto"/>
        <w:left w:val="none" w:sz="0" w:space="0" w:color="auto"/>
        <w:bottom w:val="none" w:sz="0" w:space="0" w:color="auto"/>
        <w:right w:val="none" w:sz="0" w:space="0" w:color="auto"/>
      </w:divBdr>
    </w:div>
    <w:div w:id="577911110">
      <w:bodyDiv w:val="1"/>
      <w:marLeft w:val="0"/>
      <w:marRight w:val="0"/>
      <w:marTop w:val="0"/>
      <w:marBottom w:val="0"/>
      <w:divBdr>
        <w:top w:val="none" w:sz="0" w:space="0" w:color="auto"/>
        <w:left w:val="none" w:sz="0" w:space="0" w:color="auto"/>
        <w:bottom w:val="none" w:sz="0" w:space="0" w:color="auto"/>
        <w:right w:val="none" w:sz="0" w:space="0" w:color="auto"/>
      </w:divBdr>
    </w:div>
    <w:div w:id="593168894">
      <w:bodyDiv w:val="1"/>
      <w:marLeft w:val="0"/>
      <w:marRight w:val="0"/>
      <w:marTop w:val="0"/>
      <w:marBottom w:val="0"/>
      <w:divBdr>
        <w:top w:val="none" w:sz="0" w:space="0" w:color="auto"/>
        <w:left w:val="none" w:sz="0" w:space="0" w:color="auto"/>
        <w:bottom w:val="none" w:sz="0" w:space="0" w:color="auto"/>
        <w:right w:val="none" w:sz="0" w:space="0" w:color="auto"/>
      </w:divBdr>
    </w:div>
    <w:div w:id="608514247">
      <w:bodyDiv w:val="1"/>
      <w:marLeft w:val="0"/>
      <w:marRight w:val="0"/>
      <w:marTop w:val="0"/>
      <w:marBottom w:val="0"/>
      <w:divBdr>
        <w:top w:val="none" w:sz="0" w:space="0" w:color="auto"/>
        <w:left w:val="none" w:sz="0" w:space="0" w:color="auto"/>
        <w:bottom w:val="none" w:sz="0" w:space="0" w:color="auto"/>
        <w:right w:val="none" w:sz="0" w:space="0" w:color="auto"/>
      </w:divBdr>
    </w:div>
    <w:div w:id="633682559">
      <w:bodyDiv w:val="1"/>
      <w:marLeft w:val="0"/>
      <w:marRight w:val="0"/>
      <w:marTop w:val="0"/>
      <w:marBottom w:val="0"/>
      <w:divBdr>
        <w:top w:val="none" w:sz="0" w:space="0" w:color="auto"/>
        <w:left w:val="none" w:sz="0" w:space="0" w:color="auto"/>
        <w:bottom w:val="none" w:sz="0" w:space="0" w:color="auto"/>
        <w:right w:val="none" w:sz="0" w:space="0" w:color="auto"/>
      </w:divBdr>
    </w:div>
    <w:div w:id="636490136">
      <w:bodyDiv w:val="1"/>
      <w:marLeft w:val="0"/>
      <w:marRight w:val="0"/>
      <w:marTop w:val="0"/>
      <w:marBottom w:val="0"/>
      <w:divBdr>
        <w:top w:val="none" w:sz="0" w:space="0" w:color="auto"/>
        <w:left w:val="none" w:sz="0" w:space="0" w:color="auto"/>
        <w:bottom w:val="none" w:sz="0" w:space="0" w:color="auto"/>
        <w:right w:val="none" w:sz="0" w:space="0" w:color="auto"/>
      </w:divBdr>
    </w:div>
    <w:div w:id="650401250">
      <w:bodyDiv w:val="1"/>
      <w:marLeft w:val="0"/>
      <w:marRight w:val="0"/>
      <w:marTop w:val="0"/>
      <w:marBottom w:val="0"/>
      <w:divBdr>
        <w:top w:val="none" w:sz="0" w:space="0" w:color="auto"/>
        <w:left w:val="none" w:sz="0" w:space="0" w:color="auto"/>
        <w:bottom w:val="none" w:sz="0" w:space="0" w:color="auto"/>
        <w:right w:val="none" w:sz="0" w:space="0" w:color="auto"/>
      </w:divBdr>
    </w:div>
    <w:div w:id="651368880">
      <w:bodyDiv w:val="1"/>
      <w:marLeft w:val="0"/>
      <w:marRight w:val="0"/>
      <w:marTop w:val="0"/>
      <w:marBottom w:val="0"/>
      <w:divBdr>
        <w:top w:val="none" w:sz="0" w:space="0" w:color="auto"/>
        <w:left w:val="none" w:sz="0" w:space="0" w:color="auto"/>
        <w:bottom w:val="none" w:sz="0" w:space="0" w:color="auto"/>
        <w:right w:val="none" w:sz="0" w:space="0" w:color="auto"/>
      </w:divBdr>
    </w:div>
    <w:div w:id="677804768">
      <w:bodyDiv w:val="1"/>
      <w:marLeft w:val="0"/>
      <w:marRight w:val="0"/>
      <w:marTop w:val="0"/>
      <w:marBottom w:val="0"/>
      <w:divBdr>
        <w:top w:val="none" w:sz="0" w:space="0" w:color="auto"/>
        <w:left w:val="none" w:sz="0" w:space="0" w:color="auto"/>
        <w:bottom w:val="none" w:sz="0" w:space="0" w:color="auto"/>
        <w:right w:val="none" w:sz="0" w:space="0" w:color="auto"/>
      </w:divBdr>
      <w:divsChild>
        <w:div w:id="639113265">
          <w:marLeft w:val="0"/>
          <w:marRight w:val="0"/>
          <w:marTop w:val="0"/>
          <w:marBottom w:val="0"/>
          <w:divBdr>
            <w:top w:val="none" w:sz="0" w:space="0" w:color="auto"/>
            <w:left w:val="single" w:sz="36" w:space="6" w:color="FFFFFF"/>
            <w:bottom w:val="single" w:sz="36" w:space="6" w:color="FFFFFF"/>
            <w:right w:val="single" w:sz="36" w:space="6" w:color="FFFFFF"/>
          </w:divBdr>
          <w:divsChild>
            <w:div w:id="555164218">
              <w:marLeft w:val="0"/>
              <w:marRight w:val="0"/>
              <w:marTop w:val="0"/>
              <w:marBottom w:val="0"/>
              <w:divBdr>
                <w:top w:val="none" w:sz="0" w:space="0" w:color="auto"/>
                <w:left w:val="none" w:sz="0" w:space="0" w:color="auto"/>
                <w:bottom w:val="none" w:sz="0" w:space="0" w:color="auto"/>
                <w:right w:val="none" w:sz="0" w:space="0" w:color="auto"/>
              </w:divBdr>
              <w:divsChild>
                <w:div w:id="1131479645">
                  <w:marLeft w:val="0"/>
                  <w:marRight w:val="0"/>
                  <w:marTop w:val="0"/>
                  <w:marBottom w:val="0"/>
                  <w:divBdr>
                    <w:top w:val="none" w:sz="0" w:space="0" w:color="auto"/>
                    <w:left w:val="none" w:sz="0" w:space="0" w:color="auto"/>
                    <w:bottom w:val="none" w:sz="0" w:space="0" w:color="auto"/>
                    <w:right w:val="none" w:sz="0" w:space="0" w:color="auto"/>
                  </w:divBdr>
                  <w:divsChild>
                    <w:div w:id="1772511838">
                      <w:marLeft w:val="0"/>
                      <w:marRight w:val="105"/>
                      <w:marTop w:val="0"/>
                      <w:marBottom w:val="0"/>
                      <w:divBdr>
                        <w:top w:val="none" w:sz="0" w:space="0" w:color="auto"/>
                        <w:left w:val="none" w:sz="0" w:space="0" w:color="auto"/>
                        <w:bottom w:val="none" w:sz="0" w:space="0" w:color="auto"/>
                        <w:right w:val="none" w:sz="0" w:space="0" w:color="auto"/>
                      </w:divBdr>
                      <w:divsChild>
                        <w:div w:id="2096197569">
                          <w:marLeft w:val="0"/>
                          <w:marRight w:val="0"/>
                          <w:marTop w:val="0"/>
                          <w:marBottom w:val="105"/>
                          <w:divBdr>
                            <w:top w:val="none" w:sz="0" w:space="0" w:color="auto"/>
                            <w:left w:val="none" w:sz="0" w:space="0" w:color="auto"/>
                            <w:bottom w:val="none" w:sz="0" w:space="0" w:color="auto"/>
                            <w:right w:val="none" w:sz="0" w:space="0" w:color="auto"/>
                          </w:divBdr>
                          <w:divsChild>
                            <w:div w:id="1571579587">
                              <w:marLeft w:val="0"/>
                              <w:marRight w:val="0"/>
                              <w:marTop w:val="0"/>
                              <w:marBottom w:val="0"/>
                              <w:divBdr>
                                <w:top w:val="none" w:sz="0" w:space="0" w:color="auto"/>
                                <w:left w:val="none" w:sz="0" w:space="0" w:color="auto"/>
                                <w:bottom w:val="none" w:sz="0" w:space="0" w:color="auto"/>
                                <w:right w:val="none" w:sz="0" w:space="0" w:color="auto"/>
                              </w:divBdr>
                              <w:divsChild>
                                <w:div w:id="491718919">
                                  <w:marLeft w:val="0"/>
                                  <w:marRight w:val="0"/>
                                  <w:marTop w:val="0"/>
                                  <w:marBottom w:val="0"/>
                                  <w:divBdr>
                                    <w:top w:val="none" w:sz="0" w:space="0" w:color="auto"/>
                                    <w:left w:val="none" w:sz="0" w:space="0" w:color="auto"/>
                                    <w:bottom w:val="none" w:sz="0" w:space="0" w:color="auto"/>
                                    <w:right w:val="none" w:sz="0" w:space="0" w:color="auto"/>
                                  </w:divBdr>
                                  <w:divsChild>
                                    <w:div w:id="786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0225692">
      <w:bodyDiv w:val="1"/>
      <w:marLeft w:val="0"/>
      <w:marRight w:val="0"/>
      <w:marTop w:val="0"/>
      <w:marBottom w:val="0"/>
      <w:divBdr>
        <w:top w:val="none" w:sz="0" w:space="0" w:color="auto"/>
        <w:left w:val="none" w:sz="0" w:space="0" w:color="auto"/>
        <w:bottom w:val="none" w:sz="0" w:space="0" w:color="auto"/>
        <w:right w:val="none" w:sz="0" w:space="0" w:color="auto"/>
      </w:divBdr>
    </w:div>
    <w:div w:id="695348309">
      <w:bodyDiv w:val="1"/>
      <w:marLeft w:val="0"/>
      <w:marRight w:val="0"/>
      <w:marTop w:val="0"/>
      <w:marBottom w:val="0"/>
      <w:divBdr>
        <w:top w:val="none" w:sz="0" w:space="0" w:color="auto"/>
        <w:left w:val="none" w:sz="0" w:space="0" w:color="auto"/>
        <w:bottom w:val="none" w:sz="0" w:space="0" w:color="auto"/>
        <w:right w:val="none" w:sz="0" w:space="0" w:color="auto"/>
      </w:divBdr>
    </w:div>
    <w:div w:id="723604733">
      <w:bodyDiv w:val="1"/>
      <w:marLeft w:val="0"/>
      <w:marRight w:val="0"/>
      <w:marTop w:val="0"/>
      <w:marBottom w:val="0"/>
      <w:divBdr>
        <w:top w:val="none" w:sz="0" w:space="0" w:color="auto"/>
        <w:left w:val="none" w:sz="0" w:space="0" w:color="auto"/>
        <w:bottom w:val="none" w:sz="0" w:space="0" w:color="auto"/>
        <w:right w:val="none" w:sz="0" w:space="0" w:color="auto"/>
      </w:divBdr>
    </w:div>
    <w:div w:id="731319269">
      <w:bodyDiv w:val="1"/>
      <w:marLeft w:val="0"/>
      <w:marRight w:val="0"/>
      <w:marTop w:val="0"/>
      <w:marBottom w:val="0"/>
      <w:divBdr>
        <w:top w:val="none" w:sz="0" w:space="0" w:color="auto"/>
        <w:left w:val="none" w:sz="0" w:space="0" w:color="auto"/>
        <w:bottom w:val="none" w:sz="0" w:space="0" w:color="auto"/>
        <w:right w:val="none" w:sz="0" w:space="0" w:color="auto"/>
      </w:divBdr>
    </w:div>
    <w:div w:id="731924333">
      <w:bodyDiv w:val="1"/>
      <w:marLeft w:val="0"/>
      <w:marRight w:val="0"/>
      <w:marTop w:val="0"/>
      <w:marBottom w:val="0"/>
      <w:divBdr>
        <w:top w:val="none" w:sz="0" w:space="0" w:color="auto"/>
        <w:left w:val="none" w:sz="0" w:space="0" w:color="auto"/>
        <w:bottom w:val="none" w:sz="0" w:space="0" w:color="auto"/>
        <w:right w:val="none" w:sz="0" w:space="0" w:color="auto"/>
      </w:divBdr>
    </w:div>
    <w:div w:id="732391058">
      <w:bodyDiv w:val="1"/>
      <w:marLeft w:val="0"/>
      <w:marRight w:val="0"/>
      <w:marTop w:val="0"/>
      <w:marBottom w:val="0"/>
      <w:divBdr>
        <w:top w:val="none" w:sz="0" w:space="0" w:color="auto"/>
        <w:left w:val="none" w:sz="0" w:space="0" w:color="auto"/>
        <w:bottom w:val="none" w:sz="0" w:space="0" w:color="auto"/>
        <w:right w:val="none" w:sz="0" w:space="0" w:color="auto"/>
      </w:divBdr>
    </w:div>
    <w:div w:id="741025766">
      <w:bodyDiv w:val="1"/>
      <w:marLeft w:val="0"/>
      <w:marRight w:val="0"/>
      <w:marTop w:val="0"/>
      <w:marBottom w:val="0"/>
      <w:divBdr>
        <w:top w:val="none" w:sz="0" w:space="0" w:color="auto"/>
        <w:left w:val="none" w:sz="0" w:space="0" w:color="auto"/>
        <w:bottom w:val="none" w:sz="0" w:space="0" w:color="auto"/>
        <w:right w:val="none" w:sz="0" w:space="0" w:color="auto"/>
      </w:divBdr>
    </w:div>
    <w:div w:id="766388123">
      <w:bodyDiv w:val="1"/>
      <w:marLeft w:val="0"/>
      <w:marRight w:val="0"/>
      <w:marTop w:val="0"/>
      <w:marBottom w:val="0"/>
      <w:divBdr>
        <w:top w:val="none" w:sz="0" w:space="0" w:color="auto"/>
        <w:left w:val="none" w:sz="0" w:space="0" w:color="auto"/>
        <w:bottom w:val="none" w:sz="0" w:space="0" w:color="auto"/>
        <w:right w:val="none" w:sz="0" w:space="0" w:color="auto"/>
      </w:divBdr>
    </w:div>
    <w:div w:id="770707711">
      <w:bodyDiv w:val="1"/>
      <w:marLeft w:val="0"/>
      <w:marRight w:val="0"/>
      <w:marTop w:val="0"/>
      <w:marBottom w:val="0"/>
      <w:divBdr>
        <w:top w:val="none" w:sz="0" w:space="0" w:color="auto"/>
        <w:left w:val="none" w:sz="0" w:space="0" w:color="auto"/>
        <w:bottom w:val="none" w:sz="0" w:space="0" w:color="auto"/>
        <w:right w:val="none" w:sz="0" w:space="0" w:color="auto"/>
      </w:divBdr>
    </w:div>
    <w:div w:id="776944634">
      <w:bodyDiv w:val="1"/>
      <w:marLeft w:val="0"/>
      <w:marRight w:val="0"/>
      <w:marTop w:val="0"/>
      <w:marBottom w:val="0"/>
      <w:divBdr>
        <w:top w:val="none" w:sz="0" w:space="0" w:color="auto"/>
        <w:left w:val="none" w:sz="0" w:space="0" w:color="auto"/>
        <w:bottom w:val="none" w:sz="0" w:space="0" w:color="auto"/>
        <w:right w:val="none" w:sz="0" w:space="0" w:color="auto"/>
      </w:divBdr>
    </w:div>
    <w:div w:id="785124591">
      <w:bodyDiv w:val="1"/>
      <w:marLeft w:val="0"/>
      <w:marRight w:val="0"/>
      <w:marTop w:val="0"/>
      <w:marBottom w:val="0"/>
      <w:divBdr>
        <w:top w:val="none" w:sz="0" w:space="0" w:color="auto"/>
        <w:left w:val="none" w:sz="0" w:space="0" w:color="auto"/>
        <w:bottom w:val="none" w:sz="0" w:space="0" w:color="auto"/>
        <w:right w:val="none" w:sz="0" w:space="0" w:color="auto"/>
      </w:divBdr>
    </w:div>
    <w:div w:id="788814377">
      <w:bodyDiv w:val="1"/>
      <w:marLeft w:val="0"/>
      <w:marRight w:val="0"/>
      <w:marTop w:val="0"/>
      <w:marBottom w:val="0"/>
      <w:divBdr>
        <w:top w:val="none" w:sz="0" w:space="0" w:color="auto"/>
        <w:left w:val="none" w:sz="0" w:space="0" w:color="auto"/>
        <w:bottom w:val="none" w:sz="0" w:space="0" w:color="auto"/>
        <w:right w:val="none" w:sz="0" w:space="0" w:color="auto"/>
      </w:divBdr>
    </w:div>
    <w:div w:id="789325465">
      <w:bodyDiv w:val="1"/>
      <w:marLeft w:val="0"/>
      <w:marRight w:val="0"/>
      <w:marTop w:val="0"/>
      <w:marBottom w:val="0"/>
      <w:divBdr>
        <w:top w:val="none" w:sz="0" w:space="0" w:color="auto"/>
        <w:left w:val="none" w:sz="0" w:space="0" w:color="auto"/>
        <w:bottom w:val="none" w:sz="0" w:space="0" w:color="auto"/>
        <w:right w:val="none" w:sz="0" w:space="0" w:color="auto"/>
      </w:divBdr>
    </w:div>
    <w:div w:id="831990631">
      <w:bodyDiv w:val="1"/>
      <w:marLeft w:val="0"/>
      <w:marRight w:val="0"/>
      <w:marTop w:val="0"/>
      <w:marBottom w:val="0"/>
      <w:divBdr>
        <w:top w:val="none" w:sz="0" w:space="0" w:color="auto"/>
        <w:left w:val="none" w:sz="0" w:space="0" w:color="auto"/>
        <w:bottom w:val="none" w:sz="0" w:space="0" w:color="auto"/>
        <w:right w:val="none" w:sz="0" w:space="0" w:color="auto"/>
      </w:divBdr>
    </w:div>
    <w:div w:id="833957209">
      <w:bodyDiv w:val="1"/>
      <w:marLeft w:val="0"/>
      <w:marRight w:val="0"/>
      <w:marTop w:val="0"/>
      <w:marBottom w:val="0"/>
      <w:divBdr>
        <w:top w:val="none" w:sz="0" w:space="0" w:color="auto"/>
        <w:left w:val="none" w:sz="0" w:space="0" w:color="auto"/>
        <w:bottom w:val="none" w:sz="0" w:space="0" w:color="auto"/>
        <w:right w:val="none" w:sz="0" w:space="0" w:color="auto"/>
      </w:divBdr>
    </w:div>
    <w:div w:id="837960538">
      <w:bodyDiv w:val="1"/>
      <w:marLeft w:val="0"/>
      <w:marRight w:val="0"/>
      <w:marTop w:val="0"/>
      <w:marBottom w:val="0"/>
      <w:divBdr>
        <w:top w:val="none" w:sz="0" w:space="0" w:color="auto"/>
        <w:left w:val="none" w:sz="0" w:space="0" w:color="auto"/>
        <w:bottom w:val="none" w:sz="0" w:space="0" w:color="auto"/>
        <w:right w:val="none" w:sz="0" w:space="0" w:color="auto"/>
      </w:divBdr>
    </w:div>
    <w:div w:id="844591907">
      <w:bodyDiv w:val="1"/>
      <w:marLeft w:val="0"/>
      <w:marRight w:val="0"/>
      <w:marTop w:val="0"/>
      <w:marBottom w:val="0"/>
      <w:divBdr>
        <w:top w:val="none" w:sz="0" w:space="0" w:color="auto"/>
        <w:left w:val="none" w:sz="0" w:space="0" w:color="auto"/>
        <w:bottom w:val="none" w:sz="0" w:space="0" w:color="auto"/>
        <w:right w:val="none" w:sz="0" w:space="0" w:color="auto"/>
      </w:divBdr>
    </w:div>
    <w:div w:id="852492454">
      <w:bodyDiv w:val="1"/>
      <w:marLeft w:val="0"/>
      <w:marRight w:val="0"/>
      <w:marTop w:val="0"/>
      <w:marBottom w:val="0"/>
      <w:divBdr>
        <w:top w:val="none" w:sz="0" w:space="0" w:color="auto"/>
        <w:left w:val="none" w:sz="0" w:space="0" w:color="auto"/>
        <w:bottom w:val="none" w:sz="0" w:space="0" w:color="auto"/>
        <w:right w:val="none" w:sz="0" w:space="0" w:color="auto"/>
      </w:divBdr>
    </w:div>
    <w:div w:id="853810716">
      <w:bodyDiv w:val="1"/>
      <w:marLeft w:val="0"/>
      <w:marRight w:val="0"/>
      <w:marTop w:val="0"/>
      <w:marBottom w:val="0"/>
      <w:divBdr>
        <w:top w:val="none" w:sz="0" w:space="0" w:color="auto"/>
        <w:left w:val="none" w:sz="0" w:space="0" w:color="auto"/>
        <w:bottom w:val="none" w:sz="0" w:space="0" w:color="auto"/>
        <w:right w:val="none" w:sz="0" w:space="0" w:color="auto"/>
      </w:divBdr>
      <w:divsChild>
        <w:div w:id="135025464">
          <w:marLeft w:val="547"/>
          <w:marRight w:val="0"/>
          <w:marTop w:val="115"/>
          <w:marBottom w:val="0"/>
          <w:divBdr>
            <w:top w:val="none" w:sz="0" w:space="0" w:color="auto"/>
            <w:left w:val="none" w:sz="0" w:space="0" w:color="auto"/>
            <w:bottom w:val="none" w:sz="0" w:space="0" w:color="auto"/>
            <w:right w:val="none" w:sz="0" w:space="0" w:color="auto"/>
          </w:divBdr>
        </w:div>
        <w:div w:id="402335698">
          <w:marLeft w:val="547"/>
          <w:marRight w:val="0"/>
          <w:marTop w:val="115"/>
          <w:marBottom w:val="0"/>
          <w:divBdr>
            <w:top w:val="none" w:sz="0" w:space="0" w:color="auto"/>
            <w:left w:val="none" w:sz="0" w:space="0" w:color="auto"/>
            <w:bottom w:val="none" w:sz="0" w:space="0" w:color="auto"/>
            <w:right w:val="none" w:sz="0" w:space="0" w:color="auto"/>
          </w:divBdr>
        </w:div>
        <w:div w:id="624042146">
          <w:marLeft w:val="547"/>
          <w:marRight w:val="0"/>
          <w:marTop w:val="115"/>
          <w:marBottom w:val="0"/>
          <w:divBdr>
            <w:top w:val="none" w:sz="0" w:space="0" w:color="auto"/>
            <w:left w:val="none" w:sz="0" w:space="0" w:color="auto"/>
            <w:bottom w:val="none" w:sz="0" w:space="0" w:color="auto"/>
            <w:right w:val="none" w:sz="0" w:space="0" w:color="auto"/>
          </w:divBdr>
        </w:div>
        <w:div w:id="976842374">
          <w:marLeft w:val="547"/>
          <w:marRight w:val="0"/>
          <w:marTop w:val="115"/>
          <w:marBottom w:val="0"/>
          <w:divBdr>
            <w:top w:val="none" w:sz="0" w:space="0" w:color="auto"/>
            <w:left w:val="none" w:sz="0" w:space="0" w:color="auto"/>
            <w:bottom w:val="none" w:sz="0" w:space="0" w:color="auto"/>
            <w:right w:val="none" w:sz="0" w:space="0" w:color="auto"/>
          </w:divBdr>
        </w:div>
        <w:div w:id="1220744394">
          <w:marLeft w:val="547"/>
          <w:marRight w:val="0"/>
          <w:marTop w:val="115"/>
          <w:marBottom w:val="0"/>
          <w:divBdr>
            <w:top w:val="none" w:sz="0" w:space="0" w:color="auto"/>
            <w:left w:val="none" w:sz="0" w:space="0" w:color="auto"/>
            <w:bottom w:val="none" w:sz="0" w:space="0" w:color="auto"/>
            <w:right w:val="none" w:sz="0" w:space="0" w:color="auto"/>
          </w:divBdr>
        </w:div>
      </w:divsChild>
    </w:div>
    <w:div w:id="898782627">
      <w:bodyDiv w:val="1"/>
      <w:marLeft w:val="0"/>
      <w:marRight w:val="0"/>
      <w:marTop w:val="0"/>
      <w:marBottom w:val="0"/>
      <w:divBdr>
        <w:top w:val="none" w:sz="0" w:space="0" w:color="auto"/>
        <w:left w:val="none" w:sz="0" w:space="0" w:color="auto"/>
        <w:bottom w:val="none" w:sz="0" w:space="0" w:color="auto"/>
        <w:right w:val="none" w:sz="0" w:space="0" w:color="auto"/>
      </w:divBdr>
    </w:div>
    <w:div w:id="902107975">
      <w:bodyDiv w:val="1"/>
      <w:marLeft w:val="0"/>
      <w:marRight w:val="0"/>
      <w:marTop w:val="0"/>
      <w:marBottom w:val="0"/>
      <w:divBdr>
        <w:top w:val="none" w:sz="0" w:space="0" w:color="auto"/>
        <w:left w:val="none" w:sz="0" w:space="0" w:color="auto"/>
        <w:bottom w:val="none" w:sz="0" w:space="0" w:color="auto"/>
        <w:right w:val="none" w:sz="0" w:space="0" w:color="auto"/>
      </w:divBdr>
    </w:div>
    <w:div w:id="910385748">
      <w:bodyDiv w:val="1"/>
      <w:marLeft w:val="0"/>
      <w:marRight w:val="0"/>
      <w:marTop w:val="0"/>
      <w:marBottom w:val="0"/>
      <w:divBdr>
        <w:top w:val="none" w:sz="0" w:space="0" w:color="auto"/>
        <w:left w:val="none" w:sz="0" w:space="0" w:color="auto"/>
        <w:bottom w:val="none" w:sz="0" w:space="0" w:color="auto"/>
        <w:right w:val="none" w:sz="0" w:space="0" w:color="auto"/>
      </w:divBdr>
      <w:divsChild>
        <w:div w:id="1335378363">
          <w:marLeft w:val="0"/>
          <w:marRight w:val="0"/>
          <w:marTop w:val="100"/>
          <w:marBottom w:val="100"/>
          <w:divBdr>
            <w:top w:val="none" w:sz="0" w:space="0" w:color="auto"/>
            <w:left w:val="none" w:sz="0" w:space="0" w:color="auto"/>
            <w:bottom w:val="none" w:sz="0" w:space="0" w:color="auto"/>
            <w:right w:val="none" w:sz="0" w:space="0" w:color="auto"/>
          </w:divBdr>
          <w:divsChild>
            <w:div w:id="882061147">
              <w:marLeft w:val="0"/>
              <w:marRight w:val="0"/>
              <w:marTop w:val="0"/>
              <w:marBottom w:val="0"/>
              <w:divBdr>
                <w:top w:val="none" w:sz="0" w:space="0" w:color="auto"/>
                <w:left w:val="none" w:sz="0" w:space="0" w:color="auto"/>
                <w:bottom w:val="none" w:sz="0" w:space="0" w:color="auto"/>
                <w:right w:val="none" w:sz="0" w:space="0" w:color="auto"/>
              </w:divBdr>
              <w:divsChild>
                <w:div w:id="875313367">
                  <w:marLeft w:val="0"/>
                  <w:marRight w:val="0"/>
                  <w:marTop w:val="0"/>
                  <w:marBottom w:val="0"/>
                  <w:divBdr>
                    <w:top w:val="none" w:sz="0" w:space="0" w:color="auto"/>
                    <w:left w:val="none" w:sz="0" w:space="0" w:color="auto"/>
                    <w:bottom w:val="none" w:sz="0" w:space="0" w:color="auto"/>
                    <w:right w:val="none" w:sz="0" w:space="0" w:color="auto"/>
                  </w:divBdr>
                  <w:divsChild>
                    <w:div w:id="6294330">
                      <w:marLeft w:val="0"/>
                      <w:marRight w:val="0"/>
                      <w:marTop w:val="0"/>
                      <w:marBottom w:val="0"/>
                      <w:divBdr>
                        <w:top w:val="none" w:sz="0" w:space="0" w:color="auto"/>
                        <w:left w:val="none" w:sz="0" w:space="0" w:color="auto"/>
                        <w:bottom w:val="none" w:sz="0" w:space="0" w:color="auto"/>
                        <w:right w:val="none" w:sz="0" w:space="0" w:color="auto"/>
                      </w:divBdr>
                      <w:divsChild>
                        <w:div w:id="675763102">
                          <w:marLeft w:val="0"/>
                          <w:marRight w:val="0"/>
                          <w:marTop w:val="0"/>
                          <w:marBottom w:val="0"/>
                          <w:divBdr>
                            <w:top w:val="none" w:sz="0" w:space="0" w:color="auto"/>
                            <w:left w:val="none" w:sz="0" w:space="0" w:color="auto"/>
                            <w:bottom w:val="none" w:sz="0" w:space="0" w:color="auto"/>
                            <w:right w:val="none" w:sz="0" w:space="0" w:color="auto"/>
                          </w:divBdr>
                          <w:divsChild>
                            <w:div w:id="376467922">
                              <w:marLeft w:val="0"/>
                              <w:marRight w:val="0"/>
                              <w:marTop w:val="0"/>
                              <w:marBottom w:val="0"/>
                              <w:divBdr>
                                <w:top w:val="none" w:sz="0" w:space="0" w:color="auto"/>
                                <w:left w:val="none" w:sz="0" w:space="0" w:color="auto"/>
                                <w:bottom w:val="none" w:sz="0" w:space="0" w:color="auto"/>
                                <w:right w:val="none" w:sz="0" w:space="0" w:color="auto"/>
                              </w:divBdr>
                              <w:divsChild>
                                <w:div w:id="204029216">
                                  <w:marLeft w:val="0"/>
                                  <w:marRight w:val="0"/>
                                  <w:marTop w:val="0"/>
                                  <w:marBottom w:val="0"/>
                                  <w:divBdr>
                                    <w:top w:val="none" w:sz="0" w:space="0" w:color="auto"/>
                                    <w:left w:val="none" w:sz="0" w:space="0" w:color="auto"/>
                                    <w:bottom w:val="none" w:sz="0" w:space="0" w:color="auto"/>
                                    <w:right w:val="none" w:sz="0" w:space="0" w:color="auto"/>
                                  </w:divBdr>
                                  <w:divsChild>
                                    <w:div w:id="593167080">
                                      <w:marLeft w:val="0"/>
                                      <w:marRight w:val="0"/>
                                      <w:marTop w:val="0"/>
                                      <w:marBottom w:val="0"/>
                                      <w:divBdr>
                                        <w:top w:val="none" w:sz="0" w:space="0" w:color="auto"/>
                                        <w:left w:val="none" w:sz="0" w:space="0" w:color="auto"/>
                                        <w:bottom w:val="none" w:sz="0" w:space="0" w:color="auto"/>
                                        <w:right w:val="none" w:sz="0" w:space="0" w:color="auto"/>
                                      </w:divBdr>
                                      <w:divsChild>
                                        <w:div w:id="183587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011613">
      <w:bodyDiv w:val="1"/>
      <w:marLeft w:val="0"/>
      <w:marRight w:val="0"/>
      <w:marTop w:val="0"/>
      <w:marBottom w:val="0"/>
      <w:divBdr>
        <w:top w:val="none" w:sz="0" w:space="0" w:color="auto"/>
        <w:left w:val="none" w:sz="0" w:space="0" w:color="auto"/>
        <w:bottom w:val="none" w:sz="0" w:space="0" w:color="auto"/>
        <w:right w:val="none" w:sz="0" w:space="0" w:color="auto"/>
      </w:divBdr>
    </w:div>
    <w:div w:id="942688032">
      <w:bodyDiv w:val="1"/>
      <w:marLeft w:val="0"/>
      <w:marRight w:val="0"/>
      <w:marTop w:val="0"/>
      <w:marBottom w:val="0"/>
      <w:divBdr>
        <w:top w:val="none" w:sz="0" w:space="0" w:color="auto"/>
        <w:left w:val="none" w:sz="0" w:space="0" w:color="auto"/>
        <w:bottom w:val="none" w:sz="0" w:space="0" w:color="auto"/>
        <w:right w:val="none" w:sz="0" w:space="0" w:color="auto"/>
      </w:divBdr>
    </w:div>
    <w:div w:id="950816240">
      <w:bodyDiv w:val="1"/>
      <w:marLeft w:val="0"/>
      <w:marRight w:val="0"/>
      <w:marTop w:val="0"/>
      <w:marBottom w:val="0"/>
      <w:divBdr>
        <w:top w:val="none" w:sz="0" w:space="0" w:color="auto"/>
        <w:left w:val="none" w:sz="0" w:space="0" w:color="auto"/>
        <w:bottom w:val="none" w:sz="0" w:space="0" w:color="auto"/>
        <w:right w:val="none" w:sz="0" w:space="0" w:color="auto"/>
      </w:divBdr>
      <w:divsChild>
        <w:div w:id="1141462290">
          <w:marLeft w:val="0"/>
          <w:marRight w:val="0"/>
          <w:marTop w:val="0"/>
          <w:marBottom w:val="0"/>
          <w:divBdr>
            <w:top w:val="none" w:sz="0" w:space="0" w:color="auto"/>
            <w:left w:val="none" w:sz="0" w:space="0" w:color="auto"/>
            <w:bottom w:val="none" w:sz="0" w:space="0" w:color="auto"/>
            <w:right w:val="none" w:sz="0" w:space="0" w:color="auto"/>
          </w:divBdr>
          <w:divsChild>
            <w:div w:id="835725263">
              <w:marLeft w:val="0"/>
              <w:marRight w:val="0"/>
              <w:marTop w:val="0"/>
              <w:marBottom w:val="0"/>
              <w:divBdr>
                <w:top w:val="none" w:sz="0" w:space="0" w:color="auto"/>
                <w:left w:val="none" w:sz="0" w:space="0" w:color="auto"/>
                <w:bottom w:val="none" w:sz="0" w:space="0" w:color="auto"/>
                <w:right w:val="none" w:sz="0" w:space="0" w:color="auto"/>
              </w:divBdr>
              <w:divsChild>
                <w:div w:id="901451798">
                  <w:marLeft w:val="0"/>
                  <w:marRight w:val="0"/>
                  <w:marTop w:val="0"/>
                  <w:marBottom w:val="0"/>
                  <w:divBdr>
                    <w:top w:val="none" w:sz="0" w:space="0" w:color="auto"/>
                    <w:left w:val="none" w:sz="0" w:space="0" w:color="auto"/>
                    <w:bottom w:val="none" w:sz="0" w:space="0" w:color="auto"/>
                    <w:right w:val="none" w:sz="0" w:space="0" w:color="auto"/>
                  </w:divBdr>
                  <w:divsChild>
                    <w:div w:id="1366757228">
                      <w:marLeft w:val="0"/>
                      <w:marRight w:val="0"/>
                      <w:marTop w:val="0"/>
                      <w:marBottom w:val="0"/>
                      <w:divBdr>
                        <w:top w:val="none" w:sz="0" w:space="0" w:color="auto"/>
                        <w:left w:val="none" w:sz="0" w:space="0" w:color="auto"/>
                        <w:bottom w:val="none" w:sz="0" w:space="0" w:color="auto"/>
                        <w:right w:val="none" w:sz="0" w:space="0" w:color="auto"/>
                      </w:divBdr>
                      <w:divsChild>
                        <w:div w:id="820317317">
                          <w:marLeft w:val="0"/>
                          <w:marRight w:val="0"/>
                          <w:marTop w:val="0"/>
                          <w:marBottom w:val="0"/>
                          <w:divBdr>
                            <w:top w:val="none" w:sz="0" w:space="0" w:color="auto"/>
                            <w:left w:val="none" w:sz="0" w:space="0" w:color="auto"/>
                            <w:bottom w:val="none" w:sz="0" w:space="0" w:color="auto"/>
                            <w:right w:val="none" w:sz="0" w:space="0" w:color="auto"/>
                          </w:divBdr>
                          <w:divsChild>
                            <w:div w:id="936330146">
                              <w:marLeft w:val="0"/>
                              <w:marRight w:val="0"/>
                              <w:marTop w:val="0"/>
                              <w:marBottom w:val="0"/>
                              <w:divBdr>
                                <w:top w:val="none" w:sz="0" w:space="0" w:color="auto"/>
                                <w:left w:val="none" w:sz="0" w:space="0" w:color="auto"/>
                                <w:bottom w:val="none" w:sz="0" w:space="0" w:color="auto"/>
                                <w:right w:val="none" w:sz="0" w:space="0" w:color="auto"/>
                              </w:divBdr>
                              <w:divsChild>
                                <w:div w:id="644244301">
                                  <w:marLeft w:val="0"/>
                                  <w:marRight w:val="0"/>
                                  <w:marTop w:val="0"/>
                                  <w:marBottom w:val="0"/>
                                  <w:divBdr>
                                    <w:top w:val="none" w:sz="0" w:space="0" w:color="auto"/>
                                    <w:left w:val="none" w:sz="0" w:space="0" w:color="auto"/>
                                    <w:bottom w:val="none" w:sz="0" w:space="0" w:color="auto"/>
                                    <w:right w:val="none" w:sz="0" w:space="0" w:color="auto"/>
                                  </w:divBdr>
                                  <w:divsChild>
                                    <w:div w:id="1733191231">
                                      <w:marLeft w:val="0"/>
                                      <w:marRight w:val="0"/>
                                      <w:marTop w:val="0"/>
                                      <w:marBottom w:val="0"/>
                                      <w:divBdr>
                                        <w:top w:val="none" w:sz="0" w:space="0" w:color="auto"/>
                                        <w:left w:val="none" w:sz="0" w:space="0" w:color="auto"/>
                                        <w:bottom w:val="none" w:sz="0" w:space="0" w:color="auto"/>
                                        <w:right w:val="none" w:sz="0" w:space="0" w:color="auto"/>
                                      </w:divBdr>
                                      <w:divsChild>
                                        <w:div w:id="1906723845">
                                          <w:marLeft w:val="0"/>
                                          <w:marRight w:val="0"/>
                                          <w:marTop w:val="120"/>
                                          <w:marBottom w:val="0"/>
                                          <w:divBdr>
                                            <w:top w:val="none" w:sz="0" w:space="0" w:color="auto"/>
                                            <w:left w:val="none" w:sz="0" w:space="0" w:color="auto"/>
                                            <w:bottom w:val="none" w:sz="0" w:space="0" w:color="auto"/>
                                            <w:right w:val="none" w:sz="0" w:space="0" w:color="auto"/>
                                          </w:divBdr>
                                          <w:divsChild>
                                            <w:div w:id="1911037066">
                                              <w:marLeft w:val="0"/>
                                              <w:marRight w:val="0"/>
                                              <w:marTop w:val="120"/>
                                              <w:marBottom w:val="120"/>
                                              <w:divBdr>
                                                <w:top w:val="none" w:sz="0" w:space="0" w:color="auto"/>
                                                <w:left w:val="none" w:sz="0" w:space="0" w:color="auto"/>
                                                <w:bottom w:val="none" w:sz="0" w:space="0" w:color="auto"/>
                                                <w:right w:val="none" w:sz="0" w:space="0" w:color="auto"/>
                                              </w:divBdr>
                                              <w:divsChild>
                                                <w:div w:id="698706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8100147">
      <w:bodyDiv w:val="1"/>
      <w:marLeft w:val="0"/>
      <w:marRight w:val="0"/>
      <w:marTop w:val="0"/>
      <w:marBottom w:val="0"/>
      <w:divBdr>
        <w:top w:val="none" w:sz="0" w:space="0" w:color="auto"/>
        <w:left w:val="none" w:sz="0" w:space="0" w:color="auto"/>
        <w:bottom w:val="none" w:sz="0" w:space="0" w:color="auto"/>
        <w:right w:val="none" w:sz="0" w:space="0" w:color="auto"/>
      </w:divBdr>
    </w:div>
    <w:div w:id="960457955">
      <w:bodyDiv w:val="1"/>
      <w:marLeft w:val="0"/>
      <w:marRight w:val="0"/>
      <w:marTop w:val="0"/>
      <w:marBottom w:val="0"/>
      <w:divBdr>
        <w:top w:val="none" w:sz="0" w:space="0" w:color="auto"/>
        <w:left w:val="none" w:sz="0" w:space="0" w:color="auto"/>
        <w:bottom w:val="none" w:sz="0" w:space="0" w:color="auto"/>
        <w:right w:val="none" w:sz="0" w:space="0" w:color="auto"/>
      </w:divBdr>
    </w:div>
    <w:div w:id="971986071">
      <w:bodyDiv w:val="1"/>
      <w:marLeft w:val="0"/>
      <w:marRight w:val="0"/>
      <w:marTop w:val="0"/>
      <w:marBottom w:val="0"/>
      <w:divBdr>
        <w:top w:val="none" w:sz="0" w:space="0" w:color="auto"/>
        <w:left w:val="none" w:sz="0" w:space="0" w:color="auto"/>
        <w:bottom w:val="none" w:sz="0" w:space="0" w:color="auto"/>
        <w:right w:val="none" w:sz="0" w:space="0" w:color="auto"/>
      </w:divBdr>
    </w:div>
    <w:div w:id="977148564">
      <w:bodyDiv w:val="1"/>
      <w:marLeft w:val="0"/>
      <w:marRight w:val="0"/>
      <w:marTop w:val="0"/>
      <w:marBottom w:val="0"/>
      <w:divBdr>
        <w:top w:val="none" w:sz="0" w:space="0" w:color="auto"/>
        <w:left w:val="none" w:sz="0" w:space="0" w:color="auto"/>
        <w:bottom w:val="none" w:sz="0" w:space="0" w:color="auto"/>
        <w:right w:val="none" w:sz="0" w:space="0" w:color="auto"/>
      </w:divBdr>
    </w:div>
    <w:div w:id="981277264">
      <w:bodyDiv w:val="1"/>
      <w:marLeft w:val="0"/>
      <w:marRight w:val="0"/>
      <w:marTop w:val="0"/>
      <w:marBottom w:val="0"/>
      <w:divBdr>
        <w:top w:val="none" w:sz="0" w:space="0" w:color="auto"/>
        <w:left w:val="none" w:sz="0" w:space="0" w:color="auto"/>
        <w:bottom w:val="none" w:sz="0" w:space="0" w:color="auto"/>
        <w:right w:val="none" w:sz="0" w:space="0" w:color="auto"/>
      </w:divBdr>
    </w:div>
    <w:div w:id="985283032">
      <w:bodyDiv w:val="1"/>
      <w:marLeft w:val="0"/>
      <w:marRight w:val="0"/>
      <w:marTop w:val="0"/>
      <w:marBottom w:val="0"/>
      <w:divBdr>
        <w:top w:val="none" w:sz="0" w:space="0" w:color="auto"/>
        <w:left w:val="none" w:sz="0" w:space="0" w:color="auto"/>
        <w:bottom w:val="none" w:sz="0" w:space="0" w:color="auto"/>
        <w:right w:val="none" w:sz="0" w:space="0" w:color="auto"/>
      </w:divBdr>
    </w:div>
    <w:div w:id="996616225">
      <w:bodyDiv w:val="1"/>
      <w:marLeft w:val="0"/>
      <w:marRight w:val="0"/>
      <w:marTop w:val="0"/>
      <w:marBottom w:val="0"/>
      <w:divBdr>
        <w:top w:val="none" w:sz="0" w:space="0" w:color="auto"/>
        <w:left w:val="none" w:sz="0" w:space="0" w:color="auto"/>
        <w:bottom w:val="none" w:sz="0" w:space="0" w:color="auto"/>
        <w:right w:val="none" w:sz="0" w:space="0" w:color="auto"/>
      </w:divBdr>
    </w:div>
    <w:div w:id="997196429">
      <w:bodyDiv w:val="1"/>
      <w:marLeft w:val="0"/>
      <w:marRight w:val="0"/>
      <w:marTop w:val="0"/>
      <w:marBottom w:val="0"/>
      <w:divBdr>
        <w:top w:val="none" w:sz="0" w:space="0" w:color="auto"/>
        <w:left w:val="none" w:sz="0" w:space="0" w:color="auto"/>
        <w:bottom w:val="none" w:sz="0" w:space="0" w:color="auto"/>
        <w:right w:val="none" w:sz="0" w:space="0" w:color="auto"/>
      </w:divBdr>
      <w:divsChild>
        <w:div w:id="1259486083">
          <w:marLeft w:val="0"/>
          <w:marRight w:val="0"/>
          <w:marTop w:val="0"/>
          <w:marBottom w:val="0"/>
          <w:divBdr>
            <w:top w:val="none" w:sz="0" w:space="0" w:color="auto"/>
            <w:left w:val="none" w:sz="0" w:space="0" w:color="auto"/>
            <w:bottom w:val="none" w:sz="0" w:space="0" w:color="auto"/>
            <w:right w:val="none" w:sz="0" w:space="0" w:color="auto"/>
          </w:divBdr>
          <w:divsChild>
            <w:div w:id="1106727460">
              <w:marLeft w:val="0"/>
              <w:marRight w:val="0"/>
              <w:marTop w:val="0"/>
              <w:marBottom w:val="0"/>
              <w:divBdr>
                <w:top w:val="none" w:sz="0" w:space="0" w:color="auto"/>
                <w:left w:val="none" w:sz="0" w:space="0" w:color="auto"/>
                <w:bottom w:val="none" w:sz="0" w:space="0" w:color="auto"/>
                <w:right w:val="none" w:sz="0" w:space="0" w:color="auto"/>
              </w:divBdr>
              <w:divsChild>
                <w:div w:id="1474130700">
                  <w:marLeft w:val="0"/>
                  <w:marRight w:val="0"/>
                  <w:marTop w:val="0"/>
                  <w:marBottom w:val="0"/>
                  <w:divBdr>
                    <w:top w:val="none" w:sz="0" w:space="0" w:color="auto"/>
                    <w:left w:val="none" w:sz="0" w:space="0" w:color="auto"/>
                    <w:bottom w:val="none" w:sz="0" w:space="0" w:color="auto"/>
                    <w:right w:val="none" w:sz="0" w:space="0" w:color="auto"/>
                  </w:divBdr>
                  <w:divsChild>
                    <w:div w:id="1126390402">
                      <w:marLeft w:val="0"/>
                      <w:marRight w:val="0"/>
                      <w:marTop w:val="0"/>
                      <w:marBottom w:val="0"/>
                      <w:divBdr>
                        <w:top w:val="none" w:sz="0" w:space="0" w:color="auto"/>
                        <w:left w:val="none" w:sz="0" w:space="0" w:color="auto"/>
                        <w:bottom w:val="none" w:sz="0" w:space="0" w:color="auto"/>
                        <w:right w:val="none" w:sz="0" w:space="0" w:color="auto"/>
                      </w:divBdr>
                      <w:divsChild>
                        <w:div w:id="1346908699">
                          <w:marLeft w:val="0"/>
                          <w:marRight w:val="0"/>
                          <w:marTop w:val="0"/>
                          <w:marBottom w:val="0"/>
                          <w:divBdr>
                            <w:top w:val="none" w:sz="0" w:space="0" w:color="auto"/>
                            <w:left w:val="none" w:sz="0" w:space="0" w:color="auto"/>
                            <w:bottom w:val="none" w:sz="0" w:space="0" w:color="auto"/>
                            <w:right w:val="none" w:sz="0" w:space="0" w:color="auto"/>
                          </w:divBdr>
                          <w:divsChild>
                            <w:div w:id="903491199">
                              <w:marLeft w:val="0"/>
                              <w:marRight w:val="0"/>
                              <w:marTop w:val="0"/>
                              <w:marBottom w:val="0"/>
                              <w:divBdr>
                                <w:top w:val="none" w:sz="0" w:space="0" w:color="auto"/>
                                <w:left w:val="none" w:sz="0" w:space="0" w:color="auto"/>
                                <w:bottom w:val="none" w:sz="0" w:space="0" w:color="auto"/>
                                <w:right w:val="none" w:sz="0" w:space="0" w:color="auto"/>
                              </w:divBdr>
                              <w:divsChild>
                                <w:div w:id="1433277463">
                                  <w:marLeft w:val="0"/>
                                  <w:marRight w:val="0"/>
                                  <w:marTop w:val="0"/>
                                  <w:marBottom w:val="0"/>
                                  <w:divBdr>
                                    <w:top w:val="none" w:sz="0" w:space="0" w:color="auto"/>
                                    <w:left w:val="none" w:sz="0" w:space="0" w:color="auto"/>
                                    <w:bottom w:val="none" w:sz="0" w:space="0" w:color="auto"/>
                                    <w:right w:val="none" w:sz="0" w:space="0" w:color="auto"/>
                                  </w:divBdr>
                                  <w:divsChild>
                                    <w:div w:id="2010403861">
                                      <w:marLeft w:val="0"/>
                                      <w:marRight w:val="0"/>
                                      <w:marTop w:val="0"/>
                                      <w:marBottom w:val="0"/>
                                      <w:divBdr>
                                        <w:top w:val="none" w:sz="0" w:space="0" w:color="auto"/>
                                        <w:left w:val="none" w:sz="0" w:space="0" w:color="auto"/>
                                        <w:bottom w:val="none" w:sz="0" w:space="0" w:color="auto"/>
                                        <w:right w:val="none" w:sz="0" w:space="0" w:color="auto"/>
                                      </w:divBdr>
                                      <w:divsChild>
                                        <w:div w:id="28800779">
                                          <w:marLeft w:val="0"/>
                                          <w:marRight w:val="0"/>
                                          <w:marTop w:val="0"/>
                                          <w:marBottom w:val="0"/>
                                          <w:divBdr>
                                            <w:top w:val="none" w:sz="0" w:space="0" w:color="auto"/>
                                            <w:left w:val="none" w:sz="0" w:space="0" w:color="auto"/>
                                            <w:bottom w:val="none" w:sz="0" w:space="0" w:color="auto"/>
                                            <w:right w:val="none" w:sz="0" w:space="0" w:color="auto"/>
                                          </w:divBdr>
                                          <w:divsChild>
                                            <w:div w:id="1094087785">
                                              <w:marLeft w:val="0"/>
                                              <w:marRight w:val="0"/>
                                              <w:marTop w:val="0"/>
                                              <w:marBottom w:val="0"/>
                                              <w:divBdr>
                                                <w:top w:val="none" w:sz="0" w:space="0" w:color="auto"/>
                                                <w:left w:val="none" w:sz="0" w:space="0" w:color="auto"/>
                                                <w:bottom w:val="none" w:sz="0" w:space="0" w:color="auto"/>
                                                <w:right w:val="none" w:sz="0" w:space="0" w:color="auto"/>
                                              </w:divBdr>
                                            </w:div>
                                          </w:divsChild>
                                        </w:div>
                                        <w:div w:id="870651662">
                                          <w:marLeft w:val="0"/>
                                          <w:marRight w:val="0"/>
                                          <w:marTop w:val="0"/>
                                          <w:marBottom w:val="0"/>
                                          <w:divBdr>
                                            <w:top w:val="none" w:sz="0" w:space="0" w:color="auto"/>
                                            <w:left w:val="none" w:sz="0" w:space="0" w:color="auto"/>
                                            <w:bottom w:val="none" w:sz="0" w:space="0" w:color="auto"/>
                                            <w:right w:val="none" w:sz="0" w:space="0" w:color="auto"/>
                                          </w:divBdr>
                                          <w:divsChild>
                                            <w:div w:id="539173888">
                                              <w:marLeft w:val="0"/>
                                              <w:marRight w:val="0"/>
                                              <w:marTop w:val="0"/>
                                              <w:marBottom w:val="0"/>
                                              <w:divBdr>
                                                <w:top w:val="none" w:sz="0" w:space="0" w:color="auto"/>
                                                <w:left w:val="none" w:sz="0" w:space="0" w:color="auto"/>
                                                <w:bottom w:val="none" w:sz="0" w:space="0" w:color="auto"/>
                                                <w:right w:val="none" w:sz="0" w:space="0" w:color="auto"/>
                                              </w:divBdr>
                                              <w:divsChild>
                                                <w:div w:id="473303322">
                                                  <w:marLeft w:val="0"/>
                                                  <w:marRight w:val="0"/>
                                                  <w:marTop w:val="0"/>
                                                  <w:marBottom w:val="0"/>
                                                  <w:divBdr>
                                                    <w:top w:val="none" w:sz="0" w:space="0" w:color="auto"/>
                                                    <w:left w:val="none" w:sz="0" w:space="0" w:color="auto"/>
                                                    <w:bottom w:val="none" w:sz="0" w:space="0" w:color="auto"/>
                                                    <w:right w:val="none" w:sz="0" w:space="0" w:color="auto"/>
                                                  </w:divBdr>
                                                </w:div>
                                                <w:div w:id="699470833">
                                                  <w:marLeft w:val="0"/>
                                                  <w:marRight w:val="0"/>
                                                  <w:marTop w:val="0"/>
                                                  <w:marBottom w:val="0"/>
                                                  <w:divBdr>
                                                    <w:top w:val="none" w:sz="0" w:space="0" w:color="auto"/>
                                                    <w:left w:val="none" w:sz="0" w:space="0" w:color="auto"/>
                                                    <w:bottom w:val="none" w:sz="0" w:space="0" w:color="auto"/>
                                                    <w:right w:val="none" w:sz="0" w:space="0" w:color="auto"/>
                                                  </w:divBdr>
                                                </w:div>
                                                <w:div w:id="1189099939">
                                                  <w:marLeft w:val="0"/>
                                                  <w:marRight w:val="0"/>
                                                  <w:marTop w:val="0"/>
                                                  <w:marBottom w:val="0"/>
                                                  <w:divBdr>
                                                    <w:top w:val="none" w:sz="0" w:space="0" w:color="auto"/>
                                                    <w:left w:val="none" w:sz="0" w:space="0" w:color="auto"/>
                                                    <w:bottom w:val="none" w:sz="0" w:space="0" w:color="auto"/>
                                                    <w:right w:val="none" w:sz="0" w:space="0" w:color="auto"/>
                                                  </w:divBdr>
                                                </w:div>
                                                <w:div w:id="1225602184">
                                                  <w:marLeft w:val="0"/>
                                                  <w:marRight w:val="0"/>
                                                  <w:marTop w:val="0"/>
                                                  <w:marBottom w:val="0"/>
                                                  <w:divBdr>
                                                    <w:top w:val="none" w:sz="0" w:space="0" w:color="auto"/>
                                                    <w:left w:val="none" w:sz="0" w:space="0" w:color="auto"/>
                                                    <w:bottom w:val="none" w:sz="0" w:space="0" w:color="auto"/>
                                                    <w:right w:val="none" w:sz="0" w:space="0" w:color="auto"/>
                                                  </w:divBdr>
                                                </w:div>
                                                <w:div w:id="1479034712">
                                                  <w:marLeft w:val="0"/>
                                                  <w:marRight w:val="0"/>
                                                  <w:marTop w:val="0"/>
                                                  <w:marBottom w:val="0"/>
                                                  <w:divBdr>
                                                    <w:top w:val="none" w:sz="0" w:space="0" w:color="auto"/>
                                                    <w:left w:val="none" w:sz="0" w:space="0" w:color="auto"/>
                                                    <w:bottom w:val="none" w:sz="0" w:space="0" w:color="auto"/>
                                                    <w:right w:val="none" w:sz="0" w:space="0" w:color="auto"/>
                                                  </w:divBdr>
                                                </w:div>
                                                <w:div w:id="1548253064">
                                                  <w:marLeft w:val="0"/>
                                                  <w:marRight w:val="0"/>
                                                  <w:marTop w:val="0"/>
                                                  <w:marBottom w:val="0"/>
                                                  <w:divBdr>
                                                    <w:top w:val="none" w:sz="0" w:space="0" w:color="auto"/>
                                                    <w:left w:val="none" w:sz="0" w:space="0" w:color="auto"/>
                                                    <w:bottom w:val="none" w:sz="0" w:space="0" w:color="auto"/>
                                                    <w:right w:val="none" w:sz="0" w:space="0" w:color="auto"/>
                                                  </w:divBdr>
                                                </w:div>
                                                <w:div w:id="214168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0739602">
      <w:bodyDiv w:val="1"/>
      <w:marLeft w:val="0"/>
      <w:marRight w:val="0"/>
      <w:marTop w:val="0"/>
      <w:marBottom w:val="0"/>
      <w:divBdr>
        <w:top w:val="none" w:sz="0" w:space="0" w:color="auto"/>
        <w:left w:val="none" w:sz="0" w:space="0" w:color="auto"/>
        <w:bottom w:val="none" w:sz="0" w:space="0" w:color="auto"/>
        <w:right w:val="none" w:sz="0" w:space="0" w:color="auto"/>
      </w:divBdr>
      <w:divsChild>
        <w:div w:id="505748467">
          <w:marLeft w:val="360"/>
          <w:marRight w:val="0"/>
          <w:marTop w:val="200"/>
          <w:marBottom w:val="0"/>
          <w:divBdr>
            <w:top w:val="none" w:sz="0" w:space="0" w:color="auto"/>
            <w:left w:val="none" w:sz="0" w:space="0" w:color="auto"/>
            <w:bottom w:val="none" w:sz="0" w:space="0" w:color="auto"/>
            <w:right w:val="none" w:sz="0" w:space="0" w:color="auto"/>
          </w:divBdr>
        </w:div>
        <w:div w:id="572814689">
          <w:marLeft w:val="1080"/>
          <w:marRight w:val="0"/>
          <w:marTop w:val="100"/>
          <w:marBottom w:val="0"/>
          <w:divBdr>
            <w:top w:val="none" w:sz="0" w:space="0" w:color="auto"/>
            <w:left w:val="none" w:sz="0" w:space="0" w:color="auto"/>
            <w:bottom w:val="none" w:sz="0" w:space="0" w:color="auto"/>
            <w:right w:val="none" w:sz="0" w:space="0" w:color="auto"/>
          </w:divBdr>
        </w:div>
        <w:div w:id="910693624">
          <w:marLeft w:val="360"/>
          <w:marRight w:val="0"/>
          <w:marTop w:val="200"/>
          <w:marBottom w:val="0"/>
          <w:divBdr>
            <w:top w:val="none" w:sz="0" w:space="0" w:color="auto"/>
            <w:left w:val="none" w:sz="0" w:space="0" w:color="auto"/>
            <w:bottom w:val="none" w:sz="0" w:space="0" w:color="auto"/>
            <w:right w:val="none" w:sz="0" w:space="0" w:color="auto"/>
          </w:divBdr>
        </w:div>
        <w:div w:id="1300644037">
          <w:marLeft w:val="1080"/>
          <w:marRight w:val="0"/>
          <w:marTop w:val="100"/>
          <w:marBottom w:val="0"/>
          <w:divBdr>
            <w:top w:val="none" w:sz="0" w:space="0" w:color="auto"/>
            <w:left w:val="none" w:sz="0" w:space="0" w:color="auto"/>
            <w:bottom w:val="none" w:sz="0" w:space="0" w:color="auto"/>
            <w:right w:val="none" w:sz="0" w:space="0" w:color="auto"/>
          </w:divBdr>
        </w:div>
        <w:div w:id="1444567164">
          <w:marLeft w:val="1080"/>
          <w:marRight w:val="0"/>
          <w:marTop w:val="100"/>
          <w:marBottom w:val="0"/>
          <w:divBdr>
            <w:top w:val="none" w:sz="0" w:space="0" w:color="auto"/>
            <w:left w:val="none" w:sz="0" w:space="0" w:color="auto"/>
            <w:bottom w:val="none" w:sz="0" w:space="0" w:color="auto"/>
            <w:right w:val="none" w:sz="0" w:space="0" w:color="auto"/>
          </w:divBdr>
        </w:div>
        <w:div w:id="1572618685">
          <w:marLeft w:val="360"/>
          <w:marRight w:val="0"/>
          <w:marTop w:val="200"/>
          <w:marBottom w:val="0"/>
          <w:divBdr>
            <w:top w:val="none" w:sz="0" w:space="0" w:color="auto"/>
            <w:left w:val="none" w:sz="0" w:space="0" w:color="auto"/>
            <w:bottom w:val="none" w:sz="0" w:space="0" w:color="auto"/>
            <w:right w:val="none" w:sz="0" w:space="0" w:color="auto"/>
          </w:divBdr>
        </w:div>
        <w:div w:id="1998070679">
          <w:marLeft w:val="360"/>
          <w:marRight w:val="0"/>
          <w:marTop w:val="200"/>
          <w:marBottom w:val="0"/>
          <w:divBdr>
            <w:top w:val="none" w:sz="0" w:space="0" w:color="auto"/>
            <w:left w:val="none" w:sz="0" w:space="0" w:color="auto"/>
            <w:bottom w:val="none" w:sz="0" w:space="0" w:color="auto"/>
            <w:right w:val="none" w:sz="0" w:space="0" w:color="auto"/>
          </w:divBdr>
        </w:div>
      </w:divsChild>
    </w:div>
    <w:div w:id="1009714327">
      <w:bodyDiv w:val="1"/>
      <w:marLeft w:val="0"/>
      <w:marRight w:val="0"/>
      <w:marTop w:val="0"/>
      <w:marBottom w:val="0"/>
      <w:divBdr>
        <w:top w:val="none" w:sz="0" w:space="0" w:color="auto"/>
        <w:left w:val="none" w:sz="0" w:space="0" w:color="auto"/>
        <w:bottom w:val="none" w:sz="0" w:space="0" w:color="auto"/>
        <w:right w:val="none" w:sz="0" w:space="0" w:color="auto"/>
      </w:divBdr>
      <w:divsChild>
        <w:div w:id="1868716407">
          <w:marLeft w:val="360"/>
          <w:marRight w:val="0"/>
          <w:marTop w:val="200"/>
          <w:marBottom w:val="0"/>
          <w:divBdr>
            <w:top w:val="none" w:sz="0" w:space="0" w:color="auto"/>
            <w:left w:val="none" w:sz="0" w:space="0" w:color="auto"/>
            <w:bottom w:val="none" w:sz="0" w:space="0" w:color="auto"/>
            <w:right w:val="none" w:sz="0" w:space="0" w:color="auto"/>
          </w:divBdr>
        </w:div>
        <w:div w:id="1139885275">
          <w:marLeft w:val="360"/>
          <w:marRight w:val="0"/>
          <w:marTop w:val="200"/>
          <w:marBottom w:val="0"/>
          <w:divBdr>
            <w:top w:val="none" w:sz="0" w:space="0" w:color="auto"/>
            <w:left w:val="none" w:sz="0" w:space="0" w:color="auto"/>
            <w:bottom w:val="none" w:sz="0" w:space="0" w:color="auto"/>
            <w:right w:val="none" w:sz="0" w:space="0" w:color="auto"/>
          </w:divBdr>
        </w:div>
        <w:div w:id="896671337">
          <w:marLeft w:val="360"/>
          <w:marRight w:val="0"/>
          <w:marTop w:val="200"/>
          <w:marBottom w:val="0"/>
          <w:divBdr>
            <w:top w:val="none" w:sz="0" w:space="0" w:color="auto"/>
            <w:left w:val="none" w:sz="0" w:space="0" w:color="auto"/>
            <w:bottom w:val="none" w:sz="0" w:space="0" w:color="auto"/>
            <w:right w:val="none" w:sz="0" w:space="0" w:color="auto"/>
          </w:divBdr>
        </w:div>
      </w:divsChild>
    </w:div>
    <w:div w:id="1024135074">
      <w:bodyDiv w:val="1"/>
      <w:marLeft w:val="0"/>
      <w:marRight w:val="0"/>
      <w:marTop w:val="0"/>
      <w:marBottom w:val="0"/>
      <w:divBdr>
        <w:top w:val="none" w:sz="0" w:space="0" w:color="auto"/>
        <w:left w:val="none" w:sz="0" w:space="0" w:color="auto"/>
        <w:bottom w:val="none" w:sz="0" w:space="0" w:color="auto"/>
        <w:right w:val="none" w:sz="0" w:space="0" w:color="auto"/>
      </w:divBdr>
    </w:div>
    <w:div w:id="1038312955">
      <w:bodyDiv w:val="1"/>
      <w:marLeft w:val="0"/>
      <w:marRight w:val="0"/>
      <w:marTop w:val="0"/>
      <w:marBottom w:val="0"/>
      <w:divBdr>
        <w:top w:val="none" w:sz="0" w:space="0" w:color="auto"/>
        <w:left w:val="none" w:sz="0" w:space="0" w:color="auto"/>
        <w:bottom w:val="none" w:sz="0" w:space="0" w:color="auto"/>
        <w:right w:val="none" w:sz="0" w:space="0" w:color="auto"/>
      </w:divBdr>
    </w:div>
    <w:div w:id="1040740725">
      <w:bodyDiv w:val="1"/>
      <w:marLeft w:val="0"/>
      <w:marRight w:val="0"/>
      <w:marTop w:val="0"/>
      <w:marBottom w:val="0"/>
      <w:divBdr>
        <w:top w:val="none" w:sz="0" w:space="0" w:color="auto"/>
        <w:left w:val="none" w:sz="0" w:space="0" w:color="auto"/>
        <w:bottom w:val="none" w:sz="0" w:space="0" w:color="auto"/>
        <w:right w:val="none" w:sz="0" w:space="0" w:color="auto"/>
      </w:divBdr>
    </w:div>
    <w:div w:id="1050495562">
      <w:bodyDiv w:val="1"/>
      <w:marLeft w:val="0"/>
      <w:marRight w:val="0"/>
      <w:marTop w:val="0"/>
      <w:marBottom w:val="0"/>
      <w:divBdr>
        <w:top w:val="none" w:sz="0" w:space="0" w:color="auto"/>
        <w:left w:val="none" w:sz="0" w:space="0" w:color="auto"/>
        <w:bottom w:val="none" w:sz="0" w:space="0" w:color="auto"/>
        <w:right w:val="none" w:sz="0" w:space="0" w:color="auto"/>
      </w:divBdr>
    </w:div>
    <w:div w:id="1055007232">
      <w:bodyDiv w:val="1"/>
      <w:marLeft w:val="0"/>
      <w:marRight w:val="0"/>
      <w:marTop w:val="0"/>
      <w:marBottom w:val="0"/>
      <w:divBdr>
        <w:top w:val="none" w:sz="0" w:space="0" w:color="auto"/>
        <w:left w:val="none" w:sz="0" w:space="0" w:color="auto"/>
        <w:bottom w:val="none" w:sz="0" w:space="0" w:color="auto"/>
        <w:right w:val="none" w:sz="0" w:space="0" w:color="auto"/>
      </w:divBdr>
    </w:div>
    <w:div w:id="1055087242">
      <w:bodyDiv w:val="1"/>
      <w:marLeft w:val="0"/>
      <w:marRight w:val="0"/>
      <w:marTop w:val="0"/>
      <w:marBottom w:val="0"/>
      <w:divBdr>
        <w:top w:val="none" w:sz="0" w:space="0" w:color="auto"/>
        <w:left w:val="none" w:sz="0" w:space="0" w:color="auto"/>
        <w:bottom w:val="none" w:sz="0" w:space="0" w:color="auto"/>
        <w:right w:val="none" w:sz="0" w:space="0" w:color="auto"/>
      </w:divBdr>
    </w:div>
    <w:div w:id="1081172808">
      <w:bodyDiv w:val="1"/>
      <w:marLeft w:val="0"/>
      <w:marRight w:val="0"/>
      <w:marTop w:val="0"/>
      <w:marBottom w:val="0"/>
      <w:divBdr>
        <w:top w:val="none" w:sz="0" w:space="0" w:color="auto"/>
        <w:left w:val="none" w:sz="0" w:space="0" w:color="auto"/>
        <w:bottom w:val="none" w:sz="0" w:space="0" w:color="auto"/>
        <w:right w:val="none" w:sz="0" w:space="0" w:color="auto"/>
      </w:divBdr>
    </w:div>
    <w:div w:id="1088964718">
      <w:bodyDiv w:val="1"/>
      <w:marLeft w:val="0"/>
      <w:marRight w:val="0"/>
      <w:marTop w:val="0"/>
      <w:marBottom w:val="0"/>
      <w:divBdr>
        <w:top w:val="none" w:sz="0" w:space="0" w:color="auto"/>
        <w:left w:val="none" w:sz="0" w:space="0" w:color="auto"/>
        <w:bottom w:val="none" w:sz="0" w:space="0" w:color="auto"/>
        <w:right w:val="none" w:sz="0" w:space="0" w:color="auto"/>
      </w:divBdr>
    </w:div>
    <w:div w:id="1106853532">
      <w:bodyDiv w:val="1"/>
      <w:marLeft w:val="0"/>
      <w:marRight w:val="0"/>
      <w:marTop w:val="0"/>
      <w:marBottom w:val="0"/>
      <w:divBdr>
        <w:top w:val="none" w:sz="0" w:space="0" w:color="auto"/>
        <w:left w:val="none" w:sz="0" w:space="0" w:color="auto"/>
        <w:bottom w:val="none" w:sz="0" w:space="0" w:color="auto"/>
        <w:right w:val="none" w:sz="0" w:space="0" w:color="auto"/>
      </w:divBdr>
    </w:div>
    <w:div w:id="1117718817">
      <w:bodyDiv w:val="1"/>
      <w:marLeft w:val="0"/>
      <w:marRight w:val="0"/>
      <w:marTop w:val="0"/>
      <w:marBottom w:val="0"/>
      <w:divBdr>
        <w:top w:val="none" w:sz="0" w:space="0" w:color="auto"/>
        <w:left w:val="none" w:sz="0" w:space="0" w:color="auto"/>
        <w:bottom w:val="none" w:sz="0" w:space="0" w:color="auto"/>
        <w:right w:val="none" w:sz="0" w:space="0" w:color="auto"/>
      </w:divBdr>
    </w:div>
    <w:div w:id="1155412930">
      <w:bodyDiv w:val="1"/>
      <w:marLeft w:val="0"/>
      <w:marRight w:val="0"/>
      <w:marTop w:val="0"/>
      <w:marBottom w:val="0"/>
      <w:divBdr>
        <w:top w:val="none" w:sz="0" w:space="0" w:color="auto"/>
        <w:left w:val="none" w:sz="0" w:space="0" w:color="auto"/>
        <w:bottom w:val="none" w:sz="0" w:space="0" w:color="auto"/>
        <w:right w:val="none" w:sz="0" w:space="0" w:color="auto"/>
      </w:divBdr>
    </w:div>
    <w:div w:id="1156915452">
      <w:bodyDiv w:val="1"/>
      <w:marLeft w:val="0"/>
      <w:marRight w:val="0"/>
      <w:marTop w:val="0"/>
      <w:marBottom w:val="0"/>
      <w:divBdr>
        <w:top w:val="none" w:sz="0" w:space="0" w:color="auto"/>
        <w:left w:val="none" w:sz="0" w:space="0" w:color="auto"/>
        <w:bottom w:val="none" w:sz="0" w:space="0" w:color="auto"/>
        <w:right w:val="none" w:sz="0" w:space="0" w:color="auto"/>
      </w:divBdr>
    </w:div>
    <w:div w:id="1195579647">
      <w:bodyDiv w:val="1"/>
      <w:marLeft w:val="0"/>
      <w:marRight w:val="0"/>
      <w:marTop w:val="0"/>
      <w:marBottom w:val="0"/>
      <w:divBdr>
        <w:top w:val="none" w:sz="0" w:space="0" w:color="auto"/>
        <w:left w:val="none" w:sz="0" w:space="0" w:color="auto"/>
        <w:bottom w:val="none" w:sz="0" w:space="0" w:color="auto"/>
        <w:right w:val="none" w:sz="0" w:space="0" w:color="auto"/>
      </w:divBdr>
    </w:div>
    <w:div w:id="1215504379">
      <w:bodyDiv w:val="1"/>
      <w:marLeft w:val="0"/>
      <w:marRight w:val="0"/>
      <w:marTop w:val="0"/>
      <w:marBottom w:val="0"/>
      <w:divBdr>
        <w:top w:val="none" w:sz="0" w:space="0" w:color="auto"/>
        <w:left w:val="none" w:sz="0" w:space="0" w:color="auto"/>
        <w:bottom w:val="none" w:sz="0" w:space="0" w:color="auto"/>
        <w:right w:val="none" w:sz="0" w:space="0" w:color="auto"/>
      </w:divBdr>
    </w:div>
    <w:div w:id="1219125799">
      <w:bodyDiv w:val="1"/>
      <w:marLeft w:val="0"/>
      <w:marRight w:val="0"/>
      <w:marTop w:val="0"/>
      <w:marBottom w:val="0"/>
      <w:divBdr>
        <w:top w:val="none" w:sz="0" w:space="0" w:color="auto"/>
        <w:left w:val="none" w:sz="0" w:space="0" w:color="auto"/>
        <w:bottom w:val="none" w:sz="0" w:space="0" w:color="auto"/>
        <w:right w:val="none" w:sz="0" w:space="0" w:color="auto"/>
      </w:divBdr>
    </w:div>
    <w:div w:id="1234583174">
      <w:bodyDiv w:val="1"/>
      <w:marLeft w:val="0"/>
      <w:marRight w:val="0"/>
      <w:marTop w:val="0"/>
      <w:marBottom w:val="0"/>
      <w:divBdr>
        <w:top w:val="none" w:sz="0" w:space="0" w:color="auto"/>
        <w:left w:val="none" w:sz="0" w:space="0" w:color="auto"/>
        <w:bottom w:val="none" w:sz="0" w:space="0" w:color="auto"/>
        <w:right w:val="none" w:sz="0" w:space="0" w:color="auto"/>
      </w:divBdr>
    </w:div>
    <w:div w:id="1258906417">
      <w:bodyDiv w:val="1"/>
      <w:marLeft w:val="0"/>
      <w:marRight w:val="0"/>
      <w:marTop w:val="0"/>
      <w:marBottom w:val="0"/>
      <w:divBdr>
        <w:top w:val="none" w:sz="0" w:space="0" w:color="auto"/>
        <w:left w:val="none" w:sz="0" w:space="0" w:color="auto"/>
        <w:bottom w:val="none" w:sz="0" w:space="0" w:color="auto"/>
        <w:right w:val="none" w:sz="0" w:space="0" w:color="auto"/>
      </w:divBdr>
      <w:divsChild>
        <w:div w:id="143160248">
          <w:marLeft w:val="547"/>
          <w:marRight w:val="0"/>
          <w:marTop w:val="115"/>
          <w:marBottom w:val="0"/>
          <w:divBdr>
            <w:top w:val="none" w:sz="0" w:space="0" w:color="auto"/>
            <w:left w:val="none" w:sz="0" w:space="0" w:color="auto"/>
            <w:bottom w:val="none" w:sz="0" w:space="0" w:color="auto"/>
            <w:right w:val="none" w:sz="0" w:space="0" w:color="auto"/>
          </w:divBdr>
        </w:div>
        <w:div w:id="218635828">
          <w:marLeft w:val="547"/>
          <w:marRight w:val="0"/>
          <w:marTop w:val="115"/>
          <w:marBottom w:val="0"/>
          <w:divBdr>
            <w:top w:val="none" w:sz="0" w:space="0" w:color="auto"/>
            <w:left w:val="none" w:sz="0" w:space="0" w:color="auto"/>
            <w:bottom w:val="none" w:sz="0" w:space="0" w:color="auto"/>
            <w:right w:val="none" w:sz="0" w:space="0" w:color="auto"/>
          </w:divBdr>
        </w:div>
        <w:div w:id="855077512">
          <w:marLeft w:val="547"/>
          <w:marRight w:val="0"/>
          <w:marTop w:val="115"/>
          <w:marBottom w:val="0"/>
          <w:divBdr>
            <w:top w:val="none" w:sz="0" w:space="0" w:color="auto"/>
            <w:left w:val="none" w:sz="0" w:space="0" w:color="auto"/>
            <w:bottom w:val="none" w:sz="0" w:space="0" w:color="auto"/>
            <w:right w:val="none" w:sz="0" w:space="0" w:color="auto"/>
          </w:divBdr>
        </w:div>
        <w:div w:id="1798375918">
          <w:marLeft w:val="547"/>
          <w:marRight w:val="0"/>
          <w:marTop w:val="115"/>
          <w:marBottom w:val="0"/>
          <w:divBdr>
            <w:top w:val="none" w:sz="0" w:space="0" w:color="auto"/>
            <w:left w:val="none" w:sz="0" w:space="0" w:color="auto"/>
            <w:bottom w:val="none" w:sz="0" w:space="0" w:color="auto"/>
            <w:right w:val="none" w:sz="0" w:space="0" w:color="auto"/>
          </w:divBdr>
        </w:div>
        <w:div w:id="2065130134">
          <w:marLeft w:val="547"/>
          <w:marRight w:val="0"/>
          <w:marTop w:val="115"/>
          <w:marBottom w:val="0"/>
          <w:divBdr>
            <w:top w:val="none" w:sz="0" w:space="0" w:color="auto"/>
            <w:left w:val="none" w:sz="0" w:space="0" w:color="auto"/>
            <w:bottom w:val="none" w:sz="0" w:space="0" w:color="auto"/>
            <w:right w:val="none" w:sz="0" w:space="0" w:color="auto"/>
          </w:divBdr>
        </w:div>
      </w:divsChild>
    </w:div>
    <w:div w:id="1268998837">
      <w:bodyDiv w:val="1"/>
      <w:marLeft w:val="0"/>
      <w:marRight w:val="0"/>
      <w:marTop w:val="0"/>
      <w:marBottom w:val="0"/>
      <w:divBdr>
        <w:top w:val="none" w:sz="0" w:space="0" w:color="auto"/>
        <w:left w:val="none" w:sz="0" w:space="0" w:color="auto"/>
        <w:bottom w:val="none" w:sz="0" w:space="0" w:color="auto"/>
        <w:right w:val="none" w:sz="0" w:space="0" w:color="auto"/>
      </w:divBdr>
    </w:div>
    <w:div w:id="1276670768">
      <w:bodyDiv w:val="1"/>
      <w:marLeft w:val="0"/>
      <w:marRight w:val="0"/>
      <w:marTop w:val="0"/>
      <w:marBottom w:val="0"/>
      <w:divBdr>
        <w:top w:val="none" w:sz="0" w:space="0" w:color="auto"/>
        <w:left w:val="none" w:sz="0" w:space="0" w:color="auto"/>
        <w:bottom w:val="none" w:sz="0" w:space="0" w:color="auto"/>
        <w:right w:val="none" w:sz="0" w:space="0" w:color="auto"/>
      </w:divBdr>
    </w:div>
    <w:div w:id="1300458035">
      <w:bodyDiv w:val="1"/>
      <w:marLeft w:val="0"/>
      <w:marRight w:val="0"/>
      <w:marTop w:val="0"/>
      <w:marBottom w:val="0"/>
      <w:divBdr>
        <w:top w:val="none" w:sz="0" w:space="0" w:color="auto"/>
        <w:left w:val="none" w:sz="0" w:space="0" w:color="auto"/>
        <w:bottom w:val="none" w:sz="0" w:space="0" w:color="auto"/>
        <w:right w:val="none" w:sz="0" w:space="0" w:color="auto"/>
      </w:divBdr>
    </w:div>
    <w:div w:id="1306282067">
      <w:bodyDiv w:val="1"/>
      <w:marLeft w:val="0"/>
      <w:marRight w:val="0"/>
      <w:marTop w:val="0"/>
      <w:marBottom w:val="0"/>
      <w:divBdr>
        <w:top w:val="none" w:sz="0" w:space="0" w:color="auto"/>
        <w:left w:val="none" w:sz="0" w:space="0" w:color="auto"/>
        <w:bottom w:val="none" w:sz="0" w:space="0" w:color="auto"/>
        <w:right w:val="none" w:sz="0" w:space="0" w:color="auto"/>
      </w:divBdr>
    </w:div>
    <w:div w:id="1323389981">
      <w:bodyDiv w:val="1"/>
      <w:marLeft w:val="0"/>
      <w:marRight w:val="0"/>
      <w:marTop w:val="0"/>
      <w:marBottom w:val="0"/>
      <w:divBdr>
        <w:top w:val="none" w:sz="0" w:space="0" w:color="auto"/>
        <w:left w:val="none" w:sz="0" w:space="0" w:color="auto"/>
        <w:bottom w:val="none" w:sz="0" w:space="0" w:color="auto"/>
        <w:right w:val="none" w:sz="0" w:space="0" w:color="auto"/>
      </w:divBdr>
    </w:div>
    <w:div w:id="1349329926">
      <w:bodyDiv w:val="1"/>
      <w:marLeft w:val="0"/>
      <w:marRight w:val="0"/>
      <w:marTop w:val="0"/>
      <w:marBottom w:val="0"/>
      <w:divBdr>
        <w:top w:val="none" w:sz="0" w:space="0" w:color="auto"/>
        <w:left w:val="none" w:sz="0" w:space="0" w:color="auto"/>
        <w:bottom w:val="none" w:sz="0" w:space="0" w:color="auto"/>
        <w:right w:val="none" w:sz="0" w:space="0" w:color="auto"/>
      </w:divBdr>
    </w:div>
    <w:div w:id="1355889020">
      <w:bodyDiv w:val="1"/>
      <w:marLeft w:val="0"/>
      <w:marRight w:val="0"/>
      <w:marTop w:val="0"/>
      <w:marBottom w:val="0"/>
      <w:divBdr>
        <w:top w:val="none" w:sz="0" w:space="0" w:color="auto"/>
        <w:left w:val="none" w:sz="0" w:space="0" w:color="auto"/>
        <w:bottom w:val="none" w:sz="0" w:space="0" w:color="auto"/>
        <w:right w:val="none" w:sz="0" w:space="0" w:color="auto"/>
      </w:divBdr>
    </w:div>
    <w:div w:id="1372261986">
      <w:bodyDiv w:val="1"/>
      <w:marLeft w:val="0"/>
      <w:marRight w:val="0"/>
      <w:marTop w:val="0"/>
      <w:marBottom w:val="0"/>
      <w:divBdr>
        <w:top w:val="none" w:sz="0" w:space="0" w:color="auto"/>
        <w:left w:val="none" w:sz="0" w:space="0" w:color="auto"/>
        <w:bottom w:val="none" w:sz="0" w:space="0" w:color="auto"/>
        <w:right w:val="none" w:sz="0" w:space="0" w:color="auto"/>
      </w:divBdr>
    </w:div>
    <w:div w:id="1387992653">
      <w:bodyDiv w:val="1"/>
      <w:marLeft w:val="0"/>
      <w:marRight w:val="0"/>
      <w:marTop w:val="0"/>
      <w:marBottom w:val="0"/>
      <w:divBdr>
        <w:top w:val="none" w:sz="0" w:space="0" w:color="auto"/>
        <w:left w:val="none" w:sz="0" w:space="0" w:color="auto"/>
        <w:bottom w:val="none" w:sz="0" w:space="0" w:color="auto"/>
        <w:right w:val="none" w:sz="0" w:space="0" w:color="auto"/>
      </w:divBdr>
    </w:div>
    <w:div w:id="1400716104">
      <w:bodyDiv w:val="1"/>
      <w:marLeft w:val="0"/>
      <w:marRight w:val="0"/>
      <w:marTop w:val="0"/>
      <w:marBottom w:val="0"/>
      <w:divBdr>
        <w:top w:val="none" w:sz="0" w:space="0" w:color="auto"/>
        <w:left w:val="none" w:sz="0" w:space="0" w:color="auto"/>
        <w:bottom w:val="none" w:sz="0" w:space="0" w:color="auto"/>
        <w:right w:val="none" w:sz="0" w:space="0" w:color="auto"/>
      </w:divBdr>
    </w:div>
    <w:div w:id="1402601626">
      <w:bodyDiv w:val="1"/>
      <w:marLeft w:val="0"/>
      <w:marRight w:val="0"/>
      <w:marTop w:val="0"/>
      <w:marBottom w:val="0"/>
      <w:divBdr>
        <w:top w:val="none" w:sz="0" w:space="0" w:color="auto"/>
        <w:left w:val="none" w:sz="0" w:space="0" w:color="auto"/>
        <w:bottom w:val="none" w:sz="0" w:space="0" w:color="auto"/>
        <w:right w:val="none" w:sz="0" w:space="0" w:color="auto"/>
      </w:divBdr>
    </w:div>
    <w:div w:id="1448892066">
      <w:bodyDiv w:val="1"/>
      <w:marLeft w:val="0"/>
      <w:marRight w:val="0"/>
      <w:marTop w:val="0"/>
      <w:marBottom w:val="0"/>
      <w:divBdr>
        <w:top w:val="none" w:sz="0" w:space="0" w:color="auto"/>
        <w:left w:val="none" w:sz="0" w:space="0" w:color="auto"/>
        <w:bottom w:val="none" w:sz="0" w:space="0" w:color="auto"/>
        <w:right w:val="none" w:sz="0" w:space="0" w:color="auto"/>
      </w:divBdr>
    </w:div>
    <w:div w:id="1459758046">
      <w:bodyDiv w:val="1"/>
      <w:marLeft w:val="0"/>
      <w:marRight w:val="0"/>
      <w:marTop w:val="0"/>
      <w:marBottom w:val="0"/>
      <w:divBdr>
        <w:top w:val="none" w:sz="0" w:space="0" w:color="auto"/>
        <w:left w:val="none" w:sz="0" w:space="0" w:color="auto"/>
        <w:bottom w:val="none" w:sz="0" w:space="0" w:color="auto"/>
        <w:right w:val="none" w:sz="0" w:space="0" w:color="auto"/>
      </w:divBdr>
    </w:div>
    <w:div w:id="1475290826">
      <w:bodyDiv w:val="1"/>
      <w:marLeft w:val="0"/>
      <w:marRight w:val="0"/>
      <w:marTop w:val="0"/>
      <w:marBottom w:val="0"/>
      <w:divBdr>
        <w:top w:val="none" w:sz="0" w:space="0" w:color="auto"/>
        <w:left w:val="none" w:sz="0" w:space="0" w:color="auto"/>
        <w:bottom w:val="none" w:sz="0" w:space="0" w:color="auto"/>
        <w:right w:val="none" w:sz="0" w:space="0" w:color="auto"/>
      </w:divBdr>
    </w:div>
    <w:div w:id="1484469245">
      <w:bodyDiv w:val="1"/>
      <w:marLeft w:val="0"/>
      <w:marRight w:val="0"/>
      <w:marTop w:val="0"/>
      <w:marBottom w:val="0"/>
      <w:divBdr>
        <w:top w:val="none" w:sz="0" w:space="0" w:color="auto"/>
        <w:left w:val="none" w:sz="0" w:space="0" w:color="auto"/>
        <w:bottom w:val="none" w:sz="0" w:space="0" w:color="auto"/>
        <w:right w:val="none" w:sz="0" w:space="0" w:color="auto"/>
      </w:divBdr>
    </w:div>
    <w:div w:id="1490707893">
      <w:bodyDiv w:val="1"/>
      <w:marLeft w:val="0"/>
      <w:marRight w:val="0"/>
      <w:marTop w:val="0"/>
      <w:marBottom w:val="0"/>
      <w:divBdr>
        <w:top w:val="none" w:sz="0" w:space="0" w:color="auto"/>
        <w:left w:val="none" w:sz="0" w:space="0" w:color="auto"/>
        <w:bottom w:val="none" w:sz="0" w:space="0" w:color="auto"/>
        <w:right w:val="none" w:sz="0" w:space="0" w:color="auto"/>
      </w:divBdr>
    </w:div>
    <w:div w:id="1501000026">
      <w:bodyDiv w:val="1"/>
      <w:marLeft w:val="0"/>
      <w:marRight w:val="0"/>
      <w:marTop w:val="0"/>
      <w:marBottom w:val="0"/>
      <w:divBdr>
        <w:top w:val="none" w:sz="0" w:space="0" w:color="auto"/>
        <w:left w:val="none" w:sz="0" w:space="0" w:color="auto"/>
        <w:bottom w:val="none" w:sz="0" w:space="0" w:color="auto"/>
        <w:right w:val="none" w:sz="0" w:space="0" w:color="auto"/>
      </w:divBdr>
    </w:div>
    <w:div w:id="1504125149">
      <w:bodyDiv w:val="1"/>
      <w:marLeft w:val="0"/>
      <w:marRight w:val="0"/>
      <w:marTop w:val="0"/>
      <w:marBottom w:val="0"/>
      <w:divBdr>
        <w:top w:val="none" w:sz="0" w:space="0" w:color="auto"/>
        <w:left w:val="none" w:sz="0" w:space="0" w:color="auto"/>
        <w:bottom w:val="none" w:sz="0" w:space="0" w:color="auto"/>
        <w:right w:val="none" w:sz="0" w:space="0" w:color="auto"/>
      </w:divBdr>
    </w:div>
    <w:div w:id="1508211242">
      <w:bodyDiv w:val="1"/>
      <w:marLeft w:val="0"/>
      <w:marRight w:val="0"/>
      <w:marTop w:val="0"/>
      <w:marBottom w:val="0"/>
      <w:divBdr>
        <w:top w:val="none" w:sz="0" w:space="0" w:color="auto"/>
        <w:left w:val="none" w:sz="0" w:space="0" w:color="auto"/>
        <w:bottom w:val="none" w:sz="0" w:space="0" w:color="auto"/>
        <w:right w:val="none" w:sz="0" w:space="0" w:color="auto"/>
      </w:divBdr>
    </w:div>
    <w:div w:id="1546482017">
      <w:bodyDiv w:val="1"/>
      <w:marLeft w:val="0"/>
      <w:marRight w:val="0"/>
      <w:marTop w:val="0"/>
      <w:marBottom w:val="0"/>
      <w:divBdr>
        <w:top w:val="none" w:sz="0" w:space="0" w:color="auto"/>
        <w:left w:val="none" w:sz="0" w:space="0" w:color="auto"/>
        <w:bottom w:val="none" w:sz="0" w:space="0" w:color="auto"/>
        <w:right w:val="none" w:sz="0" w:space="0" w:color="auto"/>
      </w:divBdr>
    </w:div>
    <w:div w:id="1627811685">
      <w:bodyDiv w:val="1"/>
      <w:marLeft w:val="0"/>
      <w:marRight w:val="0"/>
      <w:marTop w:val="0"/>
      <w:marBottom w:val="0"/>
      <w:divBdr>
        <w:top w:val="none" w:sz="0" w:space="0" w:color="auto"/>
        <w:left w:val="none" w:sz="0" w:space="0" w:color="auto"/>
        <w:bottom w:val="none" w:sz="0" w:space="0" w:color="auto"/>
        <w:right w:val="none" w:sz="0" w:space="0" w:color="auto"/>
      </w:divBdr>
      <w:divsChild>
        <w:div w:id="105197352">
          <w:marLeft w:val="547"/>
          <w:marRight w:val="0"/>
          <w:marTop w:val="58"/>
          <w:marBottom w:val="0"/>
          <w:divBdr>
            <w:top w:val="none" w:sz="0" w:space="0" w:color="auto"/>
            <w:left w:val="none" w:sz="0" w:space="0" w:color="auto"/>
            <w:bottom w:val="none" w:sz="0" w:space="0" w:color="auto"/>
            <w:right w:val="none" w:sz="0" w:space="0" w:color="auto"/>
          </w:divBdr>
        </w:div>
        <w:div w:id="387072403">
          <w:marLeft w:val="547"/>
          <w:marRight w:val="0"/>
          <w:marTop w:val="58"/>
          <w:marBottom w:val="0"/>
          <w:divBdr>
            <w:top w:val="none" w:sz="0" w:space="0" w:color="auto"/>
            <w:left w:val="none" w:sz="0" w:space="0" w:color="auto"/>
            <w:bottom w:val="none" w:sz="0" w:space="0" w:color="auto"/>
            <w:right w:val="none" w:sz="0" w:space="0" w:color="auto"/>
          </w:divBdr>
        </w:div>
        <w:div w:id="604969770">
          <w:marLeft w:val="547"/>
          <w:marRight w:val="0"/>
          <w:marTop w:val="58"/>
          <w:marBottom w:val="0"/>
          <w:divBdr>
            <w:top w:val="none" w:sz="0" w:space="0" w:color="auto"/>
            <w:left w:val="none" w:sz="0" w:space="0" w:color="auto"/>
            <w:bottom w:val="none" w:sz="0" w:space="0" w:color="auto"/>
            <w:right w:val="none" w:sz="0" w:space="0" w:color="auto"/>
          </w:divBdr>
        </w:div>
        <w:div w:id="637036277">
          <w:marLeft w:val="547"/>
          <w:marRight w:val="0"/>
          <w:marTop w:val="58"/>
          <w:marBottom w:val="0"/>
          <w:divBdr>
            <w:top w:val="none" w:sz="0" w:space="0" w:color="auto"/>
            <w:left w:val="none" w:sz="0" w:space="0" w:color="auto"/>
            <w:bottom w:val="none" w:sz="0" w:space="0" w:color="auto"/>
            <w:right w:val="none" w:sz="0" w:space="0" w:color="auto"/>
          </w:divBdr>
        </w:div>
        <w:div w:id="829491268">
          <w:marLeft w:val="547"/>
          <w:marRight w:val="0"/>
          <w:marTop w:val="58"/>
          <w:marBottom w:val="0"/>
          <w:divBdr>
            <w:top w:val="none" w:sz="0" w:space="0" w:color="auto"/>
            <w:left w:val="none" w:sz="0" w:space="0" w:color="auto"/>
            <w:bottom w:val="none" w:sz="0" w:space="0" w:color="auto"/>
            <w:right w:val="none" w:sz="0" w:space="0" w:color="auto"/>
          </w:divBdr>
        </w:div>
        <w:div w:id="885944601">
          <w:marLeft w:val="547"/>
          <w:marRight w:val="0"/>
          <w:marTop w:val="58"/>
          <w:marBottom w:val="0"/>
          <w:divBdr>
            <w:top w:val="none" w:sz="0" w:space="0" w:color="auto"/>
            <w:left w:val="none" w:sz="0" w:space="0" w:color="auto"/>
            <w:bottom w:val="none" w:sz="0" w:space="0" w:color="auto"/>
            <w:right w:val="none" w:sz="0" w:space="0" w:color="auto"/>
          </w:divBdr>
        </w:div>
      </w:divsChild>
    </w:div>
    <w:div w:id="1631283759">
      <w:bodyDiv w:val="1"/>
      <w:marLeft w:val="0"/>
      <w:marRight w:val="0"/>
      <w:marTop w:val="0"/>
      <w:marBottom w:val="0"/>
      <w:divBdr>
        <w:top w:val="none" w:sz="0" w:space="0" w:color="auto"/>
        <w:left w:val="none" w:sz="0" w:space="0" w:color="auto"/>
        <w:bottom w:val="none" w:sz="0" w:space="0" w:color="auto"/>
        <w:right w:val="none" w:sz="0" w:space="0" w:color="auto"/>
      </w:divBdr>
      <w:divsChild>
        <w:div w:id="1592200734">
          <w:marLeft w:val="360"/>
          <w:marRight w:val="0"/>
          <w:marTop w:val="200"/>
          <w:marBottom w:val="0"/>
          <w:divBdr>
            <w:top w:val="none" w:sz="0" w:space="0" w:color="auto"/>
            <w:left w:val="none" w:sz="0" w:space="0" w:color="auto"/>
            <w:bottom w:val="none" w:sz="0" w:space="0" w:color="auto"/>
            <w:right w:val="none" w:sz="0" w:space="0" w:color="auto"/>
          </w:divBdr>
        </w:div>
        <w:div w:id="1505632062">
          <w:marLeft w:val="360"/>
          <w:marRight w:val="0"/>
          <w:marTop w:val="200"/>
          <w:marBottom w:val="0"/>
          <w:divBdr>
            <w:top w:val="none" w:sz="0" w:space="0" w:color="auto"/>
            <w:left w:val="none" w:sz="0" w:space="0" w:color="auto"/>
            <w:bottom w:val="none" w:sz="0" w:space="0" w:color="auto"/>
            <w:right w:val="none" w:sz="0" w:space="0" w:color="auto"/>
          </w:divBdr>
        </w:div>
        <w:div w:id="1418096672">
          <w:marLeft w:val="360"/>
          <w:marRight w:val="0"/>
          <w:marTop w:val="200"/>
          <w:marBottom w:val="0"/>
          <w:divBdr>
            <w:top w:val="none" w:sz="0" w:space="0" w:color="auto"/>
            <w:left w:val="none" w:sz="0" w:space="0" w:color="auto"/>
            <w:bottom w:val="none" w:sz="0" w:space="0" w:color="auto"/>
            <w:right w:val="none" w:sz="0" w:space="0" w:color="auto"/>
          </w:divBdr>
        </w:div>
        <w:div w:id="1610774706">
          <w:marLeft w:val="360"/>
          <w:marRight w:val="0"/>
          <w:marTop w:val="200"/>
          <w:marBottom w:val="0"/>
          <w:divBdr>
            <w:top w:val="none" w:sz="0" w:space="0" w:color="auto"/>
            <w:left w:val="none" w:sz="0" w:space="0" w:color="auto"/>
            <w:bottom w:val="none" w:sz="0" w:space="0" w:color="auto"/>
            <w:right w:val="none" w:sz="0" w:space="0" w:color="auto"/>
          </w:divBdr>
        </w:div>
      </w:divsChild>
    </w:div>
    <w:div w:id="1637644142">
      <w:bodyDiv w:val="1"/>
      <w:marLeft w:val="0"/>
      <w:marRight w:val="0"/>
      <w:marTop w:val="0"/>
      <w:marBottom w:val="0"/>
      <w:divBdr>
        <w:top w:val="none" w:sz="0" w:space="0" w:color="auto"/>
        <w:left w:val="none" w:sz="0" w:space="0" w:color="auto"/>
        <w:bottom w:val="none" w:sz="0" w:space="0" w:color="auto"/>
        <w:right w:val="none" w:sz="0" w:space="0" w:color="auto"/>
      </w:divBdr>
    </w:div>
    <w:div w:id="1646156400">
      <w:bodyDiv w:val="1"/>
      <w:marLeft w:val="0"/>
      <w:marRight w:val="0"/>
      <w:marTop w:val="0"/>
      <w:marBottom w:val="0"/>
      <w:divBdr>
        <w:top w:val="none" w:sz="0" w:space="0" w:color="auto"/>
        <w:left w:val="none" w:sz="0" w:space="0" w:color="auto"/>
        <w:bottom w:val="none" w:sz="0" w:space="0" w:color="auto"/>
        <w:right w:val="none" w:sz="0" w:space="0" w:color="auto"/>
      </w:divBdr>
    </w:div>
    <w:div w:id="1649476104">
      <w:bodyDiv w:val="1"/>
      <w:marLeft w:val="0"/>
      <w:marRight w:val="0"/>
      <w:marTop w:val="0"/>
      <w:marBottom w:val="0"/>
      <w:divBdr>
        <w:top w:val="none" w:sz="0" w:space="0" w:color="auto"/>
        <w:left w:val="none" w:sz="0" w:space="0" w:color="auto"/>
        <w:bottom w:val="none" w:sz="0" w:space="0" w:color="auto"/>
        <w:right w:val="none" w:sz="0" w:space="0" w:color="auto"/>
      </w:divBdr>
    </w:div>
    <w:div w:id="1654528920">
      <w:bodyDiv w:val="1"/>
      <w:marLeft w:val="0"/>
      <w:marRight w:val="0"/>
      <w:marTop w:val="0"/>
      <w:marBottom w:val="0"/>
      <w:divBdr>
        <w:top w:val="none" w:sz="0" w:space="0" w:color="auto"/>
        <w:left w:val="none" w:sz="0" w:space="0" w:color="auto"/>
        <w:bottom w:val="none" w:sz="0" w:space="0" w:color="auto"/>
        <w:right w:val="none" w:sz="0" w:space="0" w:color="auto"/>
      </w:divBdr>
      <w:divsChild>
        <w:div w:id="442264015">
          <w:marLeft w:val="547"/>
          <w:marRight w:val="0"/>
          <w:marTop w:val="134"/>
          <w:marBottom w:val="0"/>
          <w:divBdr>
            <w:top w:val="none" w:sz="0" w:space="0" w:color="auto"/>
            <w:left w:val="none" w:sz="0" w:space="0" w:color="auto"/>
            <w:bottom w:val="none" w:sz="0" w:space="0" w:color="auto"/>
            <w:right w:val="none" w:sz="0" w:space="0" w:color="auto"/>
          </w:divBdr>
        </w:div>
        <w:div w:id="791437644">
          <w:marLeft w:val="547"/>
          <w:marRight w:val="0"/>
          <w:marTop w:val="134"/>
          <w:marBottom w:val="0"/>
          <w:divBdr>
            <w:top w:val="none" w:sz="0" w:space="0" w:color="auto"/>
            <w:left w:val="none" w:sz="0" w:space="0" w:color="auto"/>
            <w:bottom w:val="none" w:sz="0" w:space="0" w:color="auto"/>
            <w:right w:val="none" w:sz="0" w:space="0" w:color="auto"/>
          </w:divBdr>
        </w:div>
        <w:div w:id="808664990">
          <w:marLeft w:val="547"/>
          <w:marRight w:val="0"/>
          <w:marTop w:val="134"/>
          <w:marBottom w:val="0"/>
          <w:divBdr>
            <w:top w:val="none" w:sz="0" w:space="0" w:color="auto"/>
            <w:left w:val="none" w:sz="0" w:space="0" w:color="auto"/>
            <w:bottom w:val="none" w:sz="0" w:space="0" w:color="auto"/>
            <w:right w:val="none" w:sz="0" w:space="0" w:color="auto"/>
          </w:divBdr>
        </w:div>
        <w:div w:id="1469515581">
          <w:marLeft w:val="547"/>
          <w:marRight w:val="0"/>
          <w:marTop w:val="134"/>
          <w:marBottom w:val="0"/>
          <w:divBdr>
            <w:top w:val="none" w:sz="0" w:space="0" w:color="auto"/>
            <w:left w:val="none" w:sz="0" w:space="0" w:color="auto"/>
            <w:bottom w:val="none" w:sz="0" w:space="0" w:color="auto"/>
            <w:right w:val="none" w:sz="0" w:space="0" w:color="auto"/>
          </w:divBdr>
        </w:div>
        <w:div w:id="1719208124">
          <w:marLeft w:val="547"/>
          <w:marRight w:val="0"/>
          <w:marTop w:val="134"/>
          <w:marBottom w:val="0"/>
          <w:divBdr>
            <w:top w:val="none" w:sz="0" w:space="0" w:color="auto"/>
            <w:left w:val="none" w:sz="0" w:space="0" w:color="auto"/>
            <w:bottom w:val="none" w:sz="0" w:space="0" w:color="auto"/>
            <w:right w:val="none" w:sz="0" w:space="0" w:color="auto"/>
          </w:divBdr>
        </w:div>
        <w:div w:id="1788698997">
          <w:marLeft w:val="547"/>
          <w:marRight w:val="0"/>
          <w:marTop w:val="134"/>
          <w:marBottom w:val="0"/>
          <w:divBdr>
            <w:top w:val="none" w:sz="0" w:space="0" w:color="auto"/>
            <w:left w:val="none" w:sz="0" w:space="0" w:color="auto"/>
            <w:bottom w:val="none" w:sz="0" w:space="0" w:color="auto"/>
            <w:right w:val="none" w:sz="0" w:space="0" w:color="auto"/>
          </w:divBdr>
        </w:div>
        <w:div w:id="1941066402">
          <w:marLeft w:val="547"/>
          <w:marRight w:val="0"/>
          <w:marTop w:val="134"/>
          <w:marBottom w:val="0"/>
          <w:divBdr>
            <w:top w:val="none" w:sz="0" w:space="0" w:color="auto"/>
            <w:left w:val="none" w:sz="0" w:space="0" w:color="auto"/>
            <w:bottom w:val="none" w:sz="0" w:space="0" w:color="auto"/>
            <w:right w:val="none" w:sz="0" w:space="0" w:color="auto"/>
          </w:divBdr>
        </w:div>
      </w:divsChild>
    </w:div>
    <w:div w:id="1669401407">
      <w:bodyDiv w:val="1"/>
      <w:marLeft w:val="0"/>
      <w:marRight w:val="0"/>
      <w:marTop w:val="0"/>
      <w:marBottom w:val="0"/>
      <w:divBdr>
        <w:top w:val="none" w:sz="0" w:space="0" w:color="auto"/>
        <w:left w:val="none" w:sz="0" w:space="0" w:color="auto"/>
        <w:bottom w:val="none" w:sz="0" w:space="0" w:color="auto"/>
        <w:right w:val="none" w:sz="0" w:space="0" w:color="auto"/>
      </w:divBdr>
    </w:div>
    <w:div w:id="1726828880">
      <w:bodyDiv w:val="1"/>
      <w:marLeft w:val="0"/>
      <w:marRight w:val="0"/>
      <w:marTop w:val="0"/>
      <w:marBottom w:val="0"/>
      <w:divBdr>
        <w:top w:val="none" w:sz="0" w:space="0" w:color="auto"/>
        <w:left w:val="none" w:sz="0" w:space="0" w:color="auto"/>
        <w:bottom w:val="none" w:sz="0" w:space="0" w:color="auto"/>
        <w:right w:val="none" w:sz="0" w:space="0" w:color="auto"/>
      </w:divBdr>
    </w:div>
    <w:div w:id="1761557167">
      <w:bodyDiv w:val="1"/>
      <w:marLeft w:val="0"/>
      <w:marRight w:val="0"/>
      <w:marTop w:val="0"/>
      <w:marBottom w:val="0"/>
      <w:divBdr>
        <w:top w:val="none" w:sz="0" w:space="0" w:color="auto"/>
        <w:left w:val="none" w:sz="0" w:space="0" w:color="auto"/>
        <w:bottom w:val="none" w:sz="0" w:space="0" w:color="auto"/>
        <w:right w:val="none" w:sz="0" w:space="0" w:color="auto"/>
      </w:divBdr>
    </w:div>
    <w:div w:id="1763916380">
      <w:bodyDiv w:val="1"/>
      <w:marLeft w:val="0"/>
      <w:marRight w:val="0"/>
      <w:marTop w:val="0"/>
      <w:marBottom w:val="0"/>
      <w:divBdr>
        <w:top w:val="none" w:sz="0" w:space="0" w:color="auto"/>
        <w:left w:val="none" w:sz="0" w:space="0" w:color="auto"/>
        <w:bottom w:val="none" w:sz="0" w:space="0" w:color="auto"/>
        <w:right w:val="none" w:sz="0" w:space="0" w:color="auto"/>
      </w:divBdr>
      <w:divsChild>
        <w:div w:id="63992119">
          <w:marLeft w:val="0"/>
          <w:marRight w:val="0"/>
          <w:marTop w:val="0"/>
          <w:marBottom w:val="0"/>
          <w:divBdr>
            <w:top w:val="none" w:sz="0" w:space="0" w:color="auto"/>
            <w:left w:val="none" w:sz="0" w:space="0" w:color="auto"/>
            <w:bottom w:val="none" w:sz="0" w:space="0" w:color="auto"/>
            <w:right w:val="none" w:sz="0" w:space="0" w:color="auto"/>
          </w:divBdr>
          <w:divsChild>
            <w:div w:id="2030451356">
              <w:marLeft w:val="0"/>
              <w:marRight w:val="0"/>
              <w:marTop w:val="0"/>
              <w:marBottom w:val="0"/>
              <w:divBdr>
                <w:top w:val="none" w:sz="0" w:space="0" w:color="auto"/>
                <w:left w:val="none" w:sz="0" w:space="0" w:color="auto"/>
                <w:bottom w:val="none" w:sz="0" w:space="0" w:color="auto"/>
                <w:right w:val="none" w:sz="0" w:space="0" w:color="auto"/>
              </w:divBdr>
              <w:divsChild>
                <w:div w:id="1374160689">
                  <w:marLeft w:val="0"/>
                  <w:marRight w:val="0"/>
                  <w:marTop w:val="0"/>
                  <w:marBottom w:val="0"/>
                  <w:divBdr>
                    <w:top w:val="none" w:sz="0" w:space="0" w:color="auto"/>
                    <w:left w:val="none" w:sz="0" w:space="0" w:color="auto"/>
                    <w:bottom w:val="none" w:sz="0" w:space="0" w:color="auto"/>
                    <w:right w:val="none" w:sz="0" w:space="0" w:color="auto"/>
                  </w:divBdr>
                  <w:divsChild>
                    <w:div w:id="1768959401">
                      <w:marLeft w:val="0"/>
                      <w:marRight w:val="0"/>
                      <w:marTop w:val="0"/>
                      <w:marBottom w:val="0"/>
                      <w:divBdr>
                        <w:top w:val="none" w:sz="0" w:space="0" w:color="auto"/>
                        <w:left w:val="none" w:sz="0" w:space="0" w:color="auto"/>
                        <w:bottom w:val="none" w:sz="0" w:space="0" w:color="auto"/>
                        <w:right w:val="none" w:sz="0" w:space="0" w:color="auto"/>
                      </w:divBdr>
                      <w:divsChild>
                        <w:div w:id="162014440">
                          <w:marLeft w:val="0"/>
                          <w:marRight w:val="0"/>
                          <w:marTop w:val="0"/>
                          <w:marBottom w:val="0"/>
                          <w:divBdr>
                            <w:top w:val="none" w:sz="0" w:space="0" w:color="auto"/>
                            <w:left w:val="none" w:sz="0" w:space="0" w:color="auto"/>
                            <w:bottom w:val="none" w:sz="0" w:space="0" w:color="auto"/>
                            <w:right w:val="none" w:sz="0" w:space="0" w:color="auto"/>
                          </w:divBdr>
                          <w:divsChild>
                            <w:div w:id="653484015">
                              <w:marLeft w:val="0"/>
                              <w:marRight w:val="0"/>
                              <w:marTop w:val="0"/>
                              <w:marBottom w:val="0"/>
                              <w:divBdr>
                                <w:top w:val="none" w:sz="0" w:space="0" w:color="auto"/>
                                <w:left w:val="none" w:sz="0" w:space="0" w:color="auto"/>
                                <w:bottom w:val="none" w:sz="0" w:space="0" w:color="auto"/>
                                <w:right w:val="none" w:sz="0" w:space="0" w:color="auto"/>
                              </w:divBdr>
                              <w:divsChild>
                                <w:div w:id="1745451554">
                                  <w:marLeft w:val="0"/>
                                  <w:marRight w:val="0"/>
                                  <w:marTop w:val="0"/>
                                  <w:marBottom w:val="0"/>
                                  <w:divBdr>
                                    <w:top w:val="none" w:sz="0" w:space="0" w:color="auto"/>
                                    <w:left w:val="none" w:sz="0" w:space="0" w:color="auto"/>
                                    <w:bottom w:val="none" w:sz="0" w:space="0" w:color="auto"/>
                                    <w:right w:val="none" w:sz="0" w:space="0" w:color="auto"/>
                                  </w:divBdr>
                                  <w:divsChild>
                                    <w:div w:id="107702395">
                                      <w:marLeft w:val="0"/>
                                      <w:marRight w:val="0"/>
                                      <w:marTop w:val="0"/>
                                      <w:marBottom w:val="0"/>
                                      <w:divBdr>
                                        <w:top w:val="none" w:sz="0" w:space="0" w:color="auto"/>
                                        <w:left w:val="none" w:sz="0" w:space="0" w:color="auto"/>
                                        <w:bottom w:val="none" w:sz="0" w:space="0" w:color="auto"/>
                                        <w:right w:val="none" w:sz="0" w:space="0" w:color="auto"/>
                                      </w:divBdr>
                                      <w:divsChild>
                                        <w:div w:id="1198348077">
                                          <w:marLeft w:val="0"/>
                                          <w:marRight w:val="0"/>
                                          <w:marTop w:val="120"/>
                                          <w:marBottom w:val="0"/>
                                          <w:divBdr>
                                            <w:top w:val="none" w:sz="0" w:space="0" w:color="auto"/>
                                            <w:left w:val="none" w:sz="0" w:space="0" w:color="auto"/>
                                            <w:bottom w:val="none" w:sz="0" w:space="0" w:color="auto"/>
                                            <w:right w:val="none" w:sz="0" w:space="0" w:color="auto"/>
                                          </w:divBdr>
                                          <w:divsChild>
                                            <w:div w:id="1087850046">
                                              <w:marLeft w:val="0"/>
                                              <w:marRight w:val="0"/>
                                              <w:marTop w:val="120"/>
                                              <w:marBottom w:val="120"/>
                                              <w:divBdr>
                                                <w:top w:val="none" w:sz="0" w:space="0" w:color="auto"/>
                                                <w:left w:val="none" w:sz="0" w:space="0" w:color="auto"/>
                                                <w:bottom w:val="none" w:sz="0" w:space="0" w:color="auto"/>
                                                <w:right w:val="none" w:sz="0" w:space="0" w:color="auto"/>
                                              </w:divBdr>
                                              <w:divsChild>
                                                <w:div w:id="188863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80484468">
      <w:bodyDiv w:val="1"/>
      <w:marLeft w:val="0"/>
      <w:marRight w:val="0"/>
      <w:marTop w:val="0"/>
      <w:marBottom w:val="0"/>
      <w:divBdr>
        <w:top w:val="none" w:sz="0" w:space="0" w:color="auto"/>
        <w:left w:val="none" w:sz="0" w:space="0" w:color="auto"/>
        <w:bottom w:val="none" w:sz="0" w:space="0" w:color="auto"/>
        <w:right w:val="none" w:sz="0" w:space="0" w:color="auto"/>
      </w:divBdr>
    </w:div>
    <w:div w:id="1782147035">
      <w:bodyDiv w:val="1"/>
      <w:marLeft w:val="0"/>
      <w:marRight w:val="0"/>
      <w:marTop w:val="0"/>
      <w:marBottom w:val="0"/>
      <w:divBdr>
        <w:top w:val="none" w:sz="0" w:space="0" w:color="auto"/>
        <w:left w:val="none" w:sz="0" w:space="0" w:color="auto"/>
        <w:bottom w:val="none" w:sz="0" w:space="0" w:color="auto"/>
        <w:right w:val="none" w:sz="0" w:space="0" w:color="auto"/>
      </w:divBdr>
      <w:divsChild>
        <w:div w:id="1715883323">
          <w:marLeft w:val="0"/>
          <w:marRight w:val="0"/>
          <w:marTop w:val="100"/>
          <w:marBottom w:val="100"/>
          <w:divBdr>
            <w:top w:val="none" w:sz="0" w:space="0" w:color="auto"/>
            <w:left w:val="none" w:sz="0" w:space="0" w:color="auto"/>
            <w:bottom w:val="none" w:sz="0" w:space="0" w:color="auto"/>
            <w:right w:val="none" w:sz="0" w:space="0" w:color="auto"/>
          </w:divBdr>
          <w:divsChild>
            <w:div w:id="529222380">
              <w:marLeft w:val="0"/>
              <w:marRight w:val="0"/>
              <w:marTop w:val="0"/>
              <w:marBottom w:val="0"/>
              <w:divBdr>
                <w:top w:val="none" w:sz="0" w:space="0" w:color="auto"/>
                <w:left w:val="none" w:sz="0" w:space="0" w:color="auto"/>
                <w:bottom w:val="none" w:sz="0" w:space="0" w:color="auto"/>
                <w:right w:val="none" w:sz="0" w:space="0" w:color="auto"/>
              </w:divBdr>
              <w:divsChild>
                <w:div w:id="701244673">
                  <w:marLeft w:val="150"/>
                  <w:marRight w:val="150"/>
                  <w:marTop w:val="0"/>
                  <w:marBottom w:val="0"/>
                  <w:divBdr>
                    <w:top w:val="none" w:sz="0" w:space="0" w:color="auto"/>
                    <w:left w:val="none" w:sz="0" w:space="0" w:color="auto"/>
                    <w:bottom w:val="none" w:sz="0" w:space="0" w:color="auto"/>
                    <w:right w:val="none" w:sz="0" w:space="0" w:color="auto"/>
                  </w:divBdr>
                  <w:divsChild>
                    <w:div w:id="456921721">
                      <w:marLeft w:val="0"/>
                      <w:marRight w:val="0"/>
                      <w:marTop w:val="0"/>
                      <w:marBottom w:val="0"/>
                      <w:divBdr>
                        <w:top w:val="none" w:sz="0" w:space="0" w:color="auto"/>
                        <w:left w:val="none" w:sz="0" w:space="0" w:color="auto"/>
                        <w:bottom w:val="none" w:sz="0" w:space="0" w:color="auto"/>
                        <w:right w:val="none" w:sz="0" w:space="0" w:color="auto"/>
                      </w:divBdr>
                      <w:divsChild>
                        <w:div w:id="1840273154">
                          <w:marLeft w:val="0"/>
                          <w:marRight w:val="0"/>
                          <w:marTop w:val="0"/>
                          <w:marBottom w:val="0"/>
                          <w:divBdr>
                            <w:top w:val="none" w:sz="0" w:space="0" w:color="auto"/>
                            <w:left w:val="none" w:sz="0" w:space="0" w:color="auto"/>
                            <w:bottom w:val="none" w:sz="0" w:space="0" w:color="auto"/>
                            <w:right w:val="none" w:sz="0" w:space="0" w:color="auto"/>
                          </w:divBdr>
                          <w:divsChild>
                            <w:div w:id="376899631">
                              <w:marLeft w:val="0"/>
                              <w:marRight w:val="0"/>
                              <w:marTop w:val="0"/>
                              <w:marBottom w:val="0"/>
                              <w:divBdr>
                                <w:top w:val="none" w:sz="0" w:space="0" w:color="auto"/>
                                <w:left w:val="none" w:sz="0" w:space="0" w:color="auto"/>
                                <w:bottom w:val="none" w:sz="0" w:space="0" w:color="auto"/>
                                <w:right w:val="none" w:sz="0" w:space="0" w:color="auto"/>
                              </w:divBdr>
                              <w:divsChild>
                                <w:div w:id="928349257">
                                  <w:marLeft w:val="0"/>
                                  <w:marRight w:val="0"/>
                                  <w:marTop w:val="0"/>
                                  <w:marBottom w:val="0"/>
                                  <w:divBdr>
                                    <w:top w:val="none" w:sz="0" w:space="0" w:color="auto"/>
                                    <w:left w:val="none" w:sz="0" w:space="0" w:color="auto"/>
                                    <w:bottom w:val="none" w:sz="0" w:space="0" w:color="auto"/>
                                    <w:right w:val="none" w:sz="0" w:space="0" w:color="auto"/>
                                  </w:divBdr>
                                  <w:divsChild>
                                    <w:div w:id="159127754">
                                      <w:marLeft w:val="0"/>
                                      <w:marRight w:val="0"/>
                                      <w:marTop w:val="0"/>
                                      <w:marBottom w:val="0"/>
                                      <w:divBdr>
                                        <w:top w:val="none" w:sz="0" w:space="0" w:color="auto"/>
                                        <w:left w:val="none" w:sz="0" w:space="0" w:color="auto"/>
                                        <w:bottom w:val="none" w:sz="0" w:space="0" w:color="auto"/>
                                        <w:right w:val="none" w:sz="0" w:space="0" w:color="auto"/>
                                      </w:divBdr>
                                    </w:div>
                                    <w:div w:id="977029986">
                                      <w:marLeft w:val="0"/>
                                      <w:marRight w:val="0"/>
                                      <w:marTop w:val="0"/>
                                      <w:marBottom w:val="0"/>
                                      <w:divBdr>
                                        <w:top w:val="none" w:sz="0" w:space="0" w:color="auto"/>
                                        <w:left w:val="none" w:sz="0" w:space="0" w:color="auto"/>
                                        <w:bottom w:val="none" w:sz="0" w:space="0" w:color="auto"/>
                                        <w:right w:val="none" w:sz="0" w:space="0" w:color="auto"/>
                                      </w:divBdr>
                                    </w:div>
                                    <w:div w:id="212692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2727747">
      <w:bodyDiv w:val="1"/>
      <w:marLeft w:val="0"/>
      <w:marRight w:val="0"/>
      <w:marTop w:val="0"/>
      <w:marBottom w:val="0"/>
      <w:divBdr>
        <w:top w:val="none" w:sz="0" w:space="0" w:color="auto"/>
        <w:left w:val="none" w:sz="0" w:space="0" w:color="auto"/>
        <w:bottom w:val="none" w:sz="0" w:space="0" w:color="auto"/>
        <w:right w:val="none" w:sz="0" w:space="0" w:color="auto"/>
      </w:divBdr>
    </w:div>
    <w:div w:id="1794864216">
      <w:bodyDiv w:val="1"/>
      <w:marLeft w:val="0"/>
      <w:marRight w:val="0"/>
      <w:marTop w:val="0"/>
      <w:marBottom w:val="0"/>
      <w:divBdr>
        <w:top w:val="none" w:sz="0" w:space="0" w:color="auto"/>
        <w:left w:val="none" w:sz="0" w:space="0" w:color="auto"/>
        <w:bottom w:val="none" w:sz="0" w:space="0" w:color="auto"/>
        <w:right w:val="none" w:sz="0" w:space="0" w:color="auto"/>
      </w:divBdr>
    </w:div>
    <w:div w:id="1810436170">
      <w:bodyDiv w:val="1"/>
      <w:marLeft w:val="0"/>
      <w:marRight w:val="0"/>
      <w:marTop w:val="0"/>
      <w:marBottom w:val="0"/>
      <w:divBdr>
        <w:top w:val="none" w:sz="0" w:space="0" w:color="auto"/>
        <w:left w:val="none" w:sz="0" w:space="0" w:color="auto"/>
        <w:bottom w:val="none" w:sz="0" w:space="0" w:color="auto"/>
        <w:right w:val="none" w:sz="0" w:space="0" w:color="auto"/>
      </w:divBdr>
    </w:div>
    <w:div w:id="1817914725">
      <w:bodyDiv w:val="1"/>
      <w:marLeft w:val="0"/>
      <w:marRight w:val="0"/>
      <w:marTop w:val="0"/>
      <w:marBottom w:val="0"/>
      <w:divBdr>
        <w:top w:val="none" w:sz="0" w:space="0" w:color="auto"/>
        <w:left w:val="none" w:sz="0" w:space="0" w:color="auto"/>
        <w:bottom w:val="none" w:sz="0" w:space="0" w:color="auto"/>
        <w:right w:val="none" w:sz="0" w:space="0" w:color="auto"/>
      </w:divBdr>
    </w:div>
    <w:div w:id="1823303248">
      <w:bodyDiv w:val="1"/>
      <w:marLeft w:val="0"/>
      <w:marRight w:val="0"/>
      <w:marTop w:val="0"/>
      <w:marBottom w:val="0"/>
      <w:divBdr>
        <w:top w:val="none" w:sz="0" w:space="0" w:color="auto"/>
        <w:left w:val="none" w:sz="0" w:space="0" w:color="auto"/>
        <w:bottom w:val="none" w:sz="0" w:space="0" w:color="auto"/>
        <w:right w:val="none" w:sz="0" w:space="0" w:color="auto"/>
      </w:divBdr>
    </w:div>
    <w:div w:id="1824545593">
      <w:bodyDiv w:val="1"/>
      <w:marLeft w:val="0"/>
      <w:marRight w:val="0"/>
      <w:marTop w:val="0"/>
      <w:marBottom w:val="0"/>
      <w:divBdr>
        <w:top w:val="none" w:sz="0" w:space="0" w:color="auto"/>
        <w:left w:val="none" w:sz="0" w:space="0" w:color="auto"/>
        <w:bottom w:val="none" w:sz="0" w:space="0" w:color="auto"/>
        <w:right w:val="none" w:sz="0" w:space="0" w:color="auto"/>
      </w:divBdr>
    </w:div>
    <w:div w:id="1831631508">
      <w:bodyDiv w:val="1"/>
      <w:marLeft w:val="0"/>
      <w:marRight w:val="0"/>
      <w:marTop w:val="0"/>
      <w:marBottom w:val="0"/>
      <w:divBdr>
        <w:top w:val="none" w:sz="0" w:space="0" w:color="auto"/>
        <w:left w:val="none" w:sz="0" w:space="0" w:color="auto"/>
        <w:bottom w:val="none" w:sz="0" w:space="0" w:color="auto"/>
        <w:right w:val="none" w:sz="0" w:space="0" w:color="auto"/>
      </w:divBdr>
      <w:divsChild>
        <w:div w:id="173766701">
          <w:marLeft w:val="547"/>
          <w:marRight w:val="0"/>
          <w:marTop w:val="96"/>
          <w:marBottom w:val="0"/>
          <w:divBdr>
            <w:top w:val="none" w:sz="0" w:space="0" w:color="auto"/>
            <w:left w:val="none" w:sz="0" w:space="0" w:color="auto"/>
            <w:bottom w:val="none" w:sz="0" w:space="0" w:color="auto"/>
            <w:right w:val="none" w:sz="0" w:space="0" w:color="auto"/>
          </w:divBdr>
        </w:div>
        <w:div w:id="610090164">
          <w:marLeft w:val="547"/>
          <w:marRight w:val="0"/>
          <w:marTop w:val="96"/>
          <w:marBottom w:val="0"/>
          <w:divBdr>
            <w:top w:val="none" w:sz="0" w:space="0" w:color="auto"/>
            <w:left w:val="none" w:sz="0" w:space="0" w:color="auto"/>
            <w:bottom w:val="none" w:sz="0" w:space="0" w:color="auto"/>
            <w:right w:val="none" w:sz="0" w:space="0" w:color="auto"/>
          </w:divBdr>
        </w:div>
        <w:div w:id="1016031025">
          <w:marLeft w:val="547"/>
          <w:marRight w:val="0"/>
          <w:marTop w:val="96"/>
          <w:marBottom w:val="0"/>
          <w:divBdr>
            <w:top w:val="none" w:sz="0" w:space="0" w:color="auto"/>
            <w:left w:val="none" w:sz="0" w:space="0" w:color="auto"/>
            <w:bottom w:val="none" w:sz="0" w:space="0" w:color="auto"/>
            <w:right w:val="none" w:sz="0" w:space="0" w:color="auto"/>
          </w:divBdr>
        </w:div>
        <w:div w:id="1655140992">
          <w:marLeft w:val="547"/>
          <w:marRight w:val="0"/>
          <w:marTop w:val="96"/>
          <w:marBottom w:val="0"/>
          <w:divBdr>
            <w:top w:val="none" w:sz="0" w:space="0" w:color="auto"/>
            <w:left w:val="none" w:sz="0" w:space="0" w:color="auto"/>
            <w:bottom w:val="none" w:sz="0" w:space="0" w:color="auto"/>
            <w:right w:val="none" w:sz="0" w:space="0" w:color="auto"/>
          </w:divBdr>
        </w:div>
        <w:div w:id="1980574690">
          <w:marLeft w:val="547"/>
          <w:marRight w:val="0"/>
          <w:marTop w:val="96"/>
          <w:marBottom w:val="0"/>
          <w:divBdr>
            <w:top w:val="none" w:sz="0" w:space="0" w:color="auto"/>
            <w:left w:val="none" w:sz="0" w:space="0" w:color="auto"/>
            <w:bottom w:val="none" w:sz="0" w:space="0" w:color="auto"/>
            <w:right w:val="none" w:sz="0" w:space="0" w:color="auto"/>
          </w:divBdr>
        </w:div>
      </w:divsChild>
    </w:div>
    <w:div w:id="1838569562">
      <w:bodyDiv w:val="1"/>
      <w:marLeft w:val="0"/>
      <w:marRight w:val="0"/>
      <w:marTop w:val="0"/>
      <w:marBottom w:val="0"/>
      <w:divBdr>
        <w:top w:val="none" w:sz="0" w:space="0" w:color="auto"/>
        <w:left w:val="none" w:sz="0" w:space="0" w:color="auto"/>
        <w:bottom w:val="none" w:sz="0" w:space="0" w:color="auto"/>
        <w:right w:val="none" w:sz="0" w:space="0" w:color="auto"/>
      </w:divBdr>
    </w:div>
    <w:div w:id="1839736487">
      <w:bodyDiv w:val="1"/>
      <w:marLeft w:val="0"/>
      <w:marRight w:val="0"/>
      <w:marTop w:val="0"/>
      <w:marBottom w:val="0"/>
      <w:divBdr>
        <w:top w:val="none" w:sz="0" w:space="0" w:color="auto"/>
        <w:left w:val="none" w:sz="0" w:space="0" w:color="auto"/>
        <w:bottom w:val="none" w:sz="0" w:space="0" w:color="auto"/>
        <w:right w:val="none" w:sz="0" w:space="0" w:color="auto"/>
      </w:divBdr>
    </w:div>
    <w:div w:id="1866365427">
      <w:bodyDiv w:val="1"/>
      <w:marLeft w:val="0"/>
      <w:marRight w:val="0"/>
      <w:marTop w:val="0"/>
      <w:marBottom w:val="0"/>
      <w:divBdr>
        <w:top w:val="none" w:sz="0" w:space="0" w:color="auto"/>
        <w:left w:val="none" w:sz="0" w:space="0" w:color="auto"/>
        <w:bottom w:val="none" w:sz="0" w:space="0" w:color="auto"/>
        <w:right w:val="none" w:sz="0" w:space="0" w:color="auto"/>
      </w:divBdr>
    </w:div>
    <w:div w:id="1868525965">
      <w:bodyDiv w:val="1"/>
      <w:marLeft w:val="0"/>
      <w:marRight w:val="0"/>
      <w:marTop w:val="0"/>
      <w:marBottom w:val="0"/>
      <w:divBdr>
        <w:top w:val="none" w:sz="0" w:space="0" w:color="auto"/>
        <w:left w:val="none" w:sz="0" w:space="0" w:color="auto"/>
        <w:bottom w:val="none" w:sz="0" w:space="0" w:color="auto"/>
        <w:right w:val="none" w:sz="0" w:space="0" w:color="auto"/>
      </w:divBdr>
    </w:div>
    <w:div w:id="1911571852">
      <w:bodyDiv w:val="1"/>
      <w:marLeft w:val="0"/>
      <w:marRight w:val="0"/>
      <w:marTop w:val="0"/>
      <w:marBottom w:val="0"/>
      <w:divBdr>
        <w:top w:val="none" w:sz="0" w:space="0" w:color="auto"/>
        <w:left w:val="none" w:sz="0" w:space="0" w:color="auto"/>
        <w:bottom w:val="none" w:sz="0" w:space="0" w:color="auto"/>
        <w:right w:val="none" w:sz="0" w:space="0" w:color="auto"/>
      </w:divBdr>
    </w:div>
    <w:div w:id="1920600912">
      <w:bodyDiv w:val="1"/>
      <w:marLeft w:val="0"/>
      <w:marRight w:val="0"/>
      <w:marTop w:val="0"/>
      <w:marBottom w:val="0"/>
      <w:divBdr>
        <w:top w:val="none" w:sz="0" w:space="0" w:color="auto"/>
        <w:left w:val="none" w:sz="0" w:space="0" w:color="auto"/>
        <w:bottom w:val="none" w:sz="0" w:space="0" w:color="auto"/>
        <w:right w:val="none" w:sz="0" w:space="0" w:color="auto"/>
      </w:divBdr>
    </w:div>
    <w:div w:id="1922450866">
      <w:bodyDiv w:val="1"/>
      <w:marLeft w:val="0"/>
      <w:marRight w:val="0"/>
      <w:marTop w:val="0"/>
      <w:marBottom w:val="0"/>
      <w:divBdr>
        <w:top w:val="none" w:sz="0" w:space="0" w:color="auto"/>
        <w:left w:val="none" w:sz="0" w:space="0" w:color="auto"/>
        <w:bottom w:val="none" w:sz="0" w:space="0" w:color="auto"/>
        <w:right w:val="none" w:sz="0" w:space="0" w:color="auto"/>
      </w:divBdr>
    </w:div>
    <w:div w:id="1925141337">
      <w:bodyDiv w:val="1"/>
      <w:marLeft w:val="0"/>
      <w:marRight w:val="0"/>
      <w:marTop w:val="0"/>
      <w:marBottom w:val="0"/>
      <w:divBdr>
        <w:top w:val="none" w:sz="0" w:space="0" w:color="auto"/>
        <w:left w:val="none" w:sz="0" w:space="0" w:color="auto"/>
        <w:bottom w:val="none" w:sz="0" w:space="0" w:color="auto"/>
        <w:right w:val="none" w:sz="0" w:space="0" w:color="auto"/>
      </w:divBdr>
    </w:div>
    <w:div w:id="1928608038">
      <w:bodyDiv w:val="1"/>
      <w:marLeft w:val="0"/>
      <w:marRight w:val="0"/>
      <w:marTop w:val="0"/>
      <w:marBottom w:val="0"/>
      <w:divBdr>
        <w:top w:val="none" w:sz="0" w:space="0" w:color="auto"/>
        <w:left w:val="none" w:sz="0" w:space="0" w:color="auto"/>
        <w:bottom w:val="none" w:sz="0" w:space="0" w:color="auto"/>
        <w:right w:val="none" w:sz="0" w:space="0" w:color="auto"/>
      </w:divBdr>
    </w:div>
    <w:div w:id="1958024365">
      <w:bodyDiv w:val="1"/>
      <w:marLeft w:val="0"/>
      <w:marRight w:val="0"/>
      <w:marTop w:val="0"/>
      <w:marBottom w:val="0"/>
      <w:divBdr>
        <w:top w:val="none" w:sz="0" w:space="0" w:color="auto"/>
        <w:left w:val="none" w:sz="0" w:space="0" w:color="auto"/>
        <w:bottom w:val="none" w:sz="0" w:space="0" w:color="auto"/>
        <w:right w:val="none" w:sz="0" w:space="0" w:color="auto"/>
      </w:divBdr>
    </w:div>
    <w:div w:id="1981038161">
      <w:bodyDiv w:val="1"/>
      <w:marLeft w:val="0"/>
      <w:marRight w:val="0"/>
      <w:marTop w:val="0"/>
      <w:marBottom w:val="0"/>
      <w:divBdr>
        <w:top w:val="none" w:sz="0" w:space="0" w:color="auto"/>
        <w:left w:val="none" w:sz="0" w:space="0" w:color="auto"/>
        <w:bottom w:val="none" w:sz="0" w:space="0" w:color="auto"/>
        <w:right w:val="none" w:sz="0" w:space="0" w:color="auto"/>
      </w:divBdr>
    </w:div>
    <w:div w:id="2018580102">
      <w:bodyDiv w:val="1"/>
      <w:marLeft w:val="0"/>
      <w:marRight w:val="0"/>
      <w:marTop w:val="0"/>
      <w:marBottom w:val="0"/>
      <w:divBdr>
        <w:top w:val="none" w:sz="0" w:space="0" w:color="auto"/>
        <w:left w:val="none" w:sz="0" w:space="0" w:color="auto"/>
        <w:bottom w:val="none" w:sz="0" w:space="0" w:color="auto"/>
        <w:right w:val="none" w:sz="0" w:space="0" w:color="auto"/>
      </w:divBdr>
    </w:div>
    <w:div w:id="2034646965">
      <w:bodyDiv w:val="1"/>
      <w:marLeft w:val="0"/>
      <w:marRight w:val="0"/>
      <w:marTop w:val="0"/>
      <w:marBottom w:val="0"/>
      <w:divBdr>
        <w:top w:val="none" w:sz="0" w:space="0" w:color="auto"/>
        <w:left w:val="none" w:sz="0" w:space="0" w:color="auto"/>
        <w:bottom w:val="none" w:sz="0" w:space="0" w:color="auto"/>
        <w:right w:val="none" w:sz="0" w:space="0" w:color="auto"/>
      </w:divBdr>
    </w:div>
    <w:div w:id="2044554405">
      <w:bodyDiv w:val="1"/>
      <w:marLeft w:val="0"/>
      <w:marRight w:val="0"/>
      <w:marTop w:val="0"/>
      <w:marBottom w:val="0"/>
      <w:divBdr>
        <w:top w:val="none" w:sz="0" w:space="0" w:color="auto"/>
        <w:left w:val="none" w:sz="0" w:space="0" w:color="auto"/>
        <w:bottom w:val="none" w:sz="0" w:space="0" w:color="auto"/>
        <w:right w:val="none" w:sz="0" w:space="0" w:color="auto"/>
      </w:divBdr>
    </w:div>
    <w:div w:id="2061632495">
      <w:bodyDiv w:val="1"/>
      <w:marLeft w:val="0"/>
      <w:marRight w:val="0"/>
      <w:marTop w:val="0"/>
      <w:marBottom w:val="0"/>
      <w:divBdr>
        <w:top w:val="none" w:sz="0" w:space="0" w:color="auto"/>
        <w:left w:val="none" w:sz="0" w:space="0" w:color="auto"/>
        <w:bottom w:val="none" w:sz="0" w:space="0" w:color="auto"/>
        <w:right w:val="none" w:sz="0" w:space="0" w:color="auto"/>
      </w:divBdr>
    </w:div>
    <w:div w:id="2064868228">
      <w:bodyDiv w:val="1"/>
      <w:marLeft w:val="0"/>
      <w:marRight w:val="0"/>
      <w:marTop w:val="0"/>
      <w:marBottom w:val="0"/>
      <w:divBdr>
        <w:top w:val="none" w:sz="0" w:space="0" w:color="auto"/>
        <w:left w:val="none" w:sz="0" w:space="0" w:color="auto"/>
        <w:bottom w:val="none" w:sz="0" w:space="0" w:color="auto"/>
        <w:right w:val="none" w:sz="0" w:space="0" w:color="auto"/>
      </w:divBdr>
      <w:divsChild>
        <w:div w:id="2043706443">
          <w:marLeft w:val="0"/>
          <w:marRight w:val="0"/>
          <w:marTop w:val="100"/>
          <w:marBottom w:val="100"/>
          <w:divBdr>
            <w:top w:val="none" w:sz="0" w:space="0" w:color="auto"/>
            <w:left w:val="none" w:sz="0" w:space="0" w:color="auto"/>
            <w:bottom w:val="none" w:sz="0" w:space="0" w:color="auto"/>
            <w:right w:val="none" w:sz="0" w:space="0" w:color="auto"/>
          </w:divBdr>
          <w:divsChild>
            <w:div w:id="1361780931">
              <w:marLeft w:val="0"/>
              <w:marRight w:val="0"/>
              <w:marTop w:val="0"/>
              <w:marBottom w:val="0"/>
              <w:divBdr>
                <w:top w:val="none" w:sz="0" w:space="0" w:color="auto"/>
                <w:left w:val="none" w:sz="0" w:space="0" w:color="auto"/>
                <w:bottom w:val="none" w:sz="0" w:space="0" w:color="auto"/>
                <w:right w:val="none" w:sz="0" w:space="0" w:color="auto"/>
              </w:divBdr>
              <w:divsChild>
                <w:div w:id="1645887538">
                  <w:marLeft w:val="0"/>
                  <w:marRight w:val="0"/>
                  <w:marTop w:val="0"/>
                  <w:marBottom w:val="0"/>
                  <w:divBdr>
                    <w:top w:val="none" w:sz="0" w:space="0" w:color="auto"/>
                    <w:left w:val="none" w:sz="0" w:space="0" w:color="auto"/>
                    <w:bottom w:val="none" w:sz="0" w:space="0" w:color="auto"/>
                    <w:right w:val="none" w:sz="0" w:space="0" w:color="auto"/>
                  </w:divBdr>
                  <w:divsChild>
                    <w:div w:id="2146967266">
                      <w:marLeft w:val="0"/>
                      <w:marRight w:val="0"/>
                      <w:marTop w:val="0"/>
                      <w:marBottom w:val="0"/>
                      <w:divBdr>
                        <w:top w:val="none" w:sz="0" w:space="0" w:color="auto"/>
                        <w:left w:val="none" w:sz="0" w:space="0" w:color="auto"/>
                        <w:bottom w:val="none" w:sz="0" w:space="0" w:color="auto"/>
                        <w:right w:val="none" w:sz="0" w:space="0" w:color="auto"/>
                      </w:divBdr>
                      <w:divsChild>
                        <w:div w:id="1390302361">
                          <w:marLeft w:val="0"/>
                          <w:marRight w:val="0"/>
                          <w:marTop w:val="0"/>
                          <w:marBottom w:val="0"/>
                          <w:divBdr>
                            <w:top w:val="none" w:sz="0" w:space="0" w:color="auto"/>
                            <w:left w:val="none" w:sz="0" w:space="0" w:color="auto"/>
                            <w:bottom w:val="none" w:sz="0" w:space="0" w:color="auto"/>
                            <w:right w:val="none" w:sz="0" w:space="0" w:color="auto"/>
                          </w:divBdr>
                          <w:divsChild>
                            <w:div w:id="1582064402">
                              <w:marLeft w:val="0"/>
                              <w:marRight w:val="0"/>
                              <w:marTop w:val="0"/>
                              <w:marBottom w:val="0"/>
                              <w:divBdr>
                                <w:top w:val="none" w:sz="0" w:space="0" w:color="auto"/>
                                <w:left w:val="none" w:sz="0" w:space="0" w:color="auto"/>
                                <w:bottom w:val="none" w:sz="0" w:space="0" w:color="auto"/>
                                <w:right w:val="none" w:sz="0" w:space="0" w:color="auto"/>
                              </w:divBdr>
                              <w:divsChild>
                                <w:div w:id="645668435">
                                  <w:marLeft w:val="0"/>
                                  <w:marRight w:val="0"/>
                                  <w:marTop w:val="0"/>
                                  <w:marBottom w:val="0"/>
                                  <w:divBdr>
                                    <w:top w:val="none" w:sz="0" w:space="0" w:color="auto"/>
                                    <w:left w:val="none" w:sz="0" w:space="0" w:color="auto"/>
                                    <w:bottom w:val="none" w:sz="0" w:space="0" w:color="auto"/>
                                    <w:right w:val="none" w:sz="0" w:space="0" w:color="auto"/>
                                  </w:divBdr>
                                  <w:divsChild>
                                    <w:div w:id="735859545">
                                      <w:marLeft w:val="0"/>
                                      <w:marRight w:val="0"/>
                                      <w:marTop w:val="0"/>
                                      <w:marBottom w:val="0"/>
                                      <w:divBdr>
                                        <w:top w:val="none" w:sz="0" w:space="0" w:color="auto"/>
                                        <w:left w:val="none" w:sz="0" w:space="0" w:color="auto"/>
                                        <w:bottom w:val="none" w:sz="0" w:space="0" w:color="auto"/>
                                        <w:right w:val="none" w:sz="0" w:space="0" w:color="auto"/>
                                      </w:divBdr>
                                      <w:divsChild>
                                        <w:div w:id="3034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462943">
      <w:bodyDiv w:val="1"/>
      <w:marLeft w:val="0"/>
      <w:marRight w:val="0"/>
      <w:marTop w:val="0"/>
      <w:marBottom w:val="0"/>
      <w:divBdr>
        <w:top w:val="none" w:sz="0" w:space="0" w:color="auto"/>
        <w:left w:val="none" w:sz="0" w:space="0" w:color="auto"/>
        <w:bottom w:val="none" w:sz="0" w:space="0" w:color="auto"/>
        <w:right w:val="none" w:sz="0" w:space="0" w:color="auto"/>
      </w:divBdr>
    </w:div>
    <w:div w:id="2080714764">
      <w:bodyDiv w:val="1"/>
      <w:marLeft w:val="0"/>
      <w:marRight w:val="0"/>
      <w:marTop w:val="0"/>
      <w:marBottom w:val="0"/>
      <w:divBdr>
        <w:top w:val="none" w:sz="0" w:space="0" w:color="auto"/>
        <w:left w:val="none" w:sz="0" w:space="0" w:color="auto"/>
        <w:bottom w:val="none" w:sz="0" w:space="0" w:color="auto"/>
        <w:right w:val="none" w:sz="0" w:space="0" w:color="auto"/>
      </w:divBdr>
      <w:divsChild>
        <w:div w:id="38432809">
          <w:marLeft w:val="806"/>
          <w:marRight w:val="0"/>
          <w:marTop w:val="106"/>
          <w:marBottom w:val="0"/>
          <w:divBdr>
            <w:top w:val="none" w:sz="0" w:space="0" w:color="auto"/>
            <w:left w:val="none" w:sz="0" w:space="0" w:color="auto"/>
            <w:bottom w:val="none" w:sz="0" w:space="0" w:color="auto"/>
            <w:right w:val="none" w:sz="0" w:space="0" w:color="auto"/>
          </w:divBdr>
        </w:div>
        <w:div w:id="64423555">
          <w:marLeft w:val="1440"/>
          <w:marRight w:val="0"/>
          <w:marTop w:val="106"/>
          <w:marBottom w:val="0"/>
          <w:divBdr>
            <w:top w:val="none" w:sz="0" w:space="0" w:color="auto"/>
            <w:left w:val="none" w:sz="0" w:space="0" w:color="auto"/>
            <w:bottom w:val="none" w:sz="0" w:space="0" w:color="auto"/>
            <w:right w:val="none" w:sz="0" w:space="0" w:color="auto"/>
          </w:divBdr>
        </w:div>
        <w:div w:id="252857473">
          <w:marLeft w:val="1440"/>
          <w:marRight w:val="0"/>
          <w:marTop w:val="106"/>
          <w:marBottom w:val="0"/>
          <w:divBdr>
            <w:top w:val="none" w:sz="0" w:space="0" w:color="auto"/>
            <w:left w:val="none" w:sz="0" w:space="0" w:color="auto"/>
            <w:bottom w:val="none" w:sz="0" w:space="0" w:color="auto"/>
            <w:right w:val="none" w:sz="0" w:space="0" w:color="auto"/>
          </w:divBdr>
        </w:div>
        <w:div w:id="305402524">
          <w:marLeft w:val="1440"/>
          <w:marRight w:val="0"/>
          <w:marTop w:val="106"/>
          <w:marBottom w:val="0"/>
          <w:divBdr>
            <w:top w:val="none" w:sz="0" w:space="0" w:color="auto"/>
            <w:left w:val="none" w:sz="0" w:space="0" w:color="auto"/>
            <w:bottom w:val="none" w:sz="0" w:space="0" w:color="auto"/>
            <w:right w:val="none" w:sz="0" w:space="0" w:color="auto"/>
          </w:divBdr>
        </w:div>
        <w:div w:id="319583489">
          <w:marLeft w:val="1440"/>
          <w:marRight w:val="0"/>
          <w:marTop w:val="106"/>
          <w:marBottom w:val="0"/>
          <w:divBdr>
            <w:top w:val="none" w:sz="0" w:space="0" w:color="auto"/>
            <w:left w:val="none" w:sz="0" w:space="0" w:color="auto"/>
            <w:bottom w:val="none" w:sz="0" w:space="0" w:color="auto"/>
            <w:right w:val="none" w:sz="0" w:space="0" w:color="auto"/>
          </w:divBdr>
        </w:div>
        <w:div w:id="359742175">
          <w:marLeft w:val="806"/>
          <w:marRight w:val="0"/>
          <w:marTop w:val="106"/>
          <w:marBottom w:val="0"/>
          <w:divBdr>
            <w:top w:val="none" w:sz="0" w:space="0" w:color="auto"/>
            <w:left w:val="none" w:sz="0" w:space="0" w:color="auto"/>
            <w:bottom w:val="none" w:sz="0" w:space="0" w:color="auto"/>
            <w:right w:val="none" w:sz="0" w:space="0" w:color="auto"/>
          </w:divBdr>
        </w:div>
        <w:div w:id="519121536">
          <w:marLeft w:val="806"/>
          <w:marRight w:val="0"/>
          <w:marTop w:val="106"/>
          <w:marBottom w:val="0"/>
          <w:divBdr>
            <w:top w:val="none" w:sz="0" w:space="0" w:color="auto"/>
            <w:left w:val="none" w:sz="0" w:space="0" w:color="auto"/>
            <w:bottom w:val="none" w:sz="0" w:space="0" w:color="auto"/>
            <w:right w:val="none" w:sz="0" w:space="0" w:color="auto"/>
          </w:divBdr>
        </w:div>
        <w:div w:id="682509695">
          <w:marLeft w:val="1440"/>
          <w:marRight w:val="0"/>
          <w:marTop w:val="106"/>
          <w:marBottom w:val="0"/>
          <w:divBdr>
            <w:top w:val="none" w:sz="0" w:space="0" w:color="auto"/>
            <w:left w:val="none" w:sz="0" w:space="0" w:color="auto"/>
            <w:bottom w:val="none" w:sz="0" w:space="0" w:color="auto"/>
            <w:right w:val="none" w:sz="0" w:space="0" w:color="auto"/>
          </w:divBdr>
        </w:div>
        <w:div w:id="903418377">
          <w:marLeft w:val="1440"/>
          <w:marRight w:val="0"/>
          <w:marTop w:val="106"/>
          <w:marBottom w:val="0"/>
          <w:divBdr>
            <w:top w:val="none" w:sz="0" w:space="0" w:color="auto"/>
            <w:left w:val="none" w:sz="0" w:space="0" w:color="auto"/>
            <w:bottom w:val="none" w:sz="0" w:space="0" w:color="auto"/>
            <w:right w:val="none" w:sz="0" w:space="0" w:color="auto"/>
          </w:divBdr>
        </w:div>
        <w:div w:id="1236861752">
          <w:marLeft w:val="1440"/>
          <w:marRight w:val="0"/>
          <w:marTop w:val="106"/>
          <w:marBottom w:val="0"/>
          <w:divBdr>
            <w:top w:val="none" w:sz="0" w:space="0" w:color="auto"/>
            <w:left w:val="none" w:sz="0" w:space="0" w:color="auto"/>
            <w:bottom w:val="none" w:sz="0" w:space="0" w:color="auto"/>
            <w:right w:val="none" w:sz="0" w:space="0" w:color="auto"/>
          </w:divBdr>
        </w:div>
        <w:div w:id="1650937415">
          <w:marLeft w:val="1440"/>
          <w:marRight w:val="0"/>
          <w:marTop w:val="106"/>
          <w:marBottom w:val="0"/>
          <w:divBdr>
            <w:top w:val="none" w:sz="0" w:space="0" w:color="auto"/>
            <w:left w:val="none" w:sz="0" w:space="0" w:color="auto"/>
            <w:bottom w:val="none" w:sz="0" w:space="0" w:color="auto"/>
            <w:right w:val="none" w:sz="0" w:space="0" w:color="auto"/>
          </w:divBdr>
        </w:div>
      </w:divsChild>
    </w:div>
    <w:div w:id="2083596530">
      <w:bodyDiv w:val="1"/>
      <w:marLeft w:val="0"/>
      <w:marRight w:val="0"/>
      <w:marTop w:val="0"/>
      <w:marBottom w:val="0"/>
      <w:divBdr>
        <w:top w:val="none" w:sz="0" w:space="0" w:color="auto"/>
        <w:left w:val="none" w:sz="0" w:space="0" w:color="auto"/>
        <w:bottom w:val="none" w:sz="0" w:space="0" w:color="auto"/>
        <w:right w:val="none" w:sz="0" w:space="0" w:color="auto"/>
      </w:divBdr>
    </w:div>
    <w:div w:id="2119254018">
      <w:bodyDiv w:val="1"/>
      <w:marLeft w:val="0"/>
      <w:marRight w:val="0"/>
      <w:marTop w:val="0"/>
      <w:marBottom w:val="0"/>
      <w:divBdr>
        <w:top w:val="none" w:sz="0" w:space="0" w:color="auto"/>
        <w:left w:val="none" w:sz="0" w:space="0" w:color="auto"/>
        <w:bottom w:val="none" w:sz="0" w:space="0" w:color="auto"/>
        <w:right w:val="none" w:sz="0" w:space="0" w:color="auto"/>
      </w:divBdr>
    </w:div>
    <w:div w:id="2144080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diagramColors" Target="diagrams/colors4.xml"/><Relationship Id="rId21" Type="http://schemas.openxmlformats.org/officeDocument/2006/relationships/hyperlink" Target="http://cwmtaf.wales/services/" TargetMode="External"/><Relationship Id="rId42" Type="http://schemas.openxmlformats.org/officeDocument/2006/relationships/image" Target="media/image24.png"/><Relationship Id="rId63" Type="http://schemas.openxmlformats.org/officeDocument/2006/relationships/hyperlink" Target="https://gov.wales/sites/default/files/publications/2020-01/together-for-mental-health-delivery-plan-2019-to-2022.pdf" TargetMode="External"/><Relationship Id="rId84" Type="http://schemas.openxmlformats.org/officeDocument/2006/relationships/diagramData" Target="diagrams/data1.xml"/><Relationship Id="rId138" Type="http://schemas.openxmlformats.org/officeDocument/2006/relationships/theme" Target="theme/theme1.xml"/><Relationship Id="rId16" Type="http://schemas.openxmlformats.org/officeDocument/2006/relationships/image" Target="media/image7.png"/><Relationship Id="rId107" Type="http://schemas.openxmlformats.org/officeDocument/2006/relationships/diagramLayout" Target="diagrams/layout3.xml"/><Relationship Id="rId11" Type="http://schemas.openxmlformats.org/officeDocument/2006/relationships/image" Target="media/image4.png"/><Relationship Id="rId32" Type="http://schemas.openxmlformats.org/officeDocument/2006/relationships/image" Target="media/image16.png"/><Relationship Id="rId37" Type="http://schemas.openxmlformats.org/officeDocument/2006/relationships/image" Target="media/image21.png"/><Relationship Id="rId53" Type="http://schemas.openxmlformats.org/officeDocument/2006/relationships/image" Target="media/image34.jpeg"/><Relationship Id="rId58" Type="http://schemas.openxmlformats.org/officeDocument/2006/relationships/image" Target="media/image37.png"/><Relationship Id="rId74" Type="http://schemas.openxmlformats.org/officeDocument/2006/relationships/image" Target="media/image44.png"/><Relationship Id="rId79" Type="http://schemas.openxmlformats.org/officeDocument/2006/relationships/image" Target="media/image46.png"/><Relationship Id="rId102" Type="http://schemas.openxmlformats.org/officeDocument/2006/relationships/image" Target="media/image60.png"/><Relationship Id="rId123" Type="http://schemas.openxmlformats.org/officeDocument/2006/relationships/image" Target="media/image67.emf"/><Relationship Id="rId128" Type="http://schemas.openxmlformats.org/officeDocument/2006/relationships/image" Target="media/image72.png"/><Relationship Id="rId5" Type="http://schemas.openxmlformats.org/officeDocument/2006/relationships/webSettings" Target="webSettings.xml"/><Relationship Id="rId90" Type="http://schemas.openxmlformats.org/officeDocument/2006/relationships/image" Target="media/image53.png"/><Relationship Id="rId95" Type="http://schemas.openxmlformats.org/officeDocument/2006/relationships/diagramLayout" Target="diagrams/layout2.xml"/><Relationship Id="rId22" Type="http://schemas.openxmlformats.org/officeDocument/2006/relationships/hyperlink" Target="https://gov.wales/docs/dhss/publications/nhs-wales-delivery-framework-and-reporting-guidance-2018-2019.pdf" TargetMode="External"/><Relationship Id="rId27" Type="http://schemas.openxmlformats.org/officeDocument/2006/relationships/image" Target="media/image12.png"/><Relationship Id="rId43" Type="http://schemas.openxmlformats.org/officeDocument/2006/relationships/image" Target="media/image25.png"/><Relationship Id="rId48" Type="http://schemas.openxmlformats.org/officeDocument/2006/relationships/image" Target="media/image30.jpeg"/><Relationship Id="rId64" Type="http://schemas.openxmlformats.org/officeDocument/2006/relationships/hyperlink" Target="http://www.primarycareone.wales.nhs.uk/sitesplus/documents/1191/Strategic%20Programme%20for%20Primary%20Care.pdf" TargetMode="External"/><Relationship Id="rId69" Type="http://schemas.openxmlformats.org/officeDocument/2006/relationships/image" Target="cid:image001.png@01D59659.74741CC0" TargetMode="External"/><Relationship Id="rId113" Type="http://schemas.openxmlformats.org/officeDocument/2006/relationships/image" Target="cid:image001.jpg@01D58B26.D839C360" TargetMode="External"/><Relationship Id="rId118" Type="http://schemas.microsoft.com/office/2007/relationships/diagramDrawing" Target="diagrams/drawing4.xml"/><Relationship Id="rId134" Type="http://schemas.openxmlformats.org/officeDocument/2006/relationships/header" Target="header6.xml"/><Relationship Id="rId80" Type="http://schemas.openxmlformats.org/officeDocument/2006/relationships/image" Target="media/image47.png"/><Relationship Id="rId85" Type="http://schemas.openxmlformats.org/officeDocument/2006/relationships/diagramLayout" Target="diagrams/layout1.xml"/><Relationship Id="rId12" Type="http://schemas.openxmlformats.org/officeDocument/2006/relationships/header" Target="header1.xml"/><Relationship Id="rId17" Type="http://schemas.openxmlformats.org/officeDocument/2006/relationships/header" Target="header2.xml"/><Relationship Id="rId33" Type="http://schemas.openxmlformats.org/officeDocument/2006/relationships/image" Target="media/image17.png"/><Relationship Id="rId38" Type="http://schemas.openxmlformats.org/officeDocument/2006/relationships/image" Target="media/image22.png"/><Relationship Id="rId59" Type="http://schemas.openxmlformats.org/officeDocument/2006/relationships/image" Target="media/image38.png"/><Relationship Id="rId103" Type="http://schemas.openxmlformats.org/officeDocument/2006/relationships/image" Target="media/image61.emf"/><Relationship Id="rId108" Type="http://schemas.openxmlformats.org/officeDocument/2006/relationships/diagramQuickStyle" Target="diagrams/quickStyle3.xml"/><Relationship Id="rId124" Type="http://schemas.openxmlformats.org/officeDocument/2006/relationships/image" Target="media/image68.emf"/><Relationship Id="rId129" Type="http://schemas.openxmlformats.org/officeDocument/2006/relationships/hyperlink" Target="https://en.wikipedia.org/wiki/Subscription_business_model" TargetMode="External"/><Relationship Id="rId54" Type="http://schemas.openxmlformats.org/officeDocument/2006/relationships/image" Target="media/image35.png"/><Relationship Id="rId70" Type="http://schemas.openxmlformats.org/officeDocument/2006/relationships/image" Target="media/image42.png"/><Relationship Id="rId75" Type="http://schemas.openxmlformats.org/officeDocument/2006/relationships/image" Target="cid:image001.png@01D5F6D9.713AC230" TargetMode="External"/><Relationship Id="rId91" Type="http://schemas.openxmlformats.org/officeDocument/2006/relationships/image" Target="media/image54.png"/><Relationship Id="rId96" Type="http://schemas.openxmlformats.org/officeDocument/2006/relationships/diagramQuickStyle" Target="diagrams/quickStyle2.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8.png"/><Relationship Id="rId28" Type="http://schemas.openxmlformats.org/officeDocument/2006/relationships/image" Target="media/image13.png"/><Relationship Id="rId49" Type="http://schemas.openxmlformats.org/officeDocument/2006/relationships/image" Target="media/image31.jpeg"/><Relationship Id="rId114" Type="http://schemas.openxmlformats.org/officeDocument/2006/relationships/diagramData" Target="diagrams/data4.xml"/><Relationship Id="rId119" Type="http://schemas.openxmlformats.org/officeDocument/2006/relationships/hyperlink" Target="http://www.valuing-your-talent-framework.com/framework-detail.html" TargetMode="External"/><Relationship Id="rId44" Type="http://schemas.openxmlformats.org/officeDocument/2006/relationships/image" Target="media/image26.png"/><Relationship Id="rId60" Type="http://schemas.openxmlformats.org/officeDocument/2006/relationships/image" Target="media/image39.png"/><Relationship Id="rId65" Type="http://schemas.openxmlformats.org/officeDocument/2006/relationships/hyperlink" Target="https://www.pybhealth.com/" TargetMode="External"/><Relationship Id="rId81" Type="http://schemas.openxmlformats.org/officeDocument/2006/relationships/image" Target="media/image48.png"/><Relationship Id="rId86" Type="http://schemas.openxmlformats.org/officeDocument/2006/relationships/diagramQuickStyle" Target="diagrams/quickStyle1.xml"/><Relationship Id="rId130" Type="http://schemas.openxmlformats.org/officeDocument/2006/relationships/hyperlink" Target="https://en.wikipedia.org/wiki/Microsoft" TargetMode="External"/><Relationship Id="rId135" Type="http://schemas.openxmlformats.org/officeDocument/2006/relationships/header" Target="header7.xml"/><Relationship Id="rId13" Type="http://schemas.openxmlformats.org/officeDocument/2006/relationships/footer" Target="footer1.xml"/><Relationship Id="rId18" Type="http://schemas.openxmlformats.org/officeDocument/2006/relationships/header" Target="header3.xml"/><Relationship Id="rId39" Type="http://schemas.openxmlformats.org/officeDocument/2006/relationships/hyperlink" Target="http://www.ourcwmtaf.wales/SharedFiles/Download.aspx?pageid=286&amp;mid=613&amp;fileid=210" TargetMode="External"/><Relationship Id="rId109" Type="http://schemas.openxmlformats.org/officeDocument/2006/relationships/diagramColors" Target="diagrams/colors3.xml"/><Relationship Id="rId34" Type="http://schemas.openxmlformats.org/officeDocument/2006/relationships/image" Target="media/image18.png"/><Relationship Id="rId50" Type="http://schemas.openxmlformats.org/officeDocument/2006/relationships/image" Target="media/image32.jpeg"/><Relationship Id="rId55" Type="http://schemas.openxmlformats.org/officeDocument/2006/relationships/hyperlink" Target="http://www.wales.nhs.uk/sitesplus/888/news/41957" TargetMode="External"/><Relationship Id="rId76" Type="http://schemas.openxmlformats.org/officeDocument/2006/relationships/image" Target="media/image45.png"/><Relationship Id="rId97" Type="http://schemas.openxmlformats.org/officeDocument/2006/relationships/diagramColors" Target="diagrams/colors2.xml"/><Relationship Id="rId104" Type="http://schemas.openxmlformats.org/officeDocument/2006/relationships/package" Target="embeddings/Microsoft_PowerPoint_Slide1.sldx"/><Relationship Id="rId120" Type="http://schemas.openxmlformats.org/officeDocument/2006/relationships/image" Target="media/image65.png"/><Relationship Id="rId125" Type="http://schemas.openxmlformats.org/officeDocument/2006/relationships/image" Target="media/image69.emf"/><Relationship Id="rId7" Type="http://schemas.openxmlformats.org/officeDocument/2006/relationships/endnotes" Target="endnotes.xml"/><Relationship Id="rId71" Type="http://schemas.openxmlformats.org/officeDocument/2006/relationships/image" Target="cid:image002.png@01D5F30D.7E73F270" TargetMode="External"/><Relationship Id="rId92" Type="http://schemas.openxmlformats.org/officeDocument/2006/relationships/image" Target="media/image55.png"/><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9.png"/><Relationship Id="rId40" Type="http://schemas.openxmlformats.org/officeDocument/2006/relationships/hyperlink" Target="https://www.bridgend.gov.uk/media/3657/bridgend-wellbeing-bps-plan-e-0518.pdf" TargetMode="External"/><Relationship Id="rId45" Type="http://schemas.openxmlformats.org/officeDocument/2006/relationships/image" Target="media/image27.png"/><Relationship Id="rId66" Type="http://schemas.openxmlformats.org/officeDocument/2006/relationships/hyperlink" Target="https://www.pybhealth.com/" TargetMode="External"/><Relationship Id="rId87" Type="http://schemas.openxmlformats.org/officeDocument/2006/relationships/diagramColors" Target="diagrams/colors1.xml"/><Relationship Id="rId110" Type="http://schemas.microsoft.com/office/2007/relationships/diagramDrawing" Target="diagrams/drawing3.xml"/><Relationship Id="rId115" Type="http://schemas.openxmlformats.org/officeDocument/2006/relationships/diagramLayout" Target="diagrams/layout4.xml"/><Relationship Id="rId131" Type="http://schemas.openxmlformats.org/officeDocument/2006/relationships/hyperlink" Target="https://en.wikipedia.org/wiki/Microsoft_Office" TargetMode="External"/><Relationship Id="rId136" Type="http://schemas.openxmlformats.org/officeDocument/2006/relationships/footer" Target="footer3.xml"/><Relationship Id="rId61" Type="http://schemas.openxmlformats.org/officeDocument/2006/relationships/hyperlink" Target="https://gov.wales/integrated-care-fund-2020-guidance" TargetMode="External"/><Relationship Id="rId82" Type="http://schemas.openxmlformats.org/officeDocument/2006/relationships/image" Target="media/image49.png"/><Relationship Id="rId19" Type="http://schemas.openxmlformats.org/officeDocument/2006/relationships/header" Target="header4.xml"/><Relationship Id="rId14" Type="http://schemas.openxmlformats.org/officeDocument/2006/relationships/image" Target="media/image5.jpeg"/><Relationship Id="rId30" Type="http://schemas.openxmlformats.org/officeDocument/2006/relationships/image" Target="media/image15.png"/><Relationship Id="rId35" Type="http://schemas.openxmlformats.org/officeDocument/2006/relationships/image" Target="media/image19.png"/><Relationship Id="rId56" Type="http://schemas.openxmlformats.org/officeDocument/2006/relationships/image" Target="media/image36.jpeg"/><Relationship Id="rId77" Type="http://schemas.openxmlformats.org/officeDocument/2006/relationships/chart" Target="charts/chart1.xml"/><Relationship Id="rId100" Type="http://schemas.openxmlformats.org/officeDocument/2006/relationships/image" Target="media/image58.png"/><Relationship Id="rId105" Type="http://schemas.openxmlformats.org/officeDocument/2006/relationships/image" Target="media/image62.png"/><Relationship Id="rId126" Type="http://schemas.openxmlformats.org/officeDocument/2006/relationships/image" Target="media/image70.emf"/><Relationship Id="rId8" Type="http://schemas.openxmlformats.org/officeDocument/2006/relationships/image" Target="media/image1.png"/><Relationship Id="rId51" Type="http://schemas.openxmlformats.org/officeDocument/2006/relationships/image" Target="media/image33.jpeg"/><Relationship Id="rId72" Type="http://schemas.openxmlformats.org/officeDocument/2006/relationships/image" Target="media/image43.emf"/><Relationship Id="rId93" Type="http://schemas.openxmlformats.org/officeDocument/2006/relationships/image" Target="media/image56.png"/><Relationship Id="rId98" Type="http://schemas.microsoft.com/office/2007/relationships/diagramDrawing" Target="diagrams/drawing2.xml"/><Relationship Id="rId121" Type="http://schemas.openxmlformats.org/officeDocument/2006/relationships/image" Target="media/image66.png"/><Relationship Id="rId3" Type="http://schemas.openxmlformats.org/officeDocument/2006/relationships/styles" Target="styles.xml"/><Relationship Id="rId25" Type="http://schemas.openxmlformats.org/officeDocument/2006/relationships/image" Target="media/image10.png"/><Relationship Id="rId46" Type="http://schemas.openxmlformats.org/officeDocument/2006/relationships/image" Target="media/image28.png"/><Relationship Id="rId67" Type="http://schemas.openxmlformats.org/officeDocument/2006/relationships/image" Target="media/image40.png"/><Relationship Id="rId116" Type="http://schemas.openxmlformats.org/officeDocument/2006/relationships/diagramQuickStyle" Target="diagrams/quickStyle4.xml"/><Relationship Id="rId137" Type="http://schemas.openxmlformats.org/officeDocument/2006/relationships/fontTable" Target="fontTable.xml"/><Relationship Id="rId20" Type="http://schemas.openxmlformats.org/officeDocument/2006/relationships/footer" Target="footer2.xml"/><Relationship Id="rId41" Type="http://schemas.openxmlformats.org/officeDocument/2006/relationships/image" Target="media/image23.png"/><Relationship Id="rId62" Type="http://schemas.openxmlformats.org/officeDocument/2006/relationships/hyperlink" Target="https://gov.wales/sites/default/files/publications/2019-10/wales-crisis-care-concordat-national-action-plan-2019-2022.pdf" TargetMode="External"/><Relationship Id="rId83" Type="http://schemas.openxmlformats.org/officeDocument/2006/relationships/image" Target="media/image50.jpg"/><Relationship Id="rId88" Type="http://schemas.microsoft.com/office/2007/relationships/diagramDrawing" Target="diagrams/drawing1.xml"/><Relationship Id="rId111" Type="http://schemas.openxmlformats.org/officeDocument/2006/relationships/image" Target="media/image63.png"/><Relationship Id="rId132" Type="http://schemas.openxmlformats.org/officeDocument/2006/relationships/image" Target="media/image73.emf"/><Relationship Id="rId15" Type="http://schemas.openxmlformats.org/officeDocument/2006/relationships/image" Target="media/image6.JPG"/><Relationship Id="rId36" Type="http://schemas.openxmlformats.org/officeDocument/2006/relationships/image" Target="media/image20.png"/><Relationship Id="rId57" Type="http://schemas.openxmlformats.org/officeDocument/2006/relationships/hyperlink" Target="http://cwmtafmorgannwg.wales/Docs/Social%20Services%20and%20Well-being%20Area%20Plan/RPB%20Annual%20Report%20-%20Version%203.pdf" TargetMode="External"/><Relationship Id="rId106" Type="http://schemas.openxmlformats.org/officeDocument/2006/relationships/diagramData" Target="diagrams/data3.xml"/><Relationship Id="rId127" Type="http://schemas.openxmlformats.org/officeDocument/2006/relationships/image" Target="media/image71.emf"/><Relationship Id="rId10" Type="http://schemas.openxmlformats.org/officeDocument/2006/relationships/image" Target="media/image3.png"/><Relationship Id="rId31" Type="http://schemas.openxmlformats.org/officeDocument/2006/relationships/hyperlink" Target="http://cwmtaf.wales/Docs/Annual%20Reports/42403%20PHW%20Fifth%20Wave%20Annual%20Report%20FINAL%20ENGLISH%2020170920.pdf" TargetMode="External"/><Relationship Id="rId52" Type="http://schemas.openxmlformats.org/officeDocument/2006/relationships/hyperlink" Target="http://cwmtaf.wales/Docs/Annual%20Reports/42403%20PHW%20Fifth%20Wave%20Annual%20Report%20FINAL%20ENGLISH%2020170920.pdf" TargetMode="External"/><Relationship Id="rId73" Type="http://schemas.openxmlformats.org/officeDocument/2006/relationships/hyperlink" Target="http://cwmtaf.wales/Docs/Plans/Winter%20Plan%202018%20-%2019.pdf" TargetMode="External"/><Relationship Id="rId78" Type="http://schemas.openxmlformats.org/officeDocument/2006/relationships/hyperlink" Target="https://gov.wales/sites/default/files/publications/2019-07/nhs-wales-blood-health-plan.pdf" TargetMode="External"/><Relationship Id="rId94" Type="http://schemas.openxmlformats.org/officeDocument/2006/relationships/diagramData" Target="diagrams/data2.xml"/><Relationship Id="rId99" Type="http://schemas.openxmlformats.org/officeDocument/2006/relationships/image" Target="media/image57.png"/><Relationship Id="rId101" Type="http://schemas.openxmlformats.org/officeDocument/2006/relationships/image" Target="media/image59.png"/><Relationship Id="rId122" Type="http://schemas.openxmlformats.org/officeDocument/2006/relationships/image" Target="cid:image005.png@01D5C228.DB3F3250" TargetMode="Externa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1.png"/><Relationship Id="rId47" Type="http://schemas.openxmlformats.org/officeDocument/2006/relationships/image" Target="media/image29.jpeg"/><Relationship Id="rId68" Type="http://schemas.openxmlformats.org/officeDocument/2006/relationships/image" Target="media/image41.png"/><Relationship Id="rId89" Type="http://schemas.openxmlformats.org/officeDocument/2006/relationships/image" Target="media/image52.png"/><Relationship Id="rId112" Type="http://schemas.openxmlformats.org/officeDocument/2006/relationships/image" Target="media/image64.jpeg"/><Relationship Id="rId133" Type="http://schemas.openxmlformats.org/officeDocument/2006/relationships/header" Target="header5.xml"/></Relationships>
</file>

<file path=word/charts/_rels/chart1.xml.rels><?xml version="1.0" encoding="UTF-8" standalone="yes"?>
<Relationships xmlns="http://schemas.openxmlformats.org/package/2006/relationships"><Relationship Id="rId1" Type="http://schemas.openxmlformats.org/officeDocument/2006/relationships/oleObject" Target="file:///\\7A5B3SRVDFS0002.CYMRU.NHS.UK\fileshare-pch\Business%20and%20Planning\Programme%20Management%20Office\EPVB\Overall%20Programme\Programme%20Development%202019\AD%20meetings\Monitoring\Copy%20of%20IMTP%20EPV%20Programme%2014th%20November.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Scheme</a:t>
            </a:r>
            <a:r>
              <a:rPr lang="en-GB" baseline="0"/>
              <a:t> Analysis By Category</a:t>
            </a:r>
            <a:endParaRPr lang="en-GB"/>
          </a:p>
        </c:rich>
      </c:tx>
      <c:overlay val="0"/>
      <c:spPr>
        <a:noFill/>
        <a:ln w="25400">
          <a:noFill/>
        </a:ln>
      </c:spPr>
    </c:title>
    <c:autoTitleDeleted val="0"/>
    <c:plotArea>
      <c:layout/>
      <c:barChart>
        <c:barDir val="bar"/>
        <c:grouping val="clustered"/>
        <c:varyColors val="0"/>
        <c:ser>
          <c:idx val="0"/>
          <c:order val="0"/>
          <c:spPr>
            <a:solidFill>
              <a:srgbClr val="5B9BD5"/>
            </a:solidFill>
            <a:ln w="25400">
              <a:noFill/>
            </a:ln>
          </c:spPr>
          <c:invertIfNegative val="0"/>
          <c:cat>
            <c:strRef>
              <c:f>Charts!$B$4:$B$13</c:f>
              <c:strCache>
                <c:ptCount val="10"/>
                <c:pt idx="0">
                  <c:v>Reconfiguration or re-design</c:v>
                </c:pt>
                <c:pt idx="1">
                  <c:v>Productivity</c:v>
                </c:pt>
                <c:pt idx="2">
                  <c:v>Workforce management &amp; efficiency (Medical)</c:v>
                </c:pt>
                <c:pt idx="3">
                  <c:v>Workforce management &amp; efficiency (Nursing)</c:v>
                </c:pt>
                <c:pt idx="4">
                  <c:v>Workforce management &amp; efficiency (PCA)</c:v>
                </c:pt>
                <c:pt idx="5">
                  <c:v>Workforce management &amp; efficiency (Other)</c:v>
                </c:pt>
                <c:pt idx="6">
                  <c:v>Non-pay (Procurement)</c:v>
                </c:pt>
                <c:pt idx="7">
                  <c:v>Non-pay (CHC)</c:v>
                </c:pt>
                <c:pt idx="8">
                  <c:v>Non-pay (Prescribing)</c:v>
                </c:pt>
                <c:pt idx="9">
                  <c:v>Non-pay (Other)</c:v>
                </c:pt>
              </c:strCache>
            </c:strRef>
          </c:cat>
          <c:val>
            <c:numRef>
              <c:f>Charts!$C$4:$C$13</c:f>
              <c:numCache>
                <c:formatCode>General</c:formatCode>
                <c:ptCount val="10"/>
                <c:pt idx="0">
                  <c:v>26</c:v>
                </c:pt>
                <c:pt idx="1">
                  <c:v>18</c:v>
                </c:pt>
                <c:pt idx="2">
                  <c:v>10</c:v>
                </c:pt>
                <c:pt idx="3">
                  <c:v>7</c:v>
                </c:pt>
                <c:pt idx="4">
                  <c:v>7</c:v>
                </c:pt>
                <c:pt idx="5">
                  <c:v>3</c:v>
                </c:pt>
                <c:pt idx="6">
                  <c:v>5</c:v>
                </c:pt>
                <c:pt idx="7">
                  <c:v>2</c:v>
                </c:pt>
                <c:pt idx="8">
                  <c:v>1</c:v>
                </c:pt>
                <c:pt idx="9">
                  <c:v>2</c:v>
                </c:pt>
              </c:numCache>
            </c:numRef>
          </c:val>
        </c:ser>
        <c:dLbls>
          <c:showLegendKey val="0"/>
          <c:showVal val="0"/>
          <c:showCatName val="0"/>
          <c:showSerName val="0"/>
          <c:showPercent val="0"/>
          <c:showBubbleSize val="0"/>
        </c:dLbls>
        <c:gapWidth val="182"/>
        <c:axId val="-469344176"/>
        <c:axId val="-338835104"/>
      </c:barChart>
      <c:catAx>
        <c:axId val="-4693441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8835104"/>
        <c:crosses val="autoZero"/>
        <c:auto val="1"/>
        <c:lblAlgn val="ctr"/>
        <c:lblOffset val="100"/>
        <c:noMultiLvlLbl val="0"/>
      </c:catAx>
      <c:valAx>
        <c:axId val="-3388351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344176"/>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diagrams/_rels/data1.xml.rels><?xml version="1.0" encoding="UTF-8" standalone="yes"?>
<Relationships xmlns="http://schemas.openxmlformats.org/package/2006/relationships"><Relationship Id="rId1" Type="http://schemas.openxmlformats.org/officeDocument/2006/relationships/image" Target="../media/image51.png"/></Relationships>
</file>

<file path=word/diagrams/_rels/data2.xml.rels><?xml version="1.0" encoding="UTF-8" standalone="yes"?>
<Relationships xmlns="http://schemas.openxmlformats.org/package/2006/relationships"><Relationship Id="rId1" Type="http://schemas.openxmlformats.org/officeDocument/2006/relationships/image" Target="../media/image51.png"/></Relationships>
</file>

<file path=word/diagrams/_rels/data3.xml.rels><?xml version="1.0" encoding="UTF-8" standalone="yes"?>
<Relationships xmlns="http://schemas.openxmlformats.org/package/2006/relationships"><Relationship Id="rId1" Type="http://schemas.openxmlformats.org/officeDocument/2006/relationships/image" Target="../media/image51.png"/></Relationships>
</file>

<file path=word/diagrams/_rels/data4.xml.rels><?xml version="1.0" encoding="UTF-8" standalone="yes"?>
<Relationships xmlns="http://schemas.openxmlformats.org/package/2006/relationships"><Relationship Id="rId1" Type="http://schemas.openxmlformats.org/officeDocument/2006/relationships/image" Target="../media/image51.png"/></Relationships>
</file>

<file path=word/diagrams/_rels/drawing1.xml.rels><?xml version="1.0" encoding="UTF-8" standalone="yes"?>
<Relationships xmlns="http://schemas.openxmlformats.org/package/2006/relationships"><Relationship Id="rId1" Type="http://schemas.openxmlformats.org/officeDocument/2006/relationships/image" Target="../media/image51.png"/></Relationships>
</file>

<file path=word/diagrams/_rels/drawing2.xml.rels><?xml version="1.0" encoding="UTF-8" standalone="yes"?>
<Relationships xmlns="http://schemas.openxmlformats.org/package/2006/relationships"><Relationship Id="rId1" Type="http://schemas.openxmlformats.org/officeDocument/2006/relationships/image" Target="../media/image51.png"/></Relationships>
</file>

<file path=word/diagrams/_rels/drawing3.xml.rels><?xml version="1.0" encoding="UTF-8" standalone="yes"?>
<Relationships xmlns="http://schemas.openxmlformats.org/package/2006/relationships"><Relationship Id="rId1" Type="http://schemas.openxmlformats.org/officeDocument/2006/relationships/image" Target="../media/image51.png"/></Relationships>
</file>

<file path=word/diagrams/_rels/drawing4.xml.rels><?xml version="1.0" encoding="UTF-8" standalone="yes"?>
<Relationships xmlns="http://schemas.openxmlformats.org/package/2006/relationships"><Relationship Id="rId1" Type="http://schemas.openxmlformats.org/officeDocument/2006/relationships/image" Target="../media/image51.png"/></Relationships>
</file>

<file path=word/diagrams/colors1.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4_5">
  <dgm:title val=""/>
  <dgm:desc val=""/>
  <dgm:catLst>
    <dgm:cat type="accent4" pri="11500"/>
  </dgm:catLst>
  <dgm:styleLbl name="node0">
    <dgm:fillClrLst meth="cycle">
      <a:schemeClr val="accent4">
        <a:alpha val="80000"/>
      </a:schemeClr>
    </dgm:fillClrLst>
    <dgm:linClrLst meth="repeat">
      <a:schemeClr val="lt1"/>
    </dgm:linClrLst>
    <dgm:effectClrLst/>
    <dgm:txLinClrLst/>
    <dgm:txFillClrLst/>
    <dgm:txEffectClrLst/>
  </dgm:styleLbl>
  <dgm:styleLbl name="node1">
    <dgm:fillClrLst>
      <a:schemeClr val="accent4">
        <a:alpha val="90000"/>
      </a:schemeClr>
      <a:schemeClr val="accent4">
        <a:alpha val="50000"/>
      </a:schemeClr>
    </dgm:fillClrLst>
    <dgm:linClrLst meth="repeat">
      <a:schemeClr val="lt1"/>
    </dgm:linClrLst>
    <dgm:effectClrLst/>
    <dgm:txLinClrLst/>
    <dgm:txFillClrLst/>
    <dgm:txEffectClrLst/>
  </dgm:styleLbl>
  <dgm:styleLbl name="alignNode1">
    <dgm:fillClrLst>
      <a:schemeClr val="accent4">
        <a:alpha val="90000"/>
      </a:schemeClr>
      <a:schemeClr val="accent4">
        <a:alpha val="50000"/>
      </a:schemeClr>
    </dgm:fillClrLst>
    <dgm:linClrLst>
      <a:schemeClr val="accent4">
        <a:alpha val="90000"/>
      </a:schemeClr>
      <a:schemeClr val="accent4">
        <a:alpha val="50000"/>
      </a:schemeClr>
    </dgm:linClrLst>
    <dgm:effectClrLst/>
    <dgm:txLinClrLst/>
    <dgm:txFillClrLst/>
    <dgm:txEffectClrLst/>
  </dgm:styleLbl>
  <dgm:styleLbl name="lnNode1">
    <dgm:fillClrLst>
      <a:schemeClr val="accent4">
        <a:shade val="90000"/>
      </a:schemeClr>
      <a:schemeClr val="accent4">
        <a:alpha val="50000"/>
        <a:tint val="50000"/>
      </a:schemeClr>
    </dgm:fillClrLst>
    <dgm:linClrLst meth="repeat">
      <a:schemeClr val="lt1"/>
    </dgm:linClrLst>
    <dgm:effectClrLst/>
    <dgm:txLinClrLst/>
    <dgm:txFillClrLst/>
    <dgm:txEffectClrLst/>
  </dgm:styleLbl>
  <dgm:styleLbl name="vennNode1">
    <dgm:fillClrLst>
      <a:schemeClr val="accent4">
        <a:shade val="80000"/>
        <a:alpha val="50000"/>
      </a:schemeClr>
      <a:schemeClr val="accent4">
        <a:alpha val="80000"/>
      </a:schemeClr>
    </dgm:fillClrLst>
    <dgm:linClrLst meth="repeat">
      <a:schemeClr val="lt1"/>
    </dgm:linClrLst>
    <dgm:effectClrLst/>
    <dgm:txLinClrLst/>
    <dgm:txFillClrLst/>
    <dgm:txEffectClrLst/>
  </dgm:styleLbl>
  <dgm:styleLbl name="node2">
    <dgm:fillClrLst>
      <a:schemeClr val="accent4">
        <a:alpha val="70000"/>
      </a:schemeClr>
    </dgm:fillClrLst>
    <dgm:linClrLst meth="repeat">
      <a:schemeClr val="lt1"/>
    </dgm:linClrLst>
    <dgm:effectClrLst/>
    <dgm:txLinClrLst/>
    <dgm:txFillClrLst/>
    <dgm:txEffectClrLst/>
  </dgm:styleLbl>
  <dgm:styleLbl name="node3">
    <dgm:fillClrLst>
      <a:schemeClr val="accent4">
        <a:alpha val="50000"/>
      </a:schemeClr>
    </dgm:fillClrLst>
    <dgm:linClrLst meth="repeat">
      <a:schemeClr val="lt1"/>
    </dgm:linClrLst>
    <dgm:effectClrLst/>
    <dgm:txLinClrLst/>
    <dgm:txFillClrLst/>
    <dgm:txEffectClrLst/>
  </dgm:styleLbl>
  <dgm:styleLbl name="node4">
    <dgm:fillClrLst>
      <a:schemeClr val="accent4">
        <a:alpha val="30000"/>
      </a:schemeClr>
    </dgm:fillClrLst>
    <dgm:linClrLst meth="repeat">
      <a:schemeClr val="lt1"/>
    </dgm:linClrLst>
    <dgm:effectClrLst/>
    <dgm:txLinClrLst/>
    <dgm:txFillClrLst/>
    <dgm:txEffectClrLst/>
  </dgm:styleLbl>
  <dgm:styleLbl name="fgImgPlace1">
    <dgm:fillClrLst>
      <a:schemeClr val="accent4">
        <a:tint val="50000"/>
        <a:alpha val="90000"/>
      </a:schemeClr>
      <a:schemeClr val="accent4">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fg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bg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sibTrans1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alpha val="90000"/>
      </a:schemeClr>
    </dgm:fillClrLst>
    <dgm:linClrLst meth="repeat">
      <a:schemeClr val="lt1"/>
    </dgm:linClrLst>
    <dgm:effectClrLst/>
    <dgm:txLinClrLst/>
    <dgm:txFillClrLst/>
    <dgm:txEffectClrLst/>
  </dgm:styleLbl>
  <dgm:styleLbl name="asst1">
    <dgm:fillClrLst meth="repeat">
      <a:schemeClr val="accent4">
        <a:alpha val="90000"/>
      </a:schemeClr>
    </dgm:fillClrLst>
    <dgm:linClrLst meth="repeat">
      <a:schemeClr val="lt1"/>
    </dgm:linClrLst>
    <dgm:effectClrLst/>
    <dgm:txLinClrLst/>
    <dgm:txFillClrLst/>
    <dgm:txEffectClrLst/>
  </dgm:styleLbl>
  <dgm:styleLbl name="asst2">
    <dgm:fillClrLst>
      <a:schemeClr val="accent4">
        <a:alpha val="90000"/>
      </a:schemeClr>
    </dgm:fillClrLst>
    <dgm:linClrLst meth="repeat">
      <a:schemeClr val="lt1"/>
    </dgm:linClrLst>
    <dgm:effectClrLst/>
    <dgm:txLinClrLst/>
    <dgm:txFillClrLst/>
    <dgm:txEffectClrLst/>
  </dgm:styleLbl>
  <dgm:styleLbl name="asst3">
    <dgm:fillClrLst>
      <a:schemeClr val="accent4">
        <a:alpha val="70000"/>
      </a:schemeClr>
    </dgm:fillClrLst>
    <dgm:linClrLst meth="repeat">
      <a:schemeClr val="lt1"/>
    </dgm:linClrLst>
    <dgm:effectClrLst/>
    <dgm:txLinClrLst/>
    <dgm:txFillClrLst/>
    <dgm:txEffectClrLst/>
  </dgm:styleLbl>
  <dgm:styleLbl name="asst4">
    <dgm:fillClrLst>
      <a:schemeClr val="accent4">
        <a:alpha val="50000"/>
      </a:schemeClr>
    </dgm:fillClrLst>
    <dgm:linClrLst meth="repeat">
      <a:schemeClr val="lt1"/>
    </dgm:linClrLst>
    <dgm:effectClrLst/>
    <dgm:txLinClrLst/>
    <dgm:txFillClrLst/>
    <dgm:txEffectClrLst/>
  </dgm:styleLbl>
  <dgm:styleLbl name="parChTrans2D1">
    <dgm:fillClrLst meth="repeat">
      <a:schemeClr val="accent4">
        <a:shade val="8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4">
        <a:alpha val="90000"/>
      </a:schemeClr>
      <a:schemeClr val="accent4">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a:schemeClr val="accent4">
        <a:alpha val="90000"/>
        <a:tint val="40000"/>
      </a:schemeClr>
      <a:schemeClr val="accent4">
        <a:alpha val="5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4CFD9A-B6F4-4E5C-BB03-D4AF4795213E}" type="doc">
      <dgm:prSet loTypeId="urn:microsoft.com/office/officeart/2005/8/layout/vList4" loCatId="picture" qsTypeId="urn:microsoft.com/office/officeart/2005/8/quickstyle/simple3" qsCatId="simple" csTypeId="urn:microsoft.com/office/officeart/2005/8/colors/accent5_2" csCatId="accent5" phldr="1"/>
      <dgm:spPr/>
      <dgm:t>
        <a:bodyPr/>
        <a:lstStyle/>
        <a:p>
          <a:endParaRPr lang="en-GB"/>
        </a:p>
      </dgm:t>
    </dgm:pt>
    <dgm:pt modelId="{D91C0C43-27B0-46BC-8B3B-F135A7A5C4B3}">
      <dgm:prSet phldrT="[Text]"/>
      <dgm:spPr>
        <a:xfrm>
          <a:off x="0" y="0"/>
          <a:ext cx="5756910" cy="881380"/>
        </a:xfrm>
        <a:solidFill>
          <a:schemeClr val="accent1">
            <a:lumMod val="20000"/>
            <a:lumOff val="80000"/>
          </a:schemeClr>
        </a:solidFill>
        <a:ln>
          <a:solidFill>
            <a:schemeClr val="accent1">
              <a:lumMod val="20000"/>
              <a:lumOff val="80000"/>
            </a:schemeClr>
          </a:solidFill>
        </a:ln>
      </dgm:spPr>
      <dgm:t>
        <a:bodyPr/>
        <a:lstStyle/>
        <a:p>
          <a:endParaRPr lang="en-GB">
            <a:solidFill>
              <a:sysClr val="window" lastClr="FFFFFF"/>
            </a:solidFill>
            <a:latin typeface="Calibri" panose="020F0502020204030204"/>
            <a:ea typeface="+mn-ea"/>
            <a:cs typeface="+mn-cs"/>
          </a:endParaRPr>
        </a:p>
      </dgm:t>
    </dgm:pt>
    <dgm:pt modelId="{6EC30BAE-2C94-4101-9D18-AE6FF68A5CB0}">
      <dgm:prSet phldrT="[Text]"/>
      <dgm:spPr>
        <a:xfrm>
          <a:off x="0" y="0"/>
          <a:ext cx="5756910" cy="881380"/>
        </a:xfrm>
        <a:solidFill>
          <a:schemeClr val="accent1">
            <a:lumMod val="20000"/>
            <a:lumOff val="80000"/>
          </a:schemeClr>
        </a:solidFill>
        <a:ln>
          <a:solidFill>
            <a:schemeClr val="accent1">
              <a:lumMod val="20000"/>
              <a:lumOff val="80000"/>
            </a:schemeClr>
          </a:solidFill>
        </a:ln>
      </dgm:spPr>
      <dgm:t>
        <a:bodyPr/>
        <a:lstStyle/>
        <a:p>
          <a:endParaRPr lang="en-GB">
            <a:solidFill>
              <a:sysClr val="window" lastClr="FFFFFF"/>
            </a:solidFill>
            <a:latin typeface="Calibri" panose="020F0502020204030204"/>
            <a:ea typeface="+mn-ea"/>
            <a:cs typeface="+mn-cs"/>
          </a:endParaRPr>
        </a:p>
      </dgm:t>
    </dgm:pt>
    <dgm:pt modelId="{18D71B48-4B39-46DF-BDC8-9F37B782574D}">
      <dgm:prSet phldrT="[Text]"/>
      <dgm:spPr>
        <a:xfrm>
          <a:off x="0" y="0"/>
          <a:ext cx="5756910" cy="881380"/>
        </a:xfrm>
        <a:solidFill>
          <a:schemeClr val="accent1">
            <a:lumMod val="20000"/>
            <a:lumOff val="80000"/>
          </a:schemeClr>
        </a:solidFill>
        <a:ln>
          <a:solidFill>
            <a:schemeClr val="accent1">
              <a:lumMod val="20000"/>
              <a:lumOff val="80000"/>
            </a:schemeClr>
          </a:solidFill>
        </a:ln>
      </dgm:spPr>
      <dgm:t>
        <a:bodyPr/>
        <a:lstStyle/>
        <a:p>
          <a:endParaRPr lang="en-GB">
            <a:solidFill>
              <a:sysClr val="window" lastClr="FFFFFF"/>
            </a:solidFill>
            <a:latin typeface="Calibri" panose="020F0502020204030204"/>
            <a:ea typeface="+mn-ea"/>
            <a:cs typeface="+mn-cs"/>
          </a:endParaRPr>
        </a:p>
      </dgm:t>
    </dgm:pt>
    <dgm:pt modelId="{3BF7CBAA-C6B7-4D02-A2D6-3A2E86F592F8}" type="sibTrans" cxnId="{FC204AFD-8462-4FF2-A698-3D75FE3B32C3}">
      <dgm:prSet/>
      <dgm:spPr/>
      <dgm:t>
        <a:bodyPr/>
        <a:lstStyle/>
        <a:p>
          <a:endParaRPr lang="en-GB"/>
        </a:p>
      </dgm:t>
    </dgm:pt>
    <dgm:pt modelId="{4B92FB9B-8A98-4C7E-8DA4-24DB135C6A40}" type="parTrans" cxnId="{FC204AFD-8462-4FF2-A698-3D75FE3B32C3}">
      <dgm:prSet/>
      <dgm:spPr/>
      <dgm:t>
        <a:bodyPr/>
        <a:lstStyle/>
        <a:p>
          <a:endParaRPr lang="en-GB"/>
        </a:p>
      </dgm:t>
    </dgm:pt>
    <dgm:pt modelId="{C4619D34-8050-4C95-BF02-86516B599865}" type="sibTrans" cxnId="{E6CB9B41-6AA9-4C6B-B931-94CDBF25170A}">
      <dgm:prSet/>
      <dgm:spPr/>
      <dgm:t>
        <a:bodyPr/>
        <a:lstStyle/>
        <a:p>
          <a:endParaRPr lang="en-GB"/>
        </a:p>
      </dgm:t>
    </dgm:pt>
    <dgm:pt modelId="{6571E426-0E3D-4CAF-8C94-86F3B76DA7F4}" type="parTrans" cxnId="{E6CB9B41-6AA9-4C6B-B931-94CDBF25170A}">
      <dgm:prSet/>
      <dgm:spPr/>
      <dgm:t>
        <a:bodyPr/>
        <a:lstStyle/>
        <a:p>
          <a:endParaRPr lang="en-GB"/>
        </a:p>
      </dgm:t>
    </dgm:pt>
    <dgm:pt modelId="{ABF6EDAE-C6AD-42C2-BA37-17C7FE171CE8}" type="sibTrans" cxnId="{211B26EF-73DA-410B-9587-553CEC89F71C}">
      <dgm:prSet/>
      <dgm:spPr/>
      <dgm:t>
        <a:bodyPr/>
        <a:lstStyle/>
        <a:p>
          <a:endParaRPr lang="en-GB"/>
        </a:p>
      </dgm:t>
    </dgm:pt>
    <dgm:pt modelId="{D684D99C-085A-43E6-91E9-06A1EF8BB389}" type="parTrans" cxnId="{211B26EF-73DA-410B-9587-553CEC89F71C}">
      <dgm:prSet/>
      <dgm:spPr/>
      <dgm:t>
        <a:bodyPr/>
        <a:lstStyle/>
        <a:p>
          <a:endParaRPr lang="en-GB"/>
        </a:p>
      </dgm:t>
    </dgm:pt>
    <dgm:pt modelId="{7DD8815F-910D-4A64-A9ED-A036E8A1AF4C}" type="pres">
      <dgm:prSet presAssocID="{D14CFD9A-B6F4-4E5C-BB03-D4AF4795213E}" presName="linear" presStyleCnt="0">
        <dgm:presLayoutVars>
          <dgm:dir/>
          <dgm:resizeHandles val="exact"/>
        </dgm:presLayoutVars>
      </dgm:prSet>
      <dgm:spPr/>
      <dgm:t>
        <a:bodyPr/>
        <a:lstStyle/>
        <a:p>
          <a:endParaRPr lang="en-GB"/>
        </a:p>
      </dgm:t>
    </dgm:pt>
    <dgm:pt modelId="{97A81786-8215-4745-81E3-31F418AFD96C}" type="pres">
      <dgm:prSet presAssocID="{18D71B48-4B39-46DF-BDC8-9F37B782574D}" presName="comp" presStyleCnt="0"/>
      <dgm:spPr/>
      <dgm:t>
        <a:bodyPr/>
        <a:lstStyle/>
        <a:p>
          <a:endParaRPr lang="en-GB"/>
        </a:p>
      </dgm:t>
    </dgm:pt>
    <dgm:pt modelId="{51A4B47B-3153-442A-A5B6-2749A607058F}" type="pres">
      <dgm:prSet presAssocID="{18D71B48-4B39-46DF-BDC8-9F37B782574D}" presName="box" presStyleLbl="node1" presStyleIdx="0" presStyleCnt="1" custLinFactNeighborX="-74" custLinFactNeighborY="-1164"/>
      <dgm:spPr>
        <a:prstGeom prst="roundRect">
          <a:avLst>
            <a:gd name="adj" fmla="val 10000"/>
          </a:avLst>
        </a:prstGeom>
      </dgm:spPr>
      <dgm:t>
        <a:bodyPr/>
        <a:lstStyle/>
        <a:p>
          <a:endParaRPr lang="en-GB"/>
        </a:p>
      </dgm:t>
    </dgm:pt>
    <dgm:pt modelId="{F41DFD0A-300B-4DD7-9382-7E308AE05550}" type="pres">
      <dgm:prSet presAssocID="{18D71B48-4B39-46DF-BDC8-9F37B782574D}" presName="img" presStyleLbl="fgImgPlace1" presStyleIdx="0" presStyleCnt="1" custLinFactNeighborX="-1890" custLinFactNeighborY="1558"/>
      <dgm:spPr>
        <a:xfrm>
          <a:off x="66376" y="99123"/>
          <a:ext cx="1151382" cy="705104"/>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dgm:spPr>
      <dgm:t>
        <a:bodyPr/>
        <a:lstStyle/>
        <a:p>
          <a:endParaRPr lang="en-GB"/>
        </a:p>
      </dgm:t>
    </dgm:pt>
    <dgm:pt modelId="{1C7B07FA-7902-44CF-8DBC-5983A85B9109}" type="pres">
      <dgm:prSet presAssocID="{18D71B48-4B39-46DF-BDC8-9F37B782574D}" presName="text" presStyleLbl="node1" presStyleIdx="0" presStyleCnt="1">
        <dgm:presLayoutVars>
          <dgm:bulletEnabled val="1"/>
        </dgm:presLayoutVars>
      </dgm:prSet>
      <dgm:spPr/>
      <dgm:t>
        <a:bodyPr/>
        <a:lstStyle/>
        <a:p>
          <a:endParaRPr lang="en-GB"/>
        </a:p>
      </dgm:t>
    </dgm:pt>
  </dgm:ptLst>
  <dgm:cxnLst>
    <dgm:cxn modelId="{E6CB9B41-6AA9-4C6B-B931-94CDBF25170A}" srcId="{18D71B48-4B39-46DF-BDC8-9F37B782574D}" destId="{D91C0C43-27B0-46BC-8B3B-F135A7A5C4B3}" srcOrd="1" destOrd="0" parTransId="{6571E426-0E3D-4CAF-8C94-86F3B76DA7F4}" sibTransId="{C4619D34-8050-4C95-BF02-86516B599865}"/>
    <dgm:cxn modelId="{FF7DC259-C58E-4160-A464-D6F26DE8E3C2}" type="presOf" srcId="{D91C0C43-27B0-46BC-8B3B-F135A7A5C4B3}" destId="{1C7B07FA-7902-44CF-8DBC-5983A85B9109}" srcOrd="1" destOrd="2" presId="urn:microsoft.com/office/officeart/2005/8/layout/vList4"/>
    <dgm:cxn modelId="{A31ED534-0165-496C-B335-8810012CEF64}" type="presOf" srcId="{D91C0C43-27B0-46BC-8B3B-F135A7A5C4B3}" destId="{51A4B47B-3153-442A-A5B6-2749A607058F}" srcOrd="0" destOrd="2" presId="urn:microsoft.com/office/officeart/2005/8/layout/vList4"/>
    <dgm:cxn modelId="{FC204AFD-8462-4FF2-A698-3D75FE3B32C3}" srcId="{D14CFD9A-B6F4-4E5C-BB03-D4AF4795213E}" destId="{18D71B48-4B39-46DF-BDC8-9F37B782574D}" srcOrd="0" destOrd="0" parTransId="{4B92FB9B-8A98-4C7E-8DA4-24DB135C6A40}" sibTransId="{3BF7CBAA-C6B7-4D02-A2D6-3A2E86F592F8}"/>
    <dgm:cxn modelId="{78AD9E57-78D6-4F1C-B9A3-85EEEA8EFFC9}" type="presOf" srcId="{D14CFD9A-B6F4-4E5C-BB03-D4AF4795213E}" destId="{7DD8815F-910D-4A64-A9ED-A036E8A1AF4C}" srcOrd="0" destOrd="0" presId="urn:microsoft.com/office/officeart/2005/8/layout/vList4"/>
    <dgm:cxn modelId="{DAA3442E-16D1-4D3A-B9A6-751584BF09A8}" type="presOf" srcId="{18D71B48-4B39-46DF-BDC8-9F37B782574D}" destId="{1C7B07FA-7902-44CF-8DBC-5983A85B9109}" srcOrd="1" destOrd="0" presId="urn:microsoft.com/office/officeart/2005/8/layout/vList4"/>
    <dgm:cxn modelId="{211B26EF-73DA-410B-9587-553CEC89F71C}" srcId="{18D71B48-4B39-46DF-BDC8-9F37B782574D}" destId="{6EC30BAE-2C94-4101-9D18-AE6FF68A5CB0}" srcOrd="0" destOrd="0" parTransId="{D684D99C-085A-43E6-91E9-06A1EF8BB389}" sibTransId="{ABF6EDAE-C6AD-42C2-BA37-17C7FE171CE8}"/>
    <dgm:cxn modelId="{602F6F22-2118-48B0-A0EF-997DE7294712}" type="presOf" srcId="{18D71B48-4B39-46DF-BDC8-9F37B782574D}" destId="{51A4B47B-3153-442A-A5B6-2749A607058F}" srcOrd="0" destOrd="0" presId="urn:microsoft.com/office/officeart/2005/8/layout/vList4"/>
    <dgm:cxn modelId="{6EFF75D5-D830-45CC-822B-E13DACD32CC3}" type="presOf" srcId="{6EC30BAE-2C94-4101-9D18-AE6FF68A5CB0}" destId="{51A4B47B-3153-442A-A5B6-2749A607058F}" srcOrd="0" destOrd="1" presId="urn:microsoft.com/office/officeart/2005/8/layout/vList4"/>
    <dgm:cxn modelId="{59D9CDAA-0831-4A89-828F-E8698FFBF502}" type="presOf" srcId="{6EC30BAE-2C94-4101-9D18-AE6FF68A5CB0}" destId="{1C7B07FA-7902-44CF-8DBC-5983A85B9109}" srcOrd="1" destOrd="1" presId="urn:microsoft.com/office/officeart/2005/8/layout/vList4"/>
    <dgm:cxn modelId="{55CC709E-9A06-4C99-B59E-F6FA8ECC5016}" type="presParOf" srcId="{7DD8815F-910D-4A64-A9ED-A036E8A1AF4C}" destId="{97A81786-8215-4745-81E3-31F418AFD96C}" srcOrd="0" destOrd="0" presId="urn:microsoft.com/office/officeart/2005/8/layout/vList4"/>
    <dgm:cxn modelId="{3FA9EC30-4800-4AB5-8A90-7753CA7A69D1}" type="presParOf" srcId="{97A81786-8215-4745-81E3-31F418AFD96C}" destId="{51A4B47B-3153-442A-A5B6-2749A607058F}" srcOrd="0" destOrd="0" presId="urn:microsoft.com/office/officeart/2005/8/layout/vList4"/>
    <dgm:cxn modelId="{6EC36564-06BF-4561-8A07-7979C4DFD59B}" type="presParOf" srcId="{97A81786-8215-4745-81E3-31F418AFD96C}" destId="{F41DFD0A-300B-4DD7-9382-7E308AE05550}" srcOrd="1" destOrd="0" presId="urn:microsoft.com/office/officeart/2005/8/layout/vList4"/>
    <dgm:cxn modelId="{235650B9-9442-43BD-8CF1-01DA9C5C801C}" type="presParOf" srcId="{97A81786-8215-4745-81E3-31F418AFD96C}" destId="{1C7B07FA-7902-44CF-8DBC-5983A85B9109}" srcOrd="2" destOrd="0" presId="urn:microsoft.com/office/officeart/2005/8/layout/vList4"/>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14CFD9A-B6F4-4E5C-BB03-D4AF4795213E}" type="doc">
      <dgm:prSet loTypeId="urn:microsoft.com/office/officeart/2005/8/layout/vList4" loCatId="picture" qsTypeId="urn:microsoft.com/office/officeart/2005/8/quickstyle/simple1" qsCatId="simple" csTypeId="urn:microsoft.com/office/officeart/2005/8/colors/accent6_5" csCatId="accent6" phldr="1"/>
      <dgm:spPr/>
      <dgm:t>
        <a:bodyPr/>
        <a:lstStyle/>
        <a:p>
          <a:endParaRPr lang="en-GB"/>
        </a:p>
      </dgm:t>
    </dgm:pt>
    <dgm:pt modelId="{D91C0C43-27B0-46BC-8B3B-F135A7A5C4B3}">
      <dgm:prSet phldrT="[Text]">
        <dgm:style>
          <a:lnRef idx="0">
            <a:schemeClr val="accent3"/>
          </a:lnRef>
          <a:fillRef idx="3">
            <a:schemeClr val="accent3"/>
          </a:fillRef>
          <a:effectRef idx="3">
            <a:schemeClr val="accent3"/>
          </a:effectRef>
          <a:fontRef idx="minor">
            <a:schemeClr val="lt1"/>
          </a:fontRef>
        </dgm:style>
      </dgm:prSet>
      <dgm:spPr>
        <a:xfrm>
          <a:off x="0" y="0"/>
          <a:ext cx="5895975" cy="1057275"/>
        </a:xfrm>
      </dgm:spPr>
      <dgm:t>
        <a:bodyPr/>
        <a:lstStyle/>
        <a:p>
          <a:pPr algn="ctr"/>
          <a:endParaRPr lang="en-GB">
            <a:solidFill>
              <a:sysClr val="window" lastClr="FFFFFF"/>
            </a:solidFill>
            <a:latin typeface="Calibri" panose="020F0502020204030204"/>
            <a:ea typeface="+mn-ea"/>
            <a:cs typeface="+mn-cs"/>
          </a:endParaRPr>
        </a:p>
      </dgm:t>
    </dgm:pt>
    <dgm:pt modelId="{6EC30BAE-2C94-4101-9D18-AE6FF68A5CB0}">
      <dgm:prSet phldrT="[Text]">
        <dgm:style>
          <a:lnRef idx="0">
            <a:schemeClr val="accent3"/>
          </a:lnRef>
          <a:fillRef idx="3">
            <a:schemeClr val="accent3"/>
          </a:fillRef>
          <a:effectRef idx="3">
            <a:schemeClr val="accent3"/>
          </a:effectRef>
          <a:fontRef idx="minor">
            <a:schemeClr val="lt1"/>
          </a:fontRef>
        </dgm:style>
      </dgm:prSet>
      <dgm:spPr>
        <a:xfrm>
          <a:off x="0" y="0"/>
          <a:ext cx="5895975" cy="1057275"/>
        </a:xfrm>
      </dgm:spPr>
      <dgm:t>
        <a:bodyPr/>
        <a:lstStyle/>
        <a:p>
          <a:pPr algn="ctr"/>
          <a:endParaRPr lang="en-GB">
            <a:solidFill>
              <a:sysClr val="window" lastClr="FFFFFF"/>
            </a:solidFill>
            <a:latin typeface="Calibri" panose="020F0502020204030204"/>
            <a:ea typeface="+mn-ea"/>
            <a:cs typeface="+mn-cs"/>
          </a:endParaRPr>
        </a:p>
      </dgm:t>
    </dgm:pt>
    <dgm:pt modelId="{18D71B48-4B39-46DF-BDC8-9F37B782574D}">
      <dgm:prSet phldrT="[Text]">
        <dgm:style>
          <a:lnRef idx="0">
            <a:schemeClr val="accent3"/>
          </a:lnRef>
          <a:fillRef idx="3">
            <a:schemeClr val="accent3"/>
          </a:fillRef>
          <a:effectRef idx="3">
            <a:schemeClr val="accent3"/>
          </a:effectRef>
          <a:fontRef idx="minor">
            <a:schemeClr val="lt1"/>
          </a:fontRef>
        </dgm:style>
      </dgm:prSet>
      <dgm:spPr>
        <a:xfrm>
          <a:off x="0" y="0"/>
          <a:ext cx="5895975" cy="1057275"/>
        </a:xfrm>
      </dgm:spPr>
      <dgm:t>
        <a:bodyPr/>
        <a:lstStyle/>
        <a:p>
          <a:pPr algn="ctr"/>
          <a:endParaRPr lang="en-GB">
            <a:solidFill>
              <a:sysClr val="window" lastClr="FFFFFF"/>
            </a:solidFill>
            <a:latin typeface="Calibri" panose="020F0502020204030204"/>
            <a:ea typeface="+mn-ea"/>
            <a:cs typeface="+mn-cs"/>
          </a:endParaRPr>
        </a:p>
      </dgm:t>
    </dgm:pt>
    <dgm:pt modelId="{3BF7CBAA-C6B7-4D02-A2D6-3A2E86F592F8}" type="sibTrans" cxnId="{FC204AFD-8462-4FF2-A698-3D75FE3B32C3}">
      <dgm:prSet/>
      <dgm:spPr/>
      <dgm:t>
        <a:bodyPr/>
        <a:lstStyle/>
        <a:p>
          <a:endParaRPr lang="en-GB"/>
        </a:p>
      </dgm:t>
    </dgm:pt>
    <dgm:pt modelId="{4B92FB9B-8A98-4C7E-8DA4-24DB135C6A40}" type="parTrans" cxnId="{FC204AFD-8462-4FF2-A698-3D75FE3B32C3}">
      <dgm:prSet/>
      <dgm:spPr/>
      <dgm:t>
        <a:bodyPr/>
        <a:lstStyle/>
        <a:p>
          <a:endParaRPr lang="en-GB"/>
        </a:p>
      </dgm:t>
    </dgm:pt>
    <dgm:pt modelId="{C4619D34-8050-4C95-BF02-86516B599865}" type="sibTrans" cxnId="{E6CB9B41-6AA9-4C6B-B931-94CDBF25170A}">
      <dgm:prSet/>
      <dgm:spPr/>
      <dgm:t>
        <a:bodyPr/>
        <a:lstStyle/>
        <a:p>
          <a:endParaRPr lang="en-GB"/>
        </a:p>
      </dgm:t>
    </dgm:pt>
    <dgm:pt modelId="{6571E426-0E3D-4CAF-8C94-86F3B76DA7F4}" type="parTrans" cxnId="{E6CB9B41-6AA9-4C6B-B931-94CDBF25170A}">
      <dgm:prSet/>
      <dgm:spPr/>
      <dgm:t>
        <a:bodyPr/>
        <a:lstStyle/>
        <a:p>
          <a:endParaRPr lang="en-GB"/>
        </a:p>
      </dgm:t>
    </dgm:pt>
    <dgm:pt modelId="{ABF6EDAE-C6AD-42C2-BA37-17C7FE171CE8}" type="sibTrans" cxnId="{211B26EF-73DA-410B-9587-553CEC89F71C}">
      <dgm:prSet/>
      <dgm:spPr/>
      <dgm:t>
        <a:bodyPr/>
        <a:lstStyle/>
        <a:p>
          <a:endParaRPr lang="en-GB"/>
        </a:p>
      </dgm:t>
    </dgm:pt>
    <dgm:pt modelId="{D684D99C-085A-43E6-91E9-06A1EF8BB389}" type="parTrans" cxnId="{211B26EF-73DA-410B-9587-553CEC89F71C}">
      <dgm:prSet/>
      <dgm:spPr/>
      <dgm:t>
        <a:bodyPr/>
        <a:lstStyle/>
        <a:p>
          <a:endParaRPr lang="en-GB"/>
        </a:p>
      </dgm:t>
    </dgm:pt>
    <dgm:pt modelId="{7DD8815F-910D-4A64-A9ED-A036E8A1AF4C}" type="pres">
      <dgm:prSet presAssocID="{D14CFD9A-B6F4-4E5C-BB03-D4AF4795213E}" presName="linear" presStyleCnt="0">
        <dgm:presLayoutVars>
          <dgm:dir/>
          <dgm:resizeHandles val="exact"/>
        </dgm:presLayoutVars>
      </dgm:prSet>
      <dgm:spPr/>
      <dgm:t>
        <a:bodyPr/>
        <a:lstStyle/>
        <a:p>
          <a:endParaRPr lang="en-GB"/>
        </a:p>
      </dgm:t>
    </dgm:pt>
    <dgm:pt modelId="{97A81786-8215-4745-81E3-31F418AFD96C}" type="pres">
      <dgm:prSet presAssocID="{18D71B48-4B39-46DF-BDC8-9F37B782574D}" presName="comp" presStyleCnt="0"/>
      <dgm:spPr/>
      <dgm:t>
        <a:bodyPr/>
        <a:lstStyle/>
        <a:p>
          <a:endParaRPr lang="en-GB"/>
        </a:p>
      </dgm:t>
    </dgm:pt>
    <dgm:pt modelId="{51A4B47B-3153-442A-A5B6-2749A607058F}" type="pres">
      <dgm:prSet presAssocID="{18D71B48-4B39-46DF-BDC8-9F37B782574D}" presName="box" presStyleLbl="node1" presStyleIdx="0" presStyleCnt="1" custLinFactY="-231481" custLinFactNeighborX="7170" custLinFactNeighborY="-300000"/>
      <dgm:spPr>
        <a:prstGeom prst="roundRect">
          <a:avLst>
            <a:gd name="adj" fmla="val 10000"/>
          </a:avLst>
        </a:prstGeom>
      </dgm:spPr>
      <dgm:t>
        <a:bodyPr/>
        <a:lstStyle/>
        <a:p>
          <a:endParaRPr lang="en-GB"/>
        </a:p>
      </dgm:t>
    </dgm:pt>
    <dgm:pt modelId="{F41DFD0A-300B-4DD7-9382-7E308AE05550}" type="pres">
      <dgm:prSet presAssocID="{18D71B48-4B39-46DF-BDC8-9F37B782574D}" presName="img" presStyleLbl="fgImgPlace1" presStyleIdx="0" presStyleCnt="1" custLinFactNeighborX="-1890" custLinFactNeighborY="1558"/>
      <dgm:spPr>
        <a:xfrm>
          <a:off x="105727" y="77409"/>
          <a:ext cx="1179195" cy="845820"/>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dgm:spPr>
      <dgm:t>
        <a:bodyPr/>
        <a:lstStyle/>
        <a:p>
          <a:endParaRPr lang="en-GB"/>
        </a:p>
      </dgm:t>
    </dgm:pt>
    <dgm:pt modelId="{1C7B07FA-7902-44CF-8DBC-5983A85B9109}" type="pres">
      <dgm:prSet presAssocID="{18D71B48-4B39-46DF-BDC8-9F37B782574D}" presName="text" presStyleLbl="node1" presStyleIdx="0" presStyleCnt="1">
        <dgm:presLayoutVars>
          <dgm:bulletEnabled val="1"/>
        </dgm:presLayoutVars>
      </dgm:prSet>
      <dgm:spPr/>
      <dgm:t>
        <a:bodyPr/>
        <a:lstStyle/>
        <a:p>
          <a:endParaRPr lang="en-GB"/>
        </a:p>
      </dgm:t>
    </dgm:pt>
  </dgm:ptLst>
  <dgm:cxnLst>
    <dgm:cxn modelId="{72ECD23F-7BEC-4989-AE57-F580AA166C16}" type="presOf" srcId="{6EC30BAE-2C94-4101-9D18-AE6FF68A5CB0}" destId="{51A4B47B-3153-442A-A5B6-2749A607058F}" srcOrd="0" destOrd="1" presId="urn:microsoft.com/office/officeart/2005/8/layout/vList4"/>
    <dgm:cxn modelId="{E6CB9B41-6AA9-4C6B-B931-94CDBF25170A}" srcId="{18D71B48-4B39-46DF-BDC8-9F37B782574D}" destId="{D91C0C43-27B0-46BC-8B3B-F135A7A5C4B3}" srcOrd="1" destOrd="0" parTransId="{6571E426-0E3D-4CAF-8C94-86F3B76DA7F4}" sibTransId="{C4619D34-8050-4C95-BF02-86516B599865}"/>
    <dgm:cxn modelId="{5EE3A8A4-0BBA-4E90-82CF-83C1E57A5898}" type="presOf" srcId="{6EC30BAE-2C94-4101-9D18-AE6FF68A5CB0}" destId="{1C7B07FA-7902-44CF-8DBC-5983A85B9109}" srcOrd="1" destOrd="1" presId="urn:microsoft.com/office/officeart/2005/8/layout/vList4"/>
    <dgm:cxn modelId="{63495A68-37BF-4FE3-85E8-9A4939DE24CD}" type="presOf" srcId="{D91C0C43-27B0-46BC-8B3B-F135A7A5C4B3}" destId="{51A4B47B-3153-442A-A5B6-2749A607058F}" srcOrd="0" destOrd="2" presId="urn:microsoft.com/office/officeart/2005/8/layout/vList4"/>
    <dgm:cxn modelId="{57BC8595-E770-4C0F-B829-BBB53B081177}" type="presOf" srcId="{18D71B48-4B39-46DF-BDC8-9F37B782574D}" destId="{1C7B07FA-7902-44CF-8DBC-5983A85B9109}" srcOrd="1" destOrd="0" presId="urn:microsoft.com/office/officeart/2005/8/layout/vList4"/>
    <dgm:cxn modelId="{FC204AFD-8462-4FF2-A698-3D75FE3B32C3}" srcId="{D14CFD9A-B6F4-4E5C-BB03-D4AF4795213E}" destId="{18D71B48-4B39-46DF-BDC8-9F37B782574D}" srcOrd="0" destOrd="0" parTransId="{4B92FB9B-8A98-4C7E-8DA4-24DB135C6A40}" sibTransId="{3BF7CBAA-C6B7-4D02-A2D6-3A2E86F592F8}"/>
    <dgm:cxn modelId="{2AEB1409-9490-4D7A-8DAA-25AD521E1BB7}" type="presOf" srcId="{18D71B48-4B39-46DF-BDC8-9F37B782574D}" destId="{51A4B47B-3153-442A-A5B6-2749A607058F}" srcOrd="0" destOrd="0" presId="urn:microsoft.com/office/officeart/2005/8/layout/vList4"/>
    <dgm:cxn modelId="{BF9E6BB0-FA84-468E-9A0C-65794F9C8C83}" type="presOf" srcId="{D14CFD9A-B6F4-4E5C-BB03-D4AF4795213E}" destId="{7DD8815F-910D-4A64-A9ED-A036E8A1AF4C}" srcOrd="0" destOrd="0" presId="urn:microsoft.com/office/officeart/2005/8/layout/vList4"/>
    <dgm:cxn modelId="{8BB1903C-0BDB-493A-AC72-C2BCE606D610}" type="presOf" srcId="{D91C0C43-27B0-46BC-8B3B-F135A7A5C4B3}" destId="{1C7B07FA-7902-44CF-8DBC-5983A85B9109}" srcOrd="1" destOrd="2" presId="urn:microsoft.com/office/officeart/2005/8/layout/vList4"/>
    <dgm:cxn modelId="{211B26EF-73DA-410B-9587-553CEC89F71C}" srcId="{18D71B48-4B39-46DF-BDC8-9F37B782574D}" destId="{6EC30BAE-2C94-4101-9D18-AE6FF68A5CB0}" srcOrd="0" destOrd="0" parTransId="{D684D99C-085A-43E6-91E9-06A1EF8BB389}" sibTransId="{ABF6EDAE-C6AD-42C2-BA37-17C7FE171CE8}"/>
    <dgm:cxn modelId="{4F5A5244-E504-4C8B-B37D-C51C33FC5B46}" type="presParOf" srcId="{7DD8815F-910D-4A64-A9ED-A036E8A1AF4C}" destId="{97A81786-8215-4745-81E3-31F418AFD96C}" srcOrd="0" destOrd="0" presId="urn:microsoft.com/office/officeart/2005/8/layout/vList4"/>
    <dgm:cxn modelId="{01C5B011-54E8-4ED9-8B77-39B949F29B6F}" type="presParOf" srcId="{97A81786-8215-4745-81E3-31F418AFD96C}" destId="{51A4B47B-3153-442A-A5B6-2749A607058F}" srcOrd="0" destOrd="0" presId="urn:microsoft.com/office/officeart/2005/8/layout/vList4"/>
    <dgm:cxn modelId="{25008989-6932-4AF7-8C82-AEA392AD9AEC}" type="presParOf" srcId="{97A81786-8215-4745-81E3-31F418AFD96C}" destId="{F41DFD0A-300B-4DD7-9382-7E308AE05550}" srcOrd="1" destOrd="0" presId="urn:microsoft.com/office/officeart/2005/8/layout/vList4"/>
    <dgm:cxn modelId="{B89DA145-6EF4-4990-9667-948A90F5C740}" type="presParOf" srcId="{97A81786-8215-4745-81E3-31F418AFD96C}" destId="{1C7B07FA-7902-44CF-8DBC-5983A85B9109}" srcOrd="2" destOrd="0" presId="urn:microsoft.com/office/officeart/2005/8/layout/vList4"/>
  </dgm:cxnLst>
  <dgm:bg/>
  <dgm:whole/>
  <dgm:extLst>
    <a:ext uri="http://schemas.microsoft.com/office/drawing/2008/diagram">
      <dsp:dataModelExt xmlns:dsp="http://schemas.microsoft.com/office/drawing/2008/diagram" relId="rId9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14CFD9A-B6F4-4E5C-BB03-D4AF4795213E}" type="doc">
      <dgm:prSet loTypeId="urn:microsoft.com/office/officeart/2005/8/layout/vList4" loCatId="picture" qsTypeId="urn:microsoft.com/office/officeart/2005/8/quickstyle/simple1" qsCatId="simple" csTypeId="urn:microsoft.com/office/officeart/2005/8/colors/accent2_5" csCatId="accent2" phldr="1"/>
      <dgm:spPr/>
      <dgm:t>
        <a:bodyPr/>
        <a:lstStyle/>
        <a:p>
          <a:endParaRPr lang="en-GB"/>
        </a:p>
      </dgm:t>
    </dgm:pt>
    <dgm:pt modelId="{18D71B48-4B39-46DF-BDC8-9F37B782574D}">
      <dgm:prSet phldrT="[Text]">
        <dgm:style>
          <a:lnRef idx="0">
            <a:schemeClr val="accent6"/>
          </a:lnRef>
          <a:fillRef idx="3">
            <a:schemeClr val="accent6"/>
          </a:fillRef>
          <a:effectRef idx="3">
            <a:schemeClr val="accent6"/>
          </a:effectRef>
          <a:fontRef idx="minor">
            <a:schemeClr val="lt1"/>
          </a:fontRef>
        </dgm:style>
      </dgm:prSet>
      <dgm:spPr>
        <a:xfrm>
          <a:off x="19043" y="0"/>
          <a:ext cx="5857887" cy="1038222"/>
        </a:xfrm>
      </dgm:spPr>
      <dgm:t>
        <a:bodyPr/>
        <a:lstStyle/>
        <a:p>
          <a:pPr algn="r"/>
          <a:endParaRPr lang="en-GB">
            <a:solidFill>
              <a:sysClr val="window" lastClr="FFFFFF"/>
            </a:solidFill>
            <a:latin typeface="Calibri" panose="020F0502020204030204"/>
            <a:ea typeface="+mn-ea"/>
            <a:cs typeface="+mn-cs"/>
          </a:endParaRPr>
        </a:p>
      </dgm:t>
    </dgm:pt>
    <dgm:pt modelId="{4B92FB9B-8A98-4C7E-8DA4-24DB135C6A40}" type="parTrans" cxnId="{FC204AFD-8462-4FF2-A698-3D75FE3B32C3}">
      <dgm:prSet/>
      <dgm:spPr/>
      <dgm:t>
        <a:bodyPr/>
        <a:lstStyle/>
        <a:p>
          <a:endParaRPr lang="en-GB"/>
        </a:p>
      </dgm:t>
    </dgm:pt>
    <dgm:pt modelId="{3BF7CBAA-C6B7-4D02-A2D6-3A2E86F592F8}" type="sibTrans" cxnId="{FC204AFD-8462-4FF2-A698-3D75FE3B32C3}">
      <dgm:prSet/>
      <dgm:spPr/>
      <dgm:t>
        <a:bodyPr/>
        <a:lstStyle/>
        <a:p>
          <a:endParaRPr lang="en-GB"/>
        </a:p>
      </dgm:t>
    </dgm:pt>
    <dgm:pt modelId="{6EC30BAE-2C94-4101-9D18-AE6FF68A5CB0}">
      <dgm:prSet phldrT="[Text]">
        <dgm:style>
          <a:lnRef idx="0">
            <a:schemeClr val="accent6"/>
          </a:lnRef>
          <a:fillRef idx="3">
            <a:schemeClr val="accent6"/>
          </a:fillRef>
          <a:effectRef idx="3">
            <a:schemeClr val="accent6"/>
          </a:effectRef>
          <a:fontRef idx="minor">
            <a:schemeClr val="lt1"/>
          </a:fontRef>
        </dgm:style>
      </dgm:prSet>
      <dgm:spPr>
        <a:xfrm>
          <a:off x="19043" y="0"/>
          <a:ext cx="5857887" cy="1038222"/>
        </a:xfrm>
      </dgm:spPr>
      <dgm:t>
        <a:bodyPr/>
        <a:lstStyle/>
        <a:p>
          <a:pPr algn="r"/>
          <a:endParaRPr lang="en-GB">
            <a:solidFill>
              <a:sysClr val="window" lastClr="FFFFFF"/>
            </a:solidFill>
            <a:latin typeface="Calibri" panose="020F0502020204030204"/>
            <a:ea typeface="+mn-ea"/>
            <a:cs typeface="+mn-cs"/>
          </a:endParaRPr>
        </a:p>
      </dgm:t>
    </dgm:pt>
    <dgm:pt modelId="{D684D99C-085A-43E6-91E9-06A1EF8BB389}" type="parTrans" cxnId="{211B26EF-73DA-410B-9587-553CEC89F71C}">
      <dgm:prSet/>
      <dgm:spPr/>
      <dgm:t>
        <a:bodyPr/>
        <a:lstStyle/>
        <a:p>
          <a:endParaRPr lang="en-GB"/>
        </a:p>
      </dgm:t>
    </dgm:pt>
    <dgm:pt modelId="{ABF6EDAE-C6AD-42C2-BA37-17C7FE171CE8}" type="sibTrans" cxnId="{211B26EF-73DA-410B-9587-553CEC89F71C}">
      <dgm:prSet/>
      <dgm:spPr/>
      <dgm:t>
        <a:bodyPr/>
        <a:lstStyle/>
        <a:p>
          <a:endParaRPr lang="en-GB"/>
        </a:p>
      </dgm:t>
    </dgm:pt>
    <dgm:pt modelId="{D91C0C43-27B0-46BC-8B3B-F135A7A5C4B3}">
      <dgm:prSet phldrT="[Text]">
        <dgm:style>
          <a:lnRef idx="0">
            <a:schemeClr val="accent6"/>
          </a:lnRef>
          <a:fillRef idx="3">
            <a:schemeClr val="accent6"/>
          </a:fillRef>
          <a:effectRef idx="3">
            <a:schemeClr val="accent6"/>
          </a:effectRef>
          <a:fontRef idx="minor">
            <a:schemeClr val="lt1"/>
          </a:fontRef>
        </dgm:style>
      </dgm:prSet>
      <dgm:spPr>
        <a:xfrm>
          <a:off x="19043" y="0"/>
          <a:ext cx="5857887" cy="1038222"/>
        </a:xfrm>
      </dgm:spPr>
      <dgm:t>
        <a:bodyPr/>
        <a:lstStyle/>
        <a:p>
          <a:pPr algn="r"/>
          <a:endParaRPr lang="en-GB">
            <a:solidFill>
              <a:sysClr val="window" lastClr="FFFFFF"/>
            </a:solidFill>
            <a:latin typeface="Calibri" panose="020F0502020204030204"/>
            <a:ea typeface="+mn-ea"/>
            <a:cs typeface="+mn-cs"/>
          </a:endParaRPr>
        </a:p>
      </dgm:t>
    </dgm:pt>
    <dgm:pt modelId="{6571E426-0E3D-4CAF-8C94-86F3B76DA7F4}" type="parTrans" cxnId="{E6CB9B41-6AA9-4C6B-B931-94CDBF25170A}">
      <dgm:prSet/>
      <dgm:spPr/>
      <dgm:t>
        <a:bodyPr/>
        <a:lstStyle/>
        <a:p>
          <a:endParaRPr lang="en-GB"/>
        </a:p>
      </dgm:t>
    </dgm:pt>
    <dgm:pt modelId="{C4619D34-8050-4C95-BF02-86516B599865}" type="sibTrans" cxnId="{E6CB9B41-6AA9-4C6B-B931-94CDBF25170A}">
      <dgm:prSet/>
      <dgm:spPr/>
      <dgm:t>
        <a:bodyPr/>
        <a:lstStyle/>
        <a:p>
          <a:endParaRPr lang="en-GB"/>
        </a:p>
      </dgm:t>
    </dgm:pt>
    <dgm:pt modelId="{7DD8815F-910D-4A64-A9ED-A036E8A1AF4C}" type="pres">
      <dgm:prSet presAssocID="{D14CFD9A-B6F4-4E5C-BB03-D4AF4795213E}" presName="linear" presStyleCnt="0">
        <dgm:presLayoutVars>
          <dgm:dir/>
          <dgm:resizeHandles val="exact"/>
        </dgm:presLayoutVars>
      </dgm:prSet>
      <dgm:spPr/>
      <dgm:t>
        <a:bodyPr/>
        <a:lstStyle/>
        <a:p>
          <a:endParaRPr lang="en-GB"/>
        </a:p>
      </dgm:t>
    </dgm:pt>
    <dgm:pt modelId="{97A81786-8215-4745-81E3-31F418AFD96C}" type="pres">
      <dgm:prSet presAssocID="{18D71B48-4B39-46DF-BDC8-9F37B782574D}" presName="comp" presStyleCnt="0"/>
      <dgm:spPr/>
      <dgm:t>
        <a:bodyPr/>
        <a:lstStyle/>
        <a:p>
          <a:endParaRPr lang="en-GB"/>
        </a:p>
      </dgm:t>
    </dgm:pt>
    <dgm:pt modelId="{51A4B47B-3153-442A-A5B6-2749A607058F}" type="pres">
      <dgm:prSet presAssocID="{18D71B48-4B39-46DF-BDC8-9F37B782574D}" presName="box" presStyleLbl="node1" presStyleIdx="0" presStyleCnt="1" custScaleX="99354" custScaleY="98198" custLinFactNeighborX="836"/>
      <dgm:spPr>
        <a:prstGeom prst="roundRect">
          <a:avLst>
            <a:gd name="adj" fmla="val 10000"/>
          </a:avLst>
        </a:prstGeom>
      </dgm:spPr>
      <dgm:t>
        <a:bodyPr/>
        <a:lstStyle/>
        <a:p>
          <a:endParaRPr lang="en-GB"/>
        </a:p>
      </dgm:t>
    </dgm:pt>
    <dgm:pt modelId="{F41DFD0A-300B-4DD7-9382-7E308AE05550}" type="pres">
      <dgm:prSet presAssocID="{18D71B48-4B39-46DF-BDC8-9F37B782574D}" presName="img" presStyleLbl="fgImgPlace1" presStyleIdx="0" presStyleCnt="1" custLinFactNeighborX="-554" custLinFactNeighborY="-259"/>
      <dgm:spPr>
        <a:xfrm>
          <a:off x="105727" y="67883"/>
          <a:ext cx="1179195" cy="845820"/>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dgm:spPr>
      <dgm:t>
        <a:bodyPr/>
        <a:lstStyle/>
        <a:p>
          <a:endParaRPr lang="en-GB"/>
        </a:p>
      </dgm:t>
    </dgm:pt>
    <dgm:pt modelId="{1C7B07FA-7902-44CF-8DBC-5983A85B9109}" type="pres">
      <dgm:prSet presAssocID="{18D71B48-4B39-46DF-BDC8-9F37B782574D}" presName="text" presStyleLbl="node1" presStyleIdx="0" presStyleCnt="1">
        <dgm:presLayoutVars>
          <dgm:bulletEnabled val="1"/>
        </dgm:presLayoutVars>
      </dgm:prSet>
      <dgm:spPr/>
      <dgm:t>
        <a:bodyPr/>
        <a:lstStyle/>
        <a:p>
          <a:endParaRPr lang="en-GB"/>
        </a:p>
      </dgm:t>
    </dgm:pt>
  </dgm:ptLst>
  <dgm:cxnLst>
    <dgm:cxn modelId="{F11C8942-F348-49BB-A0EC-B53671EC1358}" type="presOf" srcId="{D91C0C43-27B0-46BC-8B3B-F135A7A5C4B3}" destId="{51A4B47B-3153-442A-A5B6-2749A607058F}" srcOrd="0" destOrd="2" presId="urn:microsoft.com/office/officeart/2005/8/layout/vList4"/>
    <dgm:cxn modelId="{E6CB9B41-6AA9-4C6B-B931-94CDBF25170A}" srcId="{18D71B48-4B39-46DF-BDC8-9F37B782574D}" destId="{D91C0C43-27B0-46BC-8B3B-F135A7A5C4B3}" srcOrd="1" destOrd="0" parTransId="{6571E426-0E3D-4CAF-8C94-86F3B76DA7F4}" sibTransId="{C4619D34-8050-4C95-BF02-86516B599865}"/>
    <dgm:cxn modelId="{9CAF46C7-F3DC-4428-8FD4-902B86259B10}" type="presOf" srcId="{6EC30BAE-2C94-4101-9D18-AE6FF68A5CB0}" destId="{51A4B47B-3153-442A-A5B6-2749A607058F}" srcOrd="0" destOrd="1" presId="urn:microsoft.com/office/officeart/2005/8/layout/vList4"/>
    <dgm:cxn modelId="{B1FA1818-4806-4EBA-AB3D-7F8BE8378675}" type="presOf" srcId="{18D71B48-4B39-46DF-BDC8-9F37B782574D}" destId="{1C7B07FA-7902-44CF-8DBC-5983A85B9109}" srcOrd="1" destOrd="0" presId="urn:microsoft.com/office/officeart/2005/8/layout/vList4"/>
    <dgm:cxn modelId="{FC204AFD-8462-4FF2-A698-3D75FE3B32C3}" srcId="{D14CFD9A-B6F4-4E5C-BB03-D4AF4795213E}" destId="{18D71B48-4B39-46DF-BDC8-9F37B782574D}" srcOrd="0" destOrd="0" parTransId="{4B92FB9B-8A98-4C7E-8DA4-24DB135C6A40}" sibTransId="{3BF7CBAA-C6B7-4D02-A2D6-3A2E86F592F8}"/>
    <dgm:cxn modelId="{04252492-58BF-4DD4-9D57-AA8561497505}" type="presOf" srcId="{D14CFD9A-B6F4-4E5C-BB03-D4AF4795213E}" destId="{7DD8815F-910D-4A64-A9ED-A036E8A1AF4C}" srcOrd="0" destOrd="0" presId="urn:microsoft.com/office/officeart/2005/8/layout/vList4"/>
    <dgm:cxn modelId="{029B13CA-1C39-4639-ABA8-76A8C549E065}" type="presOf" srcId="{D91C0C43-27B0-46BC-8B3B-F135A7A5C4B3}" destId="{1C7B07FA-7902-44CF-8DBC-5983A85B9109}" srcOrd="1" destOrd="2" presId="urn:microsoft.com/office/officeart/2005/8/layout/vList4"/>
    <dgm:cxn modelId="{211B26EF-73DA-410B-9587-553CEC89F71C}" srcId="{18D71B48-4B39-46DF-BDC8-9F37B782574D}" destId="{6EC30BAE-2C94-4101-9D18-AE6FF68A5CB0}" srcOrd="0" destOrd="0" parTransId="{D684D99C-085A-43E6-91E9-06A1EF8BB389}" sibTransId="{ABF6EDAE-C6AD-42C2-BA37-17C7FE171CE8}"/>
    <dgm:cxn modelId="{6F34D5CD-DBE2-4F9F-93B9-EADD2426DB67}" type="presOf" srcId="{6EC30BAE-2C94-4101-9D18-AE6FF68A5CB0}" destId="{1C7B07FA-7902-44CF-8DBC-5983A85B9109}" srcOrd="1" destOrd="1" presId="urn:microsoft.com/office/officeart/2005/8/layout/vList4"/>
    <dgm:cxn modelId="{FB721319-86DB-40FF-8B19-F855D2D2CA44}" type="presOf" srcId="{18D71B48-4B39-46DF-BDC8-9F37B782574D}" destId="{51A4B47B-3153-442A-A5B6-2749A607058F}" srcOrd="0" destOrd="0" presId="urn:microsoft.com/office/officeart/2005/8/layout/vList4"/>
    <dgm:cxn modelId="{61C50F99-D696-43B1-819E-28B9D96E2B28}" type="presParOf" srcId="{7DD8815F-910D-4A64-A9ED-A036E8A1AF4C}" destId="{97A81786-8215-4745-81E3-31F418AFD96C}" srcOrd="0" destOrd="0" presId="urn:microsoft.com/office/officeart/2005/8/layout/vList4"/>
    <dgm:cxn modelId="{EEBE45FE-09B1-4A97-A28E-A592940238C6}" type="presParOf" srcId="{97A81786-8215-4745-81E3-31F418AFD96C}" destId="{51A4B47B-3153-442A-A5B6-2749A607058F}" srcOrd="0" destOrd="0" presId="urn:microsoft.com/office/officeart/2005/8/layout/vList4"/>
    <dgm:cxn modelId="{8BDA1F97-6C8F-4B57-AA6A-87DBB9C83935}" type="presParOf" srcId="{97A81786-8215-4745-81E3-31F418AFD96C}" destId="{F41DFD0A-300B-4DD7-9382-7E308AE05550}" srcOrd="1" destOrd="0" presId="urn:microsoft.com/office/officeart/2005/8/layout/vList4"/>
    <dgm:cxn modelId="{A5D7151E-59C1-442C-B88B-841512430C7E}" type="presParOf" srcId="{97A81786-8215-4745-81E3-31F418AFD96C}" destId="{1C7B07FA-7902-44CF-8DBC-5983A85B9109}" srcOrd="2" destOrd="0" presId="urn:microsoft.com/office/officeart/2005/8/layout/vList4"/>
  </dgm:cxnLst>
  <dgm:bg/>
  <dgm:whole/>
  <dgm:extLst>
    <a:ext uri="http://schemas.microsoft.com/office/drawing/2008/diagram">
      <dsp:dataModelExt xmlns:dsp="http://schemas.microsoft.com/office/drawing/2008/diagram" relId="rId11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CFA54CF-03D4-4332-BC88-D4B6442E7D52}" type="doc">
      <dgm:prSet loTypeId="urn:microsoft.com/office/officeart/2005/8/layout/vList4" loCatId="picture" qsTypeId="urn:microsoft.com/office/officeart/2005/8/quickstyle/simple1" qsCatId="simple" csTypeId="urn:microsoft.com/office/officeart/2005/8/colors/accent4_5" csCatId="accent4" phldr="1"/>
      <dgm:spPr/>
      <dgm:t>
        <a:bodyPr/>
        <a:lstStyle/>
        <a:p>
          <a:endParaRPr lang="en-GB"/>
        </a:p>
      </dgm:t>
    </dgm:pt>
    <dgm:pt modelId="{93BCA2F6-B0FB-4B4C-8B81-9A7A0459251A}">
      <dgm:prSet phldrT="[Text]"/>
      <dgm:spPr>
        <a:xfrm>
          <a:off x="0" y="0"/>
          <a:ext cx="5458460" cy="897890"/>
        </a:xfrm>
        <a:solidFill>
          <a:srgbClr val="FFC000">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GB">
            <a:solidFill>
              <a:sysClr val="window" lastClr="FFFFFF"/>
            </a:solidFill>
            <a:latin typeface="Calibri" panose="020F0502020204030204"/>
            <a:ea typeface="+mn-ea"/>
            <a:cs typeface="+mn-cs"/>
          </a:endParaRPr>
        </a:p>
      </dgm:t>
    </dgm:pt>
    <dgm:pt modelId="{700B1C86-0C6C-4F89-A7A7-6072D82778D1}" type="parTrans" cxnId="{6993FAF2-3DD5-4DBE-9029-D059CACF849E}">
      <dgm:prSet/>
      <dgm:spPr/>
      <dgm:t>
        <a:bodyPr/>
        <a:lstStyle/>
        <a:p>
          <a:endParaRPr lang="en-GB"/>
        </a:p>
      </dgm:t>
    </dgm:pt>
    <dgm:pt modelId="{83CAB133-02F7-4E9F-A1F1-9FA0DF189A69}" type="sibTrans" cxnId="{6993FAF2-3DD5-4DBE-9029-D059CACF849E}">
      <dgm:prSet/>
      <dgm:spPr/>
      <dgm:t>
        <a:bodyPr/>
        <a:lstStyle/>
        <a:p>
          <a:endParaRPr lang="en-GB"/>
        </a:p>
      </dgm:t>
    </dgm:pt>
    <dgm:pt modelId="{842238FB-168F-48A5-B693-DDC974744822}">
      <dgm:prSet phldrT="[Text]"/>
      <dgm:spPr>
        <a:xfrm>
          <a:off x="0" y="0"/>
          <a:ext cx="5458460" cy="897890"/>
        </a:xfrm>
        <a:solidFill>
          <a:srgbClr val="FFC000">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GB">
            <a:solidFill>
              <a:sysClr val="window" lastClr="FFFFFF"/>
            </a:solidFill>
            <a:latin typeface="Calibri" panose="020F0502020204030204"/>
            <a:ea typeface="+mn-ea"/>
            <a:cs typeface="+mn-cs"/>
          </a:endParaRPr>
        </a:p>
      </dgm:t>
    </dgm:pt>
    <dgm:pt modelId="{DF3AB520-4686-471B-9FEB-5CFDA773B1A7}" type="parTrans" cxnId="{BFC307DB-7C92-4015-A0F7-8D777DB699FA}">
      <dgm:prSet/>
      <dgm:spPr/>
      <dgm:t>
        <a:bodyPr/>
        <a:lstStyle/>
        <a:p>
          <a:endParaRPr lang="en-GB"/>
        </a:p>
      </dgm:t>
    </dgm:pt>
    <dgm:pt modelId="{7E5FEF4D-49A7-4E01-920A-41E1D584A18B}" type="sibTrans" cxnId="{BFC307DB-7C92-4015-A0F7-8D777DB699FA}">
      <dgm:prSet/>
      <dgm:spPr/>
      <dgm:t>
        <a:bodyPr/>
        <a:lstStyle/>
        <a:p>
          <a:endParaRPr lang="en-GB"/>
        </a:p>
      </dgm:t>
    </dgm:pt>
    <dgm:pt modelId="{8A775AFD-5BD4-4C4B-95A3-D8A58E0ACA1E}">
      <dgm:prSet phldrT="[Text]"/>
      <dgm:spPr>
        <a:xfrm>
          <a:off x="0" y="0"/>
          <a:ext cx="5458460" cy="897890"/>
        </a:xfrm>
        <a:solidFill>
          <a:srgbClr val="FFC000">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GB">
            <a:solidFill>
              <a:sysClr val="window" lastClr="FFFFFF"/>
            </a:solidFill>
            <a:latin typeface="Calibri" panose="020F0502020204030204"/>
            <a:ea typeface="+mn-ea"/>
            <a:cs typeface="+mn-cs"/>
          </a:endParaRPr>
        </a:p>
      </dgm:t>
    </dgm:pt>
    <dgm:pt modelId="{5CF05554-1D3F-4C40-96F6-2A3F6A99486B}" type="parTrans" cxnId="{B7BE7A91-BE67-4171-9A70-FDBC22073F62}">
      <dgm:prSet/>
      <dgm:spPr/>
      <dgm:t>
        <a:bodyPr/>
        <a:lstStyle/>
        <a:p>
          <a:endParaRPr lang="en-GB"/>
        </a:p>
      </dgm:t>
    </dgm:pt>
    <dgm:pt modelId="{DB6582BC-DBC7-4D0E-B395-76385B7E941B}" type="sibTrans" cxnId="{B7BE7A91-BE67-4171-9A70-FDBC22073F62}">
      <dgm:prSet/>
      <dgm:spPr/>
      <dgm:t>
        <a:bodyPr/>
        <a:lstStyle/>
        <a:p>
          <a:endParaRPr lang="en-GB"/>
        </a:p>
      </dgm:t>
    </dgm:pt>
    <dgm:pt modelId="{5F82F712-645E-43A6-BE06-AB430B204892}" type="pres">
      <dgm:prSet presAssocID="{0CFA54CF-03D4-4332-BC88-D4B6442E7D52}" presName="linear" presStyleCnt="0">
        <dgm:presLayoutVars>
          <dgm:dir/>
          <dgm:resizeHandles val="exact"/>
        </dgm:presLayoutVars>
      </dgm:prSet>
      <dgm:spPr/>
      <dgm:t>
        <a:bodyPr/>
        <a:lstStyle/>
        <a:p>
          <a:endParaRPr lang="en-GB"/>
        </a:p>
      </dgm:t>
    </dgm:pt>
    <dgm:pt modelId="{0E9D9896-7613-4D42-8364-F5A724FDD63A}" type="pres">
      <dgm:prSet presAssocID="{93BCA2F6-B0FB-4B4C-8B81-9A7A0459251A}" presName="comp" presStyleCnt="0"/>
      <dgm:spPr/>
      <dgm:t>
        <a:bodyPr/>
        <a:lstStyle/>
        <a:p>
          <a:endParaRPr lang="en-GB"/>
        </a:p>
      </dgm:t>
    </dgm:pt>
    <dgm:pt modelId="{D6875C2E-8A88-480B-85F9-C0B9137BDB35}" type="pres">
      <dgm:prSet presAssocID="{93BCA2F6-B0FB-4B4C-8B81-9A7A0459251A}" presName="box" presStyleLbl="node1" presStyleIdx="0" presStyleCnt="1" custLinFactY="-200000" custLinFactNeighborX="1163" custLinFactNeighborY="-218670"/>
      <dgm:spPr>
        <a:prstGeom prst="roundRect">
          <a:avLst>
            <a:gd name="adj" fmla="val 10000"/>
          </a:avLst>
        </a:prstGeom>
      </dgm:spPr>
      <dgm:t>
        <a:bodyPr/>
        <a:lstStyle/>
        <a:p>
          <a:endParaRPr lang="en-GB"/>
        </a:p>
      </dgm:t>
    </dgm:pt>
    <dgm:pt modelId="{7214044A-DD58-44CD-BC0B-8B77C19CB435}" type="pres">
      <dgm:prSet presAssocID="{93BCA2F6-B0FB-4B4C-8B81-9A7A0459251A}" presName="img" presStyleLbl="fgImgPlace1" presStyleIdx="0" presStyleCnt="1"/>
      <dgm:spPr>
        <a:xfrm>
          <a:off x="89788" y="89789"/>
          <a:ext cx="1091692" cy="718312"/>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13000" r="-13000"/>
          </a:stretch>
        </a:blipFill>
        <a:ln w="12700" cap="flat" cmpd="sng" algn="ctr">
          <a:solidFill>
            <a:sysClr val="window" lastClr="FFFFFF">
              <a:hueOff val="0"/>
              <a:satOff val="0"/>
              <a:lumOff val="0"/>
              <a:alphaOff val="0"/>
            </a:sysClr>
          </a:solidFill>
          <a:prstDash val="solid"/>
          <a:miter lim="800000"/>
        </a:ln>
        <a:effectLst/>
      </dgm:spPr>
      <dgm:t>
        <a:bodyPr/>
        <a:lstStyle/>
        <a:p>
          <a:endParaRPr lang="en-GB"/>
        </a:p>
      </dgm:t>
    </dgm:pt>
    <dgm:pt modelId="{4258BD26-A187-4906-8068-EA805F167926}" type="pres">
      <dgm:prSet presAssocID="{93BCA2F6-B0FB-4B4C-8B81-9A7A0459251A}" presName="text" presStyleLbl="node1" presStyleIdx="0" presStyleCnt="1">
        <dgm:presLayoutVars>
          <dgm:bulletEnabled val="1"/>
        </dgm:presLayoutVars>
      </dgm:prSet>
      <dgm:spPr/>
      <dgm:t>
        <a:bodyPr/>
        <a:lstStyle/>
        <a:p>
          <a:endParaRPr lang="en-GB"/>
        </a:p>
      </dgm:t>
    </dgm:pt>
  </dgm:ptLst>
  <dgm:cxnLst>
    <dgm:cxn modelId="{A5266C3C-4616-49A4-ACFB-B2A513994D5F}" type="presOf" srcId="{8A775AFD-5BD4-4C4B-95A3-D8A58E0ACA1E}" destId="{D6875C2E-8A88-480B-85F9-C0B9137BDB35}" srcOrd="0" destOrd="2" presId="urn:microsoft.com/office/officeart/2005/8/layout/vList4"/>
    <dgm:cxn modelId="{8E1884EE-4FB2-4AFE-8659-BEBC8EA48CF2}" type="presOf" srcId="{842238FB-168F-48A5-B693-DDC974744822}" destId="{D6875C2E-8A88-480B-85F9-C0B9137BDB35}" srcOrd="0" destOrd="1" presId="urn:microsoft.com/office/officeart/2005/8/layout/vList4"/>
    <dgm:cxn modelId="{BFC307DB-7C92-4015-A0F7-8D777DB699FA}" srcId="{93BCA2F6-B0FB-4B4C-8B81-9A7A0459251A}" destId="{842238FB-168F-48A5-B693-DDC974744822}" srcOrd="0" destOrd="0" parTransId="{DF3AB520-4686-471B-9FEB-5CFDA773B1A7}" sibTransId="{7E5FEF4D-49A7-4E01-920A-41E1D584A18B}"/>
    <dgm:cxn modelId="{7EDEA1C5-37E9-41E5-851F-3CEF1BE68646}" type="presOf" srcId="{0CFA54CF-03D4-4332-BC88-D4B6442E7D52}" destId="{5F82F712-645E-43A6-BE06-AB430B204892}" srcOrd="0" destOrd="0" presId="urn:microsoft.com/office/officeart/2005/8/layout/vList4"/>
    <dgm:cxn modelId="{6993FAF2-3DD5-4DBE-9029-D059CACF849E}" srcId="{0CFA54CF-03D4-4332-BC88-D4B6442E7D52}" destId="{93BCA2F6-B0FB-4B4C-8B81-9A7A0459251A}" srcOrd="0" destOrd="0" parTransId="{700B1C86-0C6C-4F89-A7A7-6072D82778D1}" sibTransId="{83CAB133-02F7-4E9F-A1F1-9FA0DF189A69}"/>
    <dgm:cxn modelId="{7CD2B8C0-E338-4AD9-8991-CDE884F39438}" type="presOf" srcId="{8A775AFD-5BD4-4C4B-95A3-D8A58E0ACA1E}" destId="{4258BD26-A187-4906-8068-EA805F167926}" srcOrd="1" destOrd="2" presId="urn:microsoft.com/office/officeart/2005/8/layout/vList4"/>
    <dgm:cxn modelId="{7F4B0E34-C36D-413F-A5AC-1B4FAB1A4199}" type="presOf" srcId="{93BCA2F6-B0FB-4B4C-8B81-9A7A0459251A}" destId="{D6875C2E-8A88-480B-85F9-C0B9137BDB35}" srcOrd="0" destOrd="0" presId="urn:microsoft.com/office/officeart/2005/8/layout/vList4"/>
    <dgm:cxn modelId="{F3D1AA96-7DA2-4091-8EE8-34BD19D5F08C}" type="presOf" srcId="{842238FB-168F-48A5-B693-DDC974744822}" destId="{4258BD26-A187-4906-8068-EA805F167926}" srcOrd="1" destOrd="1" presId="urn:microsoft.com/office/officeart/2005/8/layout/vList4"/>
    <dgm:cxn modelId="{0AF2A2B2-51F4-4D1B-B788-B75EC1F43D7E}" type="presOf" srcId="{93BCA2F6-B0FB-4B4C-8B81-9A7A0459251A}" destId="{4258BD26-A187-4906-8068-EA805F167926}" srcOrd="1" destOrd="0" presId="urn:microsoft.com/office/officeart/2005/8/layout/vList4"/>
    <dgm:cxn modelId="{B7BE7A91-BE67-4171-9A70-FDBC22073F62}" srcId="{93BCA2F6-B0FB-4B4C-8B81-9A7A0459251A}" destId="{8A775AFD-5BD4-4C4B-95A3-D8A58E0ACA1E}" srcOrd="1" destOrd="0" parTransId="{5CF05554-1D3F-4C40-96F6-2A3F6A99486B}" sibTransId="{DB6582BC-DBC7-4D0E-B395-76385B7E941B}"/>
    <dgm:cxn modelId="{5195BFD7-641A-47F4-84A2-B144293732C6}" type="presParOf" srcId="{5F82F712-645E-43A6-BE06-AB430B204892}" destId="{0E9D9896-7613-4D42-8364-F5A724FDD63A}" srcOrd="0" destOrd="0" presId="urn:microsoft.com/office/officeart/2005/8/layout/vList4"/>
    <dgm:cxn modelId="{B3320DA9-B768-4D75-9E46-F4A1D870404C}" type="presParOf" srcId="{0E9D9896-7613-4D42-8364-F5A724FDD63A}" destId="{D6875C2E-8A88-480B-85F9-C0B9137BDB35}" srcOrd="0" destOrd="0" presId="urn:microsoft.com/office/officeart/2005/8/layout/vList4"/>
    <dgm:cxn modelId="{6CC83CD9-E3A6-4A7E-8171-C94C7F18A122}" type="presParOf" srcId="{0E9D9896-7613-4D42-8364-F5A724FDD63A}" destId="{7214044A-DD58-44CD-BC0B-8B77C19CB435}" srcOrd="1" destOrd="0" presId="urn:microsoft.com/office/officeart/2005/8/layout/vList4"/>
    <dgm:cxn modelId="{48245EF6-DB08-4ADF-A75C-2216B28A9429}" type="presParOf" srcId="{0E9D9896-7613-4D42-8364-F5A724FDD63A}" destId="{4258BD26-A187-4906-8068-EA805F167926}" srcOrd="2" destOrd="0" presId="urn:microsoft.com/office/officeart/2005/8/layout/vList4"/>
  </dgm:cxnLst>
  <dgm:bg/>
  <dgm:whole/>
  <dgm:extLst>
    <a:ext uri="http://schemas.microsoft.com/office/drawing/2008/diagram">
      <dsp:dataModelExt xmlns:dsp="http://schemas.microsoft.com/office/drawing/2008/diagram" relId="rId1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A4B47B-3153-442A-A5B6-2749A607058F}">
      <dsp:nvSpPr>
        <dsp:cNvPr id="0" name=""/>
        <dsp:cNvSpPr/>
      </dsp:nvSpPr>
      <dsp:spPr>
        <a:xfrm>
          <a:off x="0" y="0"/>
          <a:ext cx="5727064" cy="897545"/>
        </a:xfrm>
        <a:prstGeom prst="roundRect">
          <a:avLst>
            <a:gd name="adj" fmla="val 10000"/>
          </a:avLst>
        </a:prstGeom>
        <a:solidFill>
          <a:schemeClr val="accent1">
            <a:lumMod val="20000"/>
            <a:lumOff val="80000"/>
          </a:schemeClr>
        </a:solidFill>
        <a:ln>
          <a:solidFill>
            <a:schemeClr val="accent1">
              <a:lumMod val="20000"/>
              <a:lumOff val="80000"/>
            </a:schemeClr>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770" tIns="64770" rIns="64770" bIns="64770" numCol="1" spcCol="1270" anchor="t" anchorCtr="0">
          <a:noAutofit/>
        </a:bodyPr>
        <a:lstStyle/>
        <a:p>
          <a:pPr lvl="0" algn="l" defTabSz="755650">
            <a:lnSpc>
              <a:spcPct val="90000"/>
            </a:lnSpc>
            <a:spcBef>
              <a:spcPct val="0"/>
            </a:spcBef>
            <a:spcAft>
              <a:spcPct val="35000"/>
            </a:spcAft>
          </a:pPr>
          <a:endParaRPr lang="en-GB" sz="1700" kern="1200">
            <a:solidFill>
              <a:sysClr val="window" lastClr="FFFFFF"/>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dsp:txBody>
      <dsp:txXfrm>
        <a:off x="1235167" y="0"/>
        <a:ext cx="4491897" cy="897545"/>
      </dsp:txXfrm>
    </dsp:sp>
    <dsp:sp modelId="{F41DFD0A-300B-4DD7-9382-7E308AE05550}">
      <dsp:nvSpPr>
        <dsp:cNvPr id="0" name=""/>
        <dsp:cNvSpPr/>
      </dsp:nvSpPr>
      <dsp:spPr>
        <a:xfrm>
          <a:off x="68106" y="100941"/>
          <a:ext cx="1145413" cy="718036"/>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1">
          <a:scrgbClr r="0" g="0" b="0"/>
        </a:fillRef>
        <a:effectRef idx="1">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A4B47B-3153-442A-A5B6-2749A607058F}">
      <dsp:nvSpPr>
        <dsp:cNvPr id="0" name=""/>
        <dsp:cNvSpPr/>
      </dsp:nvSpPr>
      <dsp:spPr>
        <a:xfrm>
          <a:off x="0" y="0"/>
          <a:ext cx="5756910" cy="881743"/>
        </a:xfrm>
        <a:prstGeom prst="roundRect">
          <a:avLst>
            <a:gd name="adj" fmla="val 10000"/>
          </a:avLst>
        </a:prstGeom>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3"/>
        </a:lnRef>
        <a:fillRef idx="3">
          <a:schemeClr val="accent3"/>
        </a:fillRef>
        <a:effectRef idx="3">
          <a:schemeClr val="accent3"/>
        </a:effectRef>
        <a:fontRef idx="minor">
          <a:schemeClr val="lt1"/>
        </a:fontRef>
      </dsp:style>
      <dsp:txBody>
        <a:bodyPr spcFirstLastPara="0" vert="horz" wrap="square" lIns="64770" tIns="64770" rIns="64770" bIns="64770" numCol="1" spcCol="1270" anchor="t" anchorCtr="0">
          <a:noAutofit/>
        </a:bodyPr>
        <a:lstStyle/>
        <a:p>
          <a:pPr lvl="0" algn="ctr" defTabSz="755650">
            <a:lnSpc>
              <a:spcPct val="90000"/>
            </a:lnSpc>
            <a:spcBef>
              <a:spcPct val="0"/>
            </a:spcBef>
            <a:spcAft>
              <a:spcPct val="35000"/>
            </a:spcAft>
          </a:pPr>
          <a:endParaRPr lang="en-GB" sz="1700" kern="1200">
            <a:solidFill>
              <a:sysClr val="window" lastClr="FFFFFF"/>
            </a:solidFill>
            <a:latin typeface="Calibri" panose="020F0502020204030204"/>
            <a:ea typeface="+mn-ea"/>
            <a:cs typeface="+mn-cs"/>
          </a:endParaRPr>
        </a:p>
        <a:p>
          <a:pPr marL="114300" lvl="1" indent="-114300" algn="ctr"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a:p>
          <a:pPr marL="114300" lvl="1" indent="-114300" algn="ctr"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dsp:txBody>
      <dsp:txXfrm>
        <a:off x="1239556" y="0"/>
        <a:ext cx="4517353" cy="881743"/>
      </dsp:txXfrm>
    </dsp:sp>
    <dsp:sp modelId="{F41DFD0A-300B-4DD7-9382-7E308AE05550}">
      <dsp:nvSpPr>
        <dsp:cNvPr id="0" name=""/>
        <dsp:cNvSpPr/>
      </dsp:nvSpPr>
      <dsp:spPr>
        <a:xfrm>
          <a:off x="66413" y="99164"/>
          <a:ext cx="1151382" cy="705394"/>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A4B47B-3153-442A-A5B6-2749A607058F}">
      <dsp:nvSpPr>
        <dsp:cNvPr id="0" name=""/>
        <dsp:cNvSpPr/>
      </dsp:nvSpPr>
      <dsp:spPr>
        <a:xfrm>
          <a:off x="35995" y="0"/>
          <a:ext cx="5536129" cy="954042"/>
        </a:xfrm>
        <a:prstGeom prst="roundRect">
          <a:avLst>
            <a:gd name="adj" fmla="val 10000"/>
          </a:avLst>
        </a:prstGeom>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6"/>
        </a:lnRef>
        <a:fillRef idx="3">
          <a:schemeClr val="accent6"/>
        </a:fillRef>
        <a:effectRef idx="3">
          <a:schemeClr val="accent6"/>
        </a:effectRef>
        <a:fontRef idx="minor">
          <a:schemeClr val="lt1"/>
        </a:fontRef>
      </dsp:style>
      <dsp:txBody>
        <a:bodyPr spcFirstLastPara="0" vert="horz" wrap="square" lIns="68580" tIns="68580" rIns="68580" bIns="68580" numCol="1" spcCol="1270" anchor="t" anchorCtr="0">
          <a:noAutofit/>
        </a:bodyPr>
        <a:lstStyle/>
        <a:p>
          <a:pPr lvl="0" algn="r" defTabSz="800100">
            <a:lnSpc>
              <a:spcPct val="90000"/>
            </a:lnSpc>
            <a:spcBef>
              <a:spcPct val="0"/>
            </a:spcBef>
            <a:spcAft>
              <a:spcPct val="35000"/>
            </a:spcAft>
          </a:pPr>
          <a:endParaRPr lang="en-GB" sz="1800" kern="1200">
            <a:solidFill>
              <a:sysClr val="window" lastClr="FFFFFF"/>
            </a:solidFill>
            <a:latin typeface="Calibri" panose="020F0502020204030204"/>
            <a:ea typeface="+mn-ea"/>
            <a:cs typeface="+mn-cs"/>
          </a:endParaRPr>
        </a:p>
        <a:p>
          <a:pPr marL="114300" lvl="1" indent="-114300" algn="r" defTabSz="622300">
            <a:lnSpc>
              <a:spcPct val="90000"/>
            </a:lnSpc>
            <a:spcBef>
              <a:spcPct val="0"/>
            </a:spcBef>
            <a:spcAft>
              <a:spcPct val="15000"/>
            </a:spcAft>
            <a:buChar char="••"/>
          </a:pPr>
          <a:endParaRPr lang="en-GB" sz="1400" kern="1200">
            <a:solidFill>
              <a:sysClr val="window" lastClr="FFFFFF"/>
            </a:solidFill>
            <a:latin typeface="Calibri" panose="020F0502020204030204"/>
            <a:ea typeface="+mn-ea"/>
            <a:cs typeface="+mn-cs"/>
          </a:endParaRPr>
        </a:p>
        <a:p>
          <a:pPr marL="114300" lvl="1" indent="-114300" algn="r" defTabSz="622300">
            <a:lnSpc>
              <a:spcPct val="90000"/>
            </a:lnSpc>
            <a:spcBef>
              <a:spcPct val="0"/>
            </a:spcBef>
            <a:spcAft>
              <a:spcPct val="15000"/>
            </a:spcAft>
            <a:buChar char="••"/>
          </a:pPr>
          <a:endParaRPr lang="en-GB" sz="1400" kern="1200">
            <a:solidFill>
              <a:sysClr val="window" lastClr="FFFFFF"/>
            </a:solidFill>
            <a:latin typeface="Calibri" panose="020F0502020204030204"/>
            <a:ea typeface="+mn-ea"/>
            <a:cs typeface="+mn-cs"/>
          </a:endParaRPr>
        </a:p>
      </dsp:txBody>
      <dsp:txXfrm>
        <a:off x="1239749" y="0"/>
        <a:ext cx="4332375" cy="954042"/>
      </dsp:txXfrm>
    </dsp:sp>
    <dsp:sp modelId="{F41DFD0A-300B-4DD7-9382-7E308AE05550}">
      <dsp:nvSpPr>
        <dsp:cNvPr id="0" name=""/>
        <dsp:cNvSpPr/>
      </dsp:nvSpPr>
      <dsp:spPr>
        <a:xfrm>
          <a:off x="90981" y="86388"/>
          <a:ext cx="1114425" cy="777240"/>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875C2E-8A88-480B-85F9-C0B9137BDB35}">
      <dsp:nvSpPr>
        <dsp:cNvPr id="0" name=""/>
        <dsp:cNvSpPr/>
      </dsp:nvSpPr>
      <dsp:spPr>
        <a:xfrm>
          <a:off x="0" y="0"/>
          <a:ext cx="6153149" cy="990600"/>
        </a:xfrm>
        <a:prstGeom prst="roundRect">
          <a:avLst>
            <a:gd name="adj" fmla="val 10000"/>
          </a:avLst>
        </a:prstGeom>
        <a:solidFill>
          <a:srgbClr val="FFC000">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72390" rIns="72390" bIns="72390" numCol="1" spcCol="1270" anchor="t" anchorCtr="0">
          <a:noAutofit/>
        </a:bodyPr>
        <a:lstStyle/>
        <a:p>
          <a:pPr lvl="0" algn="l" defTabSz="844550">
            <a:lnSpc>
              <a:spcPct val="90000"/>
            </a:lnSpc>
            <a:spcBef>
              <a:spcPct val="0"/>
            </a:spcBef>
            <a:spcAft>
              <a:spcPct val="35000"/>
            </a:spcAft>
          </a:pPr>
          <a:endParaRPr lang="en-GB" sz="1900" kern="1200">
            <a:solidFill>
              <a:sysClr val="window" lastClr="FFFFFF"/>
            </a:solidFill>
            <a:latin typeface="Calibri" panose="020F0502020204030204"/>
            <a:ea typeface="+mn-ea"/>
            <a:cs typeface="+mn-cs"/>
          </a:endParaRPr>
        </a:p>
        <a:p>
          <a:pPr marL="114300" lvl="1" indent="-114300" algn="l" defTabSz="666750">
            <a:lnSpc>
              <a:spcPct val="90000"/>
            </a:lnSpc>
            <a:spcBef>
              <a:spcPct val="0"/>
            </a:spcBef>
            <a:spcAft>
              <a:spcPct val="15000"/>
            </a:spcAft>
            <a:buChar char="••"/>
          </a:pPr>
          <a:endParaRPr lang="en-GB" sz="1500" kern="1200">
            <a:solidFill>
              <a:sysClr val="window" lastClr="FFFFFF"/>
            </a:solidFill>
            <a:latin typeface="Calibri" panose="020F0502020204030204"/>
            <a:ea typeface="+mn-ea"/>
            <a:cs typeface="+mn-cs"/>
          </a:endParaRPr>
        </a:p>
        <a:p>
          <a:pPr marL="114300" lvl="1" indent="-114300" algn="l" defTabSz="666750">
            <a:lnSpc>
              <a:spcPct val="90000"/>
            </a:lnSpc>
            <a:spcBef>
              <a:spcPct val="0"/>
            </a:spcBef>
            <a:spcAft>
              <a:spcPct val="15000"/>
            </a:spcAft>
            <a:buChar char="••"/>
          </a:pPr>
          <a:endParaRPr lang="en-GB" sz="1500" kern="1200">
            <a:solidFill>
              <a:sysClr val="window" lastClr="FFFFFF"/>
            </a:solidFill>
            <a:latin typeface="Calibri" panose="020F0502020204030204"/>
            <a:ea typeface="+mn-ea"/>
            <a:cs typeface="+mn-cs"/>
          </a:endParaRPr>
        </a:p>
      </dsp:txBody>
      <dsp:txXfrm>
        <a:off x="1329689" y="0"/>
        <a:ext cx="4823459" cy="990600"/>
      </dsp:txXfrm>
    </dsp:sp>
    <dsp:sp modelId="{7214044A-DD58-44CD-BC0B-8B77C19CB435}">
      <dsp:nvSpPr>
        <dsp:cNvPr id="0" name=""/>
        <dsp:cNvSpPr/>
      </dsp:nvSpPr>
      <dsp:spPr>
        <a:xfrm>
          <a:off x="99059" y="99060"/>
          <a:ext cx="1230629" cy="792480"/>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13000" r="-13000"/>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64B2B2F-1D15-4AD6-8EB7-5475CE2FE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136</Pages>
  <Words>64355</Words>
  <Characters>366829</Characters>
  <Application>Microsoft Office Word</Application>
  <DocSecurity>0</DocSecurity>
  <Lines>3056</Lines>
  <Paragraphs>860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2020-03-24T21:33:00Z</dcterms:created>
  <dcterms:modified xsi:type="dcterms:W3CDTF">2020-03-24T21:33:00Z</dcterms:modified>
</cp:coreProperties>
</file>