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chart16.xml" ContentType="application/vnd.openxmlformats-officedocument.drawingml.chart+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3115" w:type="dxa"/>
        <w:tblInd w:w="6519" w:type="dxa"/>
        <w:tblLook w:val="04A0" w:firstRow="1" w:lastRow="0" w:firstColumn="1" w:lastColumn="0" w:noHBand="0" w:noVBand="1"/>
      </w:tblPr>
      <w:tblGrid>
        <w:gridCol w:w="3115"/>
      </w:tblGrid>
      <w:tr w:rsidR="00113DC0" w:rsidRPr="00BA1AF1" w:rsidTr="004F478C">
        <w:trPr>
          <w:cantSplit/>
          <w:trHeight w:val="485"/>
        </w:trPr>
        <w:tc>
          <w:tcPr>
            <w:tcW w:w="3115" w:type="dxa"/>
            <w:vAlign w:val="center"/>
          </w:tcPr>
          <w:p w:rsidR="00113DC0" w:rsidRPr="00BA1AF1" w:rsidRDefault="00113DC0" w:rsidP="004F478C">
            <w:pPr>
              <w:jc w:val="center"/>
              <w:rPr>
                <w:b/>
                <w:sz w:val="24"/>
              </w:rPr>
            </w:pPr>
            <w:r w:rsidRPr="00BA1AF1">
              <w:rPr>
                <w:b/>
                <w:sz w:val="24"/>
              </w:rPr>
              <w:t>AGENDA ITEM</w:t>
            </w:r>
          </w:p>
        </w:tc>
      </w:tr>
      <w:tr w:rsidR="00113DC0" w:rsidTr="004F478C">
        <w:trPr>
          <w:cantSplit/>
          <w:trHeight w:val="563"/>
        </w:trPr>
        <w:tc>
          <w:tcPr>
            <w:tcW w:w="3115" w:type="dxa"/>
            <w:vAlign w:val="center"/>
          </w:tcPr>
          <w:p w:rsidR="00113DC0" w:rsidRPr="00BA1AF1" w:rsidRDefault="00C54C29" w:rsidP="004F478C">
            <w:pPr>
              <w:jc w:val="center"/>
              <w:rPr>
                <w:sz w:val="24"/>
              </w:rPr>
            </w:pPr>
            <w:r>
              <w:rPr>
                <w:sz w:val="24"/>
              </w:rPr>
              <w:t>2.17</w:t>
            </w:r>
          </w:p>
        </w:tc>
      </w:tr>
    </w:tbl>
    <w:p w:rsidR="00113DC0" w:rsidRPr="00113DC0" w:rsidRDefault="00113DC0" w:rsidP="00113DC0">
      <w:pPr>
        <w:tabs>
          <w:tab w:val="right" w:pos="9000"/>
        </w:tabs>
        <w:spacing w:after="200" w:line="276" w:lineRule="auto"/>
        <w:rPr>
          <w:rFonts w:asciiTheme="minorHAnsi" w:hAnsiTheme="minorHAnsi" w:cs="Arial"/>
          <w:b/>
          <w:sz w:val="2"/>
          <w:szCs w:val="2"/>
        </w:rPr>
      </w:pPr>
    </w:p>
    <w:p w:rsidR="00083B7F" w:rsidRPr="00BA1AF1" w:rsidRDefault="00083B7F" w:rsidP="00083B7F">
      <w:pPr>
        <w:rPr>
          <w:sz w:val="2"/>
          <w:szCs w:val="2"/>
        </w:rPr>
      </w:pPr>
    </w:p>
    <w:tbl>
      <w:tblPr>
        <w:tblStyle w:val="TableGrid"/>
        <w:tblW w:w="9634" w:type="dxa"/>
        <w:tblLook w:val="04A0" w:firstRow="1" w:lastRow="0" w:firstColumn="1" w:lastColumn="0" w:noHBand="0" w:noVBand="1"/>
      </w:tblPr>
      <w:tblGrid>
        <w:gridCol w:w="9634"/>
      </w:tblGrid>
      <w:tr w:rsidR="00083B7F" w:rsidRPr="00E23B12" w:rsidTr="004F478C">
        <w:trPr>
          <w:trHeight w:val="826"/>
        </w:trPr>
        <w:sdt>
          <w:sdtPr>
            <w:rPr>
              <w:rStyle w:val="Style21"/>
              <w:rFonts w:ascii="Verdana" w:hAnsi="Verdana"/>
              <w:sz w:val="24"/>
            </w:rPr>
            <w:id w:val="503714209"/>
            <w:placeholder>
              <w:docPart w:val="1C20CB925126441BB3DB43C70B9638E0"/>
            </w:placeholder>
            <w:dropDownList>
              <w:listItem w:value="Choose an item."/>
              <w:listItem w:displayText="Charitable Funds Committee" w:value="Charitable Funds Committee"/>
              <w:listItem w:displayText="Information Governance &amp; Information Management &amp; Technology Committee" w:value="Information Governance &amp; Information Management &amp; Technology Committee"/>
              <w:listItem w:displayText="Quality &amp; Safety Committee" w:value="Quality &amp; Safety Committee"/>
              <w:listItem w:displayText="Remuneration Committee" w:value="Remuneration Committee"/>
              <w:listItem w:displayText="Finance, Performance &amp; Workforce Committee" w:value="Finance, Performance &amp; Workforce Committee"/>
              <w:listItem w:displayText="Working in Partnership Forum" w:value="Working in Partnership Forum"/>
              <w:listItem w:displayText="Advisory Consultant Appointment Committee" w:value="Advisory Consultant Appointment Committee"/>
              <w:listItem w:displayText="CTM Board" w:value="CTM Board"/>
              <w:listItem w:displayText="CTM Management Board" w:value="CTM Management Board"/>
              <w:listItem w:displayText="Clinical Business Meeting - Obs &amp; Gynae" w:value="Clinical Business Meeting - Obs &amp; Gynae"/>
              <w:listItem w:displayText="Clinical Business Meeting - Surgery, Urology, T&amp;O" w:value="Clinical Business Meeting - Surgery, Urology, T&amp;O"/>
              <w:listItem w:displayText="Audit Committee" w:value="Audit Committee"/>
              <w:listItem w:displayText="VCC Quality &amp; Safety Management Group" w:value="VCC Quality &amp; Safety Management Group"/>
              <w:listItem w:displayText="VCC Divisional Review " w:value="VCC Divisional Review "/>
              <w:listItem w:displayText="WBS Divisional Review " w:value="WBS Divisional Review "/>
              <w:listItem w:displayText="Enabling Works Project Board " w:value="Enabling Works Project Board "/>
              <w:listItem w:displayText="Health &amp; Wellbeing Group" w:value="Health &amp; Wellbeing Group"/>
              <w:listItem w:displayText="Research, Development &amp; Innovation Operational Management Group" w:value="Research, Development &amp; Innovation Operational Management Group"/>
              <w:listItem w:displayText="Rutherford Centre Board" w:value="Rutherford Centre Board"/>
              <w:listItem w:displayText="Clinical Business Meeting - Medicine" w:value="Clinical Business Meeting - Medicine"/>
              <w:listItem w:displayText="Clinical Business Meeting - Pathology" w:value="Clinical Business Meeting - Pathology"/>
              <w:listItem w:displayText="Clinical Business Meeting - Anaesthetics, Critical Care &amp; Theatres" w:value="Clinical Business Meeting - Anaesthetics, Critical Care &amp; Theatres"/>
              <w:listItem w:displayText="Clinical Business Meeting - Radiology &amp; Therapies" w:value="Clinical Business Meeting - Radiology &amp; Therapies"/>
              <w:listItem w:displayText="Clinical Business Meeting - Localities &amp; Primary Care" w:value="Clinical Business Meeting - Localities &amp; Primary Care"/>
              <w:listItem w:displayText="Clinical Business Meeting - Children, Young People &amp; CAMHS" w:value="Clinical Business Meeting - Children, Young People &amp; CAMHS"/>
              <w:listItem w:displayText="Clinical Business Meeting - Adult Mental Health &amp; Learning Disabilities" w:value="Clinical Business Meeting - Adult Mental Health &amp; Learning Disabilities"/>
              <w:listItem w:displayText="Corporate Business Meeting" w:value="Corporate Business Meeting"/>
              <w:listItem w:displayText="Health Professions Forum" w:value="Health Professions Forum"/>
              <w:listItem w:displayText="Stakeholder Reference Group" w:value="Stakeholder Reference Group"/>
              <w:listItem w:displayText="Executive Team " w:value="Executive Team "/>
              <w:listItem w:displayText="Other" w:value="Other"/>
            </w:dropDownList>
          </w:sdtPr>
          <w:sdtEndPr>
            <w:rPr>
              <w:rStyle w:val="Style21"/>
            </w:rPr>
          </w:sdtEndPr>
          <w:sdtContent>
            <w:tc>
              <w:tcPr>
                <w:tcW w:w="9634" w:type="dxa"/>
                <w:vAlign w:val="center"/>
              </w:tcPr>
              <w:p w:rsidR="00083B7F" w:rsidRPr="00E23B12" w:rsidRDefault="00953B07" w:rsidP="004F478C">
                <w:pPr>
                  <w:jc w:val="center"/>
                  <w:rPr>
                    <w:rFonts w:cs="Arial"/>
                    <w:b/>
                    <w:color w:val="000000" w:themeColor="text1"/>
                    <w:sz w:val="24"/>
                  </w:rPr>
                </w:pPr>
                <w:r>
                  <w:rPr>
                    <w:rStyle w:val="Style21"/>
                    <w:rFonts w:ascii="Verdana" w:hAnsi="Verdana"/>
                    <w:sz w:val="24"/>
                  </w:rPr>
                  <w:t>CTM Board</w:t>
                </w:r>
              </w:p>
            </w:tc>
          </w:sdtContent>
        </w:sdt>
      </w:tr>
    </w:tbl>
    <w:p w:rsidR="00083B7F" w:rsidRPr="00E55D6E" w:rsidRDefault="00083B7F" w:rsidP="00083B7F">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083B7F" w:rsidRPr="00E23B12" w:rsidTr="004F478C">
        <w:trPr>
          <w:trHeight w:val="714"/>
        </w:trPr>
        <w:tc>
          <w:tcPr>
            <w:tcW w:w="9634" w:type="dxa"/>
            <w:vAlign w:val="center"/>
          </w:tcPr>
          <w:p w:rsidR="00083B7F" w:rsidRPr="00103729" w:rsidRDefault="00083B7F" w:rsidP="004150C1">
            <w:pPr>
              <w:jc w:val="center"/>
              <w:rPr>
                <w:rFonts w:asciiTheme="minorHAnsi" w:hAnsiTheme="minorHAnsi" w:cs="Arial"/>
                <w:b/>
                <w:sz w:val="24"/>
                <w:szCs w:val="22"/>
              </w:rPr>
            </w:pPr>
            <w:r w:rsidRPr="00FB2623">
              <w:rPr>
                <w:rFonts w:cs="Arial"/>
                <w:b/>
                <w:sz w:val="24"/>
              </w:rPr>
              <w:t xml:space="preserve">FINANCE UPDATE – MONTH </w:t>
            </w:r>
            <w:r w:rsidR="006C67F6">
              <w:rPr>
                <w:rFonts w:cs="Arial"/>
                <w:b/>
                <w:sz w:val="24"/>
              </w:rPr>
              <w:t>11</w:t>
            </w:r>
            <w:r w:rsidRPr="00FB2623">
              <w:rPr>
                <w:rFonts w:cs="Arial"/>
                <w:b/>
                <w:sz w:val="24"/>
              </w:rPr>
              <w:t xml:space="preserve"> of 2019/20</w:t>
            </w:r>
          </w:p>
        </w:tc>
      </w:tr>
    </w:tbl>
    <w:p w:rsidR="00083B7F" w:rsidRPr="00E55D6E" w:rsidRDefault="00083B7F" w:rsidP="00083B7F">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083B7F" w:rsidRPr="00E23B12" w:rsidTr="004F478C">
        <w:trPr>
          <w:trHeight w:val="561"/>
        </w:trPr>
        <w:tc>
          <w:tcPr>
            <w:tcW w:w="4248" w:type="dxa"/>
            <w:shd w:val="clear" w:color="auto" w:fill="F2F2F2" w:themeFill="background1" w:themeFillShade="F2"/>
            <w:vAlign w:val="center"/>
          </w:tcPr>
          <w:p w:rsidR="00083B7F" w:rsidRPr="00E23B12" w:rsidRDefault="00083B7F" w:rsidP="004F478C">
            <w:pPr>
              <w:rPr>
                <w:rFonts w:cs="Arial"/>
                <w:b/>
                <w:caps/>
                <w:sz w:val="24"/>
              </w:rPr>
            </w:pPr>
            <w:r w:rsidRPr="00E23B12">
              <w:rPr>
                <w:rFonts w:cs="Arial"/>
                <w:b/>
                <w:sz w:val="24"/>
              </w:rPr>
              <w:t xml:space="preserve">Date </w:t>
            </w:r>
            <w:r>
              <w:rPr>
                <w:rFonts w:cs="Arial"/>
                <w:b/>
                <w:sz w:val="24"/>
              </w:rPr>
              <w:t>o</w:t>
            </w:r>
            <w:r w:rsidRPr="00E23B12">
              <w:rPr>
                <w:rFonts w:cs="Arial"/>
                <w:b/>
                <w:sz w:val="24"/>
              </w:rPr>
              <w:t xml:space="preserve">f </w:t>
            </w:r>
            <w:r>
              <w:rPr>
                <w:rFonts w:cs="Arial"/>
                <w:b/>
                <w:sz w:val="24"/>
              </w:rPr>
              <w:t>m</w:t>
            </w:r>
            <w:r w:rsidRPr="00E23B12">
              <w:rPr>
                <w:rFonts w:cs="Arial"/>
                <w:b/>
                <w:sz w:val="24"/>
              </w:rPr>
              <w:t>eeting</w:t>
            </w:r>
          </w:p>
        </w:tc>
        <w:tc>
          <w:tcPr>
            <w:tcW w:w="5386" w:type="dxa"/>
            <w:vAlign w:val="center"/>
          </w:tcPr>
          <w:p w:rsidR="00083B7F" w:rsidRPr="00113DC0" w:rsidRDefault="00BE2BB0" w:rsidP="00BE2BB0">
            <w:pPr>
              <w:rPr>
                <w:rFonts w:cs="Arial"/>
                <w:color w:val="FF0000"/>
                <w:sz w:val="24"/>
              </w:rPr>
            </w:pPr>
            <w:r w:rsidRPr="00BE2BB0">
              <w:rPr>
                <w:rStyle w:val="Style8"/>
                <w:rFonts w:ascii="Verdana" w:hAnsi="Verdana"/>
                <w:color w:val="000000" w:themeColor="text1"/>
              </w:rPr>
              <w:t>26</w:t>
            </w:r>
            <w:r w:rsidR="00701793" w:rsidRPr="00BE2BB0">
              <w:rPr>
                <w:rStyle w:val="Style8"/>
                <w:rFonts w:ascii="Verdana" w:hAnsi="Verdana"/>
                <w:color w:val="000000" w:themeColor="text1"/>
              </w:rPr>
              <w:t>/</w:t>
            </w:r>
            <w:r w:rsidR="006C67F6" w:rsidRPr="00BE2BB0">
              <w:rPr>
                <w:rStyle w:val="Style8"/>
                <w:rFonts w:ascii="Verdana" w:hAnsi="Verdana"/>
                <w:color w:val="000000" w:themeColor="text1"/>
              </w:rPr>
              <w:t>03</w:t>
            </w:r>
            <w:r w:rsidR="00083B7F" w:rsidRPr="00BE2BB0">
              <w:rPr>
                <w:rStyle w:val="Style8"/>
                <w:rFonts w:ascii="Verdana" w:hAnsi="Verdana"/>
                <w:color w:val="000000" w:themeColor="text1"/>
              </w:rPr>
              <w:t>/20</w:t>
            </w:r>
            <w:r w:rsidR="00701793" w:rsidRPr="00BE2BB0">
              <w:rPr>
                <w:rStyle w:val="Style8"/>
                <w:rFonts w:ascii="Verdana" w:hAnsi="Verdana"/>
                <w:color w:val="000000" w:themeColor="text1"/>
              </w:rPr>
              <w:t>20</w:t>
            </w:r>
          </w:p>
        </w:tc>
      </w:tr>
    </w:tbl>
    <w:p w:rsidR="00083B7F" w:rsidRPr="00E55D6E" w:rsidRDefault="00083B7F" w:rsidP="00083B7F">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083B7F" w:rsidRPr="00E23B12" w:rsidTr="004F478C">
        <w:trPr>
          <w:trHeight w:val="573"/>
        </w:trPr>
        <w:tc>
          <w:tcPr>
            <w:tcW w:w="4248" w:type="dxa"/>
            <w:shd w:val="clear" w:color="auto" w:fill="F2F2F2" w:themeFill="background1" w:themeFillShade="F2"/>
            <w:vAlign w:val="center"/>
          </w:tcPr>
          <w:p w:rsidR="00083B7F" w:rsidRPr="00E23B12" w:rsidRDefault="00083B7F" w:rsidP="004F478C">
            <w:pPr>
              <w:rPr>
                <w:rFonts w:cs="Arial"/>
                <w:b/>
                <w:sz w:val="24"/>
              </w:rPr>
            </w:pPr>
            <w:r>
              <w:rPr>
                <w:rFonts w:cs="Arial"/>
                <w:b/>
                <w:sz w:val="24"/>
              </w:rPr>
              <w:t>FOI Status</w:t>
            </w:r>
          </w:p>
        </w:tc>
        <w:tc>
          <w:tcPr>
            <w:tcW w:w="5386" w:type="dxa"/>
            <w:vAlign w:val="center"/>
          </w:tcPr>
          <w:sdt>
            <w:sdtPr>
              <w:rPr>
                <w:rStyle w:val="Style26"/>
                <w:rFonts w:ascii="Verdana" w:hAnsi="Verdana"/>
                <w:sz w:val="24"/>
              </w:rPr>
              <w:id w:val="1423769853"/>
              <w:placeholder>
                <w:docPart w:val="5A857D87480B4330AA258E5535CEF8A6"/>
              </w:placeholder>
              <w15:color w:val="000000"/>
              <w:dropDownList>
                <w:listItem w:value="Choose an item."/>
                <w:listItem w:displayText="Open/Public" w:value="Open/Public"/>
                <w:listItem w:displayText="Closed/Private" w:value="Closed/Private"/>
              </w:dropDownList>
            </w:sdtPr>
            <w:sdtEndPr>
              <w:rPr>
                <w:rStyle w:val="Style26"/>
              </w:rPr>
            </w:sdtEndPr>
            <w:sdtContent>
              <w:p w:rsidR="00083B7F" w:rsidRPr="00E23B12" w:rsidRDefault="00083B7F" w:rsidP="004F478C">
                <w:pPr>
                  <w:rPr>
                    <w:rFonts w:cs="Arial"/>
                    <w:color w:val="FF0000"/>
                    <w:sz w:val="24"/>
                  </w:rPr>
                </w:pPr>
                <w:r w:rsidRPr="00113DC0">
                  <w:rPr>
                    <w:rStyle w:val="Style26"/>
                    <w:rFonts w:ascii="Verdana" w:hAnsi="Verdana"/>
                    <w:sz w:val="24"/>
                  </w:rPr>
                  <w:t>Open/Public</w:t>
                </w:r>
              </w:p>
            </w:sdtContent>
          </w:sdt>
        </w:tc>
      </w:tr>
    </w:tbl>
    <w:p w:rsidR="00083B7F" w:rsidRPr="00E55D6E" w:rsidRDefault="00083B7F" w:rsidP="00083B7F">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083B7F" w:rsidRPr="00E23B12" w:rsidTr="004F478C">
        <w:trPr>
          <w:trHeight w:val="571"/>
        </w:trPr>
        <w:tc>
          <w:tcPr>
            <w:tcW w:w="4248" w:type="dxa"/>
            <w:shd w:val="clear" w:color="auto" w:fill="F2F2F2" w:themeFill="background1" w:themeFillShade="F2"/>
            <w:vAlign w:val="center"/>
          </w:tcPr>
          <w:p w:rsidR="00083B7F" w:rsidRPr="00E23B12" w:rsidRDefault="00083B7F" w:rsidP="004F478C">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CD63DFF8C8E3446E8D3739AEB2331610"/>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rsidR="00083B7F" w:rsidRPr="00E23B12" w:rsidRDefault="002E02A6" w:rsidP="004F478C">
                <w:pPr>
                  <w:pStyle w:val="NoSpacing"/>
                  <w:rPr>
                    <w:rFonts w:ascii="Verdana" w:hAnsi="Verdana" w:cs="Arial"/>
                    <w:sz w:val="24"/>
                    <w:szCs w:val="24"/>
                  </w:rPr>
                </w:pPr>
                <w:r>
                  <w:rPr>
                    <w:rStyle w:val="Style33"/>
                    <w:rFonts w:ascii="Verdana" w:hAnsi="Verdana"/>
                    <w:sz w:val="24"/>
                    <w:szCs w:val="24"/>
                  </w:rPr>
                  <w:t>Not Applicable - Public Report</w:t>
                </w:r>
              </w:p>
            </w:tc>
          </w:sdtContent>
        </w:sdt>
      </w:tr>
    </w:tbl>
    <w:p w:rsidR="00083B7F" w:rsidRPr="00E55D6E" w:rsidRDefault="00083B7F" w:rsidP="00083B7F">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083B7F" w:rsidRPr="00E23B12" w:rsidTr="004F478C">
        <w:trPr>
          <w:trHeight w:val="555"/>
        </w:trPr>
        <w:tc>
          <w:tcPr>
            <w:tcW w:w="4248" w:type="dxa"/>
            <w:shd w:val="clear" w:color="auto" w:fill="F2F2F2" w:themeFill="background1" w:themeFillShade="F2"/>
            <w:vAlign w:val="center"/>
          </w:tcPr>
          <w:p w:rsidR="00083B7F" w:rsidRPr="00E23B12" w:rsidRDefault="00083B7F" w:rsidP="004F478C">
            <w:pPr>
              <w:rPr>
                <w:rFonts w:cs="Arial"/>
                <w:b/>
                <w:caps/>
                <w:sz w:val="24"/>
              </w:rPr>
            </w:pPr>
            <w:r w:rsidRPr="00E23B12">
              <w:rPr>
                <w:rFonts w:cs="Arial"/>
                <w:b/>
                <w:sz w:val="24"/>
              </w:rPr>
              <w:t>Prepared by</w:t>
            </w:r>
          </w:p>
        </w:tc>
        <w:tc>
          <w:tcPr>
            <w:tcW w:w="5386" w:type="dxa"/>
            <w:vAlign w:val="center"/>
          </w:tcPr>
          <w:p w:rsidR="00083B7F" w:rsidRPr="00E23B12" w:rsidRDefault="00083B7F" w:rsidP="004F478C">
            <w:pPr>
              <w:rPr>
                <w:rFonts w:cs="Arial"/>
                <w:caps/>
                <w:color w:val="FF0000"/>
                <w:sz w:val="24"/>
              </w:rPr>
            </w:pPr>
            <w:r>
              <w:rPr>
                <w:sz w:val="24"/>
              </w:rPr>
              <w:t>Mark Thomas, Deputy Director of Finance</w:t>
            </w:r>
          </w:p>
        </w:tc>
      </w:tr>
      <w:tr w:rsidR="00083B7F" w:rsidRPr="00E23B12" w:rsidTr="004F478C">
        <w:trPr>
          <w:trHeight w:val="549"/>
        </w:trPr>
        <w:tc>
          <w:tcPr>
            <w:tcW w:w="4248" w:type="dxa"/>
            <w:shd w:val="clear" w:color="auto" w:fill="F2F2F2" w:themeFill="background1" w:themeFillShade="F2"/>
            <w:vAlign w:val="center"/>
          </w:tcPr>
          <w:p w:rsidR="00083B7F" w:rsidRPr="00E23B12" w:rsidRDefault="00083B7F" w:rsidP="004F478C">
            <w:pPr>
              <w:rPr>
                <w:rFonts w:cs="Arial"/>
                <w:b/>
                <w:sz w:val="24"/>
              </w:rPr>
            </w:pPr>
            <w:r w:rsidRPr="00E23B12">
              <w:rPr>
                <w:rFonts w:cs="Arial"/>
                <w:b/>
                <w:sz w:val="24"/>
              </w:rPr>
              <w:t>Presented by</w:t>
            </w:r>
          </w:p>
        </w:tc>
        <w:tc>
          <w:tcPr>
            <w:tcW w:w="5386" w:type="dxa"/>
            <w:vAlign w:val="center"/>
          </w:tcPr>
          <w:p w:rsidR="00083B7F" w:rsidRPr="00E23B12" w:rsidRDefault="00083B7F" w:rsidP="004F478C">
            <w:pPr>
              <w:rPr>
                <w:color w:val="FF0000"/>
                <w:sz w:val="24"/>
              </w:rPr>
            </w:pPr>
            <w:r>
              <w:rPr>
                <w:sz w:val="24"/>
              </w:rPr>
              <w:t>Steve Webster, Director of Finance &amp; Procurement</w:t>
            </w:r>
          </w:p>
        </w:tc>
      </w:tr>
      <w:tr w:rsidR="00083B7F" w:rsidRPr="00E23B12" w:rsidTr="004F478C">
        <w:trPr>
          <w:trHeight w:val="627"/>
        </w:trPr>
        <w:tc>
          <w:tcPr>
            <w:tcW w:w="4248" w:type="dxa"/>
            <w:shd w:val="clear" w:color="auto" w:fill="F2F2F2" w:themeFill="background1" w:themeFillShade="F2"/>
            <w:vAlign w:val="center"/>
          </w:tcPr>
          <w:p w:rsidR="00083B7F" w:rsidRPr="00E23B12" w:rsidRDefault="00083B7F" w:rsidP="004F478C">
            <w:pPr>
              <w:rPr>
                <w:rFonts w:cs="Arial"/>
                <w:b/>
                <w:sz w:val="24"/>
              </w:rPr>
            </w:pPr>
            <w:r>
              <w:rPr>
                <w:rFonts w:cs="Arial"/>
                <w:b/>
                <w:sz w:val="24"/>
              </w:rPr>
              <w:t>Approving Executive Sponsor</w:t>
            </w:r>
          </w:p>
        </w:tc>
        <w:tc>
          <w:tcPr>
            <w:tcW w:w="5386" w:type="dxa"/>
            <w:vAlign w:val="center"/>
          </w:tcPr>
          <w:sdt>
            <w:sdtPr>
              <w:rPr>
                <w:rStyle w:val="Style19"/>
                <w:rFonts w:ascii="Verdana" w:hAnsi="Verdana"/>
                <w:sz w:val="24"/>
              </w:rPr>
              <w:id w:val="-887480898"/>
              <w:placeholder>
                <w:docPart w:val="C8B63219FC6E44FF826A4D06F3C24933"/>
              </w:placeholder>
              <w:dropDownList>
                <w:listItem w:value="Choose an item."/>
                <w:listItem w:displayText="Chief Executive" w:value="Chief Executive"/>
                <w:listItem w:displayText="Executive Director of Planning &amp; Performance" w:value="Executive Director of Planning &amp; Performance"/>
                <w:listItem w:displayText="Chief Operating Officer" w:value="Chief Operating Officer"/>
                <w:listItem w:displayText="Director of Corporate Governance" w:value="Director of Corporate Governance"/>
                <w:listItem w:displayText="Executive Medical Director" w:value="Executive Medical Director"/>
                <w:listItem w:displayText="Executive Director of Finance &amp; Procurement" w:value="Executive Director of Finance &amp; Procurement"/>
                <w:listItem w:displayText="Executive Director of Workforce &amp; Organisational Development " w:value="Executive Director of Workforce &amp; Organisational Development "/>
                <w:listItem w:displayText="Executive Director of Primary, Community &amp; Mental Health" w:value="Executive Director of Primary, Community &amp; Mental Health"/>
                <w:listItem w:displayText="Executive Director of Nursing, Midwifery and Patient Care " w:value="Executive Director of Nursing, Midwifery and Patient Care "/>
                <w:listItem w:displayText="Executive Director of Public Health " w:value="Executive Director of Public Health "/>
                <w:listItem w:displayText="Executive Director of Therapies &amp; Health Sciences" w:value="Executive Director of Therapies &amp; Health Sciences"/>
              </w:dropDownList>
            </w:sdtPr>
            <w:sdtEndPr>
              <w:rPr>
                <w:rStyle w:val="Style19"/>
              </w:rPr>
            </w:sdtEndPr>
            <w:sdtContent>
              <w:p w:rsidR="00083B7F" w:rsidRPr="00E23B12" w:rsidRDefault="00083B7F" w:rsidP="004F478C">
                <w:pPr>
                  <w:rPr>
                    <w:caps/>
                    <w:color w:val="FF0000"/>
                    <w:sz w:val="24"/>
                  </w:rPr>
                </w:pPr>
                <w:r w:rsidRPr="00113DC0">
                  <w:rPr>
                    <w:rStyle w:val="Style19"/>
                    <w:rFonts w:ascii="Verdana" w:hAnsi="Verdana"/>
                    <w:sz w:val="24"/>
                  </w:rPr>
                  <w:t>Executive Director of Finance &amp; Procurement</w:t>
                </w:r>
              </w:p>
            </w:sdtContent>
          </w:sdt>
        </w:tc>
      </w:tr>
    </w:tbl>
    <w:p w:rsidR="00083B7F" w:rsidRPr="00E55D6E" w:rsidRDefault="00083B7F" w:rsidP="00083B7F">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083B7F" w:rsidRPr="00E23B12" w:rsidTr="004F478C">
        <w:trPr>
          <w:trHeight w:val="669"/>
        </w:trPr>
        <w:tc>
          <w:tcPr>
            <w:tcW w:w="4248" w:type="dxa"/>
            <w:shd w:val="clear" w:color="auto" w:fill="F2F2F2" w:themeFill="background1" w:themeFillShade="F2"/>
            <w:vAlign w:val="center"/>
          </w:tcPr>
          <w:p w:rsidR="00083B7F" w:rsidRPr="00E23B12" w:rsidRDefault="00083B7F" w:rsidP="004F478C">
            <w:pPr>
              <w:rPr>
                <w:rFonts w:cs="Arial"/>
                <w:b/>
                <w:sz w:val="24"/>
              </w:rPr>
            </w:pPr>
            <w:r w:rsidRPr="00E23B12">
              <w:rPr>
                <w:rFonts w:cs="Arial"/>
                <w:b/>
                <w:sz w:val="24"/>
              </w:rPr>
              <w:t>Report purpose</w:t>
            </w:r>
          </w:p>
        </w:tc>
        <w:sdt>
          <w:sdtPr>
            <w:rPr>
              <w:rStyle w:val="Style17"/>
              <w:rFonts w:ascii="Verdana" w:hAnsi="Verdana"/>
              <w:sz w:val="24"/>
            </w:rPr>
            <w:id w:val="2104064095"/>
            <w:placeholder>
              <w:docPart w:val="EEEEC1ED36BE4BBA80CE888DF3B62882"/>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rsidR="00083B7F" w:rsidRPr="00E23B12" w:rsidRDefault="00083B7F" w:rsidP="004F478C">
                <w:pPr>
                  <w:rPr>
                    <w:rFonts w:cs="Arial"/>
                    <w:color w:val="FF0000"/>
                    <w:sz w:val="24"/>
                  </w:rPr>
                </w:pPr>
                <w:r w:rsidRPr="00113DC0">
                  <w:rPr>
                    <w:rStyle w:val="Style17"/>
                    <w:rFonts w:ascii="Verdana" w:hAnsi="Verdana"/>
                    <w:sz w:val="24"/>
                  </w:rPr>
                  <w:t xml:space="preserve">FOR DISCUSSION / REVIEW </w:t>
                </w:r>
              </w:p>
            </w:tc>
          </w:sdtContent>
        </w:sdt>
      </w:tr>
    </w:tbl>
    <w:p w:rsidR="00083B7F" w:rsidRPr="00E55D6E" w:rsidRDefault="00083B7F" w:rsidP="00083B7F">
      <w:pPr>
        <w:pStyle w:val="NoSpacing"/>
        <w:rPr>
          <w:rFonts w:ascii="Verdana" w:hAnsi="Verdana" w:cs="Arial"/>
          <w:sz w:val="12"/>
          <w:szCs w:val="24"/>
        </w:rPr>
      </w:pPr>
    </w:p>
    <w:p w:rsidR="00083B7F" w:rsidRPr="00E55D6E" w:rsidRDefault="00083B7F" w:rsidP="00083B7F">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948"/>
        <w:gridCol w:w="3342"/>
      </w:tblGrid>
      <w:tr w:rsidR="00083B7F" w:rsidRPr="00E23B12" w:rsidTr="004F478C">
        <w:trPr>
          <w:trHeight w:val="467"/>
        </w:trPr>
        <w:tc>
          <w:tcPr>
            <w:tcW w:w="9634" w:type="dxa"/>
            <w:gridSpan w:val="3"/>
            <w:shd w:val="clear" w:color="auto" w:fill="F2F2F2" w:themeFill="background1" w:themeFillShade="F2"/>
            <w:vAlign w:val="center"/>
          </w:tcPr>
          <w:p w:rsidR="00083B7F" w:rsidRPr="00E23B12" w:rsidRDefault="00083B7F" w:rsidP="004F478C">
            <w:pPr>
              <w:rPr>
                <w:rFonts w:cs="Arial"/>
                <w:b/>
                <w:caps/>
                <w:sz w:val="24"/>
              </w:rPr>
            </w:pPr>
            <w:r>
              <w:rPr>
                <w:rFonts w:cs="Arial"/>
                <w:b/>
                <w:sz w:val="24"/>
              </w:rPr>
              <w:t xml:space="preserve">Engagement (internal/external) undertaken to date (including receipt/consideration at </w:t>
            </w:r>
            <w:r w:rsidRPr="00E23B12">
              <w:rPr>
                <w:rFonts w:cs="Arial"/>
                <w:b/>
                <w:sz w:val="24"/>
              </w:rPr>
              <w:t>Committee/group</w:t>
            </w:r>
            <w:r>
              <w:rPr>
                <w:rFonts w:cs="Arial"/>
                <w:b/>
                <w:sz w:val="24"/>
              </w:rPr>
              <w:t xml:space="preserve">) </w:t>
            </w:r>
          </w:p>
        </w:tc>
      </w:tr>
      <w:tr w:rsidR="00083B7F" w:rsidRPr="00E23B12" w:rsidTr="004F478C">
        <w:trPr>
          <w:trHeight w:val="404"/>
        </w:trPr>
        <w:tc>
          <w:tcPr>
            <w:tcW w:w="3825" w:type="dxa"/>
            <w:shd w:val="clear" w:color="auto" w:fill="F2F2F2" w:themeFill="background1" w:themeFillShade="F2"/>
            <w:vAlign w:val="center"/>
          </w:tcPr>
          <w:p w:rsidR="00083B7F" w:rsidRPr="00E23B12" w:rsidRDefault="00083B7F" w:rsidP="004F478C">
            <w:pPr>
              <w:rPr>
                <w:rFonts w:cs="Arial"/>
                <w:b/>
                <w:caps/>
                <w:sz w:val="24"/>
              </w:rPr>
            </w:pPr>
            <w:r>
              <w:rPr>
                <w:rFonts w:cs="Arial"/>
                <w:b/>
                <w:sz w:val="24"/>
              </w:rPr>
              <w:t>Committee/</w:t>
            </w:r>
            <w:r w:rsidRPr="00E23B12">
              <w:rPr>
                <w:rFonts w:cs="Arial"/>
                <w:b/>
                <w:sz w:val="24"/>
              </w:rPr>
              <w:t>Group</w:t>
            </w:r>
            <w:r>
              <w:rPr>
                <w:rFonts w:cs="Arial"/>
                <w:b/>
                <w:sz w:val="24"/>
              </w:rPr>
              <w:t>/Individuals</w:t>
            </w:r>
          </w:p>
        </w:tc>
        <w:tc>
          <w:tcPr>
            <w:tcW w:w="2017" w:type="dxa"/>
            <w:shd w:val="clear" w:color="auto" w:fill="F2F2F2" w:themeFill="background1" w:themeFillShade="F2"/>
            <w:vAlign w:val="center"/>
          </w:tcPr>
          <w:p w:rsidR="00083B7F" w:rsidRPr="00E23B12" w:rsidRDefault="00083B7F" w:rsidP="004F478C">
            <w:pPr>
              <w:rPr>
                <w:rFonts w:cs="Arial"/>
                <w:b/>
                <w:sz w:val="24"/>
              </w:rPr>
            </w:pPr>
            <w:r w:rsidRPr="00E23B12">
              <w:rPr>
                <w:rFonts w:cs="Arial"/>
                <w:b/>
                <w:sz w:val="24"/>
              </w:rPr>
              <w:t>Date</w:t>
            </w:r>
          </w:p>
        </w:tc>
        <w:tc>
          <w:tcPr>
            <w:tcW w:w="3792" w:type="dxa"/>
            <w:shd w:val="clear" w:color="auto" w:fill="F2F2F2" w:themeFill="background1" w:themeFillShade="F2"/>
            <w:vAlign w:val="center"/>
          </w:tcPr>
          <w:p w:rsidR="00083B7F" w:rsidRPr="00E23B12" w:rsidRDefault="00083B7F" w:rsidP="004F478C">
            <w:pPr>
              <w:rPr>
                <w:rFonts w:cs="Arial"/>
                <w:b/>
                <w:sz w:val="24"/>
              </w:rPr>
            </w:pPr>
            <w:r w:rsidRPr="00E23B12">
              <w:rPr>
                <w:rFonts w:cs="Arial"/>
                <w:b/>
                <w:sz w:val="24"/>
              </w:rPr>
              <w:t>Outcome</w:t>
            </w:r>
          </w:p>
        </w:tc>
      </w:tr>
      <w:tr w:rsidR="00083B7F" w:rsidRPr="00E23B12" w:rsidTr="004F478C">
        <w:trPr>
          <w:trHeight w:val="423"/>
        </w:trPr>
        <w:tc>
          <w:tcPr>
            <w:tcW w:w="3825" w:type="dxa"/>
            <w:vAlign w:val="center"/>
          </w:tcPr>
          <w:p w:rsidR="00083B7F" w:rsidRPr="00113DC0" w:rsidRDefault="00083B7F" w:rsidP="004F478C">
            <w:pPr>
              <w:rPr>
                <w:rFonts w:cs="Arial"/>
                <w:sz w:val="24"/>
              </w:rPr>
            </w:pPr>
            <w:r w:rsidRPr="00113DC0">
              <w:rPr>
                <w:rFonts w:cs="Arial"/>
                <w:sz w:val="24"/>
              </w:rPr>
              <w:t>Welsh Government</w:t>
            </w:r>
          </w:p>
        </w:tc>
        <w:tc>
          <w:tcPr>
            <w:tcW w:w="2017" w:type="dxa"/>
            <w:vAlign w:val="center"/>
          </w:tcPr>
          <w:p w:rsidR="00083B7F" w:rsidRPr="00113DC0" w:rsidRDefault="00701793" w:rsidP="00103395">
            <w:pPr>
              <w:rPr>
                <w:rFonts w:cs="Arial"/>
                <w:sz w:val="24"/>
              </w:rPr>
            </w:pPr>
            <w:r>
              <w:rPr>
                <w:rStyle w:val="Style8"/>
                <w:rFonts w:ascii="Verdana" w:hAnsi="Verdana"/>
                <w:color w:val="000000" w:themeColor="text1"/>
              </w:rPr>
              <w:t>1</w:t>
            </w:r>
            <w:r w:rsidR="00953B07">
              <w:rPr>
                <w:rStyle w:val="Style8"/>
                <w:rFonts w:ascii="Verdana" w:hAnsi="Verdana"/>
                <w:color w:val="000000" w:themeColor="text1"/>
              </w:rPr>
              <w:t>2</w:t>
            </w:r>
            <w:r>
              <w:rPr>
                <w:rStyle w:val="Style8"/>
                <w:rFonts w:ascii="Verdana" w:hAnsi="Verdana"/>
                <w:color w:val="000000" w:themeColor="text1"/>
              </w:rPr>
              <w:t>/0</w:t>
            </w:r>
            <w:r w:rsidR="006C67F6">
              <w:rPr>
                <w:rStyle w:val="Style8"/>
                <w:rFonts w:ascii="Verdana" w:hAnsi="Verdana"/>
                <w:color w:val="000000" w:themeColor="text1"/>
              </w:rPr>
              <w:t>3</w:t>
            </w:r>
            <w:r>
              <w:rPr>
                <w:rStyle w:val="Style8"/>
                <w:rFonts w:ascii="Verdana" w:hAnsi="Verdana"/>
                <w:color w:val="000000" w:themeColor="text1"/>
              </w:rPr>
              <w:t>/2020</w:t>
            </w:r>
          </w:p>
        </w:tc>
        <w:tc>
          <w:tcPr>
            <w:tcW w:w="3792" w:type="dxa"/>
            <w:vAlign w:val="center"/>
          </w:tcPr>
          <w:sdt>
            <w:sdtPr>
              <w:rPr>
                <w:rStyle w:val="Style22"/>
                <w:rFonts w:ascii="Verdana" w:hAnsi="Verdana"/>
                <w:sz w:val="24"/>
              </w:rPr>
              <w:id w:val="1423459883"/>
              <w:placeholder>
                <w:docPart w:val="9158C81CD7FA4A10976325DEA00DBF5B"/>
              </w:placeholde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rsidR="00083B7F" w:rsidRPr="00E23B12" w:rsidRDefault="00083B7F" w:rsidP="004F478C">
                <w:pPr>
                  <w:rPr>
                    <w:rFonts w:cs="Arial"/>
                    <w:sz w:val="24"/>
                  </w:rPr>
                </w:pPr>
                <w:r w:rsidRPr="00113DC0">
                  <w:rPr>
                    <w:rStyle w:val="Style22"/>
                    <w:rFonts w:ascii="Verdana" w:hAnsi="Verdana"/>
                    <w:sz w:val="24"/>
                  </w:rPr>
                  <w:t>NOTED</w:t>
                </w:r>
              </w:p>
            </w:sdtContent>
          </w:sdt>
        </w:tc>
      </w:tr>
    </w:tbl>
    <w:p w:rsidR="00083B7F" w:rsidRPr="00E55D6E" w:rsidRDefault="00083B7F" w:rsidP="00083B7F">
      <w:pPr>
        <w:pStyle w:val="NoSpacing"/>
        <w:rPr>
          <w:rFonts w:ascii="Verdana" w:hAnsi="Verdana"/>
          <w:sz w:val="12"/>
          <w:szCs w:val="24"/>
        </w:rPr>
      </w:pPr>
    </w:p>
    <w:tbl>
      <w:tblPr>
        <w:tblStyle w:val="TableGrid"/>
        <w:tblW w:w="9634" w:type="dxa"/>
        <w:tblLook w:val="04A0" w:firstRow="1" w:lastRow="0" w:firstColumn="1" w:lastColumn="0" w:noHBand="0" w:noVBand="1"/>
      </w:tblPr>
      <w:tblGrid>
        <w:gridCol w:w="930"/>
        <w:gridCol w:w="3683"/>
        <w:gridCol w:w="1130"/>
        <w:gridCol w:w="3891"/>
      </w:tblGrid>
      <w:tr w:rsidR="00083B7F" w:rsidRPr="00E23B12" w:rsidTr="004F478C">
        <w:trPr>
          <w:trHeight w:val="264"/>
        </w:trPr>
        <w:tc>
          <w:tcPr>
            <w:tcW w:w="9634" w:type="dxa"/>
            <w:gridSpan w:val="4"/>
            <w:shd w:val="clear" w:color="auto" w:fill="F2F2F2" w:themeFill="background1" w:themeFillShade="F2"/>
            <w:vAlign w:val="center"/>
          </w:tcPr>
          <w:p w:rsidR="00083B7F" w:rsidRPr="00E23B12" w:rsidRDefault="00083B7F" w:rsidP="004F478C">
            <w:pPr>
              <w:rPr>
                <w:rFonts w:cs="Arial"/>
                <w:sz w:val="24"/>
              </w:rPr>
            </w:pPr>
            <w:r w:rsidRPr="00E23B12">
              <w:rPr>
                <w:rFonts w:cs="Arial"/>
                <w:b/>
                <w:sz w:val="24"/>
              </w:rPr>
              <w:t>ACRONYMS</w:t>
            </w:r>
          </w:p>
        </w:tc>
      </w:tr>
      <w:tr w:rsidR="00083B7F" w:rsidRPr="0058039C" w:rsidTr="004F478C">
        <w:trPr>
          <w:trHeight w:val="425"/>
        </w:trPr>
        <w:tc>
          <w:tcPr>
            <w:tcW w:w="842" w:type="dxa"/>
            <w:shd w:val="clear" w:color="auto" w:fill="FFFFFF" w:themeFill="background1"/>
          </w:tcPr>
          <w:p w:rsidR="00083B7F" w:rsidRPr="0058039C" w:rsidRDefault="00083B7F" w:rsidP="004F478C">
            <w:pPr>
              <w:rPr>
                <w:rFonts w:cs="Arial"/>
                <w:sz w:val="24"/>
              </w:rPr>
            </w:pPr>
            <w:r w:rsidRPr="0058039C">
              <w:rPr>
                <w:color w:val="000000"/>
                <w:sz w:val="24"/>
                <w:lang w:eastAsia="en-GB"/>
              </w:rPr>
              <w:t xml:space="preserve">A&amp;C </w:t>
            </w:r>
          </w:p>
        </w:tc>
        <w:tc>
          <w:tcPr>
            <w:tcW w:w="3900" w:type="dxa"/>
          </w:tcPr>
          <w:p w:rsidR="00083B7F" w:rsidRPr="0058039C" w:rsidRDefault="00083B7F" w:rsidP="004F478C">
            <w:pPr>
              <w:rPr>
                <w:rFonts w:cs="Arial"/>
                <w:sz w:val="24"/>
              </w:rPr>
            </w:pPr>
            <w:r w:rsidRPr="0058039C">
              <w:rPr>
                <w:color w:val="000000"/>
                <w:sz w:val="24"/>
                <w:lang w:eastAsia="en-GB"/>
              </w:rPr>
              <w:t>Administration &amp; Clerical</w:t>
            </w:r>
          </w:p>
        </w:tc>
        <w:tc>
          <w:tcPr>
            <w:tcW w:w="722" w:type="dxa"/>
          </w:tcPr>
          <w:p w:rsidR="00083B7F" w:rsidRPr="0058039C" w:rsidRDefault="00083B7F" w:rsidP="004F478C">
            <w:pPr>
              <w:rPr>
                <w:rFonts w:cs="Arial"/>
                <w:sz w:val="24"/>
              </w:rPr>
            </w:pPr>
            <w:r w:rsidRPr="0058039C">
              <w:rPr>
                <w:color w:val="000000"/>
                <w:sz w:val="24"/>
                <w:lang w:eastAsia="en-GB"/>
              </w:rPr>
              <w:t xml:space="preserve">I&amp;E </w:t>
            </w:r>
          </w:p>
        </w:tc>
        <w:tc>
          <w:tcPr>
            <w:tcW w:w="4170" w:type="dxa"/>
          </w:tcPr>
          <w:p w:rsidR="00083B7F" w:rsidRPr="0058039C" w:rsidRDefault="00083B7F" w:rsidP="004F478C">
            <w:pPr>
              <w:rPr>
                <w:rFonts w:cs="Arial"/>
                <w:sz w:val="24"/>
              </w:rPr>
            </w:pPr>
            <w:r w:rsidRPr="0058039C">
              <w:rPr>
                <w:color w:val="000000"/>
                <w:sz w:val="24"/>
                <w:lang w:eastAsia="en-GB"/>
              </w:rPr>
              <w:t>Income &amp; Expenditure</w:t>
            </w:r>
          </w:p>
        </w:tc>
      </w:tr>
      <w:tr w:rsidR="00083B7F" w:rsidRPr="0058039C" w:rsidTr="004F478C">
        <w:trPr>
          <w:trHeight w:val="425"/>
        </w:trPr>
        <w:tc>
          <w:tcPr>
            <w:tcW w:w="842" w:type="dxa"/>
            <w:shd w:val="clear" w:color="auto" w:fill="FFFFFF" w:themeFill="background1"/>
          </w:tcPr>
          <w:p w:rsidR="00083B7F" w:rsidRPr="0058039C" w:rsidRDefault="00083B7F" w:rsidP="004F478C">
            <w:pPr>
              <w:rPr>
                <w:rFonts w:cs="Arial"/>
                <w:sz w:val="24"/>
              </w:rPr>
            </w:pPr>
            <w:r w:rsidRPr="0058039C">
              <w:rPr>
                <w:color w:val="000000"/>
                <w:sz w:val="24"/>
                <w:lang w:eastAsia="en-GB"/>
              </w:rPr>
              <w:t>AWCP</w:t>
            </w:r>
          </w:p>
        </w:tc>
        <w:tc>
          <w:tcPr>
            <w:tcW w:w="3900" w:type="dxa"/>
          </w:tcPr>
          <w:p w:rsidR="00083B7F" w:rsidRPr="0058039C" w:rsidRDefault="00083B7F" w:rsidP="004F478C">
            <w:pPr>
              <w:rPr>
                <w:rFonts w:cs="Arial"/>
                <w:sz w:val="24"/>
              </w:rPr>
            </w:pPr>
            <w:r w:rsidRPr="0058039C">
              <w:rPr>
                <w:color w:val="000000"/>
                <w:sz w:val="24"/>
                <w:lang w:eastAsia="en-GB"/>
              </w:rPr>
              <w:t>All Wales Capital Programme</w:t>
            </w:r>
          </w:p>
        </w:tc>
        <w:tc>
          <w:tcPr>
            <w:tcW w:w="722" w:type="dxa"/>
          </w:tcPr>
          <w:p w:rsidR="00083B7F" w:rsidRPr="0058039C" w:rsidRDefault="00083B7F" w:rsidP="004F478C">
            <w:pPr>
              <w:rPr>
                <w:rFonts w:cs="Arial"/>
                <w:sz w:val="24"/>
              </w:rPr>
            </w:pPr>
            <w:r w:rsidRPr="0058039C">
              <w:rPr>
                <w:color w:val="000000"/>
                <w:sz w:val="24"/>
                <w:lang w:eastAsia="en-GB"/>
              </w:rPr>
              <w:t xml:space="preserve">LTA </w:t>
            </w:r>
          </w:p>
        </w:tc>
        <w:tc>
          <w:tcPr>
            <w:tcW w:w="4170" w:type="dxa"/>
          </w:tcPr>
          <w:p w:rsidR="00083B7F" w:rsidRPr="0058039C" w:rsidRDefault="00083B7F" w:rsidP="004F478C">
            <w:pPr>
              <w:rPr>
                <w:rFonts w:cs="Arial"/>
                <w:sz w:val="24"/>
              </w:rPr>
            </w:pPr>
            <w:r w:rsidRPr="0058039C">
              <w:rPr>
                <w:color w:val="000000"/>
                <w:sz w:val="24"/>
                <w:lang w:eastAsia="en-GB"/>
              </w:rPr>
              <w:t>Long Term Agreement</w:t>
            </w:r>
          </w:p>
        </w:tc>
      </w:tr>
      <w:tr w:rsidR="00083B7F" w:rsidRPr="0058039C" w:rsidTr="004F478C">
        <w:trPr>
          <w:trHeight w:val="425"/>
        </w:trPr>
        <w:tc>
          <w:tcPr>
            <w:tcW w:w="842" w:type="dxa"/>
            <w:shd w:val="clear" w:color="auto" w:fill="FFFFFF" w:themeFill="background1"/>
          </w:tcPr>
          <w:p w:rsidR="00083B7F" w:rsidRPr="0058039C" w:rsidRDefault="00083B7F" w:rsidP="004F478C">
            <w:pPr>
              <w:rPr>
                <w:color w:val="000000"/>
                <w:sz w:val="24"/>
                <w:lang w:eastAsia="en-GB"/>
              </w:rPr>
            </w:pPr>
            <w:r w:rsidRPr="0058039C">
              <w:rPr>
                <w:color w:val="000000"/>
                <w:sz w:val="24"/>
                <w:lang w:eastAsia="en-GB"/>
              </w:rPr>
              <w:t>AME</w:t>
            </w:r>
          </w:p>
        </w:tc>
        <w:tc>
          <w:tcPr>
            <w:tcW w:w="3900" w:type="dxa"/>
          </w:tcPr>
          <w:p w:rsidR="00083B7F" w:rsidRPr="0058039C" w:rsidRDefault="00083B7F" w:rsidP="004F478C">
            <w:pPr>
              <w:rPr>
                <w:color w:val="000000"/>
                <w:sz w:val="24"/>
                <w:lang w:eastAsia="en-GB"/>
              </w:rPr>
            </w:pPr>
            <w:r w:rsidRPr="0058039C">
              <w:rPr>
                <w:color w:val="000000"/>
                <w:sz w:val="24"/>
                <w:lang w:eastAsia="en-GB"/>
              </w:rPr>
              <w:t>(WG) Annually Managed Expenditure</w:t>
            </w:r>
          </w:p>
        </w:tc>
        <w:tc>
          <w:tcPr>
            <w:tcW w:w="722" w:type="dxa"/>
          </w:tcPr>
          <w:p w:rsidR="00083B7F" w:rsidRPr="0058039C" w:rsidRDefault="00083B7F" w:rsidP="004F478C">
            <w:pPr>
              <w:rPr>
                <w:color w:val="000000"/>
                <w:sz w:val="24"/>
                <w:lang w:eastAsia="en-GB"/>
              </w:rPr>
            </w:pPr>
            <w:r w:rsidRPr="0058039C">
              <w:rPr>
                <w:color w:val="000000"/>
                <w:sz w:val="24"/>
                <w:lang w:eastAsia="en-GB"/>
              </w:rPr>
              <w:t>M1</w:t>
            </w:r>
          </w:p>
        </w:tc>
        <w:tc>
          <w:tcPr>
            <w:tcW w:w="4170" w:type="dxa"/>
          </w:tcPr>
          <w:p w:rsidR="00083B7F" w:rsidRPr="0058039C" w:rsidRDefault="00083B7F" w:rsidP="004F478C">
            <w:pPr>
              <w:rPr>
                <w:color w:val="000000"/>
                <w:sz w:val="24"/>
                <w:lang w:eastAsia="en-GB"/>
              </w:rPr>
            </w:pPr>
            <w:r w:rsidRPr="0058039C">
              <w:rPr>
                <w:color w:val="000000"/>
                <w:sz w:val="24"/>
                <w:lang w:eastAsia="en-GB"/>
              </w:rPr>
              <w:t>Month 1 (M2 Month 2 etc)</w:t>
            </w:r>
          </w:p>
        </w:tc>
      </w:tr>
      <w:tr w:rsidR="00083B7F" w:rsidRPr="0058039C" w:rsidTr="004F478C">
        <w:trPr>
          <w:trHeight w:val="425"/>
        </w:trPr>
        <w:tc>
          <w:tcPr>
            <w:tcW w:w="842" w:type="dxa"/>
            <w:shd w:val="clear" w:color="auto" w:fill="FFFFFF" w:themeFill="background1"/>
          </w:tcPr>
          <w:p w:rsidR="00083B7F" w:rsidRPr="0058039C" w:rsidRDefault="00083B7F" w:rsidP="004F478C">
            <w:pPr>
              <w:rPr>
                <w:color w:val="000000"/>
                <w:sz w:val="24"/>
                <w:lang w:eastAsia="en-GB"/>
              </w:rPr>
            </w:pPr>
            <w:r w:rsidRPr="0058039C">
              <w:rPr>
                <w:color w:val="000000"/>
                <w:sz w:val="24"/>
                <w:lang w:eastAsia="en-GB"/>
              </w:rPr>
              <w:t>CHC</w:t>
            </w:r>
          </w:p>
        </w:tc>
        <w:tc>
          <w:tcPr>
            <w:tcW w:w="3900" w:type="dxa"/>
          </w:tcPr>
          <w:p w:rsidR="00083B7F" w:rsidRPr="0058039C" w:rsidRDefault="00083B7F" w:rsidP="004F478C">
            <w:pPr>
              <w:rPr>
                <w:color w:val="000000"/>
                <w:sz w:val="24"/>
                <w:lang w:eastAsia="en-GB"/>
              </w:rPr>
            </w:pPr>
            <w:r w:rsidRPr="0058039C">
              <w:rPr>
                <w:color w:val="000000"/>
                <w:sz w:val="24"/>
                <w:lang w:eastAsia="en-GB"/>
              </w:rPr>
              <w:t>Continuing Healthcare</w:t>
            </w:r>
          </w:p>
        </w:tc>
        <w:tc>
          <w:tcPr>
            <w:tcW w:w="722" w:type="dxa"/>
          </w:tcPr>
          <w:p w:rsidR="00083B7F" w:rsidRPr="0058039C" w:rsidRDefault="00083B7F" w:rsidP="004F478C">
            <w:pPr>
              <w:rPr>
                <w:color w:val="000000"/>
                <w:sz w:val="24"/>
                <w:lang w:eastAsia="en-GB"/>
              </w:rPr>
            </w:pPr>
            <w:r w:rsidRPr="0058039C">
              <w:rPr>
                <w:color w:val="000000"/>
                <w:sz w:val="24"/>
                <w:lang w:eastAsia="en-GB"/>
              </w:rPr>
              <w:t>PCMH</w:t>
            </w:r>
          </w:p>
        </w:tc>
        <w:tc>
          <w:tcPr>
            <w:tcW w:w="4170" w:type="dxa"/>
          </w:tcPr>
          <w:p w:rsidR="00083B7F" w:rsidRPr="0058039C" w:rsidRDefault="00083B7F" w:rsidP="004F478C">
            <w:pPr>
              <w:rPr>
                <w:color w:val="000000"/>
                <w:sz w:val="24"/>
                <w:lang w:eastAsia="en-GB"/>
              </w:rPr>
            </w:pPr>
            <w:r w:rsidRPr="0058039C">
              <w:rPr>
                <w:color w:val="000000"/>
                <w:sz w:val="24"/>
                <w:lang w:eastAsia="en-GB"/>
              </w:rPr>
              <w:t>Primary Community &amp; Mental Health</w:t>
            </w:r>
          </w:p>
        </w:tc>
      </w:tr>
      <w:tr w:rsidR="00083B7F" w:rsidRPr="0058039C" w:rsidTr="004F478C">
        <w:trPr>
          <w:trHeight w:val="425"/>
        </w:trPr>
        <w:tc>
          <w:tcPr>
            <w:tcW w:w="842" w:type="dxa"/>
            <w:shd w:val="clear" w:color="auto" w:fill="FFFFFF" w:themeFill="background1"/>
          </w:tcPr>
          <w:p w:rsidR="00083B7F" w:rsidRPr="0058039C" w:rsidRDefault="00083B7F" w:rsidP="004F478C">
            <w:pPr>
              <w:rPr>
                <w:color w:val="000000"/>
                <w:sz w:val="24"/>
                <w:lang w:eastAsia="en-GB"/>
              </w:rPr>
            </w:pPr>
            <w:r w:rsidRPr="0058039C">
              <w:rPr>
                <w:color w:val="000000"/>
                <w:sz w:val="24"/>
                <w:lang w:eastAsia="en-GB"/>
              </w:rPr>
              <w:lastRenderedPageBreak/>
              <w:t>COO</w:t>
            </w:r>
          </w:p>
        </w:tc>
        <w:tc>
          <w:tcPr>
            <w:tcW w:w="3900" w:type="dxa"/>
          </w:tcPr>
          <w:p w:rsidR="00083B7F" w:rsidRPr="0058039C" w:rsidRDefault="00083B7F" w:rsidP="004F478C">
            <w:pPr>
              <w:rPr>
                <w:color w:val="000000"/>
                <w:sz w:val="24"/>
                <w:lang w:eastAsia="en-GB"/>
              </w:rPr>
            </w:pPr>
            <w:r w:rsidRPr="0058039C">
              <w:rPr>
                <w:color w:val="000000"/>
                <w:sz w:val="24"/>
                <w:lang w:eastAsia="en-GB"/>
              </w:rPr>
              <w:t>Chief Operating Officer</w:t>
            </w:r>
          </w:p>
        </w:tc>
        <w:tc>
          <w:tcPr>
            <w:tcW w:w="722" w:type="dxa"/>
          </w:tcPr>
          <w:p w:rsidR="00083B7F" w:rsidRPr="0058039C" w:rsidRDefault="00083B7F" w:rsidP="004F478C">
            <w:pPr>
              <w:rPr>
                <w:color w:val="000000"/>
                <w:sz w:val="24"/>
                <w:lang w:eastAsia="en-GB"/>
              </w:rPr>
            </w:pPr>
            <w:r w:rsidRPr="0058039C">
              <w:rPr>
                <w:color w:val="000000"/>
                <w:sz w:val="24"/>
                <w:lang w:eastAsia="en-GB"/>
              </w:rPr>
              <w:t>PCH</w:t>
            </w:r>
          </w:p>
        </w:tc>
        <w:tc>
          <w:tcPr>
            <w:tcW w:w="4170" w:type="dxa"/>
          </w:tcPr>
          <w:p w:rsidR="00083B7F" w:rsidRPr="0058039C" w:rsidRDefault="00083B7F" w:rsidP="004F478C">
            <w:pPr>
              <w:rPr>
                <w:color w:val="000000"/>
                <w:sz w:val="24"/>
                <w:lang w:eastAsia="en-GB"/>
              </w:rPr>
            </w:pPr>
            <w:r w:rsidRPr="0058039C">
              <w:rPr>
                <w:color w:val="000000"/>
                <w:sz w:val="24"/>
                <w:lang w:eastAsia="en-GB"/>
              </w:rPr>
              <w:t>Prince Charles Hospital</w:t>
            </w:r>
          </w:p>
        </w:tc>
      </w:tr>
      <w:tr w:rsidR="00083B7F" w:rsidRPr="0058039C" w:rsidTr="004F478C">
        <w:trPr>
          <w:trHeight w:val="425"/>
        </w:trPr>
        <w:tc>
          <w:tcPr>
            <w:tcW w:w="842" w:type="dxa"/>
            <w:shd w:val="clear" w:color="auto" w:fill="FFFFFF" w:themeFill="background1"/>
          </w:tcPr>
          <w:p w:rsidR="00083B7F" w:rsidRPr="0058039C" w:rsidRDefault="00083B7F" w:rsidP="004F478C">
            <w:pPr>
              <w:rPr>
                <w:color w:val="000000"/>
                <w:sz w:val="24"/>
                <w:lang w:eastAsia="en-GB"/>
              </w:rPr>
            </w:pPr>
            <w:r w:rsidRPr="0058039C">
              <w:rPr>
                <w:color w:val="000000"/>
                <w:sz w:val="24"/>
                <w:lang w:eastAsia="en-GB"/>
              </w:rPr>
              <w:t>CRES</w:t>
            </w:r>
          </w:p>
        </w:tc>
        <w:tc>
          <w:tcPr>
            <w:tcW w:w="3900" w:type="dxa"/>
          </w:tcPr>
          <w:p w:rsidR="00083B7F" w:rsidRPr="0058039C" w:rsidRDefault="00083B7F" w:rsidP="004F478C">
            <w:pPr>
              <w:rPr>
                <w:color w:val="000000"/>
                <w:sz w:val="24"/>
                <w:lang w:eastAsia="en-GB"/>
              </w:rPr>
            </w:pPr>
            <w:r w:rsidRPr="0058039C">
              <w:rPr>
                <w:color w:val="000000"/>
                <w:sz w:val="24"/>
                <w:lang w:eastAsia="en-GB"/>
              </w:rPr>
              <w:t>Cash Releasing Efficiency Savings</w:t>
            </w:r>
          </w:p>
        </w:tc>
        <w:tc>
          <w:tcPr>
            <w:tcW w:w="722" w:type="dxa"/>
          </w:tcPr>
          <w:p w:rsidR="00083B7F" w:rsidRPr="0058039C" w:rsidRDefault="00083B7F" w:rsidP="004F478C">
            <w:pPr>
              <w:rPr>
                <w:color w:val="000000"/>
                <w:sz w:val="24"/>
                <w:lang w:eastAsia="en-GB"/>
              </w:rPr>
            </w:pPr>
            <w:r w:rsidRPr="0058039C">
              <w:rPr>
                <w:color w:val="000000"/>
                <w:sz w:val="24"/>
                <w:lang w:eastAsia="en-GB"/>
              </w:rPr>
              <w:t>POW</w:t>
            </w:r>
          </w:p>
        </w:tc>
        <w:tc>
          <w:tcPr>
            <w:tcW w:w="4170" w:type="dxa"/>
          </w:tcPr>
          <w:p w:rsidR="00083B7F" w:rsidRPr="0058039C" w:rsidRDefault="00083B7F" w:rsidP="004F478C">
            <w:pPr>
              <w:rPr>
                <w:color w:val="000000"/>
                <w:sz w:val="24"/>
                <w:lang w:eastAsia="en-GB"/>
              </w:rPr>
            </w:pPr>
            <w:r w:rsidRPr="0058039C">
              <w:rPr>
                <w:color w:val="000000"/>
                <w:sz w:val="24"/>
                <w:lang w:eastAsia="en-GB"/>
              </w:rPr>
              <w:t>Princess of Wales Hospital</w:t>
            </w:r>
          </w:p>
        </w:tc>
      </w:tr>
      <w:tr w:rsidR="00083B7F" w:rsidRPr="0058039C" w:rsidTr="004F478C">
        <w:trPr>
          <w:trHeight w:val="425"/>
        </w:trPr>
        <w:tc>
          <w:tcPr>
            <w:tcW w:w="842" w:type="dxa"/>
            <w:shd w:val="clear" w:color="auto" w:fill="FFFFFF" w:themeFill="background1"/>
          </w:tcPr>
          <w:p w:rsidR="00083B7F" w:rsidRPr="0058039C" w:rsidRDefault="00083B7F" w:rsidP="004F478C">
            <w:pPr>
              <w:rPr>
                <w:color w:val="000000"/>
                <w:sz w:val="24"/>
                <w:lang w:eastAsia="en-GB"/>
              </w:rPr>
            </w:pPr>
            <w:r w:rsidRPr="0058039C">
              <w:rPr>
                <w:color w:val="000000"/>
                <w:sz w:val="24"/>
                <w:lang w:eastAsia="en-GB"/>
              </w:rPr>
              <w:t>CRL</w:t>
            </w:r>
          </w:p>
        </w:tc>
        <w:tc>
          <w:tcPr>
            <w:tcW w:w="3900" w:type="dxa"/>
          </w:tcPr>
          <w:p w:rsidR="00083B7F" w:rsidRPr="0058039C" w:rsidRDefault="00083B7F" w:rsidP="004F478C">
            <w:pPr>
              <w:rPr>
                <w:color w:val="000000"/>
                <w:sz w:val="24"/>
                <w:lang w:eastAsia="en-GB"/>
              </w:rPr>
            </w:pPr>
            <w:r w:rsidRPr="0058039C">
              <w:rPr>
                <w:color w:val="000000"/>
                <w:sz w:val="24"/>
                <w:lang w:eastAsia="en-GB"/>
              </w:rPr>
              <w:t>Capital Resource Limit</w:t>
            </w:r>
          </w:p>
        </w:tc>
        <w:tc>
          <w:tcPr>
            <w:tcW w:w="722" w:type="dxa"/>
          </w:tcPr>
          <w:p w:rsidR="00083B7F" w:rsidRPr="0058039C" w:rsidRDefault="00083B7F" w:rsidP="004F478C">
            <w:pPr>
              <w:rPr>
                <w:color w:val="000000"/>
                <w:sz w:val="24"/>
                <w:lang w:eastAsia="en-GB"/>
              </w:rPr>
            </w:pPr>
            <w:r w:rsidRPr="0058039C">
              <w:rPr>
                <w:color w:val="000000"/>
                <w:sz w:val="24"/>
                <w:lang w:eastAsia="en-GB"/>
              </w:rPr>
              <w:t>RGH</w:t>
            </w:r>
          </w:p>
        </w:tc>
        <w:tc>
          <w:tcPr>
            <w:tcW w:w="4170" w:type="dxa"/>
          </w:tcPr>
          <w:p w:rsidR="00083B7F" w:rsidRPr="0058039C" w:rsidRDefault="00083B7F" w:rsidP="004F478C">
            <w:pPr>
              <w:rPr>
                <w:color w:val="000000"/>
                <w:sz w:val="24"/>
                <w:lang w:eastAsia="en-GB"/>
              </w:rPr>
            </w:pPr>
            <w:r w:rsidRPr="0058039C">
              <w:rPr>
                <w:color w:val="000000"/>
                <w:sz w:val="24"/>
                <w:lang w:eastAsia="en-GB"/>
              </w:rPr>
              <w:t>Royal Glamorgan Hospital</w:t>
            </w:r>
          </w:p>
        </w:tc>
      </w:tr>
      <w:tr w:rsidR="00083B7F" w:rsidRPr="0058039C" w:rsidTr="004F478C">
        <w:trPr>
          <w:trHeight w:val="425"/>
        </w:trPr>
        <w:tc>
          <w:tcPr>
            <w:tcW w:w="842" w:type="dxa"/>
            <w:shd w:val="clear" w:color="auto" w:fill="FFFFFF" w:themeFill="background1"/>
          </w:tcPr>
          <w:p w:rsidR="00083B7F" w:rsidRPr="0058039C" w:rsidRDefault="00083B7F" w:rsidP="004F478C">
            <w:pPr>
              <w:rPr>
                <w:color w:val="000000"/>
                <w:sz w:val="24"/>
                <w:lang w:eastAsia="en-GB"/>
              </w:rPr>
            </w:pPr>
            <w:r w:rsidRPr="0058039C">
              <w:rPr>
                <w:color w:val="000000"/>
                <w:sz w:val="24"/>
                <w:lang w:eastAsia="en-GB"/>
              </w:rPr>
              <w:t>FNC</w:t>
            </w:r>
          </w:p>
        </w:tc>
        <w:tc>
          <w:tcPr>
            <w:tcW w:w="3900" w:type="dxa"/>
          </w:tcPr>
          <w:p w:rsidR="00083B7F" w:rsidRPr="0058039C" w:rsidRDefault="00083B7F" w:rsidP="004F478C">
            <w:pPr>
              <w:rPr>
                <w:color w:val="000000"/>
                <w:sz w:val="24"/>
                <w:lang w:eastAsia="en-GB"/>
              </w:rPr>
            </w:pPr>
            <w:r w:rsidRPr="0058039C">
              <w:rPr>
                <w:color w:val="000000"/>
                <w:sz w:val="24"/>
                <w:lang w:eastAsia="en-GB"/>
              </w:rPr>
              <w:t>Funded Nursing Care</w:t>
            </w:r>
          </w:p>
        </w:tc>
        <w:tc>
          <w:tcPr>
            <w:tcW w:w="722" w:type="dxa"/>
          </w:tcPr>
          <w:p w:rsidR="00083B7F" w:rsidRPr="0058039C" w:rsidRDefault="00083B7F" w:rsidP="004F478C">
            <w:pPr>
              <w:rPr>
                <w:color w:val="000000"/>
                <w:sz w:val="24"/>
                <w:lang w:eastAsia="en-GB"/>
              </w:rPr>
            </w:pPr>
            <w:r w:rsidRPr="0058039C">
              <w:rPr>
                <w:color w:val="000000"/>
                <w:sz w:val="24"/>
                <w:lang w:eastAsia="en-GB"/>
              </w:rPr>
              <w:t>PSPP</w:t>
            </w:r>
          </w:p>
        </w:tc>
        <w:tc>
          <w:tcPr>
            <w:tcW w:w="4170" w:type="dxa"/>
          </w:tcPr>
          <w:p w:rsidR="00083B7F" w:rsidRPr="0058039C" w:rsidRDefault="00083B7F" w:rsidP="004F478C">
            <w:pPr>
              <w:rPr>
                <w:color w:val="000000"/>
                <w:sz w:val="24"/>
                <w:lang w:eastAsia="en-GB"/>
              </w:rPr>
            </w:pPr>
            <w:r w:rsidRPr="0058039C">
              <w:rPr>
                <w:color w:val="000000"/>
                <w:sz w:val="24"/>
                <w:lang w:eastAsia="en-GB"/>
              </w:rPr>
              <w:t>Public Sector Payment Policy</w:t>
            </w:r>
          </w:p>
        </w:tc>
      </w:tr>
      <w:tr w:rsidR="00083B7F" w:rsidRPr="0058039C" w:rsidTr="004F478C">
        <w:trPr>
          <w:trHeight w:val="425"/>
        </w:trPr>
        <w:tc>
          <w:tcPr>
            <w:tcW w:w="842" w:type="dxa"/>
            <w:shd w:val="clear" w:color="auto" w:fill="FFFFFF" w:themeFill="background1"/>
          </w:tcPr>
          <w:p w:rsidR="00083B7F" w:rsidRPr="0058039C" w:rsidRDefault="00083B7F" w:rsidP="004F478C">
            <w:pPr>
              <w:rPr>
                <w:color w:val="000000"/>
                <w:sz w:val="24"/>
                <w:lang w:eastAsia="en-GB"/>
              </w:rPr>
            </w:pPr>
            <w:r w:rsidRPr="0058039C">
              <w:rPr>
                <w:color w:val="000000"/>
                <w:sz w:val="24"/>
                <w:lang w:eastAsia="en-GB"/>
              </w:rPr>
              <w:t>HCHS</w:t>
            </w:r>
          </w:p>
        </w:tc>
        <w:tc>
          <w:tcPr>
            <w:tcW w:w="3900" w:type="dxa"/>
          </w:tcPr>
          <w:p w:rsidR="00083B7F" w:rsidRPr="0058039C" w:rsidRDefault="00083B7F" w:rsidP="004F478C">
            <w:pPr>
              <w:rPr>
                <w:color w:val="000000"/>
                <w:sz w:val="24"/>
                <w:lang w:eastAsia="en-GB"/>
              </w:rPr>
            </w:pPr>
            <w:r w:rsidRPr="0058039C">
              <w:rPr>
                <w:color w:val="000000"/>
                <w:sz w:val="24"/>
                <w:lang w:eastAsia="en-GB"/>
              </w:rPr>
              <w:t>Healthcare &amp; Hospital Services</w:t>
            </w:r>
          </w:p>
        </w:tc>
        <w:tc>
          <w:tcPr>
            <w:tcW w:w="722" w:type="dxa"/>
          </w:tcPr>
          <w:p w:rsidR="00083B7F" w:rsidRPr="0058039C" w:rsidRDefault="00083B7F" w:rsidP="004F478C">
            <w:pPr>
              <w:rPr>
                <w:color w:val="000000"/>
                <w:sz w:val="24"/>
                <w:lang w:eastAsia="en-GB"/>
              </w:rPr>
            </w:pPr>
            <w:r w:rsidRPr="0058039C">
              <w:rPr>
                <w:color w:val="000000"/>
                <w:sz w:val="24"/>
                <w:lang w:eastAsia="en-GB"/>
              </w:rPr>
              <w:t>WG</w:t>
            </w:r>
          </w:p>
        </w:tc>
        <w:tc>
          <w:tcPr>
            <w:tcW w:w="4170" w:type="dxa"/>
          </w:tcPr>
          <w:p w:rsidR="00083B7F" w:rsidRPr="0058039C" w:rsidRDefault="00083B7F" w:rsidP="004F478C">
            <w:pPr>
              <w:rPr>
                <w:color w:val="000000"/>
                <w:sz w:val="24"/>
                <w:lang w:eastAsia="en-GB"/>
              </w:rPr>
            </w:pPr>
            <w:r w:rsidRPr="0058039C">
              <w:rPr>
                <w:color w:val="000000"/>
                <w:sz w:val="24"/>
                <w:lang w:eastAsia="en-GB"/>
              </w:rPr>
              <w:t>Welsh Government</w:t>
            </w:r>
          </w:p>
        </w:tc>
      </w:tr>
      <w:tr w:rsidR="00083B7F" w:rsidRPr="0058039C" w:rsidTr="004F478C">
        <w:trPr>
          <w:trHeight w:val="425"/>
        </w:trPr>
        <w:tc>
          <w:tcPr>
            <w:tcW w:w="842" w:type="dxa"/>
            <w:shd w:val="clear" w:color="auto" w:fill="FFFFFF" w:themeFill="background1"/>
          </w:tcPr>
          <w:p w:rsidR="00083B7F" w:rsidRPr="0058039C" w:rsidRDefault="00083B7F" w:rsidP="004F478C">
            <w:pPr>
              <w:rPr>
                <w:color w:val="000000"/>
                <w:sz w:val="24"/>
                <w:lang w:eastAsia="en-GB"/>
              </w:rPr>
            </w:pPr>
            <w:r w:rsidRPr="0058039C">
              <w:rPr>
                <w:color w:val="000000"/>
                <w:sz w:val="24"/>
                <w:lang w:eastAsia="en-GB"/>
              </w:rPr>
              <w:t>IHI</w:t>
            </w:r>
          </w:p>
        </w:tc>
        <w:tc>
          <w:tcPr>
            <w:tcW w:w="3900" w:type="dxa"/>
          </w:tcPr>
          <w:p w:rsidR="00083B7F" w:rsidRPr="0058039C" w:rsidRDefault="00083B7F" w:rsidP="004F478C">
            <w:pPr>
              <w:rPr>
                <w:color w:val="000000"/>
                <w:sz w:val="24"/>
                <w:lang w:eastAsia="en-GB"/>
              </w:rPr>
            </w:pPr>
            <w:r w:rsidRPr="0058039C">
              <w:rPr>
                <w:color w:val="000000"/>
                <w:sz w:val="24"/>
                <w:lang w:eastAsia="en-GB"/>
              </w:rPr>
              <w:t>Institute of Healthcare Improvements</w:t>
            </w:r>
          </w:p>
        </w:tc>
        <w:tc>
          <w:tcPr>
            <w:tcW w:w="722" w:type="dxa"/>
          </w:tcPr>
          <w:p w:rsidR="00083B7F" w:rsidRPr="0058039C" w:rsidRDefault="00083B7F" w:rsidP="004F478C">
            <w:pPr>
              <w:rPr>
                <w:color w:val="000000"/>
                <w:sz w:val="24"/>
                <w:lang w:eastAsia="en-GB"/>
              </w:rPr>
            </w:pPr>
            <w:r w:rsidRPr="0058039C">
              <w:rPr>
                <w:color w:val="000000"/>
                <w:sz w:val="24"/>
                <w:lang w:eastAsia="en-GB"/>
              </w:rPr>
              <w:t>WHSSC</w:t>
            </w:r>
          </w:p>
        </w:tc>
        <w:tc>
          <w:tcPr>
            <w:tcW w:w="4170" w:type="dxa"/>
          </w:tcPr>
          <w:p w:rsidR="00083B7F" w:rsidRPr="0058039C" w:rsidRDefault="00083B7F" w:rsidP="004F478C">
            <w:pPr>
              <w:rPr>
                <w:color w:val="000000"/>
                <w:sz w:val="24"/>
                <w:lang w:eastAsia="en-GB"/>
              </w:rPr>
            </w:pPr>
            <w:r w:rsidRPr="0058039C">
              <w:rPr>
                <w:color w:val="000000"/>
                <w:sz w:val="24"/>
                <w:lang w:eastAsia="en-GB"/>
              </w:rPr>
              <w:t>Welsh Health Specialised Services Committee</w:t>
            </w:r>
          </w:p>
        </w:tc>
      </w:tr>
      <w:tr w:rsidR="00083B7F" w:rsidRPr="0058039C" w:rsidTr="004F478C">
        <w:trPr>
          <w:trHeight w:val="425"/>
        </w:trPr>
        <w:tc>
          <w:tcPr>
            <w:tcW w:w="842" w:type="dxa"/>
            <w:shd w:val="clear" w:color="auto" w:fill="FFFFFF" w:themeFill="background1"/>
          </w:tcPr>
          <w:p w:rsidR="00083B7F" w:rsidRPr="0058039C" w:rsidRDefault="00083B7F" w:rsidP="004F478C">
            <w:pPr>
              <w:rPr>
                <w:color w:val="000000"/>
                <w:sz w:val="24"/>
                <w:lang w:eastAsia="en-GB"/>
              </w:rPr>
            </w:pPr>
            <w:r w:rsidRPr="0058039C">
              <w:rPr>
                <w:color w:val="000000"/>
                <w:sz w:val="24"/>
                <w:lang w:eastAsia="en-GB"/>
              </w:rPr>
              <w:t>IMTP</w:t>
            </w:r>
          </w:p>
        </w:tc>
        <w:tc>
          <w:tcPr>
            <w:tcW w:w="3900" w:type="dxa"/>
          </w:tcPr>
          <w:p w:rsidR="00083B7F" w:rsidRPr="0058039C" w:rsidRDefault="00083B7F" w:rsidP="004F478C">
            <w:pPr>
              <w:rPr>
                <w:color w:val="000000"/>
                <w:sz w:val="24"/>
                <w:lang w:eastAsia="en-GB"/>
              </w:rPr>
            </w:pPr>
            <w:r w:rsidRPr="0058039C">
              <w:rPr>
                <w:color w:val="000000"/>
                <w:sz w:val="24"/>
                <w:lang w:eastAsia="en-GB"/>
              </w:rPr>
              <w:t>Integrated Medium Term Plan</w:t>
            </w:r>
          </w:p>
        </w:tc>
        <w:tc>
          <w:tcPr>
            <w:tcW w:w="722" w:type="dxa"/>
          </w:tcPr>
          <w:p w:rsidR="00083B7F" w:rsidRPr="0058039C" w:rsidRDefault="00083B7F" w:rsidP="004F478C">
            <w:pPr>
              <w:rPr>
                <w:color w:val="000000"/>
                <w:sz w:val="24"/>
                <w:lang w:eastAsia="en-GB"/>
              </w:rPr>
            </w:pPr>
            <w:r w:rsidRPr="0058039C">
              <w:rPr>
                <w:color w:val="000000"/>
                <w:sz w:val="24"/>
                <w:lang w:eastAsia="en-GB"/>
              </w:rPr>
              <w:t>YTD</w:t>
            </w:r>
          </w:p>
        </w:tc>
        <w:tc>
          <w:tcPr>
            <w:tcW w:w="4170" w:type="dxa"/>
          </w:tcPr>
          <w:p w:rsidR="00083B7F" w:rsidRPr="0058039C" w:rsidRDefault="00083B7F" w:rsidP="004F478C">
            <w:pPr>
              <w:rPr>
                <w:color w:val="000000"/>
                <w:sz w:val="24"/>
                <w:lang w:eastAsia="en-GB"/>
              </w:rPr>
            </w:pPr>
            <w:r w:rsidRPr="0058039C">
              <w:rPr>
                <w:color w:val="000000"/>
                <w:sz w:val="24"/>
                <w:lang w:eastAsia="en-GB"/>
              </w:rPr>
              <w:t>Year to Date</w:t>
            </w:r>
          </w:p>
        </w:tc>
      </w:tr>
    </w:tbl>
    <w:p w:rsidR="00083B7F" w:rsidRDefault="00083B7F" w:rsidP="00083B7F">
      <w:pPr>
        <w:pStyle w:val="ListParagraph"/>
        <w:ind w:left="360"/>
        <w:rPr>
          <w:rFonts w:cs="Arial"/>
          <w:b/>
          <w:sz w:val="24"/>
        </w:rPr>
      </w:pPr>
    </w:p>
    <w:p w:rsidR="00F66EA2" w:rsidRPr="00FB2623" w:rsidRDefault="00F66EA2" w:rsidP="00F66EA2">
      <w:pPr>
        <w:tabs>
          <w:tab w:val="right" w:pos="9000"/>
        </w:tabs>
        <w:jc w:val="center"/>
        <w:rPr>
          <w:rFonts w:cs="Arial"/>
          <w:b/>
          <w:sz w:val="24"/>
        </w:rPr>
      </w:pPr>
    </w:p>
    <w:p w:rsidR="00F66EA2" w:rsidRPr="00FB2623" w:rsidRDefault="00F66EA2" w:rsidP="00F66EA2">
      <w:pPr>
        <w:tabs>
          <w:tab w:val="right" w:pos="9000"/>
        </w:tabs>
        <w:jc w:val="center"/>
        <w:rPr>
          <w:rFonts w:cs="Arial"/>
          <w:b/>
          <w:sz w:val="24"/>
        </w:rPr>
      </w:pPr>
    </w:p>
    <w:p w:rsidR="00F66EA2" w:rsidRPr="00FB2623" w:rsidRDefault="00F66EA2" w:rsidP="00F66EA2">
      <w:pPr>
        <w:tabs>
          <w:tab w:val="right" w:pos="9000"/>
        </w:tabs>
        <w:jc w:val="center"/>
        <w:rPr>
          <w:rFonts w:cs="Arial"/>
          <w:b/>
          <w:sz w:val="24"/>
        </w:rPr>
      </w:pPr>
    </w:p>
    <w:p w:rsidR="00F66EA2" w:rsidRPr="00FB2623" w:rsidRDefault="00F66EA2" w:rsidP="00F66EA2">
      <w:pPr>
        <w:tabs>
          <w:tab w:val="right" w:pos="9000"/>
        </w:tabs>
        <w:rPr>
          <w:rFonts w:cs="Arial"/>
          <w:b/>
          <w:sz w:val="24"/>
        </w:rPr>
      </w:pPr>
    </w:p>
    <w:p w:rsidR="00E76EE3" w:rsidRPr="00FB2623" w:rsidRDefault="00E76EE3" w:rsidP="0066206B">
      <w:pPr>
        <w:rPr>
          <w:b/>
          <w:sz w:val="2"/>
          <w:u w:val="single"/>
        </w:rPr>
      </w:pPr>
    </w:p>
    <w:p w:rsidR="00DA4096" w:rsidRDefault="00DA4096" w:rsidP="00DA4096">
      <w:pPr>
        <w:tabs>
          <w:tab w:val="left" w:pos="3111"/>
        </w:tabs>
        <w:rPr>
          <w:b/>
          <w:sz w:val="24"/>
          <w:u w:val="single"/>
        </w:rPr>
      </w:pPr>
    </w:p>
    <w:p w:rsidR="00DA4096" w:rsidRPr="00DA4096" w:rsidRDefault="00DA4096" w:rsidP="00DA4096">
      <w:pPr>
        <w:rPr>
          <w:sz w:val="24"/>
        </w:rPr>
      </w:pPr>
    </w:p>
    <w:p w:rsidR="00337C1B" w:rsidRPr="00DA4096" w:rsidRDefault="00337C1B" w:rsidP="00DA4096">
      <w:pPr>
        <w:rPr>
          <w:sz w:val="24"/>
        </w:rPr>
        <w:sectPr w:rsidR="00337C1B" w:rsidRPr="00DA4096" w:rsidSect="002E02A6">
          <w:headerReference w:type="even" r:id="rId8"/>
          <w:headerReference w:type="default" r:id="rId9"/>
          <w:footerReference w:type="even" r:id="rId10"/>
          <w:footerReference w:type="default" r:id="rId11"/>
          <w:headerReference w:type="first" r:id="rId12"/>
          <w:footerReference w:type="first" r:id="rId13"/>
          <w:pgSz w:w="12240" w:h="15840" w:code="1"/>
          <w:pgMar w:top="1440" w:right="1440" w:bottom="1440" w:left="1440" w:header="283" w:footer="363" w:gutter="0"/>
          <w:cols w:space="708"/>
          <w:titlePg/>
          <w:docGrid w:linePitch="381"/>
        </w:sectPr>
      </w:pPr>
    </w:p>
    <w:p w:rsidR="00303026" w:rsidRPr="00FB2623" w:rsidRDefault="00303026" w:rsidP="00303026">
      <w:pPr>
        <w:ind w:left="-851"/>
        <w:jc w:val="center"/>
        <w:rPr>
          <w:rFonts w:cs="Arial"/>
          <w:b/>
          <w:sz w:val="24"/>
        </w:rPr>
      </w:pPr>
      <w:r w:rsidRPr="00FB2623">
        <w:rPr>
          <w:rFonts w:cs="Arial"/>
          <w:b/>
          <w:sz w:val="24"/>
        </w:rPr>
        <w:lastRenderedPageBreak/>
        <w:t xml:space="preserve">FINANCE </w:t>
      </w:r>
      <w:r w:rsidR="00834283" w:rsidRPr="00FB2623">
        <w:rPr>
          <w:rFonts w:cs="Arial"/>
          <w:b/>
          <w:sz w:val="24"/>
        </w:rPr>
        <w:t xml:space="preserve">REPORT </w:t>
      </w:r>
      <w:r w:rsidRPr="00FB2623">
        <w:rPr>
          <w:rFonts w:cs="Arial"/>
          <w:b/>
          <w:sz w:val="24"/>
        </w:rPr>
        <w:t xml:space="preserve">– MONTH </w:t>
      </w:r>
      <w:r w:rsidR="00953B07">
        <w:rPr>
          <w:rFonts w:cs="Arial"/>
          <w:b/>
          <w:sz w:val="24"/>
        </w:rPr>
        <w:t>11</w:t>
      </w:r>
      <w:r w:rsidR="004F625A" w:rsidRPr="00FB2623">
        <w:rPr>
          <w:rFonts w:cs="Arial"/>
          <w:b/>
          <w:sz w:val="24"/>
        </w:rPr>
        <w:t xml:space="preserve"> of 2019/20</w:t>
      </w:r>
    </w:p>
    <w:p w:rsidR="00E479B0" w:rsidRPr="00FB2623" w:rsidRDefault="00E479B0" w:rsidP="00303026">
      <w:pPr>
        <w:ind w:left="-851"/>
        <w:jc w:val="center"/>
        <w:rPr>
          <w:rFonts w:cs="Arial"/>
          <w:b/>
          <w:sz w:val="24"/>
        </w:rPr>
      </w:pPr>
    </w:p>
    <w:p w:rsidR="00303026" w:rsidRPr="00FB2623" w:rsidRDefault="00303026" w:rsidP="006616E8">
      <w:pPr>
        <w:pStyle w:val="Heading8"/>
        <w:numPr>
          <w:ilvl w:val="0"/>
          <w:numId w:val="3"/>
        </w:numPr>
        <w:tabs>
          <w:tab w:val="left" w:pos="426"/>
        </w:tabs>
        <w:rPr>
          <w:rFonts w:ascii="Verdana" w:hAnsi="Verdana" w:cs="Tahoma"/>
        </w:rPr>
      </w:pPr>
      <w:r w:rsidRPr="001B382A">
        <w:rPr>
          <w:rFonts w:ascii="Verdana" w:hAnsi="Verdana" w:cs="Tahoma"/>
        </w:rPr>
        <w:t>S</w:t>
      </w:r>
      <w:r w:rsidR="001B382A">
        <w:rPr>
          <w:rFonts w:ascii="Verdana" w:hAnsi="Verdana" w:cs="Tahoma"/>
        </w:rPr>
        <w:t>ITUATION/BACKGROUND</w:t>
      </w:r>
      <w:r w:rsidRPr="00FB2623">
        <w:rPr>
          <w:rFonts w:ascii="Verdana" w:hAnsi="Verdana" w:cs="Tahoma"/>
        </w:rPr>
        <w:t xml:space="preserve"> </w:t>
      </w:r>
    </w:p>
    <w:p w:rsidR="00303026" w:rsidRPr="00FB2623" w:rsidRDefault="00303026" w:rsidP="00303026">
      <w:pPr>
        <w:rPr>
          <w:sz w:val="24"/>
        </w:rPr>
      </w:pPr>
    </w:p>
    <w:p w:rsidR="00953B07" w:rsidRPr="00FB2623" w:rsidRDefault="00953B07" w:rsidP="00953B07">
      <w:pPr>
        <w:ind w:left="360"/>
        <w:jc w:val="both"/>
        <w:rPr>
          <w:rFonts w:cs="Tahoma"/>
          <w:sz w:val="24"/>
        </w:rPr>
      </w:pPr>
      <w:r w:rsidRPr="00FB2623">
        <w:rPr>
          <w:rFonts w:cs="Tahoma"/>
          <w:sz w:val="24"/>
        </w:rPr>
        <w:t xml:space="preserve">The purpose of this report is to highlight the key messages in relation to the current month, year to date and forecast year- end financial position of Cwm Taf </w:t>
      </w:r>
      <w:r>
        <w:rPr>
          <w:rFonts w:cs="Tahoma"/>
          <w:sz w:val="24"/>
        </w:rPr>
        <w:t>Morgannwg (CTM)</w:t>
      </w:r>
      <w:r w:rsidRPr="00FB2623">
        <w:rPr>
          <w:rFonts w:cs="Tahoma"/>
          <w:sz w:val="24"/>
        </w:rPr>
        <w:t xml:space="preserve">University Health Board as at Month </w:t>
      </w:r>
      <w:r>
        <w:rPr>
          <w:rFonts w:cs="Tahoma"/>
          <w:sz w:val="24"/>
        </w:rPr>
        <w:t xml:space="preserve">11 </w:t>
      </w:r>
      <w:r w:rsidRPr="00FB2623">
        <w:rPr>
          <w:rFonts w:cs="Tahoma"/>
          <w:sz w:val="24"/>
        </w:rPr>
        <w:t>(M</w:t>
      </w:r>
      <w:r>
        <w:rPr>
          <w:rFonts w:cs="Tahoma"/>
          <w:sz w:val="24"/>
        </w:rPr>
        <w:t>11</w:t>
      </w:r>
      <w:r w:rsidRPr="00FB2623">
        <w:rPr>
          <w:rFonts w:cs="Tahoma"/>
          <w:sz w:val="24"/>
        </w:rPr>
        <w:t xml:space="preserve">). </w:t>
      </w:r>
    </w:p>
    <w:p w:rsidR="00953B07" w:rsidRDefault="00953B07" w:rsidP="00953B07">
      <w:pPr>
        <w:jc w:val="both"/>
        <w:rPr>
          <w:rFonts w:cs="Tahoma"/>
          <w:sz w:val="24"/>
        </w:rPr>
      </w:pPr>
    </w:p>
    <w:p w:rsidR="00953B07" w:rsidRPr="00753BD7" w:rsidRDefault="00953B07" w:rsidP="00953B07">
      <w:pPr>
        <w:ind w:left="360"/>
        <w:jc w:val="both"/>
        <w:rPr>
          <w:rFonts w:cs="Tahoma"/>
          <w:sz w:val="24"/>
        </w:rPr>
      </w:pPr>
      <w:r w:rsidRPr="00753BD7">
        <w:rPr>
          <w:rFonts w:cs="Tahoma"/>
          <w:sz w:val="24"/>
        </w:rPr>
        <w:t>This report should be read in the context of the CTM Integrated Medium Term Plan for 2019/20 to 2021/22 which is available on the website.</w:t>
      </w:r>
    </w:p>
    <w:p w:rsidR="00953B07" w:rsidRDefault="00953B07" w:rsidP="00953B07">
      <w:pPr>
        <w:ind w:left="360"/>
        <w:jc w:val="both"/>
        <w:rPr>
          <w:rFonts w:cs="Tahoma"/>
          <w:sz w:val="24"/>
        </w:rPr>
      </w:pPr>
    </w:p>
    <w:p w:rsidR="00953B07" w:rsidRPr="006A6081" w:rsidRDefault="00953B07" w:rsidP="00953B07">
      <w:pPr>
        <w:ind w:left="360"/>
        <w:jc w:val="both"/>
        <w:rPr>
          <w:rFonts w:cs="Tahoma"/>
          <w:sz w:val="24"/>
        </w:rPr>
      </w:pPr>
      <w:r w:rsidRPr="00753BD7">
        <w:rPr>
          <w:rFonts w:cs="Tahoma"/>
          <w:sz w:val="24"/>
        </w:rPr>
        <w:t>The IMTP was approved by the Board on 28 February and was approved by the Welsh government on 26</w:t>
      </w:r>
      <w:r w:rsidRPr="00753BD7">
        <w:rPr>
          <w:rFonts w:cs="Tahoma"/>
          <w:sz w:val="24"/>
          <w:vertAlign w:val="superscript"/>
        </w:rPr>
        <w:t>th</w:t>
      </w:r>
      <w:r w:rsidRPr="00753BD7">
        <w:rPr>
          <w:rFonts w:cs="Tahoma"/>
          <w:sz w:val="24"/>
        </w:rPr>
        <w:t xml:space="preserve"> March 2019.   The following key issues are highlighted in relation to the financial plan for 2019/20:</w:t>
      </w:r>
    </w:p>
    <w:p w:rsidR="00A503C8" w:rsidRPr="006A6081" w:rsidRDefault="00A503C8" w:rsidP="00A503C8">
      <w:pPr>
        <w:jc w:val="both"/>
        <w:rPr>
          <w:rFonts w:cs="Tahoma"/>
          <w:sz w:val="24"/>
        </w:rPr>
      </w:pPr>
    </w:p>
    <w:p w:rsidR="00A503C8" w:rsidRPr="00413F52" w:rsidRDefault="00A503C8" w:rsidP="00A503C8">
      <w:pPr>
        <w:pStyle w:val="ListParagraph"/>
        <w:numPr>
          <w:ilvl w:val="0"/>
          <w:numId w:val="16"/>
        </w:numPr>
        <w:contextualSpacing/>
        <w:jc w:val="both"/>
        <w:rPr>
          <w:rFonts w:cs="Tahoma"/>
          <w:b/>
          <w:sz w:val="24"/>
        </w:rPr>
      </w:pPr>
      <w:r w:rsidRPr="00413F52">
        <w:rPr>
          <w:rFonts w:cs="Tahoma"/>
          <w:b/>
          <w:sz w:val="24"/>
        </w:rPr>
        <w:t>Bridgend boundary change</w:t>
      </w:r>
    </w:p>
    <w:p w:rsidR="00A503C8" w:rsidRPr="00413F52" w:rsidRDefault="00A503C8" w:rsidP="00A503C8">
      <w:pPr>
        <w:jc w:val="both"/>
        <w:rPr>
          <w:rFonts w:cs="Tahoma"/>
          <w:sz w:val="24"/>
        </w:rPr>
      </w:pPr>
    </w:p>
    <w:p w:rsidR="00953B07" w:rsidRPr="00413F52" w:rsidRDefault="00953B07" w:rsidP="00953B07">
      <w:pPr>
        <w:ind w:left="360"/>
        <w:jc w:val="both"/>
        <w:rPr>
          <w:rFonts w:cs="Tahoma"/>
          <w:sz w:val="24"/>
        </w:rPr>
      </w:pPr>
      <w:r w:rsidRPr="00413F52">
        <w:rPr>
          <w:rFonts w:cs="Tahoma"/>
          <w:sz w:val="24"/>
        </w:rPr>
        <w:t xml:space="preserve">One of the key assumptions within the IMTP was that the Bridgend boundary change should not destabilise the financial balance and performance record of the former Cwm Taf Health Board.  The IMTP therefore assumed that the impact of any deficit attributed to Bridgend would be neutral to the new organisation. Our assessment as at April 2019 of the financial impact on CTM was a recurring deficit (after economies of scale) of £7.4m, excluding the performance and demand &amp; capacity issues referred to below. Detailed budgets were set on this basis and the financial plan was updated to include assumed funding for the £7.4m recurring deficit transferred. </w:t>
      </w:r>
    </w:p>
    <w:p w:rsidR="00953B07" w:rsidRPr="00413F52" w:rsidRDefault="00953B07" w:rsidP="00953B07">
      <w:pPr>
        <w:ind w:left="360"/>
        <w:jc w:val="both"/>
        <w:rPr>
          <w:rFonts w:cs="Tahoma"/>
          <w:sz w:val="24"/>
        </w:rPr>
      </w:pPr>
    </w:p>
    <w:p w:rsidR="00953B07" w:rsidRPr="00413F52" w:rsidRDefault="00953B07" w:rsidP="00953B07">
      <w:pPr>
        <w:ind w:left="360"/>
        <w:jc w:val="both"/>
        <w:rPr>
          <w:rFonts w:cs="Tahoma"/>
          <w:sz w:val="24"/>
        </w:rPr>
      </w:pPr>
      <w:r w:rsidRPr="00413F52">
        <w:rPr>
          <w:rFonts w:cs="Tahoma"/>
          <w:sz w:val="24"/>
        </w:rPr>
        <w:t xml:space="preserve">The outcome of the arbitration process was received on 13 August 2019. This confirmed a £7.1m non-recurring allocation for 2019/20 to enable the Board to develop the required financial plan and mitigating actions to be </w:t>
      </w:r>
      <w:r>
        <w:rPr>
          <w:rFonts w:cs="Tahoma"/>
          <w:sz w:val="24"/>
        </w:rPr>
        <w:t xml:space="preserve">put in place for future years. We have previously highlighted that there was a </w:t>
      </w:r>
      <w:r w:rsidRPr="00413F52">
        <w:rPr>
          <w:rFonts w:cs="Tahoma"/>
          <w:sz w:val="24"/>
        </w:rPr>
        <w:t>potential risk that further adjustments may be made to the £7.1m non-recurring allocati</w:t>
      </w:r>
      <w:r>
        <w:rPr>
          <w:rFonts w:cs="Tahoma"/>
          <w:sz w:val="24"/>
        </w:rPr>
        <w:t>on when the due diligence work was</w:t>
      </w:r>
      <w:r w:rsidRPr="00413F52">
        <w:rPr>
          <w:rFonts w:cs="Tahoma"/>
          <w:sz w:val="24"/>
        </w:rPr>
        <w:t xml:space="preserve"> completed. </w:t>
      </w:r>
      <w:r>
        <w:rPr>
          <w:rFonts w:cs="Tahoma"/>
          <w:sz w:val="24"/>
        </w:rPr>
        <w:t xml:space="preserve">A £2m non-recurring allocation reduction was subsequently made in M10.   </w:t>
      </w:r>
    </w:p>
    <w:p w:rsidR="00953B07" w:rsidRPr="00413F52" w:rsidRDefault="00953B07" w:rsidP="00953B07">
      <w:pPr>
        <w:ind w:left="360"/>
        <w:jc w:val="both"/>
        <w:rPr>
          <w:rFonts w:cs="Tahoma"/>
          <w:sz w:val="24"/>
        </w:rPr>
      </w:pPr>
    </w:p>
    <w:p w:rsidR="00953B07" w:rsidRDefault="00953B07" w:rsidP="00953B07">
      <w:pPr>
        <w:ind w:left="360"/>
        <w:jc w:val="both"/>
        <w:rPr>
          <w:rFonts w:cs="Tahoma"/>
          <w:sz w:val="24"/>
        </w:rPr>
      </w:pPr>
      <w:r w:rsidRPr="00413F52">
        <w:rPr>
          <w:rFonts w:cs="Tahoma"/>
          <w:sz w:val="24"/>
        </w:rPr>
        <w:t>The M</w:t>
      </w:r>
      <w:r>
        <w:rPr>
          <w:rFonts w:cs="Tahoma"/>
          <w:sz w:val="24"/>
        </w:rPr>
        <w:t>11</w:t>
      </w:r>
      <w:r w:rsidRPr="00413F52">
        <w:rPr>
          <w:rFonts w:cs="Tahoma"/>
          <w:sz w:val="24"/>
        </w:rPr>
        <w:t xml:space="preserve"> forecasts have been revised to reflect this position.</w:t>
      </w:r>
    </w:p>
    <w:p w:rsidR="00817B7E" w:rsidRDefault="00817B7E" w:rsidP="00817B7E">
      <w:pPr>
        <w:ind w:left="360"/>
        <w:jc w:val="both"/>
        <w:rPr>
          <w:rFonts w:cs="Tahoma"/>
          <w:sz w:val="24"/>
        </w:rPr>
      </w:pPr>
    </w:p>
    <w:p w:rsidR="00817B7E" w:rsidRDefault="00817B7E" w:rsidP="00817B7E">
      <w:pPr>
        <w:ind w:left="360"/>
        <w:jc w:val="both"/>
        <w:rPr>
          <w:rFonts w:cs="Tahoma"/>
          <w:sz w:val="24"/>
        </w:rPr>
      </w:pPr>
    </w:p>
    <w:p w:rsidR="00817B7E" w:rsidRDefault="00817B7E" w:rsidP="00817B7E">
      <w:pPr>
        <w:ind w:left="360"/>
        <w:jc w:val="both"/>
        <w:rPr>
          <w:rFonts w:cs="Tahoma"/>
          <w:sz w:val="24"/>
        </w:rPr>
      </w:pPr>
    </w:p>
    <w:p w:rsidR="00817B7E" w:rsidRPr="00753BD7" w:rsidRDefault="00817B7E" w:rsidP="00817B7E">
      <w:pPr>
        <w:ind w:left="360"/>
        <w:jc w:val="both"/>
        <w:rPr>
          <w:rFonts w:cs="Tahoma"/>
          <w:sz w:val="24"/>
        </w:rPr>
      </w:pPr>
    </w:p>
    <w:p w:rsidR="00BA013B" w:rsidRPr="00817B7E" w:rsidRDefault="00BA013B" w:rsidP="006616E8">
      <w:pPr>
        <w:pStyle w:val="ListParagraph"/>
        <w:numPr>
          <w:ilvl w:val="0"/>
          <w:numId w:val="16"/>
        </w:numPr>
        <w:contextualSpacing/>
        <w:jc w:val="both"/>
        <w:rPr>
          <w:rFonts w:cs="Tahoma"/>
          <w:b/>
          <w:sz w:val="24"/>
        </w:rPr>
      </w:pPr>
      <w:r w:rsidRPr="00817B7E">
        <w:rPr>
          <w:rFonts w:cs="Tahoma"/>
          <w:b/>
          <w:sz w:val="24"/>
        </w:rPr>
        <w:t>Performance and RTT targets</w:t>
      </w:r>
    </w:p>
    <w:p w:rsidR="00BA013B" w:rsidRPr="00CD6B70" w:rsidRDefault="00BA013B" w:rsidP="00BA013B">
      <w:pPr>
        <w:jc w:val="both"/>
        <w:rPr>
          <w:rFonts w:cs="Tahoma"/>
          <w:sz w:val="24"/>
          <w:highlight w:val="yellow"/>
        </w:rPr>
      </w:pPr>
    </w:p>
    <w:p w:rsidR="00953B07" w:rsidRPr="00413F52" w:rsidRDefault="00953B07" w:rsidP="00953B07">
      <w:pPr>
        <w:ind w:left="360"/>
        <w:jc w:val="both"/>
        <w:rPr>
          <w:rFonts w:cs="Tahoma"/>
          <w:sz w:val="24"/>
        </w:rPr>
      </w:pPr>
      <w:r w:rsidRPr="00413F52">
        <w:rPr>
          <w:rFonts w:cs="Tahoma"/>
          <w:sz w:val="24"/>
        </w:rPr>
        <w:t>Our work on the financial impact assessment of the Bridgend boundary change also highlighted that Bridgend had been running waiting list initiatives (WLI’s) throughout 2018/19 at an annualised cost of c £1.8m, which was supplemented with outsourcing towards the end of the financial year. The WLI’s had the effect of broadly holding the RTT backlog constant overall and were essentially a non-recurrent measure for meeting a recurrent requirement. Therefore, in reality the recurrent requirement to spend, based on current demand, productivity and core capacity, is around £2m greater than what was reflected in the financial impact assessment noted above of £7.4m.   There was also an RTT backlog at the end of 2018/19, which CTM estimated has a non- recurring cost in the region of £4.2m to clear. The Health Board submitted a £8.7m bid to WG to address the performance issues across CTM which is summarised below:</w:t>
      </w:r>
    </w:p>
    <w:p w:rsidR="00953B07" w:rsidRPr="00413F52" w:rsidRDefault="00953B07" w:rsidP="00953B07">
      <w:pPr>
        <w:jc w:val="both"/>
        <w:rPr>
          <w:rFonts w:cs="Tahoma"/>
          <w:sz w:val="24"/>
        </w:rPr>
      </w:pPr>
    </w:p>
    <w:tbl>
      <w:tblPr>
        <w:tblStyle w:val="TableGrid"/>
        <w:tblW w:w="0" w:type="auto"/>
        <w:tblInd w:w="421" w:type="dxa"/>
        <w:tblLayout w:type="fixed"/>
        <w:tblLook w:val="04A0" w:firstRow="1" w:lastRow="0" w:firstColumn="1" w:lastColumn="0" w:noHBand="0" w:noVBand="1"/>
      </w:tblPr>
      <w:tblGrid>
        <w:gridCol w:w="7087"/>
        <w:gridCol w:w="1985"/>
        <w:gridCol w:w="1984"/>
      </w:tblGrid>
      <w:tr w:rsidR="00953B07" w:rsidRPr="00413F52" w:rsidTr="00C02CB5">
        <w:tc>
          <w:tcPr>
            <w:tcW w:w="7087" w:type="dxa"/>
          </w:tcPr>
          <w:p w:rsidR="00953B07" w:rsidRPr="00413F52" w:rsidRDefault="00953B07" w:rsidP="00C02CB5">
            <w:pPr>
              <w:jc w:val="both"/>
              <w:rPr>
                <w:rFonts w:cs="Tahoma"/>
                <w:sz w:val="24"/>
              </w:rPr>
            </w:pPr>
          </w:p>
        </w:tc>
        <w:tc>
          <w:tcPr>
            <w:tcW w:w="1985" w:type="dxa"/>
          </w:tcPr>
          <w:p w:rsidR="00953B07" w:rsidRPr="00413F52" w:rsidRDefault="00953B07" w:rsidP="00C02CB5">
            <w:pPr>
              <w:jc w:val="both"/>
              <w:rPr>
                <w:rFonts w:cs="Tahoma"/>
                <w:b/>
                <w:sz w:val="24"/>
              </w:rPr>
            </w:pPr>
            <w:r w:rsidRPr="00413F52">
              <w:rPr>
                <w:rFonts w:cs="Tahoma"/>
                <w:b/>
                <w:sz w:val="24"/>
              </w:rPr>
              <w:t>Former CT</w:t>
            </w:r>
          </w:p>
        </w:tc>
        <w:tc>
          <w:tcPr>
            <w:tcW w:w="1984" w:type="dxa"/>
          </w:tcPr>
          <w:p w:rsidR="00953B07" w:rsidRPr="00413F52" w:rsidRDefault="00953B07" w:rsidP="00C02CB5">
            <w:pPr>
              <w:jc w:val="both"/>
              <w:rPr>
                <w:rFonts w:cs="Tahoma"/>
                <w:b/>
                <w:sz w:val="24"/>
              </w:rPr>
            </w:pPr>
            <w:r w:rsidRPr="00413F52">
              <w:rPr>
                <w:rFonts w:cs="Tahoma"/>
                <w:b/>
                <w:sz w:val="24"/>
              </w:rPr>
              <w:t>Bridgend</w:t>
            </w:r>
          </w:p>
        </w:tc>
      </w:tr>
      <w:tr w:rsidR="00953B07" w:rsidRPr="00413F52" w:rsidTr="00C02CB5">
        <w:tc>
          <w:tcPr>
            <w:tcW w:w="7087" w:type="dxa"/>
          </w:tcPr>
          <w:p w:rsidR="00953B07" w:rsidRPr="00413F52" w:rsidRDefault="00953B07" w:rsidP="00C02CB5">
            <w:pPr>
              <w:jc w:val="both"/>
              <w:rPr>
                <w:rFonts w:cs="Tahoma"/>
                <w:sz w:val="24"/>
              </w:rPr>
            </w:pPr>
          </w:p>
        </w:tc>
        <w:tc>
          <w:tcPr>
            <w:tcW w:w="1985" w:type="dxa"/>
          </w:tcPr>
          <w:p w:rsidR="00953B07" w:rsidRPr="00413F52" w:rsidRDefault="00953B07" w:rsidP="00C02CB5">
            <w:pPr>
              <w:jc w:val="both"/>
              <w:rPr>
                <w:rFonts w:cs="Tahoma"/>
                <w:b/>
                <w:sz w:val="24"/>
              </w:rPr>
            </w:pPr>
            <w:r w:rsidRPr="00413F52">
              <w:rPr>
                <w:rFonts w:cs="Tahoma"/>
                <w:b/>
                <w:sz w:val="24"/>
              </w:rPr>
              <w:t>£m</w:t>
            </w:r>
          </w:p>
        </w:tc>
        <w:tc>
          <w:tcPr>
            <w:tcW w:w="1984" w:type="dxa"/>
          </w:tcPr>
          <w:p w:rsidR="00953B07" w:rsidRPr="00413F52" w:rsidRDefault="00953B07" w:rsidP="00C02CB5">
            <w:pPr>
              <w:jc w:val="both"/>
              <w:rPr>
                <w:rFonts w:cs="Tahoma"/>
                <w:b/>
                <w:sz w:val="24"/>
              </w:rPr>
            </w:pPr>
            <w:r w:rsidRPr="00413F52">
              <w:rPr>
                <w:rFonts w:cs="Tahoma"/>
                <w:b/>
                <w:sz w:val="24"/>
              </w:rPr>
              <w:t>£m</w:t>
            </w:r>
          </w:p>
        </w:tc>
      </w:tr>
      <w:tr w:rsidR="00953B07" w:rsidRPr="00413F52" w:rsidTr="00C02CB5">
        <w:tc>
          <w:tcPr>
            <w:tcW w:w="7087" w:type="dxa"/>
          </w:tcPr>
          <w:p w:rsidR="00953B07" w:rsidRPr="00413F52" w:rsidRDefault="00953B07" w:rsidP="00C02CB5">
            <w:pPr>
              <w:jc w:val="both"/>
              <w:rPr>
                <w:rFonts w:cs="Tahoma"/>
                <w:sz w:val="24"/>
              </w:rPr>
            </w:pPr>
            <w:r w:rsidRPr="00413F52">
              <w:rPr>
                <w:rFonts w:cs="Tahoma"/>
                <w:sz w:val="24"/>
              </w:rPr>
              <w:t>Forecast total costs</w:t>
            </w:r>
          </w:p>
        </w:tc>
        <w:tc>
          <w:tcPr>
            <w:tcW w:w="1985" w:type="dxa"/>
          </w:tcPr>
          <w:p w:rsidR="00953B07" w:rsidRPr="00413F52" w:rsidRDefault="00953B07" w:rsidP="00C02CB5">
            <w:pPr>
              <w:jc w:val="both"/>
              <w:rPr>
                <w:rFonts w:cs="Tahoma"/>
                <w:sz w:val="24"/>
              </w:rPr>
            </w:pPr>
            <w:r w:rsidRPr="00413F52">
              <w:rPr>
                <w:rFonts w:cs="Tahoma"/>
                <w:sz w:val="24"/>
              </w:rPr>
              <w:t>6.6</w:t>
            </w:r>
          </w:p>
        </w:tc>
        <w:tc>
          <w:tcPr>
            <w:tcW w:w="1984" w:type="dxa"/>
          </w:tcPr>
          <w:p w:rsidR="00953B07" w:rsidRPr="00413F52" w:rsidRDefault="00953B07" w:rsidP="00C02CB5">
            <w:pPr>
              <w:jc w:val="both"/>
              <w:rPr>
                <w:rFonts w:cs="Tahoma"/>
                <w:sz w:val="24"/>
              </w:rPr>
            </w:pPr>
            <w:r w:rsidRPr="00413F52">
              <w:rPr>
                <w:rFonts w:cs="Tahoma"/>
                <w:sz w:val="24"/>
              </w:rPr>
              <w:t>6.2</w:t>
            </w:r>
          </w:p>
        </w:tc>
      </w:tr>
      <w:tr w:rsidR="00953B07" w:rsidRPr="00413F52" w:rsidTr="00C02CB5">
        <w:tc>
          <w:tcPr>
            <w:tcW w:w="7087" w:type="dxa"/>
          </w:tcPr>
          <w:p w:rsidR="00953B07" w:rsidRPr="00413F52" w:rsidRDefault="00953B07" w:rsidP="00C02CB5">
            <w:pPr>
              <w:jc w:val="both"/>
              <w:rPr>
                <w:rFonts w:cs="Tahoma"/>
                <w:sz w:val="24"/>
              </w:rPr>
            </w:pPr>
            <w:r w:rsidRPr="00413F52">
              <w:rPr>
                <w:rFonts w:cs="Tahoma"/>
                <w:sz w:val="24"/>
              </w:rPr>
              <w:t>Internal funding sources within the IMTP</w:t>
            </w:r>
          </w:p>
        </w:tc>
        <w:tc>
          <w:tcPr>
            <w:tcW w:w="1985" w:type="dxa"/>
          </w:tcPr>
          <w:p w:rsidR="00953B07" w:rsidRPr="00413F52" w:rsidRDefault="00953B07" w:rsidP="00C02CB5">
            <w:pPr>
              <w:jc w:val="both"/>
              <w:rPr>
                <w:rFonts w:cs="Tahoma"/>
                <w:sz w:val="24"/>
              </w:rPr>
            </w:pPr>
            <w:r w:rsidRPr="00413F52">
              <w:rPr>
                <w:rFonts w:cs="Tahoma"/>
                <w:sz w:val="24"/>
              </w:rPr>
              <w:t>(3.1)</w:t>
            </w:r>
          </w:p>
        </w:tc>
        <w:tc>
          <w:tcPr>
            <w:tcW w:w="1984" w:type="dxa"/>
          </w:tcPr>
          <w:p w:rsidR="00953B07" w:rsidRPr="00413F52" w:rsidRDefault="00953B07" w:rsidP="00C02CB5">
            <w:pPr>
              <w:jc w:val="both"/>
              <w:rPr>
                <w:rFonts w:cs="Tahoma"/>
                <w:sz w:val="24"/>
              </w:rPr>
            </w:pPr>
            <w:r w:rsidRPr="00413F52">
              <w:rPr>
                <w:rFonts w:cs="Tahoma"/>
                <w:sz w:val="24"/>
              </w:rPr>
              <w:t>(1.0)</w:t>
            </w:r>
          </w:p>
        </w:tc>
      </w:tr>
      <w:tr w:rsidR="00953B07" w:rsidRPr="00413F52" w:rsidTr="00C02CB5">
        <w:tc>
          <w:tcPr>
            <w:tcW w:w="7087" w:type="dxa"/>
          </w:tcPr>
          <w:p w:rsidR="00953B07" w:rsidRPr="00413F52" w:rsidRDefault="00953B07" w:rsidP="00C02CB5">
            <w:pPr>
              <w:jc w:val="both"/>
              <w:rPr>
                <w:rFonts w:cs="Tahoma"/>
                <w:b/>
                <w:sz w:val="24"/>
              </w:rPr>
            </w:pPr>
            <w:r w:rsidRPr="00413F52">
              <w:rPr>
                <w:rFonts w:cs="Tahoma"/>
                <w:b/>
                <w:sz w:val="24"/>
              </w:rPr>
              <w:t>Net bid</w:t>
            </w:r>
          </w:p>
        </w:tc>
        <w:tc>
          <w:tcPr>
            <w:tcW w:w="1985" w:type="dxa"/>
          </w:tcPr>
          <w:p w:rsidR="00953B07" w:rsidRPr="00413F52" w:rsidRDefault="00953B07" w:rsidP="00C02CB5">
            <w:pPr>
              <w:jc w:val="both"/>
              <w:rPr>
                <w:rFonts w:cs="Tahoma"/>
                <w:b/>
                <w:sz w:val="24"/>
              </w:rPr>
            </w:pPr>
            <w:r w:rsidRPr="00413F52">
              <w:rPr>
                <w:rFonts w:cs="Tahoma"/>
                <w:b/>
                <w:sz w:val="24"/>
              </w:rPr>
              <w:t>3.5</w:t>
            </w:r>
          </w:p>
        </w:tc>
        <w:tc>
          <w:tcPr>
            <w:tcW w:w="1984" w:type="dxa"/>
          </w:tcPr>
          <w:p w:rsidR="00953B07" w:rsidRPr="00413F52" w:rsidRDefault="00953B07" w:rsidP="00C02CB5">
            <w:pPr>
              <w:jc w:val="both"/>
              <w:rPr>
                <w:rFonts w:cs="Tahoma"/>
                <w:b/>
                <w:sz w:val="24"/>
              </w:rPr>
            </w:pPr>
            <w:r w:rsidRPr="00413F52">
              <w:rPr>
                <w:rFonts w:cs="Tahoma"/>
                <w:b/>
                <w:sz w:val="24"/>
              </w:rPr>
              <w:t>5.2</w:t>
            </w:r>
          </w:p>
        </w:tc>
      </w:tr>
    </w:tbl>
    <w:p w:rsidR="00953B07" w:rsidRPr="00413F52" w:rsidRDefault="00953B07" w:rsidP="00953B07">
      <w:pPr>
        <w:jc w:val="both"/>
        <w:rPr>
          <w:rFonts w:cs="Tahoma"/>
          <w:sz w:val="24"/>
        </w:rPr>
      </w:pPr>
    </w:p>
    <w:p w:rsidR="00953B07" w:rsidRPr="00413F52" w:rsidRDefault="00953B07" w:rsidP="00953B07">
      <w:pPr>
        <w:autoSpaceDE w:val="0"/>
        <w:autoSpaceDN w:val="0"/>
        <w:adjustRightInd w:val="0"/>
        <w:ind w:firstLine="360"/>
        <w:rPr>
          <w:rFonts w:cs="Tahoma"/>
          <w:sz w:val="24"/>
        </w:rPr>
      </w:pPr>
      <w:r w:rsidRPr="00413F52">
        <w:rPr>
          <w:rFonts w:cs="Tahoma"/>
          <w:sz w:val="24"/>
        </w:rPr>
        <w:t xml:space="preserve">On 27 June WG confirmed a non recurrent allocation of £7.0m for 2019/20 which is expected to deliver: </w:t>
      </w:r>
    </w:p>
    <w:p w:rsidR="00953B07" w:rsidRPr="00413F52" w:rsidRDefault="00953B07" w:rsidP="00953B07">
      <w:pPr>
        <w:pStyle w:val="ListParagraph"/>
        <w:autoSpaceDE w:val="0"/>
        <w:autoSpaceDN w:val="0"/>
        <w:adjustRightInd w:val="0"/>
        <w:spacing w:after="23"/>
        <w:ind w:left="1080"/>
        <w:contextualSpacing/>
        <w:rPr>
          <w:rFonts w:cs="Tahoma"/>
          <w:sz w:val="24"/>
        </w:rPr>
      </w:pPr>
    </w:p>
    <w:p w:rsidR="00953B07" w:rsidRPr="00413F52" w:rsidRDefault="00953B07" w:rsidP="00953B07">
      <w:pPr>
        <w:pStyle w:val="ListParagraph"/>
        <w:numPr>
          <w:ilvl w:val="0"/>
          <w:numId w:val="24"/>
        </w:numPr>
        <w:autoSpaceDE w:val="0"/>
        <w:autoSpaceDN w:val="0"/>
        <w:adjustRightInd w:val="0"/>
        <w:spacing w:after="23"/>
        <w:contextualSpacing/>
        <w:rPr>
          <w:rFonts w:cs="Tahoma"/>
          <w:sz w:val="24"/>
        </w:rPr>
      </w:pPr>
      <w:r w:rsidRPr="00413F52">
        <w:rPr>
          <w:rFonts w:cs="Tahoma"/>
          <w:sz w:val="24"/>
        </w:rPr>
        <w:t xml:space="preserve">no one waiting over 36 weeks, 8 weeks for diagnostics and 14 weeks for therapy services for the old Cwm Taf footprint; and </w:t>
      </w:r>
    </w:p>
    <w:p w:rsidR="00953B07" w:rsidRPr="00413F52" w:rsidRDefault="00953B07" w:rsidP="00953B07">
      <w:pPr>
        <w:pStyle w:val="ListParagraph"/>
        <w:numPr>
          <w:ilvl w:val="0"/>
          <w:numId w:val="24"/>
        </w:numPr>
        <w:autoSpaceDE w:val="0"/>
        <w:autoSpaceDN w:val="0"/>
        <w:adjustRightInd w:val="0"/>
        <w:contextualSpacing/>
        <w:rPr>
          <w:rFonts w:ascii="Arial" w:eastAsiaTheme="minorHAnsi" w:hAnsi="Arial" w:cs="Arial"/>
          <w:color w:val="000000"/>
          <w:sz w:val="23"/>
          <w:szCs w:val="23"/>
        </w:rPr>
      </w:pPr>
      <w:r w:rsidRPr="00413F52">
        <w:rPr>
          <w:rFonts w:cs="Tahoma"/>
          <w:sz w:val="24"/>
        </w:rPr>
        <w:t>an improvement in the number of people waiting over 36 weeks at the Princess of Wales site, as well as no one waiting over 8 weeks for diagnostics and 14 weeks for therapy services</w:t>
      </w:r>
      <w:r w:rsidRPr="00413F52">
        <w:rPr>
          <w:rFonts w:ascii="Arial" w:eastAsiaTheme="minorHAnsi" w:hAnsi="Arial" w:cs="Arial"/>
          <w:color w:val="000000"/>
          <w:sz w:val="23"/>
          <w:szCs w:val="23"/>
        </w:rPr>
        <w:t xml:space="preserve">. </w:t>
      </w:r>
    </w:p>
    <w:p w:rsidR="00953B07" w:rsidRPr="00CD6B70" w:rsidRDefault="00953B07" w:rsidP="00953B07">
      <w:pPr>
        <w:jc w:val="both"/>
        <w:rPr>
          <w:rFonts w:cs="Tahoma"/>
          <w:sz w:val="24"/>
          <w:highlight w:val="yellow"/>
        </w:rPr>
      </w:pPr>
    </w:p>
    <w:p w:rsidR="00953B07" w:rsidRPr="00817B7E" w:rsidRDefault="00953B07" w:rsidP="00953B07">
      <w:pPr>
        <w:pStyle w:val="ListParagraph"/>
        <w:numPr>
          <w:ilvl w:val="0"/>
          <w:numId w:val="16"/>
        </w:numPr>
        <w:contextualSpacing/>
        <w:jc w:val="both"/>
        <w:rPr>
          <w:rFonts w:cs="Tahoma"/>
          <w:b/>
          <w:sz w:val="24"/>
        </w:rPr>
      </w:pPr>
      <w:r w:rsidRPr="00817B7E">
        <w:rPr>
          <w:rFonts w:cs="Tahoma"/>
          <w:b/>
          <w:sz w:val="24"/>
        </w:rPr>
        <w:t>Savings targets</w:t>
      </w:r>
    </w:p>
    <w:p w:rsidR="00953B07" w:rsidRPr="00CD6B70" w:rsidRDefault="00953B07" w:rsidP="00953B07">
      <w:pPr>
        <w:jc w:val="both"/>
        <w:rPr>
          <w:rFonts w:cs="Tahoma"/>
          <w:sz w:val="24"/>
          <w:highlight w:val="yellow"/>
        </w:rPr>
      </w:pPr>
    </w:p>
    <w:p w:rsidR="00953B07" w:rsidRPr="00753BD7" w:rsidRDefault="00953B07" w:rsidP="00953B07">
      <w:pPr>
        <w:ind w:left="360"/>
        <w:jc w:val="both"/>
        <w:rPr>
          <w:rFonts w:cs="Tahoma"/>
          <w:sz w:val="24"/>
        </w:rPr>
      </w:pPr>
      <w:r w:rsidRPr="00753BD7">
        <w:rPr>
          <w:rFonts w:cs="Tahoma"/>
          <w:sz w:val="24"/>
        </w:rPr>
        <w:t>The financial plan for 2019/20 included a recurring savings target of £12.8m, comprising £9.6m existing Cwm Taf and £3.2m for Bridgend. Following the identification of a number of other opportunities in M1 we have reduced the recurrent savings target by £1.0m and the In year target by £2.8m. The revised savings targets are as follows:</w:t>
      </w:r>
    </w:p>
    <w:p w:rsidR="00BA013B" w:rsidRPr="00CD6B70" w:rsidRDefault="00BA013B" w:rsidP="00BA013B">
      <w:pPr>
        <w:ind w:left="360"/>
        <w:jc w:val="both"/>
        <w:rPr>
          <w:rFonts w:cs="Tahoma"/>
          <w:b/>
          <w:sz w:val="24"/>
          <w:highlight w:val="yellow"/>
        </w:rPr>
      </w:pPr>
    </w:p>
    <w:tbl>
      <w:tblPr>
        <w:tblStyle w:val="TableGrid"/>
        <w:tblW w:w="0" w:type="auto"/>
        <w:tblInd w:w="421" w:type="dxa"/>
        <w:tblLayout w:type="fixed"/>
        <w:tblLook w:val="04A0" w:firstRow="1" w:lastRow="0" w:firstColumn="1" w:lastColumn="0" w:noHBand="0" w:noVBand="1"/>
      </w:tblPr>
      <w:tblGrid>
        <w:gridCol w:w="7087"/>
        <w:gridCol w:w="1985"/>
        <w:gridCol w:w="1984"/>
      </w:tblGrid>
      <w:tr w:rsidR="00BA013B" w:rsidRPr="00817B7E" w:rsidTr="004F478C">
        <w:tc>
          <w:tcPr>
            <w:tcW w:w="7087" w:type="dxa"/>
          </w:tcPr>
          <w:p w:rsidR="00BA013B" w:rsidRPr="00817B7E" w:rsidRDefault="00BA013B" w:rsidP="004F478C">
            <w:pPr>
              <w:jc w:val="both"/>
              <w:rPr>
                <w:rFonts w:cs="Tahoma"/>
                <w:sz w:val="24"/>
              </w:rPr>
            </w:pPr>
          </w:p>
        </w:tc>
        <w:tc>
          <w:tcPr>
            <w:tcW w:w="1985" w:type="dxa"/>
          </w:tcPr>
          <w:p w:rsidR="00BA013B" w:rsidRPr="00817B7E" w:rsidRDefault="00BA013B" w:rsidP="004F478C">
            <w:pPr>
              <w:jc w:val="both"/>
              <w:rPr>
                <w:rFonts w:cs="Tahoma"/>
                <w:b/>
                <w:sz w:val="24"/>
              </w:rPr>
            </w:pPr>
            <w:r w:rsidRPr="00817B7E">
              <w:rPr>
                <w:rFonts w:cs="Tahoma"/>
                <w:b/>
                <w:sz w:val="24"/>
              </w:rPr>
              <w:t>In year savings target</w:t>
            </w:r>
          </w:p>
        </w:tc>
        <w:tc>
          <w:tcPr>
            <w:tcW w:w="1984" w:type="dxa"/>
          </w:tcPr>
          <w:p w:rsidR="00BA013B" w:rsidRPr="00817B7E" w:rsidRDefault="00BA013B" w:rsidP="004F478C">
            <w:pPr>
              <w:jc w:val="both"/>
              <w:rPr>
                <w:rFonts w:cs="Tahoma"/>
                <w:b/>
                <w:sz w:val="24"/>
              </w:rPr>
            </w:pPr>
            <w:r w:rsidRPr="00817B7E">
              <w:rPr>
                <w:rFonts w:cs="Tahoma"/>
                <w:b/>
                <w:sz w:val="24"/>
              </w:rPr>
              <w:t>Recurrent savings target</w:t>
            </w:r>
          </w:p>
        </w:tc>
      </w:tr>
      <w:tr w:rsidR="00BA013B" w:rsidRPr="00817B7E" w:rsidTr="004F478C">
        <w:tc>
          <w:tcPr>
            <w:tcW w:w="7087" w:type="dxa"/>
          </w:tcPr>
          <w:p w:rsidR="00BA013B" w:rsidRPr="00817B7E" w:rsidRDefault="00BA013B" w:rsidP="004F478C">
            <w:pPr>
              <w:jc w:val="both"/>
              <w:rPr>
                <w:rFonts w:cs="Tahoma"/>
                <w:sz w:val="24"/>
              </w:rPr>
            </w:pPr>
          </w:p>
        </w:tc>
        <w:tc>
          <w:tcPr>
            <w:tcW w:w="1985" w:type="dxa"/>
          </w:tcPr>
          <w:p w:rsidR="00BA013B" w:rsidRPr="00817B7E" w:rsidRDefault="00BA013B" w:rsidP="004F478C">
            <w:pPr>
              <w:jc w:val="both"/>
              <w:rPr>
                <w:rFonts w:cs="Tahoma"/>
                <w:b/>
                <w:sz w:val="24"/>
              </w:rPr>
            </w:pPr>
            <w:r w:rsidRPr="00817B7E">
              <w:rPr>
                <w:rFonts w:cs="Tahoma"/>
                <w:b/>
                <w:sz w:val="24"/>
              </w:rPr>
              <w:t>£m</w:t>
            </w:r>
          </w:p>
        </w:tc>
        <w:tc>
          <w:tcPr>
            <w:tcW w:w="1984" w:type="dxa"/>
          </w:tcPr>
          <w:p w:rsidR="00BA013B" w:rsidRPr="00817B7E" w:rsidRDefault="00BA013B" w:rsidP="004F478C">
            <w:pPr>
              <w:jc w:val="both"/>
              <w:rPr>
                <w:rFonts w:cs="Tahoma"/>
                <w:b/>
                <w:sz w:val="24"/>
              </w:rPr>
            </w:pPr>
            <w:r w:rsidRPr="00817B7E">
              <w:rPr>
                <w:rFonts w:cs="Tahoma"/>
                <w:b/>
                <w:sz w:val="24"/>
              </w:rPr>
              <w:t>£m</w:t>
            </w:r>
          </w:p>
        </w:tc>
      </w:tr>
      <w:tr w:rsidR="00BA013B" w:rsidRPr="00817B7E" w:rsidTr="004F478C">
        <w:tc>
          <w:tcPr>
            <w:tcW w:w="7087" w:type="dxa"/>
          </w:tcPr>
          <w:p w:rsidR="00BA013B" w:rsidRPr="00817B7E" w:rsidRDefault="00BA013B" w:rsidP="004F478C">
            <w:pPr>
              <w:jc w:val="both"/>
              <w:rPr>
                <w:rFonts w:cs="Tahoma"/>
                <w:sz w:val="24"/>
              </w:rPr>
            </w:pPr>
            <w:r w:rsidRPr="00817B7E">
              <w:rPr>
                <w:rFonts w:cs="Tahoma"/>
                <w:sz w:val="24"/>
              </w:rPr>
              <w:t>Former Cwm Taf</w:t>
            </w:r>
          </w:p>
        </w:tc>
        <w:tc>
          <w:tcPr>
            <w:tcW w:w="1985" w:type="dxa"/>
          </w:tcPr>
          <w:p w:rsidR="00BA013B" w:rsidRPr="00817B7E" w:rsidRDefault="00BA013B" w:rsidP="004F478C">
            <w:pPr>
              <w:jc w:val="both"/>
              <w:rPr>
                <w:rFonts w:cs="Tahoma"/>
                <w:sz w:val="24"/>
              </w:rPr>
            </w:pPr>
            <w:r w:rsidRPr="00817B7E">
              <w:rPr>
                <w:rFonts w:cs="Tahoma"/>
                <w:sz w:val="24"/>
              </w:rPr>
              <w:t>7.5</w:t>
            </w:r>
          </w:p>
        </w:tc>
        <w:tc>
          <w:tcPr>
            <w:tcW w:w="1984" w:type="dxa"/>
          </w:tcPr>
          <w:p w:rsidR="00BA013B" w:rsidRPr="00817B7E" w:rsidRDefault="00BA013B" w:rsidP="004F478C">
            <w:pPr>
              <w:jc w:val="both"/>
              <w:rPr>
                <w:rFonts w:cs="Tahoma"/>
                <w:sz w:val="24"/>
              </w:rPr>
            </w:pPr>
            <w:r w:rsidRPr="00817B7E">
              <w:rPr>
                <w:rFonts w:cs="Tahoma"/>
                <w:sz w:val="24"/>
              </w:rPr>
              <w:t>7.8</w:t>
            </w:r>
          </w:p>
        </w:tc>
      </w:tr>
      <w:tr w:rsidR="00BA013B" w:rsidRPr="00817B7E" w:rsidTr="004F478C">
        <w:tc>
          <w:tcPr>
            <w:tcW w:w="7087" w:type="dxa"/>
          </w:tcPr>
          <w:p w:rsidR="00BA013B" w:rsidRPr="00817B7E" w:rsidRDefault="00BA013B" w:rsidP="004F478C">
            <w:pPr>
              <w:jc w:val="both"/>
              <w:rPr>
                <w:rFonts w:cs="Tahoma"/>
                <w:sz w:val="24"/>
              </w:rPr>
            </w:pPr>
            <w:r w:rsidRPr="00817B7E">
              <w:rPr>
                <w:rFonts w:cs="Tahoma"/>
                <w:sz w:val="24"/>
              </w:rPr>
              <w:t>Bridgend</w:t>
            </w:r>
          </w:p>
        </w:tc>
        <w:tc>
          <w:tcPr>
            <w:tcW w:w="1985" w:type="dxa"/>
          </w:tcPr>
          <w:p w:rsidR="00BA013B" w:rsidRPr="00817B7E" w:rsidRDefault="00BA013B" w:rsidP="004F478C">
            <w:pPr>
              <w:jc w:val="both"/>
              <w:rPr>
                <w:rFonts w:cs="Tahoma"/>
                <w:sz w:val="24"/>
              </w:rPr>
            </w:pPr>
            <w:r w:rsidRPr="00817B7E">
              <w:rPr>
                <w:rFonts w:cs="Tahoma"/>
                <w:sz w:val="24"/>
              </w:rPr>
              <w:t>2.5</w:t>
            </w:r>
          </w:p>
        </w:tc>
        <w:tc>
          <w:tcPr>
            <w:tcW w:w="1984" w:type="dxa"/>
          </w:tcPr>
          <w:p w:rsidR="00BA013B" w:rsidRPr="00817B7E" w:rsidRDefault="00BA013B" w:rsidP="004F478C">
            <w:pPr>
              <w:jc w:val="both"/>
              <w:rPr>
                <w:rFonts w:cs="Tahoma"/>
                <w:sz w:val="24"/>
              </w:rPr>
            </w:pPr>
            <w:r w:rsidRPr="00817B7E">
              <w:rPr>
                <w:rFonts w:cs="Tahoma"/>
                <w:sz w:val="24"/>
              </w:rPr>
              <w:t>3.0</w:t>
            </w:r>
          </w:p>
        </w:tc>
      </w:tr>
      <w:tr w:rsidR="00BA013B" w:rsidRPr="00CD6B70" w:rsidTr="004F478C">
        <w:tc>
          <w:tcPr>
            <w:tcW w:w="7087" w:type="dxa"/>
          </w:tcPr>
          <w:p w:rsidR="00BA013B" w:rsidRPr="00817B7E" w:rsidRDefault="00BA013B" w:rsidP="004F478C">
            <w:pPr>
              <w:jc w:val="both"/>
              <w:rPr>
                <w:rFonts w:cs="Tahoma"/>
                <w:b/>
                <w:sz w:val="24"/>
              </w:rPr>
            </w:pPr>
            <w:r w:rsidRPr="00817B7E">
              <w:rPr>
                <w:rFonts w:cs="Tahoma"/>
                <w:b/>
                <w:sz w:val="24"/>
              </w:rPr>
              <w:t>Total</w:t>
            </w:r>
          </w:p>
        </w:tc>
        <w:tc>
          <w:tcPr>
            <w:tcW w:w="1985" w:type="dxa"/>
          </w:tcPr>
          <w:p w:rsidR="00BA013B" w:rsidRPr="00817B7E" w:rsidRDefault="00BA013B" w:rsidP="004F478C">
            <w:pPr>
              <w:jc w:val="both"/>
              <w:rPr>
                <w:rFonts w:cs="Tahoma"/>
                <w:b/>
                <w:sz w:val="24"/>
              </w:rPr>
            </w:pPr>
            <w:r w:rsidRPr="00817B7E">
              <w:rPr>
                <w:rFonts w:cs="Tahoma"/>
                <w:b/>
                <w:sz w:val="24"/>
              </w:rPr>
              <w:t>10.0</w:t>
            </w:r>
          </w:p>
        </w:tc>
        <w:tc>
          <w:tcPr>
            <w:tcW w:w="1984" w:type="dxa"/>
          </w:tcPr>
          <w:p w:rsidR="00BA013B" w:rsidRPr="00817B7E" w:rsidRDefault="00BA013B" w:rsidP="004F478C">
            <w:pPr>
              <w:jc w:val="both"/>
              <w:rPr>
                <w:rFonts w:cs="Tahoma"/>
                <w:b/>
                <w:sz w:val="24"/>
              </w:rPr>
            </w:pPr>
            <w:r w:rsidRPr="00817B7E">
              <w:rPr>
                <w:rFonts w:cs="Tahoma"/>
                <w:b/>
                <w:sz w:val="24"/>
              </w:rPr>
              <w:t>11.8</w:t>
            </w:r>
          </w:p>
        </w:tc>
      </w:tr>
    </w:tbl>
    <w:p w:rsidR="00BA013B" w:rsidRPr="00817B7E" w:rsidRDefault="00BA013B" w:rsidP="00BA013B">
      <w:pPr>
        <w:pStyle w:val="ListParagraph"/>
        <w:contextualSpacing/>
        <w:jc w:val="both"/>
        <w:rPr>
          <w:rFonts w:cs="Tahoma"/>
          <w:b/>
          <w:sz w:val="24"/>
        </w:rPr>
      </w:pPr>
    </w:p>
    <w:p w:rsidR="00BA013B" w:rsidRPr="00817B7E" w:rsidRDefault="00BA013B" w:rsidP="006616E8">
      <w:pPr>
        <w:pStyle w:val="ListParagraph"/>
        <w:numPr>
          <w:ilvl w:val="0"/>
          <w:numId w:val="16"/>
        </w:numPr>
        <w:contextualSpacing/>
        <w:jc w:val="both"/>
        <w:rPr>
          <w:rFonts w:cs="Tahoma"/>
          <w:b/>
          <w:sz w:val="24"/>
        </w:rPr>
      </w:pPr>
      <w:r w:rsidRPr="00817B7E">
        <w:rPr>
          <w:rFonts w:cs="Tahoma"/>
          <w:b/>
          <w:sz w:val="24"/>
        </w:rPr>
        <w:t>Financial Plan update 2019/20</w:t>
      </w:r>
    </w:p>
    <w:p w:rsidR="00BA013B" w:rsidRPr="00CD6B70" w:rsidRDefault="00BA013B" w:rsidP="00BA013B">
      <w:pPr>
        <w:jc w:val="both"/>
        <w:rPr>
          <w:rFonts w:cs="Tahoma"/>
          <w:b/>
          <w:sz w:val="24"/>
          <w:highlight w:val="yellow"/>
        </w:rPr>
      </w:pPr>
    </w:p>
    <w:p w:rsidR="00953B07" w:rsidRPr="00314F97" w:rsidRDefault="00953B07" w:rsidP="00953B07">
      <w:pPr>
        <w:jc w:val="both"/>
        <w:rPr>
          <w:rFonts w:cs="Tahoma"/>
          <w:sz w:val="24"/>
        </w:rPr>
      </w:pPr>
      <w:r w:rsidRPr="00413F52">
        <w:rPr>
          <w:rFonts w:cs="Tahoma"/>
          <w:sz w:val="24"/>
        </w:rPr>
        <w:t xml:space="preserve">Subsequent to the financial plan being approved by the Board on 28 February, there have been a number of changes in the position of the Health Board which necessitated the plan being reviewed and updated. The key changes were discussed at the Health Board development session on 27 June and agreed at the </w:t>
      </w:r>
      <w:r>
        <w:rPr>
          <w:rFonts w:cs="Tahoma"/>
          <w:sz w:val="24"/>
        </w:rPr>
        <w:t xml:space="preserve">Health Board meeting on 31 July. </w:t>
      </w:r>
      <w:r w:rsidRPr="00314F97">
        <w:rPr>
          <w:rFonts w:cs="Tahoma"/>
          <w:sz w:val="24"/>
        </w:rPr>
        <w:t>The key changes are summarised below:</w:t>
      </w:r>
    </w:p>
    <w:p w:rsidR="00953B07" w:rsidRPr="00413F52" w:rsidRDefault="00953B07" w:rsidP="00953B07">
      <w:pPr>
        <w:ind w:left="360"/>
        <w:jc w:val="both"/>
        <w:rPr>
          <w:rFonts w:cs="Tahoma"/>
          <w:sz w:val="24"/>
        </w:rPr>
      </w:pPr>
    </w:p>
    <w:p w:rsidR="00953B07" w:rsidRPr="00413F52" w:rsidRDefault="00953B07" w:rsidP="00953B07">
      <w:pPr>
        <w:ind w:left="360"/>
        <w:jc w:val="both"/>
        <w:rPr>
          <w:rFonts w:cs="Tahoma"/>
          <w:sz w:val="24"/>
        </w:rPr>
      </w:pPr>
      <w:r w:rsidRPr="00A13607">
        <w:rPr>
          <w:noProof/>
          <w:lang w:eastAsia="en-GB"/>
        </w:rPr>
        <w:drawing>
          <wp:inline distT="0" distB="0" distL="0" distR="0" wp14:anchorId="3AE872C2" wp14:editId="02875F29">
            <wp:extent cx="7352030" cy="1543685"/>
            <wp:effectExtent l="0" t="0" r="127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352030" cy="1543685"/>
                    </a:xfrm>
                    <a:prstGeom prst="rect">
                      <a:avLst/>
                    </a:prstGeom>
                    <a:noFill/>
                    <a:ln>
                      <a:noFill/>
                    </a:ln>
                  </pic:spPr>
                </pic:pic>
              </a:graphicData>
            </a:graphic>
          </wp:inline>
        </w:drawing>
      </w:r>
      <w:r w:rsidRPr="00413F52">
        <w:rPr>
          <w:rFonts w:cs="Tahoma"/>
          <w:sz w:val="24"/>
        </w:rPr>
        <w:t xml:space="preserve">  </w:t>
      </w:r>
    </w:p>
    <w:p w:rsidR="00953B07" w:rsidRPr="00413F52" w:rsidRDefault="00953B07" w:rsidP="00953B07">
      <w:pPr>
        <w:jc w:val="both"/>
        <w:rPr>
          <w:rFonts w:cs="Tahoma"/>
          <w:sz w:val="24"/>
        </w:rPr>
      </w:pPr>
    </w:p>
    <w:p w:rsidR="00953B07" w:rsidRPr="00413F52" w:rsidRDefault="00953B07" w:rsidP="00953B07">
      <w:pPr>
        <w:ind w:left="360"/>
        <w:jc w:val="both"/>
        <w:rPr>
          <w:rFonts w:cs="Tahoma"/>
          <w:sz w:val="24"/>
        </w:rPr>
      </w:pPr>
      <w:r w:rsidRPr="00413F52">
        <w:rPr>
          <w:rFonts w:cs="Tahoma"/>
          <w:sz w:val="24"/>
        </w:rPr>
        <w:t>The net impact of these changes does not change the break-even plan for 2019/20. However, it is important to highlight that the recurring position changes from a planned £0.6m surplus to a planned £3.5m deficit. This deterioration is attributed to the following items:</w:t>
      </w:r>
    </w:p>
    <w:p w:rsidR="00953B07" w:rsidRPr="00413F52" w:rsidRDefault="00953B07" w:rsidP="00953B07">
      <w:pPr>
        <w:jc w:val="both"/>
        <w:rPr>
          <w:rFonts w:cs="Tahoma"/>
          <w:sz w:val="24"/>
        </w:rPr>
      </w:pPr>
    </w:p>
    <w:p w:rsidR="00953B07" w:rsidRPr="00413F52" w:rsidRDefault="00953B07" w:rsidP="00953B07">
      <w:pPr>
        <w:pStyle w:val="ListParagraph"/>
        <w:numPr>
          <w:ilvl w:val="0"/>
          <w:numId w:val="23"/>
        </w:numPr>
        <w:contextualSpacing/>
        <w:jc w:val="both"/>
        <w:rPr>
          <w:rFonts w:cs="Tahoma"/>
          <w:sz w:val="24"/>
        </w:rPr>
      </w:pPr>
      <w:r w:rsidRPr="00413F52">
        <w:rPr>
          <w:rFonts w:cs="Tahoma"/>
          <w:sz w:val="24"/>
        </w:rPr>
        <w:t>Recurrent investment in management structures, including clinical leadership, nursing leadership and increased governance and quality improvement capacity £2m.</w:t>
      </w:r>
    </w:p>
    <w:p w:rsidR="00953B07" w:rsidRPr="00413F52" w:rsidRDefault="00953B07" w:rsidP="00953B07">
      <w:pPr>
        <w:pStyle w:val="ListParagraph"/>
        <w:numPr>
          <w:ilvl w:val="0"/>
          <w:numId w:val="23"/>
        </w:numPr>
        <w:contextualSpacing/>
        <w:jc w:val="both"/>
        <w:rPr>
          <w:rFonts w:cs="Tahoma"/>
          <w:sz w:val="24"/>
        </w:rPr>
      </w:pPr>
      <w:r w:rsidRPr="00413F52">
        <w:rPr>
          <w:rFonts w:cs="Tahoma"/>
          <w:sz w:val="24"/>
        </w:rPr>
        <w:t>Unplanned recurrent deficit associated with the Bridgend boundary change £0.7m.</w:t>
      </w:r>
    </w:p>
    <w:p w:rsidR="00953B07" w:rsidRPr="00413F52" w:rsidRDefault="00953B07" w:rsidP="00953B07">
      <w:pPr>
        <w:pStyle w:val="ListParagraph"/>
        <w:numPr>
          <w:ilvl w:val="0"/>
          <w:numId w:val="23"/>
        </w:numPr>
        <w:contextualSpacing/>
        <w:jc w:val="both"/>
        <w:rPr>
          <w:rFonts w:cs="Tahoma"/>
          <w:sz w:val="24"/>
        </w:rPr>
      </w:pPr>
      <w:r w:rsidRPr="00413F52">
        <w:rPr>
          <w:rFonts w:cs="Tahoma"/>
          <w:sz w:val="24"/>
        </w:rPr>
        <w:t xml:space="preserve">Planned care recurrent deficit in Bridgend £1.4m. </w:t>
      </w:r>
    </w:p>
    <w:p w:rsidR="00BA013B" w:rsidRPr="00BA013B" w:rsidRDefault="00BA013B" w:rsidP="00BA013B">
      <w:pPr>
        <w:ind w:left="720"/>
        <w:jc w:val="both"/>
        <w:rPr>
          <w:rFonts w:cs="Tahoma"/>
          <w:sz w:val="24"/>
        </w:rPr>
      </w:pPr>
    </w:p>
    <w:p w:rsidR="00BA013B" w:rsidRPr="00BA013B" w:rsidRDefault="00BA013B" w:rsidP="00BA013B">
      <w:pPr>
        <w:ind w:left="720"/>
        <w:jc w:val="both"/>
        <w:rPr>
          <w:rFonts w:cs="Tahoma"/>
          <w:sz w:val="24"/>
        </w:rPr>
      </w:pPr>
      <w:r w:rsidRPr="00BA013B">
        <w:rPr>
          <w:rFonts w:cs="Tahoma"/>
          <w:b/>
          <w:bCs/>
          <w:sz w:val="24"/>
          <w:u w:val="single"/>
        </w:rPr>
        <w:t>Report Sections</w:t>
      </w:r>
    </w:p>
    <w:p w:rsidR="00BA013B" w:rsidRPr="00BA013B" w:rsidRDefault="00BA013B" w:rsidP="00BA013B">
      <w:pPr>
        <w:ind w:left="720"/>
        <w:jc w:val="both"/>
        <w:rPr>
          <w:rFonts w:cs="Tahoma"/>
          <w:sz w:val="24"/>
        </w:rPr>
      </w:pPr>
    </w:p>
    <w:p w:rsidR="00BA013B" w:rsidRPr="00BA013B" w:rsidRDefault="00BA013B" w:rsidP="00BA013B">
      <w:pPr>
        <w:ind w:left="720"/>
        <w:jc w:val="both"/>
        <w:rPr>
          <w:rFonts w:cs="Tahoma"/>
          <w:sz w:val="24"/>
        </w:rPr>
      </w:pPr>
      <w:r w:rsidRPr="00BA013B">
        <w:rPr>
          <w:rFonts w:cs="Tahoma"/>
          <w:sz w:val="24"/>
        </w:rPr>
        <w:t>The following sections are included in this report:</w:t>
      </w:r>
    </w:p>
    <w:p w:rsidR="00BA013B" w:rsidRPr="00BA013B" w:rsidRDefault="00BA013B" w:rsidP="00BA013B">
      <w:pPr>
        <w:ind w:left="720"/>
        <w:jc w:val="both"/>
        <w:rPr>
          <w:rFonts w:cs="Tahoma"/>
          <w:sz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16"/>
        <w:gridCol w:w="6166"/>
        <w:gridCol w:w="1772"/>
      </w:tblGrid>
      <w:tr w:rsidR="00BA013B" w:rsidRPr="00793158" w:rsidTr="004F478C">
        <w:trPr>
          <w:jc w:val="center"/>
        </w:trPr>
        <w:tc>
          <w:tcPr>
            <w:tcW w:w="2016" w:type="dxa"/>
            <w:tcBorders>
              <w:bottom w:val="single" w:sz="4" w:space="0" w:color="auto"/>
            </w:tcBorders>
            <w:shd w:val="clear" w:color="auto" w:fill="auto"/>
          </w:tcPr>
          <w:p w:rsidR="00BA013B" w:rsidRPr="00793158" w:rsidRDefault="00BA013B" w:rsidP="004F478C">
            <w:pPr>
              <w:jc w:val="center"/>
              <w:rPr>
                <w:rFonts w:cs="Tahoma"/>
                <w:sz w:val="24"/>
              </w:rPr>
            </w:pPr>
            <w:r w:rsidRPr="00793158">
              <w:rPr>
                <w:rFonts w:cs="Tahoma"/>
                <w:sz w:val="24"/>
              </w:rPr>
              <w:t>Section No.</w:t>
            </w:r>
          </w:p>
        </w:tc>
        <w:tc>
          <w:tcPr>
            <w:tcW w:w="6166" w:type="dxa"/>
            <w:tcBorders>
              <w:bottom w:val="single" w:sz="4" w:space="0" w:color="auto"/>
            </w:tcBorders>
            <w:shd w:val="clear" w:color="auto" w:fill="auto"/>
          </w:tcPr>
          <w:p w:rsidR="00BA013B" w:rsidRPr="00793158" w:rsidRDefault="00BA013B" w:rsidP="004F478C">
            <w:pPr>
              <w:jc w:val="center"/>
              <w:rPr>
                <w:rFonts w:cs="Tahoma"/>
                <w:sz w:val="24"/>
              </w:rPr>
            </w:pPr>
            <w:r w:rsidRPr="00793158">
              <w:rPr>
                <w:rFonts w:cs="Tahoma"/>
                <w:sz w:val="24"/>
              </w:rPr>
              <w:t>Section</w:t>
            </w:r>
          </w:p>
        </w:tc>
        <w:tc>
          <w:tcPr>
            <w:tcW w:w="1772" w:type="dxa"/>
            <w:tcBorders>
              <w:bottom w:val="single" w:sz="4" w:space="0" w:color="auto"/>
            </w:tcBorders>
            <w:shd w:val="clear" w:color="auto" w:fill="auto"/>
          </w:tcPr>
          <w:p w:rsidR="00BA013B" w:rsidRPr="00793158" w:rsidRDefault="00BA013B" w:rsidP="004F478C">
            <w:pPr>
              <w:jc w:val="center"/>
              <w:rPr>
                <w:rFonts w:cs="Tahoma"/>
                <w:sz w:val="24"/>
              </w:rPr>
            </w:pPr>
            <w:r w:rsidRPr="00793158">
              <w:rPr>
                <w:rFonts w:cs="Tahoma"/>
                <w:sz w:val="24"/>
              </w:rPr>
              <w:t>Page Number</w:t>
            </w:r>
          </w:p>
        </w:tc>
      </w:tr>
      <w:tr w:rsidR="00BA013B" w:rsidRPr="00793158" w:rsidTr="004F478C">
        <w:trPr>
          <w:jc w:val="center"/>
        </w:trPr>
        <w:tc>
          <w:tcPr>
            <w:tcW w:w="9954" w:type="dxa"/>
            <w:gridSpan w:val="3"/>
            <w:tcBorders>
              <w:bottom w:val="single" w:sz="4" w:space="0" w:color="auto"/>
            </w:tcBorders>
            <w:shd w:val="clear" w:color="auto" w:fill="8DB3E2" w:themeFill="text2" w:themeFillTint="66"/>
          </w:tcPr>
          <w:p w:rsidR="00BA013B" w:rsidRPr="00793158" w:rsidRDefault="00BA013B" w:rsidP="004F478C">
            <w:pPr>
              <w:rPr>
                <w:rFonts w:cs="Tahoma"/>
                <w:b/>
                <w:sz w:val="24"/>
              </w:rPr>
            </w:pPr>
          </w:p>
        </w:tc>
      </w:tr>
      <w:tr w:rsidR="004F478C" w:rsidRPr="00793158" w:rsidTr="004F478C">
        <w:trPr>
          <w:jc w:val="center"/>
        </w:trPr>
        <w:tc>
          <w:tcPr>
            <w:tcW w:w="2016" w:type="dxa"/>
            <w:tcBorders>
              <w:bottom w:val="single" w:sz="4" w:space="0" w:color="auto"/>
            </w:tcBorders>
            <w:shd w:val="clear" w:color="auto" w:fill="auto"/>
          </w:tcPr>
          <w:p w:rsidR="004F478C" w:rsidRPr="00793158" w:rsidRDefault="00CD6B70" w:rsidP="004F478C">
            <w:pPr>
              <w:ind w:left="561"/>
              <w:rPr>
                <w:rFonts w:cs="Tahoma"/>
                <w:sz w:val="24"/>
              </w:rPr>
            </w:pPr>
            <w:r w:rsidRPr="00793158">
              <w:rPr>
                <w:rFonts w:cs="Tahoma"/>
                <w:sz w:val="24"/>
              </w:rPr>
              <w:t>2</w:t>
            </w:r>
          </w:p>
        </w:tc>
        <w:tc>
          <w:tcPr>
            <w:tcW w:w="6166" w:type="dxa"/>
            <w:tcBorders>
              <w:bottom w:val="single" w:sz="4" w:space="0" w:color="auto"/>
            </w:tcBorders>
            <w:shd w:val="clear" w:color="auto" w:fill="auto"/>
          </w:tcPr>
          <w:p w:rsidR="004F478C" w:rsidRPr="00793158" w:rsidRDefault="004F478C" w:rsidP="00A55FA0">
            <w:pPr>
              <w:rPr>
                <w:rFonts w:cs="Tahoma"/>
                <w:sz w:val="24"/>
              </w:rPr>
            </w:pPr>
            <w:r w:rsidRPr="00793158">
              <w:rPr>
                <w:rFonts w:cs="Tahoma"/>
                <w:sz w:val="24"/>
              </w:rPr>
              <w:t xml:space="preserve">Headline Messages @ Month </w:t>
            </w:r>
            <w:r w:rsidR="00A55FA0" w:rsidRPr="00793158">
              <w:rPr>
                <w:rFonts w:cs="Tahoma"/>
                <w:sz w:val="24"/>
              </w:rPr>
              <w:t>1</w:t>
            </w:r>
            <w:r w:rsidR="00953B07" w:rsidRPr="00793158">
              <w:rPr>
                <w:rFonts w:cs="Tahoma"/>
                <w:sz w:val="24"/>
              </w:rPr>
              <w:t>1</w:t>
            </w:r>
          </w:p>
        </w:tc>
        <w:tc>
          <w:tcPr>
            <w:tcW w:w="1772" w:type="dxa"/>
            <w:tcBorders>
              <w:bottom w:val="single" w:sz="4" w:space="0" w:color="auto"/>
            </w:tcBorders>
            <w:shd w:val="clear" w:color="auto" w:fill="auto"/>
          </w:tcPr>
          <w:p w:rsidR="004F478C" w:rsidRPr="00793158" w:rsidRDefault="004F478C" w:rsidP="004F478C">
            <w:pPr>
              <w:jc w:val="center"/>
              <w:rPr>
                <w:rFonts w:cs="Tahoma"/>
                <w:sz w:val="24"/>
              </w:rPr>
            </w:pPr>
            <w:r w:rsidRPr="00793158">
              <w:rPr>
                <w:rFonts w:cs="Tahoma"/>
                <w:sz w:val="24"/>
              </w:rPr>
              <w:t>7</w:t>
            </w:r>
          </w:p>
        </w:tc>
      </w:tr>
      <w:tr w:rsidR="004F478C" w:rsidRPr="00793158" w:rsidTr="004F478C">
        <w:trPr>
          <w:jc w:val="center"/>
        </w:trPr>
        <w:tc>
          <w:tcPr>
            <w:tcW w:w="9954" w:type="dxa"/>
            <w:gridSpan w:val="3"/>
            <w:tcBorders>
              <w:bottom w:val="single" w:sz="4" w:space="0" w:color="auto"/>
            </w:tcBorders>
            <w:shd w:val="clear" w:color="auto" w:fill="8DB3E2" w:themeFill="text2" w:themeFillTint="66"/>
          </w:tcPr>
          <w:p w:rsidR="004F478C" w:rsidRPr="00793158" w:rsidRDefault="004F478C" w:rsidP="004F478C">
            <w:pPr>
              <w:rPr>
                <w:rFonts w:cs="Tahoma"/>
                <w:sz w:val="24"/>
              </w:rPr>
            </w:pPr>
            <w:r w:rsidRPr="00793158">
              <w:rPr>
                <w:rFonts w:cs="Tahoma"/>
                <w:b/>
                <w:sz w:val="24"/>
              </w:rPr>
              <w:t>Summary Analysis</w:t>
            </w:r>
          </w:p>
        </w:tc>
      </w:tr>
      <w:tr w:rsidR="004F478C" w:rsidRPr="00793158" w:rsidTr="004F478C">
        <w:trPr>
          <w:jc w:val="center"/>
        </w:trPr>
        <w:tc>
          <w:tcPr>
            <w:tcW w:w="2016" w:type="dxa"/>
            <w:tcBorders>
              <w:bottom w:val="single" w:sz="4" w:space="0" w:color="auto"/>
            </w:tcBorders>
            <w:shd w:val="clear" w:color="auto" w:fill="auto"/>
          </w:tcPr>
          <w:p w:rsidR="004F478C" w:rsidRPr="00793158" w:rsidRDefault="00CD6B70" w:rsidP="004F478C">
            <w:pPr>
              <w:ind w:left="561"/>
              <w:rPr>
                <w:rFonts w:cs="Tahoma"/>
                <w:sz w:val="24"/>
              </w:rPr>
            </w:pPr>
            <w:r w:rsidRPr="00793158">
              <w:rPr>
                <w:rFonts w:cs="Tahoma"/>
                <w:sz w:val="24"/>
              </w:rPr>
              <w:t>3</w:t>
            </w:r>
            <w:r w:rsidR="004F478C" w:rsidRPr="00793158">
              <w:rPr>
                <w:rFonts w:cs="Tahoma"/>
                <w:sz w:val="24"/>
              </w:rPr>
              <w:t>.1</w:t>
            </w:r>
          </w:p>
        </w:tc>
        <w:tc>
          <w:tcPr>
            <w:tcW w:w="6166" w:type="dxa"/>
            <w:tcBorders>
              <w:bottom w:val="single" w:sz="4" w:space="0" w:color="auto"/>
            </w:tcBorders>
            <w:shd w:val="clear" w:color="auto" w:fill="auto"/>
          </w:tcPr>
          <w:p w:rsidR="004F478C" w:rsidRPr="00793158" w:rsidRDefault="004F478C" w:rsidP="004F478C">
            <w:pPr>
              <w:rPr>
                <w:rFonts w:cs="Tahoma"/>
                <w:sz w:val="24"/>
              </w:rPr>
            </w:pPr>
            <w:r w:rsidRPr="00793158">
              <w:rPr>
                <w:rFonts w:cs="Tahoma"/>
                <w:sz w:val="24"/>
              </w:rPr>
              <w:t>Financial Performance and Key Targets</w:t>
            </w:r>
          </w:p>
        </w:tc>
        <w:tc>
          <w:tcPr>
            <w:tcW w:w="1772" w:type="dxa"/>
            <w:tcBorders>
              <w:bottom w:val="single" w:sz="4" w:space="0" w:color="auto"/>
            </w:tcBorders>
            <w:shd w:val="clear" w:color="auto" w:fill="auto"/>
          </w:tcPr>
          <w:p w:rsidR="004F478C" w:rsidRPr="00793158" w:rsidRDefault="00054497" w:rsidP="00793158">
            <w:pPr>
              <w:jc w:val="center"/>
              <w:rPr>
                <w:rFonts w:cs="Tahoma"/>
                <w:sz w:val="24"/>
              </w:rPr>
            </w:pPr>
            <w:r w:rsidRPr="00793158">
              <w:rPr>
                <w:rFonts w:cs="Tahoma"/>
                <w:sz w:val="24"/>
              </w:rPr>
              <w:t>1</w:t>
            </w:r>
            <w:r w:rsidR="00793158" w:rsidRPr="00793158">
              <w:rPr>
                <w:rFonts w:cs="Tahoma"/>
                <w:sz w:val="24"/>
              </w:rPr>
              <w:t>0</w:t>
            </w:r>
          </w:p>
        </w:tc>
      </w:tr>
      <w:tr w:rsidR="004F478C" w:rsidRPr="00793158" w:rsidTr="004F478C">
        <w:trPr>
          <w:jc w:val="center"/>
        </w:trPr>
        <w:tc>
          <w:tcPr>
            <w:tcW w:w="2016" w:type="dxa"/>
            <w:tcBorders>
              <w:bottom w:val="single" w:sz="4" w:space="0" w:color="auto"/>
            </w:tcBorders>
            <w:shd w:val="clear" w:color="auto" w:fill="auto"/>
          </w:tcPr>
          <w:p w:rsidR="004F478C" w:rsidRPr="00793158" w:rsidRDefault="00CD6B70" w:rsidP="004F478C">
            <w:pPr>
              <w:ind w:left="561"/>
              <w:rPr>
                <w:rFonts w:cs="Tahoma"/>
                <w:sz w:val="24"/>
              </w:rPr>
            </w:pPr>
            <w:r w:rsidRPr="00793158">
              <w:rPr>
                <w:rFonts w:cs="Tahoma"/>
                <w:sz w:val="24"/>
              </w:rPr>
              <w:t>3</w:t>
            </w:r>
            <w:r w:rsidR="004F478C" w:rsidRPr="00793158">
              <w:rPr>
                <w:rFonts w:cs="Tahoma"/>
                <w:sz w:val="24"/>
              </w:rPr>
              <w:t>.2</w:t>
            </w:r>
          </w:p>
        </w:tc>
        <w:tc>
          <w:tcPr>
            <w:tcW w:w="6166" w:type="dxa"/>
            <w:tcBorders>
              <w:bottom w:val="single" w:sz="4" w:space="0" w:color="auto"/>
            </w:tcBorders>
            <w:shd w:val="clear" w:color="auto" w:fill="auto"/>
          </w:tcPr>
          <w:p w:rsidR="004F478C" w:rsidRPr="00793158" w:rsidRDefault="004F478C" w:rsidP="004F478C">
            <w:pPr>
              <w:rPr>
                <w:rFonts w:cs="Tahoma"/>
                <w:sz w:val="24"/>
              </w:rPr>
            </w:pPr>
            <w:r w:rsidRPr="00793158">
              <w:rPr>
                <w:rFonts w:cs="Tahoma"/>
                <w:sz w:val="24"/>
              </w:rPr>
              <w:t>Revenue Performance by Expenditure Category</w:t>
            </w:r>
          </w:p>
        </w:tc>
        <w:tc>
          <w:tcPr>
            <w:tcW w:w="1772" w:type="dxa"/>
            <w:tcBorders>
              <w:bottom w:val="single" w:sz="4" w:space="0" w:color="auto"/>
            </w:tcBorders>
            <w:shd w:val="clear" w:color="auto" w:fill="auto"/>
          </w:tcPr>
          <w:p w:rsidR="004F478C" w:rsidRPr="00793158" w:rsidRDefault="00054497" w:rsidP="004F478C">
            <w:pPr>
              <w:jc w:val="center"/>
              <w:rPr>
                <w:rFonts w:cs="Tahoma"/>
                <w:sz w:val="24"/>
              </w:rPr>
            </w:pPr>
            <w:r w:rsidRPr="00793158">
              <w:rPr>
                <w:rFonts w:cs="Tahoma"/>
                <w:sz w:val="24"/>
              </w:rPr>
              <w:t>1</w:t>
            </w:r>
            <w:r w:rsidR="00793158" w:rsidRPr="00793158">
              <w:rPr>
                <w:rFonts w:cs="Tahoma"/>
                <w:sz w:val="24"/>
              </w:rPr>
              <w:t>1</w:t>
            </w:r>
          </w:p>
        </w:tc>
      </w:tr>
      <w:tr w:rsidR="004F478C" w:rsidRPr="00793158" w:rsidTr="004F478C">
        <w:trPr>
          <w:jc w:val="center"/>
        </w:trPr>
        <w:tc>
          <w:tcPr>
            <w:tcW w:w="2016" w:type="dxa"/>
            <w:tcBorders>
              <w:bottom w:val="single" w:sz="4" w:space="0" w:color="auto"/>
            </w:tcBorders>
            <w:shd w:val="clear" w:color="auto" w:fill="auto"/>
          </w:tcPr>
          <w:p w:rsidR="004F478C" w:rsidRPr="00793158" w:rsidRDefault="00CD6B70" w:rsidP="004F478C">
            <w:pPr>
              <w:ind w:left="561"/>
              <w:rPr>
                <w:rFonts w:cs="Tahoma"/>
                <w:sz w:val="24"/>
              </w:rPr>
            </w:pPr>
            <w:r w:rsidRPr="00793158">
              <w:rPr>
                <w:rFonts w:cs="Tahoma"/>
                <w:sz w:val="24"/>
              </w:rPr>
              <w:t>3</w:t>
            </w:r>
            <w:r w:rsidR="004F478C" w:rsidRPr="00793158">
              <w:rPr>
                <w:rFonts w:cs="Tahoma"/>
                <w:sz w:val="24"/>
              </w:rPr>
              <w:t>.3</w:t>
            </w:r>
          </w:p>
        </w:tc>
        <w:tc>
          <w:tcPr>
            <w:tcW w:w="6166" w:type="dxa"/>
            <w:tcBorders>
              <w:bottom w:val="single" w:sz="4" w:space="0" w:color="auto"/>
            </w:tcBorders>
            <w:shd w:val="clear" w:color="auto" w:fill="auto"/>
          </w:tcPr>
          <w:p w:rsidR="004F478C" w:rsidRPr="00793158" w:rsidRDefault="004F478C" w:rsidP="004F478C">
            <w:pPr>
              <w:rPr>
                <w:rFonts w:cs="Tahoma"/>
                <w:sz w:val="24"/>
              </w:rPr>
            </w:pPr>
            <w:r w:rsidRPr="00793158">
              <w:rPr>
                <w:rFonts w:cs="Tahoma"/>
                <w:sz w:val="24"/>
              </w:rPr>
              <w:t>Revenue Performance by Division</w:t>
            </w:r>
          </w:p>
        </w:tc>
        <w:tc>
          <w:tcPr>
            <w:tcW w:w="1772" w:type="dxa"/>
            <w:tcBorders>
              <w:bottom w:val="single" w:sz="4" w:space="0" w:color="auto"/>
            </w:tcBorders>
            <w:shd w:val="clear" w:color="auto" w:fill="auto"/>
          </w:tcPr>
          <w:p w:rsidR="004F478C" w:rsidRPr="00793158" w:rsidRDefault="0069737C" w:rsidP="004F478C">
            <w:pPr>
              <w:jc w:val="center"/>
              <w:rPr>
                <w:rFonts w:cs="Tahoma"/>
                <w:sz w:val="24"/>
              </w:rPr>
            </w:pPr>
            <w:r w:rsidRPr="00793158">
              <w:rPr>
                <w:rFonts w:cs="Tahoma"/>
                <w:sz w:val="24"/>
              </w:rPr>
              <w:t>1</w:t>
            </w:r>
            <w:r w:rsidR="00793158" w:rsidRPr="00793158">
              <w:rPr>
                <w:rFonts w:cs="Tahoma"/>
                <w:sz w:val="24"/>
              </w:rPr>
              <w:t>6</w:t>
            </w:r>
          </w:p>
        </w:tc>
      </w:tr>
      <w:tr w:rsidR="004F478C" w:rsidRPr="00793158" w:rsidTr="004F478C">
        <w:trPr>
          <w:jc w:val="center"/>
        </w:trPr>
        <w:tc>
          <w:tcPr>
            <w:tcW w:w="9954" w:type="dxa"/>
            <w:gridSpan w:val="3"/>
            <w:shd w:val="clear" w:color="auto" w:fill="8DB3E2" w:themeFill="text2" w:themeFillTint="66"/>
          </w:tcPr>
          <w:p w:rsidR="004F478C" w:rsidRPr="00793158" w:rsidRDefault="004F478C" w:rsidP="004F478C">
            <w:pPr>
              <w:rPr>
                <w:rFonts w:cs="Tahoma"/>
                <w:b/>
                <w:sz w:val="24"/>
              </w:rPr>
            </w:pPr>
          </w:p>
        </w:tc>
      </w:tr>
      <w:tr w:rsidR="004F478C" w:rsidRPr="00793158" w:rsidTr="004F478C">
        <w:trPr>
          <w:jc w:val="center"/>
        </w:trPr>
        <w:tc>
          <w:tcPr>
            <w:tcW w:w="2016" w:type="dxa"/>
            <w:shd w:val="clear" w:color="auto" w:fill="auto"/>
          </w:tcPr>
          <w:p w:rsidR="004F478C" w:rsidRPr="00793158" w:rsidRDefault="00CD6B70" w:rsidP="004F478C">
            <w:pPr>
              <w:ind w:left="561"/>
              <w:rPr>
                <w:rFonts w:cs="Tahoma"/>
                <w:sz w:val="24"/>
              </w:rPr>
            </w:pPr>
            <w:r w:rsidRPr="00793158">
              <w:rPr>
                <w:rFonts w:cs="Tahoma"/>
                <w:sz w:val="24"/>
              </w:rPr>
              <w:t>3</w:t>
            </w:r>
            <w:r w:rsidR="004F478C" w:rsidRPr="00793158">
              <w:rPr>
                <w:rFonts w:cs="Tahoma"/>
                <w:sz w:val="24"/>
              </w:rPr>
              <w:t>.4</w:t>
            </w:r>
          </w:p>
        </w:tc>
        <w:tc>
          <w:tcPr>
            <w:tcW w:w="6166" w:type="dxa"/>
            <w:shd w:val="clear" w:color="auto" w:fill="auto"/>
          </w:tcPr>
          <w:p w:rsidR="004F478C" w:rsidRPr="00793158" w:rsidRDefault="004F478C" w:rsidP="004F478C">
            <w:pPr>
              <w:rPr>
                <w:rFonts w:cs="Tahoma"/>
                <w:sz w:val="24"/>
              </w:rPr>
            </w:pPr>
            <w:r w:rsidRPr="00793158">
              <w:rPr>
                <w:rFonts w:cs="Tahoma"/>
                <w:sz w:val="24"/>
              </w:rPr>
              <w:t>Pay Expenditure</w:t>
            </w:r>
          </w:p>
        </w:tc>
        <w:tc>
          <w:tcPr>
            <w:tcW w:w="1772" w:type="dxa"/>
            <w:shd w:val="clear" w:color="auto" w:fill="auto"/>
          </w:tcPr>
          <w:p w:rsidR="004F478C" w:rsidRPr="00793158" w:rsidRDefault="0069737C" w:rsidP="005D0B12">
            <w:pPr>
              <w:jc w:val="center"/>
              <w:rPr>
                <w:rFonts w:cs="Tahoma"/>
                <w:sz w:val="24"/>
              </w:rPr>
            </w:pPr>
            <w:r w:rsidRPr="00793158">
              <w:rPr>
                <w:rFonts w:cs="Tahoma"/>
                <w:sz w:val="24"/>
              </w:rPr>
              <w:t>1</w:t>
            </w:r>
            <w:r w:rsidR="00793158" w:rsidRPr="00793158">
              <w:rPr>
                <w:rFonts w:cs="Tahoma"/>
                <w:sz w:val="24"/>
              </w:rPr>
              <w:t>8</w:t>
            </w:r>
          </w:p>
        </w:tc>
      </w:tr>
      <w:tr w:rsidR="004F478C" w:rsidRPr="00793158" w:rsidTr="004F478C">
        <w:trPr>
          <w:jc w:val="center"/>
        </w:trPr>
        <w:tc>
          <w:tcPr>
            <w:tcW w:w="2016" w:type="dxa"/>
            <w:shd w:val="clear" w:color="auto" w:fill="auto"/>
          </w:tcPr>
          <w:p w:rsidR="004F478C" w:rsidRPr="00793158" w:rsidRDefault="00CD6B70" w:rsidP="004F478C">
            <w:pPr>
              <w:ind w:left="561"/>
              <w:rPr>
                <w:rFonts w:cs="Tahoma"/>
                <w:sz w:val="24"/>
              </w:rPr>
            </w:pPr>
            <w:r w:rsidRPr="00793158">
              <w:rPr>
                <w:rFonts w:cs="Tahoma"/>
                <w:sz w:val="24"/>
              </w:rPr>
              <w:t>3</w:t>
            </w:r>
            <w:r w:rsidR="004F478C" w:rsidRPr="00793158">
              <w:rPr>
                <w:rFonts w:cs="Tahoma"/>
                <w:sz w:val="24"/>
              </w:rPr>
              <w:t>.5</w:t>
            </w:r>
          </w:p>
        </w:tc>
        <w:tc>
          <w:tcPr>
            <w:tcW w:w="6166" w:type="dxa"/>
            <w:shd w:val="clear" w:color="auto" w:fill="auto"/>
          </w:tcPr>
          <w:p w:rsidR="004F478C" w:rsidRPr="00793158" w:rsidRDefault="004F478C" w:rsidP="004F478C">
            <w:pPr>
              <w:rPr>
                <w:rFonts w:cs="Tahoma"/>
                <w:sz w:val="24"/>
              </w:rPr>
            </w:pPr>
            <w:r w:rsidRPr="00793158">
              <w:rPr>
                <w:rFonts w:cs="Tahoma"/>
                <w:sz w:val="24"/>
              </w:rPr>
              <w:t>Non Pay Expenditure</w:t>
            </w:r>
          </w:p>
        </w:tc>
        <w:tc>
          <w:tcPr>
            <w:tcW w:w="1772" w:type="dxa"/>
            <w:shd w:val="clear" w:color="auto" w:fill="auto"/>
          </w:tcPr>
          <w:p w:rsidR="004F478C" w:rsidRPr="00793158" w:rsidRDefault="0069737C" w:rsidP="004F478C">
            <w:pPr>
              <w:jc w:val="center"/>
              <w:rPr>
                <w:rFonts w:cs="Tahoma"/>
                <w:sz w:val="24"/>
              </w:rPr>
            </w:pPr>
            <w:r w:rsidRPr="00793158">
              <w:rPr>
                <w:rFonts w:cs="Tahoma"/>
                <w:sz w:val="24"/>
              </w:rPr>
              <w:t>2</w:t>
            </w:r>
            <w:r w:rsidR="00793158" w:rsidRPr="00793158">
              <w:rPr>
                <w:rFonts w:cs="Tahoma"/>
                <w:sz w:val="24"/>
              </w:rPr>
              <w:t>6</w:t>
            </w:r>
          </w:p>
        </w:tc>
      </w:tr>
      <w:tr w:rsidR="004F478C" w:rsidRPr="00793158" w:rsidTr="004F478C">
        <w:trPr>
          <w:jc w:val="center"/>
        </w:trPr>
        <w:tc>
          <w:tcPr>
            <w:tcW w:w="2016" w:type="dxa"/>
            <w:shd w:val="clear" w:color="auto" w:fill="auto"/>
          </w:tcPr>
          <w:p w:rsidR="004F478C" w:rsidRPr="00793158" w:rsidRDefault="00CD6B70" w:rsidP="004F478C">
            <w:pPr>
              <w:ind w:left="561"/>
              <w:rPr>
                <w:rFonts w:cs="Tahoma"/>
                <w:sz w:val="24"/>
              </w:rPr>
            </w:pPr>
            <w:r w:rsidRPr="00793158">
              <w:rPr>
                <w:rFonts w:cs="Tahoma"/>
                <w:sz w:val="24"/>
              </w:rPr>
              <w:t>3</w:t>
            </w:r>
            <w:r w:rsidR="004F478C" w:rsidRPr="00793158">
              <w:rPr>
                <w:rFonts w:cs="Tahoma"/>
                <w:sz w:val="24"/>
              </w:rPr>
              <w:t>.6</w:t>
            </w:r>
          </w:p>
        </w:tc>
        <w:tc>
          <w:tcPr>
            <w:tcW w:w="6166" w:type="dxa"/>
            <w:shd w:val="clear" w:color="auto" w:fill="auto"/>
          </w:tcPr>
          <w:p w:rsidR="004F478C" w:rsidRPr="00793158" w:rsidRDefault="004F478C" w:rsidP="004F478C">
            <w:pPr>
              <w:rPr>
                <w:rFonts w:cs="Tahoma"/>
                <w:sz w:val="24"/>
              </w:rPr>
            </w:pPr>
            <w:r w:rsidRPr="00793158">
              <w:rPr>
                <w:rFonts w:cs="Tahoma"/>
                <w:sz w:val="24"/>
              </w:rPr>
              <w:t xml:space="preserve">Income </w:t>
            </w:r>
          </w:p>
        </w:tc>
        <w:tc>
          <w:tcPr>
            <w:tcW w:w="1772" w:type="dxa"/>
            <w:shd w:val="clear" w:color="auto" w:fill="auto"/>
          </w:tcPr>
          <w:p w:rsidR="004F478C" w:rsidRPr="00793158" w:rsidRDefault="00793158" w:rsidP="004F478C">
            <w:pPr>
              <w:jc w:val="center"/>
              <w:rPr>
                <w:rFonts w:cs="Tahoma"/>
                <w:sz w:val="24"/>
              </w:rPr>
            </w:pPr>
            <w:r w:rsidRPr="00793158">
              <w:rPr>
                <w:rFonts w:cs="Tahoma"/>
                <w:sz w:val="24"/>
              </w:rPr>
              <w:t>29</w:t>
            </w:r>
          </w:p>
        </w:tc>
      </w:tr>
      <w:tr w:rsidR="004F478C" w:rsidRPr="00793158" w:rsidTr="004F478C">
        <w:trPr>
          <w:jc w:val="center"/>
        </w:trPr>
        <w:tc>
          <w:tcPr>
            <w:tcW w:w="2016" w:type="dxa"/>
            <w:shd w:val="clear" w:color="auto" w:fill="auto"/>
          </w:tcPr>
          <w:p w:rsidR="004F478C" w:rsidRPr="00793158" w:rsidRDefault="00CD6B70" w:rsidP="004F478C">
            <w:pPr>
              <w:ind w:left="561"/>
              <w:rPr>
                <w:rFonts w:cs="Tahoma"/>
                <w:sz w:val="24"/>
              </w:rPr>
            </w:pPr>
            <w:r w:rsidRPr="00793158">
              <w:rPr>
                <w:rFonts w:cs="Tahoma"/>
                <w:sz w:val="24"/>
              </w:rPr>
              <w:t>3</w:t>
            </w:r>
            <w:r w:rsidR="004F478C" w:rsidRPr="00793158">
              <w:rPr>
                <w:rFonts w:cs="Tahoma"/>
                <w:sz w:val="24"/>
              </w:rPr>
              <w:t>.7</w:t>
            </w:r>
          </w:p>
        </w:tc>
        <w:tc>
          <w:tcPr>
            <w:tcW w:w="6166" w:type="dxa"/>
            <w:shd w:val="clear" w:color="auto" w:fill="auto"/>
          </w:tcPr>
          <w:p w:rsidR="004F478C" w:rsidRPr="00793158" w:rsidRDefault="004F478C" w:rsidP="004F478C">
            <w:pPr>
              <w:rPr>
                <w:rFonts w:cs="Tahoma"/>
                <w:sz w:val="24"/>
              </w:rPr>
            </w:pPr>
            <w:r w:rsidRPr="00793158">
              <w:rPr>
                <w:rFonts w:cs="Tahoma"/>
                <w:sz w:val="24"/>
              </w:rPr>
              <w:t>Savings Plan Performance</w:t>
            </w:r>
          </w:p>
        </w:tc>
        <w:tc>
          <w:tcPr>
            <w:tcW w:w="1772" w:type="dxa"/>
            <w:shd w:val="clear" w:color="auto" w:fill="auto"/>
          </w:tcPr>
          <w:p w:rsidR="004F478C" w:rsidRPr="00793158" w:rsidRDefault="0069737C" w:rsidP="004F478C">
            <w:pPr>
              <w:jc w:val="center"/>
              <w:rPr>
                <w:rFonts w:cs="Tahoma"/>
                <w:sz w:val="24"/>
              </w:rPr>
            </w:pPr>
            <w:r w:rsidRPr="00793158">
              <w:rPr>
                <w:rFonts w:cs="Tahoma"/>
                <w:sz w:val="24"/>
              </w:rPr>
              <w:t>3</w:t>
            </w:r>
            <w:r w:rsidR="00793158" w:rsidRPr="00793158">
              <w:rPr>
                <w:rFonts w:cs="Tahoma"/>
                <w:sz w:val="24"/>
              </w:rPr>
              <w:t>1</w:t>
            </w:r>
          </w:p>
        </w:tc>
      </w:tr>
      <w:tr w:rsidR="004F478C" w:rsidRPr="00793158" w:rsidTr="004F478C">
        <w:trPr>
          <w:jc w:val="center"/>
        </w:trPr>
        <w:tc>
          <w:tcPr>
            <w:tcW w:w="2016" w:type="dxa"/>
            <w:tcBorders>
              <w:bottom w:val="single" w:sz="4" w:space="0" w:color="auto"/>
            </w:tcBorders>
            <w:shd w:val="clear" w:color="auto" w:fill="auto"/>
          </w:tcPr>
          <w:p w:rsidR="004F478C" w:rsidRPr="00793158" w:rsidRDefault="00CD6B70" w:rsidP="004F478C">
            <w:pPr>
              <w:ind w:left="561"/>
              <w:rPr>
                <w:rFonts w:cs="Tahoma"/>
                <w:sz w:val="24"/>
              </w:rPr>
            </w:pPr>
            <w:r w:rsidRPr="00793158">
              <w:rPr>
                <w:rFonts w:cs="Tahoma"/>
                <w:sz w:val="24"/>
              </w:rPr>
              <w:t>3</w:t>
            </w:r>
            <w:r w:rsidR="004F478C" w:rsidRPr="00793158">
              <w:rPr>
                <w:rFonts w:cs="Tahoma"/>
                <w:sz w:val="24"/>
              </w:rPr>
              <w:t>.8</w:t>
            </w:r>
          </w:p>
        </w:tc>
        <w:tc>
          <w:tcPr>
            <w:tcW w:w="6166" w:type="dxa"/>
            <w:tcBorders>
              <w:bottom w:val="single" w:sz="4" w:space="0" w:color="auto"/>
            </w:tcBorders>
            <w:shd w:val="clear" w:color="auto" w:fill="auto"/>
          </w:tcPr>
          <w:p w:rsidR="004F478C" w:rsidRPr="00793158" w:rsidRDefault="004F478C" w:rsidP="004F478C">
            <w:pPr>
              <w:rPr>
                <w:rFonts w:cs="Tahoma"/>
                <w:sz w:val="24"/>
              </w:rPr>
            </w:pPr>
            <w:r w:rsidRPr="00793158">
              <w:rPr>
                <w:rFonts w:cs="Tahoma"/>
                <w:sz w:val="24"/>
              </w:rPr>
              <w:t>Non Delegated Budgets</w:t>
            </w:r>
          </w:p>
        </w:tc>
        <w:tc>
          <w:tcPr>
            <w:tcW w:w="1772" w:type="dxa"/>
            <w:tcBorders>
              <w:bottom w:val="single" w:sz="4" w:space="0" w:color="auto"/>
            </w:tcBorders>
            <w:shd w:val="clear" w:color="auto" w:fill="auto"/>
          </w:tcPr>
          <w:p w:rsidR="004F478C" w:rsidRPr="00793158" w:rsidRDefault="0069737C" w:rsidP="004F478C">
            <w:pPr>
              <w:jc w:val="center"/>
              <w:rPr>
                <w:rFonts w:cs="Tahoma"/>
                <w:sz w:val="24"/>
              </w:rPr>
            </w:pPr>
            <w:r w:rsidRPr="00793158">
              <w:rPr>
                <w:rFonts w:cs="Tahoma"/>
                <w:sz w:val="24"/>
              </w:rPr>
              <w:t>3</w:t>
            </w:r>
            <w:r w:rsidR="00793158" w:rsidRPr="00793158">
              <w:rPr>
                <w:rFonts w:cs="Tahoma"/>
                <w:sz w:val="24"/>
              </w:rPr>
              <w:t>2</w:t>
            </w:r>
          </w:p>
        </w:tc>
      </w:tr>
      <w:tr w:rsidR="004F478C" w:rsidRPr="00793158" w:rsidTr="004F478C">
        <w:trPr>
          <w:jc w:val="center"/>
        </w:trPr>
        <w:tc>
          <w:tcPr>
            <w:tcW w:w="2016" w:type="dxa"/>
            <w:tcBorders>
              <w:bottom w:val="single" w:sz="4" w:space="0" w:color="auto"/>
            </w:tcBorders>
            <w:shd w:val="clear" w:color="auto" w:fill="auto"/>
          </w:tcPr>
          <w:p w:rsidR="004F478C" w:rsidRPr="00793158" w:rsidRDefault="00CD6B70" w:rsidP="004F478C">
            <w:pPr>
              <w:ind w:left="561"/>
              <w:rPr>
                <w:rFonts w:cs="Tahoma"/>
                <w:sz w:val="24"/>
              </w:rPr>
            </w:pPr>
            <w:r w:rsidRPr="00793158">
              <w:rPr>
                <w:rFonts w:cs="Tahoma"/>
                <w:sz w:val="24"/>
              </w:rPr>
              <w:t>3</w:t>
            </w:r>
            <w:r w:rsidR="004F478C" w:rsidRPr="00793158">
              <w:rPr>
                <w:rFonts w:cs="Tahoma"/>
                <w:sz w:val="24"/>
              </w:rPr>
              <w:t>.9</w:t>
            </w:r>
          </w:p>
        </w:tc>
        <w:tc>
          <w:tcPr>
            <w:tcW w:w="6166" w:type="dxa"/>
            <w:tcBorders>
              <w:bottom w:val="single" w:sz="4" w:space="0" w:color="auto"/>
            </w:tcBorders>
            <w:shd w:val="clear" w:color="auto" w:fill="auto"/>
          </w:tcPr>
          <w:p w:rsidR="004F478C" w:rsidRPr="00793158" w:rsidRDefault="004F478C" w:rsidP="004F478C">
            <w:pPr>
              <w:rPr>
                <w:rFonts w:cs="Tahoma"/>
                <w:sz w:val="24"/>
              </w:rPr>
            </w:pPr>
            <w:r w:rsidRPr="00793158">
              <w:rPr>
                <w:rFonts w:cs="Tahoma"/>
                <w:sz w:val="24"/>
              </w:rPr>
              <w:t>Welsh Government Allocations</w:t>
            </w:r>
          </w:p>
        </w:tc>
        <w:tc>
          <w:tcPr>
            <w:tcW w:w="1772" w:type="dxa"/>
            <w:tcBorders>
              <w:bottom w:val="single" w:sz="4" w:space="0" w:color="auto"/>
            </w:tcBorders>
            <w:shd w:val="clear" w:color="auto" w:fill="auto"/>
          </w:tcPr>
          <w:p w:rsidR="004F478C" w:rsidRPr="00793158" w:rsidRDefault="0069737C" w:rsidP="004F478C">
            <w:pPr>
              <w:jc w:val="center"/>
              <w:rPr>
                <w:rFonts w:cs="Tahoma"/>
                <w:sz w:val="24"/>
              </w:rPr>
            </w:pPr>
            <w:r w:rsidRPr="00793158">
              <w:rPr>
                <w:rFonts w:cs="Tahoma"/>
                <w:sz w:val="24"/>
              </w:rPr>
              <w:t>3</w:t>
            </w:r>
            <w:r w:rsidR="00793158" w:rsidRPr="00793158">
              <w:rPr>
                <w:rFonts w:cs="Tahoma"/>
                <w:sz w:val="24"/>
              </w:rPr>
              <w:t>3</w:t>
            </w:r>
          </w:p>
        </w:tc>
      </w:tr>
      <w:tr w:rsidR="00CD6B70" w:rsidRPr="00793158" w:rsidTr="00CD6B70">
        <w:trPr>
          <w:jc w:val="center"/>
        </w:trPr>
        <w:tc>
          <w:tcPr>
            <w:tcW w:w="2016" w:type="dxa"/>
            <w:shd w:val="clear" w:color="auto" w:fill="8DB3E2" w:themeFill="text2" w:themeFillTint="66"/>
          </w:tcPr>
          <w:p w:rsidR="00CD6B70" w:rsidRPr="00793158" w:rsidRDefault="00CD6B70" w:rsidP="00CD6B70">
            <w:pPr>
              <w:ind w:left="561"/>
              <w:rPr>
                <w:rFonts w:cs="Tahoma"/>
                <w:sz w:val="24"/>
              </w:rPr>
            </w:pPr>
          </w:p>
        </w:tc>
        <w:tc>
          <w:tcPr>
            <w:tcW w:w="6166" w:type="dxa"/>
            <w:shd w:val="clear" w:color="auto" w:fill="8DB3E2" w:themeFill="text2" w:themeFillTint="66"/>
          </w:tcPr>
          <w:p w:rsidR="00CD6B70" w:rsidRPr="00793158" w:rsidRDefault="00CD6B70" w:rsidP="00CD6B70">
            <w:pPr>
              <w:rPr>
                <w:rFonts w:cs="Tahoma"/>
                <w:sz w:val="24"/>
              </w:rPr>
            </w:pPr>
          </w:p>
        </w:tc>
        <w:tc>
          <w:tcPr>
            <w:tcW w:w="1772" w:type="dxa"/>
            <w:shd w:val="clear" w:color="auto" w:fill="8DB3E2" w:themeFill="text2" w:themeFillTint="66"/>
          </w:tcPr>
          <w:p w:rsidR="00CD6B70" w:rsidRPr="00793158" w:rsidRDefault="00CD6B70" w:rsidP="00CD6B70">
            <w:pPr>
              <w:jc w:val="center"/>
              <w:rPr>
                <w:rFonts w:cs="Tahoma"/>
                <w:sz w:val="24"/>
              </w:rPr>
            </w:pPr>
          </w:p>
        </w:tc>
      </w:tr>
      <w:tr w:rsidR="004F478C" w:rsidRPr="00793158" w:rsidTr="004F478C">
        <w:trPr>
          <w:jc w:val="center"/>
        </w:trPr>
        <w:tc>
          <w:tcPr>
            <w:tcW w:w="2016" w:type="dxa"/>
            <w:shd w:val="clear" w:color="auto" w:fill="auto"/>
          </w:tcPr>
          <w:p w:rsidR="004F478C" w:rsidRPr="00793158" w:rsidRDefault="00CD6B70" w:rsidP="004F478C">
            <w:pPr>
              <w:ind w:left="561"/>
              <w:rPr>
                <w:rFonts w:cs="Tahoma"/>
                <w:sz w:val="24"/>
              </w:rPr>
            </w:pPr>
            <w:r w:rsidRPr="00793158">
              <w:rPr>
                <w:rFonts w:cs="Tahoma"/>
                <w:sz w:val="24"/>
              </w:rPr>
              <w:t>3</w:t>
            </w:r>
            <w:r w:rsidR="004F478C" w:rsidRPr="00793158">
              <w:rPr>
                <w:rFonts w:cs="Tahoma"/>
                <w:sz w:val="24"/>
              </w:rPr>
              <w:t>.10</w:t>
            </w:r>
          </w:p>
        </w:tc>
        <w:tc>
          <w:tcPr>
            <w:tcW w:w="6166" w:type="dxa"/>
            <w:shd w:val="clear" w:color="auto" w:fill="auto"/>
          </w:tcPr>
          <w:p w:rsidR="004F478C" w:rsidRPr="00793158" w:rsidRDefault="004F478C" w:rsidP="004F478C">
            <w:pPr>
              <w:rPr>
                <w:rFonts w:cs="Tahoma"/>
                <w:sz w:val="24"/>
              </w:rPr>
            </w:pPr>
            <w:r w:rsidRPr="00793158">
              <w:rPr>
                <w:rFonts w:cs="Tahoma"/>
                <w:sz w:val="24"/>
              </w:rPr>
              <w:t>Performance against Capital Resource Limit</w:t>
            </w:r>
          </w:p>
        </w:tc>
        <w:tc>
          <w:tcPr>
            <w:tcW w:w="1772" w:type="dxa"/>
            <w:shd w:val="clear" w:color="auto" w:fill="auto"/>
          </w:tcPr>
          <w:p w:rsidR="004F478C" w:rsidRPr="00793158" w:rsidRDefault="0069737C" w:rsidP="004F478C">
            <w:pPr>
              <w:jc w:val="center"/>
              <w:rPr>
                <w:rFonts w:cs="Tahoma"/>
                <w:sz w:val="24"/>
              </w:rPr>
            </w:pPr>
            <w:r w:rsidRPr="00793158">
              <w:rPr>
                <w:rFonts w:cs="Tahoma"/>
                <w:sz w:val="24"/>
              </w:rPr>
              <w:t>3</w:t>
            </w:r>
            <w:r w:rsidR="00793158" w:rsidRPr="00793158">
              <w:rPr>
                <w:rFonts w:cs="Tahoma"/>
                <w:sz w:val="24"/>
              </w:rPr>
              <w:t>4</w:t>
            </w:r>
          </w:p>
        </w:tc>
      </w:tr>
      <w:tr w:rsidR="004F478C" w:rsidRPr="00793158" w:rsidTr="004F478C">
        <w:trPr>
          <w:jc w:val="center"/>
        </w:trPr>
        <w:tc>
          <w:tcPr>
            <w:tcW w:w="2016" w:type="dxa"/>
            <w:shd w:val="clear" w:color="auto" w:fill="auto"/>
          </w:tcPr>
          <w:p w:rsidR="004F478C" w:rsidRPr="00793158" w:rsidRDefault="00CD6B70" w:rsidP="004F478C">
            <w:pPr>
              <w:ind w:left="561"/>
              <w:rPr>
                <w:rFonts w:cs="Tahoma"/>
                <w:sz w:val="24"/>
              </w:rPr>
            </w:pPr>
            <w:r w:rsidRPr="00793158">
              <w:rPr>
                <w:rFonts w:cs="Tahoma"/>
                <w:sz w:val="24"/>
              </w:rPr>
              <w:t>3</w:t>
            </w:r>
            <w:r w:rsidR="004F478C" w:rsidRPr="00793158">
              <w:rPr>
                <w:rFonts w:cs="Tahoma"/>
                <w:sz w:val="24"/>
              </w:rPr>
              <w:t>.11</w:t>
            </w:r>
          </w:p>
        </w:tc>
        <w:tc>
          <w:tcPr>
            <w:tcW w:w="6166" w:type="dxa"/>
            <w:shd w:val="clear" w:color="auto" w:fill="auto"/>
          </w:tcPr>
          <w:p w:rsidR="004F478C" w:rsidRPr="00793158" w:rsidRDefault="004F478C" w:rsidP="004F478C">
            <w:pPr>
              <w:rPr>
                <w:rFonts w:cs="Tahoma"/>
                <w:sz w:val="24"/>
              </w:rPr>
            </w:pPr>
            <w:r w:rsidRPr="00793158">
              <w:rPr>
                <w:rFonts w:cs="Tahoma"/>
                <w:sz w:val="24"/>
              </w:rPr>
              <w:t>Public Sector Payment Performance</w:t>
            </w:r>
          </w:p>
        </w:tc>
        <w:tc>
          <w:tcPr>
            <w:tcW w:w="1772" w:type="dxa"/>
            <w:shd w:val="clear" w:color="auto" w:fill="auto"/>
          </w:tcPr>
          <w:p w:rsidR="004F478C" w:rsidRPr="00793158" w:rsidRDefault="0069737C" w:rsidP="004F478C">
            <w:pPr>
              <w:jc w:val="center"/>
              <w:rPr>
                <w:rFonts w:cs="Tahoma"/>
                <w:sz w:val="24"/>
              </w:rPr>
            </w:pPr>
            <w:r w:rsidRPr="00793158">
              <w:rPr>
                <w:rFonts w:cs="Tahoma"/>
                <w:sz w:val="24"/>
              </w:rPr>
              <w:t>3</w:t>
            </w:r>
            <w:r w:rsidR="00793158" w:rsidRPr="00793158">
              <w:rPr>
                <w:rFonts w:cs="Tahoma"/>
                <w:sz w:val="24"/>
              </w:rPr>
              <w:t>5</w:t>
            </w:r>
          </w:p>
        </w:tc>
      </w:tr>
      <w:tr w:rsidR="004F478C" w:rsidRPr="00793158" w:rsidTr="004F478C">
        <w:trPr>
          <w:jc w:val="center"/>
        </w:trPr>
        <w:tc>
          <w:tcPr>
            <w:tcW w:w="2016" w:type="dxa"/>
            <w:shd w:val="clear" w:color="auto" w:fill="auto"/>
          </w:tcPr>
          <w:p w:rsidR="004F478C" w:rsidRPr="00793158" w:rsidRDefault="00CD6B70" w:rsidP="004F478C">
            <w:pPr>
              <w:ind w:left="561"/>
              <w:rPr>
                <w:rFonts w:cs="Tahoma"/>
                <w:sz w:val="24"/>
              </w:rPr>
            </w:pPr>
            <w:r w:rsidRPr="00793158">
              <w:rPr>
                <w:rFonts w:cs="Tahoma"/>
                <w:sz w:val="24"/>
              </w:rPr>
              <w:t>3</w:t>
            </w:r>
            <w:r w:rsidR="004F478C" w:rsidRPr="00793158">
              <w:rPr>
                <w:rFonts w:cs="Tahoma"/>
                <w:sz w:val="24"/>
              </w:rPr>
              <w:t>.12</w:t>
            </w:r>
          </w:p>
        </w:tc>
        <w:tc>
          <w:tcPr>
            <w:tcW w:w="6166" w:type="dxa"/>
            <w:shd w:val="clear" w:color="auto" w:fill="auto"/>
          </w:tcPr>
          <w:p w:rsidR="004F478C" w:rsidRPr="00793158" w:rsidRDefault="004F478C" w:rsidP="004F478C">
            <w:pPr>
              <w:rPr>
                <w:rFonts w:cs="Tahoma"/>
                <w:sz w:val="24"/>
              </w:rPr>
            </w:pPr>
            <w:r w:rsidRPr="00793158">
              <w:rPr>
                <w:rFonts w:cs="Tahoma"/>
                <w:sz w:val="24"/>
              </w:rPr>
              <w:t>Balance Sheet</w:t>
            </w:r>
          </w:p>
        </w:tc>
        <w:tc>
          <w:tcPr>
            <w:tcW w:w="1772" w:type="dxa"/>
            <w:shd w:val="clear" w:color="auto" w:fill="auto"/>
          </w:tcPr>
          <w:p w:rsidR="004F478C" w:rsidRPr="00793158" w:rsidRDefault="0069737C" w:rsidP="004F478C">
            <w:pPr>
              <w:jc w:val="center"/>
              <w:rPr>
                <w:rFonts w:cs="Tahoma"/>
                <w:sz w:val="24"/>
              </w:rPr>
            </w:pPr>
            <w:r w:rsidRPr="00793158">
              <w:rPr>
                <w:rFonts w:cs="Tahoma"/>
                <w:sz w:val="24"/>
              </w:rPr>
              <w:t>3</w:t>
            </w:r>
            <w:r w:rsidR="00793158" w:rsidRPr="00793158">
              <w:rPr>
                <w:rFonts w:cs="Tahoma"/>
                <w:sz w:val="24"/>
              </w:rPr>
              <w:t>6</w:t>
            </w:r>
          </w:p>
        </w:tc>
      </w:tr>
      <w:tr w:rsidR="004F478C" w:rsidRPr="00FB2623" w:rsidTr="004F478C">
        <w:trPr>
          <w:jc w:val="center"/>
        </w:trPr>
        <w:tc>
          <w:tcPr>
            <w:tcW w:w="2016" w:type="dxa"/>
            <w:shd w:val="clear" w:color="auto" w:fill="auto"/>
          </w:tcPr>
          <w:p w:rsidR="004F478C" w:rsidRPr="00793158" w:rsidRDefault="00CD6B70" w:rsidP="004F478C">
            <w:pPr>
              <w:ind w:left="561"/>
              <w:rPr>
                <w:rFonts w:cs="Tahoma"/>
                <w:sz w:val="24"/>
              </w:rPr>
            </w:pPr>
            <w:r w:rsidRPr="00793158">
              <w:rPr>
                <w:rFonts w:cs="Tahoma"/>
                <w:sz w:val="24"/>
              </w:rPr>
              <w:t>3</w:t>
            </w:r>
            <w:r w:rsidR="004F478C" w:rsidRPr="00793158">
              <w:rPr>
                <w:rFonts w:cs="Tahoma"/>
                <w:sz w:val="24"/>
              </w:rPr>
              <w:t>.13</w:t>
            </w:r>
          </w:p>
        </w:tc>
        <w:tc>
          <w:tcPr>
            <w:tcW w:w="6166" w:type="dxa"/>
            <w:shd w:val="clear" w:color="auto" w:fill="auto"/>
          </w:tcPr>
          <w:p w:rsidR="004F478C" w:rsidRPr="00793158" w:rsidRDefault="004F478C" w:rsidP="004F478C">
            <w:pPr>
              <w:rPr>
                <w:rFonts w:cs="Tahoma"/>
                <w:sz w:val="24"/>
              </w:rPr>
            </w:pPr>
            <w:r w:rsidRPr="00793158">
              <w:rPr>
                <w:rFonts w:cs="Tahoma"/>
                <w:sz w:val="24"/>
              </w:rPr>
              <w:t>Cash Flow</w:t>
            </w:r>
          </w:p>
        </w:tc>
        <w:tc>
          <w:tcPr>
            <w:tcW w:w="1772" w:type="dxa"/>
            <w:shd w:val="clear" w:color="auto" w:fill="auto"/>
          </w:tcPr>
          <w:p w:rsidR="004F478C" w:rsidRPr="00793158" w:rsidRDefault="0069737C" w:rsidP="004F478C">
            <w:pPr>
              <w:jc w:val="center"/>
              <w:rPr>
                <w:rFonts w:cs="Tahoma"/>
                <w:sz w:val="24"/>
              </w:rPr>
            </w:pPr>
            <w:r w:rsidRPr="00793158">
              <w:rPr>
                <w:rFonts w:cs="Tahoma"/>
                <w:sz w:val="24"/>
              </w:rPr>
              <w:t>3</w:t>
            </w:r>
            <w:r w:rsidR="00793158" w:rsidRPr="00793158">
              <w:rPr>
                <w:rFonts w:cs="Tahoma"/>
                <w:sz w:val="24"/>
              </w:rPr>
              <w:t>7</w:t>
            </w:r>
          </w:p>
        </w:tc>
      </w:tr>
      <w:tr w:rsidR="00CD6B70" w:rsidRPr="00FB2623" w:rsidTr="00CD6B70">
        <w:trPr>
          <w:jc w:val="center"/>
        </w:trPr>
        <w:tc>
          <w:tcPr>
            <w:tcW w:w="2016" w:type="dxa"/>
            <w:shd w:val="clear" w:color="auto" w:fill="8DB3E2" w:themeFill="text2" w:themeFillTint="66"/>
          </w:tcPr>
          <w:p w:rsidR="00CD6B70" w:rsidRDefault="00CD6B70" w:rsidP="004F478C">
            <w:pPr>
              <w:ind w:left="561"/>
              <w:rPr>
                <w:rFonts w:cs="Tahoma"/>
                <w:sz w:val="24"/>
              </w:rPr>
            </w:pPr>
          </w:p>
        </w:tc>
        <w:tc>
          <w:tcPr>
            <w:tcW w:w="6166" w:type="dxa"/>
            <w:shd w:val="clear" w:color="auto" w:fill="8DB3E2" w:themeFill="text2" w:themeFillTint="66"/>
          </w:tcPr>
          <w:p w:rsidR="00CD6B70" w:rsidRPr="00EC4A8A" w:rsidRDefault="00CD6B70" w:rsidP="004F478C">
            <w:pPr>
              <w:rPr>
                <w:rFonts w:cs="Tahoma"/>
                <w:sz w:val="24"/>
              </w:rPr>
            </w:pPr>
          </w:p>
        </w:tc>
        <w:tc>
          <w:tcPr>
            <w:tcW w:w="1772" w:type="dxa"/>
            <w:shd w:val="clear" w:color="auto" w:fill="8DB3E2" w:themeFill="text2" w:themeFillTint="66"/>
          </w:tcPr>
          <w:p w:rsidR="00CD6B70" w:rsidRDefault="00CD6B70" w:rsidP="004F478C">
            <w:pPr>
              <w:jc w:val="center"/>
              <w:rPr>
                <w:rFonts w:cs="Tahoma"/>
                <w:sz w:val="24"/>
              </w:rPr>
            </w:pPr>
          </w:p>
        </w:tc>
      </w:tr>
      <w:tr w:rsidR="00CD6B70" w:rsidRPr="00FB2623" w:rsidTr="004F478C">
        <w:trPr>
          <w:jc w:val="center"/>
        </w:trPr>
        <w:tc>
          <w:tcPr>
            <w:tcW w:w="2016" w:type="dxa"/>
            <w:shd w:val="clear" w:color="auto" w:fill="auto"/>
          </w:tcPr>
          <w:p w:rsidR="00CD6B70" w:rsidRDefault="00CD6B70" w:rsidP="004F478C">
            <w:pPr>
              <w:ind w:left="561"/>
              <w:rPr>
                <w:rFonts w:cs="Tahoma"/>
                <w:sz w:val="24"/>
              </w:rPr>
            </w:pPr>
          </w:p>
        </w:tc>
        <w:tc>
          <w:tcPr>
            <w:tcW w:w="6166" w:type="dxa"/>
            <w:shd w:val="clear" w:color="auto" w:fill="auto"/>
          </w:tcPr>
          <w:p w:rsidR="00CD6B70" w:rsidRPr="00EC4A8A" w:rsidRDefault="00CD6B70" w:rsidP="004F478C">
            <w:pPr>
              <w:rPr>
                <w:rFonts w:cs="Tahoma"/>
                <w:sz w:val="24"/>
              </w:rPr>
            </w:pPr>
          </w:p>
        </w:tc>
        <w:tc>
          <w:tcPr>
            <w:tcW w:w="1772" w:type="dxa"/>
            <w:shd w:val="clear" w:color="auto" w:fill="auto"/>
          </w:tcPr>
          <w:p w:rsidR="00CD6B70" w:rsidRDefault="00CD6B70" w:rsidP="004F478C">
            <w:pPr>
              <w:jc w:val="center"/>
              <w:rPr>
                <w:rFonts w:cs="Tahoma"/>
                <w:sz w:val="24"/>
              </w:rPr>
            </w:pPr>
          </w:p>
        </w:tc>
      </w:tr>
      <w:tr w:rsidR="00CD6B70" w:rsidRPr="00FB2623" w:rsidTr="004F478C">
        <w:trPr>
          <w:jc w:val="center"/>
        </w:trPr>
        <w:tc>
          <w:tcPr>
            <w:tcW w:w="2016" w:type="dxa"/>
            <w:shd w:val="clear" w:color="auto" w:fill="auto"/>
          </w:tcPr>
          <w:p w:rsidR="00CD6B70" w:rsidRDefault="00CD6B70" w:rsidP="004F478C">
            <w:pPr>
              <w:ind w:left="561"/>
              <w:rPr>
                <w:rFonts w:cs="Tahoma"/>
                <w:sz w:val="24"/>
              </w:rPr>
            </w:pPr>
          </w:p>
        </w:tc>
        <w:tc>
          <w:tcPr>
            <w:tcW w:w="6166" w:type="dxa"/>
            <w:shd w:val="clear" w:color="auto" w:fill="auto"/>
          </w:tcPr>
          <w:p w:rsidR="00CD6B70" w:rsidRPr="00EC4A8A" w:rsidRDefault="00CD6B70" w:rsidP="004F478C">
            <w:pPr>
              <w:rPr>
                <w:rFonts w:cs="Tahoma"/>
                <w:sz w:val="24"/>
              </w:rPr>
            </w:pPr>
          </w:p>
        </w:tc>
        <w:tc>
          <w:tcPr>
            <w:tcW w:w="1772" w:type="dxa"/>
            <w:shd w:val="clear" w:color="auto" w:fill="auto"/>
          </w:tcPr>
          <w:p w:rsidR="00CD6B70" w:rsidRDefault="00CD6B70" w:rsidP="004F478C">
            <w:pPr>
              <w:jc w:val="center"/>
              <w:rPr>
                <w:rFonts w:cs="Tahoma"/>
                <w:sz w:val="24"/>
              </w:rPr>
            </w:pPr>
          </w:p>
        </w:tc>
      </w:tr>
    </w:tbl>
    <w:p w:rsidR="004F478C" w:rsidRDefault="004F478C" w:rsidP="004F478C">
      <w:pPr>
        <w:rPr>
          <w:rFonts w:cs="Tahoma"/>
          <w:b/>
          <w:bCs/>
          <w:sz w:val="24"/>
        </w:rPr>
      </w:pPr>
    </w:p>
    <w:p w:rsidR="004F478C" w:rsidRDefault="004F478C" w:rsidP="004F478C">
      <w:pPr>
        <w:rPr>
          <w:rFonts w:cs="Tahoma"/>
          <w:b/>
          <w:bCs/>
          <w:sz w:val="24"/>
        </w:rPr>
      </w:pPr>
    </w:p>
    <w:p w:rsidR="004F478C" w:rsidRDefault="004F478C" w:rsidP="004F478C">
      <w:pPr>
        <w:rPr>
          <w:rFonts w:cs="Tahoma"/>
          <w:b/>
          <w:bCs/>
          <w:sz w:val="24"/>
        </w:rPr>
      </w:pPr>
    </w:p>
    <w:p w:rsidR="004F478C" w:rsidRPr="00FB2623" w:rsidRDefault="004F478C" w:rsidP="006616E8">
      <w:pPr>
        <w:pStyle w:val="Heading8"/>
        <w:numPr>
          <w:ilvl w:val="0"/>
          <w:numId w:val="33"/>
        </w:numPr>
        <w:rPr>
          <w:rFonts w:ascii="Verdana" w:hAnsi="Verdana"/>
        </w:rPr>
      </w:pPr>
      <w:r>
        <w:rPr>
          <w:rFonts w:ascii="Verdana" w:hAnsi="Verdana"/>
        </w:rPr>
        <w:t>KEY RISKS/HEADLINE MESSAGES</w:t>
      </w:r>
    </w:p>
    <w:p w:rsidR="00BA013B" w:rsidRPr="004F478C" w:rsidRDefault="00BA013B" w:rsidP="004F478C">
      <w:pPr>
        <w:rPr>
          <w:rFonts w:cs="Tahoma"/>
          <w:b/>
          <w:bCs/>
          <w:sz w:val="24"/>
        </w:rPr>
      </w:pPr>
    </w:p>
    <w:p w:rsidR="004F478C" w:rsidRPr="00817B7E" w:rsidRDefault="00953B07" w:rsidP="006616E8">
      <w:pPr>
        <w:pStyle w:val="ListParagraph"/>
        <w:numPr>
          <w:ilvl w:val="1"/>
          <w:numId w:val="33"/>
        </w:numPr>
        <w:jc w:val="both"/>
        <w:rPr>
          <w:rFonts w:cs="Tahoma"/>
          <w:b/>
          <w:bCs/>
          <w:sz w:val="24"/>
        </w:rPr>
      </w:pPr>
      <w:r>
        <w:rPr>
          <w:rFonts w:cs="Tahoma"/>
          <w:b/>
          <w:bCs/>
          <w:sz w:val="24"/>
        </w:rPr>
        <w:t>Headline Messages - Month 11</w:t>
      </w:r>
    </w:p>
    <w:p w:rsidR="004F478C" w:rsidRPr="00CD6B70" w:rsidRDefault="004F478C" w:rsidP="004F478C">
      <w:pPr>
        <w:pStyle w:val="ListParagraph"/>
        <w:jc w:val="both"/>
        <w:rPr>
          <w:rFonts w:cs="Tahoma"/>
          <w:b/>
          <w:bCs/>
          <w:sz w:val="24"/>
          <w:highlight w:val="yellow"/>
        </w:rPr>
      </w:pPr>
    </w:p>
    <w:p w:rsidR="00953B07" w:rsidRPr="00413F52" w:rsidRDefault="00953B07" w:rsidP="00953B07">
      <w:pPr>
        <w:ind w:left="709"/>
        <w:jc w:val="both"/>
        <w:rPr>
          <w:sz w:val="24"/>
        </w:rPr>
      </w:pPr>
      <w:r w:rsidRPr="00413F52">
        <w:rPr>
          <w:sz w:val="24"/>
        </w:rPr>
        <w:t xml:space="preserve">The overall Income and Expenditure position </w:t>
      </w:r>
      <w:r>
        <w:rPr>
          <w:sz w:val="24"/>
        </w:rPr>
        <w:t xml:space="preserve">improved </w:t>
      </w:r>
      <w:r w:rsidRPr="00413F52">
        <w:rPr>
          <w:sz w:val="24"/>
        </w:rPr>
        <w:t>in M</w:t>
      </w:r>
      <w:r>
        <w:rPr>
          <w:sz w:val="24"/>
        </w:rPr>
        <w:t>11</w:t>
      </w:r>
      <w:r w:rsidRPr="00413F52">
        <w:rPr>
          <w:sz w:val="24"/>
        </w:rPr>
        <w:t xml:space="preserve"> with an </w:t>
      </w:r>
      <w:r>
        <w:rPr>
          <w:sz w:val="24"/>
        </w:rPr>
        <w:t xml:space="preserve">under spend </w:t>
      </w:r>
      <w:r w:rsidRPr="00413F52">
        <w:rPr>
          <w:sz w:val="24"/>
        </w:rPr>
        <w:t>of £</w:t>
      </w:r>
      <w:r>
        <w:rPr>
          <w:sz w:val="24"/>
        </w:rPr>
        <w:t>(</w:t>
      </w:r>
      <w:r w:rsidRPr="00413F52">
        <w:rPr>
          <w:sz w:val="24"/>
        </w:rPr>
        <w:t>0.</w:t>
      </w:r>
      <w:r>
        <w:rPr>
          <w:sz w:val="24"/>
        </w:rPr>
        <w:t>3)m</w:t>
      </w:r>
      <w:r w:rsidRPr="00413F52">
        <w:rPr>
          <w:sz w:val="24"/>
        </w:rPr>
        <w:t xml:space="preserve"> in month giving rise to a </w:t>
      </w:r>
      <w:r>
        <w:rPr>
          <w:sz w:val="24"/>
        </w:rPr>
        <w:t xml:space="preserve">M11 YTD breakeven position. </w:t>
      </w:r>
      <w:r w:rsidRPr="00413F52">
        <w:rPr>
          <w:sz w:val="24"/>
        </w:rPr>
        <w:t xml:space="preserve">This </w:t>
      </w:r>
      <w:r>
        <w:rPr>
          <w:sz w:val="24"/>
        </w:rPr>
        <w:t>YTD under</w:t>
      </w:r>
      <w:r w:rsidRPr="00413F52">
        <w:rPr>
          <w:sz w:val="24"/>
        </w:rPr>
        <w:t>spend include</w:t>
      </w:r>
      <w:r>
        <w:rPr>
          <w:sz w:val="24"/>
        </w:rPr>
        <w:t>s a delegated overspend of £17.1</w:t>
      </w:r>
      <w:r w:rsidRPr="00413F52">
        <w:rPr>
          <w:sz w:val="24"/>
        </w:rPr>
        <w:t>m, offset by an under spend on non-delegated budgets of £</w:t>
      </w:r>
      <w:r>
        <w:rPr>
          <w:sz w:val="24"/>
        </w:rPr>
        <w:t>(17.1)</w:t>
      </w:r>
      <w:r w:rsidRPr="00413F52">
        <w:rPr>
          <w:sz w:val="24"/>
        </w:rPr>
        <w:t>m. The delegated overspend includes a shortfall in savings delivery of £</w:t>
      </w:r>
      <w:r>
        <w:rPr>
          <w:sz w:val="24"/>
        </w:rPr>
        <w:t>5.9</w:t>
      </w:r>
      <w:r w:rsidRPr="00413F52">
        <w:rPr>
          <w:sz w:val="24"/>
        </w:rPr>
        <w:t>m plus other overspends on pay, non-pay and income of £</w:t>
      </w:r>
      <w:r>
        <w:rPr>
          <w:sz w:val="24"/>
        </w:rPr>
        <w:t>11.2</w:t>
      </w:r>
      <w:r w:rsidRPr="00413F52">
        <w:rPr>
          <w:sz w:val="24"/>
        </w:rPr>
        <w:t xml:space="preserve">m. </w:t>
      </w:r>
      <w:r w:rsidRPr="00A55FA0">
        <w:rPr>
          <w:sz w:val="24"/>
        </w:rPr>
        <w:t xml:space="preserve">Further details are provided in </w:t>
      </w:r>
      <w:r w:rsidRPr="00750616">
        <w:rPr>
          <w:sz w:val="24"/>
        </w:rPr>
        <w:t>Section 3.2.</w:t>
      </w:r>
      <w:r w:rsidRPr="00413F52">
        <w:rPr>
          <w:sz w:val="24"/>
        </w:rPr>
        <w:t xml:space="preserve">  </w:t>
      </w:r>
    </w:p>
    <w:p w:rsidR="00953B07" w:rsidRPr="006065B1" w:rsidRDefault="00953B07" w:rsidP="00953B07">
      <w:pPr>
        <w:ind w:left="709"/>
        <w:jc w:val="both"/>
        <w:rPr>
          <w:sz w:val="24"/>
          <w:highlight w:val="yellow"/>
        </w:rPr>
      </w:pPr>
    </w:p>
    <w:p w:rsidR="00953B07" w:rsidRPr="006320CB" w:rsidRDefault="00953B07" w:rsidP="00953B07">
      <w:pPr>
        <w:ind w:left="709"/>
        <w:rPr>
          <w:sz w:val="24"/>
        </w:rPr>
      </w:pPr>
      <w:r w:rsidRPr="006320CB">
        <w:rPr>
          <w:sz w:val="24"/>
        </w:rPr>
        <w:t>The M</w:t>
      </w:r>
      <w:r>
        <w:rPr>
          <w:sz w:val="24"/>
        </w:rPr>
        <w:t xml:space="preserve">10 </w:t>
      </w:r>
      <w:r w:rsidRPr="006320CB">
        <w:rPr>
          <w:sz w:val="24"/>
        </w:rPr>
        <w:t>YTD delegated overspend was £1</w:t>
      </w:r>
      <w:r>
        <w:rPr>
          <w:sz w:val="24"/>
        </w:rPr>
        <w:t>5.7m</w:t>
      </w:r>
      <w:r w:rsidRPr="006320CB">
        <w:rPr>
          <w:sz w:val="24"/>
        </w:rPr>
        <w:t xml:space="preserve"> which represented an average monthly overspend of £1.</w:t>
      </w:r>
      <w:r>
        <w:rPr>
          <w:sz w:val="24"/>
        </w:rPr>
        <w:t>57</w:t>
      </w:r>
      <w:r w:rsidRPr="006320CB">
        <w:rPr>
          <w:sz w:val="24"/>
        </w:rPr>
        <w:t>m.</w:t>
      </w:r>
      <w:r>
        <w:rPr>
          <w:sz w:val="24"/>
        </w:rPr>
        <w:t xml:space="preserve"> </w:t>
      </w:r>
      <w:r w:rsidRPr="006320CB">
        <w:rPr>
          <w:sz w:val="24"/>
        </w:rPr>
        <w:t>The M1</w:t>
      </w:r>
      <w:r>
        <w:rPr>
          <w:sz w:val="24"/>
        </w:rPr>
        <w:t>1</w:t>
      </w:r>
      <w:r w:rsidRPr="006320CB">
        <w:rPr>
          <w:sz w:val="24"/>
        </w:rPr>
        <w:t xml:space="preserve"> delegated </w:t>
      </w:r>
      <w:r>
        <w:rPr>
          <w:sz w:val="24"/>
        </w:rPr>
        <w:t xml:space="preserve">overspend was </w:t>
      </w:r>
      <w:r w:rsidRPr="006320CB">
        <w:rPr>
          <w:sz w:val="24"/>
        </w:rPr>
        <w:t>£</w:t>
      </w:r>
      <w:r>
        <w:rPr>
          <w:sz w:val="24"/>
        </w:rPr>
        <w:t xml:space="preserve">1.46m </w:t>
      </w:r>
      <w:r w:rsidRPr="006320CB">
        <w:rPr>
          <w:sz w:val="24"/>
        </w:rPr>
        <w:t>which represents a £</w:t>
      </w:r>
      <w:r>
        <w:rPr>
          <w:sz w:val="24"/>
        </w:rPr>
        <w:t>0.11</w:t>
      </w:r>
      <w:r w:rsidRPr="006320CB">
        <w:rPr>
          <w:sz w:val="24"/>
        </w:rPr>
        <w:t>m improvement from the M</w:t>
      </w:r>
      <w:r>
        <w:rPr>
          <w:sz w:val="24"/>
        </w:rPr>
        <w:t>10</w:t>
      </w:r>
      <w:r w:rsidRPr="006320CB">
        <w:rPr>
          <w:sz w:val="24"/>
        </w:rPr>
        <w:t xml:space="preserve"> monthly trend of £1.</w:t>
      </w:r>
      <w:r>
        <w:rPr>
          <w:sz w:val="24"/>
        </w:rPr>
        <w:t>57</w:t>
      </w:r>
      <w:r w:rsidRPr="006320CB">
        <w:rPr>
          <w:sz w:val="24"/>
        </w:rPr>
        <w:t>m.  </w:t>
      </w:r>
    </w:p>
    <w:p w:rsidR="00953B07" w:rsidRDefault="00953B07" w:rsidP="00953B07">
      <w:pPr>
        <w:ind w:left="709"/>
        <w:jc w:val="both"/>
        <w:rPr>
          <w:sz w:val="24"/>
        </w:rPr>
      </w:pPr>
      <w:r w:rsidRPr="006320CB">
        <w:rPr>
          <w:rFonts w:cs="Tahoma"/>
          <w:sz w:val="24"/>
        </w:rPr>
        <w:t>As at M1</w:t>
      </w:r>
      <w:r>
        <w:rPr>
          <w:rFonts w:cs="Tahoma"/>
          <w:sz w:val="24"/>
        </w:rPr>
        <w:t>1</w:t>
      </w:r>
      <w:r w:rsidRPr="006616E8">
        <w:rPr>
          <w:rFonts w:cs="Tahoma"/>
          <w:sz w:val="24"/>
        </w:rPr>
        <w:t xml:space="preserve"> we have maintained a forecast breakeven position for 2019/20. </w:t>
      </w:r>
      <w:r w:rsidRPr="00E076B8">
        <w:rPr>
          <w:sz w:val="24"/>
        </w:rPr>
        <w:t xml:space="preserve">The key areas of concern are summarised below with further information in Sections </w:t>
      </w:r>
      <w:r w:rsidRPr="00750616">
        <w:rPr>
          <w:sz w:val="24"/>
        </w:rPr>
        <w:t>3.2 and 3.3.</w:t>
      </w:r>
      <w:r w:rsidRPr="00766F4C">
        <w:rPr>
          <w:sz w:val="24"/>
        </w:rPr>
        <w:t xml:space="preserve"> </w:t>
      </w:r>
    </w:p>
    <w:p w:rsidR="004F478C" w:rsidRPr="00CD6B70" w:rsidRDefault="004F478C" w:rsidP="004F478C">
      <w:pPr>
        <w:rPr>
          <w:sz w:val="24"/>
          <w:highlight w:val="yellow"/>
        </w:rPr>
      </w:pPr>
    </w:p>
    <w:p w:rsidR="004F478C" w:rsidRPr="00817B7E" w:rsidRDefault="00817B7E" w:rsidP="006616E8">
      <w:pPr>
        <w:pStyle w:val="ListParagraph"/>
        <w:numPr>
          <w:ilvl w:val="0"/>
          <w:numId w:val="32"/>
        </w:numPr>
        <w:rPr>
          <w:b/>
          <w:sz w:val="24"/>
        </w:rPr>
      </w:pPr>
      <w:r>
        <w:rPr>
          <w:b/>
          <w:sz w:val="24"/>
        </w:rPr>
        <w:t>Savings delivery (Section 3.7</w:t>
      </w:r>
      <w:r w:rsidR="004F478C" w:rsidRPr="00817B7E">
        <w:rPr>
          <w:b/>
          <w:sz w:val="24"/>
        </w:rPr>
        <w:t>)</w:t>
      </w:r>
    </w:p>
    <w:p w:rsidR="004F478C" w:rsidRPr="00CD6B70" w:rsidRDefault="004F478C" w:rsidP="004F478C">
      <w:pPr>
        <w:pStyle w:val="ListParagraph"/>
        <w:ind w:left="1069"/>
        <w:rPr>
          <w:b/>
          <w:sz w:val="24"/>
          <w:highlight w:val="yellow"/>
        </w:rPr>
      </w:pPr>
    </w:p>
    <w:p w:rsidR="00873893" w:rsidRPr="00873893" w:rsidRDefault="00873893" w:rsidP="00873893">
      <w:pPr>
        <w:ind w:left="720"/>
        <w:jc w:val="both"/>
        <w:rPr>
          <w:rFonts w:cs="Tahoma"/>
          <w:bCs/>
          <w:sz w:val="24"/>
        </w:rPr>
      </w:pPr>
      <w:r w:rsidRPr="00873893">
        <w:rPr>
          <w:rFonts w:cs="Tahoma"/>
          <w:bCs/>
          <w:sz w:val="24"/>
        </w:rPr>
        <w:t>The Delegated savings target of £16.4m represents a M11 target of £15.0m. Actual savings of £9.1m have been reported to M11 resulting in an adverse variance against plan of £5.9m.This variance reduces to £0.3m after allowing for the £7.0m savings contingency which is being released on a straight line basis. The M11 YTD and forecast savings are summarised below.</w:t>
      </w:r>
    </w:p>
    <w:tbl>
      <w:tblPr>
        <w:tblStyle w:val="TableGrid"/>
        <w:tblW w:w="11624" w:type="dxa"/>
        <w:tblInd w:w="704" w:type="dxa"/>
        <w:tblLook w:val="04A0" w:firstRow="1" w:lastRow="0" w:firstColumn="1" w:lastColumn="0" w:noHBand="0" w:noVBand="1"/>
      </w:tblPr>
      <w:tblGrid>
        <w:gridCol w:w="3382"/>
        <w:gridCol w:w="980"/>
        <w:gridCol w:w="1233"/>
        <w:gridCol w:w="1640"/>
        <w:gridCol w:w="1415"/>
        <w:gridCol w:w="1415"/>
        <w:gridCol w:w="1559"/>
      </w:tblGrid>
      <w:tr w:rsidR="00873893" w:rsidRPr="00880996" w:rsidTr="00873893">
        <w:tc>
          <w:tcPr>
            <w:tcW w:w="3382" w:type="dxa"/>
          </w:tcPr>
          <w:p w:rsidR="00873893" w:rsidRPr="00880996" w:rsidRDefault="00873893" w:rsidP="00873893">
            <w:pPr>
              <w:jc w:val="both"/>
              <w:rPr>
                <w:rFonts w:cs="Tahoma"/>
                <w:bCs/>
                <w:sz w:val="24"/>
              </w:rPr>
            </w:pPr>
          </w:p>
        </w:tc>
        <w:tc>
          <w:tcPr>
            <w:tcW w:w="3853" w:type="dxa"/>
            <w:gridSpan w:val="3"/>
          </w:tcPr>
          <w:p w:rsidR="00873893" w:rsidRPr="00880996" w:rsidRDefault="00873893" w:rsidP="00873893">
            <w:pPr>
              <w:jc w:val="center"/>
              <w:rPr>
                <w:rFonts w:cs="Tahoma"/>
                <w:sz w:val="24"/>
              </w:rPr>
            </w:pPr>
            <w:r w:rsidRPr="00880996">
              <w:rPr>
                <w:rFonts w:cs="Tahoma"/>
                <w:sz w:val="24"/>
              </w:rPr>
              <w:t>Month 11</w:t>
            </w:r>
          </w:p>
        </w:tc>
        <w:tc>
          <w:tcPr>
            <w:tcW w:w="4389" w:type="dxa"/>
            <w:gridSpan w:val="3"/>
          </w:tcPr>
          <w:p w:rsidR="00873893" w:rsidRPr="00880996" w:rsidRDefault="00873893" w:rsidP="00873893">
            <w:pPr>
              <w:jc w:val="center"/>
              <w:rPr>
                <w:rFonts w:cs="Tahoma"/>
                <w:sz w:val="24"/>
              </w:rPr>
            </w:pPr>
            <w:r w:rsidRPr="00880996">
              <w:rPr>
                <w:rFonts w:cs="Tahoma"/>
                <w:sz w:val="24"/>
              </w:rPr>
              <w:t>Month 10</w:t>
            </w:r>
          </w:p>
        </w:tc>
      </w:tr>
      <w:tr w:rsidR="00873893" w:rsidRPr="00880996" w:rsidTr="00873893">
        <w:tc>
          <w:tcPr>
            <w:tcW w:w="3382" w:type="dxa"/>
          </w:tcPr>
          <w:p w:rsidR="00873893" w:rsidRPr="00880996" w:rsidRDefault="00873893" w:rsidP="00873893">
            <w:pPr>
              <w:jc w:val="both"/>
              <w:rPr>
                <w:rFonts w:cs="Tahoma"/>
                <w:sz w:val="24"/>
              </w:rPr>
            </w:pPr>
            <w:r w:rsidRPr="00880996">
              <w:rPr>
                <w:rFonts w:cs="Tahoma"/>
                <w:bCs/>
                <w:sz w:val="24"/>
              </w:rPr>
              <w:br w:type="page"/>
            </w:r>
          </w:p>
        </w:tc>
        <w:tc>
          <w:tcPr>
            <w:tcW w:w="980" w:type="dxa"/>
          </w:tcPr>
          <w:p w:rsidR="00873893" w:rsidRPr="00880996" w:rsidRDefault="00873893" w:rsidP="00873893">
            <w:pPr>
              <w:jc w:val="both"/>
              <w:rPr>
                <w:rFonts w:cs="Tahoma"/>
                <w:sz w:val="24"/>
              </w:rPr>
            </w:pPr>
            <w:r w:rsidRPr="00880996">
              <w:rPr>
                <w:rFonts w:cs="Tahoma"/>
                <w:sz w:val="24"/>
              </w:rPr>
              <w:t>YTD</w:t>
            </w:r>
          </w:p>
        </w:tc>
        <w:tc>
          <w:tcPr>
            <w:tcW w:w="1233" w:type="dxa"/>
          </w:tcPr>
          <w:p w:rsidR="00873893" w:rsidRPr="00880996" w:rsidRDefault="00873893" w:rsidP="00873893">
            <w:pPr>
              <w:jc w:val="both"/>
              <w:rPr>
                <w:rFonts w:cs="Tahoma"/>
                <w:sz w:val="24"/>
              </w:rPr>
            </w:pPr>
            <w:r w:rsidRPr="00880996">
              <w:rPr>
                <w:rFonts w:cs="Tahoma"/>
                <w:sz w:val="24"/>
              </w:rPr>
              <w:t>19/20</w:t>
            </w:r>
          </w:p>
        </w:tc>
        <w:tc>
          <w:tcPr>
            <w:tcW w:w="1640" w:type="dxa"/>
          </w:tcPr>
          <w:p w:rsidR="00873893" w:rsidRPr="00880996" w:rsidRDefault="00873893" w:rsidP="00873893">
            <w:pPr>
              <w:jc w:val="both"/>
              <w:rPr>
                <w:rFonts w:cs="Tahoma"/>
                <w:sz w:val="24"/>
              </w:rPr>
            </w:pPr>
            <w:r w:rsidRPr="00880996">
              <w:rPr>
                <w:rFonts w:cs="Tahoma"/>
                <w:sz w:val="24"/>
              </w:rPr>
              <w:t>Recurring</w:t>
            </w:r>
          </w:p>
        </w:tc>
        <w:tc>
          <w:tcPr>
            <w:tcW w:w="1415" w:type="dxa"/>
          </w:tcPr>
          <w:p w:rsidR="00873893" w:rsidRPr="00880996" w:rsidRDefault="00873893" w:rsidP="00873893">
            <w:pPr>
              <w:jc w:val="both"/>
              <w:rPr>
                <w:rFonts w:cs="Tahoma"/>
                <w:sz w:val="24"/>
              </w:rPr>
            </w:pPr>
            <w:r w:rsidRPr="00880996">
              <w:rPr>
                <w:rFonts w:cs="Tahoma"/>
                <w:sz w:val="24"/>
              </w:rPr>
              <w:t>YTD</w:t>
            </w:r>
          </w:p>
        </w:tc>
        <w:tc>
          <w:tcPr>
            <w:tcW w:w="1415" w:type="dxa"/>
          </w:tcPr>
          <w:p w:rsidR="00873893" w:rsidRPr="00880996" w:rsidRDefault="00873893" w:rsidP="00873893">
            <w:pPr>
              <w:jc w:val="both"/>
              <w:rPr>
                <w:rFonts w:cs="Tahoma"/>
                <w:sz w:val="24"/>
              </w:rPr>
            </w:pPr>
            <w:r w:rsidRPr="00880996">
              <w:rPr>
                <w:rFonts w:cs="Tahoma"/>
                <w:sz w:val="24"/>
              </w:rPr>
              <w:t>19/20</w:t>
            </w:r>
          </w:p>
        </w:tc>
        <w:tc>
          <w:tcPr>
            <w:tcW w:w="1559" w:type="dxa"/>
          </w:tcPr>
          <w:p w:rsidR="00873893" w:rsidRPr="00880996" w:rsidRDefault="00873893" w:rsidP="00873893">
            <w:pPr>
              <w:jc w:val="both"/>
              <w:rPr>
                <w:rFonts w:cs="Tahoma"/>
                <w:sz w:val="24"/>
              </w:rPr>
            </w:pPr>
            <w:r w:rsidRPr="00880996">
              <w:rPr>
                <w:rFonts w:cs="Tahoma"/>
                <w:sz w:val="24"/>
              </w:rPr>
              <w:t>Recurring</w:t>
            </w:r>
          </w:p>
        </w:tc>
      </w:tr>
      <w:tr w:rsidR="00873893" w:rsidRPr="00880996" w:rsidTr="00873893">
        <w:tc>
          <w:tcPr>
            <w:tcW w:w="3382" w:type="dxa"/>
          </w:tcPr>
          <w:p w:rsidR="00873893" w:rsidRPr="00880996" w:rsidRDefault="00873893" w:rsidP="00873893">
            <w:pPr>
              <w:jc w:val="both"/>
              <w:rPr>
                <w:rFonts w:cs="Tahoma"/>
                <w:sz w:val="24"/>
              </w:rPr>
            </w:pPr>
          </w:p>
        </w:tc>
        <w:tc>
          <w:tcPr>
            <w:tcW w:w="980" w:type="dxa"/>
          </w:tcPr>
          <w:p w:rsidR="00873893" w:rsidRPr="00880996" w:rsidRDefault="00873893" w:rsidP="00873893">
            <w:pPr>
              <w:jc w:val="both"/>
              <w:rPr>
                <w:rFonts w:cs="Tahoma"/>
                <w:sz w:val="24"/>
              </w:rPr>
            </w:pPr>
            <w:r w:rsidRPr="00880996">
              <w:rPr>
                <w:rFonts w:cs="Tahoma"/>
                <w:sz w:val="24"/>
              </w:rPr>
              <w:t>£m</w:t>
            </w:r>
          </w:p>
        </w:tc>
        <w:tc>
          <w:tcPr>
            <w:tcW w:w="1233" w:type="dxa"/>
          </w:tcPr>
          <w:p w:rsidR="00873893" w:rsidRPr="00880996" w:rsidRDefault="00873893" w:rsidP="00873893">
            <w:pPr>
              <w:jc w:val="both"/>
              <w:rPr>
                <w:rFonts w:cs="Tahoma"/>
                <w:sz w:val="24"/>
              </w:rPr>
            </w:pPr>
            <w:r w:rsidRPr="00880996">
              <w:rPr>
                <w:rFonts w:cs="Tahoma"/>
                <w:sz w:val="24"/>
              </w:rPr>
              <w:t>£m</w:t>
            </w:r>
          </w:p>
        </w:tc>
        <w:tc>
          <w:tcPr>
            <w:tcW w:w="1640" w:type="dxa"/>
          </w:tcPr>
          <w:p w:rsidR="00873893" w:rsidRPr="00880996" w:rsidRDefault="00873893" w:rsidP="00873893">
            <w:pPr>
              <w:jc w:val="both"/>
              <w:rPr>
                <w:rFonts w:cs="Tahoma"/>
                <w:sz w:val="24"/>
              </w:rPr>
            </w:pPr>
            <w:r w:rsidRPr="00880996">
              <w:rPr>
                <w:rFonts w:cs="Tahoma"/>
                <w:sz w:val="24"/>
              </w:rPr>
              <w:t>£m</w:t>
            </w:r>
          </w:p>
        </w:tc>
        <w:tc>
          <w:tcPr>
            <w:tcW w:w="1415" w:type="dxa"/>
          </w:tcPr>
          <w:p w:rsidR="00873893" w:rsidRPr="00880996" w:rsidRDefault="00873893" w:rsidP="00873893">
            <w:pPr>
              <w:jc w:val="both"/>
              <w:rPr>
                <w:rFonts w:cs="Tahoma"/>
                <w:sz w:val="24"/>
              </w:rPr>
            </w:pPr>
            <w:r w:rsidRPr="00880996">
              <w:rPr>
                <w:rFonts w:cs="Tahoma"/>
                <w:sz w:val="24"/>
              </w:rPr>
              <w:t>£m</w:t>
            </w:r>
          </w:p>
        </w:tc>
        <w:tc>
          <w:tcPr>
            <w:tcW w:w="1415" w:type="dxa"/>
          </w:tcPr>
          <w:p w:rsidR="00873893" w:rsidRPr="00880996" w:rsidRDefault="00873893" w:rsidP="00873893">
            <w:pPr>
              <w:jc w:val="both"/>
              <w:rPr>
                <w:rFonts w:cs="Tahoma"/>
                <w:sz w:val="24"/>
              </w:rPr>
            </w:pPr>
            <w:r w:rsidRPr="00880996">
              <w:rPr>
                <w:rFonts w:cs="Tahoma"/>
                <w:sz w:val="24"/>
              </w:rPr>
              <w:t>£m</w:t>
            </w:r>
          </w:p>
        </w:tc>
        <w:tc>
          <w:tcPr>
            <w:tcW w:w="1559" w:type="dxa"/>
          </w:tcPr>
          <w:p w:rsidR="00873893" w:rsidRPr="00880996" w:rsidRDefault="00873893" w:rsidP="00873893">
            <w:pPr>
              <w:jc w:val="both"/>
              <w:rPr>
                <w:rFonts w:cs="Tahoma"/>
                <w:sz w:val="24"/>
              </w:rPr>
            </w:pPr>
            <w:r w:rsidRPr="00880996">
              <w:rPr>
                <w:rFonts w:cs="Tahoma"/>
                <w:sz w:val="24"/>
              </w:rPr>
              <w:t>£m</w:t>
            </w:r>
          </w:p>
        </w:tc>
      </w:tr>
      <w:tr w:rsidR="00873893" w:rsidRPr="00880996" w:rsidTr="00873893">
        <w:tc>
          <w:tcPr>
            <w:tcW w:w="3382" w:type="dxa"/>
          </w:tcPr>
          <w:p w:rsidR="00873893" w:rsidRPr="00880996" w:rsidRDefault="00873893" w:rsidP="00873893">
            <w:pPr>
              <w:jc w:val="both"/>
              <w:rPr>
                <w:rFonts w:cs="Tahoma"/>
                <w:sz w:val="24"/>
              </w:rPr>
            </w:pPr>
            <w:r w:rsidRPr="00880996">
              <w:rPr>
                <w:rFonts w:cs="Tahoma"/>
                <w:sz w:val="24"/>
              </w:rPr>
              <w:t xml:space="preserve">Delegated Savings targets </w:t>
            </w:r>
          </w:p>
        </w:tc>
        <w:tc>
          <w:tcPr>
            <w:tcW w:w="980" w:type="dxa"/>
          </w:tcPr>
          <w:p w:rsidR="00873893" w:rsidRPr="00880996" w:rsidRDefault="00873893" w:rsidP="00873893">
            <w:pPr>
              <w:jc w:val="both"/>
              <w:rPr>
                <w:rFonts w:cs="Tahoma"/>
                <w:sz w:val="24"/>
              </w:rPr>
            </w:pPr>
            <w:r w:rsidRPr="00880996">
              <w:rPr>
                <w:rFonts w:cs="Tahoma"/>
                <w:sz w:val="24"/>
              </w:rPr>
              <w:t>15.2</w:t>
            </w:r>
          </w:p>
        </w:tc>
        <w:tc>
          <w:tcPr>
            <w:tcW w:w="1233" w:type="dxa"/>
          </w:tcPr>
          <w:p w:rsidR="00873893" w:rsidRPr="00880996" w:rsidRDefault="00873893" w:rsidP="00873893">
            <w:pPr>
              <w:jc w:val="both"/>
              <w:rPr>
                <w:rFonts w:cs="Tahoma"/>
                <w:sz w:val="24"/>
              </w:rPr>
            </w:pPr>
            <w:r w:rsidRPr="00880996">
              <w:rPr>
                <w:rFonts w:cs="Tahoma"/>
                <w:sz w:val="24"/>
              </w:rPr>
              <w:t>16.4</w:t>
            </w:r>
          </w:p>
        </w:tc>
        <w:tc>
          <w:tcPr>
            <w:tcW w:w="1640" w:type="dxa"/>
          </w:tcPr>
          <w:p w:rsidR="00873893" w:rsidRPr="00880996" w:rsidRDefault="00873893" w:rsidP="00873893">
            <w:pPr>
              <w:jc w:val="both"/>
              <w:rPr>
                <w:rFonts w:cs="Tahoma"/>
                <w:sz w:val="24"/>
              </w:rPr>
            </w:pPr>
            <w:r w:rsidRPr="00880996">
              <w:rPr>
                <w:rFonts w:cs="Tahoma"/>
                <w:sz w:val="24"/>
              </w:rPr>
              <w:t>16.4</w:t>
            </w:r>
          </w:p>
        </w:tc>
        <w:tc>
          <w:tcPr>
            <w:tcW w:w="1415" w:type="dxa"/>
          </w:tcPr>
          <w:p w:rsidR="00873893" w:rsidRPr="00880996" w:rsidRDefault="00873893" w:rsidP="00873893">
            <w:pPr>
              <w:jc w:val="both"/>
              <w:rPr>
                <w:rFonts w:cs="Tahoma"/>
                <w:sz w:val="24"/>
              </w:rPr>
            </w:pPr>
            <w:r w:rsidRPr="00880996">
              <w:rPr>
                <w:rFonts w:cs="Tahoma"/>
                <w:sz w:val="24"/>
              </w:rPr>
              <w:t>13.7</w:t>
            </w:r>
          </w:p>
        </w:tc>
        <w:tc>
          <w:tcPr>
            <w:tcW w:w="1415" w:type="dxa"/>
          </w:tcPr>
          <w:p w:rsidR="00873893" w:rsidRPr="00880996" w:rsidRDefault="00873893" w:rsidP="00873893">
            <w:pPr>
              <w:jc w:val="both"/>
              <w:rPr>
                <w:rFonts w:cs="Tahoma"/>
                <w:sz w:val="24"/>
              </w:rPr>
            </w:pPr>
            <w:r w:rsidRPr="00880996">
              <w:rPr>
                <w:rFonts w:cs="Tahoma"/>
                <w:sz w:val="24"/>
              </w:rPr>
              <w:t>16.4</w:t>
            </w:r>
          </w:p>
        </w:tc>
        <w:tc>
          <w:tcPr>
            <w:tcW w:w="1559" w:type="dxa"/>
          </w:tcPr>
          <w:p w:rsidR="00873893" w:rsidRPr="00880996" w:rsidRDefault="00873893" w:rsidP="00873893">
            <w:pPr>
              <w:jc w:val="both"/>
              <w:rPr>
                <w:rFonts w:cs="Tahoma"/>
                <w:sz w:val="24"/>
              </w:rPr>
            </w:pPr>
            <w:r w:rsidRPr="00880996">
              <w:rPr>
                <w:rFonts w:cs="Tahoma"/>
                <w:sz w:val="24"/>
              </w:rPr>
              <w:t>16.4</w:t>
            </w:r>
          </w:p>
        </w:tc>
      </w:tr>
      <w:tr w:rsidR="00873893" w:rsidRPr="00880996" w:rsidTr="00873893">
        <w:tc>
          <w:tcPr>
            <w:tcW w:w="3382" w:type="dxa"/>
          </w:tcPr>
          <w:p w:rsidR="00873893" w:rsidRPr="00880996" w:rsidRDefault="00873893" w:rsidP="00873893">
            <w:pPr>
              <w:jc w:val="both"/>
              <w:rPr>
                <w:rFonts w:cs="Tahoma"/>
                <w:sz w:val="24"/>
              </w:rPr>
            </w:pPr>
            <w:r w:rsidRPr="00880996">
              <w:rPr>
                <w:rFonts w:cs="Tahoma"/>
                <w:sz w:val="24"/>
              </w:rPr>
              <w:t xml:space="preserve">Forecast Savings – all Delegated </w:t>
            </w:r>
          </w:p>
        </w:tc>
        <w:tc>
          <w:tcPr>
            <w:tcW w:w="980" w:type="dxa"/>
          </w:tcPr>
          <w:p w:rsidR="00873893" w:rsidRPr="00880996" w:rsidRDefault="00873893" w:rsidP="00873893">
            <w:pPr>
              <w:jc w:val="both"/>
              <w:rPr>
                <w:rFonts w:cs="Tahoma"/>
                <w:sz w:val="24"/>
              </w:rPr>
            </w:pPr>
            <w:r w:rsidRPr="00880996">
              <w:rPr>
                <w:rFonts w:cs="Tahoma"/>
                <w:sz w:val="24"/>
              </w:rPr>
              <w:t>(9.3)</w:t>
            </w:r>
          </w:p>
        </w:tc>
        <w:tc>
          <w:tcPr>
            <w:tcW w:w="1233" w:type="dxa"/>
          </w:tcPr>
          <w:p w:rsidR="00873893" w:rsidRPr="00880996" w:rsidRDefault="00873893" w:rsidP="00873893">
            <w:pPr>
              <w:jc w:val="both"/>
              <w:rPr>
                <w:rFonts w:cs="Tahoma"/>
                <w:sz w:val="24"/>
              </w:rPr>
            </w:pPr>
            <w:r w:rsidRPr="00880996">
              <w:rPr>
                <w:rFonts w:cs="Tahoma"/>
                <w:sz w:val="24"/>
              </w:rPr>
              <w:t>(10.3)</w:t>
            </w:r>
          </w:p>
        </w:tc>
        <w:tc>
          <w:tcPr>
            <w:tcW w:w="1640" w:type="dxa"/>
          </w:tcPr>
          <w:p w:rsidR="00873893" w:rsidRPr="00880996" w:rsidRDefault="00873893" w:rsidP="00873893">
            <w:pPr>
              <w:jc w:val="both"/>
              <w:rPr>
                <w:rFonts w:cs="Tahoma"/>
                <w:sz w:val="24"/>
              </w:rPr>
            </w:pPr>
            <w:r w:rsidRPr="00880996">
              <w:rPr>
                <w:rFonts w:cs="Tahoma"/>
                <w:sz w:val="24"/>
              </w:rPr>
              <w:t>(8.8)</w:t>
            </w:r>
          </w:p>
        </w:tc>
        <w:tc>
          <w:tcPr>
            <w:tcW w:w="1415" w:type="dxa"/>
          </w:tcPr>
          <w:p w:rsidR="00873893" w:rsidRPr="00880996" w:rsidRDefault="00873893" w:rsidP="00873893">
            <w:pPr>
              <w:jc w:val="both"/>
              <w:rPr>
                <w:rFonts w:cs="Tahoma"/>
                <w:sz w:val="24"/>
              </w:rPr>
            </w:pPr>
            <w:r w:rsidRPr="00880996">
              <w:rPr>
                <w:rFonts w:cs="Tahoma"/>
                <w:sz w:val="24"/>
              </w:rPr>
              <w:t>(8.1)</w:t>
            </w:r>
          </w:p>
        </w:tc>
        <w:tc>
          <w:tcPr>
            <w:tcW w:w="1415" w:type="dxa"/>
          </w:tcPr>
          <w:p w:rsidR="00873893" w:rsidRPr="00880996" w:rsidRDefault="00873893" w:rsidP="00873893">
            <w:pPr>
              <w:jc w:val="both"/>
              <w:rPr>
                <w:rFonts w:cs="Tahoma"/>
                <w:sz w:val="24"/>
              </w:rPr>
            </w:pPr>
            <w:r w:rsidRPr="00880996">
              <w:rPr>
                <w:rFonts w:cs="Tahoma"/>
                <w:sz w:val="24"/>
              </w:rPr>
              <w:t>(10.0)</w:t>
            </w:r>
          </w:p>
        </w:tc>
        <w:tc>
          <w:tcPr>
            <w:tcW w:w="1559" w:type="dxa"/>
          </w:tcPr>
          <w:p w:rsidR="00873893" w:rsidRPr="00880996" w:rsidRDefault="00873893" w:rsidP="00873893">
            <w:pPr>
              <w:jc w:val="both"/>
              <w:rPr>
                <w:rFonts w:cs="Tahoma"/>
                <w:sz w:val="24"/>
              </w:rPr>
            </w:pPr>
            <w:r w:rsidRPr="00880996">
              <w:rPr>
                <w:rFonts w:cs="Tahoma"/>
                <w:sz w:val="24"/>
              </w:rPr>
              <w:t>(8.7)</w:t>
            </w:r>
          </w:p>
        </w:tc>
      </w:tr>
      <w:tr w:rsidR="00873893" w:rsidRPr="00880996" w:rsidTr="00873893">
        <w:tc>
          <w:tcPr>
            <w:tcW w:w="3382" w:type="dxa"/>
          </w:tcPr>
          <w:p w:rsidR="00873893" w:rsidRPr="00880996" w:rsidRDefault="00873893" w:rsidP="00873893">
            <w:pPr>
              <w:jc w:val="both"/>
              <w:rPr>
                <w:rFonts w:cs="Tahoma"/>
                <w:b/>
                <w:sz w:val="24"/>
              </w:rPr>
            </w:pPr>
            <w:r w:rsidRPr="00880996">
              <w:rPr>
                <w:rFonts w:cs="Tahoma"/>
                <w:b/>
                <w:sz w:val="24"/>
              </w:rPr>
              <w:t>Forecast shortfall</w:t>
            </w:r>
          </w:p>
        </w:tc>
        <w:tc>
          <w:tcPr>
            <w:tcW w:w="980" w:type="dxa"/>
          </w:tcPr>
          <w:p w:rsidR="00873893" w:rsidRPr="00880996" w:rsidRDefault="00873893" w:rsidP="00873893">
            <w:pPr>
              <w:jc w:val="both"/>
              <w:rPr>
                <w:rFonts w:cs="Tahoma"/>
                <w:b/>
                <w:sz w:val="24"/>
              </w:rPr>
            </w:pPr>
            <w:r w:rsidRPr="00880996">
              <w:rPr>
                <w:rFonts w:cs="Tahoma"/>
                <w:b/>
                <w:sz w:val="24"/>
              </w:rPr>
              <w:t>5.9</w:t>
            </w:r>
          </w:p>
        </w:tc>
        <w:tc>
          <w:tcPr>
            <w:tcW w:w="1233" w:type="dxa"/>
          </w:tcPr>
          <w:p w:rsidR="00873893" w:rsidRPr="00880996" w:rsidRDefault="00873893" w:rsidP="00873893">
            <w:pPr>
              <w:jc w:val="both"/>
              <w:rPr>
                <w:rFonts w:cs="Tahoma"/>
                <w:b/>
                <w:sz w:val="24"/>
              </w:rPr>
            </w:pPr>
            <w:r w:rsidRPr="00880996">
              <w:rPr>
                <w:rFonts w:cs="Tahoma"/>
                <w:b/>
                <w:sz w:val="24"/>
              </w:rPr>
              <w:t>6.1</w:t>
            </w:r>
          </w:p>
        </w:tc>
        <w:tc>
          <w:tcPr>
            <w:tcW w:w="1640" w:type="dxa"/>
          </w:tcPr>
          <w:p w:rsidR="00873893" w:rsidRPr="00880996" w:rsidRDefault="00873893" w:rsidP="00873893">
            <w:pPr>
              <w:jc w:val="both"/>
              <w:rPr>
                <w:rFonts w:cs="Tahoma"/>
                <w:b/>
                <w:sz w:val="24"/>
              </w:rPr>
            </w:pPr>
            <w:r w:rsidRPr="00880996">
              <w:rPr>
                <w:rFonts w:cs="Tahoma"/>
                <w:b/>
                <w:sz w:val="24"/>
              </w:rPr>
              <w:t>7.6</w:t>
            </w:r>
          </w:p>
        </w:tc>
        <w:tc>
          <w:tcPr>
            <w:tcW w:w="1415" w:type="dxa"/>
          </w:tcPr>
          <w:p w:rsidR="00873893" w:rsidRPr="00880996" w:rsidRDefault="00873893" w:rsidP="00873893">
            <w:pPr>
              <w:jc w:val="both"/>
              <w:rPr>
                <w:rFonts w:cs="Tahoma"/>
                <w:b/>
                <w:sz w:val="24"/>
              </w:rPr>
            </w:pPr>
            <w:r w:rsidRPr="00880996">
              <w:rPr>
                <w:rFonts w:cs="Tahoma"/>
                <w:b/>
                <w:sz w:val="24"/>
              </w:rPr>
              <w:t>5.6</w:t>
            </w:r>
          </w:p>
        </w:tc>
        <w:tc>
          <w:tcPr>
            <w:tcW w:w="1415" w:type="dxa"/>
          </w:tcPr>
          <w:p w:rsidR="00873893" w:rsidRPr="00880996" w:rsidRDefault="00873893" w:rsidP="00873893">
            <w:pPr>
              <w:jc w:val="both"/>
              <w:rPr>
                <w:rFonts w:cs="Tahoma"/>
                <w:b/>
                <w:sz w:val="24"/>
              </w:rPr>
            </w:pPr>
            <w:r w:rsidRPr="00880996">
              <w:rPr>
                <w:rFonts w:cs="Tahoma"/>
                <w:b/>
                <w:sz w:val="24"/>
              </w:rPr>
              <w:t>6.4</w:t>
            </w:r>
          </w:p>
        </w:tc>
        <w:tc>
          <w:tcPr>
            <w:tcW w:w="1559" w:type="dxa"/>
          </w:tcPr>
          <w:p w:rsidR="00873893" w:rsidRPr="00880996" w:rsidRDefault="00873893" w:rsidP="00873893">
            <w:pPr>
              <w:jc w:val="both"/>
              <w:rPr>
                <w:rFonts w:cs="Tahoma"/>
                <w:b/>
                <w:sz w:val="24"/>
              </w:rPr>
            </w:pPr>
            <w:r w:rsidRPr="00880996">
              <w:rPr>
                <w:rFonts w:cs="Tahoma"/>
                <w:b/>
                <w:sz w:val="24"/>
              </w:rPr>
              <w:t>7.7</w:t>
            </w:r>
          </w:p>
        </w:tc>
      </w:tr>
      <w:tr w:rsidR="00873893" w:rsidRPr="00880996" w:rsidTr="00873893">
        <w:tc>
          <w:tcPr>
            <w:tcW w:w="3382" w:type="dxa"/>
          </w:tcPr>
          <w:p w:rsidR="00873893" w:rsidRPr="00880996" w:rsidRDefault="00873893" w:rsidP="00873893">
            <w:pPr>
              <w:jc w:val="both"/>
              <w:rPr>
                <w:rFonts w:cs="Tahoma"/>
                <w:sz w:val="24"/>
              </w:rPr>
            </w:pPr>
            <w:r w:rsidRPr="00880996">
              <w:rPr>
                <w:rFonts w:cs="Tahoma"/>
                <w:sz w:val="24"/>
              </w:rPr>
              <w:t>Non Delegated Savings target</w:t>
            </w:r>
          </w:p>
        </w:tc>
        <w:tc>
          <w:tcPr>
            <w:tcW w:w="980" w:type="dxa"/>
          </w:tcPr>
          <w:p w:rsidR="00873893" w:rsidRPr="00880996" w:rsidRDefault="00873893" w:rsidP="00873893">
            <w:pPr>
              <w:jc w:val="both"/>
              <w:rPr>
                <w:rFonts w:cs="Tahoma"/>
                <w:sz w:val="24"/>
              </w:rPr>
            </w:pPr>
            <w:r w:rsidRPr="00880996">
              <w:rPr>
                <w:rFonts w:cs="Tahoma"/>
                <w:sz w:val="24"/>
              </w:rPr>
              <w:t>0.6</w:t>
            </w:r>
          </w:p>
        </w:tc>
        <w:tc>
          <w:tcPr>
            <w:tcW w:w="1233" w:type="dxa"/>
          </w:tcPr>
          <w:p w:rsidR="00873893" w:rsidRPr="00880996" w:rsidRDefault="00873893" w:rsidP="00873893">
            <w:pPr>
              <w:jc w:val="both"/>
              <w:rPr>
                <w:rFonts w:cs="Tahoma"/>
                <w:sz w:val="24"/>
              </w:rPr>
            </w:pPr>
            <w:r w:rsidRPr="00880996">
              <w:rPr>
                <w:rFonts w:cs="Tahoma"/>
                <w:sz w:val="24"/>
              </w:rPr>
              <w:t>0.6</w:t>
            </w:r>
          </w:p>
        </w:tc>
        <w:tc>
          <w:tcPr>
            <w:tcW w:w="1640" w:type="dxa"/>
          </w:tcPr>
          <w:p w:rsidR="00873893" w:rsidRPr="00880996" w:rsidRDefault="00873893" w:rsidP="00873893">
            <w:pPr>
              <w:jc w:val="both"/>
              <w:rPr>
                <w:rFonts w:cs="Tahoma"/>
                <w:sz w:val="24"/>
              </w:rPr>
            </w:pPr>
            <w:r w:rsidRPr="00880996">
              <w:rPr>
                <w:rFonts w:cs="Tahoma"/>
                <w:sz w:val="24"/>
              </w:rPr>
              <w:t>0.6</w:t>
            </w:r>
          </w:p>
        </w:tc>
        <w:tc>
          <w:tcPr>
            <w:tcW w:w="1415" w:type="dxa"/>
          </w:tcPr>
          <w:p w:rsidR="00873893" w:rsidRPr="00880996" w:rsidRDefault="00873893" w:rsidP="00873893">
            <w:pPr>
              <w:jc w:val="both"/>
              <w:rPr>
                <w:rFonts w:cs="Tahoma"/>
                <w:sz w:val="24"/>
              </w:rPr>
            </w:pPr>
            <w:r w:rsidRPr="00880996">
              <w:rPr>
                <w:rFonts w:cs="Tahoma"/>
                <w:sz w:val="24"/>
              </w:rPr>
              <w:t>0.5</w:t>
            </w:r>
          </w:p>
        </w:tc>
        <w:tc>
          <w:tcPr>
            <w:tcW w:w="1415" w:type="dxa"/>
          </w:tcPr>
          <w:p w:rsidR="00873893" w:rsidRPr="00880996" w:rsidRDefault="00873893" w:rsidP="00873893">
            <w:pPr>
              <w:jc w:val="both"/>
              <w:rPr>
                <w:rFonts w:cs="Tahoma"/>
                <w:sz w:val="24"/>
              </w:rPr>
            </w:pPr>
            <w:r w:rsidRPr="00880996">
              <w:rPr>
                <w:rFonts w:cs="Tahoma"/>
                <w:sz w:val="24"/>
              </w:rPr>
              <w:t>0.6</w:t>
            </w:r>
          </w:p>
        </w:tc>
        <w:tc>
          <w:tcPr>
            <w:tcW w:w="1559" w:type="dxa"/>
          </w:tcPr>
          <w:p w:rsidR="00873893" w:rsidRPr="00880996" w:rsidRDefault="00873893" w:rsidP="00873893">
            <w:pPr>
              <w:jc w:val="both"/>
              <w:rPr>
                <w:rFonts w:cs="Tahoma"/>
                <w:sz w:val="24"/>
              </w:rPr>
            </w:pPr>
            <w:r w:rsidRPr="00880996">
              <w:rPr>
                <w:rFonts w:cs="Tahoma"/>
                <w:sz w:val="24"/>
              </w:rPr>
              <w:t>0.6</w:t>
            </w:r>
          </w:p>
        </w:tc>
      </w:tr>
      <w:tr w:rsidR="00873893" w:rsidRPr="00880996" w:rsidTr="00873893">
        <w:tc>
          <w:tcPr>
            <w:tcW w:w="3382" w:type="dxa"/>
          </w:tcPr>
          <w:p w:rsidR="00873893" w:rsidRPr="00880996" w:rsidRDefault="00873893" w:rsidP="00873893">
            <w:pPr>
              <w:jc w:val="both"/>
              <w:rPr>
                <w:rFonts w:cs="Tahoma"/>
                <w:sz w:val="24"/>
              </w:rPr>
            </w:pPr>
            <w:r w:rsidRPr="00880996">
              <w:rPr>
                <w:rFonts w:cs="Tahoma"/>
                <w:sz w:val="24"/>
              </w:rPr>
              <w:t>Savings contingency</w:t>
            </w:r>
          </w:p>
        </w:tc>
        <w:tc>
          <w:tcPr>
            <w:tcW w:w="980" w:type="dxa"/>
          </w:tcPr>
          <w:p w:rsidR="00873893" w:rsidRPr="00880996" w:rsidRDefault="00873893" w:rsidP="00873893">
            <w:pPr>
              <w:jc w:val="both"/>
              <w:rPr>
                <w:rFonts w:cs="Tahoma"/>
                <w:sz w:val="24"/>
              </w:rPr>
            </w:pPr>
            <w:r w:rsidRPr="00880996">
              <w:rPr>
                <w:rFonts w:cs="Tahoma"/>
                <w:sz w:val="24"/>
              </w:rPr>
              <w:t>(6.4)</w:t>
            </w:r>
          </w:p>
        </w:tc>
        <w:tc>
          <w:tcPr>
            <w:tcW w:w="1233" w:type="dxa"/>
          </w:tcPr>
          <w:p w:rsidR="00873893" w:rsidRPr="00880996" w:rsidRDefault="00873893" w:rsidP="00873893">
            <w:pPr>
              <w:jc w:val="both"/>
              <w:rPr>
                <w:rFonts w:cs="Tahoma"/>
                <w:sz w:val="24"/>
              </w:rPr>
            </w:pPr>
            <w:r w:rsidRPr="00880996">
              <w:rPr>
                <w:rFonts w:cs="Tahoma"/>
                <w:sz w:val="24"/>
              </w:rPr>
              <w:t>(7.0)</w:t>
            </w:r>
          </w:p>
        </w:tc>
        <w:tc>
          <w:tcPr>
            <w:tcW w:w="1640" w:type="dxa"/>
          </w:tcPr>
          <w:p w:rsidR="00873893" w:rsidRPr="00880996" w:rsidRDefault="00873893" w:rsidP="00873893">
            <w:pPr>
              <w:jc w:val="both"/>
              <w:rPr>
                <w:rFonts w:cs="Tahoma"/>
                <w:sz w:val="24"/>
              </w:rPr>
            </w:pPr>
            <w:r w:rsidRPr="00880996">
              <w:rPr>
                <w:rFonts w:cs="Tahoma"/>
                <w:sz w:val="24"/>
              </w:rPr>
              <w:t>(5.2)</w:t>
            </w:r>
          </w:p>
        </w:tc>
        <w:tc>
          <w:tcPr>
            <w:tcW w:w="1415" w:type="dxa"/>
          </w:tcPr>
          <w:p w:rsidR="00873893" w:rsidRPr="00880996" w:rsidRDefault="00873893" w:rsidP="00873893">
            <w:pPr>
              <w:jc w:val="both"/>
              <w:rPr>
                <w:rFonts w:cs="Tahoma"/>
                <w:sz w:val="24"/>
              </w:rPr>
            </w:pPr>
            <w:r w:rsidRPr="00880996">
              <w:rPr>
                <w:rFonts w:cs="Tahoma"/>
                <w:sz w:val="24"/>
              </w:rPr>
              <w:t>(5.8)</w:t>
            </w:r>
          </w:p>
        </w:tc>
        <w:tc>
          <w:tcPr>
            <w:tcW w:w="1415" w:type="dxa"/>
          </w:tcPr>
          <w:p w:rsidR="00873893" w:rsidRPr="00880996" w:rsidRDefault="00873893" w:rsidP="00873893">
            <w:pPr>
              <w:jc w:val="both"/>
              <w:rPr>
                <w:rFonts w:cs="Tahoma"/>
                <w:sz w:val="24"/>
              </w:rPr>
            </w:pPr>
            <w:r w:rsidRPr="00880996">
              <w:rPr>
                <w:rFonts w:cs="Tahoma"/>
                <w:sz w:val="24"/>
              </w:rPr>
              <w:t>(7.0)</w:t>
            </w:r>
          </w:p>
        </w:tc>
        <w:tc>
          <w:tcPr>
            <w:tcW w:w="1559" w:type="dxa"/>
          </w:tcPr>
          <w:p w:rsidR="00873893" w:rsidRPr="00880996" w:rsidRDefault="00873893" w:rsidP="00873893">
            <w:pPr>
              <w:jc w:val="both"/>
              <w:rPr>
                <w:rFonts w:cs="Tahoma"/>
                <w:sz w:val="24"/>
              </w:rPr>
            </w:pPr>
            <w:r w:rsidRPr="00880996">
              <w:rPr>
                <w:rFonts w:cs="Tahoma"/>
                <w:sz w:val="24"/>
              </w:rPr>
              <w:t>(5.2)</w:t>
            </w:r>
          </w:p>
        </w:tc>
      </w:tr>
      <w:tr w:rsidR="00873893" w:rsidRPr="004E5A85" w:rsidTr="00873893">
        <w:tc>
          <w:tcPr>
            <w:tcW w:w="3382" w:type="dxa"/>
          </w:tcPr>
          <w:p w:rsidR="00873893" w:rsidRPr="00880996" w:rsidRDefault="00873893" w:rsidP="00873893">
            <w:pPr>
              <w:jc w:val="both"/>
              <w:rPr>
                <w:rFonts w:cs="Tahoma"/>
                <w:b/>
                <w:sz w:val="24"/>
              </w:rPr>
            </w:pPr>
            <w:r w:rsidRPr="00880996">
              <w:rPr>
                <w:rFonts w:cs="Tahoma"/>
                <w:b/>
                <w:sz w:val="24"/>
              </w:rPr>
              <w:t>Total</w:t>
            </w:r>
          </w:p>
        </w:tc>
        <w:tc>
          <w:tcPr>
            <w:tcW w:w="980" w:type="dxa"/>
          </w:tcPr>
          <w:p w:rsidR="00873893" w:rsidRPr="00880996" w:rsidRDefault="00873893" w:rsidP="00873893">
            <w:pPr>
              <w:jc w:val="both"/>
              <w:rPr>
                <w:rFonts w:cs="Tahoma"/>
                <w:b/>
                <w:sz w:val="24"/>
              </w:rPr>
            </w:pPr>
            <w:r w:rsidRPr="00880996">
              <w:rPr>
                <w:rFonts w:cs="Tahoma"/>
                <w:b/>
                <w:sz w:val="24"/>
              </w:rPr>
              <w:t>0.1</w:t>
            </w:r>
          </w:p>
        </w:tc>
        <w:tc>
          <w:tcPr>
            <w:tcW w:w="1233" w:type="dxa"/>
          </w:tcPr>
          <w:p w:rsidR="00873893" w:rsidRPr="00880996" w:rsidRDefault="00873893" w:rsidP="00873893">
            <w:pPr>
              <w:jc w:val="both"/>
              <w:rPr>
                <w:rFonts w:cs="Tahoma"/>
                <w:b/>
                <w:sz w:val="24"/>
              </w:rPr>
            </w:pPr>
            <w:r w:rsidRPr="00880996">
              <w:rPr>
                <w:rFonts w:cs="Tahoma"/>
                <w:b/>
                <w:sz w:val="24"/>
              </w:rPr>
              <w:t>(0.3)</w:t>
            </w:r>
          </w:p>
        </w:tc>
        <w:tc>
          <w:tcPr>
            <w:tcW w:w="1640" w:type="dxa"/>
          </w:tcPr>
          <w:p w:rsidR="00873893" w:rsidRPr="00880996" w:rsidRDefault="00873893" w:rsidP="00873893">
            <w:pPr>
              <w:jc w:val="both"/>
              <w:rPr>
                <w:rFonts w:cs="Tahoma"/>
                <w:b/>
                <w:sz w:val="24"/>
              </w:rPr>
            </w:pPr>
            <w:r w:rsidRPr="00880996">
              <w:rPr>
                <w:rFonts w:cs="Tahoma"/>
                <w:b/>
                <w:sz w:val="24"/>
              </w:rPr>
              <w:t>3.0</w:t>
            </w:r>
          </w:p>
        </w:tc>
        <w:tc>
          <w:tcPr>
            <w:tcW w:w="1415" w:type="dxa"/>
          </w:tcPr>
          <w:p w:rsidR="00873893" w:rsidRPr="00880996" w:rsidRDefault="00873893" w:rsidP="00873893">
            <w:pPr>
              <w:jc w:val="both"/>
              <w:rPr>
                <w:rFonts w:cs="Tahoma"/>
                <w:b/>
                <w:sz w:val="24"/>
              </w:rPr>
            </w:pPr>
            <w:r w:rsidRPr="00880996">
              <w:rPr>
                <w:rFonts w:cs="Tahoma"/>
                <w:b/>
                <w:sz w:val="24"/>
              </w:rPr>
              <w:t>0.3</w:t>
            </w:r>
          </w:p>
        </w:tc>
        <w:tc>
          <w:tcPr>
            <w:tcW w:w="1415" w:type="dxa"/>
          </w:tcPr>
          <w:p w:rsidR="00873893" w:rsidRPr="00880996" w:rsidRDefault="00873893" w:rsidP="00873893">
            <w:pPr>
              <w:jc w:val="both"/>
              <w:rPr>
                <w:rFonts w:cs="Tahoma"/>
                <w:b/>
                <w:sz w:val="24"/>
              </w:rPr>
            </w:pPr>
            <w:r w:rsidRPr="00880996">
              <w:rPr>
                <w:rFonts w:cs="Tahoma"/>
                <w:b/>
                <w:sz w:val="24"/>
              </w:rPr>
              <w:t>0.0</w:t>
            </w:r>
          </w:p>
        </w:tc>
        <w:tc>
          <w:tcPr>
            <w:tcW w:w="1559" w:type="dxa"/>
          </w:tcPr>
          <w:p w:rsidR="00873893" w:rsidRPr="00880996" w:rsidRDefault="00873893" w:rsidP="00873893">
            <w:pPr>
              <w:jc w:val="both"/>
              <w:rPr>
                <w:rFonts w:cs="Tahoma"/>
                <w:b/>
                <w:sz w:val="24"/>
              </w:rPr>
            </w:pPr>
            <w:r w:rsidRPr="00880996">
              <w:rPr>
                <w:rFonts w:cs="Tahoma"/>
                <w:b/>
                <w:sz w:val="24"/>
              </w:rPr>
              <w:t>3.1</w:t>
            </w:r>
          </w:p>
        </w:tc>
      </w:tr>
    </w:tbl>
    <w:p w:rsidR="003816FF" w:rsidRPr="004E5A85" w:rsidRDefault="009F3E70" w:rsidP="003816FF">
      <w:pPr>
        <w:pStyle w:val="ListParagraph"/>
        <w:numPr>
          <w:ilvl w:val="0"/>
          <w:numId w:val="27"/>
        </w:numPr>
        <w:jc w:val="both"/>
        <w:rPr>
          <w:rFonts w:cs="Tahoma"/>
          <w:bCs/>
          <w:sz w:val="24"/>
        </w:rPr>
      </w:pPr>
      <w:r>
        <w:rPr>
          <w:rFonts w:cs="Tahoma"/>
          <w:bCs/>
          <w:sz w:val="24"/>
        </w:rPr>
        <w:t>Actual savings in M11 was £0.9m (M10: £1.0</w:t>
      </w:r>
      <w:r w:rsidR="003816FF" w:rsidRPr="004E5A85">
        <w:rPr>
          <w:rFonts w:cs="Tahoma"/>
          <w:bCs/>
          <w:sz w:val="24"/>
        </w:rPr>
        <w:t>m)</w:t>
      </w:r>
    </w:p>
    <w:p w:rsidR="003816FF" w:rsidRPr="004E5A85" w:rsidRDefault="009F3E70" w:rsidP="003816FF">
      <w:pPr>
        <w:pStyle w:val="ListParagraph"/>
        <w:numPr>
          <w:ilvl w:val="0"/>
          <w:numId w:val="27"/>
        </w:numPr>
        <w:jc w:val="both"/>
        <w:rPr>
          <w:rFonts w:cs="Tahoma"/>
          <w:bCs/>
          <w:sz w:val="24"/>
        </w:rPr>
      </w:pPr>
      <w:r>
        <w:rPr>
          <w:rFonts w:cs="Tahoma"/>
          <w:bCs/>
          <w:sz w:val="24"/>
        </w:rPr>
        <w:t>Forecast In year savings have increased from £10.0m to £10.3</w:t>
      </w:r>
      <w:r w:rsidR="003816FF">
        <w:rPr>
          <w:rFonts w:cs="Tahoma"/>
          <w:bCs/>
          <w:sz w:val="24"/>
        </w:rPr>
        <w:t>m</w:t>
      </w:r>
      <w:r w:rsidR="003816FF" w:rsidRPr="004E5A85">
        <w:rPr>
          <w:rFonts w:cs="Tahoma"/>
          <w:bCs/>
          <w:sz w:val="24"/>
        </w:rPr>
        <w:t>.</w:t>
      </w:r>
    </w:p>
    <w:p w:rsidR="003816FF" w:rsidRPr="004E5A85" w:rsidRDefault="003816FF" w:rsidP="003816FF">
      <w:pPr>
        <w:pStyle w:val="ListParagraph"/>
        <w:numPr>
          <w:ilvl w:val="0"/>
          <w:numId w:val="27"/>
        </w:numPr>
        <w:jc w:val="both"/>
        <w:rPr>
          <w:rFonts w:cs="Tahoma"/>
          <w:bCs/>
          <w:sz w:val="24"/>
        </w:rPr>
      </w:pPr>
      <w:r w:rsidRPr="004E5A85">
        <w:rPr>
          <w:rFonts w:cs="Tahoma"/>
          <w:bCs/>
          <w:sz w:val="24"/>
        </w:rPr>
        <w:t>Forecast Recurring savings</w:t>
      </w:r>
      <w:r w:rsidR="009F3E70">
        <w:rPr>
          <w:rFonts w:cs="Tahoma"/>
          <w:bCs/>
          <w:sz w:val="24"/>
        </w:rPr>
        <w:t xml:space="preserve"> are relatively constant at £8.8</w:t>
      </w:r>
      <w:r w:rsidRPr="004E5A85">
        <w:rPr>
          <w:rFonts w:cs="Tahoma"/>
          <w:bCs/>
          <w:sz w:val="24"/>
        </w:rPr>
        <w:t>m.</w:t>
      </w:r>
    </w:p>
    <w:p w:rsidR="003816FF" w:rsidRPr="006065B1" w:rsidRDefault="003816FF" w:rsidP="003816FF">
      <w:pPr>
        <w:ind w:left="720"/>
        <w:rPr>
          <w:sz w:val="24"/>
          <w:highlight w:val="yellow"/>
        </w:rPr>
      </w:pPr>
    </w:p>
    <w:p w:rsidR="009F3E70" w:rsidRDefault="009F3E70" w:rsidP="009F3E70">
      <w:pPr>
        <w:ind w:left="709"/>
        <w:rPr>
          <w:sz w:val="24"/>
          <w:lang w:eastAsia="en-GB"/>
        </w:rPr>
      </w:pPr>
      <w:r w:rsidRPr="00750616">
        <w:rPr>
          <w:sz w:val="24"/>
          <w:lang w:eastAsia="en-GB"/>
        </w:rPr>
        <w:t>Whilst the forecast in year savings of £10.3m are slightly above the savings target of £10m, the forecast recurring savings are still £3.0m below the recurring savings target of £11.8m. Forecast recurring savings remain relatively static and have been between £8.7m and £9.1m since M3.</w:t>
      </w:r>
      <w:r>
        <w:rPr>
          <w:sz w:val="24"/>
          <w:lang w:eastAsia="en-GB"/>
        </w:rPr>
        <w:t xml:space="preserve"> </w:t>
      </w:r>
    </w:p>
    <w:p w:rsidR="009F3E70" w:rsidRDefault="009F3E70" w:rsidP="009F3E70">
      <w:pPr>
        <w:ind w:left="709"/>
        <w:rPr>
          <w:sz w:val="24"/>
          <w:lang w:eastAsia="en-GB"/>
        </w:rPr>
      </w:pPr>
    </w:p>
    <w:p w:rsidR="009F3E70" w:rsidRDefault="009F3E70" w:rsidP="009F3E70">
      <w:pPr>
        <w:ind w:left="709"/>
        <w:rPr>
          <w:sz w:val="24"/>
          <w:lang w:eastAsia="en-GB"/>
        </w:rPr>
      </w:pPr>
      <w:r w:rsidRPr="004F2193">
        <w:rPr>
          <w:sz w:val="24"/>
          <w:lang w:eastAsia="en-GB"/>
        </w:rPr>
        <w:t xml:space="preserve">Monthly performance meetings </w:t>
      </w:r>
      <w:r w:rsidRPr="004F2193">
        <w:rPr>
          <w:sz w:val="24"/>
        </w:rPr>
        <w:t>with the CEO and other Executives</w:t>
      </w:r>
      <w:r w:rsidRPr="004F2193">
        <w:rPr>
          <w:sz w:val="24"/>
          <w:lang w:eastAsia="en-GB"/>
        </w:rPr>
        <w:t xml:space="preserve"> commenced in November 2019 to increase the traction on savings delivery in 19/20, improve the forecast recurring position going into 20120/21 and also to develop the savings p</w:t>
      </w:r>
      <w:r>
        <w:rPr>
          <w:sz w:val="24"/>
          <w:lang w:eastAsia="en-GB"/>
        </w:rPr>
        <w:t xml:space="preserve">lans </w:t>
      </w:r>
      <w:r w:rsidRPr="004F2193">
        <w:rPr>
          <w:sz w:val="24"/>
          <w:lang w:eastAsia="en-GB"/>
        </w:rPr>
        <w:t xml:space="preserve">for next year. </w:t>
      </w:r>
      <w:r w:rsidRPr="0068772A">
        <w:rPr>
          <w:sz w:val="24"/>
          <w:lang w:eastAsia="en-GB"/>
        </w:rPr>
        <w:t xml:space="preserve"> </w:t>
      </w:r>
    </w:p>
    <w:p w:rsidR="003816FF" w:rsidRDefault="003816FF" w:rsidP="003816FF">
      <w:pPr>
        <w:ind w:left="709"/>
        <w:rPr>
          <w:sz w:val="24"/>
          <w:lang w:eastAsia="en-GB"/>
        </w:rPr>
      </w:pPr>
    </w:p>
    <w:p w:rsidR="003816FF" w:rsidRPr="006616E8" w:rsidRDefault="009F3E70" w:rsidP="003816FF">
      <w:pPr>
        <w:pStyle w:val="ListParagraph"/>
        <w:numPr>
          <w:ilvl w:val="0"/>
          <w:numId w:val="32"/>
        </w:numPr>
        <w:rPr>
          <w:rFonts w:cs="Tahoma"/>
          <w:b/>
          <w:sz w:val="24"/>
        </w:rPr>
      </w:pPr>
      <w:r>
        <w:rPr>
          <w:b/>
          <w:sz w:val="24"/>
        </w:rPr>
        <w:t>M11 YTD Cost overspends- £11.2</w:t>
      </w:r>
      <w:r w:rsidR="003816FF" w:rsidRPr="006616E8">
        <w:rPr>
          <w:b/>
          <w:sz w:val="24"/>
        </w:rPr>
        <w:t>m</w:t>
      </w:r>
    </w:p>
    <w:p w:rsidR="003816FF" w:rsidRDefault="003816FF" w:rsidP="003816FF">
      <w:pPr>
        <w:ind w:firstLine="709"/>
        <w:rPr>
          <w:rFonts w:cs="Tahoma"/>
          <w:bCs/>
          <w:sz w:val="24"/>
        </w:rPr>
      </w:pPr>
    </w:p>
    <w:p w:rsidR="009F3E70" w:rsidRDefault="009F3E70" w:rsidP="009F3E70">
      <w:pPr>
        <w:ind w:firstLine="709"/>
        <w:rPr>
          <w:rFonts w:cs="Tahoma"/>
          <w:bCs/>
          <w:sz w:val="24"/>
        </w:rPr>
      </w:pPr>
      <w:r w:rsidRPr="0099772D">
        <w:rPr>
          <w:rFonts w:cs="Tahoma"/>
          <w:bCs/>
          <w:sz w:val="24"/>
        </w:rPr>
        <w:t>The most significant overspends within the total Pa</w:t>
      </w:r>
      <w:r>
        <w:rPr>
          <w:rFonts w:cs="Tahoma"/>
          <w:bCs/>
          <w:sz w:val="24"/>
        </w:rPr>
        <w:t>y overspend of £5.5</w:t>
      </w:r>
      <w:r w:rsidRPr="0099772D">
        <w:rPr>
          <w:rFonts w:cs="Tahoma"/>
          <w:bCs/>
          <w:sz w:val="24"/>
        </w:rPr>
        <w:t>m are as follows:</w:t>
      </w:r>
    </w:p>
    <w:p w:rsidR="009F3E70" w:rsidRPr="0099772D" w:rsidRDefault="009F3E70" w:rsidP="009F3E70">
      <w:pPr>
        <w:ind w:firstLine="709"/>
        <w:rPr>
          <w:rFonts w:cs="Tahoma"/>
          <w:bCs/>
          <w:sz w:val="24"/>
        </w:rPr>
      </w:pPr>
    </w:p>
    <w:p w:rsidR="009F3E70" w:rsidRPr="00880996" w:rsidRDefault="009F3E70" w:rsidP="009F3E70">
      <w:pPr>
        <w:pStyle w:val="ListParagraph"/>
        <w:numPr>
          <w:ilvl w:val="1"/>
          <w:numId w:val="12"/>
        </w:numPr>
        <w:rPr>
          <w:rFonts w:cs="Tahoma"/>
          <w:bCs/>
          <w:sz w:val="24"/>
        </w:rPr>
      </w:pPr>
      <w:r w:rsidRPr="00880996">
        <w:rPr>
          <w:rFonts w:cs="Tahoma"/>
          <w:bCs/>
          <w:sz w:val="24"/>
        </w:rPr>
        <w:t>Acute Medicine and A&amp;E £1.8m (Additional clinical services £1.5m, Nursing &amp; Midwifery £0.2m and A&amp;C £0.2m)</w:t>
      </w:r>
    </w:p>
    <w:p w:rsidR="009F3E70" w:rsidRPr="004E5A85" w:rsidRDefault="009F3E70" w:rsidP="009F3E70">
      <w:pPr>
        <w:pStyle w:val="ListParagraph"/>
        <w:numPr>
          <w:ilvl w:val="1"/>
          <w:numId w:val="12"/>
        </w:numPr>
        <w:rPr>
          <w:rFonts w:cs="Tahoma"/>
          <w:bCs/>
          <w:sz w:val="24"/>
        </w:rPr>
      </w:pPr>
      <w:r w:rsidRPr="004E5A85">
        <w:rPr>
          <w:rFonts w:cs="Tahoma"/>
          <w:bCs/>
          <w:sz w:val="24"/>
        </w:rPr>
        <w:t>ACT £0.3m (</w:t>
      </w:r>
      <w:r>
        <w:rPr>
          <w:rFonts w:cs="Tahoma"/>
          <w:bCs/>
          <w:sz w:val="24"/>
        </w:rPr>
        <w:t>Nursing &amp; M</w:t>
      </w:r>
      <w:r w:rsidRPr="00880996">
        <w:rPr>
          <w:rFonts w:cs="Tahoma"/>
          <w:bCs/>
          <w:sz w:val="24"/>
        </w:rPr>
        <w:t>idwifery £0.2m</w:t>
      </w:r>
      <w:r>
        <w:rPr>
          <w:rFonts w:cs="Tahoma"/>
          <w:bCs/>
          <w:sz w:val="24"/>
        </w:rPr>
        <w:t xml:space="preserve"> and Additional clinical services £0.1m</w:t>
      </w:r>
      <w:r w:rsidRPr="00880996">
        <w:rPr>
          <w:rFonts w:cs="Tahoma"/>
          <w:bCs/>
          <w:sz w:val="24"/>
        </w:rPr>
        <w:t>)</w:t>
      </w:r>
    </w:p>
    <w:p w:rsidR="009F3E70" w:rsidRPr="004E5A85" w:rsidRDefault="009F3E70" w:rsidP="009F3E70">
      <w:pPr>
        <w:pStyle w:val="ListParagraph"/>
        <w:numPr>
          <w:ilvl w:val="1"/>
          <w:numId w:val="12"/>
        </w:numPr>
        <w:rPr>
          <w:rFonts w:cs="Tahoma"/>
          <w:bCs/>
          <w:sz w:val="24"/>
        </w:rPr>
      </w:pPr>
      <w:r>
        <w:rPr>
          <w:rFonts w:cs="Tahoma"/>
          <w:bCs/>
          <w:sz w:val="24"/>
        </w:rPr>
        <w:t>O&amp;G - £</w:t>
      </w:r>
      <w:r w:rsidRPr="00880996">
        <w:rPr>
          <w:rFonts w:cs="Tahoma"/>
          <w:bCs/>
          <w:sz w:val="24"/>
        </w:rPr>
        <w:t>0.3m (Medical £0.1m, Nursing &amp; Midwifery £0.1m)</w:t>
      </w:r>
    </w:p>
    <w:p w:rsidR="009F3E70" w:rsidRPr="00880996" w:rsidRDefault="009F3E70" w:rsidP="009F3E70">
      <w:pPr>
        <w:pStyle w:val="ListParagraph"/>
        <w:numPr>
          <w:ilvl w:val="1"/>
          <w:numId w:val="12"/>
        </w:numPr>
        <w:rPr>
          <w:rFonts w:cs="Tahoma"/>
          <w:bCs/>
          <w:sz w:val="24"/>
        </w:rPr>
      </w:pPr>
      <w:r w:rsidRPr="004E5A85">
        <w:rPr>
          <w:rFonts w:cs="Tahoma"/>
          <w:bCs/>
          <w:sz w:val="24"/>
        </w:rPr>
        <w:t xml:space="preserve">POW </w:t>
      </w:r>
      <w:r w:rsidRPr="00880996">
        <w:rPr>
          <w:rFonts w:cs="Tahoma"/>
          <w:bCs/>
          <w:sz w:val="24"/>
        </w:rPr>
        <w:t>Delivery Unit £4.8m (Medical £2.5m, Additional clinical services £1.8m and Nursing &amp; Midwifery £1.0m)</w:t>
      </w:r>
    </w:p>
    <w:p w:rsidR="009F3E70" w:rsidRPr="00880996" w:rsidRDefault="009F3E70" w:rsidP="009F3E70">
      <w:pPr>
        <w:pStyle w:val="ListParagraph"/>
        <w:numPr>
          <w:ilvl w:val="1"/>
          <w:numId w:val="12"/>
        </w:numPr>
        <w:rPr>
          <w:rFonts w:cs="Tahoma"/>
          <w:bCs/>
          <w:sz w:val="24"/>
        </w:rPr>
      </w:pPr>
      <w:r w:rsidRPr="004E5A85">
        <w:rPr>
          <w:rFonts w:cs="Tahoma"/>
          <w:bCs/>
          <w:sz w:val="24"/>
        </w:rPr>
        <w:t>Pathology £</w:t>
      </w:r>
      <w:r>
        <w:rPr>
          <w:rFonts w:cs="Tahoma"/>
          <w:bCs/>
          <w:sz w:val="24"/>
        </w:rPr>
        <w:t>1.</w:t>
      </w:r>
      <w:r w:rsidRPr="00880996">
        <w:rPr>
          <w:rFonts w:cs="Tahoma"/>
          <w:bCs/>
          <w:sz w:val="24"/>
        </w:rPr>
        <w:t>0m (Medical £0.6m and Healthcare Scientists £0.3m )</w:t>
      </w:r>
    </w:p>
    <w:p w:rsidR="009F3E70" w:rsidRPr="004E5A85" w:rsidRDefault="009F3E70" w:rsidP="009F3E70">
      <w:pPr>
        <w:pStyle w:val="ListParagraph"/>
        <w:numPr>
          <w:ilvl w:val="1"/>
          <w:numId w:val="12"/>
        </w:numPr>
        <w:rPr>
          <w:rFonts w:cs="Tahoma"/>
          <w:bCs/>
          <w:sz w:val="24"/>
        </w:rPr>
      </w:pPr>
      <w:r>
        <w:rPr>
          <w:rFonts w:cs="Tahoma"/>
          <w:bCs/>
          <w:sz w:val="24"/>
        </w:rPr>
        <w:t>CAMHs £</w:t>
      </w:r>
      <w:r w:rsidRPr="00880996">
        <w:rPr>
          <w:rFonts w:cs="Tahoma"/>
          <w:bCs/>
          <w:sz w:val="24"/>
        </w:rPr>
        <w:t>0.6m (Admin &amp; clerical £0.3m and Additional clinical services £0.2m)</w:t>
      </w:r>
    </w:p>
    <w:p w:rsidR="009F3E70" w:rsidRPr="00880996" w:rsidRDefault="009F3E70" w:rsidP="009F3E70">
      <w:pPr>
        <w:pStyle w:val="ListParagraph"/>
        <w:numPr>
          <w:ilvl w:val="1"/>
          <w:numId w:val="12"/>
        </w:numPr>
        <w:rPr>
          <w:rFonts w:cs="Tahoma"/>
          <w:bCs/>
          <w:sz w:val="24"/>
        </w:rPr>
      </w:pPr>
      <w:r w:rsidRPr="00880996">
        <w:rPr>
          <w:rFonts w:cs="Tahoma"/>
          <w:bCs/>
          <w:sz w:val="24"/>
        </w:rPr>
        <w:t>CYP £0.4m (Medical £0.4m)</w:t>
      </w:r>
    </w:p>
    <w:p w:rsidR="009F3E70" w:rsidRPr="004E5A85" w:rsidRDefault="009F3E70" w:rsidP="009F3E70">
      <w:pPr>
        <w:pStyle w:val="ListParagraph"/>
        <w:numPr>
          <w:ilvl w:val="1"/>
          <w:numId w:val="12"/>
        </w:numPr>
        <w:rPr>
          <w:rFonts w:cs="Tahoma"/>
          <w:bCs/>
          <w:sz w:val="24"/>
        </w:rPr>
      </w:pPr>
      <w:r w:rsidRPr="004E5A85">
        <w:rPr>
          <w:rFonts w:cs="Tahoma"/>
          <w:bCs/>
          <w:sz w:val="24"/>
        </w:rPr>
        <w:t>ICT £0.2m</w:t>
      </w:r>
      <w:r>
        <w:rPr>
          <w:rFonts w:cs="Tahoma"/>
          <w:bCs/>
          <w:sz w:val="24"/>
        </w:rPr>
        <w:t xml:space="preserve"> </w:t>
      </w:r>
      <w:r w:rsidRPr="004E5A85">
        <w:rPr>
          <w:rFonts w:cs="Tahoma"/>
          <w:bCs/>
          <w:sz w:val="24"/>
        </w:rPr>
        <w:t>(Admin &amp; clerical £0.2m)</w:t>
      </w:r>
    </w:p>
    <w:p w:rsidR="009F3E70" w:rsidRPr="003A31FF" w:rsidRDefault="009F3E70" w:rsidP="009F3E70">
      <w:pPr>
        <w:pStyle w:val="ListParagraph"/>
        <w:ind w:left="1778"/>
        <w:rPr>
          <w:rFonts w:cs="Tahoma"/>
          <w:bCs/>
          <w:sz w:val="24"/>
          <w:highlight w:val="yellow"/>
        </w:rPr>
      </w:pPr>
    </w:p>
    <w:p w:rsidR="009F3E70" w:rsidRPr="009D3CEC" w:rsidRDefault="009F3E70" w:rsidP="009F3E70">
      <w:pPr>
        <w:ind w:left="720"/>
        <w:rPr>
          <w:sz w:val="24"/>
        </w:rPr>
      </w:pPr>
      <w:r w:rsidRPr="00394ABF">
        <w:rPr>
          <w:sz w:val="24"/>
        </w:rPr>
        <w:t>The total Pay overspend of £5.</w:t>
      </w:r>
      <w:r>
        <w:rPr>
          <w:sz w:val="24"/>
        </w:rPr>
        <w:t>5</w:t>
      </w:r>
      <w:r w:rsidRPr="00394ABF">
        <w:rPr>
          <w:sz w:val="24"/>
        </w:rPr>
        <w:t xml:space="preserve">m </w:t>
      </w:r>
      <w:r w:rsidRPr="00880996">
        <w:rPr>
          <w:sz w:val="24"/>
        </w:rPr>
        <w:t>includes a £5.9m overspend</w:t>
      </w:r>
      <w:r w:rsidRPr="00394ABF">
        <w:rPr>
          <w:sz w:val="24"/>
        </w:rPr>
        <w:t xml:space="preserve"> on Additional clinical </w:t>
      </w:r>
      <w:r w:rsidRPr="00916A37">
        <w:rPr>
          <w:sz w:val="24"/>
        </w:rPr>
        <w:t>services and a £2.5m underspend</w:t>
      </w:r>
      <w:r w:rsidRPr="00394ABF">
        <w:rPr>
          <w:sz w:val="24"/>
        </w:rPr>
        <w:t xml:space="preserve"> on Nursing &amp; </w:t>
      </w:r>
      <w:r w:rsidRPr="00916A37">
        <w:rPr>
          <w:sz w:val="24"/>
        </w:rPr>
        <w:t>midwifery plus a £2.9m overspend</w:t>
      </w:r>
      <w:r w:rsidRPr="00394ABF">
        <w:rPr>
          <w:sz w:val="24"/>
        </w:rPr>
        <w:t xml:space="preserve"> on Medical and Dental.</w:t>
      </w:r>
      <w:r w:rsidRPr="009D3CEC">
        <w:rPr>
          <w:sz w:val="24"/>
        </w:rPr>
        <w:t xml:space="preserve"> </w:t>
      </w:r>
    </w:p>
    <w:p w:rsidR="009F3E70" w:rsidRPr="00E06EBE" w:rsidRDefault="009F3E70" w:rsidP="009F3E70">
      <w:pPr>
        <w:ind w:left="720"/>
        <w:rPr>
          <w:sz w:val="24"/>
        </w:rPr>
      </w:pPr>
    </w:p>
    <w:p w:rsidR="009F3E70" w:rsidRDefault="009F3E70" w:rsidP="009F3E70">
      <w:pPr>
        <w:ind w:left="720"/>
        <w:rPr>
          <w:sz w:val="24"/>
        </w:rPr>
      </w:pPr>
      <w:r w:rsidRPr="00E06EBE">
        <w:rPr>
          <w:sz w:val="24"/>
        </w:rPr>
        <w:t>The most significant overspends within the total Non pay overspend of £</w:t>
      </w:r>
      <w:r>
        <w:rPr>
          <w:sz w:val="24"/>
        </w:rPr>
        <w:t>5.1</w:t>
      </w:r>
      <w:r w:rsidRPr="00E06EBE">
        <w:rPr>
          <w:sz w:val="24"/>
        </w:rPr>
        <w:t xml:space="preserve">m are as follows: </w:t>
      </w:r>
    </w:p>
    <w:p w:rsidR="009F3E70" w:rsidRPr="00E06EBE" w:rsidRDefault="009F3E70" w:rsidP="009F3E70">
      <w:pPr>
        <w:ind w:left="720"/>
        <w:rPr>
          <w:sz w:val="24"/>
        </w:rPr>
      </w:pPr>
      <w:r w:rsidRPr="00E06EBE">
        <w:rPr>
          <w:sz w:val="24"/>
        </w:rPr>
        <w:t xml:space="preserve"> </w:t>
      </w:r>
    </w:p>
    <w:p w:rsidR="009F3E70" w:rsidRPr="00916A37" w:rsidRDefault="009F3E70" w:rsidP="009F3E70">
      <w:pPr>
        <w:pStyle w:val="ListParagraph"/>
        <w:numPr>
          <w:ilvl w:val="1"/>
          <w:numId w:val="12"/>
        </w:numPr>
        <w:rPr>
          <w:rFonts w:cs="Tahoma"/>
          <w:bCs/>
          <w:sz w:val="24"/>
        </w:rPr>
      </w:pPr>
      <w:r w:rsidRPr="0042716C">
        <w:rPr>
          <w:rFonts w:cs="Tahoma"/>
          <w:bCs/>
          <w:sz w:val="24"/>
        </w:rPr>
        <w:t>Acute Medicine and A&amp;E £0.</w:t>
      </w:r>
      <w:r w:rsidRPr="00916A37">
        <w:rPr>
          <w:rFonts w:cs="Tahoma"/>
          <w:bCs/>
          <w:sz w:val="24"/>
        </w:rPr>
        <w:t>9m – Secondary care drugs £0.69m and M&amp;S Supplies £0.2m</w:t>
      </w:r>
    </w:p>
    <w:p w:rsidR="009F3E70" w:rsidRPr="00916A37" w:rsidRDefault="009F3E70" w:rsidP="009F3E70">
      <w:pPr>
        <w:pStyle w:val="ListParagraph"/>
        <w:numPr>
          <w:ilvl w:val="1"/>
          <w:numId w:val="12"/>
        </w:numPr>
        <w:rPr>
          <w:rFonts w:cs="Tahoma"/>
          <w:bCs/>
          <w:sz w:val="24"/>
        </w:rPr>
      </w:pPr>
      <w:r w:rsidRPr="00916A37">
        <w:rPr>
          <w:rFonts w:cs="Tahoma"/>
          <w:bCs/>
          <w:sz w:val="24"/>
        </w:rPr>
        <w:t>H&amp;N £0.2m – Secondary care drugs £0.14m</w:t>
      </w:r>
    </w:p>
    <w:p w:rsidR="009F3E70" w:rsidRPr="00916A37" w:rsidRDefault="009F3E70" w:rsidP="009F3E70">
      <w:pPr>
        <w:pStyle w:val="ListParagraph"/>
        <w:numPr>
          <w:ilvl w:val="1"/>
          <w:numId w:val="12"/>
        </w:numPr>
        <w:rPr>
          <w:rFonts w:cs="Tahoma"/>
          <w:bCs/>
          <w:sz w:val="24"/>
        </w:rPr>
      </w:pPr>
      <w:r w:rsidRPr="00916A37">
        <w:rPr>
          <w:rFonts w:cs="Tahoma"/>
          <w:bCs/>
          <w:sz w:val="24"/>
        </w:rPr>
        <w:t>POW Medicine £0.9m – Appliances £0.35m, M&amp;S supplies £0.32m and £0.2m Secondary care drugs</w:t>
      </w:r>
    </w:p>
    <w:p w:rsidR="009F3E70" w:rsidRPr="00916A37" w:rsidRDefault="009F3E70" w:rsidP="009F3E70">
      <w:pPr>
        <w:pStyle w:val="ListParagraph"/>
        <w:numPr>
          <w:ilvl w:val="1"/>
          <w:numId w:val="12"/>
        </w:numPr>
        <w:rPr>
          <w:rFonts w:cs="Tahoma"/>
          <w:bCs/>
          <w:sz w:val="24"/>
        </w:rPr>
      </w:pPr>
      <w:r w:rsidRPr="00916A37">
        <w:rPr>
          <w:rFonts w:cs="Tahoma"/>
          <w:bCs/>
          <w:sz w:val="24"/>
        </w:rPr>
        <w:t>Pathology £0.5m – M&amp;S £0.1m, Office Equipment/ICT £0.1m and SLAs £0.09m</w:t>
      </w:r>
    </w:p>
    <w:p w:rsidR="009F3E70" w:rsidRPr="00916A37" w:rsidRDefault="009F3E70" w:rsidP="009F3E70">
      <w:pPr>
        <w:pStyle w:val="ListParagraph"/>
        <w:numPr>
          <w:ilvl w:val="1"/>
          <w:numId w:val="12"/>
        </w:numPr>
        <w:rPr>
          <w:rFonts w:cs="Tahoma"/>
          <w:bCs/>
          <w:sz w:val="24"/>
        </w:rPr>
      </w:pPr>
      <w:r w:rsidRPr="00916A37">
        <w:rPr>
          <w:rFonts w:cs="Tahoma"/>
          <w:bCs/>
          <w:sz w:val="24"/>
        </w:rPr>
        <w:t>Radiology £0.3m- Reporting £0.26m</w:t>
      </w:r>
    </w:p>
    <w:p w:rsidR="009F3E70" w:rsidRPr="00E06EBE" w:rsidRDefault="009F3E70" w:rsidP="009F3E70">
      <w:pPr>
        <w:pStyle w:val="ListParagraph"/>
        <w:numPr>
          <w:ilvl w:val="1"/>
          <w:numId w:val="12"/>
        </w:numPr>
        <w:rPr>
          <w:rFonts w:cs="Tahoma"/>
          <w:bCs/>
          <w:sz w:val="24"/>
        </w:rPr>
      </w:pPr>
      <w:r w:rsidRPr="00E06EBE">
        <w:rPr>
          <w:rFonts w:cs="Tahoma"/>
          <w:bCs/>
          <w:sz w:val="24"/>
        </w:rPr>
        <w:t>Facilities £0.</w:t>
      </w:r>
      <w:r>
        <w:rPr>
          <w:rFonts w:cs="Tahoma"/>
          <w:bCs/>
          <w:sz w:val="24"/>
        </w:rPr>
        <w:t>8</w:t>
      </w:r>
      <w:r w:rsidRPr="00E06EBE">
        <w:rPr>
          <w:rFonts w:cs="Tahoma"/>
          <w:bCs/>
          <w:sz w:val="24"/>
        </w:rPr>
        <w:t xml:space="preserve">m </w:t>
      </w:r>
      <w:r w:rsidRPr="00916A37">
        <w:rPr>
          <w:rFonts w:cs="Tahoma"/>
          <w:bCs/>
          <w:sz w:val="24"/>
        </w:rPr>
        <w:t>– Waste &amp;Transport £0.34m, Catering £0.16m, Building &amp; Engineering £0.09m Postage £0.06m, Laundry £0.04m</w:t>
      </w:r>
    </w:p>
    <w:p w:rsidR="009F3E70" w:rsidRPr="00916A37" w:rsidRDefault="009F3E70" w:rsidP="009F3E70">
      <w:pPr>
        <w:pStyle w:val="ListParagraph"/>
        <w:numPr>
          <w:ilvl w:val="1"/>
          <w:numId w:val="12"/>
        </w:numPr>
        <w:rPr>
          <w:rFonts w:cs="Tahoma"/>
          <w:bCs/>
          <w:sz w:val="24"/>
        </w:rPr>
      </w:pPr>
      <w:r w:rsidRPr="00916A37">
        <w:rPr>
          <w:rFonts w:cs="Tahoma"/>
          <w:bCs/>
          <w:sz w:val="24"/>
        </w:rPr>
        <w:t>Mental Health £0.5m – Continuing Healthcare £0.31m and Drugs £0.2m</w:t>
      </w:r>
    </w:p>
    <w:p w:rsidR="009F3E70" w:rsidRPr="008C5284" w:rsidRDefault="009F3E70" w:rsidP="009F3E70">
      <w:pPr>
        <w:pStyle w:val="ListParagraph"/>
        <w:numPr>
          <w:ilvl w:val="1"/>
          <w:numId w:val="12"/>
        </w:numPr>
        <w:rPr>
          <w:rFonts w:cs="Tahoma"/>
          <w:bCs/>
          <w:sz w:val="24"/>
        </w:rPr>
      </w:pPr>
      <w:r w:rsidRPr="008C5284">
        <w:rPr>
          <w:rFonts w:cs="Tahoma"/>
          <w:bCs/>
          <w:sz w:val="24"/>
        </w:rPr>
        <w:t>Medicines Mgt £2.1m – Primary Care Prescribing £1.7m, NICE £0.28m</w:t>
      </w:r>
    </w:p>
    <w:p w:rsidR="009F3E70" w:rsidRPr="008C5284" w:rsidRDefault="009F3E70" w:rsidP="009F3E70">
      <w:pPr>
        <w:pStyle w:val="ListParagraph"/>
        <w:numPr>
          <w:ilvl w:val="1"/>
          <w:numId w:val="12"/>
        </w:numPr>
        <w:rPr>
          <w:rFonts w:cs="Tahoma"/>
          <w:bCs/>
          <w:sz w:val="24"/>
        </w:rPr>
      </w:pPr>
      <w:r w:rsidRPr="008C5284">
        <w:rPr>
          <w:rFonts w:cs="Tahoma"/>
          <w:bCs/>
          <w:sz w:val="24"/>
        </w:rPr>
        <w:t>Estates £0.3m – B&amp;E £0.1m</w:t>
      </w:r>
      <w:r>
        <w:rPr>
          <w:rFonts w:cs="Tahoma"/>
          <w:bCs/>
          <w:sz w:val="24"/>
        </w:rPr>
        <w:t xml:space="preserve"> and U</w:t>
      </w:r>
      <w:r w:rsidRPr="008C5284">
        <w:rPr>
          <w:rFonts w:cs="Tahoma"/>
          <w:bCs/>
          <w:sz w:val="24"/>
        </w:rPr>
        <w:t xml:space="preserve">tilities £0.19m </w:t>
      </w:r>
    </w:p>
    <w:p w:rsidR="002D1BCF" w:rsidRDefault="002D1BCF" w:rsidP="002D1BCF">
      <w:pPr>
        <w:ind w:firstLine="720"/>
        <w:rPr>
          <w:rFonts w:cs="Tahoma"/>
          <w:bCs/>
          <w:sz w:val="24"/>
        </w:rPr>
      </w:pPr>
    </w:p>
    <w:p w:rsidR="009F3E70" w:rsidRDefault="009F3E70" w:rsidP="009F3E70">
      <w:pPr>
        <w:ind w:firstLine="720"/>
        <w:rPr>
          <w:rFonts w:cs="Tahoma"/>
          <w:bCs/>
          <w:sz w:val="24"/>
        </w:rPr>
      </w:pPr>
      <w:r w:rsidRPr="00181EB9">
        <w:rPr>
          <w:rFonts w:cs="Tahoma"/>
          <w:bCs/>
          <w:sz w:val="24"/>
        </w:rPr>
        <w:t xml:space="preserve">The most significant overspends within the total Income </w:t>
      </w:r>
      <w:r>
        <w:rPr>
          <w:rFonts w:cs="Tahoma"/>
          <w:bCs/>
          <w:sz w:val="24"/>
        </w:rPr>
        <w:t xml:space="preserve">overspend of £0.6m </w:t>
      </w:r>
      <w:r w:rsidRPr="00181EB9">
        <w:rPr>
          <w:rFonts w:cs="Tahoma"/>
          <w:bCs/>
          <w:sz w:val="24"/>
        </w:rPr>
        <w:t>are as follows:</w:t>
      </w:r>
    </w:p>
    <w:p w:rsidR="009F3E70" w:rsidRPr="00181EB9" w:rsidRDefault="009F3E70" w:rsidP="009F3E70">
      <w:pPr>
        <w:ind w:firstLine="720"/>
        <w:rPr>
          <w:rFonts w:cs="Tahoma"/>
          <w:bCs/>
          <w:sz w:val="24"/>
        </w:rPr>
      </w:pPr>
    </w:p>
    <w:p w:rsidR="009F3E70" w:rsidRPr="004555A8" w:rsidRDefault="009F3E70" w:rsidP="009F3E70">
      <w:pPr>
        <w:pStyle w:val="ListParagraph"/>
        <w:numPr>
          <w:ilvl w:val="1"/>
          <w:numId w:val="12"/>
        </w:numPr>
        <w:rPr>
          <w:sz w:val="24"/>
        </w:rPr>
      </w:pPr>
      <w:r w:rsidRPr="004555A8">
        <w:rPr>
          <w:sz w:val="24"/>
        </w:rPr>
        <w:t>POW Surgical services £0.</w:t>
      </w:r>
      <w:r>
        <w:rPr>
          <w:sz w:val="24"/>
        </w:rPr>
        <w:t>5</w:t>
      </w:r>
      <w:r w:rsidRPr="004555A8">
        <w:rPr>
          <w:sz w:val="24"/>
        </w:rPr>
        <w:t>m</w:t>
      </w:r>
      <w:r w:rsidRPr="008C5284">
        <w:rPr>
          <w:sz w:val="24"/>
        </w:rPr>
        <w:t>- C&amp;V Surgical Services SLA £0.45m</w:t>
      </w:r>
    </w:p>
    <w:p w:rsidR="009F3E70" w:rsidRPr="008C5284" w:rsidRDefault="009F3E70" w:rsidP="009F3E70">
      <w:pPr>
        <w:pStyle w:val="ListParagraph"/>
        <w:numPr>
          <w:ilvl w:val="1"/>
          <w:numId w:val="12"/>
        </w:numPr>
        <w:rPr>
          <w:sz w:val="24"/>
        </w:rPr>
      </w:pPr>
      <w:r w:rsidRPr="008C5284">
        <w:rPr>
          <w:sz w:val="24"/>
        </w:rPr>
        <w:t>CYP £0.2m – Flying Start Income from Local Authorities £0.2m</w:t>
      </w:r>
    </w:p>
    <w:p w:rsidR="009F3E70" w:rsidRPr="008C5284" w:rsidRDefault="009F3E70" w:rsidP="009F3E70">
      <w:pPr>
        <w:pStyle w:val="ListParagraph"/>
        <w:numPr>
          <w:ilvl w:val="1"/>
          <w:numId w:val="12"/>
        </w:numPr>
        <w:rPr>
          <w:sz w:val="24"/>
        </w:rPr>
      </w:pPr>
      <w:r w:rsidRPr="008C5284">
        <w:rPr>
          <w:sz w:val="24"/>
        </w:rPr>
        <w:t>Contracting &amp; Commissioning £2.1m- ABUHB LTA performance £0.7m, Swansea Bay LTA performance £0.83m, Non Contracted Activity £0.28m, WHSSC LTA performance £0.14m and Injury cost recovery £0.13m</w:t>
      </w:r>
    </w:p>
    <w:p w:rsidR="00817B7E" w:rsidRPr="006065B1" w:rsidRDefault="00817B7E" w:rsidP="00817B7E">
      <w:pPr>
        <w:ind w:left="720"/>
        <w:rPr>
          <w:sz w:val="24"/>
          <w:highlight w:val="yellow"/>
        </w:rPr>
      </w:pPr>
    </w:p>
    <w:p w:rsidR="002D1BCF" w:rsidRPr="00181EB9" w:rsidRDefault="002D1BCF" w:rsidP="002D1BCF">
      <w:pPr>
        <w:pStyle w:val="ListParagraph"/>
        <w:numPr>
          <w:ilvl w:val="0"/>
          <w:numId w:val="32"/>
        </w:numPr>
        <w:rPr>
          <w:rFonts w:cs="Tahoma"/>
          <w:b/>
          <w:sz w:val="24"/>
        </w:rPr>
      </w:pPr>
      <w:r w:rsidRPr="00181EB9">
        <w:rPr>
          <w:b/>
          <w:sz w:val="24"/>
        </w:rPr>
        <w:t xml:space="preserve">Forecast recurring </w:t>
      </w:r>
      <w:r>
        <w:rPr>
          <w:b/>
          <w:sz w:val="24"/>
        </w:rPr>
        <w:t>deficit going into 2020/21- £11.9</w:t>
      </w:r>
      <w:r w:rsidRPr="00181EB9">
        <w:rPr>
          <w:b/>
          <w:sz w:val="24"/>
        </w:rPr>
        <w:t>m</w:t>
      </w:r>
    </w:p>
    <w:p w:rsidR="002D1BCF" w:rsidRDefault="002D1BCF" w:rsidP="002D1BCF">
      <w:pPr>
        <w:ind w:left="709"/>
        <w:rPr>
          <w:rFonts w:cs="Tahoma"/>
          <w:bCs/>
          <w:sz w:val="24"/>
        </w:rPr>
      </w:pPr>
    </w:p>
    <w:p w:rsidR="009F3E70" w:rsidRDefault="00D52DB6" w:rsidP="009F3E70">
      <w:pPr>
        <w:pStyle w:val="ListParagraph"/>
        <w:jc w:val="both"/>
        <w:rPr>
          <w:sz w:val="24"/>
        </w:rPr>
      </w:pPr>
      <w:r>
        <w:rPr>
          <w:sz w:val="24"/>
        </w:rPr>
        <w:t>T</w:t>
      </w:r>
      <w:r w:rsidR="009F3E70" w:rsidRPr="004F2193">
        <w:rPr>
          <w:sz w:val="24"/>
        </w:rPr>
        <w:t xml:space="preserve">he £11.9m reported deficit is consistent with the ‘control totals’ that have been set for individual directorates and is aligned with the Performance meetings that commenced in M7 with the CEO. These control totals required a £10.8m improvement from the M6 forecast </w:t>
      </w:r>
      <w:r w:rsidR="009F3E70" w:rsidRPr="00750616">
        <w:rPr>
          <w:sz w:val="24"/>
        </w:rPr>
        <w:t xml:space="preserve">recurrent deficit of £22.7m. The M11 forecast recurrent deficit is now £16.7m. Whilst this represents an improvement of £6.0m from M6, further improvements of £4.8m are still needed in order to meet the £11.9m target.  </w:t>
      </w:r>
      <w:r w:rsidR="009F3E70" w:rsidRPr="00D52DB6">
        <w:rPr>
          <w:sz w:val="24"/>
        </w:rPr>
        <w:t xml:space="preserve">Further information on the recurrent forecast and associated risks is provided in Section 3.2. </w:t>
      </w:r>
    </w:p>
    <w:p w:rsidR="00BA013B" w:rsidRDefault="00BA013B" w:rsidP="00303026">
      <w:pPr>
        <w:jc w:val="both"/>
        <w:rPr>
          <w:rFonts w:cs="Tahoma"/>
          <w:sz w:val="24"/>
        </w:rPr>
      </w:pPr>
    </w:p>
    <w:p w:rsidR="00D52DB6" w:rsidRDefault="00D52DB6" w:rsidP="00D52DB6">
      <w:pPr>
        <w:pStyle w:val="ListParagraph"/>
        <w:jc w:val="both"/>
        <w:rPr>
          <w:sz w:val="24"/>
        </w:rPr>
      </w:pPr>
      <w:r w:rsidRPr="004F2193">
        <w:rPr>
          <w:sz w:val="24"/>
        </w:rPr>
        <w:t xml:space="preserve">The reported deficit of £11.9m is </w:t>
      </w:r>
      <w:r>
        <w:rPr>
          <w:sz w:val="24"/>
        </w:rPr>
        <w:t>consistent with our M11 Monitoring Return submission to WG. However, we did highlight to WG that a final review of the forecast recurrent deficit was being undertaken to inform our updated IMTP submission at the end of March. A verbal update will be provided at the Board meeting.</w:t>
      </w:r>
    </w:p>
    <w:p w:rsidR="0065614A" w:rsidRDefault="0065614A">
      <w:pPr>
        <w:rPr>
          <w:rFonts w:cs="Tahoma"/>
          <w:sz w:val="24"/>
        </w:rPr>
      </w:pPr>
      <w:r>
        <w:rPr>
          <w:rFonts w:cs="Tahoma"/>
          <w:sz w:val="24"/>
        </w:rPr>
        <w:br w:type="page"/>
      </w:r>
    </w:p>
    <w:p w:rsidR="00BA013B" w:rsidRPr="00FB2623" w:rsidRDefault="00BA013B" w:rsidP="00303026">
      <w:pPr>
        <w:jc w:val="both"/>
        <w:rPr>
          <w:rFonts w:cs="Tahoma"/>
          <w:sz w:val="24"/>
        </w:rPr>
      </w:pPr>
    </w:p>
    <w:p w:rsidR="00303026" w:rsidRPr="00FB2623" w:rsidRDefault="001B382A" w:rsidP="006616E8">
      <w:pPr>
        <w:pStyle w:val="Heading8"/>
        <w:numPr>
          <w:ilvl w:val="0"/>
          <w:numId w:val="34"/>
        </w:numPr>
        <w:rPr>
          <w:rFonts w:ascii="Verdana" w:hAnsi="Verdana"/>
        </w:rPr>
      </w:pPr>
      <w:r w:rsidRPr="001B382A">
        <w:rPr>
          <w:rFonts w:ascii="Verdana" w:hAnsi="Verdana"/>
        </w:rPr>
        <w:t>S</w:t>
      </w:r>
      <w:r>
        <w:rPr>
          <w:rFonts w:ascii="Verdana" w:hAnsi="Verdana"/>
        </w:rPr>
        <w:t>PECIFIC MATTERS FOR CONSIDERATION BY THIS MEETING (ASSESSMENT)</w:t>
      </w:r>
      <w:r w:rsidR="00303026" w:rsidRPr="00FB2623">
        <w:rPr>
          <w:rFonts w:ascii="Verdana" w:hAnsi="Verdana"/>
        </w:rPr>
        <w:t xml:space="preserve"> </w:t>
      </w:r>
    </w:p>
    <w:p w:rsidR="00303026" w:rsidRPr="00FB2623" w:rsidRDefault="00303026" w:rsidP="00303026">
      <w:pPr>
        <w:jc w:val="both"/>
        <w:rPr>
          <w:rFonts w:cs="Tahoma"/>
          <w:sz w:val="24"/>
        </w:rPr>
      </w:pPr>
    </w:p>
    <w:p w:rsidR="00303026" w:rsidRPr="00FB2623" w:rsidRDefault="00C22988" w:rsidP="006616E8">
      <w:pPr>
        <w:pStyle w:val="ListParagraph"/>
        <w:numPr>
          <w:ilvl w:val="1"/>
          <w:numId w:val="34"/>
        </w:numPr>
        <w:jc w:val="both"/>
        <w:rPr>
          <w:rFonts w:cs="Tahoma"/>
          <w:b/>
          <w:bCs/>
          <w:sz w:val="24"/>
        </w:rPr>
      </w:pPr>
      <w:r w:rsidRPr="00FB2623">
        <w:rPr>
          <w:rFonts w:cs="Tahoma"/>
          <w:b/>
          <w:bCs/>
          <w:sz w:val="24"/>
        </w:rPr>
        <w:t>Financial Po</w:t>
      </w:r>
      <w:r w:rsidR="005E4787" w:rsidRPr="00FB2623">
        <w:rPr>
          <w:rFonts w:cs="Tahoma"/>
          <w:b/>
          <w:bCs/>
          <w:sz w:val="24"/>
        </w:rPr>
        <w:t xml:space="preserve">sition and Key Targets – Month </w:t>
      </w:r>
      <w:r w:rsidR="009F3E70">
        <w:rPr>
          <w:rFonts w:cs="Tahoma"/>
          <w:b/>
          <w:bCs/>
          <w:sz w:val="24"/>
        </w:rPr>
        <w:t>11</w:t>
      </w:r>
    </w:p>
    <w:p w:rsidR="00303026" w:rsidRPr="00FB2623" w:rsidRDefault="00303026" w:rsidP="00303026">
      <w:pPr>
        <w:ind w:left="720"/>
        <w:jc w:val="both"/>
        <w:rPr>
          <w:rFonts w:cs="Tahoma"/>
          <w:b/>
          <w:bCs/>
          <w:sz w:val="24"/>
        </w:rPr>
      </w:pPr>
    </w:p>
    <w:p w:rsidR="009F3E70" w:rsidRPr="00FB2623" w:rsidRDefault="009F3E70" w:rsidP="009F3E70">
      <w:pPr>
        <w:widowControl w:val="0"/>
        <w:ind w:left="709" w:right="536"/>
        <w:jc w:val="both"/>
        <w:rPr>
          <w:sz w:val="24"/>
        </w:rPr>
      </w:pPr>
      <w:r w:rsidRPr="00FB2623">
        <w:rPr>
          <w:sz w:val="24"/>
        </w:rPr>
        <w:t>The Health Board has a statutory duty to achieve a break even position over a period of three financial years. This applies to both revenue and capital expenditure.  Over the last two financial years, the Health Board has achieved a small surplus of £39k and £18k for revenue and capital expenditure respectively.  This means that the Health Board can overspend by £39k and £18k for revenue and capital expenditure respectively in 2019/20 and still meet its three year statutory duty.  The Health Board’s plan for 2019/20 is to break-even on both measures.  The Health Board also has an administrative duty t</w:t>
      </w:r>
      <w:r w:rsidRPr="00FB2623">
        <w:rPr>
          <w:rFonts w:cs="Tahoma"/>
          <w:bCs/>
          <w:sz w:val="24"/>
        </w:rPr>
        <w:t xml:space="preserve">o pay a minimum of 95% of all non-NHS invoices within 30 days.  </w:t>
      </w:r>
    </w:p>
    <w:p w:rsidR="00087C81" w:rsidRPr="00FB2623" w:rsidRDefault="00087C81" w:rsidP="00137952">
      <w:pPr>
        <w:jc w:val="both"/>
        <w:rPr>
          <w:rFonts w:cs="Tahoma"/>
          <w:b/>
          <w:bCs/>
          <w:sz w:val="24"/>
        </w:rPr>
      </w:pPr>
    </w:p>
    <w:p w:rsidR="00116E94" w:rsidRPr="00FB2623" w:rsidRDefault="00116E94" w:rsidP="004F6433">
      <w:pPr>
        <w:ind w:left="709" w:right="536" w:hanging="709"/>
        <w:jc w:val="both"/>
        <w:rPr>
          <w:rFonts w:cs="Tahoma"/>
          <w:b/>
          <w:bCs/>
          <w:sz w:val="24"/>
        </w:rPr>
      </w:pPr>
      <w:r w:rsidRPr="00FB2623">
        <w:rPr>
          <w:rFonts w:cs="Tahoma"/>
          <w:b/>
          <w:bCs/>
          <w:sz w:val="24"/>
        </w:rPr>
        <w:tab/>
      </w:r>
      <w:r w:rsidRPr="00FB2623">
        <w:rPr>
          <w:sz w:val="24"/>
        </w:rPr>
        <w:t>The table belo</w:t>
      </w:r>
      <w:r w:rsidR="004D44D1" w:rsidRPr="00FB2623">
        <w:rPr>
          <w:sz w:val="24"/>
        </w:rPr>
        <w:t xml:space="preserve">w details the Health Board’s </w:t>
      </w:r>
      <w:r w:rsidR="004F6433" w:rsidRPr="00FB2623">
        <w:rPr>
          <w:sz w:val="24"/>
        </w:rPr>
        <w:t>2</w:t>
      </w:r>
      <w:r w:rsidR="00FB2623" w:rsidRPr="00FB2623">
        <w:rPr>
          <w:sz w:val="24"/>
        </w:rPr>
        <w:t>019/20</w:t>
      </w:r>
      <w:r w:rsidR="004F6433" w:rsidRPr="00FB2623">
        <w:rPr>
          <w:sz w:val="24"/>
        </w:rPr>
        <w:t xml:space="preserve"> </w:t>
      </w:r>
      <w:r w:rsidR="004D44D1" w:rsidRPr="00FB2623">
        <w:rPr>
          <w:sz w:val="24"/>
        </w:rPr>
        <w:t>current and f</w:t>
      </w:r>
      <w:r w:rsidR="00C213C0" w:rsidRPr="00FB2623">
        <w:rPr>
          <w:sz w:val="24"/>
        </w:rPr>
        <w:t>orecast performance against these</w:t>
      </w:r>
      <w:r w:rsidR="004F6433" w:rsidRPr="00FB2623">
        <w:rPr>
          <w:sz w:val="24"/>
        </w:rPr>
        <w:t xml:space="preserve"> </w:t>
      </w:r>
      <w:r w:rsidR="00C213C0" w:rsidRPr="00FB2623">
        <w:rPr>
          <w:sz w:val="24"/>
        </w:rPr>
        <w:t>key</w:t>
      </w:r>
      <w:r w:rsidR="004D44D1" w:rsidRPr="00FB2623">
        <w:rPr>
          <w:sz w:val="24"/>
        </w:rPr>
        <w:t xml:space="preserve"> financial targets:</w:t>
      </w:r>
    </w:p>
    <w:p w:rsidR="00116E94" w:rsidRPr="00FB2623" w:rsidRDefault="00116E94" w:rsidP="00137952">
      <w:pPr>
        <w:jc w:val="both"/>
        <w:rPr>
          <w:rFonts w:cs="Tahoma"/>
          <w:b/>
          <w:bCs/>
          <w:sz w:val="24"/>
        </w:rPr>
      </w:pPr>
    </w:p>
    <w:tbl>
      <w:tblPr>
        <w:tblW w:w="144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469"/>
        <w:gridCol w:w="1843"/>
        <w:gridCol w:w="1275"/>
        <w:gridCol w:w="1418"/>
        <w:gridCol w:w="1701"/>
        <w:gridCol w:w="1759"/>
      </w:tblGrid>
      <w:tr w:rsidR="002D1BCF" w:rsidRPr="00FB2623" w:rsidTr="002D1BCF">
        <w:trPr>
          <w:trHeight w:val="594"/>
          <w:jc w:val="center"/>
        </w:trPr>
        <w:tc>
          <w:tcPr>
            <w:tcW w:w="6469" w:type="dxa"/>
            <w:shd w:val="clear" w:color="auto" w:fill="auto"/>
          </w:tcPr>
          <w:p w:rsidR="002D1BCF" w:rsidRPr="00FB2623" w:rsidRDefault="002D1BCF" w:rsidP="002D1BCF">
            <w:pPr>
              <w:jc w:val="both"/>
              <w:rPr>
                <w:rFonts w:cs="Tahoma"/>
                <w:b/>
                <w:bCs/>
                <w:sz w:val="24"/>
              </w:rPr>
            </w:pPr>
            <w:r w:rsidRPr="00FB2623">
              <w:rPr>
                <w:rFonts w:cs="Tahoma"/>
                <w:b/>
                <w:bCs/>
                <w:sz w:val="24"/>
              </w:rPr>
              <w:t>Target</w:t>
            </w:r>
          </w:p>
        </w:tc>
        <w:tc>
          <w:tcPr>
            <w:tcW w:w="1843" w:type="dxa"/>
            <w:shd w:val="clear" w:color="auto" w:fill="auto"/>
          </w:tcPr>
          <w:p w:rsidR="002D1BCF" w:rsidRPr="00FB2623" w:rsidRDefault="002D1BCF" w:rsidP="002D1BCF">
            <w:pPr>
              <w:jc w:val="center"/>
              <w:rPr>
                <w:rFonts w:cs="Tahoma"/>
                <w:b/>
                <w:bCs/>
                <w:sz w:val="24"/>
              </w:rPr>
            </w:pPr>
            <w:r w:rsidRPr="00FB2623">
              <w:rPr>
                <w:rFonts w:cs="Tahoma"/>
                <w:b/>
                <w:bCs/>
                <w:sz w:val="24"/>
              </w:rPr>
              <w:t>Unit</w:t>
            </w:r>
          </w:p>
        </w:tc>
        <w:tc>
          <w:tcPr>
            <w:tcW w:w="1275" w:type="dxa"/>
            <w:tcBorders>
              <w:bottom w:val="single" w:sz="4" w:space="0" w:color="auto"/>
            </w:tcBorders>
            <w:shd w:val="clear" w:color="auto" w:fill="auto"/>
          </w:tcPr>
          <w:p w:rsidR="002D1BCF" w:rsidRPr="00CC1220" w:rsidRDefault="002D1BCF" w:rsidP="002D1BCF">
            <w:pPr>
              <w:jc w:val="center"/>
              <w:rPr>
                <w:rFonts w:cs="Tahoma"/>
                <w:b/>
                <w:bCs/>
                <w:sz w:val="24"/>
              </w:rPr>
            </w:pPr>
            <w:r w:rsidRPr="00CC1220">
              <w:rPr>
                <w:rFonts w:cs="Tahoma"/>
                <w:b/>
                <w:bCs/>
                <w:sz w:val="24"/>
              </w:rPr>
              <w:t>Current Month</w:t>
            </w:r>
          </w:p>
        </w:tc>
        <w:tc>
          <w:tcPr>
            <w:tcW w:w="1418" w:type="dxa"/>
            <w:tcBorders>
              <w:bottom w:val="single" w:sz="4" w:space="0" w:color="auto"/>
            </w:tcBorders>
            <w:shd w:val="clear" w:color="auto" w:fill="auto"/>
          </w:tcPr>
          <w:p w:rsidR="002D1BCF" w:rsidRPr="00CC1220" w:rsidRDefault="002D1BCF" w:rsidP="002D1BCF">
            <w:pPr>
              <w:jc w:val="center"/>
              <w:rPr>
                <w:rFonts w:cs="Tahoma"/>
                <w:b/>
                <w:bCs/>
                <w:sz w:val="24"/>
              </w:rPr>
            </w:pPr>
            <w:r w:rsidRPr="00CC1220">
              <w:rPr>
                <w:rFonts w:cs="Tahoma"/>
                <w:b/>
                <w:bCs/>
                <w:sz w:val="24"/>
              </w:rPr>
              <w:t>Year to Date</w:t>
            </w:r>
          </w:p>
        </w:tc>
        <w:tc>
          <w:tcPr>
            <w:tcW w:w="1701" w:type="dxa"/>
          </w:tcPr>
          <w:p w:rsidR="002D1BCF" w:rsidRPr="00FB2623" w:rsidRDefault="002D1BCF" w:rsidP="002D1BCF">
            <w:pPr>
              <w:jc w:val="center"/>
              <w:rPr>
                <w:rFonts w:cs="Tahoma"/>
                <w:b/>
                <w:bCs/>
                <w:sz w:val="24"/>
              </w:rPr>
            </w:pPr>
            <w:r w:rsidRPr="00FB2623">
              <w:rPr>
                <w:rFonts w:cs="Tahoma"/>
                <w:b/>
                <w:bCs/>
                <w:sz w:val="24"/>
              </w:rPr>
              <w:t>Trend</w:t>
            </w:r>
          </w:p>
        </w:tc>
        <w:tc>
          <w:tcPr>
            <w:tcW w:w="1759" w:type="dxa"/>
            <w:shd w:val="clear" w:color="auto" w:fill="auto"/>
          </w:tcPr>
          <w:p w:rsidR="002D1BCF" w:rsidRPr="00FB2623" w:rsidRDefault="002D1BCF" w:rsidP="002D1BCF">
            <w:pPr>
              <w:jc w:val="center"/>
              <w:rPr>
                <w:rFonts w:cs="Tahoma"/>
                <w:b/>
                <w:bCs/>
                <w:sz w:val="24"/>
              </w:rPr>
            </w:pPr>
            <w:r w:rsidRPr="00FB2623">
              <w:rPr>
                <w:rFonts w:cs="Tahoma"/>
                <w:b/>
                <w:bCs/>
                <w:sz w:val="24"/>
              </w:rPr>
              <w:t>Forecast Year End</w:t>
            </w:r>
          </w:p>
        </w:tc>
      </w:tr>
      <w:tr w:rsidR="009F3E70" w:rsidRPr="00FB2623" w:rsidTr="00593E3F">
        <w:trPr>
          <w:trHeight w:val="980"/>
          <w:jc w:val="center"/>
        </w:trPr>
        <w:tc>
          <w:tcPr>
            <w:tcW w:w="6469" w:type="dxa"/>
            <w:shd w:val="clear" w:color="auto" w:fill="auto"/>
          </w:tcPr>
          <w:p w:rsidR="009F3E70" w:rsidRPr="00FB2623" w:rsidRDefault="009F3E70" w:rsidP="009F3E70">
            <w:pPr>
              <w:rPr>
                <w:rFonts w:cs="Tahoma"/>
                <w:b/>
                <w:bCs/>
                <w:sz w:val="24"/>
              </w:rPr>
            </w:pPr>
            <w:r w:rsidRPr="00FB2623">
              <w:rPr>
                <w:rFonts w:cs="Tahoma"/>
                <w:b/>
                <w:bCs/>
                <w:sz w:val="24"/>
              </w:rPr>
              <w:t xml:space="preserve">Revenue </w:t>
            </w:r>
          </w:p>
          <w:p w:rsidR="009F3E70" w:rsidRPr="00FB2623" w:rsidRDefault="009F3E70" w:rsidP="009F3E70">
            <w:pPr>
              <w:rPr>
                <w:rFonts w:cs="Tahoma"/>
                <w:bCs/>
                <w:sz w:val="20"/>
                <w:szCs w:val="20"/>
              </w:rPr>
            </w:pPr>
            <w:r w:rsidRPr="00FB2623">
              <w:rPr>
                <w:rFonts w:cs="Tahoma"/>
                <w:bCs/>
                <w:sz w:val="20"/>
                <w:szCs w:val="20"/>
              </w:rPr>
              <w:t>To ensure that the Health Board’s revenue expenditure does not exceed the aggregate of it’s funding in each financial year.  Measured by variance against plan to break even.</w:t>
            </w:r>
          </w:p>
        </w:tc>
        <w:tc>
          <w:tcPr>
            <w:tcW w:w="1843" w:type="dxa"/>
            <w:shd w:val="clear" w:color="auto" w:fill="auto"/>
            <w:vAlign w:val="center"/>
          </w:tcPr>
          <w:p w:rsidR="009F3E70" w:rsidRPr="00FB2623" w:rsidRDefault="009F3E70" w:rsidP="009F3E70">
            <w:pPr>
              <w:jc w:val="center"/>
              <w:rPr>
                <w:rFonts w:cs="Tahoma"/>
                <w:bCs/>
                <w:sz w:val="20"/>
                <w:szCs w:val="20"/>
              </w:rPr>
            </w:pPr>
            <w:r w:rsidRPr="00FB2623">
              <w:rPr>
                <w:rFonts w:cs="Tahoma"/>
                <w:bCs/>
                <w:sz w:val="20"/>
                <w:szCs w:val="20"/>
              </w:rPr>
              <w:t>£’000</w:t>
            </w:r>
          </w:p>
          <w:p w:rsidR="009F3E70" w:rsidRPr="00FB2623" w:rsidRDefault="009F3E70" w:rsidP="009F3E70">
            <w:pPr>
              <w:jc w:val="center"/>
              <w:rPr>
                <w:rFonts w:cs="Tahoma"/>
                <w:bCs/>
                <w:sz w:val="20"/>
                <w:szCs w:val="20"/>
              </w:rPr>
            </w:pPr>
            <w:r w:rsidRPr="00FB2623">
              <w:rPr>
                <w:rFonts w:cs="Tahoma"/>
                <w:bCs/>
                <w:sz w:val="20"/>
                <w:szCs w:val="20"/>
              </w:rPr>
              <w:t>+Adverse</w:t>
            </w:r>
          </w:p>
          <w:p w:rsidR="009F3E70" w:rsidRPr="00FB2623" w:rsidRDefault="009F3E70" w:rsidP="009F3E70">
            <w:pPr>
              <w:jc w:val="center"/>
              <w:rPr>
                <w:rFonts w:cs="Tahoma"/>
                <w:bCs/>
                <w:sz w:val="20"/>
                <w:szCs w:val="20"/>
              </w:rPr>
            </w:pPr>
            <w:r w:rsidRPr="00FB2623">
              <w:rPr>
                <w:rFonts w:cs="Tahoma"/>
                <w:bCs/>
                <w:sz w:val="20"/>
                <w:szCs w:val="20"/>
              </w:rPr>
              <w:t>()Favourable</w:t>
            </w:r>
          </w:p>
        </w:tc>
        <w:tc>
          <w:tcPr>
            <w:tcW w:w="1275" w:type="dxa"/>
            <w:shd w:val="clear" w:color="auto" w:fill="auto"/>
            <w:vAlign w:val="center"/>
          </w:tcPr>
          <w:p w:rsidR="009F3E70" w:rsidRPr="00CC1220" w:rsidRDefault="009F3E70" w:rsidP="009F3E70">
            <w:pPr>
              <w:jc w:val="center"/>
              <w:rPr>
                <w:rFonts w:cs="Tahoma"/>
                <w:bCs/>
                <w:sz w:val="20"/>
                <w:szCs w:val="20"/>
              </w:rPr>
            </w:pPr>
            <w:r w:rsidRPr="00CC1220">
              <w:rPr>
                <w:rFonts w:cs="Tahoma"/>
                <w:bCs/>
                <w:sz w:val="20"/>
                <w:szCs w:val="20"/>
              </w:rPr>
              <w:t>(</w:t>
            </w:r>
            <w:r>
              <w:rPr>
                <w:rFonts w:cs="Tahoma"/>
                <w:bCs/>
                <w:sz w:val="20"/>
                <w:szCs w:val="20"/>
              </w:rPr>
              <w:t>305</w:t>
            </w:r>
            <w:r w:rsidRPr="00CC1220">
              <w:rPr>
                <w:rFonts w:cs="Tahoma"/>
                <w:bCs/>
                <w:sz w:val="20"/>
                <w:szCs w:val="20"/>
              </w:rPr>
              <w:t>)</w:t>
            </w:r>
          </w:p>
        </w:tc>
        <w:tc>
          <w:tcPr>
            <w:tcW w:w="1418" w:type="dxa"/>
            <w:shd w:val="clear" w:color="auto" w:fill="auto"/>
            <w:vAlign w:val="center"/>
          </w:tcPr>
          <w:p w:rsidR="009F3E70" w:rsidRPr="00CC1220" w:rsidRDefault="009F3E70" w:rsidP="009F3E70">
            <w:pPr>
              <w:jc w:val="center"/>
              <w:rPr>
                <w:rFonts w:cs="Tahoma"/>
                <w:bCs/>
                <w:sz w:val="20"/>
                <w:szCs w:val="20"/>
              </w:rPr>
            </w:pPr>
            <w:r>
              <w:rPr>
                <w:rFonts w:cs="Tahoma"/>
                <w:bCs/>
                <w:sz w:val="20"/>
                <w:szCs w:val="20"/>
              </w:rPr>
              <w:t>(1)</w:t>
            </w:r>
          </w:p>
        </w:tc>
        <w:tc>
          <w:tcPr>
            <w:tcW w:w="1701" w:type="dxa"/>
          </w:tcPr>
          <w:p w:rsidR="009F3E70" w:rsidRPr="00FB2623" w:rsidRDefault="009F3E70" w:rsidP="009F3E70">
            <w:pPr>
              <w:rPr>
                <w:rFonts w:cs="Tahoma"/>
                <w:bCs/>
                <w:sz w:val="20"/>
                <w:szCs w:val="20"/>
              </w:rPr>
            </w:pPr>
          </w:p>
        </w:tc>
        <w:tc>
          <w:tcPr>
            <w:tcW w:w="1759" w:type="dxa"/>
            <w:shd w:val="clear" w:color="auto" w:fill="92D050"/>
            <w:vAlign w:val="center"/>
          </w:tcPr>
          <w:p w:rsidR="009F3E70" w:rsidRPr="00FB2623" w:rsidRDefault="009F3E70" w:rsidP="009F3E70">
            <w:pPr>
              <w:jc w:val="center"/>
              <w:rPr>
                <w:rFonts w:cs="Tahoma"/>
                <w:b/>
                <w:bCs/>
                <w:sz w:val="20"/>
                <w:szCs w:val="20"/>
              </w:rPr>
            </w:pPr>
            <w:r w:rsidRPr="00FB2623">
              <w:rPr>
                <w:rFonts w:cs="Tahoma"/>
                <w:b/>
                <w:bCs/>
                <w:sz w:val="20"/>
                <w:szCs w:val="20"/>
              </w:rPr>
              <w:t>0</w:t>
            </w:r>
          </w:p>
        </w:tc>
      </w:tr>
      <w:tr w:rsidR="009F3E70" w:rsidRPr="00862C44" w:rsidTr="002D1BCF">
        <w:trPr>
          <w:trHeight w:val="980"/>
          <w:jc w:val="center"/>
        </w:trPr>
        <w:tc>
          <w:tcPr>
            <w:tcW w:w="6469" w:type="dxa"/>
            <w:shd w:val="clear" w:color="auto" w:fill="auto"/>
          </w:tcPr>
          <w:p w:rsidR="009F3E70" w:rsidRPr="00862C44" w:rsidRDefault="009F3E70" w:rsidP="009F3E70">
            <w:pPr>
              <w:rPr>
                <w:rFonts w:cs="Tahoma"/>
                <w:b/>
                <w:bCs/>
                <w:sz w:val="24"/>
              </w:rPr>
            </w:pPr>
            <w:r w:rsidRPr="00862C44">
              <w:rPr>
                <w:rFonts w:cs="Tahoma"/>
                <w:b/>
                <w:bCs/>
                <w:sz w:val="24"/>
              </w:rPr>
              <w:t xml:space="preserve">Capital </w:t>
            </w:r>
          </w:p>
          <w:p w:rsidR="009F3E70" w:rsidRPr="00862C44" w:rsidRDefault="009F3E70" w:rsidP="009F3E70">
            <w:pPr>
              <w:rPr>
                <w:rFonts w:cs="Tahoma"/>
                <w:bCs/>
                <w:sz w:val="20"/>
                <w:szCs w:val="20"/>
              </w:rPr>
            </w:pPr>
            <w:r w:rsidRPr="00862C44">
              <w:rPr>
                <w:rFonts w:cs="Tahoma"/>
                <w:bCs/>
                <w:sz w:val="20"/>
                <w:szCs w:val="20"/>
              </w:rPr>
              <w:t xml:space="preserve">To ensure net capital spend does not exceed the Welsh Government Capital Resource Limit.  Measured by variance against plan to manage to the Resource Limit </w:t>
            </w:r>
          </w:p>
        </w:tc>
        <w:tc>
          <w:tcPr>
            <w:tcW w:w="1843" w:type="dxa"/>
            <w:shd w:val="clear" w:color="auto" w:fill="auto"/>
            <w:vAlign w:val="center"/>
          </w:tcPr>
          <w:p w:rsidR="009F3E70" w:rsidRPr="00862C44" w:rsidRDefault="009F3E70" w:rsidP="009F3E70">
            <w:pPr>
              <w:jc w:val="center"/>
              <w:rPr>
                <w:rFonts w:cs="Tahoma"/>
                <w:bCs/>
                <w:sz w:val="20"/>
                <w:szCs w:val="20"/>
              </w:rPr>
            </w:pPr>
            <w:r w:rsidRPr="00862C44">
              <w:rPr>
                <w:rFonts w:cs="Tahoma"/>
                <w:bCs/>
                <w:sz w:val="20"/>
                <w:szCs w:val="20"/>
              </w:rPr>
              <w:t>£’000</w:t>
            </w:r>
          </w:p>
          <w:p w:rsidR="009F3E70" w:rsidRPr="00862C44" w:rsidRDefault="009F3E70" w:rsidP="009F3E70">
            <w:pPr>
              <w:jc w:val="center"/>
              <w:rPr>
                <w:rFonts w:cs="Tahoma"/>
                <w:bCs/>
                <w:sz w:val="20"/>
                <w:szCs w:val="20"/>
              </w:rPr>
            </w:pPr>
            <w:r w:rsidRPr="00862C44">
              <w:rPr>
                <w:rFonts w:cs="Tahoma"/>
                <w:bCs/>
                <w:sz w:val="20"/>
                <w:szCs w:val="20"/>
              </w:rPr>
              <w:t>+Adverse</w:t>
            </w:r>
          </w:p>
          <w:p w:rsidR="009F3E70" w:rsidRPr="00862C44" w:rsidRDefault="009F3E70" w:rsidP="009F3E70">
            <w:pPr>
              <w:jc w:val="center"/>
              <w:rPr>
                <w:rFonts w:cs="Tahoma"/>
                <w:bCs/>
                <w:sz w:val="20"/>
                <w:szCs w:val="20"/>
              </w:rPr>
            </w:pPr>
            <w:r w:rsidRPr="00862C44">
              <w:rPr>
                <w:rFonts w:cs="Tahoma"/>
                <w:bCs/>
                <w:sz w:val="20"/>
                <w:szCs w:val="20"/>
              </w:rPr>
              <w:t>()Favourable</w:t>
            </w:r>
          </w:p>
        </w:tc>
        <w:tc>
          <w:tcPr>
            <w:tcW w:w="1275" w:type="dxa"/>
            <w:shd w:val="clear" w:color="auto" w:fill="auto"/>
            <w:vAlign w:val="center"/>
          </w:tcPr>
          <w:p w:rsidR="009F3E70" w:rsidRPr="008C5284" w:rsidRDefault="009F3E70" w:rsidP="009F3E70">
            <w:pPr>
              <w:jc w:val="center"/>
              <w:rPr>
                <w:rFonts w:cs="Tahoma"/>
                <w:bCs/>
                <w:sz w:val="20"/>
                <w:szCs w:val="20"/>
              </w:rPr>
            </w:pPr>
            <w:r w:rsidRPr="008C5284">
              <w:rPr>
                <w:rFonts w:cs="Tahoma"/>
                <w:bCs/>
                <w:sz w:val="20"/>
                <w:szCs w:val="20"/>
              </w:rPr>
              <w:t>(916)</w:t>
            </w:r>
          </w:p>
        </w:tc>
        <w:tc>
          <w:tcPr>
            <w:tcW w:w="1418" w:type="dxa"/>
            <w:shd w:val="clear" w:color="auto" w:fill="auto"/>
            <w:vAlign w:val="center"/>
          </w:tcPr>
          <w:p w:rsidR="009F3E70" w:rsidRPr="008C5284" w:rsidRDefault="009F3E70" w:rsidP="009F3E70">
            <w:pPr>
              <w:jc w:val="center"/>
              <w:rPr>
                <w:rFonts w:cs="Tahoma"/>
                <w:bCs/>
                <w:sz w:val="20"/>
                <w:szCs w:val="20"/>
              </w:rPr>
            </w:pPr>
            <w:r w:rsidRPr="008C5284">
              <w:rPr>
                <w:rFonts w:cs="Tahoma"/>
                <w:bCs/>
                <w:sz w:val="20"/>
                <w:szCs w:val="20"/>
              </w:rPr>
              <w:t>(1,899)</w:t>
            </w:r>
          </w:p>
        </w:tc>
        <w:tc>
          <w:tcPr>
            <w:tcW w:w="1701" w:type="dxa"/>
          </w:tcPr>
          <w:p w:rsidR="009F3E70" w:rsidRPr="00862C44" w:rsidRDefault="009F3E70" w:rsidP="009F3E70">
            <w:pPr>
              <w:rPr>
                <w:rFonts w:cs="Tahoma"/>
                <w:bCs/>
                <w:sz w:val="20"/>
                <w:szCs w:val="20"/>
              </w:rPr>
            </w:pPr>
            <w:r w:rsidRPr="00862C44">
              <w:rPr>
                <w:rFonts w:cs="Tahoma"/>
                <w:bCs/>
                <w:noProof/>
                <w:sz w:val="20"/>
                <w:szCs w:val="20"/>
                <w:lang w:eastAsia="en-GB"/>
              </w:rPr>
              <mc:AlternateContent>
                <mc:Choice Requires="wps">
                  <w:drawing>
                    <wp:anchor distT="0" distB="0" distL="114300" distR="114300" simplePos="0" relativeHeight="251826176" behindDoc="0" locked="0" layoutInCell="1" allowOverlap="1" wp14:anchorId="5A77D8FA" wp14:editId="42CBD04D">
                      <wp:simplePos x="0" y="0"/>
                      <wp:positionH relativeFrom="column">
                        <wp:posOffset>334949</wp:posOffset>
                      </wp:positionH>
                      <wp:positionV relativeFrom="paragraph">
                        <wp:posOffset>69740</wp:posOffset>
                      </wp:positionV>
                      <wp:extent cx="272955" cy="498144"/>
                      <wp:effectExtent l="19050" t="19050" r="32385" b="16510"/>
                      <wp:wrapNone/>
                      <wp:docPr id="10" name="Up Arrow 10"/>
                      <wp:cNvGraphicFramePr/>
                      <a:graphic xmlns:a="http://schemas.openxmlformats.org/drawingml/2006/main">
                        <a:graphicData uri="http://schemas.microsoft.com/office/word/2010/wordprocessingShape">
                          <wps:wsp>
                            <wps:cNvSpPr/>
                            <wps:spPr>
                              <a:xfrm>
                                <a:off x="0" y="0"/>
                                <a:ext cx="272955" cy="498144"/>
                              </a:xfrm>
                              <a:prstGeom prst="upArrow">
                                <a:avLst/>
                              </a:prstGeom>
                              <a:solidFill>
                                <a:srgbClr val="92D050"/>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1EC01F2C"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10" o:spid="_x0000_s1026" type="#_x0000_t68" style="position:absolute;margin-left:26.35pt;margin-top:5.5pt;width:21.5pt;height:39.2pt;z-index:2518261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" adj="5918" fillcolor="#92d050" strokecolor="windowText" strokeweight="2pt"/>
                  </w:pict>
                </mc:Fallback>
              </mc:AlternateContent>
            </w:r>
            <w:r w:rsidRPr="00862C44">
              <w:rPr>
                <w:rFonts w:cs="Tahoma"/>
                <w:bCs/>
                <w:noProof/>
                <w:sz w:val="20"/>
                <w:szCs w:val="20"/>
                <w:lang w:eastAsia="en-GB"/>
              </w:rPr>
              <mc:AlternateContent>
                <mc:Choice Requires="wps">
                  <w:drawing>
                    <wp:anchor distT="0" distB="0" distL="114300" distR="114300" simplePos="0" relativeHeight="251827200" behindDoc="0" locked="0" layoutInCell="1" allowOverlap="1" wp14:anchorId="2002FFE1" wp14:editId="2E1F0F6A">
                      <wp:simplePos x="0" y="0"/>
                      <wp:positionH relativeFrom="column">
                        <wp:posOffset>319073</wp:posOffset>
                      </wp:positionH>
                      <wp:positionV relativeFrom="paragraph">
                        <wp:posOffset>-605238</wp:posOffset>
                      </wp:positionV>
                      <wp:extent cx="272955" cy="498144"/>
                      <wp:effectExtent l="19050" t="19050" r="32385" b="16510"/>
                      <wp:wrapNone/>
                      <wp:docPr id="3" name="Up Arrow 3"/>
                      <wp:cNvGraphicFramePr/>
                      <a:graphic xmlns:a="http://schemas.openxmlformats.org/drawingml/2006/main">
                        <a:graphicData uri="http://schemas.microsoft.com/office/word/2010/wordprocessingShape">
                          <wps:wsp>
                            <wps:cNvSpPr/>
                            <wps:spPr>
                              <a:xfrm>
                                <a:off x="0" y="0"/>
                                <a:ext cx="272955" cy="498144"/>
                              </a:xfrm>
                              <a:prstGeom prst="upArrow">
                                <a:avLst/>
                              </a:prstGeom>
                              <a:solidFill>
                                <a:srgbClr val="92D050"/>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9530556" id="Up Arrow 3" o:spid="_x0000_s1026" type="#_x0000_t68" style="position:absolute;margin-left:25.1pt;margin-top:-47.65pt;width:21.5pt;height:39.2pt;z-index:2518272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" adj="5918" fillcolor="#92d050" strokecolor="windowText" strokeweight="2pt"/>
                  </w:pict>
                </mc:Fallback>
              </mc:AlternateContent>
            </w:r>
          </w:p>
        </w:tc>
        <w:tc>
          <w:tcPr>
            <w:tcW w:w="1759" w:type="dxa"/>
            <w:tcBorders>
              <w:bottom w:val="single" w:sz="4" w:space="0" w:color="auto"/>
            </w:tcBorders>
            <w:shd w:val="clear" w:color="auto" w:fill="92D050"/>
            <w:vAlign w:val="center"/>
          </w:tcPr>
          <w:p w:rsidR="009F3E70" w:rsidRPr="00862C44" w:rsidRDefault="009F3E70" w:rsidP="009F3E70">
            <w:pPr>
              <w:jc w:val="center"/>
              <w:rPr>
                <w:rFonts w:cs="Tahoma"/>
                <w:b/>
                <w:bCs/>
                <w:sz w:val="20"/>
                <w:szCs w:val="20"/>
              </w:rPr>
            </w:pPr>
            <w:r w:rsidRPr="00862C44">
              <w:rPr>
                <w:rFonts w:cs="Tahoma"/>
                <w:b/>
                <w:bCs/>
                <w:sz w:val="20"/>
                <w:szCs w:val="20"/>
              </w:rPr>
              <w:t>0</w:t>
            </w:r>
          </w:p>
        </w:tc>
      </w:tr>
      <w:tr w:rsidR="009F3E70" w:rsidRPr="00FB2623" w:rsidTr="002D1BCF">
        <w:trPr>
          <w:trHeight w:val="980"/>
          <w:jc w:val="center"/>
        </w:trPr>
        <w:tc>
          <w:tcPr>
            <w:tcW w:w="6469" w:type="dxa"/>
            <w:shd w:val="clear" w:color="auto" w:fill="auto"/>
          </w:tcPr>
          <w:p w:rsidR="009F3E70" w:rsidRPr="00862C44" w:rsidRDefault="009F3E70" w:rsidP="009F3E70">
            <w:pPr>
              <w:rPr>
                <w:rFonts w:cs="Tahoma"/>
                <w:bCs/>
                <w:sz w:val="24"/>
              </w:rPr>
            </w:pPr>
            <w:r w:rsidRPr="00862C44">
              <w:rPr>
                <w:rFonts w:cs="Tahoma"/>
                <w:b/>
                <w:bCs/>
                <w:sz w:val="24"/>
              </w:rPr>
              <w:t>Public Sector Payment Policy</w:t>
            </w:r>
            <w:r w:rsidRPr="00862C44">
              <w:rPr>
                <w:rFonts w:cs="Tahoma"/>
                <w:bCs/>
                <w:sz w:val="24"/>
              </w:rPr>
              <w:t xml:space="preserve"> </w:t>
            </w:r>
          </w:p>
          <w:p w:rsidR="009F3E70" w:rsidRPr="00862C44" w:rsidRDefault="009F3E70" w:rsidP="009F3E70">
            <w:pPr>
              <w:rPr>
                <w:rFonts w:cs="Tahoma"/>
                <w:bCs/>
                <w:sz w:val="20"/>
                <w:szCs w:val="20"/>
              </w:rPr>
            </w:pPr>
            <w:r w:rsidRPr="00862C44">
              <w:rPr>
                <w:rFonts w:cs="Tahoma"/>
                <w:bCs/>
                <w:sz w:val="20"/>
                <w:szCs w:val="20"/>
              </w:rPr>
              <w:t>To pay a minimum of 95% of all Non NHS invoices within 30 days.  Measured by actual performance</w:t>
            </w:r>
          </w:p>
        </w:tc>
        <w:tc>
          <w:tcPr>
            <w:tcW w:w="1843" w:type="dxa"/>
            <w:shd w:val="clear" w:color="auto" w:fill="auto"/>
            <w:vAlign w:val="center"/>
          </w:tcPr>
          <w:p w:rsidR="009F3E70" w:rsidRPr="00862C44" w:rsidRDefault="009F3E70" w:rsidP="009F3E70">
            <w:pPr>
              <w:jc w:val="center"/>
              <w:rPr>
                <w:rFonts w:cs="Tahoma"/>
                <w:bCs/>
                <w:sz w:val="20"/>
                <w:szCs w:val="20"/>
              </w:rPr>
            </w:pPr>
            <w:r w:rsidRPr="00862C44">
              <w:rPr>
                <w:rFonts w:cs="Tahoma"/>
                <w:bCs/>
                <w:sz w:val="20"/>
                <w:szCs w:val="20"/>
              </w:rPr>
              <w:t>%</w:t>
            </w:r>
          </w:p>
        </w:tc>
        <w:tc>
          <w:tcPr>
            <w:tcW w:w="1275" w:type="dxa"/>
            <w:shd w:val="clear" w:color="auto" w:fill="auto"/>
            <w:vAlign w:val="center"/>
          </w:tcPr>
          <w:p w:rsidR="009F3E70" w:rsidRPr="003062F4" w:rsidRDefault="009F3E70" w:rsidP="009F3E70">
            <w:pPr>
              <w:jc w:val="center"/>
              <w:rPr>
                <w:rFonts w:cs="Tahoma"/>
                <w:bCs/>
                <w:sz w:val="20"/>
                <w:szCs w:val="20"/>
              </w:rPr>
            </w:pPr>
            <w:r w:rsidRPr="003062F4">
              <w:rPr>
                <w:rFonts w:cs="Tahoma"/>
                <w:bCs/>
                <w:sz w:val="20"/>
                <w:szCs w:val="20"/>
              </w:rPr>
              <w:t>89.0%</w:t>
            </w:r>
          </w:p>
        </w:tc>
        <w:tc>
          <w:tcPr>
            <w:tcW w:w="1418" w:type="dxa"/>
            <w:shd w:val="clear" w:color="auto" w:fill="auto"/>
            <w:vAlign w:val="center"/>
          </w:tcPr>
          <w:p w:rsidR="009F3E70" w:rsidRPr="003062F4" w:rsidRDefault="009F3E70" w:rsidP="009F3E70">
            <w:pPr>
              <w:jc w:val="center"/>
              <w:rPr>
                <w:rFonts w:cs="Tahoma"/>
                <w:bCs/>
                <w:sz w:val="20"/>
                <w:szCs w:val="20"/>
              </w:rPr>
            </w:pPr>
            <w:r w:rsidRPr="003062F4">
              <w:rPr>
                <w:rFonts w:cs="Tahoma"/>
                <w:bCs/>
                <w:sz w:val="20"/>
                <w:szCs w:val="20"/>
              </w:rPr>
              <w:t>95.2%</w:t>
            </w:r>
          </w:p>
        </w:tc>
        <w:tc>
          <w:tcPr>
            <w:tcW w:w="1701" w:type="dxa"/>
          </w:tcPr>
          <w:p w:rsidR="009F3E70" w:rsidRPr="00862C44" w:rsidRDefault="009F3E70" w:rsidP="009F3E70">
            <w:pPr>
              <w:rPr>
                <w:rFonts w:cs="Tahoma"/>
                <w:bCs/>
                <w:sz w:val="20"/>
                <w:szCs w:val="20"/>
              </w:rPr>
            </w:pPr>
            <w:r w:rsidRPr="00862C44">
              <w:rPr>
                <w:rFonts w:cs="Tahoma"/>
                <w:bCs/>
                <w:noProof/>
                <w:sz w:val="20"/>
                <w:szCs w:val="20"/>
                <w:lang w:eastAsia="en-GB"/>
              </w:rPr>
              <mc:AlternateContent>
                <mc:Choice Requires="wps">
                  <w:drawing>
                    <wp:anchor distT="0" distB="0" distL="114300" distR="114300" simplePos="0" relativeHeight="251825152" behindDoc="0" locked="0" layoutInCell="1" allowOverlap="1" wp14:anchorId="789F2394" wp14:editId="0C24EF50">
                      <wp:simplePos x="0" y="0"/>
                      <wp:positionH relativeFrom="column">
                        <wp:posOffset>336550</wp:posOffset>
                      </wp:positionH>
                      <wp:positionV relativeFrom="paragraph">
                        <wp:posOffset>94201</wp:posOffset>
                      </wp:positionV>
                      <wp:extent cx="272955" cy="498144"/>
                      <wp:effectExtent l="19050" t="0" r="13335" b="35560"/>
                      <wp:wrapNone/>
                      <wp:docPr id="36" name="Up Arrow 36"/>
                      <wp:cNvGraphicFramePr/>
                      <a:graphic xmlns:a="http://schemas.openxmlformats.org/drawingml/2006/main">
                        <a:graphicData uri="http://schemas.microsoft.com/office/word/2010/wordprocessingShape">
                          <wps:wsp>
                            <wps:cNvSpPr/>
                            <wps:spPr>
                              <a:xfrm rot="10800000">
                                <a:off x="0" y="0"/>
                                <a:ext cx="272955" cy="498144"/>
                              </a:xfrm>
                              <a:prstGeom prst="upArrow">
                                <a:avLst/>
                              </a:prstGeom>
                              <a:solidFill>
                                <a:srgbClr val="FF00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ABF4075" id="Up Arrow 36" o:spid="_x0000_s1026" type="#_x0000_t68" style="position:absolute;margin-left:26.5pt;margin-top:7.4pt;width:21.5pt;height:39.2pt;rotation:180;z-index:2518251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" adj="5918" fillcolor="red" strokecolor="black [3213]" strokeweight="2pt"/>
                  </w:pict>
                </mc:Fallback>
              </mc:AlternateContent>
            </w:r>
          </w:p>
        </w:tc>
        <w:tc>
          <w:tcPr>
            <w:tcW w:w="1759" w:type="dxa"/>
            <w:shd w:val="clear" w:color="auto" w:fill="92D050"/>
            <w:vAlign w:val="center"/>
          </w:tcPr>
          <w:p w:rsidR="009F3E70" w:rsidRPr="00FB2623" w:rsidRDefault="009F3E70" w:rsidP="009F3E70">
            <w:pPr>
              <w:jc w:val="center"/>
              <w:rPr>
                <w:rFonts w:cs="Tahoma"/>
                <w:b/>
                <w:bCs/>
                <w:sz w:val="20"/>
                <w:szCs w:val="20"/>
              </w:rPr>
            </w:pPr>
            <w:r w:rsidRPr="00862C44">
              <w:rPr>
                <w:rFonts w:cs="Tahoma"/>
                <w:b/>
                <w:bCs/>
                <w:sz w:val="20"/>
                <w:szCs w:val="20"/>
              </w:rPr>
              <w:t>&gt;95</w:t>
            </w:r>
          </w:p>
        </w:tc>
      </w:tr>
    </w:tbl>
    <w:p w:rsidR="00303026" w:rsidRPr="00FB2623" w:rsidRDefault="00303026" w:rsidP="00303026">
      <w:pPr>
        <w:ind w:left="720"/>
        <w:jc w:val="both"/>
        <w:rPr>
          <w:rFonts w:cs="Tahoma"/>
          <w:b/>
          <w:bCs/>
          <w:sz w:val="20"/>
          <w:szCs w:val="20"/>
        </w:rPr>
      </w:pPr>
    </w:p>
    <w:p w:rsidR="00FB2623" w:rsidRPr="00D519B9" w:rsidRDefault="00FB2623" w:rsidP="00FB2623">
      <w:pPr>
        <w:ind w:left="709" w:right="536" w:hanging="709"/>
        <w:jc w:val="both"/>
        <w:rPr>
          <w:sz w:val="24"/>
        </w:rPr>
      </w:pPr>
      <w:r w:rsidRPr="00FB2623">
        <w:rPr>
          <w:rFonts w:cs="Tahoma"/>
          <w:b/>
          <w:bCs/>
          <w:sz w:val="24"/>
        </w:rPr>
        <w:tab/>
      </w:r>
    </w:p>
    <w:p w:rsidR="00AA3B56" w:rsidRPr="00D519B9" w:rsidRDefault="00AA3B56">
      <w:pPr>
        <w:rPr>
          <w:sz w:val="24"/>
        </w:rPr>
      </w:pPr>
      <w:r w:rsidRPr="00D519B9">
        <w:rPr>
          <w:sz w:val="24"/>
        </w:rPr>
        <w:br w:type="page"/>
      </w:r>
    </w:p>
    <w:p w:rsidR="00D83E3D" w:rsidRDefault="00D83E3D" w:rsidP="006616E8">
      <w:pPr>
        <w:pStyle w:val="ListParagraph"/>
        <w:numPr>
          <w:ilvl w:val="1"/>
          <w:numId w:val="34"/>
        </w:numPr>
        <w:jc w:val="both"/>
        <w:rPr>
          <w:rFonts w:cs="Tahoma"/>
          <w:b/>
          <w:bCs/>
          <w:sz w:val="24"/>
        </w:rPr>
      </w:pPr>
      <w:r w:rsidRPr="00BF0FEA">
        <w:rPr>
          <w:rFonts w:cs="Tahoma"/>
          <w:b/>
          <w:bCs/>
          <w:sz w:val="24"/>
        </w:rPr>
        <w:t>Revenue Performance by Expenditure Category</w:t>
      </w:r>
    </w:p>
    <w:p w:rsidR="0094192E" w:rsidRDefault="0094192E" w:rsidP="0094192E">
      <w:pPr>
        <w:pStyle w:val="ListParagraph"/>
        <w:jc w:val="both"/>
        <w:rPr>
          <w:rFonts w:cs="Tahoma"/>
          <w:b/>
          <w:bCs/>
          <w:sz w:val="24"/>
        </w:rPr>
      </w:pPr>
    </w:p>
    <w:tbl>
      <w:tblPr>
        <w:tblpPr w:leftFromText="180" w:rightFromText="180" w:vertAnchor="text" w:horzAnchor="margin" w:tblpXSpec="center" w:tblpY="-22"/>
        <w:tblW w:w="13893" w:type="dxa"/>
        <w:tblLook w:val="04A0" w:firstRow="1" w:lastRow="0" w:firstColumn="1" w:lastColumn="0" w:noHBand="0" w:noVBand="1"/>
      </w:tblPr>
      <w:tblGrid>
        <w:gridCol w:w="4017"/>
        <w:gridCol w:w="1434"/>
        <w:gridCol w:w="1521"/>
        <w:gridCol w:w="1662"/>
        <w:gridCol w:w="1510"/>
        <w:gridCol w:w="2120"/>
        <w:gridCol w:w="1629"/>
      </w:tblGrid>
      <w:tr w:rsidR="0094192E" w:rsidRPr="00F70F99" w:rsidTr="0094192E">
        <w:trPr>
          <w:trHeight w:val="386"/>
        </w:trPr>
        <w:tc>
          <w:tcPr>
            <w:tcW w:w="4017" w:type="dxa"/>
            <w:vMerge w:val="restart"/>
            <w:tcBorders>
              <w:top w:val="single" w:sz="8" w:space="0" w:color="auto"/>
              <w:left w:val="single" w:sz="8" w:space="0" w:color="auto"/>
              <w:bottom w:val="nil"/>
              <w:right w:val="single" w:sz="8" w:space="0" w:color="auto"/>
            </w:tcBorders>
            <w:vAlign w:val="center"/>
          </w:tcPr>
          <w:p w:rsidR="0094192E" w:rsidRPr="00BF0FEA" w:rsidRDefault="0094192E" w:rsidP="0094192E">
            <w:pPr>
              <w:rPr>
                <w:b/>
                <w:bCs/>
                <w:color w:val="000000"/>
                <w:sz w:val="20"/>
                <w:szCs w:val="20"/>
                <w:lang w:eastAsia="en-GB"/>
              </w:rPr>
            </w:pPr>
          </w:p>
        </w:tc>
        <w:tc>
          <w:tcPr>
            <w:tcW w:w="1434" w:type="dxa"/>
            <w:vMerge w:val="restart"/>
            <w:tcBorders>
              <w:top w:val="single" w:sz="8" w:space="0" w:color="auto"/>
              <w:left w:val="nil"/>
              <w:right w:val="single" w:sz="8" w:space="0" w:color="auto"/>
            </w:tcBorders>
            <w:shd w:val="clear" w:color="auto" w:fill="auto"/>
            <w:vAlign w:val="center"/>
          </w:tcPr>
          <w:p w:rsidR="0094192E" w:rsidRPr="00236B40" w:rsidRDefault="0094192E" w:rsidP="0094192E">
            <w:pPr>
              <w:jc w:val="center"/>
              <w:rPr>
                <w:color w:val="000000"/>
                <w:sz w:val="20"/>
                <w:szCs w:val="20"/>
                <w:lang w:eastAsia="en-GB"/>
              </w:rPr>
            </w:pPr>
            <w:r w:rsidRPr="00236B40">
              <w:rPr>
                <w:color w:val="000000"/>
                <w:sz w:val="20"/>
                <w:szCs w:val="20"/>
                <w:lang w:eastAsia="en-GB"/>
              </w:rPr>
              <w:t>Annual Budget</w:t>
            </w:r>
          </w:p>
        </w:tc>
        <w:tc>
          <w:tcPr>
            <w:tcW w:w="6813" w:type="dxa"/>
            <w:gridSpan w:val="4"/>
            <w:tcBorders>
              <w:top w:val="single" w:sz="4" w:space="0" w:color="auto"/>
              <w:left w:val="single" w:sz="8" w:space="0" w:color="auto"/>
              <w:bottom w:val="single" w:sz="4" w:space="0" w:color="auto"/>
              <w:right w:val="single" w:sz="4" w:space="0" w:color="auto"/>
            </w:tcBorders>
            <w:shd w:val="clear" w:color="auto" w:fill="auto"/>
            <w:vAlign w:val="center"/>
          </w:tcPr>
          <w:p w:rsidR="0094192E" w:rsidRPr="00236B40" w:rsidRDefault="0094192E" w:rsidP="0094192E">
            <w:pPr>
              <w:jc w:val="center"/>
              <w:rPr>
                <w:b/>
                <w:bCs/>
                <w:color w:val="000000"/>
                <w:sz w:val="20"/>
                <w:szCs w:val="20"/>
                <w:lang w:val="en-US"/>
              </w:rPr>
            </w:pPr>
            <w:r w:rsidRPr="00236B40">
              <w:rPr>
                <w:b/>
                <w:bCs/>
                <w:color w:val="000000"/>
                <w:sz w:val="20"/>
                <w:szCs w:val="20"/>
                <w:lang w:val="en-US"/>
              </w:rPr>
              <w:t>Over/(Under) Spend</w:t>
            </w:r>
          </w:p>
        </w:tc>
        <w:tc>
          <w:tcPr>
            <w:tcW w:w="1629" w:type="dxa"/>
            <w:vMerge w:val="restart"/>
            <w:tcBorders>
              <w:top w:val="single" w:sz="8" w:space="0" w:color="auto"/>
              <w:left w:val="single" w:sz="4" w:space="0" w:color="auto"/>
              <w:bottom w:val="single" w:sz="8" w:space="0" w:color="auto"/>
              <w:right w:val="single" w:sz="8" w:space="0" w:color="000000"/>
            </w:tcBorders>
          </w:tcPr>
          <w:p w:rsidR="0094192E" w:rsidRPr="00F70F99" w:rsidRDefault="0094192E" w:rsidP="0094192E">
            <w:pPr>
              <w:jc w:val="center"/>
              <w:rPr>
                <w:b/>
                <w:bCs/>
                <w:color w:val="000000"/>
                <w:sz w:val="20"/>
                <w:szCs w:val="20"/>
                <w:lang w:val="en-US"/>
              </w:rPr>
            </w:pPr>
          </w:p>
          <w:p w:rsidR="0094192E" w:rsidRPr="00F70F99" w:rsidRDefault="0094192E" w:rsidP="0094192E">
            <w:pPr>
              <w:jc w:val="center"/>
              <w:rPr>
                <w:b/>
                <w:bCs/>
                <w:color w:val="000000"/>
                <w:sz w:val="20"/>
                <w:szCs w:val="20"/>
                <w:lang w:val="en-US"/>
              </w:rPr>
            </w:pPr>
          </w:p>
          <w:p w:rsidR="0094192E" w:rsidRPr="00F70F99" w:rsidRDefault="0094192E" w:rsidP="0094192E">
            <w:pPr>
              <w:jc w:val="center"/>
              <w:rPr>
                <w:b/>
                <w:bCs/>
                <w:color w:val="000000"/>
                <w:sz w:val="20"/>
                <w:szCs w:val="20"/>
                <w:lang w:val="en-US"/>
              </w:rPr>
            </w:pPr>
            <w:r w:rsidRPr="00F70F99">
              <w:rPr>
                <w:b/>
                <w:bCs/>
                <w:color w:val="000000"/>
                <w:sz w:val="20"/>
                <w:szCs w:val="20"/>
                <w:lang w:val="en-US"/>
              </w:rPr>
              <w:t>Section</w:t>
            </w:r>
          </w:p>
        </w:tc>
      </w:tr>
      <w:tr w:rsidR="0094192E" w:rsidRPr="00F70F99" w:rsidTr="0094192E">
        <w:trPr>
          <w:trHeight w:val="510"/>
        </w:trPr>
        <w:tc>
          <w:tcPr>
            <w:tcW w:w="4017" w:type="dxa"/>
            <w:vMerge/>
            <w:tcBorders>
              <w:top w:val="single" w:sz="8" w:space="0" w:color="auto"/>
              <w:left w:val="single" w:sz="8" w:space="0" w:color="auto"/>
              <w:bottom w:val="nil"/>
              <w:right w:val="single" w:sz="8" w:space="0" w:color="auto"/>
            </w:tcBorders>
            <w:vAlign w:val="center"/>
            <w:hideMark/>
          </w:tcPr>
          <w:p w:rsidR="0094192E" w:rsidRPr="00F70F99" w:rsidRDefault="0094192E" w:rsidP="0094192E">
            <w:pPr>
              <w:rPr>
                <w:b/>
                <w:bCs/>
                <w:color w:val="000000"/>
                <w:sz w:val="20"/>
                <w:szCs w:val="20"/>
                <w:lang w:eastAsia="en-GB"/>
              </w:rPr>
            </w:pPr>
          </w:p>
        </w:tc>
        <w:tc>
          <w:tcPr>
            <w:tcW w:w="1434" w:type="dxa"/>
            <w:vMerge/>
            <w:tcBorders>
              <w:left w:val="nil"/>
              <w:bottom w:val="nil"/>
              <w:right w:val="single" w:sz="8" w:space="0" w:color="auto"/>
            </w:tcBorders>
            <w:shd w:val="clear" w:color="auto" w:fill="auto"/>
            <w:vAlign w:val="center"/>
            <w:hideMark/>
          </w:tcPr>
          <w:p w:rsidR="0094192E" w:rsidRPr="00236B40" w:rsidRDefault="0094192E" w:rsidP="0094192E">
            <w:pPr>
              <w:jc w:val="center"/>
              <w:rPr>
                <w:color w:val="000000"/>
                <w:sz w:val="20"/>
                <w:szCs w:val="20"/>
                <w:lang w:eastAsia="en-GB"/>
              </w:rPr>
            </w:pPr>
          </w:p>
        </w:tc>
        <w:tc>
          <w:tcPr>
            <w:tcW w:w="1521" w:type="dxa"/>
            <w:tcBorders>
              <w:top w:val="single" w:sz="4" w:space="0" w:color="auto"/>
              <w:left w:val="nil"/>
              <w:bottom w:val="nil"/>
              <w:right w:val="nil"/>
            </w:tcBorders>
            <w:shd w:val="clear" w:color="auto" w:fill="auto"/>
            <w:vAlign w:val="center"/>
            <w:hideMark/>
          </w:tcPr>
          <w:p w:rsidR="0094192E" w:rsidRPr="00236B40" w:rsidRDefault="0094192E" w:rsidP="0094192E">
            <w:pPr>
              <w:jc w:val="center"/>
              <w:rPr>
                <w:color w:val="000000"/>
                <w:sz w:val="20"/>
                <w:szCs w:val="20"/>
                <w:lang w:eastAsia="en-GB"/>
              </w:rPr>
            </w:pPr>
            <w:r w:rsidRPr="00236B40">
              <w:rPr>
                <w:color w:val="000000"/>
                <w:sz w:val="20"/>
                <w:szCs w:val="20"/>
                <w:lang w:eastAsia="en-GB"/>
              </w:rPr>
              <w:t>Current Month</w:t>
            </w:r>
          </w:p>
        </w:tc>
        <w:tc>
          <w:tcPr>
            <w:tcW w:w="1662" w:type="dxa"/>
            <w:tcBorders>
              <w:top w:val="single" w:sz="4" w:space="0" w:color="auto"/>
              <w:left w:val="single" w:sz="4" w:space="0" w:color="auto"/>
              <w:bottom w:val="nil"/>
              <w:right w:val="single" w:sz="4" w:space="0" w:color="auto"/>
            </w:tcBorders>
            <w:shd w:val="clear" w:color="auto" w:fill="auto"/>
            <w:vAlign w:val="center"/>
            <w:hideMark/>
          </w:tcPr>
          <w:p w:rsidR="0094192E" w:rsidRPr="00236B40" w:rsidRDefault="0094192E" w:rsidP="0094192E">
            <w:pPr>
              <w:jc w:val="center"/>
              <w:rPr>
                <w:color w:val="000000"/>
                <w:sz w:val="20"/>
                <w:szCs w:val="20"/>
                <w:lang w:eastAsia="en-GB"/>
              </w:rPr>
            </w:pPr>
            <w:r w:rsidRPr="00236B40">
              <w:rPr>
                <w:color w:val="000000"/>
                <w:sz w:val="20"/>
                <w:szCs w:val="20"/>
                <w:lang w:eastAsia="en-GB"/>
              </w:rPr>
              <w:t>Year to Date</w:t>
            </w:r>
          </w:p>
        </w:tc>
        <w:tc>
          <w:tcPr>
            <w:tcW w:w="1510" w:type="dxa"/>
            <w:tcBorders>
              <w:top w:val="single" w:sz="4" w:space="0" w:color="auto"/>
              <w:left w:val="nil"/>
              <w:bottom w:val="nil"/>
              <w:right w:val="single" w:sz="8" w:space="0" w:color="auto"/>
            </w:tcBorders>
            <w:shd w:val="clear" w:color="auto" w:fill="auto"/>
            <w:vAlign w:val="center"/>
            <w:hideMark/>
          </w:tcPr>
          <w:p w:rsidR="0094192E" w:rsidRPr="00402CA4" w:rsidRDefault="0094192E" w:rsidP="0094192E">
            <w:pPr>
              <w:jc w:val="center"/>
              <w:rPr>
                <w:color w:val="000000"/>
                <w:sz w:val="20"/>
                <w:szCs w:val="20"/>
                <w:lang w:eastAsia="en-GB"/>
              </w:rPr>
            </w:pPr>
            <w:r w:rsidRPr="00402CA4">
              <w:rPr>
                <w:color w:val="000000"/>
                <w:sz w:val="20"/>
                <w:szCs w:val="20"/>
                <w:lang w:eastAsia="en-GB"/>
              </w:rPr>
              <w:t>Forecast</w:t>
            </w:r>
          </w:p>
        </w:tc>
        <w:tc>
          <w:tcPr>
            <w:tcW w:w="2120" w:type="dxa"/>
            <w:tcBorders>
              <w:top w:val="single" w:sz="4" w:space="0" w:color="auto"/>
              <w:left w:val="single" w:sz="4" w:space="0" w:color="auto"/>
              <w:bottom w:val="nil"/>
              <w:right w:val="single" w:sz="4" w:space="0" w:color="auto"/>
            </w:tcBorders>
            <w:shd w:val="clear" w:color="auto" w:fill="auto"/>
            <w:vAlign w:val="center"/>
            <w:hideMark/>
          </w:tcPr>
          <w:p w:rsidR="0094192E" w:rsidRPr="00402CA4" w:rsidRDefault="0094192E" w:rsidP="0094192E">
            <w:pPr>
              <w:jc w:val="center"/>
              <w:rPr>
                <w:color w:val="000000"/>
                <w:sz w:val="20"/>
                <w:szCs w:val="20"/>
                <w:lang w:eastAsia="en-GB"/>
              </w:rPr>
            </w:pPr>
            <w:r w:rsidRPr="00402CA4">
              <w:rPr>
                <w:color w:val="000000"/>
                <w:sz w:val="20"/>
                <w:szCs w:val="20"/>
                <w:lang w:eastAsia="en-GB"/>
              </w:rPr>
              <w:t>Recurrent Forecast</w:t>
            </w:r>
          </w:p>
        </w:tc>
        <w:tc>
          <w:tcPr>
            <w:tcW w:w="1629" w:type="dxa"/>
            <w:vMerge/>
            <w:tcBorders>
              <w:left w:val="single" w:sz="4" w:space="0" w:color="auto"/>
              <w:bottom w:val="single" w:sz="8" w:space="0" w:color="auto"/>
              <w:right w:val="single" w:sz="8" w:space="0" w:color="000000"/>
            </w:tcBorders>
          </w:tcPr>
          <w:p w:rsidR="0094192E" w:rsidRPr="00402CA4" w:rsidRDefault="0094192E" w:rsidP="0094192E">
            <w:pPr>
              <w:jc w:val="center"/>
              <w:rPr>
                <w:color w:val="000000"/>
                <w:sz w:val="20"/>
                <w:szCs w:val="20"/>
                <w:lang w:eastAsia="en-GB"/>
              </w:rPr>
            </w:pPr>
          </w:p>
        </w:tc>
      </w:tr>
      <w:tr w:rsidR="0094192E" w:rsidRPr="00F70F99" w:rsidTr="0094192E">
        <w:trPr>
          <w:trHeight w:val="270"/>
        </w:trPr>
        <w:tc>
          <w:tcPr>
            <w:tcW w:w="4017" w:type="dxa"/>
            <w:tcBorders>
              <w:top w:val="nil"/>
              <w:left w:val="single" w:sz="8" w:space="0" w:color="auto"/>
              <w:bottom w:val="single" w:sz="8" w:space="0" w:color="auto"/>
              <w:right w:val="single" w:sz="8" w:space="0" w:color="auto"/>
            </w:tcBorders>
            <w:shd w:val="clear" w:color="auto" w:fill="auto"/>
            <w:vAlign w:val="center"/>
            <w:hideMark/>
          </w:tcPr>
          <w:p w:rsidR="0094192E" w:rsidRPr="00F70F99" w:rsidRDefault="0094192E" w:rsidP="0094192E">
            <w:pPr>
              <w:jc w:val="both"/>
              <w:rPr>
                <w:b/>
                <w:bCs/>
                <w:color w:val="000000"/>
                <w:sz w:val="20"/>
                <w:szCs w:val="20"/>
                <w:lang w:eastAsia="en-GB"/>
              </w:rPr>
            </w:pPr>
            <w:r w:rsidRPr="00F70F99">
              <w:rPr>
                <w:b/>
                <w:bCs/>
                <w:color w:val="000000"/>
                <w:sz w:val="20"/>
                <w:szCs w:val="20"/>
                <w:lang w:eastAsia="en-GB"/>
              </w:rPr>
              <w:t> </w:t>
            </w:r>
          </w:p>
        </w:tc>
        <w:tc>
          <w:tcPr>
            <w:tcW w:w="1434" w:type="dxa"/>
            <w:tcBorders>
              <w:top w:val="nil"/>
              <w:left w:val="nil"/>
              <w:bottom w:val="single" w:sz="8" w:space="0" w:color="auto"/>
              <w:right w:val="single" w:sz="8" w:space="0" w:color="auto"/>
            </w:tcBorders>
            <w:shd w:val="clear" w:color="auto" w:fill="auto"/>
            <w:vAlign w:val="center"/>
            <w:hideMark/>
          </w:tcPr>
          <w:p w:rsidR="0094192E" w:rsidRPr="00236B40" w:rsidRDefault="0094192E" w:rsidP="0094192E">
            <w:pPr>
              <w:jc w:val="center"/>
              <w:rPr>
                <w:color w:val="000000"/>
                <w:sz w:val="20"/>
                <w:szCs w:val="20"/>
                <w:lang w:eastAsia="en-GB"/>
              </w:rPr>
            </w:pPr>
            <w:r w:rsidRPr="00236B40">
              <w:rPr>
                <w:color w:val="000000"/>
                <w:sz w:val="20"/>
                <w:szCs w:val="20"/>
                <w:lang w:eastAsia="en-GB"/>
              </w:rPr>
              <w:t>£'000</w:t>
            </w:r>
          </w:p>
        </w:tc>
        <w:tc>
          <w:tcPr>
            <w:tcW w:w="1521" w:type="dxa"/>
            <w:tcBorders>
              <w:top w:val="nil"/>
              <w:left w:val="nil"/>
              <w:bottom w:val="single" w:sz="8" w:space="0" w:color="auto"/>
              <w:right w:val="nil"/>
            </w:tcBorders>
            <w:shd w:val="clear" w:color="auto" w:fill="auto"/>
            <w:vAlign w:val="center"/>
            <w:hideMark/>
          </w:tcPr>
          <w:p w:rsidR="0094192E" w:rsidRPr="00236B40" w:rsidRDefault="0094192E" w:rsidP="0094192E">
            <w:pPr>
              <w:jc w:val="center"/>
              <w:rPr>
                <w:color w:val="000000"/>
                <w:sz w:val="20"/>
                <w:szCs w:val="20"/>
                <w:lang w:eastAsia="en-GB"/>
              </w:rPr>
            </w:pPr>
            <w:r w:rsidRPr="00236B40">
              <w:rPr>
                <w:color w:val="000000"/>
                <w:sz w:val="20"/>
                <w:szCs w:val="20"/>
                <w:lang w:eastAsia="en-GB"/>
              </w:rPr>
              <w:t>£'000</w:t>
            </w:r>
          </w:p>
        </w:tc>
        <w:tc>
          <w:tcPr>
            <w:tcW w:w="1662" w:type="dxa"/>
            <w:tcBorders>
              <w:top w:val="nil"/>
              <w:left w:val="single" w:sz="4" w:space="0" w:color="auto"/>
              <w:bottom w:val="single" w:sz="8" w:space="0" w:color="auto"/>
              <w:right w:val="single" w:sz="4" w:space="0" w:color="auto"/>
            </w:tcBorders>
            <w:shd w:val="clear" w:color="auto" w:fill="auto"/>
            <w:vAlign w:val="center"/>
            <w:hideMark/>
          </w:tcPr>
          <w:p w:rsidR="0094192E" w:rsidRPr="00236B40" w:rsidRDefault="0094192E" w:rsidP="0094192E">
            <w:pPr>
              <w:jc w:val="center"/>
              <w:rPr>
                <w:color w:val="000000"/>
                <w:sz w:val="20"/>
                <w:szCs w:val="20"/>
                <w:lang w:eastAsia="en-GB"/>
              </w:rPr>
            </w:pPr>
            <w:r w:rsidRPr="00236B40">
              <w:rPr>
                <w:color w:val="000000"/>
                <w:sz w:val="20"/>
                <w:szCs w:val="20"/>
                <w:lang w:eastAsia="en-GB"/>
              </w:rPr>
              <w:t>£'000</w:t>
            </w:r>
          </w:p>
        </w:tc>
        <w:tc>
          <w:tcPr>
            <w:tcW w:w="1510" w:type="dxa"/>
            <w:tcBorders>
              <w:top w:val="nil"/>
              <w:left w:val="nil"/>
              <w:bottom w:val="single" w:sz="8" w:space="0" w:color="auto"/>
              <w:right w:val="single" w:sz="8" w:space="0" w:color="auto"/>
            </w:tcBorders>
            <w:shd w:val="clear" w:color="auto" w:fill="auto"/>
            <w:vAlign w:val="center"/>
            <w:hideMark/>
          </w:tcPr>
          <w:p w:rsidR="0094192E" w:rsidRPr="00402CA4" w:rsidRDefault="0094192E" w:rsidP="0094192E">
            <w:pPr>
              <w:jc w:val="center"/>
              <w:rPr>
                <w:color w:val="000000"/>
                <w:sz w:val="20"/>
                <w:szCs w:val="20"/>
                <w:lang w:eastAsia="en-GB"/>
              </w:rPr>
            </w:pPr>
            <w:r w:rsidRPr="00402CA4">
              <w:rPr>
                <w:color w:val="000000"/>
                <w:sz w:val="20"/>
                <w:szCs w:val="20"/>
                <w:lang w:eastAsia="en-GB"/>
              </w:rPr>
              <w:t>£'000</w:t>
            </w:r>
          </w:p>
        </w:tc>
        <w:tc>
          <w:tcPr>
            <w:tcW w:w="2120" w:type="dxa"/>
            <w:tcBorders>
              <w:top w:val="nil"/>
              <w:left w:val="single" w:sz="4" w:space="0" w:color="auto"/>
              <w:bottom w:val="single" w:sz="8" w:space="0" w:color="auto"/>
              <w:right w:val="single" w:sz="4" w:space="0" w:color="auto"/>
            </w:tcBorders>
            <w:shd w:val="clear" w:color="auto" w:fill="auto"/>
            <w:vAlign w:val="center"/>
            <w:hideMark/>
          </w:tcPr>
          <w:p w:rsidR="0094192E" w:rsidRPr="00402CA4" w:rsidRDefault="0094192E" w:rsidP="0094192E">
            <w:pPr>
              <w:jc w:val="center"/>
              <w:rPr>
                <w:color w:val="000000"/>
                <w:sz w:val="20"/>
                <w:szCs w:val="20"/>
                <w:lang w:eastAsia="en-GB"/>
              </w:rPr>
            </w:pPr>
            <w:r w:rsidRPr="00402CA4">
              <w:rPr>
                <w:color w:val="000000"/>
                <w:sz w:val="20"/>
                <w:szCs w:val="20"/>
                <w:lang w:eastAsia="en-GB"/>
              </w:rPr>
              <w:t>£'000</w:t>
            </w:r>
          </w:p>
        </w:tc>
        <w:tc>
          <w:tcPr>
            <w:tcW w:w="1629" w:type="dxa"/>
            <w:vMerge/>
            <w:tcBorders>
              <w:left w:val="single" w:sz="4" w:space="0" w:color="auto"/>
              <w:bottom w:val="single" w:sz="8" w:space="0" w:color="auto"/>
              <w:right w:val="single" w:sz="8" w:space="0" w:color="000000"/>
            </w:tcBorders>
          </w:tcPr>
          <w:p w:rsidR="0094192E" w:rsidRPr="00402CA4" w:rsidRDefault="0094192E" w:rsidP="0094192E">
            <w:pPr>
              <w:jc w:val="center"/>
              <w:rPr>
                <w:color w:val="000000"/>
                <w:sz w:val="20"/>
                <w:szCs w:val="20"/>
                <w:lang w:eastAsia="en-GB"/>
              </w:rPr>
            </w:pPr>
          </w:p>
        </w:tc>
      </w:tr>
      <w:tr w:rsidR="009F3E70" w:rsidRPr="00F70F99" w:rsidTr="0094192E">
        <w:trPr>
          <w:trHeight w:val="255"/>
        </w:trPr>
        <w:tc>
          <w:tcPr>
            <w:tcW w:w="4017"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9F3E70" w:rsidRPr="00F70F99" w:rsidRDefault="009F3E70" w:rsidP="009F3E70">
            <w:pPr>
              <w:rPr>
                <w:b/>
                <w:bCs/>
                <w:color w:val="000000"/>
                <w:sz w:val="20"/>
                <w:szCs w:val="20"/>
                <w:lang w:eastAsia="en-GB"/>
              </w:rPr>
            </w:pPr>
            <w:r w:rsidRPr="00F70F99">
              <w:rPr>
                <w:b/>
                <w:bCs/>
                <w:color w:val="000000"/>
                <w:sz w:val="20"/>
                <w:szCs w:val="20"/>
                <w:lang w:eastAsia="en-GB"/>
              </w:rPr>
              <w:t>Delegated Budgets</w:t>
            </w:r>
          </w:p>
        </w:tc>
        <w:tc>
          <w:tcPr>
            <w:tcW w:w="1434" w:type="dxa"/>
            <w:tcBorders>
              <w:top w:val="nil"/>
              <w:left w:val="nil"/>
              <w:bottom w:val="single" w:sz="4" w:space="0" w:color="auto"/>
              <w:right w:val="single" w:sz="8" w:space="0" w:color="auto"/>
            </w:tcBorders>
            <w:shd w:val="clear" w:color="auto" w:fill="auto"/>
            <w:vAlign w:val="center"/>
            <w:hideMark/>
          </w:tcPr>
          <w:p w:rsidR="009F3E70" w:rsidRPr="00236B40" w:rsidRDefault="009F3E70" w:rsidP="009F3E70">
            <w:pPr>
              <w:jc w:val="right"/>
              <w:rPr>
                <w:color w:val="000000"/>
                <w:sz w:val="20"/>
                <w:szCs w:val="20"/>
                <w:lang w:eastAsia="en-GB"/>
              </w:rPr>
            </w:pPr>
            <w:r w:rsidRPr="00236B40">
              <w:rPr>
                <w:color w:val="000000"/>
                <w:sz w:val="20"/>
                <w:szCs w:val="20"/>
                <w:lang w:eastAsia="en-GB"/>
              </w:rPr>
              <w:t> </w:t>
            </w:r>
          </w:p>
        </w:tc>
        <w:tc>
          <w:tcPr>
            <w:tcW w:w="1521" w:type="dxa"/>
            <w:tcBorders>
              <w:top w:val="nil"/>
              <w:left w:val="nil"/>
              <w:bottom w:val="single" w:sz="4" w:space="0" w:color="auto"/>
              <w:right w:val="nil"/>
            </w:tcBorders>
            <w:shd w:val="clear" w:color="auto" w:fill="auto"/>
            <w:vAlign w:val="center"/>
            <w:hideMark/>
          </w:tcPr>
          <w:p w:rsidR="009F3E70" w:rsidRPr="00236B40" w:rsidRDefault="009F3E70" w:rsidP="009F3E70">
            <w:pPr>
              <w:jc w:val="right"/>
              <w:rPr>
                <w:b/>
                <w:bCs/>
                <w:color w:val="000000"/>
                <w:sz w:val="20"/>
                <w:szCs w:val="20"/>
                <w:lang w:eastAsia="en-GB"/>
              </w:rPr>
            </w:pPr>
            <w:r w:rsidRPr="00236B40">
              <w:rPr>
                <w:b/>
                <w:bCs/>
                <w:color w:val="000000"/>
                <w:sz w:val="20"/>
                <w:szCs w:val="20"/>
                <w:lang w:eastAsia="en-GB"/>
              </w:rPr>
              <w:t> </w:t>
            </w:r>
          </w:p>
        </w:tc>
        <w:tc>
          <w:tcPr>
            <w:tcW w:w="1662" w:type="dxa"/>
            <w:tcBorders>
              <w:top w:val="nil"/>
              <w:left w:val="single" w:sz="4" w:space="0" w:color="auto"/>
              <w:bottom w:val="single" w:sz="4" w:space="0" w:color="auto"/>
              <w:right w:val="single" w:sz="4" w:space="0" w:color="auto"/>
            </w:tcBorders>
            <w:shd w:val="clear" w:color="auto" w:fill="auto"/>
            <w:vAlign w:val="center"/>
            <w:hideMark/>
          </w:tcPr>
          <w:p w:rsidR="009F3E70" w:rsidRPr="00236B40" w:rsidRDefault="009F3E70" w:rsidP="009F3E70">
            <w:pPr>
              <w:jc w:val="right"/>
              <w:rPr>
                <w:b/>
                <w:bCs/>
                <w:color w:val="000000"/>
                <w:sz w:val="20"/>
                <w:szCs w:val="20"/>
                <w:lang w:eastAsia="en-GB"/>
              </w:rPr>
            </w:pPr>
            <w:r w:rsidRPr="00236B40">
              <w:rPr>
                <w:b/>
                <w:bCs/>
                <w:color w:val="000000"/>
                <w:sz w:val="20"/>
                <w:szCs w:val="20"/>
                <w:lang w:eastAsia="en-GB"/>
              </w:rPr>
              <w:t> </w:t>
            </w:r>
          </w:p>
        </w:tc>
        <w:tc>
          <w:tcPr>
            <w:tcW w:w="1510" w:type="dxa"/>
            <w:tcBorders>
              <w:top w:val="nil"/>
              <w:left w:val="nil"/>
              <w:bottom w:val="single" w:sz="4" w:space="0" w:color="auto"/>
              <w:right w:val="single" w:sz="8" w:space="0" w:color="auto"/>
            </w:tcBorders>
            <w:shd w:val="clear" w:color="auto" w:fill="auto"/>
            <w:vAlign w:val="center"/>
            <w:hideMark/>
          </w:tcPr>
          <w:p w:rsidR="009F3E70" w:rsidRPr="00402CA4" w:rsidRDefault="009F3E70" w:rsidP="009F3E70">
            <w:pPr>
              <w:jc w:val="right"/>
              <w:rPr>
                <w:b/>
                <w:bCs/>
                <w:color w:val="000000"/>
                <w:sz w:val="20"/>
                <w:szCs w:val="20"/>
                <w:lang w:eastAsia="en-GB"/>
              </w:rPr>
            </w:pPr>
            <w:r w:rsidRPr="00402CA4">
              <w:rPr>
                <w:b/>
                <w:bCs/>
                <w:color w:val="000000"/>
                <w:sz w:val="20"/>
                <w:szCs w:val="20"/>
                <w:lang w:eastAsia="en-GB"/>
              </w:rPr>
              <w:t> </w:t>
            </w:r>
          </w:p>
        </w:tc>
        <w:tc>
          <w:tcPr>
            <w:tcW w:w="2120" w:type="dxa"/>
            <w:tcBorders>
              <w:top w:val="nil"/>
              <w:left w:val="single" w:sz="4" w:space="0" w:color="auto"/>
              <w:bottom w:val="single" w:sz="4" w:space="0" w:color="auto"/>
              <w:right w:val="single" w:sz="4" w:space="0" w:color="auto"/>
            </w:tcBorders>
            <w:shd w:val="clear" w:color="auto" w:fill="auto"/>
            <w:vAlign w:val="center"/>
            <w:hideMark/>
          </w:tcPr>
          <w:p w:rsidR="009F3E70" w:rsidRPr="00402CA4" w:rsidRDefault="009F3E70" w:rsidP="009F3E70">
            <w:pPr>
              <w:jc w:val="right"/>
              <w:rPr>
                <w:b/>
                <w:bCs/>
                <w:color w:val="000000"/>
                <w:sz w:val="20"/>
                <w:szCs w:val="20"/>
                <w:lang w:eastAsia="en-GB"/>
              </w:rPr>
            </w:pPr>
            <w:r w:rsidRPr="00402CA4">
              <w:rPr>
                <w:b/>
                <w:bCs/>
                <w:color w:val="000000"/>
                <w:sz w:val="20"/>
                <w:szCs w:val="20"/>
                <w:lang w:eastAsia="en-GB"/>
              </w:rPr>
              <w:t> </w:t>
            </w:r>
          </w:p>
        </w:tc>
        <w:tc>
          <w:tcPr>
            <w:tcW w:w="1629" w:type="dxa"/>
            <w:tcBorders>
              <w:top w:val="nil"/>
              <w:left w:val="single" w:sz="4" w:space="0" w:color="auto"/>
              <w:bottom w:val="single" w:sz="4" w:space="0" w:color="auto"/>
              <w:right w:val="single" w:sz="4" w:space="0" w:color="auto"/>
            </w:tcBorders>
          </w:tcPr>
          <w:p w:rsidR="009F3E70" w:rsidRPr="00402CA4" w:rsidRDefault="009F3E70" w:rsidP="009F3E70">
            <w:pPr>
              <w:jc w:val="right"/>
              <w:rPr>
                <w:b/>
                <w:bCs/>
                <w:color w:val="000000"/>
                <w:sz w:val="20"/>
                <w:szCs w:val="20"/>
                <w:lang w:eastAsia="en-GB"/>
              </w:rPr>
            </w:pPr>
          </w:p>
        </w:tc>
      </w:tr>
      <w:tr w:rsidR="009F3E70" w:rsidRPr="00F70F99" w:rsidTr="0094192E">
        <w:trPr>
          <w:trHeight w:val="255"/>
        </w:trPr>
        <w:tc>
          <w:tcPr>
            <w:tcW w:w="4017" w:type="dxa"/>
            <w:tcBorders>
              <w:top w:val="nil"/>
              <w:left w:val="single" w:sz="8" w:space="0" w:color="auto"/>
              <w:bottom w:val="single" w:sz="4" w:space="0" w:color="auto"/>
              <w:right w:val="single" w:sz="8" w:space="0" w:color="auto"/>
            </w:tcBorders>
            <w:shd w:val="clear" w:color="auto" w:fill="auto"/>
            <w:vAlign w:val="center"/>
            <w:hideMark/>
          </w:tcPr>
          <w:p w:rsidR="009F3E70" w:rsidRPr="00F70F99" w:rsidRDefault="009F3E70" w:rsidP="009F3E70">
            <w:pPr>
              <w:jc w:val="both"/>
              <w:rPr>
                <w:color w:val="000000"/>
                <w:sz w:val="20"/>
                <w:szCs w:val="20"/>
                <w:lang w:eastAsia="en-GB"/>
              </w:rPr>
            </w:pPr>
            <w:r w:rsidRPr="00F70F99">
              <w:rPr>
                <w:color w:val="000000"/>
                <w:sz w:val="20"/>
                <w:szCs w:val="20"/>
                <w:lang w:eastAsia="en-GB"/>
              </w:rPr>
              <w:t>Pay</w:t>
            </w:r>
          </w:p>
        </w:tc>
        <w:tc>
          <w:tcPr>
            <w:tcW w:w="1434" w:type="dxa"/>
            <w:tcBorders>
              <w:top w:val="nil"/>
              <w:left w:val="nil"/>
              <w:bottom w:val="single" w:sz="4" w:space="0" w:color="auto"/>
              <w:right w:val="single" w:sz="8" w:space="0" w:color="auto"/>
            </w:tcBorders>
            <w:shd w:val="clear" w:color="auto" w:fill="auto"/>
            <w:vAlign w:val="center"/>
            <w:hideMark/>
          </w:tcPr>
          <w:p w:rsidR="009F3E70" w:rsidRDefault="009F3E70" w:rsidP="009F3E70">
            <w:pPr>
              <w:jc w:val="right"/>
              <w:rPr>
                <w:color w:val="000000"/>
                <w:sz w:val="20"/>
                <w:szCs w:val="20"/>
                <w:lang w:eastAsia="en-GB"/>
              </w:rPr>
            </w:pPr>
            <w:r>
              <w:rPr>
                <w:color w:val="000000"/>
                <w:sz w:val="20"/>
                <w:szCs w:val="20"/>
              </w:rPr>
              <w:t>522,737</w:t>
            </w:r>
          </w:p>
        </w:tc>
        <w:tc>
          <w:tcPr>
            <w:tcW w:w="1521" w:type="dxa"/>
            <w:tcBorders>
              <w:top w:val="nil"/>
              <w:left w:val="single" w:sz="4" w:space="0" w:color="auto"/>
              <w:bottom w:val="single" w:sz="4" w:space="0" w:color="auto"/>
              <w:right w:val="single" w:sz="4" w:space="0" w:color="auto"/>
            </w:tcBorders>
            <w:shd w:val="clear" w:color="auto" w:fill="auto"/>
            <w:vAlign w:val="center"/>
            <w:hideMark/>
          </w:tcPr>
          <w:p w:rsidR="009F3E70" w:rsidRDefault="009F3E70" w:rsidP="009F3E70">
            <w:pPr>
              <w:jc w:val="right"/>
              <w:rPr>
                <w:color w:val="000000"/>
                <w:sz w:val="20"/>
                <w:szCs w:val="20"/>
              </w:rPr>
            </w:pPr>
            <w:r>
              <w:rPr>
                <w:color w:val="000000"/>
                <w:sz w:val="20"/>
                <w:szCs w:val="20"/>
              </w:rPr>
              <w:t>458</w:t>
            </w:r>
          </w:p>
        </w:tc>
        <w:tc>
          <w:tcPr>
            <w:tcW w:w="1662" w:type="dxa"/>
            <w:tcBorders>
              <w:top w:val="nil"/>
              <w:left w:val="single" w:sz="4" w:space="0" w:color="auto"/>
              <w:bottom w:val="single" w:sz="4" w:space="0" w:color="auto"/>
              <w:right w:val="single" w:sz="4" w:space="0" w:color="auto"/>
            </w:tcBorders>
            <w:shd w:val="clear" w:color="auto" w:fill="auto"/>
            <w:vAlign w:val="center"/>
            <w:hideMark/>
          </w:tcPr>
          <w:p w:rsidR="009F3E70" w:rsidRDefault="009F3E70" w:rsidP="009F3E70">
            <w:pPr>
              <w:jc w:val="right"/>
              <w:rPr>
                <w:color w:val="000000"/>
                <w:sz w:val="20"/>
                <w:szCs w:val="20"/>
              </w:rPr>
            </w:pPr>
            <w:r>
              <w:rPr>
                <w:color w:val="000000"/>
                <w:sz w:val="20"/>
                <w:szCs w:val="20"/>
              </w:rPr>
              <w:t>5,457</w:t>
            </w:r>
          </w:p>
        </w:tc>
        <w:tc>
          <w:tcPr>
            <w:tcW w:w="1510" w:type="dxa"/>
            <w:tcBorders>
              <w:top w:val="nil"/>
              <w:left w:val="nil"/>
              <w:bottom w:val="single" w:sz="4" w:space="0" w:color="auto"/>
              <w:right w:val="single" w:sz="8" w:space="0" w:color="auto"/>
            </w:tcBorders>
            <w:shd w:val="clear" w:color="auto" w:fill="auto"/>
            <w:vAlign w:val="center"/>
          </w:tcPr>
          <w:p w:rsidR="009F3E70" w:rsidRPr="00B81BD1" w:rsidRDefault="009F3E70" w:rsidP="009F3E70">
            <w:pPr>
              <w:jc w:val="right"/>
              <w:rPr>
                <w:color w:val="000000"/>
                <w:sz w:val="20"/>
                <w:szCs w:val="20"/>
              </w:rPr>
            </w:pPr>
            <w:r w:rsidRPr="00B81BD1">
              <w:rPr>
                <w:color w:val="000000"/>
                <w:sz w:val="20"/>
                <w:szCs w:val="20"/>
              </w:rPr>
              <w:t>6,403</w:t>
            </w:r>
          </w:p>
        </w:tc>
        <w:tc>
          <w:tcPr>
            <w:tcW w:w="2120" w:type="dxa"/>
            <w:tcBorders>
              <w:top w:val="single" w:sz="4" w:space="0" w:color="auto"/>
              <w:left w:val="single" w:sz="4" w:space="0" w:color="auto"/>
              <w:bottom w:val="single" w:sz="4" w:space="0" w:color="auto"/>
              <w:right w:val="single" w:sz="4" w:space="0" w:color="auto"/>
            </w:tcBorders>
            <w:shd w:val="clear" w:color="auto" w:fill="auto"/>
            <w:vAlign w:val="center"/>
          </w:tcPr>
          <w:p w:rsidR="009F3E70" w:rsidRPr="00B81BD1" w:rsidRDefault="009F3E70" w:rsidP="009F3E70">
            <w:pPr>
              <w:jc w:val="right"/>
              <w:rPr>
                <w:color w:val="000000"/>
                <w:sz w:val="20"/>
                <w:szCs w:val="20"/>
              </w:rPr>
            </w:pPr>
            <w:r w:rsidRPr="00B81BD1">
              <w:rPr>
                <w:color w:val="000000"/>
                <w:sz w:val="20"/>
                <w:szCs w:val="20"/>
              </w:rPr>
              <w:t>7,648</w:t>
            </w:r>
          </w:p>
        </w:tc>
        <w:tc>
          <w:tcPr>
            <w:tcW w:w="1629" w:type="dxa"/>
            <w:tcBorders>
              <w:top w:val="single" w:sz="4" w:space="0" w:color="auto"/>
              <w:left w:val="single" w:sz="4" w:space="0" w:color="auto"/>
              <w:bottom w:val="single" w:sz="4" w:space="0" w:color="auto"/>
              <w:right w:val="single" w:sz="4" w:space="0" w:color="auto"/>
            </w:tcBorders>
            <w:vAlign w:val="center"/>
          </w:tcPr>
          <w:p w:rsidR="009F3E70" w:rsidRPr="00422717" w:rsidRDefault="009F3E70" w:rsidP="009F3E70">
            <w:pPr>
              <w:jc w:val="center"/>
              <w:rPr>
                <w:color w:val="000000"/>
                <w:sz w:val="20"/>
                <w:szCs w:val="20"/>
              </w:rPr>
            </w:pPr>
            <w:r>
              <w:rPr>
                <w:color w:val="000000"/>
                <w:sz w:val="20"/>
                <w:szCs w:val="20"/>
              </w:rPr>
              <w:t>3</w:t>
            </w:r>
            <w:r w:rsidRPr="00422717">
              <w:rPr>
                <w:color w:val="000000"/>
                <w:sz w:val="20"/>
                <w:szCs w:val="20"/>
              </w:rPr>
              <w:t>.4</w:t>
            </w:r>
          </w:p>
        </w:tc>
      </w:tr>
      <w:tr w:rsidR="009F3E70" w:rsidRPr="00F70F99" w:rsidTr="0094192E">
        <w:trPr>
          <w:trHeight w:val="255"/>
        </w:trPr>
        <w:tc>
          <w:tcPr>
            <w:tcW w:w="4017" w:type="dxa"/>
            <w:tcBorders>
              <w:top w:val="nil"/>
              <w:left w:val="single" w:sz="8" w:space="0" w:color="auto"/>
              <w:bottom w:val="single" w:sz="4" w:space="0" w:color="auto"/>
              <w:right w:val="single" w:sz="8" w:space="0" w:color="auto"/>
            </w:tcBorders>
            <w:shd w:val="clear" w:color="auto" w:fill="auto"/>
            <w:vAlign w:val="center"/>
            <w:hideMark/>
          </w:tcPr>
          <w:p w:rsidR="009F3E70" w:rsidRPr="00F70F99" w:rsidRDefault="009F3E70" w:rsidP="009F3E70">
            <w:pPr>
              <w:jc w:val="both"/>
              <w:rPr>
                <w:color w:val="000000"/>
                <w:sz w:val="20"/>
                <w:szCs w:val="20"/>
                <w:lang w:eastAsia="en-GB"/>
              </w:rPr>
            </w:pPr>
            <w:r w:rsidRPr="00F70F99">
              <w:rPr>
                <w:color w:val="000000"/>
                <w:sz w:val="20"/>
                <w:szCs w:val="20"/>
                <w:lang w:eastAsia="en-GB"/>
              </w:rPr>
              <w:t>Non Pay</w:t>
            </w:r>
          </w:p>
        </w:tc>
        <w:tc>
          <w:tcPr>
            <w:tcW w:w="1434" w:type="dxa"/>
            <w:tcBorders>
              <w:top w:val="nil"/>
              <w:left w:val="nil"/>
              <w:bottom w:val="single" w:sz="4" w:space="0" w:color="auto"/>
              <w:right w:val="single" w:sz="8" w:space="0" w:color="auto"/>
            </w:tcBorders>
            <w:shd w:val="clear" w:color="auto" w:fill="auto"/>
            <w:vAlign w:val="center"/>
            <w:hideMark/>
          </w:tcPr>
          <w:p w:rsidR="009F3E70" w:rsidRDefault="009F3E70" w:rsidP="009F3E70">
            <w:pPr>
              <w:jc w:val="right"/>
              <w:rPr>
                <w:color w:val="000000"/>
                <w:sz w:val="20"/>
                <w:szCs w:val="20"/>
              </w:rPr>
            </w:pPr>
            <w:r>
              <w:rPr>
                <w:color w:val="000000"/>
                <w:sz w:val="20"/>
                <w:szCs w:val="20"/>
              </w:rPr>
              <w:t>626,430</w:t>
            </w:r>
          </w:p>
        </w:tc>
        <w:tc>
          <w:tcPr>
            <w:tcW w:w="1521" w:type="dxa"/>
            <w:tcBorders>
              <w:top w:val="nil"/>
              <w:left w:val="single" w:sz="4" w:space="0" w:color="auto"/>
              <w:bottom w:val="single" w:sz="4" w:space="0" w:color="auto"/>
              <w:right w:val="single" w:sz="4" w:space="0" w:color="auto"/>
            </w:tcBorders>
            <w:shd w:val="clear" w:color="auto" w:fill="auto"/>
            <w:vAlign w:val="center"/>
            <w:hideMark/>
          </w:tcPr>
          <w:p w:rsidR="009F3E70" w:rsidRDefault="009F3E70" w:rsidP="009F3E70">
            <w:pPr>
              <w:jc w:val="right"/>
              <w:rPr>
                <w:color w:val="000000"/>
                <w:sz w:val="20"/>
                <w:szCs w:val="20"/>
              </w:rPr>
            </w:pPr>
            <w:r>
              <w:rPr>
                <w:color w:val="000000"/>
                <w:sz w:val="20"/>
                <w:szCs w:val="20"/>
              </w:rPr>
              <w:t>1,548</w:t>
            </w:r>
          </w:p>
        </w:tc>
        <w:tc>
          <w:tcPr>
            <w:tcW w:w="1662" w:type="dxa"/>
            <w:tcBorders>
              <w:top w:val="nil"/>
              <w:left w:val="single" w:sz="4" w:space="0" w:color="auto"/>
              <w:bottom w:val="single" w:sz="4" w:space="0" w:color="auto"/>
              <w:right w:val="single" w:sz="4" w:space="0" w:color="auto"/>
            </w:tcBorders>
            <w:shd w:val="clear" w:color="auto" w:fill="auto"/>
            <w:vAlign w:val="center"/>
            <w:hideMark/>
          </w:tcPr>
          <w:p w:rsidR="009F3E70" w:rsidRDefault="009F3E70" w:rsidP="009F3E70">
            <w:pPr>
              <w:jc w:val="right"/>
              <w:rPr>
                <w:color w:val="000000"/>
                <w:sz w:val="20"/>
                <w:szCs w:val="20"/>
              </w:rPr>
            </w:pPr>
            <w:r>
              <w:rPr>
                <w:color w:val="000000"/>
                <w:sz w:val="20"/>
                <w:szCs w:val="20"/>
              </w:rPr>
              <w:t>5,073</w:t>
            </w:r>
          </w:p>
        </w:tc>
        <w:tc>
          <w:tcPr>
            <w:tcW w:w="1510" w:type="dxa"/>
            <w:tcBorders>
              <w:top w:val="nil"/>
              <w:left w:val="nil"/>
              <w:bottom w:val="single" w:sz="4" w:space="0" w:color="auto"/>
              <w:right w:val="single" w:sz="8" w:space="0" w:color="auto"/>
            </w:tcBorders>
            <w:shd w:val="clear" w:color="auto" w:fill="auto"/>
            <w:vAlign w:val="center"/>
          </w:tcPr>
          <w:p w:rsidR="009F3E70" w:rsidRPr="00B81BD1" w:rsidRDefault="009F3E70" w:rsidP="009F3E70">
            <w:pPr>
              <w:jc w:val="right"/>
              <w:rPr>
                <w:color w:val="000000"/>
                <w:sz w:val="20"/>
                <w:szCs w:val="20"/>
              </w:rPr>
            </w:pPr>
            <w:r w:rsidRPr="00B81BD1">
              <w:rPr>
                <w:color w:val="000000"/>
                <w:sz w:val="20"/>
                <w:szCs w:val="20"/>
              </w:rPr>
              <w:t>5,062</w:t>
            </w:r>
          </w:p>
        </w:tc>
        <w:tc>
          <w:tcPr>
            <w:tcW w:w="2120" w:type="dxa"/>
            <w:tcBorders>
              <w:top w:val="single" w:sz="4" w:space="0" w:color="auto"/>
              <w:left w:val="single" w:sz="4" w:space="0" w:color="auto"/>
              <w:bottom w:val="single" w:sz="4" w:space="0" w:color="auto"/>
              <w:right w:val="single" w:sz="4" w:space="0" w:color="auto"/>
            </w:tcBorders>
            <w:shd w:val="clear" w:color="auto" w:fill="auto"/>
            <w:vAlign w:val="center"/>
          </w:tcPr>
          <w:p w:rsidR="009F3E70" w:rsidRPr="00B81BD1" w:rsidRDefault="009F3E70" w:rsidP="009F3E70">
            <w:pPr>
              <w:jc w:val="right"/>
              <w:rPr>
                <w:color w:val="000000"/>
                <w:sz w:val="20"/>
                <w:szCs w:val="20"/>
              </w:rPr>
            </w:pPr>
            <w:r w:rsidRPr="00B81BD1">
              <w:rPr>
                <w:color w:val="000000"/>
                <w:sz w:val="20"/>
                <w:szCs w:val="20"/>
              </w:rPr>
              <w:t>5,642</w:t>
            </w:r>
          </w:p>
        </w:tc>
        <w:tc>
          <w:tcPr>
            <w:tcW w:w="1629" w:type="dxa"/>
            <w:tcBorders>
              <w:top w:val="single" w:sz="4" w:space="0" w:color="auto"/>
              <w:left w:val="single" w:sz="4" w:space="0" w:color="auto"/>
              <w:bottom w:val="single" w:sz="4" w:space="0" w:color="auto"/>
              <w:right w:val="single" w:sz="4" w:space="0" w:color="auto"/>
            </w:tcBorders>
            <w:vAlign w:val="center"/>
          </w:tcPr>
          <w:p w:rsidR="009F3E70" w:rsidRPr="00422717" w:rsidRDefault="009F3E70" w:rsidP="009F3E70">
            <w:pPr>
              <w:jc w:val="center"/>
              <w:rPr>
                <w:color w:val="000000"/>
                <w:sz w:val="20"/>
                <w:szCs w:val="20"/>
              </w:rPr>
            </w:pPr>
            <w:r>
              <w:rPr>
                <w:color w:val="000000"/>
                <w:sz w:val="20"/>
                <w:szCs w:val="20"/>
              </w:rPr>
              <w:t>3</w:t>
            </w:r>
            <w:r w:rsidRPr="00422717">
              <w:rPr>
                <w:color w:val="000000"/>
                <w:sz w:val="20"/>
                <w:szCs w:val="20"/>
              </w:rPr>
              <w:t>.5</w:t>
            </w:r>
          </w:p>
        </w:tc>
      </w:tr>
      <w:tr w:rsidR="009F3E70" w:rsidRPr="00F70F99" w:rsidTr="0094192E">
        <w:trPr>
          <w:trHeight w:val="255"/>
        </w:trPr>
        <w:tc>
          <w:tcPr>
            <w:tcW w:w="4017" w:type="dxa"/>
            <w:tcBorders>
              <w:top w:val="nil"/>
              <w:left w:val="single" w:sz="8" w:space="0" w:color="auto"/>
              <w:bottom w:val="single" w:sz="4" w:space="0" w:color="auto"/>
              <w:right w:val="single" w:sz="8" w:space="0" w:color="auto"/>
            </w:tcBorders>
            <w:shd w:val="clear" w:color="auto" w:fill="auto"/>
            <w:vAlign w:val="center"/>
            <w:hideMark/>
          </w:tcPr>
          <w:p w:rsidR="009F3E70" w:rsidRPr="00F70F99" w:rsidRDefault="009F3E70" w:rsidP="009F3E70">
            <w:pPr>
              <w:jc w:val="both"/>
              <w:rPr>
                <w:color w:val="000000"/>
                <w:sz w:val="20"/>
                <w:szCs w:val="20"/>
                <w:lang w:eastAsia="en-GB"/>
              </w:rPr>
            </w:pPr>
            <w:r w:rsidRPr="00F70F99">
              <w:rPr>
                <w:color w:val="000000"/>
                <w:sz w:val="20"/>
                <w:szCs w:val="20"/>
                <w:lang w:eastAsia="en-GB"/>
              </w:rPr>
              <w:t>Income</w:t>
            </w:r>
          </w:p>
        </w:tc>
        <w:tc>
          <w:tcPr>
            <w:tcW w:w="1434" w:type="dxa"/>
            <w:tcBorders>
              <w:top w:val="nil"/>
              <w:left w:val="nil"/>
              <w:bottom w:val="single" w:sz="4" w:space="0" w:color="auto"/>
              <w:right w:val="single" w:sz="8" w:space="0" w:color="auto"/>
            </w:tcBorders>
            <w:shd w:val="clear" w:color="auto" w:fill="auto"/>
            <w:vAlign w:val="center"/>
            <w:hideMark/>
          </w:tcPr>
          <w:p w:rsidR="009F3E70" w:rsidRDefault="009F3E70" w:rsidP="009F3E70">
            <w:pPr>
              <w:jc w:val="right"/>
              <w:rPr>
                <w:color w:val="000000"/>
                <w:sz w:val="20"/>
                <w:szCs w:val="20"/>
              </w:rPr>
            </w:pPr>
            <w:r>
              <w:rPr>
                <w:color w:val="FF0000"/>
                <w:sz w:val="20"/>
                <w:szCs w:val="20"/>
              </w:rPr>
              <w:t>(142,685)</w:t>
            </w:r>
          </w:p>
        </w:tc>
        <w:tc>
          <w:tcPr>
            <w:tcW w:w="1521" w:type="dxa"/>
            <w:tcBorders>
              <w:top w:val="nil"/>
              <w:left w:val="single" w:sz="4" w:space="0" w:color="auto"/>
              <w:bottom w:val="single" w:sz="4" w:space="0" w:color="auto"/>
              <w:right w:val="single" w:sz="4" w:space="0" w:color="auto"/>
            </w:tcBorders>
            <w:shd w:val="clear" w:color="auto" w:fill="auto"/>
            <w:vAlign w:val="center"/>
            <w:hideMark/>
          </w:tcPr>
          <w:p w:rsidR="009F3E70" w:rsidRDefault="009F3E70" w:rsidP="009F3E70">
            <w:pPr>
              <w:jc w:val="right"/>
              <w:rPr>
                <w:color w:val="000000"/>
                <w:sz w:val="20"/>
                <w:szCs w:val="20"/>
              </w:rPr>
            </w:pPr>
            <w:r>
              <w:rPr>
                <w:color w:val="FF0000"/>
                <w:sz w:val="20"/>
                <w:szCs w:val="20"/>
              </w:rPr>
              <w:t>(807)</w:t>
            </w:r>
          </w:p>
        </w:tc>
        <w:tc>
          <w:tcPr>
            <w:tcW w:w="1662" w:type="dxa"/>
            <w:tcBorders>
              <w:top w:val="nil"/>
              <w:left w:val="single" w:sz="4" w:space="0" w:color="auto"/>
              <w:bottom w:val="single" w:sz="4" w:space="0" w:color="auto"/>
              <w:right w:val="single" w:sz="4" w:space="0" w:color="auto"/>
            </w:tcBorders>
            <w:shd w:val="clear" w:color="auto" w:fill="auto"/>
            <w:vAlign w:val="center"/>
            <w:hideMark/>
          </w:tcPr>
          <w:p w:rsidR="009F3E70" w:rsidRDefault="009F3E70" w:rsidP="009F3E70">
            <w:pPr>
              <w:jc w:val="right"/>
              <w:rPr>
                <w:color w:val="000000"/>
                <w:sz w:val="20"/>
                <w:szCs w:val="20"/>
              </w:rPr>
            </w:pPr>
            <w:r>
              <w:rPr>
                <w:color w:val="000000"/>
                <w:sz w:val="20"/>
                <w:szCs w:val="20"/>
              </w:rPr>
              <w:t>686</w:t>
            </w:r>
          </w:p>
        </w:tc>
        <w:tc>
          <w:tcPr>
            <w:tcW w:w="1510" w:type="dxa"/>
            <w:tcBorders>
              <w:top w:val="nil"/>
              <w:left w:val="nil"/>
              <w:bottom w:val="single" w:sz="4" w:space="0" w:color="auto"/>
              <w:right w:val="single" w:sz="8" w:space="0" w:color="auto"/>
            </w:tcBorders>
            <w:shd w:val="clear" w:color="auto" w:fill="auto"/>
            <w:vAlign w:val="center"/>
          </w:tcPr>
          <w:p w:rsidR="009F3E70" w:rsidRPr="00B81BD1" w:rsidRDefault="009F3E70" w:rsidP="009F3E70">
            <w:pPr>
              <w:jc w:val="right"/>
              <w:rPr>
                <w:color w:val="000000"/>
                <w:sz w:val="20"/>
                <w:szCs w:val="20"/>
              </w:rPr>
            </w:pPr>
            <w:r w:rsidRPr="00B81BD1">
              <w:rPr>
                <w:color w:val="000000"/>
                <w:sz w:val="20"/>
                <w:szCs w:val="20"/>
              </w:rPr>
              <w:t>1,143</w:t>
            </w:r>
          </w:p>
        </w:tc>
        <w:tc>
          <w:tcPr>
            <w:tcW w:w="2120" w:type="dxa"/>
            <w:tcBorders>
              <w:top w:val="nil"/>
              <w:left w:val="single" w:sz="4" w:space="0" w:color="auto"/>
              <w:bottom w:val="single" w:sz="4" w:space="0" w:color="auto"/>
              <w:right w:val="single" w:sz="4" w:space="0" w:color="auto"/>
            </w:tcBorders>
            <w:shd w:val="clear" w:color="auto" w:fill="auto"/>
            <w:vAlign w:val="center"/>
          </w:tcPr>
          <w:p w:rsidR="009F3E70" w:rsidRPr="00B81BD1" w:rsidRDefault="009F3E70" w:rsidP="009F3E70">
            <w:pPr>
              <w:jc w:val="right"/>
              <w:rPr>
                <w:color w:val="000000"/>
                <w:sz w:val="20"/>
                <w:szCs w:val="20"/>
              </w:rPr>
            </w:pPr>
            <w:r w:rsidRPr="00B81BD1">
              <w:rPr>
                <w:color w:val="000000"/>
                <w:sz w:val="20"/>
                <w:szCs w:val="20"/>
              </w:rPr>
              <w:t>2,263</w:t>
            </w:r>
          </w:p>
        </w:tc>
        <w:tc>
          <w:tcPr>
            <w:tcW w:w="1629" w:type="dxa"/>
            <w:tcBorders>
              <w:top w:val="nil"/>
              <w:left w:val="single" w:sz="4" w:space="0" w:color="auto"/>
              <w:bottom w:val="single" w:sz="4" w:space="0" w:color="auto"/>
              <w:right w:val="single" w:sz="4" w:space="0" w:color="auto"/>
            </w:tcBorders>
            <w:vAlign w:val="center"/>
          </w:tcPr>
          <w:p w:rsidR="009F3E70" w:rsidRPr="00422717" w:rsidRDefault="009F3E70" w:rsidP="009F3E70">
            <w:pPr>
              <w:jc w:val="center"/>
              <w:rPr>
                <w:color w:val="000000"/>
                <w:sz w:val="20"/>
                <w:szCs w:val="20"/>
              </w:rPr>
            </w:pPr>
            <w:r>
              <w:rPr>
                <w:color w:val="000000"/>
                <w:sz w:val="20"/>
                <w:szCs w:val="20"/>
              </w:rPr>
              <w:t>3</w:t>
            </w:r>
            <w:r w:rsidRPr="00422717">
              <w:rPr>
                <w:color w:val="000000"/>
                <w:sz w:val="20"/>
                <w:szCs w:val="20"/>
              </w:rPr>
              <w:t>.6</w:t>
            </w:r>
          </w:p>
        </w:tc>
      </w:tr>
      <w:tr w:rsidR="009F3E70" w:rsidRPr="00F70F99" w:rsidTr="0094192E">
        <w:trPr>
          <w:trHeight w:val="255"/>
        </w:trPr>
        <w:tc>
          <w:tcPr>
            <w:tcW w:w="4017" w:type="dxa"/>
            <w:tcBorders>
              <w:top w:val="nil"/>
              <w:left w:val="single" w:sz="8" w:space="0" w:color="auto"/>
              <w:bottom w:val="single" w:sz="4" w:space="0" w:color="auto"/>
              <w:right w:val="single" w:sz="8" w:space="0" w:color="auto"/>
            </w:tcBorders>
            <w:shd w:val="clear" w:color="auto" w:fill="auto"/>
            <w:vAlign w:val="center"/>
            <w:hideMark/>
          </w:tcPr>
          <w:p w:rsidR="009F3E70" w:rsidRPr="00F70F99" w:rsidRDefault="009F3E70" w:rsidP="009F3E70">
            <w:pPr>
              <w:rPr>
                <w:color w:val="000000"/>
                <w:sz w:val="20"/>
                <w:szCs w:val="20"/>
                <w:lang w:eastAsia="en-GB"/>
              </w:rPr>
            </w:pPr>
            <w:r w:rsidRPr="00F70F99">
              <w:rPr>
                <w:color w:val="000000"/>
                <w:sz w:val="20"/>
                <w:szCs w:val="20"/>
                <w:lang w:eastAsia="en-GB"/>
              </w:rPr>
              <w:t>Delegated Savings Plans</w:t>
            </w:r>
          </w:p>
        </w:tc>
        <w:tc>
          <w:tcPr>
            <w:tcW w:w="1434" w:type="dxa"/>
            <w:tcBorders>
              <w:top w:val="nil"/>
              <w:left w:val="nil"/>
              <w:bottom w:val="single" w:sz="4" w:space="0" w:color="auto"/>
              <w:right w:val="single" w:sz="8" w:space="0" w:color="auto"/>
            </w:tcBorders>
            <w:shd w:val="clear" w:color="auto" w:fill="auto"/>
            <w:vAlign w:val="center"/>
            <w:hideMark/>
          </w:tcPr>
          <w:p w:rsidR="009F3E70" w:rsidRDefault="009F3E70" w:rsidP="009F3E70">
            <w:pPr>
              <w:jc w:val="right"/>
              <w:rPr>
                <w:color w:val="000000"/>
                <w:sz w:val="20"/>
                <w:szCs w:val="20"/>
              </w:rPr>
            </w:pPr>
            <w:r>
              <w:rPr>
                <w:color w:val="FF0000"/>
                <w:sz w:val="20"/>
                <w:szCs w:val="20"/>
              </w:rPr>
              <w:t>(6,380)</w:t>
            </w:r>
          </w:p>
        </w:tc>
        <w:tc>
          <w:tcPr>
            <w:tcW w:w="1521" w:type="dxa"/>
            <w:tcBorders>
              <w:top w:val="nil"/>
              <w:left w:val="single" w:sz="4" w:space="0" w:color="auto"/>
              <w:bottom w:val="single" w:sz="4" w:space="0" w:color="auto"/>
              <w:right w:val="single" w:sz="4" w:space="0" w:color="auto"/>
            </w:tcBorders>
            <w:shd w:val="clear" w:color="auto" w:fill="auto"/>
            <w:vAlign w:val="center"/>
            <w:hideMark/>
          </w:tcPr>
          <w:p w:rsidR="009F3E70" w:rsidRDefault="009F3E70" w:rsidP="009F3E70">
            <w:pPr>
              <w:jc w:val="right"/>
              <w:rPr>
                <w:color w:val="000000"/>
                <w:sz w:val="20"/>
                <w:szCs w:val="20"/>
              </w:rPr>
            </w:pPr>
            <w:r>
              <w:rPr>
                <w:color w:val="000000"/>
                <w:sz w:val="20"/>
                <w:szCs w:val="20"/>
              </w:rPr>
              <w:t>264</w:t>
            </w:r>
          </w:p>
        </w:tc>
        <w:tc>
          <w:tcPr>
            <w:tcW w:w="1662" w:type="dxa"/>
            <w:tcBorders>
              <w:top w:val="nil"/>
              <w:left w:val="single" w:sz="4" w:space="0" w:color="auto"/>
              <w:bottom w:val="single" w:sz="4" w:space="0" w:color="auto"/>
              <w:right w:val="single" w:sz="4" w:space="0" w:color="auto"/>
            </w:tcBorders>
            <w:shd w:val="clear" w:color="auto" w:fill="auto"/>
            <w:vAlign w:val="center"/>
            <w:hideMark/>
          </w:tcPr>
          <w:p w:rsidR="009F3E70" w:rsidRDefault="009F3E70" w:rsidP="009F3E70">
            <w:pPr>
              <w:jc w:val="right"/>
              <w:rPr>
                <w:color w:val="000000"/>
                <w:sz w:val="20"/>
                <w:szCs w:val="20"/>
              </w:rPr>
            </w:pPr>
            <w:r>
              <w:rPr>
                <w:color w:val="000000"/>
                <w:sz w:val="20"/>
                <w:szCs w:val="20"/>
              </w:rPr>
              <w:t>5,925</w:t>
            </w:r>
          </w:p>
        </w:tc>
        <w:tc>
          <w:tcPr>
            <w:tcW w:w="1510" w:type="dxa"/>
            <w:tcBorders>
              <w:top w:val="nil"/>
              <w:left w:val="nil"/>
              <w:bottom w:val="single" w:sz="4" w:space="0" w:color="auto"/>
              <w:right w:val="single" w:sz="8" w:space="0" w:color="auto"/>
            </w:tcBorders>
            <w:shd w:val="clear" w:color="auto" w:fill="auto"/>
            <w:vAlign w:val="center"/>
          </w:tcPr>
          <w:p w:rsidR="009F3E70" w:rsidRPr="00B81BD1" w:rsidRDefault="009F3E70" w:rsidP="009F3E70">
            <w:pPr>
              <w:jc w:val="right"/>
              <w:rPr>
                <w:color w:val="000000"/>
                <w:sz w:val="20"/>
                <w:szCs w:val="20"/>
              </w:rPr>
            </w:pPr>
            <w:r w:rsidRPr="00B81BD1">
              <w:rPr>
                <w:color w:val="000000"/>
                <w:sz w:val="20"/>
                <w:szCs w:val="20"/>
              </w:rPr>
              <w:t>6,276</w:t>
            </w:r>
          </w:p>
        </w:tc>
        <w:tc>
          <w:tcPr>
            <w:tcW w:w="2120" w:type="dxa"/>
            <w:tcBorders>
              <w:top w:val="nil"/>
              <w:left w:val="single" w:sz="4" w:space="0" w:color="auto"/>
              <w:bottom w:val="single" w:sz="4" w:space="0" w:color="auto"/>
              <w:right w:val="single" w:sz="4" w:space="0" w:color="auto"/>
            </w:tcBorders>
            <w:shd w:val="clear" w:color="auto" w:fill="auto"/>
            <w:vAlign w:val="center"/>
          </w:tcPr>
          <w:p w:rsidR="009F3E70" w:rsidRPr="00B81BD1" w:rsidRDefault="009F3E70" w:rsidP="009F3E70">
            <w:pPr>
              <w:jc w:val="right"/>
              <w:rPr>
                <w:color w:val="000000"/>
                <w:sz w:val="20"/>
                <w:szCs w:val="20"/>
              </w:rPr>
            </w:pPr>
            <w:r w:rsidRPr="00B81BD1">
              <w:rPr>
                <w:color w:val="000000"/>
                <w:sz w:val="20"/>
                <w:szCs w:val="20"/>
              </w:rPr>
              <w:t>7,238</w:t>
            </w:r>
          </w:p>
        </w:tc>
        <w:tc>
          <w:tcPr>
            <w:tcW w:w="1629" w:type="dxa"/>
            <w:tcBorders>
              <w:top w:val="nil"/>
              <w:left w:val="single" w:sz="4" w:space="0" w:color="auto"/>
              <w:bottom w:val="single" w:sz="4" w:space="0" w:color="auto"/>
              <w:right w:val="single" w:sz="4" w:space="0" w:color="auto"/>
            </w:tcBorders>
            <w:vAlign w:val="center"/>
          </w:tcPr>
          <w:p w:rsidR="009F3E70" w:rsidRPr="00422717" w:rsidRDefault="009F3E70" w:rsidP="009F3E70">
            <w:pPr>
              <w:jc w:val="center"/>
              <w:rPr>
                <w:color w:val="000000"/>
                <w:sz w:val="20"/>
                <w:szCs w:val="20"/>
              </w:rPr>
            </w:pPr>
            <w:r>
              <w:rPr>
                <w:color w:val="000000"/>
                <w:sz w:val="20"/>
                <w:szCs w:val="20"/>
              </w:rPr>
              <w:t>3</w:t>
            </w:r>
            <w:r w:rsidRPr="00422717">
              <w:rPr>
                <w:color w:val="000000"/>
                <w:sz w:val="20"/>
                <w:szCs w:val="20"/>
              </w:rPr>
              <w:t>.7</w:t>
            </w:r>
          </w:p>
        </w:tc>
      </w:tr>
      <w:tr w:rsidR="009F3E70" w:rsidRPr="00F70F99" w:rsidTr="0094192E">
        <w:trPr>
          <w:trHeight w:val="270"/>
        </w:trPr>
        <w:tc>
          <w:tcPr>
            <w:tcW w:w="4017" w:type="dxa"/>
            <w:tcBorders>
              <w:top w:val="single" w:sz="8" w:space="0" w:color="auto"/>
              <w:left w:val="single" w:sz="8" w:space="0" w:color="auto"/>
              <w:bottom w:val="single" w:sz="8" w:space="0" w:color="auto"/>
              <w:right w:val="single" w:sz="8" w:space="0" w:color="auto"/>
            </w:tcBorders>
            <w:shd w:val="clear" w:color="000000" w:fill="8DB3E2" w:themeFill="text2" w:themeFillTint="66"/>
            <w:vAlign w:val="center"/>
            <w:hideMark/>
          </w:tcPr>
          <w:p w:rsidR="009F3E70" w:rsidRPr="00F70F99" w:rsidRDefault="009F3E70" w:rsidP="009F3E70">
            <w:pPr>
              <w:jc w:val="right"/>
              <w:rPr>
                <w:b/>
                <w:bCs/>
                <w:color w:val="000000"/>
                <w:sz w:val="20"/>
                <w:szCs w:val="20"/>
                <w:lang w:eastAsia="en-GB"/>
              </w:rPr>
            </w:pPr>
            <w:r w:rsidRPr="00F70F99">
              <w:rPr>
                <w:b/>
                <w:bCs/>
                <w:color w:val="000000"/>
                <w:sz w:val="20"/>
                <w:szCs w:val="20"/>
                <w:lang w:eastAsia="en-GB"/>
              </w:rPr>
              <w:t xml:space="preserve">Total Delegated Budgets </w:t>
            </w:r>
          </w:p>
        </w:tc>
        <w:tc>
          <w:tcPr>
            <w:tcW w:w="1434" w:type="dxa"/>
            <w:tcBorders>
              <w:top w:val="single" w:sz="8" w:space="0" w:color="auto"/>
              <w:left w:val="nil"/>
              <w:bottom w:val="single" w:sz="8" w:space="0" w:color="auto"/>
              <w:right w:val="single" w:sz="8" w:space="0" w:color="auto"/>
            </w:tcBorders>
            <w:shd w:val="clear" w:color="000000" w:fill="8DB3E2" w:themeFill="text2" w:themeFillTint="66"/>
            <w:vAlign w:val="center"/>
            <w:hideMark/>
          </w:tcPr>
          <w:p w:rsidR="009F3E70" w:rsidRDefault="009F3E70" w:rsidP="009F3E70">
            <w:pPr>
              <w:jc w:val="right"/>
              <w:rPr>
                <w:b/>
                <w:bCs/>
                <w:color w:val="000000"/>
                <w:sz w:val="20"/>
                <w:szCs w:val="20"/>
              </w:rPr>
            </w:pPr>
            <w:r>
              <w:rPr>
                <w:b/>
                <w:bCs/>
                <w:color w:val="000000"/>
                <w:sz w:val="20"/>
                <w:szCs w:val="20"/>
              </w:rPr>
              <w:t>1,000,101</w:t>
            </w:r>
          </w:p>
        </w:tc>
        <w:tc>
          <w:tcPr>
            <w:tcW w:w="1521"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9F3E70" w:rsidRDefault="009F3E70" w:rsidP="009F3E70">
            <w:pPr>
              <w:jc w:val="right"/>
              <w:rPr>
                <w:b/>
                <w:bCs/>
                <w:color w:val="000000"/>
                <w:sz w:val="20"/>
                <w:szCs w:val="20"/>
              </w:rPr>
            </w:pPr>
            <w:r>
              <w:rPr>
                <w:b/>
                <w:bCs/>
                <w:color w:val="000000"/>
                <w:sz w:val="20"/>
                <w:szCs w:val="20"/>
              </w:rPr>
              <w:t>1,463</w:t>
            </w:r>
          </w:p>
        </w:tc>
        <w:tc>
          <w:tcPr>
            <w:tcW w:w="1662"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9F3E70" w:rsidRDefault="009F3E70" w:rsidP="009F3E70">
            <w:pPr>
              <w:jc w:val="right"/>
              <w:rPr>
                <w:b/>
                <w:bCs/>
                <w:color w:val="000000"/>
                <w:sz w:val="20"/>
                <w:szCs w:val="20"/>
              </w:rPr>
            </w:pPr>
            <w:r>
              <w:rPr>
                <w:b/>
                <w:bCs/>
                <w:color w:val="000000"/>
                <w:sz w:val="20"/>
                <w:szCs w:val="20"/>
              </w:rPr>
              <w:t>17,142</w:t>
            </w:r>
          </w:p>
        </w:tc>
        <w:tc>
          <w:tcPr>
            <w:tcW w:w="1510" w:type="dxa"/>
            <w:tcBorders>
              <w:top w:val="single" w:sz="8" w:space="0" w:color="auto"/>
              <w:left w:val="nil"/>
              <w:bottom w:val="single" w:sz="8" w:space="0" w:color="auto"/>
              <w:right w:val="single" w:sz="8" w:space="0" w:color="auto"/>
            </w:tcBorders>
            <w:shd w:val="clear" w:color="auto" w:fill="8DB3E2" w:themeFill="text2" w:themeFillTint="66"/>
            <w:vAlign w:val="center"/>
          </w:tcPr>
          <w:p w:rsidR="009F3E70" w:rsidRPr="00B81BD1" w:rsidRDefault="009F3E70" w:rsidP="009F3E70">
            <w:pPr>
              <w:jc w:val="right"/>
              <w:rPr>
                <w:b/>
                <w:bCs/>
                <w:color w:val="000000"/>
                <w:sz w:val="20"/>
                <w:szCs w:val="20"/>
              </w:rPr>
            </w:pPr>
            <w:r w:rsidRPr="00B81BD1">
              <w:rPr>
                <w:b/>
                <w:bCs/>
                <w:color w:val="000000"/>
                <w:sz w:val="20"/>
                <w:szCs w:val="20"/>
              </w:rPr>
              <w:t>18,884</w:t>
            </w:r>
          </w:p>
        </w:tc>
        <w:tc>
          <w:tcPr>
            <w:tcW w:w="2120" w:type="dxa"/>
            <w:tcBorders>
              <w:top w:val="single" w:sz="8" w:space="0" w:color="auto"/>
              <w:left w:val="single" w:sz="4" w:space="0" w:color="auto"/>
              <w:bottom w:val="single" w:sz="8" w:space="0" w:color="auto"/>
              <w:right w:val="single" w:sz="4" w:space="0" w:color="auto"/>
            </w:tcBorders>
            <w:shd w:val="clear" w:color="auto" w:fill="8DB3E2" w:themeFill="text2" w:themeFillTint="66"/>
            <w:vAlign w:val="center"/>
          </w:tcPr>
          <w:p w:rsidR="009F3E70" w:rsidRPr="00B81BD1" w:rsidRDefault="009F3E70" w:rsidP="009F3E70">
            <w:pPr>
              <w:jc w:val="right"/>
              <w:rPr>
                <w:b/>
                <w:bCs/>
                <w:color w:val="000000"/>
                <w:sz w:val="20"/>
                <w:szCs w:val="20"/>
              </w:rPr>
            </w:pPr>
            <w:r w:rsidRPr="00B81BD1">
              <w:rPr>
                <w:b/>
                <w:bCs/>
                <w:color w:val="000000"/>
                <w:sz w:val="20"/>
                <w:szCs w:val="20"/>
              </w:rPr>
              <w:t>22,791</w:t>
            </w:r>
          </w:p>
        </w:tc>
        <w:tc>
          <w:tcPr>
            <w:tcW w:w="1629" w:type="dxa"/>
            <w:tcBorders>
              <w:top w:val="single" w:sz="8" w:space="0" w:color="auto"/>
              <w:left w:val="single" w:sz="4" w:space="0" w:color="auto"/>
              <w:bottom w:val="single" w:sz="8" w:space="0" w:color="auto"/>
              <w:right w:val="single" w:sz="4" w:space="0" w:color="auto"/>
            </w:tcBorders>
            <w:shd w:val="clear" w:color="auto" w:fill="8DB3E2" w:themeFill="text2" w:themeFillTint="66"/>
            <w:vAlign w:val="center"/>
          </w:tcPr>
          <w:p w:rsidR="009F3E70" w:rsidRPr="00422717" w:rsidRDefault="009F3E70" w:rsidP="009F3E70">
            <w:pPr>
              <w:jc w:val="center"/>
              <w:rPr>
                <w:b/>
                <w:bCs/>
                <w:color w:val="000000"/>
                <w:sz w:val="20"/>
                <w:szCs w:val="20"/>
              </w:rPr>
            </w:pPr>
            <w:r w:rsidRPr="00422717">
              <w:rPr>
                <w:b/>
                <w:bCs/>
                <w:color w:val="000000"/>
                <w:sz w:val="20"/>
                <w:szCs w:val="20"/>
              </w:rPr>
              <w:t> </w:t>
            </w:r>
          </w:p>
        </w:tc>
      </w:tr>
      <w:tr w:rsidR="009F3E70" w:rsidRPr="00F70F99" w:rsidTr="0094192E">
        <w:trPr>
          <w:trHeight w:val="255"/>
        </w:trPr>
        <w:tc>
          <w:tcPr>
            <w:tcW w:w="4017"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9F3E70" w:rsidRPr="00F70F99" w:rsidRDefault="009F3E70" w:rsidP="009F3E70">
            <w:pPr>
              <w:rPr>
                <w:bCs/>
                <w:color w:val="000000"/>
                <w:sz w:val="20"/>
                <w:szCs w:val="20"/>
                <w:lang w:eastAsia="en-GB"/>
              </w:rPr>
            </w:pPr>
            <w:r w:rsidRPr="00F70F99">
              <w:rPr>
                <w:bCs/>
                <w:color w:val="000000"/>
                <w:sz w:val="20"/>
                <w:szCs w:val="20"/>
                <w:lang w:eastAsia="en-GB"/>
              </w:rPr>
              <w:t>Non Delegated Budgets</w:t>
            </w:r>
          </w:p>
        </w:tc>
        <w:tc>
          <w:tcPr>
            <w:tcW w:w="1434" w:type="dxa"/>
            <w:tcBorders>
              <w:top w:val="nil"/>
              <w:left w:val="nil"/>
              <w:bottom w:val="single" w:sz="4" w:space="0" w:color="auto"/>
              <w:right w:val="single" w:sz="8" w:space="0" w:color="auto"/>
            </w:tcBorders>
            <w:shd w:val="clear" w:color="auto" w:fill="auto"/>
            <w:vAlign w:val="center"/>
            <w:hideMark/>
          </w:tcPr>
          <w:p w:rsidR="009F3E70" w:rsidRDefault="009F3E70" w:rsidP="009F3E70">
            <w:pPr>
              <w:jc w:val="right"/>
              <w:rPr>
                <w:color w:val="000000"/>
                <w:sz w:val="20"/>
                <w:szCs w:val="20"/>
              </w:rPr>
            </w:pPr>
            <w:r>
              <w:rPr>
                <w:color w:val="000000"/>
                <w:sz w:val="20"/>
                <w:szCs w:val="20"/>
              </w:rPr>
              <w:t>41,552</w:t>
            </w:r>
          </w:p>
        </w:tc>
        <w:tc>
          <w:tcPr>
            <w:tcW w:w="1521" w:type="dxa"/>
            <w:tcBorders>
              <w:top w:val="nil"/>
              <w:left w:val="single" w:sz="4" w:space="0" w:color="auto"/>
              <w:bottom w:val="single" w:sz="4" w:space="0" w:color="auto"/>
              <w:right w:val="single" w:sz="4" w:space="0" w:color="auto"/>
            </w:tcBorders>
            <w:shd w:val="clear" w:color="auto" w:fill="auto"/>
            <w:vAlign w:val="center"/>
            <w:hideMark/>
          </w:tcPr>
          <w:p w:rsidR="009F3E70" w:rsidRDefault="009F3E70" w:rsidP="009F3E70">
            <w:pPr>
              <w:jc w:val="right"/>
              <w:rPr>
                <w:color w:val="000000"/>
                <w:sz w:val="20"/>
                <w:szCs w:val="20"/>
              </w:rPr>
            </w:pPr>
            <w:r>
              <w:rPr>
                <w:color w:val="FF0000"/>
                <w:sz w:val="20"/>
                <w:szCs w:val="20"/>
              </w:rPr>
              <w:t>(1,768)</w:t>
            </w:r>
          </w:p>
        </w:tc>
        <w:tc>
          <w:tcPr>
            <w:tcW w:w="1662" w:type="dxa"/>
            <w:tcBorders>
              <w:top w:val="nil"/>
              <w:left w:val="single" w:sz="4" w:space="0" w:color="auto"/>
              <w:bottom w:val="single" w:sz="4" w:space="0" w:color="auto"/>
              <w:right w:val="single" w:sz="4" w:space="0" w:color="auto"/>
            </w:tcBorders>
            <w:shd w:val="clear" w:color="auto" w:fill="auto"/>
            <w:vAlign w:val="center"/>
            <w:hideMark/>
          </w:tcPr>
          <w:p w:rsidR="009F3E70" w:rsidRDefault="009F3E70" w:rsidP="009F3E70">
            <w:pPr>
              <w:jc w:val="right"/>
              <w:rPr>
                <w:color w:val="000000"/>
                <w:sz w:val="20"/>
                <w:szCs w:val="20"/>
              </w:rPr>
            </w:pPr>
            <w:r>
              <w:rPr>
                <w:color w:val="FF0000"/>
                <w:sz w:val="20"/>
                <w:szCs w:val="20"/>
              </w:rPr>
              <w:t>(17,143)</w:t>
            </w:r>
          </w:p>
        </w:tc>
        <w:tc>
          <w:tcPr>
            <w:tcW w:w="1510" w:type="dxa"/>
            <w:tcBorders>
              <w:top w:val="nil"/>
              <w:left w:val="nil"/>
              <w:bottom w:val="single" w:sz="4" w:space="0" w:color="auto"/>
              <w:right w:val="single" w:sz="8" w:space="0" w:color="auto"/>
            </w:tcBorders>
            <w:shd w:val="clear" w:color="auto" w:fill="auto"/>
            <w:vAlign w:val="center"/>
          </w:tcPr>
          <w:p w:rsidR="009F3E70" w:rsidRPr="00B81BD1" w:rsidRDefault="009F3E70" w:rsidP="009F3E70">
            <w:pPr>
              <w:jc w:val="right"/>
              <w:rPr>
                <w:color w:val="000000"/>
                <w:sz w:val="20"/>
                <w:szCs w:val="20"/>
              </w:rPr>
            </w:pPr>
            <w:r w:rsidRPr="00B81BD1">
              <w:rPr>
                <w:color w:val="FF0000"/>
                <w:sz w:val="20"/>
                <w:szCs w:val="20"/>
              </w:rPr>
              <w:t>(18,884)</w:t>
            </w:r>
          </w:p>
        </w:tc>
        <w:tc>
          <w:tcPr>
            <w:tcW w:w="2120" w:type="dxa"/>
            <w:tcBorders>
              <w:top w:val="nil"/>
              <w:left w:val="single" w:sz="4" w:space="0" w:color="auto"/>
              <w:bottom w:val="single" w:sz="4" w:space="0" w:color="auto"/>
              <w:right w:val="single" w:sz="4" w:space="0" w:color="auto"/>
            </w:tcBorders>
            <w:shd w:val="clear" w:color="auto" w:fill="auto"/>
            <w:vAlign w:val="center"/>
          </w:tcPr>
          <w:p w:rsidR="009F3E70" w:rsidRPr="00B81BD1" w:rsidRDefault="009F3E70" w:rsidP="009F3E70">
            <w:pPr>
              <w:jc w:val="right"/>
              <w:rPr>
                <w:color w:val="000000"/>
                <w:sz w:val="20"/>
                <w:szCs w:val="20"/>
              </w:rPr>
            </w:pPr>
            <w:r w:rsidRPr="00B81BD1">
              <w:rPr>
                <w:color w:val="FF0000"/>
                <w:sz w:val="20"/>
                <w:szCs w:val="20"/>
              </w:rPr>
              <w:t>(16,975)</w:t>
            </w:r>
          </w:p>
        </w:tc>
        <w:tc>
          <w:tcPr>
            <w:tcW w:w="1629" w:type="dxa"/>
            <w:tcBorders>
              <w:top w:val="nil"/>
              <w:left w:val="single" w:sz="4" w:space="0" w:color="auto"/>
              <w:bottom w:val="single" w:sz="4" w:space="0" w:color="auto"/>
              <w:right w:val="single" w:sz="4" w:space="0" w:color="auto"/>
            </w:tcBorders>
            <w:vAlign w:val="center"/>
          </w:tcPr>
          <w:p w:rsidR="009F3E70" w:rsidRPr="00422717" w:rsidRDefault="009F3E70" w:rsidP="009F3E70">
            <w:pPr>
              <w:jc w:val="center"/>
              <w:rPr>
                <w:color w:val="000000"/>
                <w:sz w:val="20"/>
                <w:szCs w:val="20"/>
              </w:rPr>
            </w:pPr>
            <w:r>
              <w:rPr>
                <w:color w:val="000000"/>
                <w:sz w:val="20"/>
                <w:szCs w:val="20"/>
              </w:rPr>
              <w:t>3</w:t>
            </w:r>
            <w:r w:rsidRPr="00422717">
              <w:rPr>
                <w:color w:val="000000"/>
                <w:sz w:val="20"/>
                <w:szCs w:val="20"/>
              </w:rPr>
              <w:t>.8</w:t>
            </w:r>
          </w:p>
        </w:tc>
      </w:tr>
      <w:tr w:rsidR="009F3E70" w:rsidRPr="00F70F99" w:rsidTr="00B650E7">
        <w:trPr>
          <w:trHeight w:val="255"/>
        </w:trPr>
        <w:tc>
          <w:tcPr>
            <w:tcW w:w="4017" w:type="dxa"/>
            <w:tcBorders>
              <w:top w:val="nil"/>
              <w:left w:val="single" w:sz="8" w:space="0" w:color="auto"/>
              <w:bottom w:val="single" w:sz="8" w:space="0" w:color="auto"/>
              <w:right w:val="single" w:sz="8" w:space="0" w:color="auto"/>
            </w:tcBorders>
            <w:shd w:val="clear" w:color="auto" w:fill="auto"/>
            <w:vAlign w:val="center"/>
          </w:tcPr>
          <w:p w:rsidR="009F3E70" w:rsidRDefault="009F3E70" w:rsidP="009F3E70">
            <w:pPr>
              <w:rPr>
                <w:color w:val="000000"/>
                <w:sz w:val="20"/>
                <w:szCs w:val="20"/>
                <w:lang w:eastAsia="en-GB"/>
              </w:rPr>
            </w:pPr>
            <w:r>
              <w:rPr>
                <w:color w:val="000000"/>
                <w:sz w:val="20"/>
                <w:szCs w:val="20"/>
                <w:lang w:eastAsia="en-GB"/>
              </w:rPr>
              <w:t>Planned recurrent deficit</w:t>
            </w:r>
          </w:p>
        </w:tc>
        <w:tc>
          <w:tcPr>
            <w:tcW w:w="1434" w:type="dxa"/>
            <w:tcBorders>
              <w:top w:val="nil"/>
              <w:left w:val="nil"/>
              <w:bottom w:val="single" w:sz="8" w:space="0" w:color="auto"/>
              <w:right w:val="single" w:sz="8" w:space="0" w:color="auto"/>
            </w:tcBorders>
            <w:shd w:val="clear" w:color="auto" w:fill="D9D9D9" w:themeFill="background1" w:themeFillShade="D9"/>
            <w:vAlign w:val="center"/>
          </w:tcPr>
          <w:p w:rsidR="009F3E70" w:rsidRDefault="009F3E70" w:rsidP="009F3E70">
            <w:pPr>
              <w:jc w:val="right"/>
              <w:rPr>
                <w:color w:val="000000"/>
                <w:sz w:val="20"/>
                <w:szCs w:val="20"/>
              </w:rPr>
            </w:pPr>
            <w:r>
              <w:rPr>
                <w:color w:val="000000"/>
                <w:sz w:val="20"/>
                <w:szCs w:val="20"/>
              </w:rPr>
              <w:t> </w:t>
            </w:r>
          </w:p>
        </w:tc>
        <w:tc>
          <w:tcPr>
            <w:tcW w:w="1521" w:type="dxa"/>
            <w:tcBorders>
              <w:top w:val="nil"/>
              <w:left w:val="single" w:sz="4" w:space="0" w:color="auto"/>
              <w:bottom w:val="single" w:sz="8" w:space="0" w:color="auto"/>
              <w:right w:val="single" w:sz="4" w:space="0" w:color="auto"/>
            </w:tcBorders>
            <w:shd w:val="clear" w:color="auto" w:fill="D9D9D9" w:themeFill="background1" w:themeFillShade="D9"/>
            <w:vAlign w:val="center"/>
          </w:tcPr>
          <w:p w:rsidR="009F3E70" w:rsidRDefault="009F3E70" w:rsidP="009F3E70">
            <w:pPr>
              <w:jc w:val="right"/>
              <w:rPr>
                <w:color w:val="000000"/>
                <w:sz w:val="20"/>
                <w:szCs w:val="20"/>
              </w:rPr>
            </w:pPr>
            <w:r>
              <w:rPr>
                <w:color w:val="000000"/>
                <w:sz w:val="20"/>
                <w:szCs w:val="20"/>
              </w:rPr>
              <w:t>0</w:t>
            </w:r>
          </w:p>
        </w:tc>
        <w:tc>
          <w:tcPr>
            <w:tcW w:w="1662" w:type="dxa"/>
            <w:tcBorders>
              <w:top w:val="nil"/>
              <w:left w:val="single" w:sz="4" w:space="0" w:color="auto"/>
              <w:bottom w:val="single" w:sz="8" w:space="0" w:color="auto"/>
              <w:right w:val="single" w:sz="4" w:space="0" w:color="auto"/>
            </w:tcBorders>
            <w:shd w:val="clear" w:color="auto" w:fill="D9D9D9" w:themeFill="background1" w:themeFillShade="D9"/>
            <w:vAlign w:val="center"/>
          </w:tcPr>
          <w:p w:rsidR="009F3E70" w:rsidRDefault="009F3E70" w:rsidP="009F3E70">
            <w:pPr>
              <w:jc w:val="right"/>
              <w:rPr>
                <w:color w:val="000000"/>
                <w:sz w:val="20"/>
                <w:szCs w:val="20"/>
              </w:rPr>
            </w:pPr>
            <w:r>
              <w:rPr>
                <w:color w:val="000000"/>
                <w:sz w:val="20"/>
                <w:szCs w:val="20"/>
              </w:rPr>
              <w:t> </w:t>
            </w:r>
          </w:p>
        </w:tc>
        <w:tc>
          <w:tcPr>
            <w:tcW w:w="1510" w:type="dxa"/>
            <w:tcBorders>
              <w:top w:val="nil"/>
              <w:left w:val="nil"/>
              <w:bottom w:val="single" w:sz="8" w:space="0" w:color="auto"/>
              <w:right w:val="single" w:sz="8" w:space="0" w:color="auto"/>
            </w:tcBorders>
            <w:shd w:val="clear" w:color="auto" w:fill="D9D9D9" w:themeFill="background1" w:themeFillShade="D9"/>
            <w:vAlign w:val="center"/>
          </w:tcPr>
          <w:p w:rsidR="009F3E70" w:rsidRPr="00B81BD1" w:rsidRDefault="009F3E70" w:rsidP="009F3E70">
            <w:pPr>
              <w:jc w:val="right"/>
              <w:rPr>
                <w:color w:val="000000"/>
                <w:sz w:val="20"/>
                <w:szCs w:val="20"/>
              </w:rPr>
            </w:pPr>
            <w:r w:rsidRPr="00B81BD1">
              <w:rPr>
                <w:color w:val="000000"/>
                <w:sz w:val="20"/>
                <w:szCs w:val="20"/>
              </w:rPr>
              <w:t> </w:t>
            </w:r>
          </w:p>
        </w:tc>
        <w:tc>
          <w:tcPr>
            <w:tcW w:w="2120" w:type="dxa"/>
            <w:tcBorders>
              <w:top w:val="single" w:sz="4" w:space="0" w:color="auto"/>
              <w:left w:val="single" w:sz="4" w:space="0" w:color="auto"/>
              <w:bottom w:val="single" w:sz="8" w:space="0" w:color="auto"/>
              <w:right w:val="single" w:sz="4" w:space="0" w:color="auto"/>
            </w:tcBorders>
            <w:shd w:val="clear" w:color="auto" w:fill="auto"/>
            <w:vAlign w:val="center"/>
          </w:tcPr>
          <w:p w:rsidR="009F3E70" w:rsidRPr="00B81BD1" w:rsidRDefault="009F3E70" w:rsidP="009F3E70">
            <w:pPr>
              <w:jc w:val="right"/>
              <w:rPr>
                <w:color w:val="000000"/>
                <w:sz w:val="20"/>
                <w:szCs w:val="20"/>
              </w:rPr>
            </w:pPr>
            <w:r w:rsidRPr="00B81BD1">
              <w:rPr>
                <w:color w:val="000000"/>
                <w:sz w:val="20"/>
                <w:szCs w:val="20"/>
              </w:rPr>
              <w:t>3,500</w:t>
            </w:r>
          </w:p>
        </w:tc>
        <w:tc>
          <w:tcPr>
            <w:tcW w:w="1629" w:type="dxa"/>
            <w:tcBorders>
              <w:top w:val="single" w:sz="4" w:space="0" w:color="auto"/>
              <w:left w:val="single" w:sz="4" w:space="0" w:color="auto"/>
              <w:bottom w:val="single" w:sz="8" w:space="0" w:color="auto"/>
              <w:right w:val="single" w:sz="4" w:space="0" w:color="auto"/>
            </w:tcBorders>
            <w:vAlign w:val="center"/>
          </w:tcPr>
          <w:p w:rsidR="009F3E70" w:rsidRPr="00422717" w:rsidRDefault="009F3E70" w:rsidP="009F3E70">
            <w:pPr>
              <w:jc w:val="center"/>
              <w:rPr>
                <w:color w:val="000000"/>
                <w:sz w:val="20"/>
                <w:szCs w:val="20"/>
              </w:rPr>
            </w:pPr>
            <w:r w:rsidRPr="00422717">
              <w:rPr>
                <w:color w:val="000000"/>
                <w:sz w:val="20"/>
                <w:szCs w:val="20"/>
              </w:rPr>
              <w:t>See below</w:t>
            </w:r>
          </w:p>
        </w:tc>
      </w:tr>
      <w:tr w:rsidR="009F3E70" w:rsidRPr="00F70F99" w:rsidTr="00B650E7">
        <w:trPr>
          <w:trHeight w:val="255"/>
        </w:trPr>
        <w:tc>
          <w:tcPr>
            <w:tcW w:w="4017" w:type="dxa"/>
            <w:tcBorders>
              <w:top w:val="nil"/>
              <w:left w:val="single" w:sz="8" w:space="0" w:color="auto"/>
              <w:bottom w:val="single" w:sz="8" w:space="0" w:color="auto"/>
              <w:right w:val="single" w:sz="8" w:space="0" w:color="auto"/>
            </w:tcBorders>
            <w:shd w:val="clear" w:color="auto" w:fill="auto"/>
            <w:vAlign w:val="center"/>
          </w:tcPr>
          <w:p w:rsidR="009F3E70" w:rsidRDefault="009F3E70" w:rsidP="009F3E70">
            <w:pPr>
              <w:rPr>
                <w:color w:val="000000"/>
                <w:sz w:val="20"/>
                <w:szCs w:val="20"/>
                <w:lang w:eastAsia="en-GB"/>
              </w:rPr>
            </w:pPr>
            <w:r>
              <w:rPr>
                <w:color w:val="000000"/>
                <w:sz w:val="20"/>
                <w:szCs w:val="20"/>
                <w:lang w:eastAsia="en-GB"/>
              </w:rPr>
              <w:t>Unplanned Bridgend recurrent deficit</w:t>
            </w:r>
          </w:p>
        </w:tc>
        <w:tc>
          <w:tcPr>
            <w:tcW w:w="1434" w:type="dxa"/>
            <w:tcBorders>
              <w:top w:val="nil"/>
              <w:left w:val="nil"/>
              <w:bottom w:val="single" w:sz="8" w:space="0" w:color="auto"/>
              <w:right w:val="single" w:sz="8" w:space="0" w:color="auto"/>
            </w:tcBorders>
            <w:shd w:val="clear" w:color="auto" w:fill="D9D9D9" w:themeFill="background1" w:themeFillShade="D9"/>
            <w:vAlign w:val="center"/>
          </w:tcPr>
          <w:p w:rsidR="009F3E70" w:rsidRDefault="009F3E70" w:rsidP="009F3E70">
            <w:pPr>
              <w:jc w:val="right"/>
              <w:rPr>
                <w:color w:val="000000"/>
                <w:sz w:val="20"/>
                <w:szCs w:val="20"/>
              </w:rPr>
            </w:pPr>
            <w:r>
              <w:rPr>
                <w:color w:val="000000"/>
                <w:sz w:val="20"/>
                <w:szCs w:val="20"/>
              </w:rPr>
              <w:t> </w:t>
            </w:r>
          </w:p>
        </w:tc>
        <w:tc>
          <w:tcPr>
            <w:tcW w:w="1521" w:type="dxa"/>
            <w:tcBorders>
              <w:top w:val="nil"/>
              <w:left w:val="single" w:sz="4" w:space="0" w:color="auto"/>
              <w:bottom w:val="single" w:sz="8" w:space="0" w:color="auto"/>
              <w:right w:val="single" w:sz="4" w:space="0" w:color="auto"/>
            </w:tcBorders>
            <w:shd w:val="clear" w:color="auto" w:fill="D9D9D9" w:themeFill="background1" w:themeFillShade="D9"/>
            <w:vAlign w:val="center"/>
          </w:tcPr>
          <w:p w:rsidR="009F3E70" w:rsidRDefault="009F3E70" w:rsidP="009F3E70">
            <w:pPr>
              <w:jc w:val="right"/>
              <w:rPr>
                <w:color w:val="000000"/>
                <w:sz w:val="20"/>
                <w:szCs w:val="20"/>
              </w:rPr>
            </w:pPr>
            <w:r>
              <w:rPr>
                <w:color w:val="000000"/>
                <w:sz w:val="20"/>
                <w:szCs w:val="20"/>
              </w:rPr>
              <w:t>0</w:t>
            </w:r>
          </w:p>
        </w:tc>
        <w:tc>
          <w:tcPr>
            <w:tcW w:w="1662" w:type="dxa"/>
            <w:tcBorders>
              <w:top w:val="nil"/>
              <w:left w:val="single" w:sz="4" w:space="0" w:color="auto"/>
              <w:bottom w:val="single" w:sz="8" w:space="0" w:color="auto"/>
              <w:right w:val="single" w:sz="4" w:space="0" w:color="auto"/>
            </w:tcBorders>
            <w:shd w:val="clear" w:color="auto" w:fill="D9D9D9" w:themeFill="background1" w:themeFillShade="D9"/>
            <w:vAlign w:val="center"/>
          </w:tcPr>
          <w:p w:rsidR="009F3E70" w:rsidRDefault="009F3E70" w:rsidP="009F3E70">
            <w:pPr>
              <w:jc w:val="right"/>
              <w:rPr>
                <w:color w:val="000000"/>
                <w:sz w:val="20"/>
                <w:szCs w:val="20"/>
              </w:rPr>
            </w:pPr>
            <w:r>
              <w:rPr>
                <w:color w:val="000000"/>
                <w:sz w:val="20"/>
                <w:szCs w:val="20"/>
              </w:rPr>
              <w:t> </w:t>
            </w:r>
          </w:p>
        </w:tc>
        <w:tc>
          <w:tcPr>
            <w:tcW w:w="1510" w:type="dxa"/>
            <w:tcBorders>
              <w:top w:val="nil"/>
              <w:left w:val="nil"/>
              <w:bottom w:val="single" w:sz="8" w:space="0" w:color="auto"/>
              <w:right w:val="single" w:sz="8" w:space="0" w:color="auto"/>
            </w:tcBorders>
            <w:shd w:val="clear" w:color="auto" w:fill="D9D9D9" w:themeFill="background1" w:themeFillShade="D9"/>
            <w:vAlign w:val="center"/>
          </w:tcPr>
          <w:p w:rsidR="009F3E70" w:rsidRPr="00B81BD1" w:rsidRDefault="009F3E70" w:rsidP="009F3E70">
            <w:pPr>
              <w:jc w:val="right"/>
              <w:rPr>
                <w:color w:val="000000"/>
                <w:sz w:val="20"/>
                <w:szCs w:val="20"/>
              </w:rPr>
            </w:pPr>
            <w:r w:rsidRPr="00B81BD1">
              <w:rPr>
                <w:color w:val="000000"/>
                <w:sz w:val="20"/>
                <w:szCs w:val="20"/>
              </w:rPr>
              <w:t> </w:t>
            </w:r>
          </w:p>
        </w:tc>
        <w:tc>
          <w:tcPr>
            <w:tcW w:w="2120" w:type="dxa"/>
            <w:tcBorders>
              <w:top w:val="single" w:sz="4" w:space="0" w:color="auto"/>
              <w:left w:val="single" w:sz="4" w:space="0" w:color="auto"/>
              <w:bottom w:val="single" w:sz="8" w:space="0" w:color="auto"/>
              <w:right w:val="single" w:sz="4" w:space="0" w:color="auto"/>
            </w:tcBorders>
            <w:shd w:val="clear" w:color="auto" w:fill="auto"/>
            <w:vAlign w:val="center"/>
          </w:tcPr>
          <w:p w:rsidR="009F3E70" w:rsidRPr="00B81BD1" w:rsidRDefault="009F3E70" w:rsidP="009F3E70">
            <w:pPr>
              <w:jc w:val="right"/>
              <w:rPr>
                <w:color w:val="000000"/>
                <w:sz w:val="20"/>
                <w:szCs w:val="20"/>
              </w:rPr>
            </w:pPr>
            <w:r w:rsidRPr="00B81BD1">
              <w:rPr>
                <w:color w:val="000000"/>
                <w:sz w:val="20"/>
                <w:szCs w:val="20"/>
              </w:rPr>
              <w:t>7,400</w:t>
            </w:r>
          </w:p>
        </w:tc>
        <w:tc>
          <w:tcPr>
            <w:tcW w:w="1629" w:type="dxa"/>
            <w:tcBorders>
              <w:top w:val="single" w:sz="4" w:space="0" w:color="auto"/>
              <w:left w:val="single" w:sz="4" w:space="0" w:color="auto"/>
              <w:bottom w:val="single" w:sz="8" w:space="0" w:color="auto"/>
              <w:right w:val="single" w:sz="4" w:space="0" w:color="auto"/>
            </w:tcBorders>
            <w:vAlign w:val="center"/>
          </w:tcPr>
          <w:p w:rsidR="009F3E70" w:rsidRPr="00422717" w:rsidRDefault="009F3E70" w:rsidP="009F3E70">
            <w:pPr>
              <w:jc w:val="center"/>
              <w:rPr>
                <w:color w:val="000000"/>
                <w:sz w:val="20"/>
                <w:szCs w:val="20"/>
              </w:rPr>
            </w:pPr>
            <w:r w:rsidRPr="00422717">
              <w:rPr>
                <w:color w:val="000000"/>
                <w:sz w:val="20"/>
                <w:szCs w:val="20"/>
              </w:rPr>
              <w:t>See below</w:t>
            </w:r>
          </w:p>
        </w:tc>
      </w:tr>
      <w:tr w:rsidR="009F3E70" w:rsidRPr="00F70F99" w:rsidTr="0094192E">
        <w:trPr>
          <w:trHeight w:val="255"/>
        </w:trPr>
        <w:tc>
          <w:tcPr>
            <w:tcW w:w="4017" w:type="dxa"/>
            <w:tcBorders>
              <w:top w:val="nil"/>
              <w:left w:val="single" w:sz="8" w:space="0" w:color="auto"/>
              <w:bottom w:val="single" w:sz="8" w:space="0" w:color="auto"/>
              <w:right w:val="single" w:sz="8" w:space="0" w:color="auto"/>
            </w:tcBorders>
            <w:shd w:val="clear" w:color="auto" w:fill="auto"/>
            <w:vAlign w:val="center"/>
          </w:tcPr>
          <w:p w:rsidR="009F3E70" w:rsidRPr="00BD64B3" w:rsidRDefault="009F3E70" w:rsidP="009F3E70">
            <w:pPr>
              <w:rPr>
                <w:color w:val="000000"/>
                <w:sz w:val="20"/>
                <w:szCs w:val="20"/>
                <w:lang w:eastAsia="en-GB"/>
              </w:rPr>
            </w:pPr>
            <w:r w:rsidRPr="00BD64B3">
              <w:rPr>
                <w:color w:val="000000"/>
                <w:sz w:val="20"/>
                <w:szCs w:val="20"/>
                <w:lang w:eastAsia="en-GB"/>
              </w:rPr>
              <w:t>Other items</w:t>
            </w:r>
          </w:p>
        </w:tc>
        <w:tc>
          <w:tcPr>
            <w:tcW w:w="1434" w:type="dxa"/>
            <w:tcBorders>
              <w:top w:val="nil"/>
              <w:left w:val="nil"/>
              <w:bottom w:val="single" w:sz="8" w:space="0" w:color="auto"/>
              <w:right w:val="single" w:sz="8" w:space="0" w:color="auto"/>
            </w:tcBorders>
            <w:shd w:val="clear" w:color="auto" w:fill="auto"/>
            <w:vAlign w:val="center"/>
          </w:tcPr>
          <w:p w:rsidR="009F3E70" w:rsidRDefault="009F3E70" w:rsidP="009F3E70">
            <w:pPr>
              <w:jc w:val="right"/>
              <w:rPr>
                <w:color w:val="000000"/>
                <w:sz w:val="20"/>
                <w:szCs w:val="20"/>
              </w:rPr>
            </w:pPr>
            <w:r>
              <w:rPr>
                <w:color w:val="000000"/>
                <w:sz w:val="20"/>
                <w:szCs w:val="20"/>
              </w:rPr>
              <w:t>0</w:t>
            </w:r>
          </w:p>
        </w:tc>
        <w:tc>
          <w:tcPr>
            <w:tcW w:w="1521" w:type="dxa"/>
            <w:tcBorders>
              <w:top w:val="nil"/>
              <w:left w:val="single" w:sz="4" w:space="0" w:color="auto"/>
              <w:bottom w:val="single" w:sz="8" w:space="0" w:color="auto"/>
              <w:right w:val="single" w:sz="4" w:space="0" w:color="auto"/>
            </w:tcBorders>
            <w:shd w:val="clear" w:color="auto" w:fill="auto"/>
            <w:vAlign w:val="center"/>
          </w:tcPr>
          <w:p w:rsidR="009F3E70" w:rsidRDefault="009F3E70" w:rsidP="009F3E70">
            <w:pPr>
              <w:jc w:val="right"/>
              <w:rPr>
                <w:color w:val="000000"/>
                <w:sz w:val="20"/>
                <w:szCs w:val="20"/>
              </w:rPr>
            </w:pPr>
            <w:r>
              <w:rPr>
                <w:color w:val="000000"/>
                <w:sz w:val="20"/>
                <w:szCs w:val="20"/>
              </w:rPr>
              <w:t>0</w:t>
            </w:r>
          </w:p>
        </w:tc>
        <w:tc>
          <w:tcPr>
            <w:tcW w:w="1662" w:type="dxa"/>
            <w:tcBorders>
              <w:top w:val="nil"/>
              <w:left w:val="single" w:sz="4" w:space="0" w:color="auto"/>
              <w:bottom w:val="single" w:sz="8" w:space="0" w:color="auto"/>
              <w:right w:val="single" w:sz="4" w:space="0" w:color="auto"/>
            </w:tcBorders>
            <w:shd w:val="clear" w:color="auto" w:fill="auto"/>
            <w:vAlign w:val="center"/>
          </w:tcPr>
          <w:p w:rsidR="009F3E70" w:rsidRDefault="009F3E70" w:rsidP="009F3E70">
            <w:pPr>
              <w:jc w:val="right"/>
              <w:rPr>
                <w:color w:val="000000"/>
                <w:sz w:val="20"/>
                <w:szCs w:val="20"/>
              </w:rPr>
            </w:pPr>
            <w:r>
              <w:rPr>
                <w:color w:val="000000"/>
                <w:sz w:val="20"/>
                <w:szCs w:val="20"/>
              </w:rPr>
              <w:t>0</w:t>
            </w:r>
          </w:p>
        </w:tc>
        <w:tc>
          <w:tcPr>
            <w:tcW w:w="1510" w:type="dxa"/>
            <w:tcBorders>
              <w:top w:val="nil"/>
              <w:left w:val="nil"/>
              <w:bottom w:val="single" w:sz="8" w:space="0" w:color="auto"/>
              <w:right w:val="single" w:sz="8" w:space="0" w:color="auto"/>
            </w:tcBorders>
            <w:shd w:val="clear" w:color="auto" w:fill="auto"/>
            <w:vAlign w:val="center"/>
          </w:tcPr>
          <w:p w:rsidR="009F3E70" w:rsidRPr="00B81BD1" w:rsidRDefault="009F3E70" w:rsidP="009F3E70">
            <w:pPr>
              <w:jc w:val="right"/>
              <w:rPr>
                <w:color w:val="000000"/>
                <w:sz w:val="20"/>
                <w:szCs w:val="20"/>
              </w:rPr>
            </w:pPr>
            <w:r w:rsidRPr="00B81BD1">
              <w:rPr>
                <w:color w:val="000000"/>
                <w:sz w:val="20"/>
                <w:szCs w:val="20"/>
              </w:rPr>
              <w:t>0</w:t>
            </w:r>
          </w:p>
        </w:tc>
        <w:tc>
          <w:tcPr>
            <w:tcW w:w="2120" w:type="dxa"/>
            <w:tcBorders>
              <w:top w:val="single" w:sz="4" w:space="0" w:color="auto"/>
              <w:left w:val="single" w:sz="4" w:space="0" w:color="auto"/>
              <w:bottom w:val="single" w:sz="8" w:space="0" w:color="auto"/>
              <w:right w:val="single" w:sz="4" w:space="0" w:color="auto"/>
            </w:tcBorders>
            <w:shd w:val="clear" w:color="auto" w:fill="auto"/>
            <w:vAlign w:val="center"/>
          </w:tcPr>
          <w:p w:rsidR="009F3E70" w:rsidRPr="00B81BD1" w:rsidRDefault="009F3E70" w:rsidP="009F3E70">
            <w:pPr>
              <w:jc w:val="right"/>
              <w:rPr>
                <w:color w:val="000000"/>
                <w:sz w:val="20"/>
                <w:szCs w:val="20"/>
              </w:rPr>
            </w:pPr>
            <w:r w:rsidRPr="00B81BD1">
              <w:rPr>
                <w:color w:val="FF0000"/>
                <w:sz w:val="20"/>
                <w:szCs w:val="20"/>
              </w:rPr>
              <w:t>(4,816)</w:t>
            </w:r>
          </w:p>
        </w:tc>
        <w:tc>
          <w:tcPr>
            <w:tcW w:w="1629" w:type="dxa"/>
            <w:tcBorders>
              <w:top w:val="single" w:sz="4" w:space="0" w:color="auto"/>
              <w:left w:val="single" w:sz="4" w:space="0" w:color="auto"/>
              <w:bottom w:val="single" w:sz="8" w:space="0" w:color="auto"/>
              <w:right w:val="single" w:sz="4" w:space="0" w:color="auto"/>
            </w:tcBorders>
            <w:vAlign w:val="center"/>
          </w:tcPr>
          <w:p w:rsidR="009F3E70" w:rsidRPr="00422717" w:rsidRDefault="009F3E70" w:rsidP="009F3E70">
            <w:pPr>
              <w:jc w:val="center"/>
              <w:rPr>
                <w:color w:val="000000"/>
                <w:sz w:val="20"/>
                <w:szCs w:val="20"/>
              </w:rPr>
            </w:pPr>
            <w:r w:rsidRPr="00422717">
              <w:rPr>
                <w:color w:val="000000"/>
                <w:sz w:val="20"/>
                <w:szCs w:val="20"/>
              </w:rPr>
              <w:t>See below</w:t>
            </w:r>
          </w:p>
        </w:tc>
      </w:tr>
      <w:tr w:rsidR="009F3E70" w:rsidRPr="00F70F99" w:rsidTr="0094192E">
        <w:trPr>
          <w:trHeight w:val="255"/>
        </w:trPr>
        <w:tc>
          <w:tcPr>
            <w:tcW w:w="4017" w:type="dxa"/>
            <w:tcBorders>
              <w:top w:val="nil"/>
              <w:left w:val="single" w:sz="8" w:space="0" w:color="auto"/>
              <w:bottom w:val="single" w:sz="8" w:space="0" w:color="auto"/>
              <w:right w:val="single" w:sz="8" w:space="0" w:color="auto"/>
            </w:tcBorders>
            <w:shd w:val="clear" w:color="auto" w:fill="auto"/>
            <w:vAlign w:val="center"/>
            <w:hideMark/>
          </w:tcPr>
          <w:p w:rsidR="009F3E70" w:rsidRPr="00F70F99" w:rsidRDefault="009F3E70" w:rsidP="009F3E70">
            <w:pPr>
              <w:rPr>
                <w:color w:val="000000"/>
                <w:sz w:val="20"/>
                <w:szCs w:val="20"/>
                <w:lang w:eastAsia="en-GB"/>
              </w:rPr>
            </w:pPr>
            <w:r w:rsidRPr="00F70F99">
              <w:rPr>
                <w:color w:val="000000"/>
                <w:sz w:val="20"/>
                <w:szCs w:val="20"/>
                <w:lang w:eastAsia="en-GB"/>
              </w:rPr>
              <w:t>WG Allocations</w:t>
            </w:r>
          </w:p>
        </w:tc>
        <w:tc>
          <w:tcPr>
            <w:tcW w:w="1434" w:type="dxa"/>
            <w:tcBorders>
              <w:top w:val="nil"/>
              <w:left w:val="nil"/>
              <w:bottom w:val="single" w:sz="8" w:space="0" w:color="auto"/>
              <w:right w:val="single" w:sz="8" w:space="0" w:color="auto"/>
            </w:tcBorders>
            <w:shd w:val="clear" w:color="auto" w:fill="auto"/>
            <w:vAlign w:val="center"/>
            <w:hideMark/>
          </w:tcPr>
          <w:p w:rsidR="009F3E70" w:rsidRDefault="009F3E70" w:rsidP="009F3E70">
            <w:pPr>
              <w:jc w:val="right"/>
              <w:rPr>
                <w:color w:val="000000"/>
                <w:sz w:val="20"/>
                <w:szCs w:val="20"/>
              </w:rPr>
            </w:pPr>
            <w:r>
              <w:rPr>
                <w:color w:val="FF0000"/>
                <w:sz w:val="20"/>
                <w:szCs w:val="20"/>
              </w:rPr>
              <w:t>(1,041,653)</w:t>
            </w:r>
          </w:p>
        </w:tc>
        <w:tc>
          <w:tcPr>
            <w:tcW w:w="1521" w:type="dxa"/>
            <w:tcBorders>
              <w:top w:val="nil"/>
              <w:left w:val="single" w:sz="4" w:space="0" w:color="auto"/>
              <w:bottom w:val="single" w:sz="8" w:space="0" w:color="auto"/>
              <w:right w:val="single" w:sz="4" w:space="0" w:color="auto"/>
            </w:tcBorders>
            <w:shd w:val="clear" w:color="auto" w:fill="auto"/>
            <w:vAlign w:val="center"/>
            <w:hideMark/>
          </w:tcPr>
          <w:p w:rsidR="009F3E70" w:rsidRDefault="009F3E70" w:rsidP="009F3E70">
            <w:pPr>
              <w:jc w:val="right"/>
              <w:rPr>
                <w:color w:val="000000"/>
                <w:sz w:val="20"/>
                <w:szCs w:val="20"/>
              </w:rPr>
            </w:pPr>
            <w:r>
              <w:rPr>
                <w:color w:val="FF0000"/>
                <w:sz w:val="20"/>
                <w:szCs w:val="20"/>
              </w:rPr>
              <w:t>(0)</w:t>
            </w:r>
          </w:p>
        </w:tc>
        <w:tc>
          <w:tcPr>
            <w:tcW w:w="1662" w:type="dxa"/>
            <w:tcBorders>
              <w:top w:val="nil"/>
              <w:left w:val="single" w:sz="4" w:space="0" w:color="auto"/>
              <w:bottom w:val="single" w:sz="8" w:space="0" w:color="auto"/>
              <w:right w:val="single" w:sz="4" w:space="0" w:color="auto"/>
            </w:tcBorders>
            <w:shd w:val="clear" w:color="auto" w:fill="auto"/>
            <w:vAlign w:val="center"/>
            <w:hideMark/>
          </w:tcPr>
          <w:p w:rsidR="009F3E70" w:rsidRDefault="009F3E70" w:rsidP="009F3E70">
            <w:pPr>
              <w:jc w:val="right"/>
              <w:rPr>
                <w:color w:val="000000"/>
                <w:sz w:val="20"/>
                <w:szCs w:val="20"/>
              </w:rPr>
            </w:pPr>
            <w:r>
              <w:rPr>
                <w:color w:val="FF0000"/>
                <w:sz w:val="20"/>
                <w:szCs w:val="20"/>
              </w:rPr>
              <w:t>(0)</w:t>
            </w:r>
          </w:p>
        </w:tc>
        <w:tc>
          <w:tcPr>
            <w:tcW w:w="1510" w:type="dxa"/>
            <w:tcBorders>
              <w:top w:val="nil"/>
              <w:left w:val="nil"/>
              <w:bottom w:val="single" w:sz="8" w:space="0" w:color="auto"/>
              <w:right w:val="single" w:sz="8" w:space="0" w:color="auto"/>
            </w:tcBorders>
            <w:shd w:val="clear" w:color="auto" w:fill="auto"/>
            <w:vAlign w:val="center"/>
          </w:tcPr>
          <w:p w:rsidR="009F3E70" w:rsidRPr="00B81BD1" w:rsidRDefault="009F3E70" w:rsidP="009F3E70">
            <w:pPr>
              <w:jc w:val="right"/>
              <w:rPr>
                <w:sz w:val="20"/>
                <w:szCs w:val="20"/>
              </w:rPr>
            </w:pPr>
            <w:r w:rsidRPr="00B81BD1">
              <w:rPr>
                <w:sz w:val="20"/>
                <w:szCs w:val="20"/>
              </w:rPr>
              <w:t>0</w:t>
            </w:r>
          </w:p>
        </w:tc>
        <w:tc>
          <w:tcPr>
            <w:tcW w:w="2120" w:type="dxa"/>
            <w:tcBorders>
              <w:top w:val="single" w:sz="4" w:space="0" w:color="auto"/>
              <w:left w:val="single" w:sz="4" w:space="0" w:color="auto"/>
              <w:bottom w:val="single" w:sz="8" w:space="0" w:color="auto"/>
              <w:right w:val="single" w:sz="4" w:space="0" w:color="auto"/>
            </w:tcBorders>
            <w:shd w:val="clear" w:color="auto" w:fill="auto"/>
            <w:vAlign w:val="center"/>
          </w:tcPr>
          <w:p w:rsidR="009F3E70" w:rsidRPr="00B81BD1" w:rsidRDefault="009F3E70" w:rsidP="009F3E70">
            <w:pPr>
              <w:jc w:val="right"/>
              <w:rPr>
                <w:color w:val="000000"/>
                <w:sz w:val="20"/>
                <w:szCs w:val="20"/>
              </w:rPr>
            </w:pPr>
            <w:r w:rsidRPr="00B81BD1">
              <w:rPr>
                <w:color w:val="000000"/>
                <w:sz w:val="20"/>
                <w:szCs w:val="20"/>
              </w:rPr>
              <w:t>0</w:t>
            </w:r>
          </w:p>
        </w:tc>
        <w:tc>
          <w:tcPr>
            <w:tcW w:w="1629" w:type="dxa"/>
            <w:tcBorders>
              <w:top w:val="single" w:sz="4" w:space="0" w:color="auto"/>
              <w:left w:val="single" w:sz="4" w:space="0" w:color="auto"/>
              <w:bottom w:val="single" w:sz="8" w:space="0" w:color="auto"/>
              <w:right w:val="single" w:sz="4" w:space="0" w:color="auto"/>
            </w:tcBorders>
            <w:vAlign w:val="center"/>
          </w:tcPr>
          <w:p w:rsidR="009F3E70" w:rsidRPr="00422717" w:rsidRDefault="009F3E70" w:rsidP="009F3E70">
            <w:pPr>
              <w:jc w:val="center"/>
              <w:rPr>
                <w:color w:val="000000"/>
                <w:sz w:val="20"/>
                <w:szCs w:val="20"/>
              </w:rPr>
            </w:pPr>
            <w:r>
              <w:rPr>
                <w:color w:val="000000"/>
                <w:sz w:val="20"/>
                <w:szCs w:val="20"/>
              </w:rPr>
              <w:t>3</w:t>
            </w:r>
            <w:r w:rsidRPr="00422717">
              <w:rPr>
                <w:color w:val="000000"/>
                <w:sz w:val="20"/>
                <w:szCs w:val="20"/>
              </w:rPr>
              <w:t>.9</w:t>
            </w:r>
          </w:p>
        </w:tc>
      </w:tr>
      <w:tr w:rsidR="009F3E70" w:rsidRPr="00F70F99" w:rsidTr="0094192E">
        <w:trPr>
          <w:trHeight w:val="270"/>
        </w:trPr>
        <w:tc>
          <w:tcPr>
            <w:tcW w:w="4017" w:type="dxa"/>
            <w:tcBorders>
              <w:top w:val="single" w:sz="8" w:space="0" w:color="auto"/>
              <w:left w:val="single" w:sz="8" w:space="0" w:color="auto"/>
              <w:bottom w:val="single" w:sz="8" w:space="0" w:color="auto"/>
              <w:right w:val="single" w:sz="8" w:space="0" w:color="auto"/>
            </w:tcBorders>
            <w:shd w:val="clear" w:color="000000" w:fill="8DB3E2" w:themeFill="text2" w:themeFillTint="66"/>
            <w:vAlign w:val="center"/>
            <w:hideMark/>
          </w:tcPr>
          <w:p w:rsidR="009F3E70" w:rsidRPr="00F70F99" w:rsidRDefault="009F3E70" w:rsidP="009F3E70">
            <w:pPr>
              <w:jc w:val="right"/>
              <w:rPr>
                <w:b/>
                <w:bCs/>
                <w:color w:val="000000"/>
                <w:sz w:val="20"/>
                <w:szCs w:val="20"/>
                <w:lang w:eastAsia="en-GB"/>
              </w:rPr>
            </w:pPr>
            <w:r w:rsidRPr="00F70F99">
              <w:rPr>
                <w:b/>
                <w:bCs/>
                <w:color w:val="000000"/>
                <w:sz w:val="20"/>
                <w:szCs w:val="20"/>
                <w:lang w:eastAsia="en-GB"/>
              </w:rPr>
              <w:t>GRAND TOTAL M</w:t>
            </w:r>
            <w:r>
              <w:rPr>
                <w:b/>
                <w:bCs/>
                <w:color w:val="000000"/>
                <w:sz w:val="20"/>
                <w:szCs w:val="20"/>
                <w:lang w:eastAsia="en-GB"/>
              </w:rPr>
              <w:t>11</w:t>
            </w:r>
          </w:p>
        </w:tc>
        <w:tc>
          <w:tcPr>
            <w:tcW w:w="1434" w:type="dxa"/>
            <w:tcBorders>
              <w:top w:val="single" w:sz="8" w:space="0" w:color="auto"/>
              <w:left w:val="nil"/>
              <w:bottom w:val="single" w:sz="8" w:space="0" w:color="auto"/>
              <w:right w:val="single" w:sz="8" w:space="0" w:color="auto"/>
            </w:tcBorders>
            <w:shd w:val="clear" w:color="000000" w:fill="8DB3E2" w:themeFill="text2" w:themeFillTint="66"/>
            <w:vAlign w:val="center"/>
            <w:hideMark/>
          </w:tcPr>
          <w:p w:rsidR="009F3E70" w:rsidRDefault="009F3E70" w:rsidP="009F3E70">
            <w:pPr>
              <w:jc w:val="right"/>
              <w:rPr>
                <w:b/>
                <w:bCs/>
                <w:color w:val="000000"/>
                <w:sz w:val="20"/>
                <w:szCs w:val="20"/>
              </w:rPr>
            </w:pPr>
            <w:r>
              <w:rPr>
                <w:b/>
                <w:bCs/>
                <w:color w:val="000000"/>
                <w:sz w:val="20"/>
                <w:szCs w:val="20"/>
              </w:rPr>
              <w:t>0</w:t>
            </w:r>
          </w:p>
        </w:tc>
        <w:tc>
          <w:tcPr>
            <w:tcW w:w="1521"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9F3E70" w:rsidRDefault="009F3E70" w:rsidP="009F3E70">
            <w:pPr>
              <w:jc w:val="right"/>
              <w:rPr>
                <w:b/>
                <w:bCs/>
                <w:color w:val="000000"/>
                <w:sz w:val="20"/>
                <w:szCs w:val="20"/>
              </w:rPr>
            </w:pPr>
            <w:r>
              <w:rPr>
                <w:b/>
                <w:bCs/>
                <w:color w:val="FF0000"/>
                <w:sz w:val="20"/>
                <w:szCs w:val="20"/>
              </w:rPr>
              <w:t>(305)</w:t>
            </w:r>
          </w:p>
        </w:tc>
        <w:tc>
          <w:tcPr>
            <w:tcW w:w="1662"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9F3E70" w:rsidRDefault="009F3E70" w:rsidP="009F3E70">
            <w:pPr>
              <w:jc w:val="right"/>
              <w:rPr>
                <w:b/>
                <w:bCs/>
                <w:color w:val="000000"/>
                <w:sz w:val="20"/>
                <w:szCs w:val="20"/>
              </w:rPr>
            </w:pPr>
            <w:r>
              <w:rPr>
                <w:b/>
                <w:bCs/>
                <w:color w:val="FF0000"/>
                <w:sz w:val="20"/>
                <w:szCs w:val="20"/>
              </w:rPr>
              <w:t>(1)</w:t>
            </w:r>
          </w:p>
        </w:tc>
        <w:tc>
          <w:tcPr>
            <w:tcW w:w="1510" w:type="dxa"/>
            <w:tcBorders>
              <w:top w:val="single" w:sz="8" w:space="0" w:color="auto"/>
              <w:left w:val="nil"/>
              <w:bottom w:val="single" w:sz="8" w:space="0" w:color="auto"/>
              <w:right w:val="single" w:sz="8" w:space="0" w:color="auto"/>
            </w:tcBorders>
            <w:shd w:val="clear" w:color="000000" w:fill="8DB3E2" w:themeFill="text2" w:themeFillTint="66"/>
            <w:vAlign w:val="center"/>
          </w:tcPr>
          <w:p w:rsidR="009F3E70" w:rsidRPr="00B81BD1" w:rsidRDefault="009F3E70" w:rsidP="009F3E70">
            <w:pPr>
              <w:jc w:val="right"/>
              <w:rPr>
                <w:b/>
                <w:bCs/>
                <w:color w:val="000000"/>
                <w:sz w:val="20"/>
                <w:szCs w:val="20"/>
              </w:rPr>
            </w:pPr>
            <w:r w:rsidRPr="00B81BD1">
              <w:rPr>
                <w:b/>
                <w:bCs/>
                <w:color w:val="000000"/>
                <w:sz w:val="20"/>
                <w:szCs w:val="20"/>
              </w:rPr>
              <w:t>0</w:t>
            </w:r>
          </w:p>
        </w:tc>
        <w:tc>
          <w:tcPr>
            <w:tcW w:w="2120"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tcPr>
          <w:p w:rsidR="009F3E70" w:rsidRDefault="009F3E70" w:rsidP="009F3E70">
            <w:pPr>
              <w:jc w:val="right"/>
              <w:rPr>
                <w:b/>
                <w:bCs/>
                <w:color w:val="000000"/>
                <w:sz w:val="20"/>
                <w:szCs w:val="20"/>
              </w:rPr>
            </w:pPr>
            <w:r>
              <w:rPr>
                <w:b/>
                <w:bCs/>
                <w:color w:val="000000"/>
                <w:sz w:val="20"/>
                <w:szCs w:val="20"/>
              </w:rPr>
              <w:t>11,900</w:t>
            </w:r>
          </w:p>
        </w:tc>
        <w:tc>
          <w:tcPr>
            <w:tcW w:w="1629" w:type="dxa"/>
            <w:tcBorders>
              <w:top w:val="single" w:sz="8" w:space="0" w:color="auto"/>
              <w:left w:val="single" w:sz="4" w:space="0" w:color="auto"/>
              <w:bottom w:val="single" w:sz="8" w:space="0" w:color="auto"/>
              <w:right w:val="single" w:sz="8" w:space="0" w:color="auto"/>
            </w:tcBorders>
            <w:shd w:val="clear" w:color="000000" w:fill="8DB3E2" w:themeFill="text2" w:themeFillTint="66"/>
            <w:vAlign w:val="center"/>
          </w:tcPr>
          <w:p w:rsidR="009F3E70" w:rsidRPr="0088471F" w:rsidRDefault="009F3E70" w:rsidP="009F3E70">
            <w:pPr>
              <w:jc w:val="center"/>
              <w:rPr>
                <w:b/>
                <w:bCs/>
                <w:color w:val="000000"/>
                <w:sz w:val="20"/>
                <w:szCs w:val="20"/>
              </w:rPr>
            </w:pPr>
            <w:r w:rsidRPr="0088471F">
              <w:rPr>
                <w:b/>
                <w:bCs/>
                <w:color w:val="000000"/>
                <w:sz w:val="20"/>
                <w:szCs w:val="20"/>
              </w:rPr>
              <w:t> </w:t>
            </w:r>
          </w:p>
        </w:tc>
      </w:tr>
      <w:tr w:rsidR="009F3E70" w:rsidRPr="00F70F99" w:rsidTr="0094192E">
        <w:trPr>
          <w:trHeight w:val="270"/>
        </w:trPr>
        <w:tc>
          <w:tcPr>
            <w:tcW w:w="4017" w:type="dxa"/>
            <w:tcBorders>
              <w:top w:val="single" w:sz="8" w:space="0" w:color="auto"/>
              <w:left w:val="single" w:sz="8" w:space="0" w:color="auto"/>
              <w:bottom w:val="single" w:sz="8" w:space="0" w:color="auto"/>
              <w:right w:val="single" w:sz="8" w:space="0" w:color="auto"/>
            </w:tcBorders>
            <w:shd w:val="clear" w:color="auto" w:fill="auto"/>
            <w:vAlign w:val="center"/>
          </w:tcPr>
          <w:p w:rsidR="009F3E70" w:rsidRPr="00F70F99" w:rsidRDefault="009F3E70" w:rsidP="009F3E70">
            <w:pPr>
              <w:jc w:val="right"/>
              <w:rPr>
                <w:b/>
                <w:bCs/>
                <w:color w:val="000000"/>
                <w:sz w:val="20"/>
                <w:szCs w:val="20"/>
                <w:lang w:eastAsia="en-GB"/>
              </w:rPr>
            </w:pPr>
          </w:p>
        </w:tc>
        <w:tc>
          <w:tcPr>
            <w:tcW w:w="1434" w:type="dxa"/>
            <w:tcBorders>
              <w:top w:val="single" w:sz="8" w:space="0" w:color="auto"/>
              <w:left w:val="nil"/>
              <w:bottom w:val="single" w:sz="8" w:space="0" w:color="auto"/>
              <w:right w:val="single" w:sz="8" w:space="0" w:color="auto"/>
            </w:tcBorders>
            <w:shd w:val="clear" w:color="auto" w:fill="auto"/>
            <w:vAlign w:val="center"/>
          </w:tcPr>
          <w:p w:rsidR="009F3E70" w:rsidRPr="00A57C63" w:rsidRDefault="009F3E70" w:rsidP="009F3E70">
            <w:pPr>
              <w:jc w:val="right"/>
              <w:rPr>
                <w:b/>
                <w:bCs/>
                <w:color w:val="000000"/>
                <w:sz w:val="20"/>
                <w:szCs w:val="20"/>
                <w:highlight w:val="yellow"/>
              </w:rPr>
            </w:pPr>
          </w:p>
        </w:tc>
        <w:tc>
          <w:tcPr>
            <w:tcW w:w="1521" w:type="dxa"/>
            <w:tcBorders>
              <w:top w:val="single" w:sz="8" w:space="0" w:color="auto"/>
              <w:left w:val="single" w:sz="4" w:space="0" w:color="auto"/>
              <w:bottom w:val="single" w:sz="8" w:space="0" w:color="auto"/>
              <w:right w:val="single" w:sz="4" w:space="0" w:color="auto"/>
            </w:tcBorders>
            <w:shd w:val="clear" w:color="auto" w:fill="auto"/>
            <w:vAlign w:val="center"/>
          </w:tcPr>
          <w:p w:rsidR="009F3E70" w:rsidRPr="00236B40" w:rsidRDefault="009F3E70" w:rsidP="009F3E70">
            <w:pPr>
              <w:jc w:val="right"/>
              <w:rPr>
                <w:b/>
                <w:bCs/>
                <w:color w:val="FF0000"/>
                <w:sz w:val="20"/>
                <w:szCs w:val="20"/>
              </w:rPr>
            </w:pPr>
          </w:p>
        </w:tc>
        <w:tc>
          <w:tcPr>
            <w:tcW w:w="1662" w:type="dxa"/>
            <w:tcBorders>
              <w:top w:val="single" w:sz="8" w:space="0" w:color="auto"/>
              <w:left w:val="single" w:sz="4" w:space="0" w:color="auto"/>
              <w:bottom w:val="single" w:sz="8" w:space="0" w:color="auto"/>
              <w:right w:val="single" w:sz="4" w:space="0" w:color="auto"/>
            </w:tcBorders>
            <w:shd w:val="clear" w:color="auto" w:fill="auto"/>
            <w:vAlign w:val="center"/>
          </w:tcPr>
          <w:p w:rsidR="009F3E70" w:rsidRPr="00236B40" w:rsidRDefault="009F3E70" w:rsidP="009F3E70">
            <w:pPr>
              <w:jc w:val="right"/>
              <w:rPr>
                <w:b/>
                <w:bCs/>
                <w:color w:val="000000"/>
                <w:sz w:val="20"/>
                <w:szCs w:val="20"/>
              </w:rPr>
            </w:pPr>
          </w:p>
        </w:tc>
        <w:tc>
          <w:tcPr>
            <w:tcW w:w="1510" w:type="dxa"/>
            <w:tcBorders>
              <w:top w:val="single" w:sz="8" w:space="0" w:color="auto"/>
              <w:left w:val="nil"/>
              <w:bottom w:val="single" w:sz="8" w:space="0" w:color="auto"/>
              <w:right w:val="single" w:sz="8" w:space="0" w:color="auto"/>
            </w:tcBorders>
            <w:shd w:val="clear" w:color="auto" w:fill="auto"/>
            <w:vAlign w:val="center"/>
          </w:tcPr>
          <w:p w:rsidR="009F3E70" w:rsidRPr="00402CA4" w:rsidRDefault="009F3E70" w:rsidP="009F3E70">
            <w:pPr>
              <w:jc w:val="right"/>
              <w:rPr>
                <w:b/>
                <w:bCs/>
                <w:color w:val="FF0000"/>
                <w:sz w:val="20"/>
                <w:szCs w:val="20"/>
              </w:rPr>
            </w:pPr>
          </w:p>
        </w:tc>
        <w:tc>
          <w:tcPr>
            <w:tcW w:w="2120" w:type="dxa"/>
            <w:tcBorders>
              <w:top w:val="single" w:sz="8" w:space="0" w:color="auto"/>
              <w:left w:val="single" w:sz="4" w:space="0" w:color="auto"/>
              <w:bottom w:val="single" w:sz="8" w:space="0" w:color="auto"/>
              <w:right w:val="single" w:sz="4" w:space="0" w:color="auto"/>
            </w:tcBorders>
            <w:shd w:val="clear" w:color="auto" w:fill="auto"/>
            <w:vAlign w:val="center"/>
          </w:tcPr>
          <w:p w:rsidR="009F3E70" w:rsidRPr="00AE60A7" w:rsidRDefault="009F3E70" w:rsidP="009F3E70">
            <w:pPr>
              <w:jc w:val="right"/>
              <w:rPr>
                <w:b/>
                <w:bCs/>
                <w:color w:val="FF0000"/>
                <w:sz w:val="20"/>
                <w:szCs w:val="20"/>
                <w:highlight w:val="yellow"/>
              </w:rPr>
            </w:pPr>
          </w:p>
        </w:tc>
        <w:tc>
          <w:tcPr>
            <w:tcW w:w="1629" w:type="dxa"/>
            <w:tcBorders>
              <w:top w:val="single" w:sz="8" w:space="0" w:color="auto"/>
              <w:left w:val="single" w:sz="4" w:space="0" w:color="auto"/>
              <w:bottom w:val="single" w:sz="8" w:space="0" w:color="auto"/>
              <w:right w:val="single" w:sz="4" w:space="0" w:color="auto"/>
            </w:tcBorders>
            <w:shd w:val="clear" w:color="auto" w:fill="auto"/>
          </w:tcPr>
          <w:p w:rsidR="009F3E70" w:rsidRPr="0088471F" w:rsidRDefault="009F3E70" w:rsidP="009F3E70">
            <w:pPr>
              <w:jc w:val="right"/>
              <w:rPr>
                <w:b/>
                <w:bCs/>
                <w:sz w:val="20"/>
                <w:szCs w:val="20"/>
              </w:rPr>
            </w:pPr>
          </w:p>
        </w:tc>
      </w:tr>
      <w:tr w:rsidR="009F3E70" w:rsidRPr="00BF0FEA" w:rsidTr="0094192E">
        <w:trPr>
          <w:trHeight w:val="270"/>
        </w:trPr>
        <w:tc>
          <w:tcPr>
            <w:tcW w:w="4017" w:type="dxa"/>
            <w:tcBorders>
              <w:top w:val="nil"/>
              <w:left w:val="single" w:sz="8" w:space="0" w:color="auto"/>
              <w:bottom w:val="single" w:sz="8" w:space="0" w:color="auto"/>
              <w:right w:val="single" w:sz="8" w:space="0" w:color="auto"/>
            </w:tcBorders>
            <w:shd w:val="clear" w:color="000000" w:fill="8DB3E2" w:themeFill="text2" w:themeFillTint="66"/>
            <w:vAlign w:val="center"/>
          </w:tcPr>
          <w:p w:rsidR="009F3E70" w:rsidRPr="00F70F99" w:rsidRDefault="009F3E70" w:rsidP="009F3E70">
            <w:pPr>
              <w:jc w:val="right"/>
              <w:rPr>
                <w:b/>
                <w:bCs/>
                <w:color w:val="000000"/>
                <w:sz w:val="20"/>
                <w:szCs w:val="20"/>
                <w:lang w:eastAsia="en-GB"/>
              </w:rPr>
            </w:pPr>
            <w:r w:rsidRPr="00F70F99">
              <w:rPr>
                <w:b/>
                <w:bCs/>
                <w:color w:val="000000"/>
                <w:sz w:val="20"/>
                <w:szCs w:val="20"/>
                <w:lang w:eastAsia="en-GB"/>
              </w:rPr>
              <w:t>GRAND TOTAL M</w:t>
            </w:r>
            <w:r>
              <w:rPr>
                <w:b/>
                <w:bCs/>
                <w:color w:val="000000"/>
                <w:sz w:val="20"/>
                <w:szCs w:val="20"/>
                <w:lang w:eastAsia="en-GB"/>
              </w:rPr>
              <w:t>10</w:t>
            </w:r>
          </w:p>
        </w:tc>
        <w:tc>
          <w:tcPr>
            <w:tcW w:w="1434" w:type="dxa"/>
            <w:tcBorders>
              <w:top w:val="nil"/>
              <w:left w:val="nil"/>
              <w:bottom w:val="single" w:sz="8" w:space="0" w:color="auto"/>
              <w:right w:val="single" w:sz="8" w:space="0" w:color="auto"/>
            </w:tcBorders>
            <w:shd w:val="clear" w:color="000000" w:fill="8DB3E2" w:themeFill="text2" w:themeFillTint="66"/>
            <w:vAlign w:val="center"/>
          </w:tcPr>
          <w:p w:rsidR="009F3E70" w:rsidRPr="003062F4" w:rsidRDefault="009F3E70" w:rsidP="009F3E70">
            <w:pPr>
              <w:jc w:val="right"/>
              <w:rPr>
                <w:b/>
                <w:bCs/>
                <w:color w:val="000000"/>
                <w:sz w:val="20"/>
                <w:szCs w:val="20"/>
              </w:rPr>
            </w:pPr>
            <w:r w:rsidRPr="003062F4">
              <w:rPr>
                <w:b/>
                <w:bCs/>
                <w:color w:val="000000"/>
                <w:sz w:val="20"/>
                <w:szCs w:val="20"/>
              </w:rPr>
              <w:t>0</w:t>
            </w:r>
          </w:p>
        </w:tc>
        <w:tc>
          <w:tcPr>
            <w:tcW w:w="1521" w:type="dxa"/>
            <w:tcBorders>
              <w:top w:val="nil"/>
              <w:left w:val="single" w:sz="4" w:space="0" w:color="auto"/>
              <w:bottom w:val="single" w:sz="8" w:space="0" w:color="auto"/>
              <w:right w:val="single" w:sz="4" w:space="0" w:color="auto"/>
            </w:tcBorders>
            <w:shd w:val="clear" w:color="000000" w:fill="8DB3E2" w:themeFill="text2" w:themeFillTint="66"/>
            <w:vAlign w:val="center"/>
          </w:tcPr>
          <w:p w:rsidR="009F3E70" w:rsidRPr="003062F4" w:rsidRDefault="009F3E70" w:rsidP="009F3E70">
            <w:pPr>
              <w:jc w:val="right"/>
              <w:rPr>
                <w:b/>
                <w:bCs/>
                <w:color w:val="000000"/>
                <w:sz w:val="20"/>
                <w:szCs w:val="20"/>
              </w:rPr>
            </w:pPr>
            <w:r w:rsidRPr="003062F4">
              <w:rPr>
                <w:b/>
                <w:bCs/>
                <w:color w:val="FF0000"/>
                <w:sz w:val="20"/>
                <w:szCs w:val="20"/>
              </w:rPr>
              <w:t>(201)</w:t>
            </w:r>
          </w:p>
        </w:tc>
        <w:tc>
          <w:tcPr>
            <w:tcW w:w="1662" w:type="dxa"/>
            <w:tcBorders>
              <w:top w:val="nil"/>
              <w:left w:val="single" w:sz="4" w:space="0" w:color="auto"/>
              <w:bottom w:val="single" w:sz="8" w:space="0" w:color="auto"/>
              <w:right w:val="single" w:sz="4" w:space="0" w:color="auto"/>
            </w:tcBorders>
            <w:shd w:val="clear" w:color="000000" w:fill="8DB3E2" w:themeFill="text2" w:themeFillTint="66"/>
            <w:vAlign w:val="center"/>
          </w:tcPr>
          <w:p w:rsidR="009F3E70" w:rsidRPr="003062F4" w:rsidRDefault="009F3E70" w:rsidP="009F3E70">
            <w:pPr>
              <w:jc w:val="right"/>
              <w:rPr>
                <w:b/>
                <w:bCs/>
                <w:color w:val="000000"/>
                <w:sz w:val="20"/>
                <w:szCs w:val="20"/>
              </w:rPr>
            </w:pPr>
            <w:r w:rsidRPr="003062F4">
              <w:rPr>
                <w:b/>
                <w:bCs/>
                <w:color w:val="000000"/>
                <w:sz w:val="20"/>
                <w:szCs w:val="20"/>
              </w:rPr>
              <w:t>304</w:t>
            </w:r>
          </w:p>
        </w:tc>
        <w:tc>
          <w:tcPr>
            <w:tcW w:w="1510" w:type="dxa"/>
            <w:tcBorders>
              <w:top w:val="nil"/>
              <w:left w:val="nil"/>
              <w:bottom w:val="single" w:sz="8" w:space="0" w:color="auto"/>
              <w:right w:val="single" w:sz="8" w:space="0" w:color="auto"/>
            </w:tcBorders>
            <w:shd w:val="clear" w:color="000000" w:fill="8DB3E2" w:themeFill="text2" w:themeFillTint="66"/>
            <w:vAlign w:val="center"/>
          </w:tcPr>
          <w:p w:rsidR="009F3E70" w:rsidRDefault="009F3E70" w:rsidP="009F3E70">
            <w:pPr>
              <w:jc w:val="right"/>
              <w:rPr>
                <w:b/>
                <w:bCs/>
                <w:color w:val="000000"/>
                <w:sz w:val="20"/>
                <w:szCs w:val="20"/>
              </w:rPr>
            </w:pPr>
            <w:r>
              <w:rPr>
                <w:b/>
                <w:bCs/>
                <w:color w:val="000000"/>
                <w:sz w:val="20"/>
                <w:szCs w:val="20"/>
              </w:rPr>
              <w:t>0</w:t>
            </w:r>
          </w:p>
        </w:tc>
        <w:tc>
          <w:tcPr>
            <w:tcW w:w="2120" w:type="dxa"/>
            <w:tcBorders>
              <w:top w:val="nil"/>
              <w:left w:val="single" w:sz="4" w:space="0" w:color="auto"/>
              <w:bottom w:val="single" w:sz="8" w:space="0" w:color="auto"/>
              <w:right w:val="single" w:sz="4" w:space="0" w:color="auto"/>
            </w:tcBorders>
            <w:shd w:val="clear" w:color="000000" w:fill="8DB3E2" w:themeFill="text2" w:themeFillTint="66"/>
            <w:vAlign w:val="center"/>
          </w:tcPr>
          <w:p w:rsidR="009F3E70" w:rsidRPr="00286C72" w:rsidRDefault="009F3E70" w:rsidP="009F3E70">
            <w:pPr>
              <w:jc w:val="right"/>
              <w:rPr>
                <w:b/>
                <w:bCs/>
                <w:color w:val="000000"/>
                <w:sz w:val="20"/>
                <w:szCs w:val="20"/>
              </w:rPr>
            </w:pPr>
            <w:r w:rsidRPr="00286C72">
              <w:rPr>
                <w:b/>
                <w:bCs/>
                <w:color w:val="000000"/>
                <w:sz w:val="20"/>
                <w:szCs w:val="20"/>
              </w:rPr>
              <w:t>11,900</w:t>
            </w:r>
          </w:p>
        </w:tc>
        <w:tc>
          <w:tcPr>
            <w:tcW w:w="1629" w:type="dxa"/>
            <w:tcBorders>
              <w:top w:val="nil"/>
              <w:left w:val="single" w:sz="4" w:space="0" w:color="auto"/>
              <w:bottom w:val="single" w:sz="8" w:space="0" w:color="auto"/>
              <w:right w:val="single" w:sz="4" w:space="0" w:color="auto"/>
            </w:tcBorders>
            <w:shd w:val="clear" w:color="000000" w:fill="8DB3E2" w:themeFill="text2" w:themeFillTint="66"/>
            <w:vAlign w:val="center"/>
          </w:tcPr>
          <w:p w:rsidR="009F3E70" w:rsidRPr="00286C72" w:rsidRDefault="009F3E70" w:rsidP="009F3E70">
            <w:pPr>
              <w:jc w:val="center"/>
              <w:rPr>
                <w:b/>
                <w:bCs/>
                <w:color w:val="000000"/>
                <w:sz w:val="20"/>
                <w:szCs w:val="20"/>
              </w:rPr>
            </w:pPr>
            <w:r w:rsidRPr="00286C72">
              <w:rPr>
                <w:b/>
                <w:bCs/>
                <w:color w:val="000000"/>
                <w:sz w:val="20"/>
                <w:szCs w:val="20"/>
              </w:rPr>
              <w:t> </w:t>
            </w:r>
          </w:p>
        </w:tc>
      </w:tr>
    </w:tbl>
    <w:p w:rsidR="0094192E" w:rsidRDefault="0094192E" w:rsidP="0094192E">
      <w:pPr>
        <w:pStyle w:val="ListParagraph"/>
        <w:jc w:val="both"/>
        <w:rPr>
          <w:rFonts w:cs="Tahoma"/>
          <w:b/>
          <w:bCs/>
          <w:sz w:val="24"/>
        </w:rPr>
      </w:pPr>
    </w:p>
    <w:p w:rsidR="0094192E" w:rsidRDefault="0094192E" w:rsidP="0094192E">
      <w:pPr>
        <w:pStyle w:val="ListParagraph"/>
        <w:jc w:val="both"/>
        <w:rPr>
          <w:rFonts w:cs="Tahoma"/>
          <w:b/>
          <w:bCs/>
          <w:sz w:val="24"/>
        </w:rPr>
      </w:pPr>
    </w:p>
    <w:p w:rsidR="0094192E" w:rsidRDefault="0094192E" w:rsidP="0094192E">
      <w:pPr>
        <w:pStyle w:val="ListParagraph"/>
        <w:jc w:val="both"/>
        <w:rPr>
          <w:rFonts w:cs="Tahoma"/>
          <w:b/>
          <w:bCs/>
          <w:sz w:val="24"/>
        </w:rPr>
      </w:pPr>
    </w:p>
    <w:p w:rsidR="0094192E" w:rsidRPr="00BF0FEA" w:rsidRDefault="0094192E" w:rsidP="0094192E">
      <w:pPr>
        <w:pStyle w:val="ListParagraph"/>
        <w:jc w:val="both"/>
        <w:rPr>
          <w:rFonts w:cs="Tahoma"/>
          <w:b/>
          <w:bCs/>
          <w:sz w:val="24"/>
        </w:rPr>
      </w:pPr>
    </w:p>
    <w:p w:rsidR="00D83E3D" w:rsidRDefault="00D83E3D" w:rsidP="00D83E3D">
      <w:pPr>
        <w:ind w:left="709"/>
        <w:jc w:val="both"/>
        <w:rPr>
          <w:rFonts w:cs="Tahoma"/>
          <w:b/>
          <w:bCs/>
          <w:sz w:val="24"/>
        </w:rPr>
      </w:pPr>
    </w:p>
    <w:p w:rsidR="0094192E" w:rsidRDefault="0094192E" w:rsidP="00D83E3D">
      <w:pPr>
        <w:ind w:left="709"/>
        <w:jc w:val="both"/>
        <w:rPr>
          <w:rFonts w:cs="Tahoma"/>
          <w:b/>
          <w:bCs/>
          <w:sz w:val="24"/>
        </w:rPr>
      </w:pPr>
    </w:p>
    <w:p w:rsidR="0094192E" w:rsidRDefault="0094192E" w:rsidP="00D83E3D">
      <w:pPr>
        <w:ind w:left="709"/>
        <w:jc w:val="both"/>
        <w:rPr>
          <w:rFonts w:cs="Tahoma"/>
          <w:b/>
          <w:bCs/>
          <w:sz w:val="24"/>
        </w:rPr>
      </w:pPr>
    </w:p>
    <w:p w:rsidR="0094192E" w:rsidRDefault="0094192E" w:rsidP="00D83E3D">
      <w:pPr>
        <w:ind w:left="709"/>
        <w:jc w:val="both"/>
        <w:rPr>
          <w:rFonts w:cs="Tahoma"/>
          <w:b/>
          <w:bCs/>
          <w:sz w:val="24"/>
        </w:rPr>
      </w:pPr>
    </w:p>
    <w:p w:rsidR="0094192E" w:rsidRDefault="0094192E" w:rsidP="00D83E3D">
      <w:pPr>
        <w:ind w:left="709"/>
        <w:jc w:val="both"/>
        <w:rPr>
          <w:rFonts w:cs="Tahoma"/>
          <w:b/>
          <w:bCs/>
          <w:sz w:val="24"/>
        </w:rPr>
      </w:pPr>
    </w:p>
    <w:p w:rsidR="0094192E" w:rsidRDefault="0094192E" w:rsidP="00D83E3D">
      <w:pPr>
        <w:ind w:left="709"/>
        <w:jc w:val="both"/>
        <w:rPr>
          <w:rFonts w:cs="Tahoma"/>
          <w:b/>
          <w:bCs/>
          <w:sz w:val="24"/>
        </w:rPr>
      </w:pPr>
    </w:p>
    <w:p w:rsidR="0094192E" w:rsidRDefault="0094192E" w:rsidP="00D83E3D">
      <w:pPr>
        <w:ind w:left="709"/>
        <w:jc w:val="both"/>
        <w:rPr>
          <w:rFonts w:cs="Tahoma"/>
          <w:b/>
          <w:bCs/>
          <w:sz w:val="24"/>
        </w:rPr>
      </w:pPr>
    </w:p>
    <w:p w:rsidR="0094192E" w:rsidRDefault="0094192E" w:rsidP="00D83E3D">
      <w:pPr>
        <w:ind w:left="709"/>
        <w:jc w:val="both"/>
        <w:rPr>
          <w:rFonts w:cs="Tahoma"/>
          <w:b/>
          <w:bCs/>
          <w:sz w:val="24"/>
        </w:rPr>
      </w:pPr>
    </w:p>
    <w:p w:rsidR="0094192E" w:rsidRDefault="0094192E" w:rsidP="00D83E3D">
      <w:pPr>
        <w:ind w:left="709"/>
        <w:jc w:val="both"/>
        <w:rPr>
          <w:rFonts w:cs="Tahoma"/>
          <w:b/>
          <w:bCs/>
          <w:sz w:val="24"/>
        </w:rPr>
      </w:pPr>
    </w:p>
    <w:p w:rsidR="0094192E" w:rsidRDefault="0094192E" w:rsidP="00D83E3D">
      <w:pPr>
        <w:ind w:left="709"/>
        <w:jc w:val="both"/>
        <w:rPr>
          <w:rFonts w:cs="Tahoma"/>
          <w:b/>
          <w:bCs/>
          <w:sz w:val="24"/>
        </w:rPr>
      </w:pPr>
    </w:p>
    <w:p w:rsidR="0094192E" w:rsidRDefault="0094192E" w:rsidP="00D83E3D">
      <w:pPr>
        <w:ind w:left="709"/>
        <w:jc w:val="both"/>
        <w:rPr>
          <w:rFonts w:cs="Tahoma"/>
          <w:b/>
          <w:bCs/>
          <w:sz w:val="24"/>
        </w:rPr>
      </w:pPr>
    </w:p>
    <w:p w:rsidR="0094192E" w:rsidRDefault="0094192E" w:rsidP="00D83E3D">
      <w:pPr>
        <w:ind w:left="709"/>
        <w:jc w:val="both"/>
        <w:rPr>
          <w:rFonts w:cs="Tahoma"/>
          <w:b/>
          <w:bCs/>
          <w:sz w:val="24"/>
        </w:rPr>
      </w:pPr>
    </w:p>
    <w:p w:rsidR="0094192E" w:rsidRDefault="0094192E" w:rsidP="00D83E3D">
      <w:pPr>
        <w:ind w:left="709"/>
        <w:jc w:val="both"/>
        <w:rPr>
          <w:rFonts w:cs="Tahoma"/>
          <w:b/>
          <w:bCs/>
          <w:sz w:val="24"/>
        </w:rPr>
      </w:pPr>
    </w:p>
    <w:p w:rsidR="0094192E" w:rsidRDefault="0094192E" w:rsidP="00D83E3D">
      <w:pPr>
        <w:ind w:left="709"/>
        <w:jc w:val="both"/>
        <w:rPr>
          <w:rFonts w:cs="Tahoma"/>
          <w:b/>
          <w:bCs/>
          <w:sz w:val="24"/>
        </w:rPr>
      </w:pPr>
    </w:p>
    <w:p w:rsidR="0094192E" w:rsidRDefault="0094192E" w:rsidP="00D83E3D">
      <w:pPr>
        <w:ind w:left="709"/>
        <w:jc w:val="both"/>
        <w:rPr>
          <w:rFonts w:cs="Tahoma"/>
          <w:b/>
          <w:bCs/>
          <w:sz w:val="24"/>
        </w:rPr>
      </w:pPr>
      <w:r w:rsidRPr="008075AF">
        <w:rPr>
          <w:noProof/>
          <w:highlight w:val="yellow"/>
          <w:lang w:eastAsia="en-GB"/>
        </w:rPr>
        <mc:AlternateContent>
          <mc:Choice Requires="wps">
            <w:drawing>
              <wp:anchor distT="45720" distB="45720" distL="114300" distR="114300" simplePos="0" relativeHeight="251798528" behindDoc="0" locked="0" layoutInCell="1" allowOverlap="1" wp14:anchorId="42E83A7D" wp14:editId="6218A287">
                <wp:simplePos x="0" y="0"/>
                <wp:positionH relativeFrom="margin">
                  <wp:posOffset>590550</wp:posOffset>
                </wp:positionH>
                <wp:positionV relativeFrom="paragraph">
                  <wp:posOffset>59055</wp:posOffset>
                </wp:positionV>
                <wp:extent cx="8770620" cy="680085"/>
                <wp:effectExtent l="0" t="0" r="11430" b="24765"/>
                <wp:wrapSquare wrapText="bothSides"/>
                <wp:docPr id="4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8770620" cy="680085"/>
                        </a:xfrm>
                        <a:prstGeom prst="rect">
                          <a:avLst/>
                        </a:prstGeom>
                        <a:solidFill>
                          <a:srgbClr val="FFFFFF"/>
                        </a:solidFill>
                        <a:ln w="19050">
                          <a:solidFill>
                            <a:srgbClr val="8EB4E3"/>
                          </a:solidFill>
                          <a:miter lim="800000"/>
                          <a:headEnd/>
                          <a:tailEnd/>
                        </a:ln>
                      </wps:spPr>
                      <wps:txbx>
                        <w:txbxContent>
                          <w:p w:rsidR="00F66189" w:rsidRPr="0094192E" w:rsidRDefault="00F66189" w:rsidP="0097355F">
                            <w:pPr>
                              <w:pStyle w:val="ListParagraph"/>
                              <w:ind w:left="709"/>
                              <w:jc w:val="both"/>
                              <w:rPr>
                                <w:color w:val="000000" w:themeColor="text1"/>
                                <w:sz w:val="24"/>
                              </w:rPr>
                            </w:pPr>
                          </w:p>
                          <w:p w:rsidR="00F66189" w:rsidRPr="00756114" w:rsidRDefault="00F66189" w:rsidP="00756114">
                            <w:pPr>
                              <w:jc w:val="both"/>
                              <w:rPr>
                                <w:color w:val="000000" w:themeColor="text1"/>
                                <w:sz w:val="24"/>
                              </w:rPr>
                            </w:pPr>
                            <w:r>
                              <w:rPr>
                                <w:color w:val="000000" w:themeColor="text1"/>
                                <w:sz w:val="24"/>
                              </w:rPr>
                              <w:t>Further information on the current month, YTD and forecast positions are provided below.</w:t>
                            </w:r>
                          </w:p>
                          <w:p w:rsidR="00F66189" w:rsidRPr="0094192E" w:rsidRDefault="00F66189" w:rsidP="0094192E">
                            <w:pPr>
                              <w:jc w:val="both"/>
                              <w:rPr>
                                <w:color w:val="000000" w:themeColor="text1"/>
                                <w:sz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42E83A7D" id="_x0000_t202" coordsize="21600,21600" o:spt="202" path="m,l,21600r21600,l21600,xe">
                <v:stroke joinstyle="miter"/>
                <v:path gradientshapeok="t" o:connecttype="rect"/>
              </v:shapetype>
              <v:shape id="Text Box 6" o:spid="_x0000_s1026" type="#_x0000_t202" style="position:absolute;left:0;text-align:left;margin-left:46.5pt;margin-top:4.65pt;width:690.6pt;height:53.55pt;z-index:25179852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" strokecolor="#8eb4e3" strokeweight="1.5pt">
                <v:path arrowok="t"/>
                <v:textbox>
                  <w:txbxContent>
                    <w:p w:rsidR="00F66189" w:rsidRPr="0094192E" w:rsidRDefault="00F66189" w:rsidP="0097355F">
                      <w:pPr>
                        <w:pStyle w:val="ListParagraph"/>
                        <w:ind w:left="709"/>
                        <w:jc w:val="both"/>
                        <w:rPr>
                          <w:color w:val="000000" w:themeColor="text1"/>
                          <w:sz w:val="24"/>
                        </w:rPr>
                      </w:pPr>
                    </w:p>
                    <w:p w:rsidR="00F66189" w:rsidRPr="00756114" w:rsidRDefault="00F66189" w:rsidP="00756114">
                      <w:pPr>
                        <w:jc w:val="both"/>
                        <w:rPr>
                          <w:color w:val="000000" w:themeColor="text1"/>
                          <w:sz w:val="24"/>
                        </w:rPr>
                      </w:pPr>
                      <w:r>
                        <w:rPr>
                          <w:color w:val="000000" w:themeColor="text1"/>
                          <w:sz w:val="24"/>
                        </w:rPr>
                        <w:t>Further information on the current month, YTD and forecast positions are provided below.</w:t>
                      </w:r>
                    </w:p>
                    <w:p w:rsidR="00F66189" w:rsidRPr="0094192E" w:rsidRDefault="00F66189" w:rsidP="0094192E">
                      <w:pPr>
                        <w:jc w:val="both"/>
                        <w:rPr>
                          <w:color w:val="000000" w:themeColor="text1"/>
                          <w:sz w:val="24"/>
                        </w:rPr>
                      </w:pPr>
                    </w:p>
                  </w:txbxContent>
                </v:textbox>
                <w10:wrap type="square" anchorx="margin"/>
              </v:shape>
            </w:pict>
          </mc:Fallback>
        </mc:AlternateContent>
      </w:r>
    </w:p>
    <w:p w:rsidR="0094192E" w:rsidRDefault="0094192E" w:rsidP="00D83E3D">
      <w:pPr>
        <w:ind w:left="709"/>
        <w:jc w:val="both"/>
        <w:rPr>
          <w:rFonts w:cs="Tahoma"/>
          <w:b/>
          <w:bCs/>
          <w:sz w:val="24"/>
        </w:rPr>
      </w:pPr>
    </w:p>
    <w:p w:rsidR="0094192E" w:rsidRPr="00BF0FEA" w:rsidRDefault="0094192E" w:rsidP="00D83E3D">
      <w:pPr>
        <w:ind w:left="709"/>
        <w:jc w:val="both"/>
        <w:rPr>
          <w:rFonts w:cs="Tahoma"/>
          <w:b/>
          <w:bCs/>
          <w:sz w:val="24"/>
        </w:rPr>
      </w:pPr>
    </w:p>
    <w:p w:rsidR="00307185" w:rsidRPr="00307185" w:rsidRDefault="00BD187B" w:rsidP="00307185">
      <w:pPr>
        <w:jc w:val="both"/>
        <w:rPr>
          <w:rFonts w:cs="Tahoma"/>
          <w:b/>
          <w:bCs/>
          <w:sz w:val="24"/>
          <w:highlight w:val="yellow"/>
        </w:rPr>
      </w:pPr>
      <w:r w:rsidRPr="008075AF">
        <w:rPr>
          <w:noProof/>
          <w:highlight w:val="yellow"/>
          <w:lang w:eastAsia="en-GB"/>
        </w:rPr>
        <mc:AlternateContent>
          <mc:Choice Requires="wps">
            <w:drawing>
              <wp:anchor distT="45720" distB="45720" distL="114300" distR="114300" simplePos="0" relativeHeight="251725824" behindDoc="0" locked="0" layoutInCell="1" allowOverlap="1">
                <wp:simplePos x="0" y="0"/>
                <wp:positionH relativeFrom="column">
                  <wp:posOffset>56515</wp:posOffset>
                </wp:positionH>
                <wp:positionV relativeFrom="paragraph">
                  <wp:posOffset>0</wp:posOffset>
                </wp:positionV>
                <wp:extent cx="9814560" cy="6035040"/>
                <wp:effectExtent l="0" t="0" r="15240" b="22860"/>
                <wp:wrapSquare wrapText="bothSides"/>
                <wp:docPr id="4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9814560" cy="6035040"/>
                        </a:xfrm>
                        <a:prstGeom prst="rect">
                          <a:avLst/>
                        </a:prstGeom>
                        <a:solidFill>
                          <a:srgbClr val="FFFFFF"/>
                        </a:solidFill>
                        <a:ln w="19050">
                          <a:solidFill>
                            <a:srgbClr val="8EB4E3"/>
                          </a:solidFill>
                          <a:miter lim="800000"/>
                          <a:headEnd/>
                          <a:tailEnd/>
                        </a:ln>
                      </wps:spPr>
                      <wps:txbx>
                        <w:txbxContent>
                          <w:p w:rsidR="00F66189" w:rsidRDefault="00F66189" w:rsidP="006F60DB">
                            <w:pPr>
                              <w:jc w:val="both"/>
                              <w:rPr>
                                <w:rFonts w:cs="Tahoma"/>
                                <w:b/>
                                <w:bCs/>
                                <w:sz w:val="24"/>
                                <w:u w:val="single"/>
                              </w:rPr>
                            </w:pPr>
                            <w:r w:rsidRPr="009E585F">
                              <w:rPr>
                                <w:rFonts w:cs="Tahoma"/>
                                <w:b/>
                                <w:bCs/>
                                <w:sz w:val="24"/>
                                <w:u w:val="single"/>
                              </w:rPr>
                              <w:t>Current Month</w:t>
                            </w:r>
                            <w:r>
                              <w:rPr>
                                <w:rFonts w:cs="Tahoma"/>
                                <w:b/>
                                <w:bCs/>
                                <w:sz w:val="24"/>
                                <w:u w:val="single"/>
                              </w:rPr>
                              <w:t xml:space="preserve"> </w:t>
                            </w:r>
                          </w:p>
                          <w:p w:rsidR="00F66189" w:rsidRPr="006B56D5" w:rsidRDefault="00F66189" w:rsidP="006B56D5">
                            <w:pPr>
                              <w:pStyle w:val="ListParagraph"/>
                              <w:ind w:left="1080"/>
                              <w:rPr>
                                <w:rFonts w:cs="Tahoma"/>
                                <w:bCs/>
                                <w:sz w:val="24"/>
                                <w:highlight w:val="yellow"/>
                              </w:rPr>
                            </w:pPr>
                          </w:p>
                          <w:p w:rsidR="00F66189" w:rsidRPr="006F3E4A" w:rsidRDefault="00F66189" w:rsidP="009F3E70">
                            <w:pPr>
                              <w:pStyle w:val="ListParagraph"/>
                              <w:numPr>
                                <w:ilvl w:val="0"/>
                                <w:numId w:val="12"/>
                              </w:numPr>
                              <w:rPr>
                                <w:rFonts w:cs="Tahoma"/>
                                <w:bCs/>
                                <w:sz w:val="24"/>
                              </w:rPr>
                            </w:pPr>
                            <w:r w:rsidRPr="006F3E4A">
                              <w:rPr>
                                <w:rFonts w:cs="Tahoma"/>
                                <w:bCs/>
                                <w:sz w:val="24"/>
                              </w:rPr>
                              <w:t xml:space="preserve">The overall Income and Expenditure position </w:t>
                            </w:r>
                            <w:r>
                              <w:rPr>
                                <w:rFonts w:cs="Tahoma"/>
                                <w:bCs/>
                                <w:sz w:val="24"/>
                              </w:rPr>
                              <w:t xml:space="preserve">improved </w:t>
                            </w:r>
                            <w:r w:rsidRPr="006F3E4A">
                              <w:rPr>
                                <w:rFonts w:cs="Tahoma"/>
                                <w:bCs/>
                                <w:sz w:val="24"/>
                              </w:rPr>
                              <w:t>in M</w:t>
                            </w:r>
                            <w:r>
                              <w:rPr>
                                <w:rFonts w:cs="Tahoma"/>
                                <w:bCs/>
                                <w:sz w:val="24"/>
                              </w:rPr>
                              <w:t>10</w:t>
                            </w:r>
                            <w:r w:rsidRPr="006F3E4A">
                              <w:rPr>
                                <w:rFonts w:cs="Tahoma"/>
                                <w:bCs/>
                                <w:sz w:val="24"/>
                              </w:rPr>
                              <w:t xml:space="preserve"> with an </w:t>
                            </w:r>
                            <w:r>
                              <w:rPr>
                                <w:rFonts w:cs="Tahoma"/>
                                <w:bCs/>
                                <w:sz w:val="24"/>
                              </w:rPr>
                              <w:t xml:space="preserve">under </w:t>
                            </w:r>
                            <w:r w:rsidRPr="006F3E4A">
                              <w:rPr>
                                <w:rFonts w:cs="Tahoma"/>
                                <w:bCs/>
                                <w:sz w:val="24"/>
                              </w:rPr>
                              <w:t>spend of £</w:t>
                            </w:r>
                            <w:r>
                              <w:rPr>
                                <w:rFonts w:cs="Tahoma"/>
                                <w:bCs/>
                                <w:sz w:val="24"/>
                              </w:rPr>
                              <w:t>(0.2)</w:t>
                            </w:r>
                            <w:r w:rsidRPr="006F3E4A">
                              <w:rPr>
                                <w:rFonts w:cs="Tahoma"/>
                                <w:bCs/>
                                <w:sz w:val="24"/>
                              </w:rPr>
                              <w:t xml:space="preserve">m. This includes a The overall Income and Expenditure position </w:t>
                            </w:r>
                            <w:r>
                              <w:rPr>
                                <w:rFonts w:cs="Tahoma"/>
                                <w:bCs/>
                                <w:sz w:val="24"/>
                              </w:rPr>
                              <w:t xml:space="preserve">improved </w:t>
                            </w:r>
                            <w:r w:rsidRPr="006F3E4A">
                              <w:rPr>
                                <w:rFonts w:cs="Tahoma"/>
                                <w:bCs/>
                                <w:sz w:val="24"/>
                              </w:rPr>
                              <w:t>in M</w:t>
                            </w:r>
                            <w:r>
                              <w:rPr>
                                <w:rFonts w:cs="Tahoma"/>
                                <w:bCs/>
                                <w:sz w:val="24"/>
                              </w:rPr>
                              <w:t>11</w:t>
                            </w:r>
                            <w:r w:rsidRPr="006F3E4A">
                              <w:rPr>
                                <w:rFonts w:cs="Tahoma"/>
                                <w:bCs/>
                                <w:sz w:val="24"/>
                              </w:rPr>
                              <w:t xml:space="preserve"> with an </w:t>
                            </w:r>
                            <w:r>
                              <w:rPr>
                                <w:rFonts w:cs="Tahoma"/>
                                <w:bCs/>
                                <w:sz w:val="24"/>
                              </w:rPr>
                              <w:t xml:space="preserve">under </w:t>
                            </w:r>
                            <w:r w:rsidRPr="006F3E4A">
                              <w:rPr>
                                <w:rFonts w:cs="Tahoma"/>
                                <w:bCs/>
                                <w:sz w:val="24"/>
                              </w:rPr>
                              <w:t>spend of £</w:t>
                            </w:r>
                            <w:r>
                              <w:rPr>
                                <w:rFonts w:cs="Tahoma"/>
                                <w:bCs/>
                                <w:sz w:val="24"/>
                              </w:rPr>
                              <w:t>(0.3)</w:t>
                            </w:r>
                            <w:r w:rsidRPr="006F3E4A">
                              <w:rPr>
                                <w:rFonts w:cs="Tahoma"/>
                                <w:bCs/>
                                <w:sz w:val="24"/>
                              </w:rPr>
                              <w:t xml:space="preserve">m. This includes a delegated </w:t>
                            </w:r>
                            <w:r>
                              <w:rPr>
                                <w:rFonts w:cs="Tahoma"/>
                                <w:bCs/>
                                <w:sz w:val="24"/>
                              </w:rPr>
                              <w:t xml:space="preserve">overspend </w:t>
                            </w:r>
                            <w:r w:rsidRPr="006F3E4A">
                              <w:rPr>
                                <w:rFonts w:cs="Tahoma"/>
                                <w:bCs/>
                                <w:sz w:val="24"/>
                              </w:rPr>
                              <w:t>of £</w:t>
                            </w:r>
                            <w:r>
                              <w:rPr>
                                <w:rFonts w:cs="Tahoma"/>
                                <w:bCs/>
                                <w:sz w:val="24"/>
                              </w:rPr>
                              <w:t>(1.46)m</w:t>
                            </w:r>
                            <w:r w:rsidRPr="006F3E4A">
                              <w:rPr>
                                <w:rFonts w:cs="Tahoma"/>
                                <w:bCs/>
                                <w:sz w:val="24"/>
                              </w:rPr>
                              <w:t xml:space="preserve">, offset by an </w:t>
                            </w:r>
                            <w:r>
                              <w:rPr>
                                <w:rFonts w:cs="Tahoma"/>
                                <w:bCs/>
                                <w:sz w:val="24"/>
                              </w:rPr>
                              <w:t>under</w:t>
                            </w:r>
                            <w:r w:rsidRPr="006F3E4A">
                              <w:rPr>
                                <w:rFonts w:cs="Tahoma"/>
                                <w:bCs/>
                                <w:sz w:val="24"/>
                              </w:rPr>
                              <w:t xml:space="preserve"> spend on non-delegated budgets of £</w:t>
                            </w:r>
                            <w:r>
                              <w:rPr>
                                <w:rFonts w:cs="Tahoma"/>
                                <w:bCs/>
                                <w:sz w:val="24"/>
                              </w:rPr>
                              <w:t>(1.76)m</w:t>
                            </w:r>
                            <w:r w:rsidRPr="006F3E4A">
                              <w:rPr>
                                <w:rFonts w:cs="Tahoma"/>
                                <w:bCs/>
                                <w:sz w:val="24"/>
                              </w:rPr>
                              <w:t xml:space="preserve">. The delegated current month </w:t>
                            </w:r>
                            <w:r>
                              <w:rPr>
                                <w:rFonts w:cs="Tahoma"/>
                                <w:bCs/>
                                <w:sz w:val="24"/>
                              </w:rPr>
                              <w:t xml:space="preserve">overspend </w:t>
                            </w:r>
                            <w:r w:rsidRPr="006F3E4A">
                              <w:rPr>
                                <w:rFonts w:cs="Tahoma"/>
                                <w:bCs/>
                                <w:sz w:val="24"/>
                              </w:rPr>
                              <w:t>of £</w:t>
                            </w:r>
                            <w:r>
                              <w:rPr>
                                <w:rFonts w:cs="Tahoma"/>
                                <w:bCs/>
                                <w:sz w:val="24"/>
                              </w:rPr>
                              <w:t xml:space="preserve">1.46m includes an under achievement </w:t>
                            </w:r>
                            <w:r w:rsidRPr="006F3E4A">
                              <w:rPr>
                                <w:rFonts w:cs="Tahoma"/>
                                <w:bCs/>
                                <w:sz w:val="24"/>
                              </w:rPr>
                              <w:t>in savings delivery of £0.</w:t>
                            </w:r>
                            <w:r>
                              <w:rPr>
                                <w:rFonts w:cs="Tahoma"/>
                                <w:bCs/>
                                <w:sz w:val="24"/>
                              </w:rPr>
                              <w:t>26m</w:t>
                            </w:r>
                            <w:r w:rsidRPr="006F3E4A">
                              <w:rPr>
                                <w:rFonts w:cs="Tahoma"/>
                                <w:bCs/>
                                <w:sz w:val="24"/>
                              </w:rPr>
                              <w:t xml:space="preserve"> plus </w:t>
                            </w:r>
                            <w:r>
                              <w:rPr>
                                <w:rFonts w:cs="Tahoma"/>
                                <w:bCs/>
                                <w:sz w:val="24"/>
                              </w:rPr>
                              <w:t>a net over spend</w:t>
                            </w:r>
                            <w:r w:rsidRPr="006F3E4A">
                              <w:rPr>
                                <w:rFonts w:cs="Tahoma"/>
                                <w:bCs/>
                                <w:sz w:val="24"/>
                              </w:rPr>
                              <w:t xml:space="preserve"> on pay, non-pay and income of £</w:t>
                            </w:r>
                            <w:r>
                              <w:rPr>
                                <w:rFonts w:cs="Tahoma"/>
                                <w:bCs/>
                                <w:sz w:val="24"/>
                              </w:rPr>
                              <w:t>1.2m</w:t>
                            </w:r>
                            <w:r w:rsidRPr="006F3E4A">
                              <w:rPr>
                                <w:rFonts w:cs="Tahoma"/>
                                <w:bCs/>
                                <w:sz w:val="24"/>
                              </w:rPr>
                              <w:t>.</w:t>
                            </w:r>
                          </w:p>
                          <w:p w:rsidR="00F66189" w:rsidRPr="002754CE" w:rsidRDefault="00F66189" w:rsidP="009F3E70">
                            <w:pPr>
                              <w:pStyle w:val="ListParagraph"/>
                              <w:ind w:left="1080"/>
                              <w:rPr>
                                <w:rFonts w:cs="Tahoma"/>
                                <w:bCs/>
                                <w:sz w:val="24"/>
                                <w:highlight w:val="yellow"/>
                              </w:rPr>
                            </w:pPr>
                          </w:p>
                          <w:p w:rsidR="00F66189" w:rsidRPr="00221399" w:rsidRDefault="00F66189" w:rsidP="009F3E70">
                            <w:pPr>
                              <w:pStyle w:val="ListParagraph"/>
                              <w:numPr>
                                <w:ilvl w:val="0"/>
                                <w:numId w:val="12"/>
                              </w:numPr>
                              <w:rPr>
                                <w:rFonts w:cs="Tahoma"/>
                                <w:bCs/>
                                <w:sz w:val="24"/>
                              </w:rPr>
                            </w:pPr>
                            <w:r w:rsidRPr="00221399">
                              <w:rPr>
                                <w:rFonts w:cs="Tahoma"/>
                                <w:bCs/>
                                <w:sz w:val="24"/>
                              </w:rPr>
                              <w:t>The most significant current month overspends within the total Pay overspend of £0.45m are as follows:</w:t>
                            </w:r>
                          </w:p>
                          <w:p w:rsidR="00F66189" w:rsidRPr="00221399" w:rsidRDefault="00F66189" w:rsidP="009F3E70">
                            <w:pPr>
                              <w:pStyle w:val="ListParagraph"/>
                              <w:numPr>
                                <w:ilvl w:val="1"/>
                                <w:numId w:val="12"/>
                              </w:numPr>
                              <w:rPr>
                                <w:rFonts w:cs="Tahoma"/>
                                <w:bCs/>
                                <w:sz w:val="24"/>
                              </w:rPr>
                            </w:pPr>
                            <w:r w:rsidRPr="00221399">
                              <w:rPr>
                                <w:rFonts w:cs="Tahoma"/>
                                <w:bCs/>
                                <w:sz w:val="24"/>
                              </w:rPr>
                              <w:t>General Surgery £0.10m (Additional Clinical Services £131k)</w:t>
                            </w:r>
                          </w:p>
                          <w:p w:rsidR="00F66189" w:rsidRPr="001E0D75" w:rsidRDefault="00F66189" w:rsidP="009F3E70">
                            <w:pPr>
                              <w:pStyle w:val="ListParagraph"/>
                              <w:numPr>
                                <w:ilvl w:val="1"/>
                                <w:numId w:val="12"/>
                              </w:numPr>
                              <w:rPr>
                                <w:rFonts w:cs="Tahoma"/>
                                <w:bCs/>
                                <w:sz w:val="24"/>
                              </w:rPr>
                            </w:pPr>
                            <w:r w:rsidRPr="001E0D75">
                              <w:rPr>
                                <w:rFonts w:cs="Tahoma"/>
                                <w:bCs/>
                                <w:sz w:val="24"/>
                              </w:rPr>
                              <w:t>POW Delivery Unit £0.41m ( Medical £201k and Additional Clinical Services £286k)</w:t>
                            </w:r>
                          </w:p>
                          <w:p w:rsidR="00F66189" w:rsidRPr="001E0D75" w:rsidRDefault="00F66189" w:rsidP="009F3E70">
                            <w:pPr>
                              <w:pStyle w:val="ListParagraph"/>
                              <w:numPr>
                                <w:ilvl w:val="1"/>
                                <w:numId w:val="12"/>
                              </w:numPr>
                              <w:rPr>
                                <w:rFonts w:cs="Tahoma"/>
                                <w:bCs/>
                                <w:sz w:val="24"/>
                              </w:rPr>
                            </w:pPr>
                            <w:r w:rsidRPr="001E0D75">
                              <w:rPr>
                                <w:rFonts w:cs="Tahoma"/>
                                <w:bCs/>
                                <w:sz w:val="24"/>
                              </w:rPr>
                              <w:t>Pathology £0.16m (Medical £74k and Scientific £78k)</w:t>
                            </w:r>
                          </w:p>
                          <w:p w:rsidR="00F66189" w:rsidRPr="001E0D75" w:rsidRDefault="00F66189" w:rsidP="009F3E70">
                            <w:pPr>
                              <w:pStyle w:val="ListParagraph"/>
                              <w:numPr>
                                <w:ilvl w:val="1"/>
                                <w:numId w:val="12"/>
                              </w:numPr>
                              <w:rPr>
                                <w:rFonts w:cs="Tahoma"/>
                                <w:bCs/>
                                <w:sz w:val="24"/>
                              </w:rPr>
                            </w:pPr>
                            <w:r w:rsidRPr="001E0D75">
                              <w:rPr>
                                <w:rFonts w:cs="Tahoma"/>
                                <w:bCs/>
                                <w:sz w:val="24"/>
                              </w:rPr>
                              <w:t>CAMHs £0.14m (Additional clinical services £102k and Nursing &amp; Midwifery £53k)</w:t>
                            </w:r>
                          </w:p>
                          <w:p w:rsidR="00F66189" w:rsidRPr="001E0D75" w:rsidRDefault="00F66189" w:rsidP="009F3E70">
                            <w:pPr>
                              <w:pStyle w:val="ListParagraph"/>
                              <w:ind w:left="1778"/>
                              <w:rPr>
                                <w:rFonts w:cs="Tahoma"/>
                                <w:bCs/>
                                <w:sz w:val="24"/>
                              </w:rPr>
                            </w:pPr>
                            <w:r w:rsidRPr="001E0D75">
                              <w:rPr>
                                <w:rFonts w:cs="Tahoma"/>
                                <w:bCs/>
                                <w:sz w:val="24"/>
                              </w:rPr>
                              <w:t xml:space="preserve"> </w:t>
                            </w:r>
                          </w:p>
                          <w:p w:rsidR="00F66189" w:rsidRPr="001E0D75" w:rsidRDefault="00F66189" w:rsidP="009F3E70">
                            <w:pPr>
                              <w:pStyle w:val="ListParagraph"/>
                              <w:numPr>
                                <w:ilvl w:val="0"/>
                                <w:numId w:val="12"/>
                              </w:numPr>
                              <w:rPr>
                                <w:rFonts w:cs="Tahoma"/>
                                <w:bCs/>
                                <w:sz w:val="24"/>
                              </w:rPr>
                            </w:pPr>
                            <w:r w:rsidRPr="001E0D75">
                              <w:rPr>
                                <w:rFonts w:cs="Tahoma"/>
                                <w:bCs/>
                                <w:sz w:val="24"/>
                              </w:rPr>
                              <w:t>The most significant current month overspends within the total Non Pay overspend of £1.54m are as follows:</w:t>
                            </w:r>
                          </w:p>
                          <w:p w:rsidR="00F66189" w:rsidRPr="001E0D75" w:rsidRDefault="00F66189" w:rsidP="009F3E70">
                            <w:pPr>
                              <w:pStyle w:val="ListParagraph"/>
                              <w:numPr>
                                <w:ilvl w:val="1"/>
                                <w:numId w:val="12"/>
                              </w:numPr>
                              <w:rPr>
                                <w:rFonts w:cs="Tahoma"/>
                                <w:bCs/>
                                <w:sz w:val="24"/>
                              </w:rPr>
                            </w:pPr>
                            <w:r w:rsidRPr="001E0D75">
                              <w:rPr>
                                <w:rFonts w:cs="Tahoma"/>
                                <w:bCs/>
                                <w:sz w:val="24"/>
                              </w:rPr>
                              <w:t>POW Delivery Unit- Medicine £0.2m (Clinical Supplies &amp; Services £153k)</w:t>
                            </w:r>
                          </w:p>
                          <w:p w:rsidR="00F66189" w:rsidRPr="001E0D75" w:rsidRDefault="00F66189" w:rsidP="009F3E70">
                            <w:pPr>
                              <w:pStyle w:val="ListParagraph"/>
                              <w:numPr>
                                <w:ilvl w:val="1"/>
                                <w:numId w:val="12"/>
                              </w:numPr>
                              <w:rPr>
                                <w:rFonts w:cs="Tahoma"/>
                                <w:bCs/>
                                <w:sz w:val="24"/>
                              </w:rPr>
                            </w:pPr>
                            <w:r w:rsidRPr="001E0D75">
                              <w:rPr>
                                <w:rFonts w:cs="Tahoma"/>
                                <w:bCs/>
                                <w:sz w:val="24"/>
                              </w:rPr>
                              <w:t>Primary Care £0.62m (Vocational Dental Training £502k and SBUHB SLA £130k)</w:t>
                            </w:r>
                          </w:p>
                          <w:p w:rsidR="00F66189" w:rsidRPr="001E0D75" w:rsidRDefault="00F66189" w:rsidP="009F3E70">
                            <w:pPr>
                              <w:pStyle w:val="ListParagraph"/>
                              <w:numPr>
                                <w:ilvl w:val="1"/>
                                <w:numId w:val="12"/>
                              </w:numPr>
                              <w:rPr>
                                <w:rFonts w:cs="Tahoma"/>
                                <w:bCs/>
                                <w:sz w:val="24"/>
                              </w:rPr>
                            </w:pPr>
                            <w:r w:rsidRPr="001E0D75">
                              <w:rPr>
                                <w:rFonts w:cs="Tahoma"/>
                                <w:bCs/>
                                <w:sz w:val="24"/>
                              </w:rPr>
                              <w:t>Medicines Mgt £0.39m (Prescrib</w:t>
                            </w:r>
                            <w:r>
                              <w:rPr>
                                <w:rFonts w:cs="Tahoma"/>
                                <w:bCs/>
                                <w:sz w:val="24"/>
                              </w:rPr>
                              <w:t>ing £200k and Community Pharmacy C</w:t>
                            </w:r>
                            <w:r w:rsidRPr="001E0D75">
                              <w:rPr>
                                <w:rFonts w:cs="Tahoma"/>
                                <w:bCs/>
                                <w:sz w:val="24"/>
                              </w:rPr>
                              <w:t>ontract £140k)</w:t>
                            </w:r>
                          </w:p>
                          <w:p w:rsidR="00F66189" w:rsidRPr="00593E3F" w:rsidRDefault="00F66189" w:rsidP="009F3E70">
                            <w:pPr>
                              <w:pStyle w:val="ListParagraph"/>
                              <w:ind w:left="1080"/>
                              <w:rPr>
                                <w:rFonts w:cs="Tahoma"/>
                                <w:bCs/>
                                <w:sz w:val="24"/>
                              </w:rPr>
                            </w:pPr>
                          </w:p>
                          <w:p w:rsidR="00F66189" w:rsidRPr="001E0D75" w:rsidRDefault="00F66189" w:rsidP="009F3E70">
                            <w:pPr>
                              <w:pStyle w:val="ListParagraph"/>
                              <w:numPr>
                                <w:ilvl w:val="0"/>
                                <w:numId w:val="12"/>
                              </w:numPr>
                              <w:rPr>
                                <w:rFonts w:cs="Tahoma"/>
                                <w:bCs/>
                                <w:sz w:val="24"/>
                              </w:rPr>
                            </w:pPr>
                            <w:r w:rsidRPr="00593E3F">
                              <w:rPr>
                                <w:rFonts w:cs="Tahoma"/>
                                <w:bCs/>
                                <w:sz w:val="24"/>
                              </w:rPr>
                              <w:t xml:space="preserve">The most significant current </w:t>
                            </w:r>
                            <w:r w:rsidRPr="001E0D75">
                              <w:rPr>
                                <w:rFonts w:cs="Tahoma"/>
                                <w:bCs/>
                                <w:sz w:val="24"/>
                              </w:rPr>
                              <w:t>month overspends within the total Income underspend of £(0.80)m are as follows:</w:t>
                            </w:r>
                          </w:p>
                          <w:p w:rsidR="00F66189" w:rsidRPr="001E0D75" w:rsidRDefault="00F66189" w:rsidP="009F3E70">
                            <w:pPr>
                              <w:pStyle w:val="ListParagraph"/>
                              <w:numPr>
                                <w:ilvl w:val="1"/>
                                <w:numId w:val="12"/>
                              </w:numPr>
                              <w:rPr>
                                <w:rFonts w:cs="Tahoma"/>
                                <w:bCs/>
                                <w:sz w:val="24"/>
                              </w:rPr>
                            </w:pPr>
                            <w:r w:rsidRPr="001E0D75">
                              <w:rPr>
                                <w:rFonts w:cs="Tahoma"/>
                                <w:bCs/>
                                <w:sz w:val="24"/>
                              </w:rPr>
                              <w:t>Contracting &amp; Commissioning £0.52m (Swansea Bay LTA underperformance £100k, Aneurin Bevan LTA underperformance £150k, WHSSC LTA underperformance £58k and Injury cost recovery scheme £217k)</w:t>
                            </w:r>
                          </w:p>
                          <w:p w:rsidR="00F66189" w:rsidRPr="00593E3F" w:rsidRDefault="00F66189" w:rsidP="009F3E70">
                            <w:pPr>
                              <w:pStyle w:val="ListParagraph"/>
                              <w:ind w:left="1080"/>
                              <w:rPr>
                                <w:rFonts w:cs="Tahoma"/>
                                <w:bCs/>
                                <w:sz w:val="24"/>
                              </w:rPr>
                            </w:pPr>
                          </w:p>
                          <w:p w:rsidR="00F66189" w:rsidRPr="00593E3F" w:rsidRDefault="00F66189" w:rsidP="003816FF">
                            <w:pPr>
                              <w:pStyle w:val="ListParagraph"/>
                              <w:numPr>
                                <w:ilvl w:val="0"/>
                                <w:numId w:val="12"/>
                              </w:numPr>
                              <w:jc w:val="both"/>
                              <w:rPr>
                                <w:rFonts w:cs="Tahoma"/>
                                <w:bCs/>
                                <w:sz w:val="24"/>
                              </w:rPr>
                            </w:pPr>
                            <w:r w:rsidRPr="00593E3F">
                              <w:rPr>
                                <w:rFonts w:cs="Tahoma"/>
                                <w:bCs/>
                                <w:sz w:val="24"/>
                              </w:rPr>
                              <w:t xml:space="preserve">Further information on the Savings delivery shortfall is provided in Section 3.7. </w:t>
                            </w:r>
                          </w:p>
                          <w:p w:rsidR="00F66189" w:rsidRPr="002104FE" w:rsidRDefault="00F66189" w:rsidP="00817B7E">
                            <w:pPr>
                              <w:pStyle w:val="ListParagraph"/>
                              <w:ind w:left="1080"/>
                              <w:rPr>
                                <w:rFonts w:cs="Tahoma"/>
                                <w:b/>
                                <w:bCs/>
                                <w:sz w:val="16"/>
                                <w:szCs w:val="16"/>
                                <w:u w:val="single"/>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 o:spid="_x0000_s1027" type="#_x0000_t202" style="position:absolute;left:0;text-align:left;margin-left:4.45pt;margin-top:0;width:772.8pt;height:475.2pt;z-index:2517258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" strokecolor="#8eb4e3" strokeweight="1.5pt">
                <v:path arrowok="t"/>
                <v:textbox>
                  <w:txbxContent>
                    <w:p w:rsidR="00F66189" w:rsidRDefault="00F66189" w:rsidP="006F60DB">
                      <w:pPr>
                        <w:jc w:val="both"/>
                        <w:rPr>
                          <w:rFonts w:cs="Tahoma"/>
                          <w:b/>
                          <w:bCs/>
                          <w:sz w:val="24"/>
                          <w:u w:val="single"/>
                        </w:rPr>
                      </w:pPr>
                      <w:r w:rsidRPr="009E585F">
                        <w:rPr>
                          <w:rFonts w:cs="Tahoma"/>
                          <w:b/>
                          <w:bCs/>
                          <w:sz w:val="24"/>
                          <w:u w:val="single"/>
                        </w:rPr>
                        <w:t>Current Month</w:t>
                      </w:r>
                      <w:r>
                        <w:rPr>
                          <w:rFonts w:cs="Tahoma"/>
                          <w:b/>
                          <w:bCs/>
                          <w:sz w:val="24"/>
                          <w:u w:val="single"/>
                        </w:rPr>
                        <w:t xml:space="preserve"> </w:t>
                      </w:r>
                    </w:p>
                    <w:p w:rsidR="00F66189" w:rsidRPr="006B56D5" w:rsidRDefault="00F66189" w:rsidP="006B56D5">
                      <w:pPr>
                        <w:pStyle w:val="ListParagraph"/>
                        <w:ind w:left="1080"/>
                        <w:rPr>
                          <w:rFonts w:cs="Tahoma"/>
                          <w:bCs/>
                          <w:sz w:val="24"/>
                          <w:highlight w:val="yellow"/>
                        </w:rPr>
                      </w:pPr>
                    </w:p>
                    <w:p w:rsidR="00F66189" w:rsidRPr="006F3E4A" w:rsidRDefault="00F66189" w:rsidP="009F3E70">
                      <w:pPr>
                        <w:pStyle w:val="ListParagraph"/>
                        <w:numPr>
                          <w:ilvl w:val="0"/>
                          <w:numId w:val="12"/>
                        </w:numPr>
                        <w:rPr>
                          <w:rFonts w:cs="Tahoma"/>
                          <w:bCs/>
                          <w:sz w:val="24"/>
                        </w:rPr>
                      </w:pPr>
                      <w:r w:rsidRPr="006F3E4A">
                        <w:rPr>
                          <w:rFonts w:cs="Tahoma"/>
                          <w:bCs/>
                          <w:sz w:val="24"/>
                        </w:rPr>
                        <w:t xml:space="preserve">The overall Income and Expenditure position </w:t>
                      </w:r>
                      <w:r>
                        <w:rPr>
                          <w:rFonts w:cs="Tahoma"/>
                          <w:bCs/>
                          <w:sz w:val="24"/>
                        </w:rPr>
                        <w:t xml:space="preserve">improved </w:t>
                      </w:r>
                      <w:r w:rsidRPr="006F3E4A">
                        <w:rPr>
                          <w:rFonts w:cs="Tahoma"/>
                          <w:bCs/>
                          <w:sz w:val="24"/>
                        </w:rPr>
                        <w:t>in M</w:t>
                      </w:r>
                      <w:r>
                        <w:rPr>
                          <w:rFonts w:cs="Tahoma"/>
                          <w:bCs/>
                          <w:sz w:val="24"/>
                        </w:rPr>
                        <w:t>10</w:t>
                      </w:r>
                      <w:r w:rsidRPr="006F3E4A">
                        <w:rPr>
                          <w:rFonts w:cs="Tahoma"/>
                          <w:bCs/>
                          <w:sz w:val="24"/>
                        </w:rPr>
                        <w:t xml:space="preserve"> with an </w:t>
                      </w:r>
                      <w:r>
                        <w:rPr>
                          <w:rFonts w:cs="Tahoma"/>
                          <w:bCs/>
                          <w:sz w:val="24"/>
                        </w:rPr>
                        <w:t xml:space="preserve">under </w:t>
                      </w:r>
                      <w:r w:rsidRPr="006F3E4A">
                        <w:rPr>
                          <w:rFonts w:cs="Tahoma"/>
                          <w:bCs/>
                          <w:sz w:val="24"/>
                        </w:rPr>
                        <w:t>spend of £</w:t>
                      </w:r>
                      <w:r>
                        <w:rPr>
                          <w:rFonts w:cs="Tahoma"/>
                          <w:bCs/>
                          <w:sz w:val="24"/>
                        </w:rPr>
                        <w:t>(0.2)</w:t>
                      </w:r>
                      <w:r w:rsidRPr="006F3E4A">
                        <w:rPr>
                          <w:rFonts w:cs="Tahoma"/>
                          <w:bCs/>
                          <w:sz w:val="24"/>
                        </w:rPr>
                        <w:t xml:space="preserve">m. This includes a The overall Income and Expenditure position </w:t>
                      </w:r>
                      <w:r>
                        <w:rPr>
                          <w:rFonts w:cs="Tahoma"/>
                          <w:bCs/>
                          <w:sz w:val="24"/>
                        </w:rPr>
                        <w:t xml:space="preserve">improved </w:t>
                      </w:r>
                      <w:r w:rsidRPr="006F3E4A">
                        <w:rPr>
                          <w:rFonts w:cs="Tahoma"/>
                          <w:bCs/>
                          <w:sz w:val="24"/>
                        </w:rPr>
                        <w:t>in M</w:t>
                      </w:r>
                      <w:r>
                        <w:rPr>
                          <w:rFonts w:cs="Tahoma"/>
                          <w:bCs/>
                          <w:sz w:val="24"/>
                        </w:rPr>
                        <w:t>11</w:t>
                      </w:r>
                      <w:r w:rsidRPr="006F3E4A">
                        <w:rPr>
                          <w:rFonts w:cs="Tahoma"/>
                          <w:bCs/>
                          <w:sz w:val="24"/>
                        </w:rPr>
                        <w:t xml:space="preserve"> with an </w:t>
                      </w:r>
                      <w:r>
                        <w:rPr>
                          <w:rFonts w:cs="Tahoma"/>
                          <w:bCs/>
                          <w:sz w:val="24"/>
                        </w:rPr>
                        <w:t xml:space="preserve">under </w:t>
                      </w:r>
                      <w:r w:rsidRPr="006F3E4A">
                        <w:rPr>
                          <w:rFonts w:cs="Tahoma"/>
                          <w:bCs/>
                          <w:sz w:val="24"/>
                        </w:rPr>
                        <w:t>spend of £</w:t>
                      </w:r>
                      <w:r>
                        <w:rPr>
                          <w:rFonts w:cs="Tahoma"/>
                          <w:bCs/>
                          <w:sz w:val="24"/>
                        </w:rPr>
                        <w:t>(0.3)</w:t>
                      </w:r>
                      <w:r w:rsidRPr="006F3E4A">
                        <w:rPr>
                          <w:rFonts w:cs="Tahoma"/>
                          <w:bCs/>
                          <w:sz w:val="24"/>
                        </w:rPr>
                        <w:t xml:space="preserve">m. This includes a delegated </w:t>
                      </w:r>
                      <w:r>
                        <w:rPr>
                          <w:rFonts w:cs="Tahoma"/>
                          <w:bCs/>
                          <w:sz w:val="24"/>
                        </w:rPr>
                        <w:t xml:space="preserve">overspend </w:t>
                      </w:r>
                      <w:r w:rsidRPr="006F3E4A">
                        <w:rPr>
                          <w:rFonts w:cs="Tahoma"/>
                          <w:bCs/>
                          <w:sz w:val="24"/>
                        </w:rPr>
                        <w:t>of £</w:t>
                      </w:r>
                      <w:r>
                        <w:rPr>
                          <w:rFonts w:cs="Tahoma"/>
                          <w:bCs/>
                          <w:sz w:val="24"/>
                        </w:rPr>
                        <w:t>(1.46)m</w:t>
                      </w:r>
                      <w:r w:rsidRPr="006F3E4A">
                        <w:rPr>
                          <w:rFonts w:cs="Tahoma"/>
                          <w:bCs/>
                          <w:sz w:val="24"/>
                        </w:rPr>
                        <w:t xml:space="preserve">, offset by an </w:t>
                      </w:r>
                      <w:r>
                        <w:rPr>
                          <w:rFonts w:cs="Tahoma"/>
                          <w:bCs/>
                          <w:sz w:val="24"/>
                        </w:rPr>
                        <w:t>under</w:t>
                      </w:r>
                      <w:r w:rsidRPr="006F3E4A">
                        <w:rPr>
                          <w:rFonts w:cs="Tahoma"/>
                          <w:bCs/>
                          <w:sz w:val="24"/>
                        </w:rPr>
                        <w:t xml:space="preserve"> spend on non-delegated budgets of £</w:t>
                      </w:r>
                      <w:r>
                        <w:rPr>
                          <w:rFonts w:cs="Tahoma"/>
                          <w:bCs/>
                          <w:sz w:val="24"/>
                        </w:rPr>
                        <w:t>(1.76)m</w:t>
                      </w:r>
                      <w:r w:rsidRPr="006F3E4A">
                        <w:rPr>
                          <w:rFonts w:cs="Tahoma"/>
                          <w:bCs/>
                          <w:sz w:val="24"/>
                        </w:rPr>
                        <w:t xml:space="preserve">. The delegated current month </w:t>
                      </w:r>
                      <w:r>
                        <w:rPr>
                          <w:rFonts w:cs="Tahoma"/>
                          <w:bCs/>
                          <w:sz w:val="24"/>
                        </w:rPr>
                        <w:t xml:space="preserve">overspend </w:t>
                      </w:r>
                      <w:r w:rsidRPr="006F3E4A">
                        <w:rPr>
                          <w:rFonts w:cs="Tahoma"/>
                          <w:bCs/>
                          <w:sz w:val="24"/>
                        </w:rPr>
                        <w:t>of £</w:t>
                      </w:r>
                      <w:r>
                        <w:rPr>
                          <w:rFonts w:cs="Tahoma"/>
                          <w:bCs/>
                          <w:sz w:val="24"/>
                        </w:rPr>
                        <w:t xml:space="preserve">1.46m includes an under achievement </w:t>
                      </w:r>
                      <w:r w:rsidRPr="006F3E4A">
                        <w:rPr>
                          <w:rFonts w:cs="Tahoma"/>
                          <w:bCs/>
                          <w:sz w:val="24"/>
                        </w:rPr>
                        <w:t>in savings delivery of £0.</w:t>
                      </w:r>
                      <w:r>
                        <w:rPr>
                          <w:rFonts w:cs="Tahoma"/>
                          <w:bCs/>
                          <w:sz w:val="24"/>
                        </w:rPr>
                        <w:t>26m</w:t>
                      </w:r>
                      <w:r w:rsidRPr="006F3E4A">
                        <w:rPr>
                          <w:rFonts w:cs="Tahoma"/>
                          <w:bCs/>
                          <w:sz w:val="24"/>
                        </w:rPr>
                        <w:t xml:space="preserve"> plus </w:t>
                      </w:r>
                      <w:r>
                        <w:rPr>
                          <w:rFonts w:cs="Tahoma"/>
                          <w:bCs/>
                          <w:sz w:val="24"/>
                        </w:rPr>
                        <w:t>a net over spend</w:t>
                      </w:r>
                      <w:r w:rsidRPr="006F3E4A">
                        <w:rPr>
                          <w:rFonts w:cs="Tahoma"/>
                          <w:bCs/>
                          <w:sz w:val="24"/>
                        </w:rPr>
                        <w:t xml:space="preserve"> on pay, non-pay and income of £</w:t>
                      </w:r>
                      <w:r>
                        <w:rPr>
                          <w:rFonts w:cs="Tahoma"/>
                          <w:bCs/>
                          <w:sz w:val="24"/>
                        </w:rPr>
                        <w:t>1.2m</w:t>
                      </w:r>
                      <w:r w:rsidRPr="006F3E4A">
                        <w:rPr>
                          <w:rFonts w:cs="Tahoma"/>
                          <w:bCs/>
                          <w:sz w:val="24"/>
                        </w:rPr>
                        <w:t>.</w:t>
                      </w:r>
                    </w:p>
                    <w:p w:rsidR="00F66189" w:rsidRPr="002754CE" w:rsidRDefault="00F66189" w:rsidP="009F3E70">
                      <w:pPr>
                        <w:pStyle w:val="ListParagraph"/>
                        <w:ind w:left="1080"/>
                        <w:rPr>
                          <w:rFonts w:cs="Tahoma"/>
                          <w:bCs/>
                          <w:sz w:val="24"/>
                          <w:highlight w:val="yellow"/>
                        </w:rPr>
                      </w:pPr>
                    </w:p>
                    <w:p w:rsidR="00F66189" w:rsidRPr="00221399" w:rsidRDefault="00F66189" w:rsidP="009F3E70">
                      <w:pPr>
                        <w:pStyle w:val="ListParagraph"/>
                        <w:numPr>
                          <w:ilvl w:val="0"/>
                          <w:numId w:val="12"/>
                        </w:numPr>
                        <w:rPr>
                          <w:rFonts w:cs="Tahoma"/>
                          <w:bCs/>
                          <w:sz w:val="24"/>
                        </w:rPr>
                      </w:pPr>
                      <w:r w:rsidRPr="00221399">
                        <w:rPr>
                          <w:rFonts w:cs="Tahoma"/>
                          <w:bCs/>
                          <w:sz w:val="24"/>
                        </w:rPr>
                        <w:t>The most significant current month overspends within the total Pay overspend of £0.45m are as follows:</w:t>
                      </w:r>
                    </w:p>
                    <w:p w:rsidR="00F66189" w:rsidRPr="00221399" w:rsidRDefault="00F66189" w:rsidP="009F3E70">
                      <w:pPr>
                        <w:pStyle w:val="ListParagraph"/>
                        <w:numPr>
                          <w:ilvl w:val="1"/>
                          <w:numId w:val="12"/>
                        </w:numPr>
                        <w:rPr>
                          <w:rFonts w:cs="Tahoma"/>
                          <w:bCs/>
                          <w:sz w:val="24"/>
                        </w:rPr>
                      </w:pPr>
                      <w:r w:rsidRPr="00221399">
                        <w:rPr>
                          <w:rFonts w:cs="Tahoma"/>
                          <w:bCs/>
                          <w:sz w:val="24"/>
                        </w:rPr>
                        <w:t>General Surgery £0.10m (Additional Clinical Services £131k)</w:t>
                      </w:r>
                    </w:p>
                    <w:p w:rsidR="00F66189" w:rsidRPr="001E0D75" w:rsidRDefault="00F66189" w:rsidP="009F3E70">
                      <w:pPr>
                        <w:pStyle w:val="ListParagraph"/>
                        <w:numPr>
                          <w:ilvl w:val="1"/>
                          <w:numId w:val="12"/>
                        </w:numPr>
                        <w:rPr>
                          <w:rFonts w:cs="Tahoma"/>
                          <w:bCs/>
                          <w:sz w:val="24"/>
                        </w:rPr>
                      </w:pPr>
                      <w:r w:rsidRPr="001E0D75">
                        <w:rPr>
                          <w:rFonts w:cs="Tahoma"/>
                          <w:bCs/>
                          <w:sz w:val="24"/>
                        </w:rPr>
                        <w:t>POW Delivery Unit £0.41m ( Medical £201k and Additional Clinical Services £286k)</w:t>
                      </w:r>
                    </w:p>
                    <w:p w:rsidR="00F66189" w:rsidRPr="001E0D75" w:rsidRDefault="00F66189" w:rsidP="009F3E70">
                      <w:pPr>
                        <w:pStyle w:val="ListParagraph"/>
                        <w:numPr>
                          <w:ilvl w:val="1"/>
                          <w:numId w:val="12"/>
                        </w:numPr>
                        <w:rPr>
                          <w:rFonts w:cs="Tahoma"/>
                          <w:bCs/>
                          <w:sz w:val="24"/>
                        </w:rPr>
                      </w:pPr>
                      <w:r w:rsidRPr="001E0D75">
                        <w:rPr>
                          <w:rFonts w:cs="Tahoma"/>
                          <w:bCs/>
                          <w:sz w:val="24"/>
                        </w:rPr>
                        <w:t>Pathology £0.16m (Medical £74k and Scientific £78k)</w:t>
                      </w:r>
                    </w:p>
                    <w:p w:rsidR="00F66189" w:rsidRPr="001E0D75" w:rsidRDefault="00F66189" w:rsidP="009F3E70">
                      <w:pPr>
                        <w:pStyle w:val="ListParagraph"/>
                        <w:numPr>
                          <w:ilvl w:val="1"/>
                          <w:numId w:val="12"/>
                        </w:numPr>
                        <w:rPr>
                          <w:rFonts w:cs="Tahoma"/>
                          <w:bCs/>
                          <w:sz w:val="24"/>
                        </w:rPr>
                      </w:pPr>
                      <w:r w:rsidRPr="001E0D75">
                        <w:rPr>
                          <w:rFonts w:cs="Tahoma"/>
                          <w:bCs/>
                          <w:sz w:val="24"/>
                        </w:rPr>
                        <w:t>CAMHs £0.14m (Additional clinical services £102k and Nursing &amp; Midwifery £53k)</w:t>
                      </w:r>
                    </w:p>
                    <w:p w:rsidR="00F66189" w:rsidRPr="001E0D75" w:rsidRDefault="00F66189" w:rsidP="009F3E70">
                      <w:pPr>
                        <w:pStyle w:val="ListParagraph"/>
                        <w:ind w:left="1778"/>
                        <w:rPr>
                          <w:rFonts w:cs="Tahoma"/>
                          <w:bCs/>
                          <w:sz w:val="24"/>
                        </w:rPr>
                      </w:pPr>
                      <w:r w:rsidRPr="001E0D75">
                        <w:rPr>
                          <w:rFonts w:cs="Tahoma"/>
                          <w:bCs/>
                          <w:sz w:val="24"/>
                        </w:rPr>
                        <w:t xml:space="preserve"> </w:t>
                      </w:r>
                    </w:p>
                    <w:p w:rsidR="00F66189" w:rsidRPr="001E0D75" w:rsidRDefault="00F66189" w:rsidP="009F3E70">
                      <w:pPr>
                        <w:pStyle w:val="ListParagraph"/>
                        <w:numPr>
                          <w:ilvl w:val="0"/>
                          <w:numId w:val="12"/>
                        </w:numPr>
                        <w:rPr>
                          <w:rFonts w:cs="Tahoma"/>
                          <w:bCs/>
                          <w:sz w:val="24"/>
                        </w:rPr>
                      </w:pPr>
                      <w:r w:rsidRPr="001E0D75">
                        <w:rPr>
                          <w:rFonts w:cs="Tahoma"/>
                          <w:bCs/>
                          <w:sz w:val="24"/>
                        </w:rPr>
                        <w:t>The most significant current month overspends within the total Non Pay overspend of £1.54m are as follows:</w:t>
                      </w:r>
                    </w:p>
                    <w:p w:rsidR="00F66189" w:rsidRPr="001E0D75" w:rsidRDefault="00F66189" w:rsidP="009F3E70">
                      <w:pPr>
                        <w:pStyle w:val="ListParagraph"/>
                        <w:numPr>
                          <w:ilvl w:val="1"/>
                          <w:numId w:val="12"/>
                        </w:numPr>
                        <w:rPr>
                          <w:rFonts w:cs="Tahoma"/>
                          <w:bCs/>
                          <w:sz w:val="24"/>
                        </w:rPr>
                      </w:pPr>
                      <w:r w:rsidRPr="001E0D75">
                        <w:rPr>
                          <w:rFonts w:cs="Tahoma"/>
                          <w:bCs/>
                          <w:sz w:val="24"/>
                        </w:rPr>
                        <w:t>POW Delivery Unit- Medicine £0.2m (Clinical Supplies &amp; Services £153k)</w:t>
                      </w:r>
                    </w:p>
                    <w:p w:rsidR="00F66189" w:rsidRPr="001E0D75" w:rsidRDefault="00F66189" w:rsidP="009F3E70">
                      <w:pPr>
                        <w:pStyle w:val="ListParagraph"/>
                        <w:numPr>
                          <w:ilvl w:val="1"/>
                          <w:numId w:val="12"/>
                        </w:numPr>
                        <w:rPr>
                          <w:rFonts w:cs="Tahoma"/>
                          <w:bCs/>
                          <w:sz w:val="24"/>
                        </w:rPr>
                      </w:pPr>
                      <w:r w:rsidRPr="001E0D75">
                        <w:rPr>
                          <w:rFonts w:cs="Tahoma"/>
                          <w:bCs/>
                          <w:sz w:val="24"/>
                        </w:rPr>
                        <w:t>Primary Care £0.62m (Vocational Dental Training £502k and SBUHB SLA £130k)</w:t>
                      </w:r>
                    </w:p>
                    <w:p w:rsidR="00F66189" w:rsidRPr="001E0D75" w:rsidRDefault="00F66189" w:rsidP="009F3E70">
                      <w:pPr>
                        <w:pStyle w:val="ListParagraph"/>
                        <w:numPr>
                          <w:ilvl w:val="1"/>
                          <w:numId w:val="12"/>
                        </w:numPr>
                        <w:rPr>
                          <w:rFonts w:cs="Tahoma"/>
                          <w:bCs/>
                          <w:sz w:val="24"/>
                        </w:rPr>
                      </w:pPr>
                      <w:r w:rsidRPr="001E0D75">
                        <w:rPr>
                          <w:rFonts w:cs="Tahoma"/>
                          <w:bCs/>
                          <w:sz w:val="24"/>
                        </w:rPr>
                        <w:t>Medicines Mgt £0.39m (Prescrib</w:t>
                      </w:r>
                      <w:r>
                        <w:rPr>
                          <w:rFonts w:cs="Tahoma"/>
                          <w:bCs/>
                          <w:sz w:val="24"/>
                        </w:rPr>
                        <w:t>ing £200k and Community Pharmacy C</w:t>
                      </w:r>
                      <w:r w:rsidRPr="001E0D75">
                        <w:rPr>
                          <w:rFonts w:cs="Tahoma"/>
                          <w:bCs/>
                          <w:sz w:val="24"/>
                        </w:rPr>
                        <w:t>ontract £140k)</w:t>
                      </w:r>
                    </w:p>
                    <w:p w:rsidR="00F66189" w:rsidRPr="00593E3F" w:rsidRDefault="00F66189" w:rsidP="009F3E70">
                      <w:pPr>
                        <w:pStyle w:val="ListParagraph"/>
                        <w:ind w:left="1080"/>
                        <w:rPr>
                          <w:rFonts w:cs="Tahoma"/>
                          <w:bCs/>
                          <w:sz w:val="24"/>
                        </w:rPr>
                      </w:pPr>
                    </w:p>
                    <w:p w:rsidR="00F66189" w:rsidRPr="001E0D75" w:rsidRDefault="00F66189" w:rsidP="009F3E70">
                      <w:pPr>
                        <w:pStyle w:val="ListParagraph"/>
                        <w:numPr>
                          <w:ilvl w:val="0"/>
                          <w:numId w:val="12"/>
                        </w:numPr>
                        <w:rPr>
                          <w:rFonts w:cs="Tahoma"/>
                          <w:bCs/>
                          <w:sz w:val="24"/>
                        </w:rPr>
                      </w:pPr>
                      <w:r w:rsidRPr="00593E3F">
                        <w:rPr>
                          <w:rFonts w:cs="Tahoma"/>
                          <w:bCs/>
                          <w:sz w:val="24"/>
                        </w:rPr>
                        <w:t xml:space="preserve">The most significant current </w:t>
                      </w:r>
                      <w:r w:rsidRPr="001E0D75">
                        <w:rPr>
                          <w:rFonts w:cs="Tahoma"/>
                          <w:bCs/>
                          <w:sz w:val="24"/>
                        </w:rPr>
                        <w:t>month overspends within the total Income underspend of £(0.80)m are as follows:</w:t>
                      </w:r>
                    </w:p>
                    <w:p w:rsidR="00F66189" w:rsidRPr="001E0D75" w:rsidRDefault="00F66189" w:rsidP="009F3E70">
                      <w:pPr>
                        <w:pStyle w:val="ListParagraph"/>
                        <w:numPr>
                          <w:ilvl w:val="1"/>
                          <w:numId w:val="12"/>
                        </w:numPr>
                        <w:rPr>
                          <w:rFonts w:cs="Tahoma"/>
                          <w:bCs/>
                          <w:sz w:val="24"/>
                        </w:rPr>
                      </w:pPr>
                      <w:r w:rsidRPr="001E0D75">
                        <w:rPr>
                          <w:rFonts w:cs="Tahoma"/>
                          <w:bCs/>
                          <w:sz w:val="24"/>
                        </w:rPr>
                        <w:t>Contracting &amp; Commissioning £0.52m (Swansea Bay LTA underperformance £100k, Aneurin Bevan LTA underperformance £150k, WHSSC LTA underperformance £58k and Injury cost recovery scheme £217k)</w:t>
                      </w:r>
                    </w:p>
                    <w:p w:rsidR="00F66189" w:rsidRPr="00593E3F" w:rsidRDefault="00F66189" w:rsidP="009F3E70">
                      <w:pPr>
                        <w:pStyle w:val="ListParagraph"/>
                        <w:ind w:left="1080"/>
                        <w:rPr>
                          <w:rFonts w:cs="Tahoma"/>
                          <w:bCs/>
                          <w:sz w:val="24"/>
                        </w:rPr>
                      </w:pPr>
                    </w:p>
                    <w:p w:rsidR="00F66189" w:rsidRPr="00593E3F" w:rsidRDefault="00F66189" w:rsidP="003816FF">
                      <w:pPr>
                        <w:pStyle w:val="ListParagraph"/>
                        <w:numPr>
                          <w:ilvl w:val="0"/>
                          <w:numId w:val="12"/>
                        </w:numPr>
                        <w:jc w:val="both"/>
                        <w:rPr>
                          <w:rFonts w:cs="Tahoma"/>
                          <w:bCs/>
                          <w:sz w:val="24"/>
                        </w:rPr>
                      </w:pPr>
                      <w:r w:rsidRPr="00593E3F">
                        <w:rPr>
                          <w:rFonts w:cs="Tahoma"/>
                          <w:bCs/>
                          <w:sz w:val="24"/>
                        </w:rPr>
                        <w:t xml:space="preserve">Further information on the Savings delivery shortfall is provided in Section 3.7. </w:t>
                      </w:r>
                    </w:p>
                    <w:p w:rsidR="00F66189" w:rsidRPr="002104FE" w:rsidRDefault="00F66189" w:rsidP="00817B7E">
                      <w:pPr>
                        <w:pStyle w:val="ListParagraph"/>
                        <w:ind w:left="1080"/>
                        <w:rPr>
                          <w:rFonts w:cs="Tahoma"/>
                          <w:b/>
                          <w:bCs/>
                          <w:sz w:val="16"/>
                          <w:szCs w:val="16"/>
                          <w:u w:val="single"/>
                        </w:rPr>
                      </w:pPr>
                    </w:p>
                  </w:txbxContent>
                </v:textbox>
                <w10:wrap type="square"/>
              </v:shape>
            </w:pict>
          </mc:Fallback>
        </mc:AlternateContent>
      </w:r>
    </w:p>
    <w:p w:rsidR="00307185" w:rsidRDefault="00307185">
      <w:pPr>
        <w:rPr>
          <w:rFonts w:cs="Tahoma"/>
          <w:b/>
          <w:bCs/>
          <w:sz w:val="24"/>
        </w:rPr>
      </w:pPr>
      <w:r w:rsidRPr="008075AF">
        <w:rPr>
          <w:noProof/>
          <w:highlight w:val="yellow"/>
          <w:lang w:eastAsia="en-GB"/>
        </w:rPr>
        <mc:AlternateContent>
          <mc:Choice Requires="wps">
            <w:drawing>
              <wp:anchor distT="45720" distB="45720" distL="114300" distR="114300" simplePos="0" relativeHeight="251793408" behindDoc="0" locked="0" layoutInCell="1" allowOverlap="1" wp14:anchorId="4486146C" wp14:editId="66CA546A">
                <wp:simplePos x="0" y="0"/>
                <wp:positionH relativeFrom="column">
                  <wp:posOffset>56515</wp:posOffset>
                </wp:positionH>
                <wp:positionV relativeFrom="paragraph">
                  <wp:posOffset>0</wp:posOffset>
                </wp:positionV>
                <wp:extent cx="9814560" cy="6035040"/>
                <wp:effectExtent l="0" t="0" r="15240" b="22860"/>
                <wp:wrapSquare wrapText="bothSides"/>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9814560" cy="6035040"/>
                        </a:xfrm>
                        <a:prstGeom prst="rect">
                          <a:avLst/>
                        </a:prstGeom>
                        <a:solidFill>
                          <a:srgbClr val="FFFFFF"/>
                        </a:solidFill>
                        <a:ln w="19050">
                          <a:solidFill>
                            <a:srgbClr val="8EB4E3"/>
                          </a:solidFill>
                          <a:miter lim="800000"/>
                          <a:headEnd/>
                          <a:tailEnd/>
                        </a:ln>
                      </wps:spPr>
                      <wps:txbx>
                        <w:txbxContent>
                          <w:p w:rsidR="00F66189" w:rsidRDefault="00F66189" w:rsidP="00307185">
                            <w:pPr>
                              <w:jc w:val="both"/>
                              <w:rPr>
                                <w:rFonts w:cs="Tahoma"/>
                                <w:b/>
                                <w:bCs/>
                                <w:sz w:val="24"/>
                                <w:u w:val="single"/>
                              </w:rPr>
                            </w:pPr>
                            <w:r>
                              <w:rPr>
                                <w:rFonts w:cs="Tahoma"/>
                                <w:b/>
                                <w:bCs/>
                                <w:sz w:val="24"/>
                                <w:u w:val="single"/>
                              </w:rPr>
                              <w:t>Year to Date</w:t>
                            </w:r>
                          </w:p>
                          <w:p w:rsidR="00F66189" w:rsidRPr="00E543D5" w:rsidRDefault="00F66189" w:rsidP="003816FF">
                            <w:pPr>
                              <w:pStyle w:val="ListParagraph"/>
                              <w:ind w:left="1080"/>
                              <w:rPr>
                                <w:rFonts w:cs="Tahoma"/>
                                <w:bCs/>
                                <w:sz w:val="10"/>
                                <w:szCs w:val="10"/>
                                <w:highlight w:val="yellow"/>
                              </w:rPr>
                            </w:pPr>
                          </w:p>
                          <w:p w:rsidR="00F66189" w:rsidRPr="0039541E" w:rsidRDefault="00F66189" w:rsidP="009F3E70">
                            <w:pPr>
                              <w:pStyle w:val="ListParagraph"/>
                              <w:numPr>
                                <w:ilvl w:val="0"/>
                                <w:numId w:val="12"/>
                              </w:numPr>
                              <w:rPr>
                                <w:rFonts w:cs="Tahoma"/>
                                <w:bCs/>
                                <w:sz w:val="20"/>
                                <w:szCs w:val="20"/>
                              </w:rPr>
                            </w:pPr>
                            <w:r w:rsidRPr="0039541E">
                              <w:rPr>
                                <w:rFonts w:cs="Tahoma"/>
                                <w:bCs/>
                                <w:sz w:val="20"/>
                                <w:szCs w:val="20"/>
                              </w:rPr>
                              <w:t>The M1</w:t>
                            </w:r>
                            <w:r>
                              <w:rPr>
                                <w:rFonts w:cs="Tahoma"/>
                                <w:bCs/>
                                <w:sz w:val="20"/>
                                <w:szCs w:val="20"/>
                              </w:rPr>
                              <w:t>1</w:t>
                            </w:r>
                            <w:r w:rsidRPr="0039541E">
                              <w:rPr>
                                <w:rFonts w:cs="Tahoma"/>
                                <w:bCs/>
                                <w:sz w:val="20"/>
                                <w:szCs w:val="20"/>
                              </w:rPr>
                              <w:t xml:space="preserve"> YTD </w:t>
                            </w:r>
                            <w:r>
                              <w:rPr>
                                <w:rFonts w:cs="Tahoma"/>
                                <w:bCs/>
                                <w:sz w:val="20"/>
                                <w:szCs w:val="20"/>
                              </w:rPr>
                              <w:t xml:space="preserve">break even position </w:t>
                            </w:r>
                            <w:r w:rsidRPr="0039541E">
                              <w:rPr>
                                <w:rFonts w:cs="Tahoma"/>
                                <w:bCs/>
                                <w:sz w:val="20"/>
                                <w:szCs w:val="20"/>
                              </w:rPr>
                              <w:t>includes a delegated overspend of £1</w:t>
                            </w:r>
                            <w:r>
                              <w:rPr>
                                <w:rFonts w:cs="Tahoma"/>
                                <w:bCs/>
                                <w:sz w:val="20"/>
                                <w:szCs w:val="20"/>
                              </w:rPr>
                              <w:t>7.1</w:t>
                            </w:r>
                            <w:r w:rsidRPr="0039541E">
                              <w:rPr>
                                <w:rFonts w:cs="Tahoma"/>
                                <w:bCs/>
                                <w:sz w:val="20"/>
                                <w:szCs w:val="20"/>
                              </w:rPr>
                              <w:t>m offset by an under spend on non-delegated budgets of £(1</w:t>
                            </w:r>
                            <w:r>
                              <w:rPr>
                                <w:rFonts w:cs="Tahoma"/>
                                <w:bCs/>
                                <w:sz w:val="20"/>
                                <w:szCs w:val="20"/>
                              </w:rPr>
                              <w:t>7.1</w:t>
                            </w:r>
                            <w:r w:rsidRPr="0039541E">
                              <w:rPr>
                                <w:rFonts w:cs="Tahoma"/>
                                <w:bCs/>
                                <w:sz w:val="20"/>
                                <w:szCs w:val="20"/>
                              </w:rPr>
                              <w:t>)m. The delegated year to date overspend includes a shortfall in savings delivery of £5.</w:t>
                            </w:r>
                            <w:r>
                              <w:rPr>
                                <w:rFonts w:cs="Tahoma"/>
                                <w:bCs/>
                                <w:sz w:val="20"/>
                                <w:szCs w:val="20"/>
                              </w:rPr>
                              <w:t>9</w:t>
                            </w:r>
                            <w:r w:rsidRPr="0039541E">
                              <w:rPr>
                                <w:rFonts w:cs="Tahoma"/>
                                <w:bCs/>
                                <w:sz w:val="20"/>
                                <w:szCs w:val="20"/>
                              </w:rPr>
                              <w:t xml:space="preserve">m plus other overspends </w:t>
                            </w:r>
                            <w:r>
                              <w:rPr>
                                <w:rFonts w:cs="Tahoma"/>
                                <w:bCs/>
                                <w:sz w:val="20"/>
                                <w:szCs w:val="20"/>
                              </w:rPr>
                              <w:t>on pay, non-pay and income of £11.2</w:t>
                            </w:r>
                            <w:r w:rsidRPr="0039541E">
                              <w:rPr>
                                <w:rFonts w:cs="Tahoma"/>
                                <w:bCs/>
                                <w:sz w:val="20"/>
                                <w:szCs w:val="20"/>
                              </w:rPr>
                              <w:t>m.</w:t>
                            </w:r>
                          </w:p>
                          <w:p w:rsidR="00F66189" w:rsidRPr="0039541E" w:rsidRDefault="00F66189" w:rsidP="009F3E70">
                            <w:pPr>
                              <w:ind w:left="720"/>
                              <w:rPr>
                                <w:rFonts w:cs="Tahoma"/>
                                <w:bCs/>
                                <w:sz w:val="20"/>
                                <w:szCs w:val="20"/>
                                <w:highlight w:val="yellow"/>
                              </w:rPr>
                            </w:pPr>
                          </w:p>
                          <w:p w:rsidR="00F66189" w:rsidRPr="0039541E" w:rsidRDefault="00F66189" w:rsidP="009F3E70">
                            <w:pPr>
                              <w:pStyle w:val="ListParagraph"/>
                              <w:numPr>
                                <w:ilvl w:val="0"/>
                                <w:numId w:val="12"/>
                              </w:numPr>
                              <w:rPr>
                                <w:rFonts w:cs="Tahoma"/>
                                <w:bCs/>
                                <w:sz w:val="20"/>
                                <w:szCs w:val="20"/>
                              </w:rPr>
                            </w:pPr>
                            <w:r w:rsidRPr="0039541E">
                              <w:rPr>
                                <w:rFonts w:cs="Tahoma"/>
                                <w:bCs/>
                                <w:sz w:val="20"/>
                                <w:szCs w:val="20"/>
                              </w:rPr>
                              <w:t>The most significant YTD overspends within the total Pay overspend of £5.</w:t>
                            </w:r>
                            <w:r>
                              <w:rPr>
                                <w:rFonts w:cs="Tahoma"/>
                                <w:bCs/>
                                <w:sz w:val="20"/>
                                <w:szCs w:val="20"/>
                              </w:rPr>
                              <w:t>5</w:t>
                            </w:r>
                            <w:r w:rsidRPr="0039541E">
                              <w:rPr>
                                <w:rFonts w:cs="Tahoma"/>
                                <w:bCs/>
                                <w:sz w:val="20"/>
                                <w:szCs w:val="20"/>
                              </w:rPr>
                              <w:t>m are as follows:</w:t>
                            </w:r>
                          </w:p>
                          <w:p w:rsidR="00F66189" w:rsidRPr="001E0D75" w:rsidRDefault="00F66189" w:rsidP="009F3E70">
                            <w:pPr>
                              <w:pStyle w:val="ListParagraph"/>
                              <w:numPr>
                                <w:ilvl w:val="1"/>
                                <w:numId w:val="12"/>
                              </w:numPr>
                              <w:rPr>
                                <w:rFonts w:cs="Tahoma"/>
                                <w:bCs/>
                                <w:sz w:val="20"/>
                                <w:szCs w:val="20"/>
                              </w:rPr>
                            </w:pPr>
                            <w:r w:rsidRPr="001E0D75">
                              <w:rPr>
                                <w:rFonts w:cs="Tahoma"/>
                                <w:bCs/>
                                <w:sz w:val="20"/>
                                <w:szCs w:val="20"/>
                              </w:rPr>
                              <w:t>Acute Medicine and A&amp;E £1.8m (Additional clinical services £1.5m, Nursing &amp; Midwifery £0.2m and A&amp;C £0.2m)</w:t>
                            </w:r>
                          </w:p>
                          <w:p w:rsidR="00F66189" w:rsidRPr="001E0D75" w:rsidRDefault="00F66189" w:rsidP="009F3E70">
                            <w:pPr>
                              <w:pStyle w:val="ListParagraph"/>
                              <w:numPr>
                                <w:ilvl w:val="1"/>
                                <w:numId w:val="12"/>
                              </w:numPr>
                              <w:rPr>
                                <w:rFonts w:cs="Tahoma"/>
                                <w:bCs/>
                                <w:sz w:val="20"/>
                                <w:szCs w:val="20"/>
                              </w:rPr>
                            </w:pPr>
                            <w:r w:rsidRPr="001E0D75">
                              <w:rPr>
                                <w:rFonts w:cs="Tahoma"/>
                                <w:bCs/>
                                <w:sz w:val="20"/>
                                <w:szCs w:val="20"/>
                              </w:rPr>
                              <w:t>ACT £0.3m (Nursing &amp; midwifery £0.2m and Additional clinical services £0.1m)</w:t>
                            </w:r>
                          </w:p>
                          <w:p w:rsidR="00F66189" w:rsidRPr="001E0D75" w:rsidRDefault="00F66189" w:rsidP="009F3E70">
                            <w:pPr>
                              <w:pStyle w:val="ListParagraph"/>
                              <w:numPr>
                                <w:ilvl w:val="1"/>
                                <w:numId w:val="12"/>
                              </w:numPr>
                              <w:rPr>
                                <w:rFonts w:cs="Tahoma"/>
                                <w:bCs/>
                                <w:sz w:val="20"/>
                                <w:szCs w:val="20"/>
                              </w:rPr>
                            </w:pPr>
                            <w:r w:rsidRPr="001E0D75">
                              <w:rPr>
                                <w:rFonts w:cs="Tahoma"/>
                                <w:bCs/>
                                <w:sz w:val="20"/>
                                <w:szCs w:val="20"/>
                              </w:rPr>
                              <w:t>O&amp;G - £0.3m (Medical £0.1m, Nursing &amp; Midwifery £0.1m)</w:t>
                            </w:r>
                          </w:p>
                          <w:p w:rsidR="00F66189" w:rsidRPr="001E0D75" w:rsidRDefault="00F66189" w:rsidP="009F3E70">
                            <w:pPr>
                              <w:pStyle w:val="ListParagraph"/>
                              <w:numPr>
                                <w:ilvl w:val="1"/>
                                <w:numId w:val="12"/>
                              </w:numPr>
                              <w:rPr>
                                <w:rFonts w:cs="Tahoma"/>
                                <w:bCs/>
                                <w:sz w:val="20"/>
                                <w:szCs w:val="20"/>
                              </w:rPr>
                            </w:pPr>
                            <w:r w:rsidRPr="001E0D75">
                              <w:rPr>
                                <w:rFonts w:cs="Tahoma"/>
                                <w:bCs/>
                                <w:sz w:val="20"/>
                                <w:szCs w:val="20"/>
                              </w:rPr>
                              <w:t>POW Delivery Unit £4.8m (Medical £2.5m, Additional clinical services £1.8m and Nursing &amp; Midwifery £1.0m)</w:t>
                            </w:r>
                          </w:p>
                          <w:p w:rsidR="00F66189" w:rsidRPr="001E0D75" w:rsidRDefault="00F66189" w:rsidP="009F3E70">
                            <w:pPr>
                              <w:pStyle w:val="ListParagraph"/>
                              <w:numPr>
                                <w:ilvl w:val="1"/>
                                <w:numId w:val="12"/>
                              </w:numPr>
                              <w:rPr>
                                <w:rFonts w:cs="Tahoma"/>
                                <w:bCs/>
                                <w:sz w:val="20"/>
                                <w:szCs w:val="20"/>
                              </w:rPr>
                            </w:pPr>
                            <w:r w:rsidRPr="001E0D75">
                              <w:rPr>
                                <w:rFonts w:cs="Tahoma"/>
                                <w:bCs/>
                                <w:sz w:val="20"/>
                                <w:szCs w:val="20"/>
                              </w:rPr>
                              <w:t>Pathology £1.0m (Medical £0.6m and Healthcare Scientists £0.3m )</w:t>
                            </w:r>
                          </w:p>
                          <w:p w:rsidR="00F66189" w:rsidRPr="001E0D75" w:rsidRDefault="00F66189" w:rsidP="009F3E70">
                            <w:pPr>
                              <w:pStyle w:val="ListParagraph"/>
                              <w:numPr>
                                <w:ilvl w:val="1"/>
                                <w:numId w:val="12"/>
                              </w:numPr>
                              <w:rPr>
                                <w:rFonts w:cs="Tahoma"/>
                                <w:bCs/>
                                <w:sz w:val="20"/>
                                <w:szCs w:val="20"/>
                              </w:rPr>
                            </w:pPr>
                            <w:r>
                              <w:rPr>
                                <w:rFonts w:cs="Tahoma"/>
                                <w:bCs/>
                                <w:sz w:val="20"/>
                                <w:szCs w:val="20"/>
                              </w:rPr>
                              <w:t>CAMHs £0.6m (Admin &amp; C</w:t>
                            </w:r>
                            <w:r w:rsidRPr="001E0D75">
                              <w:rPr>
                                <w:rFonts w:cs="Tahoma"/>
                                <w:bCs/>
                                <w:sz w:val="20"/>
                                <w:szCs w:val="20"/>
                              </w:rPr>
                              <w:t>lerical £0.3m and Additional clinical services £0.2m)</w:t>
                            </w:r>
                          </w:p>
                          <w:p w:rsidR="00F66189" w:rsidRPr="001E0D75" w:rsidRDefault="00F66189" w:rsidP="009F3E70">
                            <w:pPr>
                              <w:pStyle w:val="ListParagraph"/>
                              <w:numPr>
                                <w:ilvl w:val="1"/>
                                <w:numId w:val="12"/>
                              </w:numPr>
                              <w:rPr>
                                <w:rFonts w:cs="Tahoma"/>
                                <w:bCs/>
                                <w:sz w:val="20"/>
                                <w:szCs w:val="20"/>
                              </w:rPr>
                            </w:pPr>
                            <w:r w:rsidRPr="001E0D75">
                              <w:rPr>
                                <w:rFonts w:cs="Tahoma"/>
                                <w:bCs/>
                                <w:sz w:val="20"/>
                                <w:szCs w:val="20"/>
                              </w:rPr>
                              <w:t>CYP £0.4m (Medical £0.4m)</w:t>
                            </w:r>
                          </w:p>
                          <w:p w:rsidR="00F66189" w:rsidRPr="001E0D75" w:rsidRDefault="00F66189" w:rsidP="009F3E70">
                            <w:pPr>
                              <w:pStyle w:val="ListParagraph"/>
                              <w:numPr>
                                <w:ilvl w:val="1"/>
                                <w:numId w:val="12"/>
                              </w:numPr>
                              <w:rPr>
                                <w:rFonts w:cs="Tahoma"/>
                                <w:bCs/>
                                <w:sz w:val="20"/>
                                <w:szCs w:val="20"/>
                              </w:rPr>
                            </w:pPr>
                            <w:r w:rsidRPr="001E0D75">
                              <w:rPr>
                                <w:rFonts w:cs="Tahoma"/>
                                <w:bCs/>
                                <w:sz w:val="20"/>
                                <w:szCs w:val="20"/>
                              </w:rPr>
                              <w:t>ICT £0.2m (Admin &amp; clerical £0.2m)</w:t>
                            </w:r>
                          </w:p>
                          <w:p w:rsidR="00F66189" w:rsidRPr="001E0D75" w:rsidRDefault="00F66189" w:rsidP="009F3E70">
                            <w:pPr>
                              <w:pStyle w:val="ListParagraph"/>
                              <w:ind w:left="1778"/>
                              <w:rPr>
                                <w:rFonts w:cs="Tahoma"/>
                                <w:bCs/>
                                <w:sz w:val="20"/>
                                <w:szCs w:val="20"/>
                                <w:highlight w:val="yellow"/>
                              </w:rPr>
                            </w:pPr>
                          </w:p>
                          <w:p w:rsidR="00F66189" w:rsidRPr="001E0D75" w:rsidRDefault="00F66189" w:rsidP="009F3E70">
                            <w:pPr>
                              <w:ind w:left="720"/>
                              <w:rPr>
                                <w:sz w:val="20"/>
                                <w:szCs w:val="20"/>
                              </w:rPr>
                            </w:pPr>
                            <w:r w:rsidRPr="001E0D75">
                              <w:rPr>
                                <w:sz w:val="20"/>
                                <w:szCs w:val="20"/>
                              </w:rPr>
                              <w:t xml:space="preserve">The total Pay overspend of £5.5m includes a £5.9m overspend on Additional clinical services and a £2.5m underspend on Nursing &amp; midwifery plus a £2.9m overspend on Medical and Dental. </w:t>
                            </w:r>
                          </w:p>
                          <w:p w:rsidR="00F66189" w:rsidRPr="0039541E" w:rsidRDefault="00F66189" w:rsidP="009F3E70">
                            <w:pPr>
                              <w:rPr>
                                <w:rFonts w:cs="Tahoma"/>
                                <w:bCs/>
                                <w:sz w:val="20"/>
                                <w:szCs w:val="20"/>
                                <w:highlight w:val="yellow"/>
                              </w:rPr>
                            </w:pPr>
                          </w:p>
                          <w:p w:rsidR="00F66189" w:rsidRPr="0039541E" w:rsidRDefault="00F66189" w:rsidP="009F3E70">
                            <w:pPr>
                              <w:pStyle w:val="ListParagraph"/>
                              <w:numPr>
                                <w:ilvl w:val="0"/>
                                <w:numId w:val="12"/>
                              </w:numPr>
                              <w:rPr>
                                <w:rFonts w:cs="Tahoma"/>
                                <w:bCs/>
                                <w:sz w:val="20"/>
                                <w:szCs w:val="20"/>
                              </w:rPr>
                            </w:pPr>
                            <w:r w:rsidRPr="0039541E">
                              <w:rPr>
                                <w:rFonts w:cs="Tahoma"/>
                                <w:bCs/>
                                <w:sz w:val="20"/>
                                <w:szCs w:val="20"/>
                              </w:rPr>
                              <w:t>The most significant YTD overspends within the total Non pay overspend of £</w:t>
                            </w:r>
                            <w:r>
                              <w:rPr>
                                <w:rFonts w:cs="Tahoma"/>
                                <w:bCs/>
                                <w:sz w:val="20"/>
                                <w:szCs w:val="20"/>
                              </w:rPr>
                              <w:t>5.1</w:t>
                            </w:r>
                            <w:r w:rsidRPr="0039541E">
                              <w:rPr>
                                <w:rFonts w:cs="Tahoma"/>
                                <w:bCs/>
                                <w:sz w:val="20"/>
                                <w:szCs w:val="20"/>
                              </w:rPr>
                              <w:t>m are as follows:</w:t>
                            </w:r>
                          </w:p>
                          <w:p w:rsidR="00F66189" w:rsidRPr="001E0D75" w:rsidRDefault="00F66189" w:rsidP="009F3E70">
                            <w:pPr>
                              <w:pStyle w:val="ListParagraph"/>
                              <w:numPr>
                                <w:ilvl w:val="1"/>
                                <w:numId w:val="12"/>
                              </w:numPr>
                              <w:rPr>
                                <w:rFonts w:cs="Tahoma"/>
                                <w:bCs/>
                                <w:sz w:val="20"/>
                                <w:szCs w:val="20"/>
                              </w:rPr>
                            </w:pPr>
                            <w:r w:rsidRPr="001E0D75">
                              <w:rPr>
                                <w:rFonts w:cs="Tahoma"/>
                                <w:bCs/>
                                <w:sz w:val="20"/>
                                <w:szCs w:val="20"/>
                              </w:rPr>
                              <w:t>Acute Medicine and A&amp;E £0.9m – Secondary care drugs £0.69m and M&amp;S Supplies £0.2m</w:t>
                            </w:r>
                          </w:p>
                          <w:p w:rsidR="00F66189" w:rsidRPr="001E0D75" w:rsidRDefault="00F66189" w:rsidP="009F3E70">
                            <w:pPr>
                              <w:pStyle w:val="ListParagraph"/>
                              <w:numPr>
                                <w:ilvl w:val="1"/>
                                <w:numId w:val="12"/>
                              </w:numPr>
                              <w:rPr>
                                <w:rFonts w:cs="Tahoma"/>
                                <w:bCs/>
                                <w:sz w:val="20"/>
                                <w:szCs w:val="20"/>
                              </w:rPr>
                            </w:pPr>
                            <w:r w:rsidRPr="001E0D75">
                              <w:rPr>
                                <w:rFonts w:cs="Tahoma"/>
                                <w:bCs/>
                                <w:sz w:val="20"/>
                                <w:szCs w:val="20"/>
                              </w:rPr>
                              <w:t>H&amp;N £0.2m – Secondary care drugs £0.14m</w:t>
                            </w:r>
                          </w:p>
                          <w:p w:rsidR="00F66189" w:rsidRPr="001E0D75" w:rsidRDefault="00F66189" w:rsidP="009F3E70">
                            <w:pPr>
                              <w:pStyle w:val="ListParagraph"/>
                              <w:numPr>
                                <w:ilvl w:val="1"/>
                                <w:numId w:val="12"/>
                              </w:numPr>
                              <w:rPr>
                                <w:rFonts w:cs="Tahoma"/>
                                <w:bCs/>
                                <w:sz w:val="20"/>
                                <w:szCs w:val="20"/>
                              </w:rPr>
                            </w:pPr>
                            <w:r w:rsidRPr="001E0D75">
                              <w:rPr>
                                <w:rFonts w:cs="Tahoma"/>
                                <w:bCs/>
                                <w:sz w:val="20"/>
                                <w:szCs w:val="20"/>
                              </w:rPr>
                              <w:t>POW Medicine £0.9m – Appliances £0.35m, M&amp;S supplies £0.32m and £0.2m Secondary care drugs</w:t>
                            </w:r>
                          </w:p>
                          <w:p w:rsidR="00F66189" w:rsidRPr="001E0D75" w:rsidRDefault="00F66189" w:rsidP="009F3E70">
                            <w:pPr>
                              <w:pStyle w:val="ListParagraph"/>
                              <w:numPr>
                                <w:ilvl w:val="1"/>
                                <w:numId w:val="12"/>
                              </w:numPr>
                              <w:rPr>
                                <w:rFonts w:cs="Tahoma"/>
                                <w:bCs/>
                                <w:sz w:val="20"/>
                                <w:szCs w:val="20"/>
                              </w:rPr>
                            </w:pPr>
                            <w:r w:rsidRPr="001E0D75">
                              <w:rPr>
                                <w:rFonts w:cs="Tahoma"/>
                                <w:bCs/>
                                <w:sz w:val="20"/>
                                <w:szCs w:val="20"/>
                              </w:rPr>
                              <w:t>Pathology £0.5m – M&amp;S £0.1m, Office Equipment/ICT £0.1m and SLAs £0.09m</w:t>
                            </w:r>
                          </w:p>
                          <w:p w:rsidR="00F66189" w:rsidRPr="001E0D75" w:rsidRDefault="00F66189" w:rsidP="009F3E70">
                            <w:pPr>
                              <w:pStyle w:val="ListParagraph"/>
                              <w:numPr>
                                <w:ilvl w:val="1"/>
                                <w:numId w:val="12"/>
                              </w:numPr>
                              <w:rPr>
                                <w:rFonts w:cs="Tahoma"/>
                                <w:bCs/>
                                <w:sz w:val="20"/>
                                <w:szCs w:val="20"/>
                              </w:rPr>
                            </w:pPr>
                            <w:r w:rsidRPr="001E0D75">
                              <w:rPr>
                                <w:rFonts w:cs="Tahoma"/>
                                <w:bCs/>
                                <w:sz w:val="20"/>
                                <w:szCs w:val="20"/>
                              </w:rPr>
                              <w:t>Radiology £0.3m- Reporting £0.26m</w:t>
                            </w:r>
                          </w:p>
                          <w:p w:rsidR="00F66189" w:rsidRPr="001E0D75" w:rsidRDefault="00F66189" w:rsidP="009F3E70">
                            <w:pPr>
                              <w:pStyle w:val="ListParagraph"/>
                              <w:numPr>
                                <w:ilvl w:val="1"/>
                                <w:numId w:val="12"/>
                              </w:numPr>
                              <w:rPr>
                                <w:rFonts w:cs="Tahoma"/>
                                <w:bCs/>
                                <w:sz w:val="20"/>
                                <w:szCs w:val="20"/>
                              </w:rPr>
                            </w:pPr>
                            <w:r w:rsidRPr="001E0D75">
                              <w:rPr>
                                <w:rFonts w:cs="Tahoma"/>
                                <w:bCs/>
                                <w:sz w:val="20"/>
                                <w:szCs w:val="20"/>
                              </w:rPr>
                              <w:t>Facilities £0.8m – Waste &amp;Transport £0.34m, Catering £0.16m, Building &amp; Engineering £0.09m Postage £0.06m, Laundry £0.04m</w:t>
                            </w:r>
                          </w:p>
                          <w:p w:rsidR="00F66189" w:rsidRPr="001E0D75" w:rsidRDefault="00F66189" w:rsidP="009F3E70">
                            <w:pPr>
                              <w:pStyle w:val="ListParagraph"/>
                              <w:numPr>
                                <w:ilvl w:val="1"/>
                                <w:numId w:val="12"/>
                              </w:numPr>
                              <w:rPr>
                                <w:rFonts w:cs="Tahoma"/>
                                <w:bCs/>
                                <w:sz w:val="20"/>
                                <w:szCs w:val="20"/>
                              </w:rPr>
                            </w:pPr>
                            <w:r w:rsidRPr="001E0D75">
                              <w:rPr>
                                <w:rFonts w:cs="Tahoma"/>
                                <w:bCs/>
                                <w:sz w:val="20"/>
                                <w:szCs w:val="20"/>
                              </w:rPr>
                              <w:t>Mental Health £0.5m – Continuing Healthcare £0.31m and Drugs £0.2m</w:t>
                            </w:r>
                          </w:p>
                          <w:p w:rsidR="00F66189" w:rsidRPr="001E0D75" w:rsidRDefault="00F66189" w:rsidP="009F3E70">
                            <w:pPr>
                              <w:pStyle w:val="ListParagraph"/>
                              <w:numPr>
                                <w:ilvl w:val="1"/>
                                <w:numId w:val="12"/>
                              </w:numPr>
                              <w:rPr>
                                <w:rFonts w:cs="Tahoma"/>
                                <w:bCs/>
                                <w:sz w:val="20"/>
                                <w:szCs w:val="20"/>
                              </w:rPr>
                            </w:pPr>
                            <w:r w:rsidRPr="001E0D75">
                              <w:rPr>
                                <w:rFonts w:cs="Tahoma"/>
                                <w:bCs/>
                                <w:sz w:val="20"/>
                                <w:szCs w:val="20"/>
                              </w:rPr>
                              <w:t>Medicines Mgt £2.1m – Primary Care Prescribing £1.7m, NICE £0.28m</w:t>
                            </w:r>
                          </w:p>
                          <w:p w:rsidR="00F66189" w:rsidRPr="001E0D75" w:rsidRDefault="00F66189" w:rsidP="009F3E70">
                            <w:pPr>
                              <w:pStyle w:val="ListParagraph"/>
                              <w:numPr>
                                <w:ilvl w:val="1"/>
                                <w:numId w:val="12"/>
                              </w:numPr>
                              <w:rPr>
                                <w:rFonts w:cs="Tahoma"/>
                                <w:bCs/>
                                <w:sz w:val="20"/>
                                <w:szCs w:val="20"/>
                              </w:rPr>
                            </w:pPr>
                            <w:r>
                              <w:rPr>
                                <w:rFonts w:cs="Tahoma"/>
                                <w:bCs/>
                                <w:sz w:val="20"/>
                                <w:szCs w:val="20"/>
                              </w:rPr>
                              <w:t>Estates £0.3m – B&amp;E £0.1m and U</w:t>
                            </w:r>
                            <w:r w:rsidRPr="001E0D75">
                              <w:rPr>
                                <w:rFonts w:cs="Tahoma"/>
                                <w:bCs/>
                                <w:sz w:val="20"/>
                                <w:szCs w:val="20"/>
                              </w:rPr>
                              <w:t xml:space="preserve">tilities £0.19m </w:t>
                            </w:r>
                          </w:p>
                          <w:p w:rsidR="00F66189" w:rsidRDefault="00F66189" w:rsidP="009F3E70">
                            <w:pPr>
                              <w:rPr>
                                <w:rFonts w:cs="Tahoma"/>
                                <w:bCs/>
                                <w:sz w:val="10"/>
                                <w:szCs w:val="10"/>
                                <w:highlight w:val="yellow"/>
                              </w:rPr>
                            </w:pPr>
                          </w:p>
                          <w:p w:rsidR="00F66189" w:rsidRDefault="00F66189" w:rsidP="009F3E70">
                            <w:pPr>
                              <w:rPr>
                                <w:rFonts w:cs="Tahoma"/>
                                <w:bCs/>
                                <w:sz w:val="10"/>
                                <w:szCs w:val="10"/>
                                <w:highlight w:val="yellow"/>
                              </w:rPr>
                            </w:pPr>
                          </w:p>
                          <w:p w:rsidR="00F66189" w:rsidRPr="00692A1F" w:rsidRDefault="00F66189" w:rsidP="009F3E70">
                            <w:pPr>
                              <w:pStyle w:val="ListParagraph"/>
                              <w:numPr>
                                <w:ilvl w:val="0"/>
                                <w:numId w:val="12"/>
                              </w:numPr>
                              <w:rPr>
                                <w:rFonts w:cs="Tahoma"/>
                                <w:bCs/>
                                <w:sz w:val="20"/>
                                <w:szCs w:val="20"/>
                              </w:rPr>
                            </w:pPr>
                            <w:r w:rsidRPr="00692A1F">
                              <w:rPr>
                                <w:rFonts w:cs="Tahoma"/>
                                <w:bCs/>
                                <w:sz w:val="20"/>
                                <w:szCs w:val="20"/>
                              </w:rPr>
                              <w:t>The most significant YTD overspends within the Income overspend of £</w:t>
                            </w:r>
                            <w:r>
                              <w:rPr>
                                <w:rFonts w:cs="Tahoma"/>
                                <w:bCs/>
                                <w:sz w:val="20"/>
                                <w:szCs w:val="20"/>
                              </w:rPr>
                              <w:t>0.6m</w:t>
                            </w:r>
                            <w:r w:rsidRPr="00692A1F">
                              <w:rPr>
                                <w:rFonts w:cs="Tahoma"/>
                                <w:bCs/>
                                <w:sz w:val="20"/>
                                <w:szCs w:val="20"/>
                              </w:rPr>
                              <w:t xml:space="preserve"> are as follows:</w:t>
                            </w:r>
                          </w:p>
                          <w:p w:rsidR="00F66189" w:rsidRPr="001E0D75" w:rsidRDefault="00F66189" w:rsidP="009F3E70">
                            <w:pPr>
                              <w:pStyle w:val="ListParagraph"/>
                              <w:numPr>
                                <w:ilvl w:val="1"/>
                                <w:numId w:val="12"/>
                              </w:numPr>
                              <w:rPr>
                                <w:sz w:val="20"/>
                                <w:szCs w:val="20"/>
                              </w:rPr>
                            </w:pPr>
                            <w:r w:rsidRPr="001E0D75">
                              <w:rPr>
                                <w:sz w:val="20"/>
                                <w:szCs w:val="20"/>
                              </w:rPr>
                              <w:t>POW Surgical services £0.5m- C&amp;V Surgical Services SLA £0.45m</w:t>
                            </w:r>
                          </w:p>
                          <w:p w:rsidR="00F66189" w:rsidRPr="001E0D75" w:rsidRDefault="00F66189" w:rsidP="009F3E70">
                            <w:pPr>
                              <w:pStyle w:val="ListParagraph"/>
                              <w:numPr>
                                <w:ilvl w:val="1"/>
                                <w:numId w:val="12"/>
                              </w:numPr>
                              <w:rPr>
                                <w:sz w:val="20"/>
                                <w:szCs w:val="20"/>
                              </w:rPr>
                            </w:pPr>
                            <w:r w:rsidRPr="001E0D75">
                              <w:rPr>
                                <w:sz w:val="20"/>
                                <w:szCs w:val="20"/>
                              </w:rPr>
                              <w:t>CYP £0.2m – Flying Start Income from Local Authorities £0.2m</w:t>
                            </w:r>
                          </w:p>
                          <w:p w:rsidR="00F66189" w:rsidRPr="001E0D75" w:rsidRDefault="00F66189" w:rsidP="009F3E70">
                            <w:pPr>
                              <w:pStyle w:val="ListParagraph"/>
                              <w:numPr>
                                <w:ilvl w:val="1"/>
                                <w:numId w:val="12"/>
                              </w:numPr>
                              <w:rPr>
                                <w:sz w:val="20"/>
                                <w:szCs w:val="20"/>
                              </w:rPr>
                            </w:pPr>
                            <w:r w:rsidRPr="001E0D75">
                              <w:rPr>
                                <w:sz w:val="20"/>
                                <w:szCs w:val="20"/>
                              </w:rPr>
                              <w:t xml:space="preserve">Contracting &amp; Commissioning £2.1m- ABUHB LTA </w:t>
                            </w:r>
                            <w:r>
                              <w:rPr>
                                <w:sz w:val="20"/>
                                <w:szCs w:val="20"/>
                              </w:rPr>
                              <w:t xml:space="preserve">under </w:t>
                            </w:r>
                            <w:r w:rsidRPr="001E0D75">
                              <w:rPr>
                                <w:sz w:val="20"/>
                                <w:szCs w:val="20"/>
                              </w:rPr>
                              <w:t xml:space="preserve">performance £0.7m, Swansea Bay LTA </w:t>
                            </w:r>
                            <w:r>
                              <w:rPr>
                                <w:sz w:val="20"/>
                                <w:szCs w:val="20"/>
                              </w:rPr>
                              <w:t xml:space="preserve">under </w:t>
                            </w:r>
                            <w:r w:rsidRPr="001E0D75">
                              <w:rPr>
                                <w:sz w:val="20"/>
                                <w:szCs w:val="20"/>
                              </w:rPr>
                              <w:t xml:space="preserve">performance £0.83m, Non Contracted Activity £0.28m, WHSSC LTA </w:t>
                            </w:r>
                            <w:r>
                              <w:rPr>
                                <w:sz w:val="20"/>
                                <w:szCs w:val="20"/>
                              </w:rPr>
                              <w:t xml:space="preserve">under </w:t>
                            </w:r>
                            <w:r w:rsidRPr="001E0D75">
                              <w:rPr>
                                <w:sz w:val="20"/>
                                <w:szCs w:val="20"/>
                              </w:rPr>
                              <w:t>performance £0.14m and Injury cost recovery £0.13m</w:t>
                            </w:r>
                          </w:p>
                          <w:p w:rsidR="00F66189" w:rsidRPr="00692A1F" w:rsidRDefault="00F66189" w:rsidP="00692A1F">
                            <w:pPr>
                              <w:rPr>
                                <w:rFonts w:cs="Tahoma"/>
                                <w:bCs/>
                                <w:sz w:val="20"/>
                                <w:szCs w:val="20"/>
                                <w:highlight w:val="yellow"/>
                              </w:rPr>
                            </w:pPr>
                          </w:p>
                          <w:p w:rsidR="00F66189" w:rsidRPr="00692A1F" w:rsidRDefault="00F66189" w:rsidP="003816FF">
                            <w:pPr>
                              <w:pStyle w:val="ListParagraph"/>
                              <w:numPr>
                                <w:ilvl w:val="0"/>
                                <w:numId w:val="12"/>
                              </w:numPr>
                              <w:jc w:val="both"/>
                              <w:rPr>
                                <w:rFonts w:cs="Tahoma"/>
                                <w:bCs/>
                                <w:sz w:val="20"/>
                                <w:szCs w:val="20"/>
                              </w:rPr>
                            </w:pPr>
                            <w:r w:rsidRPr="00692A1F">
                              <w:rPr>
                                <w:rFonts w:cs="Tahoma"/>
                                <w:bCs/>
                                <w:sz w:val="20"/>
                                <w:szCs w:val="20"/>
                              </w:rPr>
                              <w:t xml:space="preserve">Further information on the Savings delivery shortfall is provided in Section 3.7. </w:t>
                            </w:r>
                          </w:p>
                          <w:p w:rsidR="00F66189" w:rsidRPr="002754CE" w:rsidRDefault="00F66189" w:rsidP="003E595F">
                            <w:pPr>
                              <w:pStyle w:val="ListParagraph"/>
                              <w:ind w:left="1080"/>
                              <w:jc w:val="both"/>
                              <w:rPr>
                                <w:rFonts w:cs="Tahoma"/>
                                <w:bCs/>
                                <w:sz w:val="24"/>
                                <w:highlight w:val="yellow"/>
                              </w:rPr>
                            </w:pPr>
                          </w:p>
                          <w:p w:rsidR="00F66189" w:rsidRPr="007B62F0" w:rsidRDefault="00F66189" w:rsidP="003E595F">
                            <w:pPr>
                              <w:pStyle w:val="ListParagraph"/>
                              <w:ind w:left="1080"/>
                              <w:jc w:val="both"/>
                              <w:rPr>
                                <w:rFonts w:cs="Tahoma"/>
                                <w:bCs/>
                                <w:sz w:val="24"/>
                              </w:rPr>
                            </w:pPr>
                          </w:p>
                          <w:p w:rsidR="00F66189" w:rsidRDefault="00F66189" w:rsidP="00307185">
                            <w:pPr>
                              <w:jc w:val="both"/>
                              <w:rPr>
                                <w:rFonts w:cs="Tahoma"/>
                                <w:b/>
                                <w:bCs/>
                                <w:sz w:val="16"/>
                                <w:szCs w:val="16"/>
                                <w:u w:val="single"/>
                              </w:rPr>
                            </w:pPr>
                          </w:p>
                          <w:p w:rsidR="00F66189" w:rsidRDefault="00F66189" w:rsidP="00307185">
                            <w:pPr>
                              <w:jc w:val="both"/>
                              <w:rPr>
                                <w:rFonts w:cs="Tahoma"/>
                                <w:b/>
                                <w:bCs/>
                                <w:sz w:val="16"/>
                                <w:szCs w:val="16"/>
                                <w:u w:val="single"/>
                              </w:rPr>
                            </w:pPr>
                          </w:p>
                          <w:p w:rsidR="00F66189" w:rsidRDefault="00F66189" w:rsidP="00307185">
                            <w:pPr>
                              <w:jc w:val="both"/>
                              <w:rPr>
                                <w:rFonts w:cs="Tahoma"/>
                                <w:b/>
                                <w:bCs/>
                                <w:sz w:val="16"/>
                                <w:szCs w:val="16"/>
                                <w:u w:val="single"/>
                              </w:rPr>
                            </w:pPr>
                          </w:p>
                          <w:p w:rsidR="00F66189" w:rsidRPr="002104FE" w:rsidRDefault="00F66189" w:rsidP="00307185">
                            <w:pPr>
                              <w:jc w:val="both"/>
                              <w:rPr>
                                <w:rFonts w:cs="Tahoma"/>
                                <w:b/>
                                <w:bCs/>
                                <w:sz w:val="16"/>
                                <w:szCs w:val="16"/>
                                <w:u w:val="single"/>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486146C" id="_x0000_s1028" type="#_x0000_t202" style="position:absolute;margin-left:4.45pt;margin-top:0;width:772.8pt;height:475.2pt;z-index:251793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" strokecolor="#8eb4e3" strokeweight="1.5pt">
                <v:path arrowok="t"/>
                <v:textbox>
                  <w:txbxContent>
                    <w:p w:rsidR="00F66189" w:rsidRDefault="00F66189" w:rsidP="00307185">
                      <w:pPr>
                        <w:jc w:val="both"/>
                        <w:rPr>
                          <w:rFonts w:cs="Tahoma"/>
                          <w:b/>
                          <w:bCs/>
                          <w:sz w:val="24"/>
                          <w:u w:val="single"/>
                        </w:rPr>
                      </w:pPr>
                      <w:r>
                        <w:rPr>
                          <w:rFonts w:cs="Tahoma"/>
                          <w:b/>
                          <w:bCs/>
                          <w:sz w:val="24"/>
                          <w:u w:val="single"/>
                        </w:rPr>
                        <w:t>Year to Date</w:t>
                      </w:r>
                    </w:p>
                    <w:p w:rsidR="00F66189" w:rsidRPr="00E543D5" w:rsidRDefault="00F66189" w:rsidP="003816FF">
                      <w:pPr>
                        <w:pStyle w:val="ListParagraph"/>
                        <w:ind w:left="1080"/>
                        <w:rPr>
                          <w:rFonts w:cs="Tahoma"/>
                          <w:bCs/>
                          <w:sz w:val="10"/>
                          <w:szCs w:val="10"/>
                          <w:highlight w:val="yellow"/>
                        </w:rPr>
                      </w:pPr>
                    </w:p>
                    <w:p w:rsidR="00F66189" w:rsidRPr="0039541E" w:rsidRDefault="00F66189" w:rsidP="009F3E70">
                      <w:pPr>
                        <w:pStyle w:val="ListParagraph"/>
                        <w:numPr>
                          <w:ilvl w:val="0"/>
                          <w:numId w:val="12"/>
                        </w:numPr>
                        <w:rPr>
                          <w:rFonts w:cs="Tahoma"/>
                          <w:bCs/>
                          <w:sz w:val="20"/>
                          <w:szCs w:val="20"/>
                        </w:rPr>
                      </w:pPr>
                      <w:r w:rsidRPr="0039541E">
                        <w:rPr>
                          <w:rFonts w:cs="Tahoma"/>
                          <w:bCs/>
                          <w:sz w:val="20"/>
                          <w:szCs w:val="20"/>
                        </w:rPr>
                        <w:t>The M1</w:t>
                      </w:r>
                      <w:r>
                        <w:rPr>
                          <w:rFonts w:cs="Tahoma"/>
                          <w:bCs/>
                          <w:sz w:val="20"/>
                          <w:szCs w:val="20"/>
                        </w:rPr>
                        <w:t>1</w:t>
                      </w:r>
                      <w:r w:rsidRPr="0039541E">
                        <w:rPr>
                          <w:rFonts w:cs="Tahoma"/>
                          <w:bCs/>
                          <w:sz w:val="20"/>
                          <w:szCs w:val="20"/>
                        </w:rPr>
                        <w:t xml:space="preserve"> YTD </w:t>
                      </w:r>
                      <w:r>
                        <w:rPr>
                          <w:rFonts w:cs="Tahoma"/>
                          <w:bCs/>
                          <w:sz w:val="20"/>
                          <w:szCs w:val="20"/>
                        </w:rPr>
                        <w:t xml:space="preserve">break even position </w:t>
                      </w:r>
                      <w:r w:rsidRPr="0039541E">
                        <w:rPr>
                          <w:rFonts w:cs="Tahoma"/>
                          <w:bCs/>
                          <w:sz w:val="20"/>
                          <w:szCs w:val="20"/>
                        </w:rPr>
                        <w:t>includes a delegated overspend of £1</w:t>
                      </w:r>
                      <w:r>
                        <w:rPr>
                          <w:rFonts w:cs="Tahoma"/>
                          <w:bCs/>
                          <w:sz w:val="20"/>
                          <w:szCs w:val="20"/>
                        </w:rPr>
                        <w:t>7.1</w:t>
                      </w:r>
                      <w:r w:rsidRPr="0039541E">
                        <w:rPr>
                          <w:rFonts w:cs="Tahoma"/>
                          <w:bCs/>
                          <w:sz w:val="20"/>
                          <w:szCs w:val="20"/>
                        </w:rPr>
                        <w:t>m offset by an under spend on non-delegated budgets of £(1</w:t>
                      </w:r>
                      <w:r>
                        <w:rPr>
                          <w:rFonts w:cs="Tahoma"/>
                          <w:bCs/>
                          <w:sz w:val="20"/>
                          <w:szCs w:val="20"/>
                        </w:rPr>
                        <w:t>7.1</w:t>
                      </w:r>
                      <w:r w:rsidRPr="0039541E">
                        <w:rPr>
                          <w:rFonts w:cs="Tahoma"/>
                          <w:bCs/>
                          <w:sz w:val="20"/>
                          <w:szCs w:val="20"/>
                        </w:rPr>
                        <w:t>)m. The delegated year to date overspend includes a shortfall in savings delivery of £5.</w:t>
                      </w:r>
                      <w:r>
                        <w:rPr>
                          <w:rFonts w:cs="Tahoma"/>
                          <w:bCs/>
                          <w:sz w:val="20"/>
                          <w:szCs w:val="20"/>
                        </w:rPr>
                        <w:t>9</w:t>
                      </w:r>
                      <w:r w:rsidRPr="0039541E">
                        <w:rPr>
                          <w:rFonts w:cs="Tahoma"/>
                          <w:bCs/>
                          <w:sz w:val="20"/>
                          <w:szCs w:val="20"/>
                        </w:rPr>
                        <w:t xml:space="preserve">m plus other overspends </w:t>
                      </w:r>
                      <w:r>
                        <w:rPr>
                          <w:rFonts w:cs="Tahoma"/>
                          <w:bCs/>
                          <w:sz w:val="20"/>
                          <w:szCs w:val="20"/>
                        </w:rPr>
                        <w:t>on pay, non-pay and income of £11.2</w:t>
                      </w:r>
                      <w:r w:rsidRPr="0039541E">
                        <w:rPr>
                          <w:rFonts w:cs="Tahoma"/>
                          <w:bCs/>
                          <w:sz w:val="20"/>
                          <w:szCs w:val="20"/>
                        </w:rPr>
                        <w:t>m.</w:t>
                      </w:r>
                    </w:p>
                    <w:p w:rsidR="00F66189" w:rsidRPr="0039541E" w:rsidRDefault="00F66189" w:rsidP="009F3E70">
                      <w:pPr>
                        <w:ind w:left="720"/>
                        <w:rPr>
                          <w:rFonts w:cs="Tahoma"/>
                          <w:bCs/>
                          <w:sz w:val="20"/>
                          <w:szCs w:val="20"/>
                          <w:highlight w:val="yellow"/>
                        </w:rPr>
                      </w:pPr>
                    </w:p>
                    <w:p w:rsidR="00F66189" w:rsidRPr="0039541E" w:rsidRDefault="00F66189" w:rsidP="009F3E70">
                      <w:pPr>
                        <w:pStyle w:val="ListParagraph"/>
                        <w:numPr>
                          <w:ilvl w:val="0"/>
                          <w:numId w:val="12"/>
                        </w:numPr>
                        <w:rPr>
                          <w:rFonts w:cs="Tahoma"/>
                          <w:bCs/>
                          <w:sz w:val="20"/>
                          <w:szCs w:val="20"/>
                        </w:rPr>
                      </w:pPr>
                      <w:r w:rsidRPr="0039541E">
                        <w:rPr>
                          <w:rFonts w:cs="Tahoma"/>
                          <w:bCs/>
                          <w:sz w:val="20"/>
                          <w:szCs w:val="20"/>
                        </w:rPr>
                        <w:t>The most significant YTD overspends within the total Pay overspend of £5.</w:t>
                      </w:r>
                      <w:r>
                        <w:rPr>
                          <w:rFonts w:cs="Tahoma"/>
                          <w:bCs/>
                          <w:sz w:val="20"/>
                          <w:szCs w:val="20"/>
                        </w:rPr>
                        <w:t>5</w:t>
                      </w:r>
                      <w:r w:rsidRPr="0039541E">
                        <w:rPr>
                          <w:rFonts w:cs="Tahoma"/>
                          <w:bCs/>
                          <w:sz w:val="20"/>
                          <w:szCs w:val="20"/>
                        </w:rPr>
                        <w:t>m are as follows:</w:t>
                      </w:r>
                    </w:p>
                    <w:p w:rsidR="00F66189" w:rsidRPr="001E0D75" w:rsidRDefault="00F66189" w:rsidP="009F3E70">
                      <w:pPr>
                        <w:pStyle w:val="ListParagraph"/>
                        <w:numPr>
                          <w:ilvl w:val="1"/>
                          <w:numId w:val="12"/>
                        </w:numPr>
                        <w:rPr>
                          <w:rFonts w:cs="Tahoma"/>
                          <w:bCs/>
                          <w:sz w:val="20"/>
                          <w:szCs w:val="20"/>
                        </w:rPr>
                      </w:pPr>
                      <w:r w:rsidRPr="001E0D75">
                        <w:rPr>
                          <w:rFonts w:cs="Tahoma"/>
                          <w:bCs/>
                          <w:sz w:val="20"/>
                          <w:szCs w:val="20"/>
                        </w:rPr>
                        <w:t>Acute Medicine and A&amp;E £1.8m (Additional clinical services £1.5m, Nursing &amp; Midwifery £0.2m and A&amp;C £0.2m)</w:t>
                      </w:r>
                    </w:p>
                    <w:p w:rsidR="00F66189" w:rsidRPr="001E0D75" w:rsidRDefault="00F66189" w:rsidP="009F3E70">
                      <w:pPr>
                        <w:pStyle w:val="ListParagraph"/>
                        <w:numPr>
                          <w:ilvl w:val="1"/>
                          <w:numId w:val="12"/>
                        </w:numPr>
                        <w:rPr>
                          <w:rFonts w:cs="Tahoma"/>
                          <w:bCs/>
                          <w:sz w:val="20"/>
                          <w:szCs w:val="20"/>
                        </w:rPr>
                      </w:pPr>
                      <w:r w:rsidRPr="001E0D75">
                        <w:rPr>
                          <w:rFonts w:cs="Tahoma"/>
                          <w:bCs/>
                          <w:sz w:val="20"/>
                          <w:szCs w:val="20"/>
                        </w:rPr>
                        <w:t>ACT £0.3m (Nursing &amp; midwifery £0.2m and Additional clinical services £0.1m)</w:t>
                      </w:r>
                    </w:p>
                    <w:p w:rsidR="00F66189" w:rsidRPr="001E0D75" w:rsidRDefault="00F66189" w:rsidP="009F3E70">
                      <w:pPr>
                        <w:pStyle w:val="ListParagraph"/>
                        <w:numPr>
                          <w:ilvl w:val="1"/>
                          <w:numId w:val="12"/>
                        </w:numPr>
                        <w:rPr>
                          <w:rFonts w:cs="Tahoma"/>
                          <w:bCs/>
                          <w:sz w:val="20"/>
                          <w:szCs w:val="20"/>
                        </w:rPr>
                      </w:pPr>
                      <w:r w:rsidRPr="001E0D75">
                        <w:rPr>
                          <w:rFonts w:cs="Tahoma"/>
                          <w:bCs/>
                          <w:sz w:val="20"/>
                          <w:szCs w:val="20"/>
                        </w:rPr>
                        <w:t>O&amp;G - £0.3m (Medical £0.1m, Nursing &amp; Midwifery £0.1m)</w:t>
                      </w:r>
                    </w:p>
                    <w:p w:rsidR="00F66189" w:rsidRPr="001E0D75" w:rsidRDefault="00F66189" w:rsidP="009F3E70">
                      <w:pPr>
                        <w:pStyle w:val="ListParagraph"/>
                        <w:numPr>
                          <w:ilvl w:val="1"/>
                          <w:numId w:val="12"/>
                        </w:numPr>
                        <w:rPr>
                          <w:rFonts w:cs="Tahoma"/>
                          <w:bCs/>
                          <w:sz w:val="20"/>
                          <w:szCs w:val="20"/>
                        </w:rPr>
                      </w:pPr>
                      <w:r w:rsidRPr="001E0D75">
                        <w:rPr>
                          <w:rFonts w:cs="Tahoma"/>
                          <w:bCs/>
                          <w:sz w:val="20"/>
                          <w:szCs w:val="20"/>
                        </w:rPr>
                        <w:t>POW Delivery Unit £4.8m (Medical £2.5m, Additional clinical services £1.8m and Nursing &amp; Midwifery £1.0m)</w:t>
                      </w:r>
                    </w:p>
                    <w:p w:rsidR="00F66189" w:rsidRPr="001E0D75" w:rsidRDefault="00F66189" w:rsidP="009F3E70">
                      <w:pPr>
                        <w:pStyle w:val="ListParagraph"/>
                        <w:numPr>
                          <w:ilvl w:val="1"/>
                          <w:numId w:val="12"/>
                        </w:numPr>
                        <w:rPr>
                          <w:rFonts w:cs="Tahoma"/>
                          <w:bCs/>
                          <w:sz w:val="20"/>
                          <w:szCs w:val="20"/>
                        </w:rPr>
                      </w:pPr>
                      <w:r w:rsidRPr="001E0D75">
                        <w:rPr>
                          <w:rFonts w:cs="Tahoma"/>
                          <w:bCs/>
                          <w:sz w:val="20"/>
                          <w:szCs w:val="20"/>
                        </w:rPr>
                        <w:t>Pathology £1.0m (Medical £0.6m and Healthcare Scientists £0.3m )</w:t>
                      </w:r>
                    </w:p>
                    <w:p w:rsidR="00F66189" w:rsidRPr="001E0D75" w:rsidRDefault="00F66189" w:rsidP="009F3E70">
                      <w:pPr>
                        <w:pStyle w:val="ListParagraph"/>
                        <w:numPr>
                          <w:ilvl w:val="1"/>
                          <w:numId w:val="12"/>
                        </w:numPr>
                        <w:rPr>
                          <w:rFonts w:cs="Tahoma"/>
                          <w:bCs/>
                          <w:sz w:val="20"/>
                          <w:szCs w:val="20"/>
                        </w:rPr>
                      </w:pPr>
                      <w:r>
                        <w:rPr>
                          <w:rFonts w:cs="Tahoma"/>
                          <w:bCs/>
                          <w:sz w:val="20"/>
                          <w:szCs w:val="20"/>
                        </w:rPr>
                        <w:t>CAMHs £0.6m (Admin &amp; C</w:t>
                      </w:r>
                      <w:r w:rsidRPr="001E0D75">
                        <w:rPr>
                          <w:rFonts w:cs="Tahoma"/>
                          <w:bCs/>
                          <w:sz w:val="20"/>
                          <w:szCs w:val="20"/>
                        </w:rPr>
                        <w:t>lerical £0.3m and Additional clinical services £0.2m)</w:t>
                      </w:r>
                    </w:p>
                    <w:p w:rsidR="00F66189" w:rsidRPr="001E0D75" w:rsidRDefault="00F66189" w:rsidP="009F3E70">
                      <w:pPr>
                        <w:pStyle w:val="ListParagraph"/>
                        <w:numPr>
                          <w:ilvl w:val="1"/>
                          <w:numId w:val="12"/>
                        </w:numPr>
                        <w:rPr>
                          <w:rFonts w:cs="Tahoma"/>
                          <w:bCs/>
                          <w:sz w:val="20"/>
                          <w:szCs w:val="20"/>
                        </w:rPr>
                      </w:pPr>
                      <w:r w:rsidRPr="001E0D75">
                        <w:rPr>
                          <w:rFonts w:cs="Tahoma"/>
                          <w:bCs/>
                          <w:sz w:val="20"/>
                          <w:szCs w:val="20"/>
                        </w:rPr>
                        <w:t>CYP £0.4m (Medical £0.4m)</w:t>
                      </w:r>
                    </w:p>
                    <w:p w:rsidR="00F66189" w:rsidRPr="001E0D75" w:rsidRDefault="00F66189" w:rsidP="009F3E70">
                      <w:pPr>
                        <w:pStyle w:val="ListParagraph"/>
                        <w:numPr>
                          <w:ilvl w:val="1"/>
                          <w:numId w:val="12"/>
                        </w:numPr>
                        <w:rPr>
                          <w:rFonts w:cs="Tahoma"/>
                          <w:bCs/>
                          <w:sz w:val="20"/>
                          <w:szCs w:val="20"/>
                        </w:rPr>
                      </w:pPr>
                      <w:r w:rsidRPr="001E0D75">
                        <w:rPr>
                          <w:rFonts w:cs="Tahoma"/>
                          <w:bCs/>
                          <w:sz w:val="20"/>
                          <w:szCs w:val="20"/>
                        </w:rPr>
                        <w:t>ICT £0.2m (Admin &amp; clerical £0.2m)</w:t>
                      </w:r>
                    </w:p>
                    <w:p w:rsidR="00F66189" w:rsidRPr="001E0D75" w:rsidRDefault="00F66189" w:rsidP="009F3E70">
                      <w:pPr>
                        <w:pStyle w:val="ListParagraph"/>
                        <w:ind w:left="1778"/>
                        <w:rPr>
                          <w:rFonts w:cs="Tahoma"/>
                          <w:bCs/>
                          <w:sz w:val="20"/>
                          <w:szCs w:val="20"/>
                          <w:highlight w:val="yellow"/>
                        </w:rPr>
                      </w:pPr>
                    </w:p>
                    <w:p w:rsidR="00F66189" w:rsidRPr="001E0D75" w:rsidRDefault="00F66189" w:rsidP="009F3E70">
                      <w:pPr>
                        <w:ind w:left="720"/>
                        <w:rPr>
                          <w:sz w:val="20"/>
                          <w:szCs w:val="20"/>
                        </w:rPr>
                      </w:pPr>
                      <w:r w:rsidRPr="001E0D75">
                        <w:rPr>
                          <w:sz w:val="20"/>
                          <w:szCs w:val="20"/>
                        </w:rPr>
                        <w:t xml:space="preserve">The total Pay overspend of £5.5m includes a £5.9m overspend on Additional clinical services and a £2.5m underspend on Nursing &amp; midwifery plus a £2.9m overspend on Medical and Dental. </w:t>
                      </w:r>
                    </w:p>
                    <w:p w:rsidR="00F66189" w:rsidRPr="0039541E" w:rsidRDefault="00F66189" w:rsidP="009F3E70">
                      <w:pPr>
                        <w:rPr>
                          <w:rFonts w:cs="Tahoma"/>
                          <w:bCs/>
                          <w:sz w:val="20"/>
                          <w:szCs w:val="20"/>
                          <w:highlight w:val="yellow"/>
                        </w:rPr>
                      </w:pPr>
                    </w:p>
                    <w:p w:rsidR="00F66189" w:rsidRPr="0039541E" w:rsidRDefault="00F66189" w:rsidP="009F3E70">
                      <w:pPr>
                        <w:pStyle w:val="ListParagraph"/>
                        <w:numPr>
                          <w:ilvl w:val="0"/>
                          <w:numId w:val="12"/>
                        </w:numPr>
                        <w:rPr>
                          <w:rFonts w:cs="Tahoma"/>
                          <w:bCs/>
                          <w:sz w:val="20"/>
                          <w:szCs w:val="20"/>
                        </w:rPr>
                      </w:pPr>
                      <w:r w:rsidRPr="0039541E">
                        <w:rPr>
                          <w:rFonts w:cs="Tahoma"/>
                          <w:bCs/>
                          <w:sz w:val="20"/>
                          <w:szCs w:val="20"/>
                        </w:rPr>
                        <w:t>The most significant YTD overspends within the total Non pay overspend of £</w:t>
                      </w:r>
                      <w:r>
                        <w:rPr>
                          <w:rFonts w:cs="Tahoma"/>
                          <w:bCs/>
                          <w:sz w:val="20"/>
                          <w:szCs w:val="20"/>
                        </w:rPr>
                        <w:t>5.1</w:t>
                      </w:r>
                      <w:r w:rsidRPr="0039541E">
                        <w:rPr>
                          <w:rFonts w:cs="Tahoma"/>
                          <w:bCs/>
                          <w:sz w:val="20"/>
                          <w:szCs w:val="20"/>
                        </w:rPr>
                        <w:t>m are as follows:</w:t>
                      </w:r>
                    </w:p>
                    <w:p w:rsidR="00F66189" w:rsidRPr="001E0D75" w:rsidRDefault="00F66189" w:rsidP="009F3E70">
                      <w:pPr>
                        <w:pStyle w:val="ListParagraph"/>
                        <w:numPr>
                          <w:ilvl w:val="1"/>
                          <w:numId w:val="12"/>
                        </w:numPr>
                        <w:rPr>
                          <w:rFonts w:cs="Tahoma"/>
                          <w:bCs/>
                          <w:sz w:val="20"/>
                          <w:szCs w:val="20"/>
                        </w:rPr>
                      </w:pPr>
                      <w:r w:rsidRPr="001E0D75">
                        <w:rPr>
                          <w:rFonts w:cs="Tahoma"/>
                          <w:bCs/>
                          <w:sz w:val="20"/>
                          <w:szCs w:val="20"/>
                        </w:rPr>
                        <w:t>Acute Medicine and A&amp;E £0.9m – Secondary care drugs £0.69m and M&amp;S Supplies £0.2m</w:t>
                      </w:r>
                    </w:p>
                    <w:p w:rsidR="00F66189" w:rsidRPr="001E0D75" w:rsidRDefault="00F66189" w:rsidP="009F3E70">
                      <w:pPr>
                        <w:pStyle w:val="ListParagraph"/>
                        <w:numPr>
                          <w:ilvl w:val="1"/>
                          <w:numId w:val="12"/>
                        </w:numPr>
                        <w:rPr>
                          <w:rFonts w:cs="Tahoma"/>
                          <w:bCs/>
                          <w:sz w:val="20"/>
                          <w:szCs w:val="20"/>
                        </w:rPr>
                      </w:pPr>
                      <w:r w:rsidRPr="001E0D75">
                        <w:rPr>
                          <w:rFonts w:cs="Tahoma"/>
                          <w:bCs/>
                          <w:sz w:val="20"/>
                          <w:szCs w:val="20"/>
                        </w:rPr>
                        <w:t>H&amp;N £0.2m – Secondary care drugs £0.14m</w:t>
                      </w:r>
                    </w:p>
                    <w:p w:rsidR="00F66189" w:rsidRPr="001E0D75" w:rsidRDefault="00F66189" w:rsidP="009F3E70">
                      <w:pPr>
                        <w:pStyle w:val="ListParagraph"/>
                        <w:numPr>
                          <w:ilvl w:val="1"/>
                          <w:numId w:val="12"/>
                        </w:numPr>
                        <w:rPr>
                          <w:rFonts w:cs="Tahoma"/>
                          <w:bCs/>
                          <w:sz w:val="20"/>
                          <w:szCs w:val="20"/>
                        </w:rPr>
                      </w:pPr>
                      <w:r w:rsidRPr="001E0D75">
                        <w:rPr>
                          <w:rFonts w:cs="Tahoma"/>
                          <w:bCs/>
                          <w:sz w:val="20"/>
                          <w:szCs w:val="20"/>
                        </w:rPr>
                        <w:t>POW Medicine £0.9m – Appliances £0.35m, M&amp;S supplies £0.32m and £0.2m Secondary care drugs</w:t>
                      </w:r>
                    </w:p>
                    <w:p w:rsidR="00F66189" w:rsidRPr="001E0D75" w:rsidRDefault="00F66189" w:rsidP="009F3E70">
                      <w:pPr>
                        <w:pStyle w:val="ListParagraph"/>
                        <w:numPr>
                          <w:ilvl w:val="1"/>
                          <w:numId w:val="12"/>
                        </w:numPr>
                        <w:rPr>
                          <w:rFonts w:cs="Tahoma"/>
                          <w:bCs/>
                          <w:sz w:val="20"/>
                          <w:szCs w:val="20"/>
                        </w:rPr>
                      </w:pPr>
                      <w:r w:rsidRPr="001E0D75">
                        <w:rPr>
                          <w:rFonts w:cs="Tahoma"/>
                          <w:bCs/>
                          <w:sz w:val="20"/>
                          <w:szCs w:val="20"/>
                        </w:rPr>
                        <w:t>Pathology £0.5m – M&amp;S £0.1m, Office Equipment/ICT £0.1m and SLAs £0.09m</w:t>
                      </w:r>
                    </w:p>
                    <w:p w:rsidR="00F66189" w:rsidRPr="001E0D75" w:rsidRDefault="00F66189" w:rsidP="009F3E70">
                      <w:pPr>
                        <w:pStyle w:val="ListParagraph"/>
                        <w:numPr>
                          <w:ilvl w:val="1"/>
                          <w:numId w:val="12"/>
                        </w:numPr>
                        <w:rPr>
                          <w:rFonts w:cs="Tahoma"/>
                          <w:bCs/>
                          <w:sz w:val="20"/>
                          <w:szCs w:val="20"/>
                        </w:rPr>
                      </w:pPr>
                      <w:r w:rsidRPr="001E0D75">
                        <w:rPr>
                          <w:rFonts w:cs="Tahoma"/>
                          <w:bCs/>
                          <w:sz w:val="20"/>
                          <w:szCs w:val="20"/>
                        </w:rPr>
                        <w:t>Radiology £0.3m- Reporting £0.26m</w:t>
                      </w:r>
                    </w:p>
                    <w:p w:rsidR="00F66189" w:rsidRPr="001E0D75" w:rsidRDefault="00F66189" w:rsidP="009F3E70">
                      <w:pPr>
                        <w:pStyle w:val="ListParagraph"/>
                        <w:numPr>
                          <w:ilvl w:val="1"/>
                          <w:numId w:val="12"/>
                        </w:numPr>
                        <w:rPr>
                          <w:rFonts w:cs="Tahoma"/>
                          <w:bCs/>
                          <w:sz w:val="20"/>
                          <w:szCs w:val="20"/>
                        </w:rPr>
                      </w:pPr>
                      <w:r w:rsidRPr="001E0D75">
                        <w:rPr>
                          <w:rFonts w:cs="Tahoma"/>
                          <w:bCs/>
                          <w:sz w:val="20"/>
                          <w:szCs w:val="20"/>
                        </w:rPr>
                        <w:t>Facilities £0.8m – Waste &amp;Transport £0.34m, Catering £0.16m, Building &amp; Engineering £0.09m Postage £0.06m, Laundry £0.04m</w:t>
                      </w:r>
                    </w:p>
                    <w:p w:rsidR="00F66189" w:rsidRPr="001E0D75" w:rsidRDefault="00F66189" w:rsidP="009F3E70">
                      <w:pPr>
                        <w:pStyle w:val="ListParagraph"/>
                        <w:numPr>
                          <w:ilvl w:val="1"/>
                          <w:numId w:val="12"/>
                        </w:numPr>
                        <w:rPr>
                          <w:rFonts w:cs="Tahoma"/>
                          <w:bCs/>
                          <w:sz w:val="20"/>
                          <w:szCs w:val="20"/>
                        </w:rPr>
                      </w:pPr>
                      <w:r w:rsidRPr="001E0D75">
                        <w:rPr>
                          <w:rFonts w:cs="Tahoma"/>
                          <w:bCs/>
                          <w:sz w:val="20"/>
                          <w:szCs w:val="20"/>
                        </w:rPr>
                        <w:t>Mental Health £0.5m – Continuing Healthcare £0.31m and Drugs £0.2m</w:t>
                      </w:r>
                    </w:p>
                    <w:p w:rsidR="00F66189" w:rsidRPr="001E0D75" w:rsidRDefault="00F66189" w:rsidP="009F3E70">
                      <w:pPr>
                        <w:pStyle w:val="ListParagraph"/>
                        <w:numPr>
                          <w:ilvl w:val="1"/>
                          <w:numId w:val="12"/>
                        </w:numPr>
                        <w:rPr>
                          <w:rFonts w:cs="Tahoma"/>
                          <w:bCs/>
                          <w:sz w:val="20"/>
                          <w:szCs w:val="20"/>
                        </w:rPr>
                      </w:pPr>
                      <w:r w:rsidRPr="001E0D75">
                        <w:rPr>
                          <w:rFonts w:cs="Tahoma"/>
                          <w:bCs/>
                          <w:sz w:val="20"/>
                          <w:szCs w:val="20"/>
                        </w:rPr>
                        <w:t>Medicines Mgt £2.1m – Primary Care Prescribing £1.7m, NICE £0.28m</w:t>
                      </w:r>
                    </w:p>
                    <w:p w:rsidR="00F66189" w:rsidRPr="001E0D75" w:rsidRDefault="00F66189" w:rsidP="009F3E70">
                      <w:pPr>
                        <w:pStyle w:val="ListParagraph"/>
                        <w:numPr>
                          <w:ilvl w:val="1"/>
                          <w:numId w:val="12"/>
                        </w:numPr>
                        <w:rPr>
                          <w:rFonts w:cs="Tahoma"/>
                          <w:bCs/>
                          <w:sz w:val="20"/>
                          <w:szCs w:val="20"/>
                        </w:rPr>
                      </w:pPr>
                      <w:r>
                        <w:rPr>
                          <w:rFonts w:cs="Tahoma"/>
                          <w:bCs/>
                          <w:sz w:val="20"/>
                          <w:szCs w:val="20"/>
                        </w:rPr>
                        <w:t>Estates £0.3m – B&amp;E £0.1m and U</w:t>
                      </w:r>
                      <w:r w:rsidRPr="001E0D75">
                        <w:rPr>
                          <w:rFonts w:cs="Tahoma"/>
                          <w:bCs/>
                          <w:sz w:val="20"/>
                          <w:szCs w:val="20"/>
                        </w:rPr>
                        <w:t xml:space="preserve">tilities £0.19m </w:t>
                      </w:r>
                    </w:p>
                    <w:p w:rsidR="00F66189" w:rsidRDefault="00F66189" w:rsidP="009F3E70">
                      <w:pPr>
                        <w:rPr>
                          <w:rFonts w:cs="Tahoma"/>
                          <w:bCs/>
                          <w:sz w:val="10"/>
                          <w:szCs w:val="10"/>
                          <w:highlight w:val="yellow"/>
                        </w:rPr>
                      </w:pPr>
                    </w:p>
                    <w:p w:rsidR="00F66189" w:rsidRDefault="00F66189" w:rsidP="009F3E70">
                      <w:pPr>
                        <w:rPr>
                          <w:rFonts w:cs="Tahoma"/>
                          <w:bCs/>
                          <w:sz w:val="10"/>
                          <w:szCs w:val="10"/>
                          <w:highlight w:val="yellow"/>
                        </w:rPr>
                      </w:pPr>
                    </w:p>
                    <w:p w:rsidR="00F66189" w:rsidRPr="00692A1F" w:rsidRDefault="00F66189" w:rsidP="009F3E70">
                      <w:pPr>
                        <w:pStyle w:val="ListParagraph"/>
                        <w:numPr>
                          <w:ilvl w:val="0"/>
                          <w:numId w:val="12"/>
                        </w:numPr>
                        <w:rPr>
                          <w:rFonts w:cs="Tahoma"/>
                          <w:bCs/>
                          <w:sz w:val="20"/>
                          <w:szCs w:val="20"/>
                        </w:rPr>
                      </w:pPr>
                      <w:r w:rsidRPr="00692A1F">
                        <w:rPr>
                          <w:rFonts w:cs="Tahoma"/>
                          <w:bCs/>
                          <w:sz w:val="20"/>
                          <w:szCs w:val="20"/>
                        </w:rPr>
                        <w:t>The most significant YTD overspends within the Income overspend of £</w:t>
                      </w:r>
                      <w:r>
                        <w:rPr>
                          <w:rFonts w:cs="Tahoma"/>
                          <w:bCs/>
                          <w:sz w:val="20"/>
                          <w:szCs w:val="20"/>
                        </w:rPr>
                        <w:t>0.6m</w:t>
                      </w:r>
                      <w:r w:rsidRPr="00692A1F">
                        <w:rPr>
                          <w:rFonts w:cs="Tahoma"/>
                          <w:bCs/>
                          <w:sz w:val="20"/>
                          <w:szCs w:val="20"/>
                        </w:rPr>
                        <w:t xml:space="preserve"> are as follows:</w:t>
                      </w:r>
                    </w:p>
                    <w:p w:rsidR="00F66189" w:rsidRPr="001E0D75" w:rsidRDefault="00F66189" w:rsidP="009F3E70">
                      <w:pPr>
                        <w:pStyle w:val="ListParagraph"/>
                        <w:numPr>
                          <w:ilvl w:val="1"/>
                          <w:numId w:val="12"/>
                        </w:numPr>
                        <w:rPr>
                          <w:sz w:val="20"/>
                          <w:szCs w:val="20"/>
                        </w:rPr>
                      </w:pPr>
                      <w:r w:rsidRPr="001E0D75">
                        <w:rPr>
                          <w:sz w:val="20"/>
                          <w:szCs w:val="20"/>
                        </w:rPr>
                        <w:t>POW Surgical services £0.5m- C&amp;V Surgical Services SLA £0.45m</w:t>
                      </w:r>
                    </w:p>
                    <w:p w:rsidR="00F66189" w:rsidRPr="001E0D75" w:rsidRDefault="00F66189" w:rsidP="009F3E70">
                      <w:pPr>
                        <w:pStyle w:val="ListParagraph"/>
                        <w:numPr>
                          <w:ilvl w:val="1"/>
                          <w:numId w:val="12"/>
                        </w:numPr>
                        <w:rPr>
                          <w:sz w:val="20"/>
                          <w:szCs w:val="20"/>
                        </w:rPr>
                      </w:pPr>
                      <w:r w:rsidRPr="001E0D75">
                        <w:rPr>
                          <w:sz w:val="20"/>
                          <w:szCs w:val="20"/>
                        </w:rPr>
                        <w:t>CYP £0.2m – Flying Start Income from Local Authorities £0.2m</w:t>
                      </w:r>
                    </w:p>
                    <w:p w:rsidR="00F66189" w:rsidRPr="001E0D75" w:rsidRDefault="00F66189" w:rsidP="009F3E70">
                      <w:pPr>
                        <w:pStyle w:val="ListParagraph"/>
                        <w:numPr>
                          <w:ilvl w:val="1"/>
                          <w:numId w:val="12"/>
                        </w:numPr>
                        <w:rPr>
                          <w:sz w:val="20"/>
                          <w:szCs w:val="20"/>
                        </w:rPr>
                      </w:pPr>
                      <w:r w:rsidRPr="001E0D75">
                        <w:rPr>
                          <w:sz w:val="20"/>
                          <w:szCs w:val="20"/>
                        </w:rPr>
                        <w:t xml:space="preserve">Contracting &amp; Commissioning £2.1m- ABUHB LTA </w:t>
                      </w:r>
                      <w:r>
                        <w:rPr>
                          <w:sz w:val="20"/>
                          <w:szCs w:val="20"/>
                        </w:rPr>
                        <w:t xml:space="preserve">under </w:t>
                      </w:r>
                      <w:r w:rsidRPr="001E0D75">
                        <w:rPr>
                          <w:sz w:val="20"/>
                          <w:szCs w:val="20"/>
                        </w:rPr>
                        <w:t xml:space="preserve">performance £0.7m, Swansea Bay LTA </w:t>
                      </w:r>
                      <w:r>
                        <w:rPr>
                          <w:sz w:val="20"/>
                          <w:szCs w:val="20"/>
                        </w:rPr>
                        <w:t xml:space="preserve">under </w:t>
                      </w:r>
                      <w:r w:rsidRPr="001E0D75">
                        <w:rPr>
                          <w:sz w:val="20"/>
                          <w:szCs w:val="20"/>
                        </w:rPr>
                        <w:t xml:space="preserve">performance £0.83m, Non Contracted Activity £0.28m, WHSSC LTA </w:t>
                      </w:r>
                      <w:r>
                        <w:rPr>
                          <w:sz w:val="20"/>
                          <w:szCs w:val="20"/>
                        </w:rPr>
                        <w:t xml:space="preserve">under </w:t>
                      </w:r>
                      <w:r w:rsidRPr="001E0D75">
                        <w:rPr>
                          <w:sz w:val="20"/>
                          <w:szCs w:val="20"/>
                        </w:rPr>
                        <w:t>performance £0.14m and Injury cost recovery £0.13m</w:t>
                      </w:r>
                    </w:p>
                    <w:p w:rsidR="00F66189" w:rsidRPr="00692A1F" w:rsidRDefault="00F66189" w:rsidP="00692A1F">
                      <w:pPr>
                        <w:rPr>
                          <w:rFonts w:cs="Tahoma"/>
                          <w:bCs/>
                          <w:sz w:val="20"/>
                          <w:szCs w:val="20"/>
                          <w:highlight w:val="yellow"/>
                        </w:rPr>
                      </w:pPr>
                    </w:p>
                    <w:p w:rsidR="00F66189" w:rsidRPr="00692A1F" w:rsidRDefault="00F66189" w:rsidP="003816FF">
                      <w:pPr>
                        <w:pStyle w:val="ListParagraph"/>
                        <w:numPr>
                          <w:ilvl w:val="0"/>
                          <w:numId w:val="12"/>
                        </w:numPr>
                        <w:jc w:val="both"/>
                        <w:rPr>
                          <w:rFonts w:cs="Tahoma"/>
                          <w:bCs/>
                          <w:sz w:val="20"/>
                          <w:szCs w:val="20"/>
                        </w:rPr>
                      </w:pPr>
                      <w:r w:rsidRPr="00692A1F">
                        <w:rPr>
                          <w:rFonts w:cs="Tahoma"/>
                          <w:bCs/>
                          <w:sz w:val="20"/>
                          <w:szCs w:val="20"/>
                        </w:rPr>
                        <w:t xml:space="preserve">Further information on the Savings delivery shortfall is provided in Section 3.7. </w:t>
                      </w:r>
                    </w:p>
                    <w:p w:rsidR="00F66189" w:rsidRPr="002754CE" w:rsidRDefault="00F66189" w:rsidP="003E595F">
                      <w:pPr>
                        <w:pStyle w:val="ListParagraph"/>
                        <w:ind w:left="1080"/>
                        <w:jc w:val="both"/>
                        <w:rPr>
                          <w:rFonts w:cs="Tahoma"/>
                          <w:bCs/>
                          <w:sz w:val="24"/>
                          <w:highlight w:val="yellow"/>
                        </w:rPr>
                      </w:pPr>
                    </w:p>
                    <w:p w:rsidR="00F66189" w:rsidRPr="007B62F0" w:rsidRDefault="00F66189" w:rsidP="003E595F">
                      <w:pPr>
                        <w:pStyle w:val="ListParagraph"/>
                        <w:ind w:left="1080"/>
                        <w:jc w:val="both"/>
                        <w:rPr>
                          <w:rFonts w:cs="Tahoma"/>
                          <w:bCs/>
                          <w:sz w:val="24"/>
                        </w:rPr>
                      </w:pPr>
                    </w:p>
                    <w:p w:rsidR="00F66189" w:rsidRDefault="00F66189" w:rsidP="00307185">
                      <w:pPr>
                        <w:jc w:val="both"/>
                        <w:rPr>
                          <w:rFonts w:cs="Tahoma"/>
                          <w:b/>
                          <w:bCs/>
                          <w:sz w:val="16"/>
                          <w:szCs w:val="16"/>
                          <w:u w:val="single"/>
                        </w:rPr>
                      </w:pPr>
                    </w:p>
                    <w:p w:rsidR="00F66189" w:rsidRDefault="00F66189" w:rsidP="00307185">
                      <w:pPr>
                        <w:jc w:val="both"/>
                        <w:rPr>
                          <w:rFonts w:cs="Tahoma"/>
                          <w:b/>
                          <w:bCs/>
                          <w:sz w:val="16"/>
                          <w:szCs w:val="16"/>
                          <w:u w:val="single"/>
                        </w:rPr>
                      </w:pPr>
                    </w:p>
                    <w:p w:rsidR="00F66189" w:rsidRDefault="00F66189" w:rsidP="00307185">
                      <w:pPr>
                        <w:jc w:val="both"/>
                        <w:rPr>
                          <w:rFonts w:cs="Tahoma"/>
                          <w:b/>
                          <w:bCs/>
                          <w:sz w:val="16"/>
                          <w:szCs w:val="16"/>
                          <w:u w:val="single"/>
                        </w:rPr>
                      </w:pPr>
                    </w:p>
                    <w:p w:rsidR="00F66189" w:rsidRPr="002104FE" w:rsidRDefault="00F66189" w:rsidP="00307185">
                      <w:pPr>
                        <w:jc w:val="both"/>
                        <w:rPr>
                          <w:rFonts w:cs="Tahoma"/>
                          <w:b/>
                          <w:bCs/>
                          <w:sz w:val="16"/>
                          <w:szCs w:val="16"/>
                          <w:u w:val="single"/>
                        </w:rPr>
                      </w:pPr>
                    </w:p>
                  </w:txbxContent>
                </v:textbox>
                <w10:wrap type="square"/>
              </v:shape>
            </w:pict>
          </mc:Fallback>
        </mc:AlternateContent>
      </w:r>
      <w:r>
        <w:rPr>
          <w:rFonts w:cs="Tahoma"/>
          <w:b/>
          <w:bCs/>
          <w:sz w:val="24"/>
        </w:rPr>
        <w:br w:type="page"/>
      </w:r>
    </w:p>
    <w:p w:rsidR="007B62F0" w:rsidRDefault="007B62F0" w:rsidP="007B62F0">
      <w:pPr>
        <w:jc w:val="both"/>
        <w:rPr>
          <w:rFonts w:cs="Tahoma"/>
          <w:b/>
          <w:bCs/>
          <w:sz w:val="24"/>
          <w:u w:val="single"/>
        </w:rPr>
      </w:pPr>
      <w:r w:rsidRPr="00AE60A7">
        <w:rPr>
          <w:rFonts w:cs="Tahoma"/>
          <w:b/>
          <w:bCs/>
          <w:sz w:val="24"/>
          <w:u w:val="single"/>
        </w:rPr>
        <w:t>In Year and Recurring forecasts</w:t>
      </w:r>
    </w:p>
    <w:p w:rsidR="00751D59" w:rsidRDefault="00751D59" w:rsidP="007B62F0">
      <w:pPr>
        <w:jc w:val="both"/>
        <w:rPr>
          <w:rFonts w:cs="Tahoma"/>
          <w:b/>
          <w:bCs/>
          <w:sz w:val="24"/>
          <w:u w:val="single"/>
        </w:rPr>
      </w:pPr>
    </w:p>
    <w:p w:rsidR="007B62F0" w:rsidRDefault="009F3E70">
      <w:r w:rsidRPr="00CB057F">
        <w:rPr>
          <w:noProof/>
          <w:lang w:eastAsia="en-GB"/>
        </w:rPr>
        <w:drawing>
          <wp:inline distT="0" distB="0" distL="0" distR="0" wp14:anchorId="1D810C87" wp14:editId="7ACA5FA5">
            <wp:extent cx="8570595" cy="5118100"/>
            <wp:effectExtent l="0" t="0" r="1905" b="635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8570595" cy="5118100"/>
                    </a:xfrm>
                    <a:prstGeom prst="rect">
                      <a:avLst/>
                    </a:prstGeom>
                    <a:noFill/>
                    <a:ln>
                      <a:noFill/>
                    </a:ln>
                  </pic:spPr>
                </pic:pic>
              </a:graphicData>
            </a:graphic>
          </wp:inline>
        </w:drawing>
      </w:r>
    </w:p>
    <w:p w:rsidR="00307185" w:rsidRDefault="00307185">
      <w:pPr>
        <w:rPr>
          <w:rFonts w:cs="Tahoma"/>
          <w:b/>
          <w:bCs/>
          <w:sz w:val="24"/>
        </w:rPr>
      </w:pPr>
      <w:r w:rsidRPr="008075AF">
        <w:rPr>
          <w:noProof/>
          <w:highlight w:val="yellow"/>
          <w:lang w:eastAsia="en-GB"/>
        </w:rPr>
        <mc:AlternateContent>
          <mc:Choice Requires="wps">
            <w:drawing>
              <wp:anchor distT="45720" distB="45720" distL="114300" distR="114300" simplePos="0" relativeHeight="251795456" behindDoc="0" locked="0" layoutInCell="1" allowOverlap="1" wp14:anchorId="4486146C" wp14:editId="66CA546A">
                <wp:simplePos x="0" y="0"/>
                <wp:positionH relativeFrom="column">
                  <wp:posOffset>56921</wp:posOffset>
                </wp:positionH>
                <wp:positionV relativeFrom="paragraph">
                  <wp:posOffset>164516</wp:posOffset>
                </wp:positionV>
                <wp:extent cx="9814560" cy="5749747"/>
                <wp:effectExtent l="0" t="0" r="15240" b="22860"/>
                <wp:wrapSquare wrapText="bothSides"/>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9814560" cy="5749747"/>
                        </a:xfrm>
                        <a:prstGeom prst="rect">
                          <a:avLst/>
                        </a:prstGeom>
                        <a:solidFill>
                          <a:srgbClr val="FFFFFF"/>
                        </a:solidFill>
                        <a:ln w="19050">
                          <a:solidFill>
                            <a:srgbClr val="8EB4E3"/>
                          </a:solidFill>
                          <a:miter lim="800000"/>
                          <a:headEnd/>
                          <a:tailEnd/>
                        </a:ln>
                      </wps:spPr>
                      <wps:txbx>
                        <w:txbxContent>
                          <w:p w:rsidR="00F66189" w:rsidRPr="00A55BB6" w:rsidRDefault="00F66189" w:rsidP="009F3E70">
                            <w:pPr>
                              <w:rPr>
                                <w:rFonts w:cs="Tahoma"/>
                                <w:bCs/>
                                <w:sz w:val="22"/>
                                <w:szCs w:val="22"/>
                              </w:rPr>
                            </w:pPr>
                            <w:r w:rsidRPr="00A55BB6">
                              <w:rPr>
                                <w:rFonts w:cs="Tahoma"/>
                                <w:bCs/>
                                <w:sz w:val="22"/>
                                <w:szCs w:val="22"/>
                              </w:rPr>
                              <w:t>The key points to highlight are noted below:</w:t>
                            </w:r>
                          </w:p>
                          <w:p w:rsidR="00F66189" w:rsidRPr="00A55BB6" w:rsidRDefault="00F66189" w:rsidP="009F3E70">
                            <w:pPr>
                              <w:rPr>
                                <w:rFonts w:cs="Tahoma"/>
                                <w:bCs/>
                                <w:sz w:val="22"/>
                                <w:szCs w:val="22"/>
                              </w:rPr>
                            </w:pPr>
                          </w:p>
                          <w:p w:rsidR="00F66189" w:rsidRPr="00A55BB6" w:rsidRDefault="00F66189" w:rsidP="009F3E70">
                            <w:pPr>
                              <w:rPr>
                                <w:rFonts w:cs="Tahoma"/>
                                <w:b/>
                                <w:bCs/>
                                <w:sz w:val="22"/>
                                <w:szCs w:val="22"/>
                              </w:rPr>
                            </w:pPr>
                            <w:r w:rsidRPr="00A55BB6">
                              <w:rPr>
                                <w:rFonts w:cs="Tahoma"/>
                                <w:b/>
                                <w:bCs/>
                                <w:sz w:val="22"/>
                                <w:szCs w:val="22"/>
                              </w:rPr>
                              <w:t>In Year forecast</w:t>
                            </w:r>
                          </w:p>
                          <w:p w:rsidR="00F66189" w:rsidRPr="00A55BB6" w:rsidRDefault="00F66189" w:rsidP="009F3E70">
                            <w:pPr>
                              <w:rPr>
                                <w:rFonts w:cs="Tahoma"/>
                                <w:bCs/>
                                <w:sz w:val="22"/>
                                <w:szCs w:val="22"/>
                              </w:rPr>
                            </w:pPr>
                          </w:p>
                          <w:p w:rsidR="00F66189" w:rsidRPr="0051521C" w:rsidRDefault="00F66189" w:rsidP="009F3E70">
                            <w:pPr>
                              <w:pStyle w:val="ListParagraph"/>
                              <w:numPr>
                                <w:ilvl w:val="0"/>
                                <w:numId w:val="25"/>
                              </w:numPr>
                              <w:jc w:val="both"/>
                              <w:rPr>
                                <w:rFonts w:cs="Tahoma"/>
                                <w:sz w:val="22"/>
                                <w:szCs w:val="22"/>
                              </w:rPr>
                            </w:pPr>
                            <w:r w:rsidRPr="0051521C">
                              <w:rPr>
                                <w:rFonts w:cs="Tahoma"/>
                                <w:bCs/>
                                <w:sz w:val="22"/>
                                <w:szCs w:val="22"/>
                              </w:rPr>
                              <w:t>The forecast position based on the bottom up directorate forecasts after M10 and the straight line extrapolation of the M11 YTD position are both showing a break even position. Our M11 Monitoring Return to WG included a forecast breakeven position for 2019/20.</w:t>
                            </w:r>
                          </w:p>
                          <w:p w:rsidR="00F66189" w:rsidRPr="00A55BB6" w:rsidRDefault="00F66189" w:rsidP="009F3E70">
                            <w:pPr>
                              <w:pStyle w:val="ListParagraph"/>
                              <w:jc w:val="both"/>
                              <w:rPr>
                                <w:rFonts w:cs="Tahoma"/>
                                <w:sz w:val="22"/>
                                <w:szCs w:val="22"/>
                              </w:rPr>
                            </w:pPr>
                          </w:p>
                          <w:p w:rsidR="00F66189" w:rsidRPr="00C367F8" w:rsidRDefault="00F66189" w:rsidP="009F3E70">
                            <w:pPr>
                              <w:pStyle w:val="ListParagraph"/>
                              <w:numPr>
                                <w:ilvl w:val="0"/>
                                <w:numId w:val="25"/>
                              </w:numPr>
                              <w:jc w:val="both"/>
                              <w:rPr>
                                <w:rFonts w:cs="Tahoma"/>
                                <w:sz w:val="22"/>
                                <w:szCs w:val="22"/>
                              </w:rPr>
                            </w:pPr>
                            <w:r w:rsidRPr="00A55BB6">
                              <w:rPr>
                                <w:rFonts w:cs="Tahoma"/>
                                <w:bCs/>
                                <w:sz w:val="22"/>
                                <w:szCs w:val="22"/>
                              </w:rPr>
                              <w:t>The key risks to achieving the breakeven forecast are as follows:</w:t>
                            </w:r>
                          </w:p>
                          <w:p w:rsidR="00F66189" w:rsidRPr="00C367F8" w:rsidRDefault="00F66189" w:rsidP="009F3E70">
                            <w:pPr>
                              <w:ind w:firstLine="720"/>
                              <w:jc w:val="both"/>
                              <w:rPr>
                                <w:rFonts w:cs="Tahoma"/>
                                <w:bCs/>
                                <w:sz w:val="22"/>
                                <w:szCs w:val="22"/>
                              </w:rPr>
                            </w:pPr>
                            <w:r>
                              <w:rPr>
                                <w:rFonts w:cs="Tahoma"/>
                                <w:bCs/>
                                <w:sz w:val="22"/>
                                <w:szCs w:val="22"/>
                              </w:rPr>
                              <w:t xml:space="preserve">- </w:t>
                            </w:r>
                            <w:r w:rsidRPr="00C367F8">
                              <w:rPr>
                                <w:rFonts w:cs="Tahoma"/>
                                <w:bCs/>
                                <w:sz w:val="22"/>
                                <w:szCs w:val="22"/>
                              </w:rPr>
                              <w:t>Potential RTT clawback risk (Quantum unknown but assumed low risk)</w:t>
                            </w:r>
                          </w:p>
                          <w:p w:rsidR="00F66189" w:rsidRDefault="00F66189" w:rsidP="009F3E70">
                            <w:pPr>
                              <w:pStyle w:val="ListParagraph"/>
                              <w:jc w:val="both"/>
                              <w:rPr>
                                <w:rFonts w:cs="Tahoma"/>
                                <w:bCs/>
                                <w:sz w:val="22"/>
                                <w:szCs w:val="22"/>
                              </w:rPr>
                            </w:pPr>
                            <w:r>
                              <w:rPr>
                                <w:rFonts w:cs="Tahoma"/>
                                <w:bCs/>
                                <w:sz w:val="22"/>
                                <w:szCs w:val="22"/>
                              </w:rPr>
                              <w:t xml:space="preserve"> </w:t>
                            </w:r>
                          </w:p>
                          <w:p w:rsidR="00F66189" w:rsidRPr="00A55BB6" w:rsidRDefault="00F66189" w:rsidP="009F3E70">
                            <w:pPr>
                              <w:rPr>
                                <w:rFonts w:cs="Tahoma"/>
                                <w:b/>
                                <w:bCs/>
                                <w:sz w:val="22"/>
                                <w:szCs w:val="22"/>
                              </w:rPr>
                            </w:pPr>
                            <w:r w:rsidRPr="00A55BB6">
                              <w:rPr>
                                <w:rFonts w:cs="Tahoma"/>
                                <w:b/>
                                <w:bCs/>
                                <w:sz w:val="22"/>
                                <w:szCs w:val="22"/>
                              </w:rPr>
                              <w:t>Recurrent forecast</w:t>
                            </w:r>
                          </w:p>
                          <w:p w:rsidR="00F66189" w:rsidRPr="00A55BB6" w:rsidRDefault="00F66189" w:rsidP="009F3E70">
                            <w:pPr>
                              <w:rPr>
                                <w:rFonts w:cs="Tahoma"/>
                                <w:b/>
                                <w:bCs/>
                                <w:sz w:val="22"/>
                                <w:szCs w:val="22"/>
                              </w:rPr>
                            </w:pPr>
                          </w:p>
                          <w:p w:rsidR="00F66189" w:rsidRPr="00AE60A7" w:rsidRDefault="00F66189" w:rsidP="009F3E70">
                            <w:pPr>
                              <w:pStyle w:val="ListParagraph"/>
                              <w:numPr>
                                <w:ilvl w:val="0"/>
                                <w:numId w:val="26"/>
                              </w:numPr>
                              <w:jc w:val="both"/>
                              <w:rPr>
                                <w:rFonts w:cs="Tahoma"/>
                                <w:sz w:val="22"/>
                                <w:szCs w:val="22"/>
                              </w:rPr>
                            </w:pPr>
                            <w:r w:rsidRPr="00A55BB6">
                              <w:rPr>
                                <w:rFonts w:cs="Tahoma"/>
                                <w:sz w:val="22"/>
                                <w:szCs w:val="22"/>
                              </w:rPr>
                              <w:t>The £11.9m reported deficit is consistent with the ‘control totals’ that have been set for individual directorates and is aligned with the Performance meetings that commenced in M7 with the CEO. These control totals required a £10.8m improvement from the M6 forecast recurrent deficit of £22.7m. The M</w:t>
                            </w:r>
                            <w:r>
                              <w:rPr>
                                <w:rFonts w:cs="Tahoma"/>
                                <w:sz w:val="22"/>
                                <w:szCs w:val="22"/>
                              </w:rPr>
                              <w:t>11</w:t>
                            </w:r>
                            <w:r w:rsidRPr="00A55BB6">
                              <w:rPr>
                                <w:rFonts w:cs="Tahoma"/>
                                <w:sz w:val="22"/>
                                <w:szCs w:val="22"/>
                              </w:rPr>
                              <w:t xml:space="preserve"> forecast recurrent deficit is now £1</w:t>
                            </w:r>
                            <w:r>
                              <w:rPr>
                                <w:rFonts w:cs="Tahoma"/>
                                <w:sz w:val="22"/>
                                <w:szCs w:val="22"/>
                              </w:rPr>
                              <w:t>6.7</w:t>
                            </w:r>
                            <w:r w:rsidRPr="00A55BB6">
                              <w:rPr>
                                <w:rFonts w:cs="Tahoma"/>
                                <w:sz w:val="22"/>
                                <w:szCs w:val="22"/>
                              </w:rPr>
                              <w:t xml:space="preserve">m. </w:t>
                            </w:r>
                            <w:r w:rsidRPr="00AE60A7">
                              <w:rPr>
                                <w:rFonts w:cs="Tahoma"/>
                                <w:sz w:val="22"/>
                                <w:szCs w:val="22"/>
                              </w:rPr>
                              <w:t>Whilst this represents an improvement of £</w:t>
                            </w:r>
                            <w:r>
                              <w:rPr>
                                <w:rFonts w:cs="Tahoma"/>
                                <w:sz w:val="22"/>
                                <w:szCs w:val="22"/>
                              </w:rPr>
                              <w:t>6.0</w:t>
                            </w:r>
                            <w:r w:rsidRPr="00AE60A7">
                              <w:rPr>
                                <w:rFonts w:cs="Tahoma"/>
                                <w:sz w:val="22"/>
                                <w:szCs w:val="22"/>
                              </w:rPr>
                              <w:t>m from M6, further improvements of £4.</w:t>
                            </w:r>
                            <w:r>
                              <w:rPr>
                                <w:rFonts w:cs="Tahoma"/>
                                <w:sz w:val="22"/>
                                <w:szCs w:val="22"/>
                              </w:rPr>
                              <w:t>8</w:t>
                            </w:r>
                            <w:r w:rsidRPr="00AE60A7">
                              <w:rPr>
                                <w:rFonts w:cs="Tahoma"/>
                                <w:sz w:val="22"/>
                                <w:szCs w:val="22"/>
                              </w:rPr>
                              <w:t xml:space="preserve">m are still needed in order to meet the £11.9m target.   </w:t>
                            </w:r>
                          </w:p>
                          <w:p w:rsidR="00F66189" w:rsidRPr="00AE60A7" w:rsidRDefault="00F66189" w:rsidP="009F3E70">
                            <w:pPr>
                              <w:pStyle w:val="ListParagraph"/>
                              <w:rPr>
                                <w:rFonts w:cs="Tahoma"/>
                                <w:sz w:val="22"/>
                                <w:szCs w:val="22"/>
                              </w:rPr>
                            </w:pPr>
                          </w:p>
                          <w:p w:rsidR="00F66189" w:rsidRPr="00D52DB6" w:rsidRDefault="00F66189" w:rsidP="00D52DB6">
                            <w:pPr>
                              <w:pStyle w:val="ListParagraph"/>
                              <w:numPr>
                                <w:ilvl w:val="0"/>
                                <w:numId w:val="26"/>
                              </w:numPr>
                              <w:jc w:val="both"/>
                              <w:rPr>
                                <w:rFonts w:cs="Tahoma"/>
                                <w:sz w:val="22"/>
                                <w:szCs w:val="22"/>
                              </w:rPr>
                            </w:pPr>
                            <w:r w:rsidRPr="00D52DB6">
                              <w:rPr>
                                <w:rFonts w:cs="Tahoma"/>
                                <w:sz w:val="22"/>
                                <w:szCs w:val="22"/>
                              </w:rPr>
                              <w:t>The reported deficit of £11.9m is consistent with our M11 Monitoring Return submission to WG. However, we did highlight to WG that a final review of the forecast recurrent deficit was being undertaken to inform our updated IMTP submission at the end of March. A verbal update will be provided at the Board meeting.</w:t>
                            </w:r>
                          </w:p>
                          <w:p w:rsidR="00F66189" w:rsidRPr="00D52DB6" w:rsidRDefault="00F66189" w:rsidP="00D52DB6">
                            <w:pPr>
                              <w:pStyle w:val="ListParagraph"/>
                              <w:jc w:val="both"/>
                              <w:rPr>
                                <w:rFonts w:cs="Tahoma"/>
                                <w:sz w:val="22"/>
                                <w:szCs w:val="22"/>
                              </w:rPr>
                            </w:pPr>
                          </w:p>
                          <w:p w:rsidR="00F66189" w:rsidRPr="002104FE" w:rsidRDefault="00F66189" w:rsidP="009F3E70">
                            <w:pPr>
                              <w:jc w:val="both"/>
                              <w:rPr>
                                <w:rFonts w:cs="Tahoma"/>
                                <w:b/>
                                <w:bCs/>
                                <w:sz w:val="16"/>
                                <w:szCs w:val="16"/>
                                <w:u w:val="single"/>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486146C" id="_x0000_s1029" type="#_x0000_t202" style="position:absolute;margin-left:4.5pt;margin-top:12.95pt;width:772.8pt;height:452.75pt;z-index:2517954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" strokecolor="#8eb4e3" strokeweight="1.5pt">
                <v:path arrowok="t"/>
                <v:textbox>
                  <w:txbxContent>
                    <w:p w:rsidR="00F66189" w:rsidRPr="00A55BB6" w:rsidRDefault="00F66189" w:rsidP="009F3E70">
                      <w:pPr>
                        <w:rPr>
                          <w:rFonts w:cs="Tahoma"/>
                          <w:bCs/>
                          <w:sz w:val="22"/>
                          <w:szCs w:val="22"/>
                        </w:rPr>
                      </w:pPr>
                      <w:r w:rsidRPr="00A55BB6">
                        <w:rPr>
                          <w:rFonts w:cs="Tahoma"/>
                          <w:bCs/>
                          <w:sz w:val="22"/>
                          <w:szCs w:val="22"/>
                        </w:rPr>
                        <w:t>The key points to highlight are noted below:</w:t>
                      </w:r>
                    </w:p>
                    <w:p w:rsidR="00F66189" w:rsidRPr="00A55BB6" w:rsidRDefault="00F66189" w:rsidP="009F3E70">
                      <w:pPr>
                        <w:rPr>
                          <w:rFonts w:cs="Tahoma"/>
                          <w:bCs/>
                          <w:sz w:val="22"/>
                          <w:szCs w:val="22"/>
                        </w:rPr>
                      </w:pPr>
                    </w:p>
                    <w:p w:rsidR="00F66189" w:rsidRPr="00A55BB6" w:rsidRDefault="00F66189" w:rsidP="009F3E70">
                      <w:pPr>
                        <w:rPr>
                          <w:rFonts w:cs="Tahoma"/>
                          <w:b/>
                          <w:bCs/>
                          <w:sz w:val="22"/>
                          <w:szCs w:val="22"/>
                        </w:rPr>
                      </w:pPr>
                      <w:r w:rsidRPr="00A55BB6">
                        <w:rPr>
                          <w:rFonts w:cs="Tahoma"/>
                          <w:b/>
                          <w:bCs/>
                          <w:sz w:val="22"/>
                          <w:szCs w:val="22"/>
                        </w:rPr>
                        <w:t>In Year forecast</w:t>
                      </w:r>
                    </w:p>
                    <w:p w:rsidR="00F66189" w:rsidRPr="00A55BB6" w:rsidRDefault="00F66189" w:rsidP="009F3E70">
                      <w:pPr>
                        <w:rPr>
                          <w:rFonts w:cs="Tahoma"/>
                          <w:bCs/>
                          <w:sz w:val="22"/>
                          <w:szCs w:val="22"/>
                        </w:rPr>
                      </w:pPr>
                    </w:p>
                    <w:p w:rsidR="00F66189" w:rsidRPr="0051521C" w:rsidRDefault="00F66189" w:rsidP="009F3E70">
                      <w:pPr>
                        <w:pStyle w:val="ListParagraph"/>
                        <w:numPr>
                          <w:ilvl w:val="0"/>
                          <w:numId w:val="25"/>
                        </w:numPr>
                        <w:jc w:val="both"/>
                        <w:rPr>
                          <w:rFonts w:cs="Tahoma"/>
                          <w:sz w:val="22"/>
                          <w:szCs w:val="22"/>
                        </w:rPr>
                      </w:pPr>
                      <w:r w:rsidRPr="0051521C">
                        <w:rPr>
                          <w:rFonts w:cs="Tahoma"/>
                          <w:bCs/>
                          <w:sz w:val="22"/>
                          <w:szCs w:val="22"/>
                        </w:rPr>
                        <w:t>The forecast position based on the bottom up directorate forecasts after M10 and the straight line extrapolation of the M11 YTD position are both showing a break even position. Our M11 Monitoring Return to WG included a forecast breakeven position for 2019/20.</w:t>
                      </w:r>
                    </w:p>
                    <w:p w:rsidR="00F66189" w:rsidRPr="00A55BB6" w:rsidRDefault="00F66189" w:rsidP="009F3E70">
                      <w:pPr>
                        <w:pStyle w:val="ListParagraph"/>
                        <w:jc w:val="both"/>
                        <w:rPr>
                          <w:rFonts w:cs="Tahoma"/>
                          <w:sz w:val="22"/>
                          <w:szCs w:val="22"/>
                        </w:rPr>
                      </w:pPr>
                    </w:p>
                    <w:p w:rsidR="00F66189" w:rsidRPr="00C367F8" w:rsidRDefault="00F66189" w:rsidP="009F3E70">
                      <w:pPr>
                        <w:pStyle w:val="ListParagraph"/>
                        <w:numPr>
                          <w:ilvl w:val="0"/>
                          <w:numId w:val="25"/>
                        </w:numPr>
                        <w:jc w:val="both"/>
                        <w:rPr>
                          <w:rFonts w:cs="Tahoma"/>
                          <w:sz w:val="22"/>
                          <w:szCs w:val="22"/>
                        </w:rPr>
                      </w:pPr>
                      <w:r w:rsidRPr="00A55BB6">
                        <w:rPr>
                          <w:rFonts w:cs="Tahoma"/>
                          <w:bCs/>
                          <w:sz w:val="22"/>
                          <w:szCs w:val="22"/>
                        </w:rPr>
                        <w:t>The key risks to achieving the breakeven forecast are as follows:</w:t>
                      </w:r>
                    </w:p>
                    <w:p w:rsidR="00F66189" w:rsidRPr="00C367F8" w:rsidRDefault="00F66189" w:rsidP="009F3E70">
                      <w:pPr>
                        <w:ind w:firstLine="720"/>
                        <w:jc w:val="both"/>
                        <w:rPr>
                          <w:rFonts w:cs="Tahoma"/>
                          <w:bCs/>
                          <w:sz w:val="22"/>
                          <w:szCs w:val="22"/>
                        </w:rPr>
                      </w:pPr>
                      <w:r>
                        <w:rPr>
                          <w:rFonts w:cs="Tahoma"/>
                          <w:bCs/>
                          <w:sz w:val="22"/>
                          <w:szCs w:val="22"/>
                        </w:rPr>
                        <w:t xml:space="preserve">- </w:t>
                      </w:r>
                      <w:r w:rsidRPr="00C367F8">
                        <w:rPr>
                          <w:rFonts w:cs="Tahoma"/>
                          <w:bCs/>
                          <w:sz w:val="22"/>
                          <w:szCs w:val="22"/>
                        </w:rPr>
                        <w:t>Potential RTT clawback risk (Quantum unknown but assumed low risk)</w:t>
                      </w:r>
                    </w:p>
                    <w:p w:rsidR="00F66189" w:rsidRDefault="00F66189" w:rsidP="009F3E70">
                      <w:pPr>
                        <w:pStyle w:val="ListParagraph"/>
                        <w:jc w:val="both"/>
                        <w:rPr>
                          <w:rFonts w:cs="Tahoma"/>
                          <w:bCs/>
                          <w:sz w:val="22"/>
                          <w:szCs w:val="22"/>
                        </w:rPr>
                      </w:pPr>
                      <w:r>
                        <w:rPr>
                          <w:rFonts w:cs="Tahoma"/>
                          <w:bCs/>
                          <w:sz w:val="22"/>
                          <w:szCs w:val="22"/>
                        </w:rPr>
                        <w:t xml:space="preserve"> </w:t>
                      </w:r>
                    </w:p>
                    <w:p w:rsidR="00F66189" w:rsidRPr="00A55BB6" w:rsidRDefault="00F66189" w:rsidP="009F3E70">
                      <w:pPr>
                        <w:rPr>
                          <w:rFonts w:cs="Tahoma"/>
                          <w:b/>
                          <w:bCs/>
                          <w:sz w:val="22"/>
                          <w:szCs w:val="22"/>
                        </w:rPr>
                      </w:pPr>
                      <w:r w:rsidRPr="00A55BB6">
                        <w:rPr>
                          <w:rFonts w:cs="Tahoma"/>
                          <w:b/>
                          <w:bCs/>
                          <w:sz w:val="22"/>
                          <w:szCs w:val="22"/>
                        </w:rPr>
                        <w:t>Recurrent forecast</w:t>
                      </w:r>
                    </w:p>
                    <w:p w:rsidR="00F66189" w:rsidRPr="00A55BB6" w:rsidRDefault="00F66189" w:rsidP="009F3E70">
                      <w:pPr>
                        <w:rPr>
                          <w:rFonts w:cs="Tahoma"/>
                          <w:b/>
                          <w:bCs/>
                          <w:sz w:val="22"/>
                          <w:szCs w:val="22"/>
                        </w:rPr>
                      </w:pPr>
                    </w:p>
                    <w:p w:rsidR="00F66189" w:rsidRPr="00AE60A7" w:rsidRDefault="00F66189" w:rsidP="009F3E70">
                      <w:pPr>
                        <w:pStyle w:val="ListParagraph"/>
                        <w:numPr>
                          <w:ilvl w:val="0"/>
                          <w:numId w:val="26"/>
                        </w:numPr>
                        <w:jc w:val="both"/>
                        <w:rPr>
                          <w:rFonts w:cs="Tahoma"/>
                          <w:sz w:val="22"/>
                          <w:szCs w:val="22"/>
                        </w:rPr>
                      </w:pPr>
                      <w:r w:rsidRPr="00A55BB6">
                        <w:rPr>
                          <w:rFonts w:cs="Tahoma"/>
                          <w:sz w:val="22"/>
                          <w:szCs w:val="22"/>
                        </w:rPr>
                        <w:t>The £11.9m reported deficit is consistent with the ‘control totals’ that have been set for individual directorates and is aligned with the Performance meetings that commenced in M7 with the CEO. These control totals required a £10.8m improvement from the M6 forecast recurrent deficit of £22.7m. The M</w:t>
                      </w:r>
                      <w:r>
                        <w:rPr>
                          <w:rFonts w:cs="Tahoma"/>
                          <w:sz w:val="22"/>
                          <w:szCs w:val="22"/>
                        </w:rPr>
                        <w:t>11</w:t>
                      </w:r>
                      <w:r w:rsidRPr="00A55BB6">
                        <w:rPr>
                          <w:rFonts w:cs="Tahoma"/>
                          <w:sz w:val="22"/>
                          <w:szCs w:val="22"/>
                        </w:rPr>
                        <w:t xml:space="preserve"> forecast recurrent deficit is now £1</w:t>
                      </w:r>
                      <w:r>
                        <w:rPr>
                          <w:rFonts w:cs="Tahoma"/>
                          <w:sz w:val="22"/>
                          <w:szCs w:val="22"/>
                        </w:rPr>
                        <w:t>6.7</w:t>
                      </w:r>
                      <w:r w:rsidRPr="00A55BB6">
                        <w:rPr>
                          <w:rFonts w:cs="Tahoma"/>
                          <w:sz w:val="22"/>
                          <w:szCs w:val="22"/>
                        </w:rPr>
                        <w:t xml:space="preserve">m. </w:t>
                      </w:r>
                      <w:r w:rsidRPr="00AE60A7">
                        <w:rPr>
                          <w:rFonts w:cs="Tahoma"/>
                          <w:sz w:val="22"/>
                          <w:szCs w:val="22"/>
                        </w:rPr>
                        <w:t>Whilst this represents an improvement of £</w:t>
                      </w:r>
                      <w:r>
                        <w:rPr>
                          <w:rFonts w:cs="Tahoma"/>
                          <w:sz w:val="22"/>
                          <w:szCs w:val="22"/>
                        </w:rPr>
                        <w:t>6.0</w:t>
                      </w:r>
                      <w:r w:rsidRPr="00AE60A7">
                        <w:rPr>
                          <w:rFonts w:cs="Tahoma"/>
                          <w:sz w:val="22"/>
                          <w:szCs w:val="22"/>
                        </w:rPr>
                        <w:t>m from M6, further improvements of £4.</w:t>
                      </w:r>
                      <w:r>
                        <w:rPr>
                          <w:rFonts w:cs="Tahoma"/>
                          <w:sz w:val="22"/>
                          <w:szCs w:val="22"/>
                        </w:rPr>
                        <w:t>8</w:t>
                      </w:r>
                      <w:r w:rsidRPr="00AE60A7">
                        <w:rPr>
                          <w:rFonts w:cs="Tahoma"/>
                          <w:sz w:val="22"/>
                          <w:szCs w:val="22"/>
                        </w:rPr>
                        <w:t xml:space="preserve">m are still needed in order to meet the £11.9m target.   </w:t>
                      </w:r>
                    </w:p>
                    <w:p w:rsidR="00F66189" w:rsidRPr="00AE60A7" w:rsidRDefault="00F66189" w:rsidP="009F3E70">
                      <w:pPr>
                        <w:pStyle w:val="ListParagraph"/>
                        <w:rPr>
                          <w:rFonts w:cs="Tahoma"/>
                          <w:sz w:val="22"/>
                          <w:szCs w:val="22"/>
                        </w:rPr>
                      </w:pPr>
                    </w:p>
                    <w:p w:rsidR="00F66189" w:rsidRPr="00D52DB6" w:rsidRDefault="00F66189" w:rsidP="00D52DB6">
                      <w:pPr>
                        <w:pStyle w:val="ListParagraph"/>
                        <w:numPr>
                          <w:ilvl w:val="0"/>
                          <w:numId w:val="26"/>
                        </w:numPr>
                        <w:jc w:val="both"/>
                        <w:rPr>
                          <w:rFonts w:cs="Tahoma"/>
                          <w:sz w:val="22"/>
                          <w:szCs w:val="22"/>
                        </w:rPr>
                      </w:pPr>
                      <w:r w:rsidRPr="00D52DB6">
                        <w:rPr>
                          <w:rFonts w:cs="Tahoma"/>
                          <w:sz w:val="22"/>
                          <w:szCs w:val="22"/>
                        </w:rPr>
                        <w:t>The reported deficit of £11.9m is consistent with our M11 Monitoring Return submission to WG. However, we did highlight to WG that a final review of the forecast recurrent deficit was being undertaken to inform our updated IMTP submission at the end of March. A verbal update will be provided at the Board meeting.</w:t>
                      </w:r>
                    </w:p>
                    <w:p w:rsidR="00F66189" w:rsidRPr="00D52DB6" w:rsidRDefault="00F66189" w:rsidP="00D52DB6">
                      <w:pPr>
                        <w:pStyle w:val="ListParagraph"/>
                        <w:jc w:val="both"/>
                        <w:rPr>
                          <w:rFonts w:cs="Tahoma"/>
                          <w:sz w:val="22"/>
                          <w:szCs w:val="22"/>
                        </w:rPr>
                      </w:pPr>
                    </w:p>
                    <w:p w:rsidR="00F66189" w:rsidRPr="002104FE" w:rsidRDefault="00F66189" w:rsidP="009F3E70">
                      <w:pPr>
                        <w:jc w:val="both"/>
                        <w:rPr>
                          <w:rFonts w:cs="Tahoma"/>
                          <w:b/>
                          <w:bCs/>
                          <w:sz w:val="16"/>
                          <w:szCs w:val="16"/>
                          <w:u w:val="single"/>
                        </w:rPr>
                      </w:pPr>
                    </w:p>
                  </w:txbxContent>
                </v:textbox>
                <w10:wrap type="square"/>
              </v:shape>
            </w:pict>
          </mc:Fallback>
        </mc:AlternateContent>
      </w:r>
    </w:p>
    <w:p w:rsidR="00D83E3D" w:rsidRPr="00595641" w:rsidRDefault="00127CDF" w:rsidP="006616E8">
      <w:pPr>
        <w:pStyle w:val="ListParagraph"/>
        <w:numPr>
          <w:ilvl w:val="1"/>
          <w:numId w:val="34"/>
        </w:numPr>
        <w:jc w:val="both"/>
        <w:rPr>
          <w:rFonts w:cs="Tahoma"/>
          <w:b/>
          <w:bCs/>
          <w:sz w:val="24"/>
        </w:rPr>
      </w:pPr>
      <w:r w:rsidRPr="00595641">
        <w:rPr>
          <w:rFonts w:cs="Tahoma"/>
          <w:b/>
          <w:bCs/>
          <w:sz w:val="24"/>
        </w:rPr>
        <w:t>Revenue Performance by Division</w:t>
      </w:r>
    </w:p>
    <w:p w:rsidR="00127CDF" w:rsidRPr="008075AF" w:rsidRDefault="00127CDF" w:rsidP="00D83E3D">
      <w:pPr>
        <w:pStyle w:val="ListParagraph"/>
        <w:ind w:left="360"/>
        <w:jc w:val="both"/>
        <w:rPr>
          <w:sz w:val="16"/>
          <w:szCs w:val="16"/>
          <w:highlight w:val="yellow"/>
        </w:rPr>
      </w:pPr>
    </w:p>
    <w:tbl>
      <w:tblPr>
        <w:tblW w:w="11742" w:type="dxa"/>
        <w:jc w:val="center"/>
        <w:tblLayout w:type="fixed"/>
        <w:tblLook w:val="04A0" w:firstRow="1" w:lastRow="0" w:firstColumn="1" w:lastColumn="0" w:noHBand="0" w:noVBand="1"/>
      </w:tblPr>
      <w:tblGrid>
        <w:gridCol w:w="3566"/>
        <w:gridCol w:w="1527"/>
        <w:gridCol w:w="1546"/>
        <w:gridCol w:w="1701"/>
        <w:gridCol w:w="1701"/>
        <w:gridCol w:w="1701"/>
      </w:tblGrid>
      <w:tr w:rsidR="00D83E3D" w:rsidRPr="00595641" w:rsidTr="00790BE6">
        <w:trPr>
          <w:trHeight w:val="270"/>
          <w:jc w:val="center"/>
        </w:trPr>
        <w:tc>
          <w:tcPr>
            <w:tcW w:w="3566" w:type="dxa"/>
            <w:tcBorders>
              <w:top w:val="single" w:sz="8" w:space="0" w:color="auto"/>
              <w:left w:val="single" w:sz="8" w:space="0" w:color="auto"/>
              <w:right w:val="single" w:sz="4" w:space="0" w:color="auto"/>
            </w:tcBorders>
            <w:shd w:val="clear" w:color="auto" w:fill="auto"/>
            <w:hideMark/>
          </w:tcPr>
          <w:p w:rsidR="00D83E3D" w:rsidRPr="00595641" w:rsidRDefault="00D83E3D" w:rsidP="001A558F">
            <w:pPr>
              <w:rPr>
                <w:b/>
                <w:bCs/>
                <w:color w:val="000000"/>
                <w:sz w:val="20"/>
                <w:szCs w:val="20"/>
                <w:lang w:val="en-US"/>
              </w:rPr>
            </w:pPr>
          </w:p>
        </w:tc>
        <w:tc>
          <w:tcPr>
            <w:tcW w:w="1527"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D83E3D" w:rsidRPr="00595641" w:rsidRDefault="00D83E3D" w:rsidP="001A558F">
            <w:pPr>
              <w:jc w:val="both"/>
              <w:rPr>
                <w:b/>
                <w:bCs/>
                <w:color w:val="000000"/>
                <w:sz w:val="20"/>
                <w:szCs w:val="20"/>
                <w:lang w:val="en-US"/>
              </w:rPr>
            </w:pPr>
          </w:p>
        </w:tc>
        <w:tc>
          <w:tcPr>
            <w:tcW w:w="6649" w:type="dxa"/>
            <w:gridSpan w:val="4"/>
            <w:tcBorders>
              <w:top w:val="single" w:sz="8" w:space="0" w:color="auto"/>
              <w:left w:val="single" w:sz="4" w:space="0" w:color="auto"/>
              <w:bottom w:val="single" w:sz="8" w:space="0" w:color="auto"/>
              <w:right w:val="single" w:sz="8" w:space="0" w:color="000000"/>
            </w:tcBorders>
            <w:shd w:val="clear" w:color="auto" w:fill="auto"/>
            <w:vAlign w:val="center"/>
            <w:hideMark/>
          </w:tcPr>
          <w:p w:rsidR="00D83E3D" w:rsidRPr="00595641" w:rsidRDefault="00D83E3D" w:rsidP="001A558F">
            <w:pPr>
              <w:jc w:val="center"/>
              <w:rPr>
                <w:b/>
                <w:bCs/>
                <w:color w:val="000000"/>
                <w:sz w:val="20"/>
                <w:szCs w:val="20"/>
                <w:lang w:val="en-US"/>
              </w:rPr>
            </w:pPr>
            <w:r w:rsidRPr="00595641">
              <w:rPr>
                <w:b/>
                <w:bCs/>
                <w:color w:val="000000"/>
                <w:sz w:val="20"/>
                <w:szCs w:val="20"/>
                <w:lang w:val="en-US"/>
              </w:rPr>
              <w:t>Over/(Under) Spend</w:t>
            </w:r>
          </w:p>
        </w:tc>
      </w:tr>
      <w:tr w:rsidR="00D83E3D" w:rsidRPr="00595641" w:rsidTr="00790BE6">
        <w:trPr>
          <w:trHeight w:val="510"/>
          <w:jc w:val="center"/>
        </w:trPr>
        <w:tc>
          <w:tcPr>
            <w:tcW w:w="3566" w:type="dxa"/>
            <w:tcBorders>
              <w:left w:val="single" w:sz="8" w:space="0" w:color="auto"/>
              <w:bottom w:val="nil"/>
              <w:right w:val="single" w:sz="4" w:space="0" w:color="auto"/>
            </w:tcBorders>
            <w:shd w:val="clear" w:color="auto" w:fill="auto"/>
            <w:vAlign w:val="center"/>
            <w:hideMark/>
          </w:tcPr>
          <w:p w:rsidR="00D83E3D" w:rsidRPr="00595641" w:rsidRDefault="00D83E3D" w:rsidP="001A558F">
            <w:pPr>
              <w:rPr>
                <w:b/>
                <w:bCs/>
                <w:color w:val="000000"/>
                <w:sz w:val="20"/>
                <w:szCs w:val="20"/>
                <w:lang w:val="en-US"/>
              </w:rPr>
            </w:pPr>
          </w:p>
        </w:tc>
        <w:tc>
          <w:tcPr>
            <w:tcW w:w="1527" w:type="dxa"/>
            <w:tcBorders>
              <w:top w:val="single" w:sz="4" w:space="0" w:color="auto"/>
              <w:left w:val="single" w:sz="4" w:space="0" w:color="auto"/>
              <w:bottom w:val="nil"/>
              <w:right w:val="single" w:sz="8" w:space="0" w:color="auto"/>
            </w:tcBorders>
            <w:shd w:val="clear" w:color="auto" w:fill="auto"/>
            <w:vAlign w:val="center"/>
            <w:hideMark/>
          </w:tcPr>
          <w:p w:rsidR="00D83E3D" w:rsidRPr="00595641" w:rsidRDefault="00D83E3D" w:rsidP="001A558F">
            <w:pPr>
              <w:jc w:val="center"/>
              <w:rPr>
                <w:color w:val="000000"/>
                <w:sz w:val="20"/>
                <w:szCs w:val="20"/>
                <w:lang w:val="en-US"/>
              </w:rPr>
            </w:pPr>
            <w:r w:rsidRPr="00595641">
              <w:rPr>
                <w:color w:val="000000"/>
                <w:sz w:val="20"/>
                <w:szCs w:val="20"/>
                <w:lang w:val="en-US"/>
              </w:rPr>
              <w:t>Annual Budget</w:t>
            </w:r>
          </w:p>
        </w:tc>
        <w:tc>
          <w:tcPr>
            <w:tcW w:w="1546" w:type="dxa"/>
            <w:tcBorders>
              <w:top w:val="single" w:sz="4" w:space="0" w:color="auto"/>
              <w:left w:val="nil"/>
              <w:bottom w:val="nil"/>
              <w:right w:val="nil"/>
            </w:tcBorders>
            <w:shd w:val="clear" w:color="auto" w:fill="auto"/>
            <w:vAlign w:val="center"/>
            <w:hideMark/>
          </w:tcPr>
          <w:p w:rsidR="00D83E3D" w:rsidRPr="00595641" w:rsidRDefault="00D83E3D" w:rsidP="001A558F">
            <w:pPr>
              <w:jc w:val="center"/>
              <w:rPr>
                <w:color w:val="000000"/>
                <w:sz w:val="20"/>
                <w:szCs w:val="20"/>
                <w:lang w:val="en-US"/>
              </w:rPr>
            </w:pPr>
            <w:r w:rsidRPr="00595641">
              <w:rPr>
                <w:color w:val="000000"/>
                <w:sz w:val="20"/>
                <w:szCs w:val="20"/>
                <w:lang w:val="en-US"/>
              </w:rPr>
              <w:t>Current Month</w:t>
            </w:r>
          </w:p>
        </w:tc>
        <w:tc>
          <w:tcPr>
            <w:tcW w:w="1701" w:type="dxa"/>
            <w:tcBorders>
              <w:top w:val="nil"/>
              <w:left w:val="single" w:sz="4" w:space="0" w:color="auto"/>
              <w:bottom w:val="nil"/>
              <w:right w:val="single" w:sz="4" w:space="0" w:color="auto"/>
            </w:tcBorders>
            <w:shd w:val="clear" w:color="auto" w:fill="auto"/>
            <w:vAlign w:val="center"/>
            <w:hideMark/>
          </w:tcPr>
          <w:p w:rsidR="00D83E3D" w:rsidRPr="00595641" w:rsidRDefault="00D83E3D" w:rsidP="001A558F">
            <w:pPr>
              <w:jc w:val="center"/>
              <w:rPr>
                <w:color w:val="000000"/>
                <w:sz w:val="20"/>
                <w:szCs w:val="20"/>
                <w:lang w:val="en-US"/>
              </w:rPr>
            </w:pPr>
            <w:r w:rsidRPr="00595641">
              <w:rPr>
                <w:color w:val="000000"/>
                <w:sz w:val="20"/>
                <w:szCs w:val="20"/>
                <w:lang w:val="en-US"/>
              </w:rPr>
              <w:t>Year to Date</w:t>
            </w:r>
          </w:p>
        </w:tc>
        <w:tc>
          <w:tcPr>
            <w:tcW w:w="1701" w:type="dxa"/>
            <w:tcBorders>
              <w:top w:val="nil"/>
              <w:left w:val="nil"/>
              <w:bottom w:val="nil"/>
              <w:right w:val="single" w:sz="8" w:space="0" w:color="auto"/>
            </w:tcBorders>
            <w:shd w:val="clear" w:color="auto" w:fill="auto"/>
            <w:vAlign w:val="center"/>
            <w:hideMark/>
          </w:tcPr>
          <w:p w:rsidR="00D83E3D" w:rsidRPr="00ED78A6" w:rsidRDefault="00D83E3D" w:rsidP="001A558F">
            <w:pPr>
              <w:jc w:val="center"/>
              <w:rPr>
                <w:color w:val="000000"/>
                <w:sz w:val="20"/>
                <w:szCs w:val="20"/>
                <w:lang w:val="en-US"/>
              </w:rPr>
            </w:pPr>
            <w:r w:rsidRPr="00ED78A6">
              <w:rPr>
                <w:color w:val="000000"/>
                <w:sz w:val="20"/>
                <w:szCs w:val="20"/>
                <w:lang w:val="en-US"/>
              </w:rPr>
              <w:t>Forecast</w:t>
            </w:r>
          </w:p>
        </w:tc>
        <w:tc>
          <w:tcPr>
            <w:tcW w:w="1701" w:type="dxa"/>
            <w:tcBorders>
              <w:top w:val="nil"/>
              <w:left w:val="nil"/>
              <w:bottom w:val="nil"/>
              <w:right w:val="single" w:sz="8" w:space="0" w:color="auto"/>
            </w:tcBorders>
            <w:vAlign w:val="center"/>
          </w:tcPr>
          <w:p w:rsidR="00D83E3D" w:rsidRPr="00ED78A6" w:rsidRDefault="00D83E3D" w:rsidP="001A558F">
            <w:pPr>
              <w:jc w:val="center"/>
              <w:rPr>
                <w:color w:val="000000"/>
                <w:sz w:val="20"/>
                <w:szCs w:val="20"/>
                <w:lang w:val="en-US"/>
              </w:rPr>
            </w:pPr>
            <w:r w:rsidRPr="00ED78A6">
              <w:rPr>
                <w:color w:val="000000"/>
                <w:sz w:val="20"/>
                <w:szCs w:val="20"/>
                <w:lang w:val="en-US"/>
              </w:rPr>
              <w:t>Recurrent Forecast</w:t>
            </w:r>
          </w:p>
        </w:tc>
      </w:tr>
      <w:tr w:rsidR="00D83E3D" w:rsidRPr="00595641" w:rsidTr="00790BE6">
        <w:trPr>
          <w:trHeight w:val="270"/>
          <w:jc w:val="center"/>
        </w:trPr>
        <w:tc>
          <w:tcPr>
            <w:tcW w:w="3566" w:type="dxa"/>
            <w:tcBorders>
              <w:top w:val="nil"/>
              <w:left w:val="single" w:sz="8" w:space="0" w:color="auto"/>
              <w:bottom w:val="single" w:sz="8" w:space="0" w:color="auto"/>
              <w:right w:val="single" w:sz="8" w:space="0" w:color="auto"/>
            </w:tcBorders>
            <w:shd w:val="clear" w:color="auto" w:fill="auto"/>
            <w:vAlign w:val="center"/>
            <w:hideMark/>
          </w:tcPr>
          <w:p w:rsidR="00D83E3D" w:rsidRPr="00595641" w:rsidRDefault="00D83E3D" w:rsidP="001A558F">
            <w:pPr>
              <w:jc w:val="center"/>
              <w:rPr>
                <w:color w:val="000000"/>
                <w:sz w:val="20"/>
                <w:szCs w:val="20"/>
                <w:lang w:val="en-US"/>
              </w:rPr>
            </w:pPr>
            <w:r w:rsidRPr="00595641">
              <w:rPr>
                <w:color w:val="000000"/>
                <w:sz w:val="20"/>
                <w:szCs w:val="20"/>
                <w:lang w:val="en-US"/>
              </w:rPr>
              <w:t> </w:t>
            </w:r>
          </w:p>
        </w:tc>
        <w:tc>
          <w:tcPr>
            <w:tcW w:w="1527" w:type="dxa"/>
            <w:tcBorders>
              <w:top w:val="nil"/>
              <w:left w:val="nil"/>
              <w:bottom w:val="single" w:sz="8" w:space="0" w:color="auto"/>
              <w:right w:val="single" w:sz="8" w:space="0" w:color="auto"/>
            </w:tcBorders>
            <w:shd w:val="clear" w:color="auto" w:fill="auto"/>
            <w:vAlign w:val="center"/>
            <w:hideMark/>
          </w:tcPr>
          <w:p w:rsidR="00D83E3D" w:rsidRPr="00595641" w:rsidRDefault="00D83E3D" w:rsidP="001A558F">
            <w:pPr>
              <w:jc w:val="center"/>
              <w:rPr>
                <w:color w:val="000000"/>
                <w:sz w:val="20"/>
                <w:szCs w:val="20"/>
                <w:lang w:val="en-US"/>
              </w:rPr>
            </w:pPr>
            <w:r w:rsidRPr="00595641">
              <w:rPr>
                <w:color w:val="000000"/>
                <w:sz w:val="20"/>
                <w:szCs w:val="20"/>
                <w:lang w:val="en-US"/>
              </w:rPr>
              <w:t>£'000</w:t>
            </w:r>
          </w:p>
        </w:tc>
        <w:tc>
          <w:tcPr>
            <w:tcW w:w="1546" w:type="dxa"/>
            <w:tcBorders>
              <w:top w:val="nil"/>
              <w:left w:val="nil"/>
              <w:bottom w:val="single" w:sz="8" w:space="0" w:color="auto"/>
              <w:right w:val="nil"/>
            </w:tcBorders>
            <w:shd w:val="clear" w:color="auto" w:fill="auto"/>
            <w:vAlign w:val="center"/>
            <w:hideMark/>
          </w:tcPr>
          <w:p w:rsidR="00D83E3D" w:rsidRPr="00595641" w:rsidRDefault="00D83E3D" w:rsidP="001A558F">
            <w:pPr>
              <w:jc w:val="center"/>
              <w:rPr>
                <w:color w:val="000000"/>
                <w:sz w:val="20"/>
                <w:szCs w:val="20"/>
                <w:lang w:val="en-US"/>
              </w:rPr>
            </w:pPr>
            <w:r w:rsidRPr="00595641">
              <w:rPr>
                <w:color w:val="000000"/>
                <w:sz w:val="20"/>
                <w:szCs w:val="20"/>
                <w:lang w:val="en-US"/>
              </w:rPr>
              <w:t>£'000</w:t>
            </w:r>
          </w:p>
        </w:tc>
        <w:tc>
          <w:tcPr>
            <w:tcW w:w="1701" w:type="dxa"/>
            <w:tcBorders>
              <w:top w:val="nil"/>
              <w:left w:val="single" w:sz="4" w:space="0" w:color="auto"/>
              <w:bottom w:val="single" w:sz="8" w:space="0" w:color="auto"/>
              <w:right w:val="single" w:sz="4" w:space="0" w:color="auto"/>
            </w:tcBorders>
            <w:shd w:val="clear" w:color="auto" w:fill="auto"/>
            <w:vAlign w:val="center"/>
            <w:hideMark/>
          </w:tcPr>
          <w:p w:rsidR="00D83E3D" w:rsidRPr="00595641" w:rsidRDefault="00D83E3D" w:rsidP="001A558F">
            <w:pPr>
              <w:jc w:val="center"/>
              <w:rPr>
                <w:color w:val="000000"/>
                <w:sz w:val="20"/>
                <w:szCs w:val="20"/>
                <w:lang w:val="en-US"/>
              </w:rPr>
            </w:pPr>
            <w:r w:rsidRPr="00595641">
              <w:rPr>
                <w:color w:val="000000"/>
                <w:sz w:val="20"/>
                <w:szCs w:val="20"/>
                <w:lang w:val="en-US"/>
              </w:rPr>
              <w:t>£'000</w:t>
            </w:r>
          </w:p>
        </w:tc>
        <w:tc>
          <w:tcPr>
            <w:tcW w:w="1701" w:type="dxa"/>
            <w:tcBorders>
              <w:top w:val="nil"/>
              <w:left w:val="nil"/>
              <w:bottom w:val="single" w:sz="8" w:space="0" w:color="auto"/>
              <w:right w:val="single" w:sz="8" w:space="0" w:color="auto"/>
            </w:tcBorders>
            <w:shd w:val="clear" w:color="auto" w:fill="auto"/>
            <w:vAlign w:val="center"/>
            <w:hideMark/>
          </w:tcPr>
          <w:p w:rsidR="00D83E3D" w:rsidRPr="00ED78A6" w:rsidRDefault="00D83E3D" w:rsidP="001A558F">
            <w:pPr>
              <w:jc w:val="center"/>
              <w:rPr>
                <w:color w:val="000000"/>
                <w:sz w:val="20"/>
                <w:szCs w:val="20"/>
                <w:lang w:val="en-US"/>
              </w:rPr>
            </w:pPr>
            <w:r w:rsidRPr="00ED78A6">
              <w:rPr>
                <w:color w:val="000000"/>
                <w:sz w:val="20"/>
                <w:szCs w:val="20"/>
                <w:lang w:val="en-US"/>
              </w:rPr>
              <w:t>£'000</w:t>
            </w:r>
          </w:p>
        </w:tc>
        <w:tc>
          <w:tcPr>
            <w:tcW w:w="1701" w:type="dxa"/>
            <w:tcBorders>
              <w:top w:val="nil"/>
              <w:left w:val="nil"/>
              <w:bottom w:val="single" w:sz="8" w:space="0" w:color="auto"/>
              <w:right w:val="single" w:sz="8" w:space="0" w:color="auto"/>
            </w:tcBorders>
            <w:vAlign w:val="center"/>
          </w:tcPr>
          <w:p w:rsidR="00D83E3D" w:rsidRPr="00ED78A6" w:rsidRDefault="00D83E3D" w:rsidP="001A558F">
            <w:pPr>
              <w:jc w:val="center"/>
              <w:rPr>
                <w:color w:val="000000"/>
                <w:sz w:val="20"/>
                <w:szCs w:val="20"/>
                <w:lang w:val="en-US"/>
              </w:rPr>
            </w:pPr>
            <w:r w:rsidRPr="00ED78A6">
              <w:rPr>
                <w:color w:val="000000"/>
                <w:sz w:val="20"/>
                <w:szCs w:val="20"/>
                <w:lang w:val="en-US"/>
              </w:rPr>
              <w:t>£'000</w:t>
            </w:r>
          </w:p>
        </w:tc>
      </w:tr>
      <w:tr w:rsidR="009F3E70" w:rsidRPr="00595641" w:rsidTr="00790BE6">
        <w:trPr>
          <w:trHeight w:val="255"/>
          <w:jc w:val="center"/>
        </w:trPr>
        <w:tc>
          <w:tcPr>
            <w:tcW w:w="3566" w:type="dxa"/>
            <w:tcBorders>
              <w:top w:val="nil"/>
              <w:left w:val="single" w:sz="8" w:space="0" w:color="auto"/>
              <w:bottom w:val="nil"/>
              <w:right w:val="single" w:sz="8" w:space="0" w:color="auto"/>
            </w:tcBorders>
            <w:shd w:val="clear" w:color="auto" w:fill="auto"/>
            <w:vAlign w:val="center"/>
            <w:hideMark/>
          </w:tcPr>
          <w:p w:rsidR="009F3E70" w:rsidRPr="00595641" w:rsidRDefault="009F3E70" w:rsidP="009F3E70">
            <w:pPr>
              <w:jc w:val="both"/>
              <w:rPr>
                <w:b/>
                <w:bCs/>
                <w:color w:val="000000"/>
                <w:sz w:val="20"/>
                <w:szCs w:val="20"/>
                <w:lang w:val="en-US"/>
              </w:rPr>
            </w:pPr>
            <w:r w:rsidRPr="00595641">
              <w:rPr>
                <w:b/>
                <w:bCs/>
                <w:color w:val="000000"/>
                <w:sz w:val="20"/>
                <w:szCs w:val="20"/>
                <w:lang w:val="en-US"/>
              </w:rPr>
              <w:t>Chief Operating Officer:</w:t>
            </w:r>
          </w:p>
        </w:tc>
        <w:tc>
          <w:tcPr>
            <w:tcW w:w="1527" w:type="dxa"/>
            <w:tcBorders>
              <w:top w:val="nil"/>
              <w:left w:val="nil"/>
              <w:bottom w:val="nil"/>
              <w:right w:val="single" w:sz="8" w:space="0" w:color="auto"/>
            </w:tcBorders>
            <w:shd w:val="clear" w:color="auto" w:fill="auto"/>
            <w:vAlign w:val="center"/>
            <w:hideMark/>
          </w:tcPr>
          <w:p w:rsidR="009F3E70" w:rsidRPr="00595641" w:rsidRDefault="009F3E70" w:rsidP="009F3E70">
            <w:pPr>
              <w:jc w:val="right"/>
              <w:rPr>
                <w:b/>
                <w:bCs/>
                <w:color w:val="000000"/>
                <w:sz w:val="20"/>
                <w:szCs w:val="20"/>
                <w:lang w:val="en-US"/>
              </w:rPr>
            </w:pPr>
            <w:r w:rsidRPr="00595641">
              <w:rPr>
                <w:b/>
                <w:bCs/>
                <w:color w:val="000000"/>
                <w:sz w:val="20"/>
                <w:szCs w:val="20"/>
                <w:lang w:val="en-US"/>
              </w:rPr>
              <w:t> </w:t>
            </w:r>
          </w:p>
        </w:tc>
        <w:tc>
          <w:tcPr>
            <w:tcW w:w="1546" w:type="dxa"/>
            <w:tcBorders>
              <w:top w:val="nil"/>
              <w:left w:val="nil"/>
              <w:bottom w:val="nil"/>
              <w:right w:val="nil"/>
            </w:tcBorders>
            <w:shd w:val="clear" w:color="auto" w:fill="auto"/>
            <w:vAlign w:val="center"/>
            <w:hideMark/>
          </w:tcPr>
          <w:p w:rsidR="009F3E70" w:rsidRPr="00595641" w:rsidRDefault="009F3E70" w:rsidP="009F3E70">
            <w:pPr>
              <w:jc w:val="right"/>
              <w:rPr>
                <w:b/>
                <w:bCs/>
                <w:color w:val="000000"/>
                <w:sz w:val="20"/>
                <w:szCs w:val="20"/>
                <w:lang w:val="en-US"/>
              </w:rPr>
            </w:pPr>
            <w:r w:rsidRPr="00595641">
              <w:rPr>
                <w:b/>
                <w:bCs/>
                <w:color w:val="000000"/>
                <w:sz w:val="20"/>
                <w:szCs w:val="20"/>
                <w:lang w:val="en-US"/>
              </w:rPr>
              <w:t> </w:t>
            </w:r>
          </w:p>
        </w:tc>
        <w:tc>
          <w:tcPr>
            <w:tcW w:w="1701" w:type="dxa"/>
            <w:tcBorders>
              <w:top w:val="nil"/>
              <w:left w:val="single" w:sz="4" w:space="0" w:color="auto"/>
              <w:bottom w:val="nil"/>
              <w:right w:val="single" w:sz="4" w:space="0" w:color="auto"/>
            </w:tcBorders>
            <w:shd w:val="clear" w:color="auto" w:fill="auto"/>
            <w:vAlign w:val="center"/>
            <w:hideMark/>
          </w:tcPr>
          <w:p w:rsidR="009F3E70" w:rsidRPr="00595641" w:rsidRDefault="009F3E70" w:rsidP="009F3E70">
            <w:pPr>
              <w:jc w:val="right"/>
              <w:rPr>
                <w:b/>
                <w:bCs/>
                <w:color w:val="000000"/>
                <w:sz w:val="20"/>
                <w:szCs w:val="20"/>
                <w:lang w:val="en-US"/>
              </w:rPr>
            </w:pPr>
            <w:r w:rsidRPr="00595641">
              <w:rPr>
                <w:b/>
                <w:bCs/>
                <w:color w:val="000000"/>
                <w:sz w:val="20"/>
                <w:szCs w:val="20"/>
                <w:lang w:val="en-US"/>
              </w:rPr>
              <w:t> </w:t>
            </w:r>
          </w:p>
        </w:tc>
        <w:tc>
          <w:tcPr>
            <w:tcW w:w="1701" w:type="dxa"/>
            <w:tcBorders>
              <w:top w:val="nil"/>
              <w:left w:val="nil"/>
              <w:bottom w:val="nil"/>
              <w:right w:val="single" w:sz="8" w:space="0" w:color="auto"/>
            </w:tcBorders>
            <w:shd w:val="clear" w:color="auto" w:fill="auto"/>
            <w:vAlign w:val="center"/>
            <w:hideMark/>
          </w:tcPr>
          <w:p w:rsidR="009F3E70" w:rsidRPr="00ED78A6" w:rsidRDefault="009F3E70" w:rsidP="009F3E70">
            <w:pPr>
              <w:jc w:val="right"/>
              <w:rPr>
                <w:b/>
                <w:bCs/>
                <w:color w:val="000000"/>
                <w:sz w:val="20"/>
                <w:szCs w:val="20"/>
                <w:lang w:val="en-US"/>
              </w:rPr>
            </w:pPr>
            <w:r w:rsidRPr="00ED78A6">
              <w:rPr>
                <w:b/>
                <w:bCs/>
                <w:color w:val="000000"/>
                <w:sz w:val="20"/>
                <w:szCs w:val="20"/>
                <w:lang w:val="en-US"/>
              </w:rPr>
              <w:t> </w:t>
            </w:r>
          </w:p>
        </w:tc>
        <w:tc>
          <w:tcPr>
            <w:tcW w:w="1701" w:type="dxa"/>
            <w:tcBorders>
              <w:top w:val="nil"/>
              <w:left w:val="nil"/>
              <w:bottom w:val="nil"/>
              <w:right w:val="single" w:sz="8" w:space="0" w:color="auto"/>
            </w:tcBorders>
            <w:vAlign w:val="center"/>
          </w:tcPr>
          <w:p w:rsidR="009F3E70" w:rsidRPr="00ED78A6" w:rsidRDefault="009F3E70" w:rsidP="009F3E70">
            <w:pPr>
              <w:jc w:val="right"/>
              <w:rPr>
                <w:b/>
                <w:bCs/>
                <w:color w:val="000000"/>
                <w:sz w:val="20"/>
                <w:szCs w:val="20"/>
                <w:lang w:val="en-US"/>
              </w:rPr>
            </w:pPr>
            <w:r w:rsidRPr="00ED78A6">
              <w:rPr>
                <w:b/>
                <w:bCs/>
                <w:color w:val="000000"/>
                <w:sz w:val="20"/>
                <w:szCs w:val="20"/>
                <w:lang w:val="en-US"/>
              </w:rPr>
              <w:t> </w:t>
            </w:r>
          </w:p>
        </w:tc>
      </w:tr>
      <w:tr w:rsidR="009F3E70" w:rsidRPr="00595641" w:rsidTr="00FC4988">
        <w:trPr>
          <w:trHeight w:val="255"/>
          <w:jc w:val="center"/>
        </w:trPr>
        <w:tc>
          <w:tcPr>
            <w:tcW w:w="3566" w:type="dxa"/>
            <w:tcBorders>
              <w:top w:val="single" w:sz="4" w:space="0" w:color="auto"/>
              <w:left w:val="single" w:sz="8" w:space="0" w:color="auto"/>
              <w:bottom w:val="nil"/>
              <w:right w:val="single" w:sz="8" w:space="0" w:color="auto"/>
            </w:tcBorders>
            <w:shd w:val="clear" w:color="auto" w:fill="auto"/>
            <w:vAlign w:val="center"/>
            <w:hideMark/>
          </w:tcPr>
          <w:p w:rsidR="009F3E70" w:rsidRPr="00595641" w:rsidRDefault="009F3E70" w:rsidP="009F3E70">
            <w:pPr>
              <w:jc w:val="both"/>
              <w:rPr>
                <w:color w:val="000000"/>
                <w:sz w:val="20"/>
                <w:szCs w:val="20"/>
                <w:lang w:val="en-US"/>
              </w:rPr>
            </w:pPr>
            <w:r w:rsidRPr="00595641">
              <w:rPr>
                <w:color w:val="000000"/>
                <w:sz w:val="20"/>
                <w:szCs w:val="20"/>
                <w:lang w:val="en-US"/>
              </w:rPr>
              <w:t>Unscheduled Care</w:t>
            </w:r>
          </w:p>
        </w:tc>
        <w:tc>
          <w:tcPr>
            <w:tcW w:w="1527" w:type="dxa"/>
            <w:tcBorders>
              <w:top w:val="single" w:sz="4" w:space="0" w:color="auto"/>
              <w:left w:val="nil"/>
              <w:bottom w:val="nil"/>
              <w:right w:val="single" w:sz="8" w:space="0" w:color="auto"/>
            </w:tcBorders>
            <w:shd w:val="clear" w:color="auto" w:fill="auto"/>
            <w:vAlign w:val="center"/>
            <w:hideMark/>
          </w:tcPr>
          <w:p w:rsidR="009F3E70" w:rsidRDefault="009F3E70" w:rsidP="009F3E70">
            <w:pPr>
              <w:jc w:val="right"/>
              <w:rPr>
                <w:color w:val="000000"/>
                <w:sz w:val="20"/>
                <w:szCs w:val="20"/>
                <w:lang w:eastAsia="en-GB"/>
              </w:rPr>
            </w:pPr>
            <w:r>
              <w:rPr>
                <w:color w:val="000000"/>
                <w:sz w:val="20"/>
                <w:szCs w:val="20"/>
              </w:rPr>
              <w:t>89,188</w:t>
            </w:r>
          </w:p>
        </w:tc>
        <w:tc>
          <w:tcPr>
            <w:tcW w:w="1546" w:type="dxa"/>
            <w:tcBorders>
              <w:top w:val="single" w:sz="4" w:space="0" w:color="auto"/>
              <w:left w:val="nil"/>
              <w:bottom w:val="nil"/>
              <w:right w:val="nil"/>
            </w:tcBorders>
            <w:shd w:val="clear" w:color="auto" w:fill="auto"/>
            <w:vAlign w:val="center"/>
            <w:hideMark/>
          </w:tcPr>
          <w:p w:rsidR="009F3E70" w:rsidRDefault="009F3E70" w:rsidP="009F3E70">
            <w:pPr>
              <w:jc w:val="right"/>
              <w:rPr>
                <w:color w:val="000000"/>
                <w:sz w:val="20"/>
                <w:szCs w:val="20"/>
              </w:rPr>
            </w:pPr>
            <w:r>
              <w:rPr>
                <w:color w:val="000000"/>
                <w:sz w:val="20"/>
                <w:szCs w:val="20"/>
              </w:rPr>
              <w:t>181</w:t>
            </w:r>
          </w:p>
        </w:tc>
        <w:tc>
          <w:tcPr>
            <w:tcW w:w="1701" w:type="dxa"/>
            <w:tcBorders>
              <w:top w:val="single" w:sz="4" w:space="0" w:color="auto"/>
              <w:left w:val="single" w:sz="4" w:space="0" w:color="auto"/>
              <w:bottom w:val="nil"/>
              <w:right w:val="single" w:sz="4" w:space="0" w:color="auto"/>
            </w:tcBorders>
            <w:shd w:val="clear" w:color="auto" w:fill="auto"/>
            <w:vAlign w:val="center"/>
            <w:hideMark/>
          </w:tcPr>
          <w:p w:rsidR="009F3E70" w:rsidRDefault="009F3E70" w:rsidP="009F3E70">
            <w:pPr>
              <w:jc w:val="right"/>
              <w:rPr>
                <w:color w:val="000000"/>
                <w:sz w:val="20"/>
                <w:szCs w:val="20"/>
              </w:rPr>
            </w:pPr>
            <w:r>
              <w:rPr>
                <w:color w:val="000000"/>
                <w:sz w:val="20"/>
                <w:szCs w:val="20"/>
              </w:rPr>
              <w:t>2,989</w:t>
            </w:r>
          </w:p>
        </w:tc>
        <w:tc>
          <w:tcPr>
            <w:tcW w:w="1701" w:type="dxa"/>
            <w:tcBorders>
              <w:top w:val="single" w:sz="4" w:space="0" w:color="auto"/>
              <w:left w:val="nil"/>
              <w:bottom w:val="nil"/>
              <w:right w:val="single" w:sz="8" w:space="0" w:color="auto"/>
            </w:tcBorders>
            <w:shd w:val="clear" w:color="auto" w:fill="auto"/>
            <w:vAlign w:val="center"/>
          </w:tcPr>
          <w:p w:rsidR="009F3E70" w:rsidRDefault="009F3E70" w:rsidP="009F3E70">
            <w:pPr>
              <w:jc w:val="right"/>
              <w:rPr>
                <w:color w:val="000000"/>
                <w:sz w:val="20"/>
                <w:szCs w:val="20"/>
              </w:rPr>
            </w:pPr>
            <w:r>
              <w:rPr>
                <w:color w:val="000000"/>
                <w:sz w:val="20"/>
                <w:szCs w:val="20"/>
              </w:rPr>
              <w:t>3,196</w:t>
            </w:r>
          </w:p>
        </w:tc>
        <w:tc>
          <w:tcPr>
            <w:tcW w:w="1701" w:type="dxa"/>
            <w:tcBorders>
              <w:top w:val="single" w:sz="4" w:space="0" w:color="auto"/>
              <w:left w:val="nil"/>
              <w:bottom w:val="nil"/>
              <w:right w:val="single" w:sz="8" w:space="0" w:color="auto"/>
            </w:tcBorders>
            <w:shd w:val="clear" w:color="auto" w:fill="auto"/>
            <w:vAlign w:val="center"/>
          </w:tcPr>
          <w:p w:rsidR="009F3E70" w:rsidRDefault="009F3E70" w:rsidP="009F3E70">
            <w:pPr>
              <w:jc w:val="right"/>
              <w:rPr>
                <w:color w:val="000000"/>
                <w:sz w:val="20"/>
                <w:szCs w:val="20"/>
              </w:rPr>
            </w:pPr>
            <w:r>
              <w:rPr>
                <w:color w:val="000000"/>
                <w:sz w:val="20"/>
                <w:szCs w:val="20"/>
              </w:rPr>
              <w:t>3,766</w:t>
            </w:r>
          </w:p>
        </w:tc>
      </w:tr>
      <w:tr w:rsidR="009F3E70" w:rsidRPr="00595641" w:rsidTr="00FC4988">
        <w:trPr>
          <w:trHeight w:val="255"/>
          <w:jc w:val="center"/>
        </w:trPr>
        <w:tc>
          <w:tcPr>
            <w:tcW w:w="3566"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9F3E70" w:rsidRPr="00595641" w:rsidRDefault="009F3E70" w:rsidP="009F3E70">
            <w:pPr>
              <w:jc w:val="both"/>
              <w:rPr>
                <w:color w:val="000000"/>
                <w:sz w:val="20"/>
                <w:szCs w:val="20"/>
                <w:lang w:val="en-US"/>
              </w:rPr>
            </w:pPr>
            <w:r w:rsidRPr="00595641">
              <w:rPr>
                <w:color w:val="000000"/>
                <w:sz w:val="20"/>
                <w:szCs w:val="20"/>
                <w:lang w:val="en-US"/>
              </w:rPr>
              <w:t>Planned Care</w:t>
            </w:r>
          </w:p>
        </w:tc>
        <w:tc>
          <w:tcPr>
            <w:tcW w:w="1527" w:type="dxa"/>
            <w:tcBorders>
              <w:top w:val="single" w:sz="4" w:space="0" w:color="auto"/>
              <w:left w:val="nil"/>
              <w:bottom w:val="single" w:sz="4" w:space="0" w:color="auto"/>
              <w:right w:val="single" w:sz="8" w:space="0" w:color="auto"/>
            </w:tcBorders>
            <w:shd w:val="clear" w:color="auto" w:fill="auto"/>
            <w:vAlign w:val="center"/>
            <w:hideMark/>
          </w:tcPr>
          <w:p w:rsidR="009F3E70" w:rsidRDefault="009F3E70" w:rsidP="009F3E70">
            <w:pPr>
              <w:jc w:val="right"/>
              <w:rPr>
                <w:color w:val="000000"/>
                <w:sz w:val="20"/>
                <w:szCs w:val="20"/>
              </w:rPr>
            </w:pPr>
            <w:r>
              <w:rPr>
                <w:color w:val="000000"/>
                <w:sz w:val="20"/>
                <w:szCs w:val="20"/>
              </w:rPr>
              <w:t>115,125</w:t>
            </w:r>
          </w:p>
        </w:tc>
        <w:tc>
          <w:tcPr>
            <w:tcW w:w="1546" w:type="dxa"/>
            <w:tcBorders>
              <w:top w:val="single" w:sz="4" w:space="0" w:color="auto"/>
              <w:left w:val="nil"/>
              <w:bottom w:val="single" w:sz="4" w:space="0" w:color="auto"/>
              <w:right w:val="nil"/>
            </w:tcBorders>
            <w:shd w:val="clear" w:color="auto" w:fill="auto"/>
            <w:vAlign w:val="center"/>
            <w:hideMark/>
          </w:tcPr>
          <w:p w:rsidR="009F3E70" w:rsidRDefault="009F3E70" w:rsidP="009F3E70">
            <w:pPr>
              <w:jc w:val="right"/>
              <w:rPr>
                <w:color w:val="000000"/>
                <w:sz w:val="20"/>
                <w:szCs w:val="20"/>
              </w:rPr>
            </w:pPr>
            <w:r>
              <w:rPr>
                <w:color w:val="000000"/>
                <w:sz w:val="20"/>
                <w:szCs w:val="20"/>
              </w:rPr>
              <w:t>50</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F3E70" w:rsidRDefault="009F3E70" w:rsidP="009F3E70">
            <w:pPr>
              <w:jc w:val="right"/>
              <w:rPr>
                <w:color w:val="000000"/>
                <w:sz w:val="20"/>
                <w:szCs w:val="20"/>
              </w:rPr>
            </w:pPr>
            <w:r>
              <w:rPr>
                <w:color w:val="000000"/>
                <w:sz w:val="20"/>
                <w:szCs w:val="20"/>
              </w:rPr>
              <w:t>1,073</w:t>
            </w:r>
          </w:p>
        </w:tc>
        <w:tc>
          <w:tcPr>
            <w:tcW w:w="1701" w:type="dxa"/>
            <w:tcBorders>
              <w:top w:val="single" w:sz="4" w:space="0" w:color="auto"/>
              <w:left w:val="nil"/>
              <w:bottom w:val="single" w:sz="4" w:space="0" w:color="auto"/>
              <w:right w:val="single" w:sz="8" w:space="0" w:color="auto"/>
            </w:tcBorders>
            <w:shd w:val="clear" w:color="auto" w:fill="auto"/>
            <w:vAlign w:val="center"/>
          </w:tcPr>
          <w:p w:rsidR="009F3E70" w:rsidRDefault="009F3E70" w:rsidP="009F3E70">
            <w:pPr>
              <w:jc w:val="right"/>
              <w:rPr>
                <w:color w:val="000000"/>
                <w:sz w:val="20"/>
                <w:szCs w:val="20"/>
              </w:rPr>
            </w:pPr>
            <w:r>
              <w:rPr>
                <w:color w:val="000000"/>
                <w:sz w:val="20"/>
                <w:szCs w:val="20"/>
              </w:rPr>
              <w:t>1,139</w:t>
            </w:r>
          </w:p>
        </w:tc>
        <w:tc>
          <w:tcPr>
            <w:tcW w:w="1701" w:type="dxa"/>
            <w:tcBorders>
              <w:top w:val="single" w:sz="4" w:space="0" w:color="auto"/>
              <w:left w:val="nil"/>
              <w:bottom w:val="single" w:sz="4" w:space="0" w:color="auto"/>
              <w:right w:val="single" w:sz="8" w:space="0" w:color="auto"/>
            </w:tcBorders>
            <w:shd w:val="clear" w:color="auto" w:fill="auto"/>
            <w:vAlign w:val="center"/>
          </w:tcPr>
          <w:p w:rsidR="009F3E70" w:rsidRDefault="009F3E70" w:rsidP="009F3E70">
            <w:pPr>
              <w:jc w:val="right"/>
              <w:rPr>
                <w:color w:val="000000"/>
                <w:sz w:val="20"/>
                <w:szCs w:val="20"/>
              </w:rPr>
            </w:pPr>
            <w:r>
              <w:rPr>
                <w:color w:val="000000"/>
                <w:sz w:val="20"/>
                <w:szCs w:val="20"/>
              </w:rPr>
              <w:t>2,464</w:t>
            </w:r>
          </w:p>
        </w:tc>
      </w:tr>
      <w:tr w:rsidR="009F3E70" w:rsidRPr="00595641" w:rsidTr="00FC4988">
        <w:trPr>
          <w:trHeight w:val="255"/>
          <w:jc w:val="center"/>
        </w:trPr>
        <w:tc>
          <w:tcPr>
            <w:tcW w:w="3566" w:type="dxa"/>
            <w:tcBorders>
              <w:top w:val="single" w:sz="4" w:space="0" w:color="auto"/>
              <w:left w:val="single" w:sz="8" w:space="0" w:color="auto"/>
              <w:bottom w:val="single" w:sz="4" w:space="0" w:color="auto"/>
              <w:right w:val="single" w:sz="8" w:space="0" w:color="auto"/>
            </w:tcBorders>
            <w:shd w:val="clear" w:color="auto" w:fill="auto"/>
            <w:vAlign w:val="center"/>
          </w:tcPr>
          <w:p w:rsidR="009F3E70" w:rsidRPr="00595641" w:rsidRDefault="009F3E70" w:rsidP="009F3E70">
            <w:pPr>
              <w:jc w:val="both"/>
              <w:rPr>
                <w:color w:val="000000"/>
                <w:sz w:val="20"/>
                <w:szCs w:val="20"/>
                <w:lang w:val="en-US"/>
              </w:rPr>
            </w:pPr>
            <w:r w:rsidRPr="00595641">
              <w:rPr>
                <w:color w:val="000000"/>
                <w:sz w:val="20"/>
                <w:szCs w:val="20"/>
                <w:lang w:val="en-US"/>
              </w:rPr>
              <w:t>POW Delivery Unit</w:t>
            </w:r>
          </w:p>
        </w:tc>
        <w:tc>
          <w:tcPr>
            <w:tcW w:w="1527" w:type="dxa"/>
            <w:tcBorders>
              <w:top w:val="single" w:sz="4" w:space="0" w:color="auto"/>
              <w:left w:val="nil"/>
              <w:bottom w:val="single" w:sz="4" w:space="0" w:color="auto"/>
              <w:right w:val="single" w:sz="8" w:space="0" w:color="auto"/>
            </w:tcBorders>
            <w:shd w:val="clear" w:color="auto" w:fill="auto"/>
            <w:vAlign w:val="center"/>
          </w:tcPr>
          <w:p w:rsidR="009F3E70" w:rsidRDefault="009F3E70" w:rsidP="009F3E70">
            <w:pPr>
              <w:jc w:val="right"/>
              <w:rPr>
                <w:color w:val="000000"/>
                <w:sz w:val="20"/>
                <w:szCs w:val="20"/>
              </w:rPr>
            </w:pPr>
            <w:r>
              <w:rPr>
                <w:color w:val="000000"/>
                <w:sz w:val="20"/>
                <w:szCs w:val="20"/>
              </w:rPr>
              <w:t>101,217</w:t>
            </w:r>
          </w:p>
        </w:tc>
        <w:tc>
          <w:tcPr>
            <w:tcW w:w="1546" w:type="dxa"/>
            <w:tcBorders>
              <w:top w:val="single" w:sz="4" w:space="0" w:color="auto"/>
              <w:left w:val="nil"/>
              <w:bottom w:val="single" w:sz="4" w:space="0" w:color="auto"/>
              <w:right w:val="nil"/>
            </w:tcBorders>
            <w:shd w:val="clear" w:color="auto" w:fill="auto"/>
            <w:vAlign w:val="center"/>
          </w:tcPr>
          <w:p w:rsidR="009F3E70" w:rsidRDefault="009F3E70" w:rsidP="009F3E70">
            <w:pPr>
              <w:jc w:val="right"/>
              <w:rPr>
                <w:color w:val="000000"/>
                <w:sz w:val="20"/>
                <w:szCs w:val="20"/>
              </w:rPr>
            </w:pPr>
            <w:r>
              <w:rPr>
                <w:color w:val="000000"/>
                <w:sz w:val="20"/>
                <w:szCs w:val="20"/>
              </w:rPr>
              <w:t>614</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9F3E70" w:rsidRDefault="009F3E70" w:rsidP="009F3E70">
            <w:pPr>
              <w:jc w:val="right"/>
              <w:rPr>
                <w:color w:val="000000"/>
                <w:sz w:val="20"/>
                <w:szCs w:val="20"/>
              </w:rPr>
            </w:pPr>
            <w:r>
              <w:rPr>
                <w:color w:val="000000"/>
                <w:sz w:val="20"/>
                <w:szCs w:val="20"/>
              </w:rPr>
              <w:t>7,309</w:t>
            </w:r>
          </w:p>
        </w:tc>
        <w:tc>
          <w:tcPr>
            <w:tcW w:w="1701" w:type="dxa"/>
            <w:tcBorders>
              <w:top w:val="single" w:sz="4" w:space="0" w:color="auto"/>
              <w:left w:val="nil"/>
              <w:bottom w:val="single" w:sz="4" w:space="0" w:color="auto"/>
              <w:right w:val="single" w:sz="8" w:space="0" w:color="auto"/>
            </w:tcBorders>
            <w:shd w:val="clear" w:color="auto" w:fill="auto"/>
            <w:vAlign w:val="center"/>
          </w:tcPr>
          <w:p w:rsidR="009F3E70" w:rsidRDefault="009F3E70" w:rsidP="009F3E70">
            <w:pPr>
              <w:jc w:val="right"/>
              <w:rPr>
                <w:color w:val="000000"/>
                <w:sz w:val="20"/>
                <w:szCs w:val="20"/>
              </w:rPr>
            </w:pPr>
            <w:r>
              <w:rPr>
                <w:color w:val="000000"/>
                <w:sz w:val="20"/>
                <w:szCs w:val="20"/>
              </w:rPr>
              <w:t>8,186</w:t>
            </w:r>
          </w:p>
        </w:tc>
        <w:tc>
          <w:tcPr>
            <w:tcW w:w="1701" w:type="dxa"/>
            <w:tcBorders>
              <w:top w:val="single" w:sz="4" w:space="0" w:color="auto"/>
              <w:left w:val="nil"/>
              <w:bottom w:val="single" w:sz="4" w:space="0" w:color="auto"/>
              <w:right w:val="single" w:sz="8" w:space="0" w:color="auto"/>
            </w:tcBorders>
            <w:shd w:val="clear" w:color="auto" w:fill="auto"/>
            <w:vAlign w:val="center"/>
          </w:tcPr>
          <w:p w:rsidR="009F3E70" w:rsidRDefault="009F3E70" w:rsidP="009F3E70">
            <w:pPr>
              <w:jc w:val="right"/>
              <w:rPr>
                <w:color w:val="000000"/>
                <w:sz w:val="20"/>
                <w:szCs w:val="20"/>
              </w:rPr>
            </w:pPr>
            <w:r>
              <w:rPr>
                <w:color w:val="000000"/>
                <w:sz w:val="20"/>
                <w:szCs w:val="20"/>
              </w:rPr>
              <w:t>6,629</w:t>
            </w:r>
          </w:p>
        </w:tc>
      </w:tr>
      <w:tr w:rsidR="009F3E70" w:rsidRPr="00595641" w:rsidTr="00FC4988">
        <w:trPr>
          <w:trHeight w:val="255"/>
          <w:jc w:val="center"/>
        </w:trPr>
        <w:tc>
          <w:tcPr>
            <w:tcW w:w="3566" w:type="dxa"/>
            <w:tcBorders>
              <w:top w:val="nil"/>
              <w:left w:val="single" w:sz="8" w:space="0" w:color="auto"/>
              <w:bottom w:val="single" w:sz="4" w:space="0" w:color="auto"/>
              <w:right w:val="single" w:sz="8" w:space="0" w:color="auto"/>
            </w:tcBorders>
            <w:shd w:val="clear" w:color="auto" w:fill="auto"/>
            <w:vAlign w:val="center"/>
            <w:hideMark/>
          </w:tcPr>
          <w:p w:rsidR="009F3E70" w:rsidRPr="00595641" w:rsidRDefault="009F3E70" w:rsidP="009F3E70">
            <w:pPr>
              <w:jc w:val="both"/>
              <w:rPr>
                <w:color w:val="000000"/>
                <w:sz w:val="20"/>
                <w:szCs w:val="20"/>
                <w:lang w:val="en-US"/>
              </w:rPr>
            </w:pPr>
            <w:r w:rsidRPr="00595641">
              <w:rPr>
                <w:color w:val="000000"/>
                <w:sz w:val="20"/>
                <w:szCs w:val="20"/>
                <w:lang w:val="en-US"/>
              </w:rPr>
              <w:t xml:space="preserve">Clinical Support </w:t>
            </w:r>
          </w:p>
        </w:tc>
        <w:tc>
          <w:tcPr>
            <w:tcW w:w="1527" w:type="dxa"/>
            <w:tcBorders>
              <w:top w:val="nil"/>
              <w:left w:val="nil"/>
              <w:bottom w:val="single" w:sz="4" w:space="0" w:color="auto"/>
              <w:right w:val="single" w:sz="8" w:space="0" w:color="auto"/>
            </w:tcBorders>
            <w:shd w:val="clear" w:color="auto" w:fill="auto"/>
            <w:vAlign w:val="center"/>
            <w:hideMark/>
          </w:tcPr>
          <w:p w:rsidR="009F3E70" w:rsidRDefault="009F3E70" w:rsidP="009F3E70">
            <w:pPr>
              <w:jc w:val="right"/>
              <w:rPr>
                <w:color w:val="000000"/>
                <w:sz w:val="20"/>
                <w:szCs w:val="20"/>
              </w:rPr>
            </w:pPr>
            <w:r>
              <w:rPr>
                <w:color w:val="000000"/>
                <w:sz w:val="20"/>
                <w:szCs w:val="20"/>
              </w:rPr>
              <w:t>61,028</w:t>
            </w:r>
          </w:p>
        </w:tc>
        <w:tc>
          <w:tcPr>
            <w:tcW w:w="1546" w:type="dxa"/>
            <w:tcBorders>
              <w:top w:val="nil"/>
              <w:left w:val="nil"/>
              <w:bottom w:val="single" w:sz="4" w:space="0" w:color="auto"/>
              <w:right w:val="nil"/>
            </w:tcBorders>
            <w:shd w:val="clear" w:color="auto" w:fill="auto"/>
            <w:vAlign w:val="center"/>
            <w:hideMark/>
          </w:tcPr>
          <w:p w:rsidR="009F3E70" w:rsidRDefault="009F3E70" w:rsidP="009F3E70">
            <w:pPr>
              <w:jc w:val="right"/>
              <w:rPr>
                <w:color w:val="000000"/>
                <w:sz w:val="20"/>
                <w:szCs w:val="20"/>
              </w:rPr>
            </w:pPr>
            <w:r>
              <w:rPr>
                <w:color w:val="000000"/>
                <w:sz w:val="20"/>
                <w:szCs w:val="20"/>
              </w:rPr>
              <w:t>54</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9F3E70" w:rsidRDefault="009F3E70" w:rsidP="009F3E70">
            <w:pPr>
              <w:jc w:val="right"/>
              <w:rPr>
                <w:color w:val="000000"/>
                <w:sz w:val="20"/>
                <w:szCs w:val="20"/>
              </w:rPr>
            </w:pPr>
            <w:r>
              <w:rPr>
                <w:color w:val="000000"/>
                <w:sz w:val="20"/>
                <w:szCs w:val="20"/>
              </w:rPr>
              <w:t>1,566</w:t>
            </w:r>
          </w:p>
        </w:tc>
        <w:tc>
          <w:tcPr>
            <w:tcW w:w="1701" w:type="dxa"/>
            <w:tcBorders>
              <w:top w:val="nil"/>
              <w:left w:val="nil"/>
              <w:bottom w:val="single" w:sz="4" w:space="0" w:color="auto"/>
              <w:right w:val="single" w:sz="8" w:space="0" w:color="auto"/>
            </w:tcBorders>
            <w:shd w:val="clear" w:color="auto" w:fill="auto"/>
            <w:vAlign w:val="center"/>
          </w:tcPr>
          <w:p w:rsidR="009F3E70" w:rsidRDefault="009F3E70" w:rsidP="009F3E70">
            <w:pPr>
              <w:jc w:val="right"/>
              <w:rPr>
                <w:color w:val="000000"/>
                <w:sz w:val="20"/>
                <w:szCs w:val="20"/>
              </w:rPr>
            </w:pPr>
            <w:r>
              <w:rPr>
                <w:color w:val="000000"/>
                <w:sz w:val="20"/>
                <w:szCs w:val="20"/>
              </w:rPr>
              <w:t>2,012</w:t>
            </w:r>
          </w:p>
        </w:tc>
        <w:tc>
          <w:tcPr>
            <w:tcW w:w="1701" w:type="dxa"/>
            <w:tcBorders>
              <w:top w:val="nil"/>
              <w:left w:val="nil"/>
              <w:bottom w:val="single" w:sz="4" w:space="0" w:color="auto"/>
              <w:right w:val="single" w:sz="8" w:space="0" w:color="auto"/>
            </w:tcBorders>
            <w:shd w:val="clear" w:color="auto" w:fill="auto"/>
            <w:vAlign w:val="center"/>
          </w:tcPr>
          <w:p w:rsidR="009F3E70" w:rsidRDefault="009F3E70" w:rsidP="009F3E70">
            <w:pPr>
              <w:jc w:val="right"/>
              <w:rPr>
                <w:color w:val="000000"/>
                <w:sz w:val="20"/>
                <w:szCs w:val="20"/>
              </w:rPr>
            </w:pPr>
            <w:r>
              <w:rPr>
                <w:color w:val="000000"/>
                <w:sz w:val="20"/>
                <w:szCs w:val="20"/>
              </w:rPr>
              <w:t>2,277</w:t>
            </w:r>
          </w:p>
        </w:tc>
      </w:tr>
      <w:tr w:rsidR="009F3E70" w:rsidRPr="00595641" w:rsidTr="00FC4988">
        <w:trPr>
          <w:trHeight w:val="270"/>
          <w:jc w:val="center"/>
        </w:trPr>
        <w:tc>
          <w:tcPr>
            <w:tcW w:w="3566" w:type="dxa"/>
            <w:tcBorders>
              <w:top w:val="nil"/>
              <w:left w:val="single" w:sz="8" w:space="0" w:color="auto"/>
              <w:bottom w:val="single" w:sz="8" w:space="0" w:color="auto"/>
              <w:right w:val="single" w:sz="8" w:space="0" w:color="auto"/>
            </w:tcBorders>
            <w:shd w:val="clear" w:color="auto" w:fill="auto"/>
            <w:vAlign w:val="center"/>
            <w:hideMark/>
          </w:tcPr>
          <w:p w:rsidR="009F3E70" w:rsidRPr="00595641" w:rsidRDefault="009F3E70" w:rsidP="009F3E70">
            <w:pPr>
              <w:jc w:val="both"/>
              <w:rPr>
                <w:color w:val="000000"/>
                <w:sz w:val="20"/>
                <w:szCs w:val="20"/>
                <w:lang w:val="en-US"/>
              </w:rPr>
            </w:pPr>
            <w:r w:rsidRPr="00595641">
              <w:rPr>
                <w:color w:val="000000"/>
                <w:sz w:val="20"/>
                <w:szCs w:val="20"/>
                <w:lang w:val="en-US"/>
              </w:rPr>
              <w:t xml:space="preserve">Facilities </w:t>
            </w:r>
          </w:p>
        </w:tc>
        <w:tc>
          <w:tcPr>
            <w:tcW w:w="1527" w:type="dxa"/>
            <w:tcBorders>
              <w:top w:val="nil"/>
              <w:left w:val="nil"/>
              <w:bottom w:val="single" w:sz="8" w:space="0" w:color="auto"/>
              <w:right w:val="single" w:sz="8" w:space="0" w:color="auto"/>
            </w:tcBorders>
            <w:shd w:val="clear" w:color="auto" w:fill="auto"/>
            <w:vAlign w:val="center"/>
            <w:hideMark/>
          </w:tcPr>
          <w:p w:rsidR="009F3E70" w:rsidRDefault="009F3E70" w:rsidP="009F3E70">
            <w:pPr>
              <w:jc w:val="right"/>
              <w:rPr>
                <w:color w:val="000000"/>
                <w:sz w:val="20"/>
                <w:szCs w:val="20"/>
              </w:rPr>
            </w:pPr>
            <w:r>
              <w:rPr>
                <w:color w:val="000000"/>
                <w:sz w:val="20"/>
                <w:szCs w:val="20"/>
              </w:rPr>
              <w:t>37,188</w:t>
            </w:r>
          </w:p>
        </w:tc>
        <w:tc>
          <w:tcPr>
            <w:tcW w:w="1546" w:type="dxa"/>
            <w:tcBorders>
              <w:top w:val="nil"/>
              <w:left w:val="nil"/>
              <w:bottom w:val="single" w:sz="8" w:space="0" w:color="auto"/>
              <w:right w:val="nil"/>
            </w:tcBorders>
            <w:shd w:val="clear" w:color="auto" w:fill="auto"/>
            <w:vAlign w:val="center"/>
            <w:hideMark/>
          </w:tcPr>
          <w:p w:rsidR="009F3E70" w:rsidRDefault="009F3E70" w:rsidP="009F3E70">
            <w:pPr>
              <w:jc w:val="right"/>
              <w:rPr>
                <w:color w:val="000000"/>
                <w:sz w:val="20"/>
                <w:szCs w:val="20"/>
              </w:rPr>
            </w:pPr>
            <w:r>
              <w:rPr>
                <w:color w:val="000000"/>
                <w:sz w:val="20"/>
                <w:szCs w:val="20"/>
              </w:rPr>
              <w:t>156</w:t>
            </w:r>
          </w:p>
        </w:tc>
        <w:tc>
          <w:tcPr>
            <w:tcW w:w="1701" w:type="dxa"/>
            <w:tcBorders>
              <w:top w:val="nil"/>
              <w:left w:val="single" w:sz="4" w:space="0" w:color="auto"/>
              <w:bottom w:val="single" w:sz="8" w:space="0" w:color="auto"/>
              <w:right w:val="single" w:sz="4" w:space="0" w:color="auto"/>
            </w:tcBorders>
            <w:shd w:val="clear" w:color="auto" w:fill="auto"/>
            <w:vAlign w:val="center"/>
            <w:hideMark/>
          </w:tcPr>
          <w:p w:rsidR="009F3E70" w:rsidRDefault="009F3E70" w:rsidP="009F3E70">
            <w:pPr>
              <w:jc w:val="right"/>
              <w:rPr>
                <w:color w:val="000000"/>
                <w:sz w:val="20"/>
                <w:szCs w:val="20"/>
              </w:rPr>
            </w:pPr>
            <w:r>
              <w:rPr>
                <w:color w:val="000000"/>
                <w:sz w:val="20"/>
                <w:szCs w:val="20"/>
              </w:rPr>
              <w:t>1,868</w:t>
            </w:r>
          </w:p>
        </w:tc>
        <w:tc>
          <w:tcPr>
            <w:tcW w:w="1701" w:type="dxa"/>
            <w:tcBorders>
              <w:top w:val="nil"/>
              <w:left w:val="nil"/>
              <w:bottom w:val="single" w:sz="8" w:space="0" w:color="auto"/>
              <w:right w:val="single" w:sz="8" w:space="0" w:color="auto"/>
            </w:tcBorders>
            <w:shd w:val="clear" w:color="auto" w:fill="auto"/>
            <w:vAlign w:val="center"/>
          </w:tcPr>
          <w:p w:rsidR="009F3E70" w:rsidRDefault="009F3E70" w:rsidP="009F3E70">
            <w:pPr>
              <w:jc w:val="right"/>
              <w:rPr>
                <w:color w:val="000000"/>
                <w:sz w:val="20"/>
                <w:szCs w:val="20"/>
              </w:rPr>
            </w:pPr>
            <w:r>
              <w:rPr>
                <w:color w:val="000000"/>
                <w:sz w:val="20"/>
                <w:szCs w:val="20"/>
              </w:rPr>
              <w:t>2,129</w:t>
            </w:r>
          </w:p>
        </w:tc>
        <w:tc>
          <w:tcPr>
            <w:tcW w:w="1701" w:type="dxa"/>
            <w:tcBorders>
              <w:top w:val="nil"/>
              <w:left w:val="nil"/>
              <w:bottom w:val="single" w:sz="8" w:space="0" w:color="auto"/>
              <w:right w:val="single" w:sz="8" w:space="0" w:color="auto"/>
            </w:tcBorders>
            <w:shd w:val="clear" w:color="auto" w:fill="auto"/>
            <w:vAlign w:val="center"/>
          </w:tcPr>
          <w:p w:rsidR="009F3E70" w:rsidRDefault="009F3E70" w:rsidP="009F3E70">
            <w:pPr>
              <w:jc w:val="right"/>
              <w:rPr>
                <w:color w:val="000000"/>
                <w:sz w:val="20"/>
                <w:szCs w:val="20"/>
              </w:rPr>
            </w:pPr>
            <w:r>
              <w:rPr>
                <w:color w:val="000000"/>
                <w:sz w:val="20"/>
                <w:szCs w:val="20"/>
              </w:rPr>
              <w:t>1,645</w:t>
            </w:r>
          </w:p>
        </w:tc>
      </w:tr>
      <w:tr w:rsidR="009F3E70" w:rsidRPr="00595641" w:rsidTr="00790BE6">
        <w:trPr>
          <w:trHeight w:val="270"/>
          <w:jc w:val="center"/>
        </w:trPr>
        <w:tc>
          <w:tcPr>
            <w:tcW w:w="3566" w:type="dxa"/>
            <w:tcBorders>
              <w:top w:val="single" w:sz="8" w:space="0" w:color="auto"/>
              <w:left w:val="single" w:sz="8" w:space="0" w:color="auto"/>
              <w:bottom w:val="single" w:sz="8" w:space="0" w:color="auto"/>
              <w:right w:val="single" w:sz="8" w:space="0" w:color="auto"/>
            </w:tcBorders>
            <w:shd w:val="clear" w:color="000000" w:fill="8DB3E2" w:themeFill="text2" w:themeFillTint="66"/>
            <w:vAlign w:val="center"/>
            <w:hideMark/>
          </w:tcPr>
          <w:p w:rsidR="009F3E70" w:rsidRPr="00595641" w:rsidRDefault="009F3E70" w:rsidP="009F3E70">
            <w:pPr>
              <w:jc w:val="right"/>
              <w:rPr>
                <w:b/>
                <w:bCs/>
                <w:color w:val="000000"/>
                <w:sz w:val="20"/>
                <w:szCs w:val="20"/>
                <w:lang w:val="en-US"/>
              </w:rPr>
            </w:pPr>
            <w:r w:rsidRPr="00595641">
              <w:rPr>
                <w:b/>
                <w:bCs/>
                <w:color w:val="000000"/>
                <w:sz w:val="20"/>
                <w:szCs w:val="20"/>
                <w:lang w:val="en-US"/>
              </w:rPr>
              <w:t>Total COO</w:t>
            </w:r>
          </w:p>
        </w:tc>
        <w:tc>
          <w:tcPr>
            <w:tcW w:w="1527" w:type="dxa"/>
            <w:tcBorders>
              <w:top w:val="single" w:sz="8" w:space="0" w:color="auto"/>
              <w:left w:val="nil"/>
              <w:bottom w:val="single" w:sz="8" w:space="0" w:color="auto"/>
              <w:right w:val="single" w:sz="8" w:space="0" w:color="auto"/>
            </w:tcBorders>
            <w:shd w:val="clear" w:color="000000" w:fill="8DB3E2" w:themeFill="text2" w:themeFillTint="66"/>
            <w:vAlign w:val="center"/>
            <w:hideMark/>
          </w:tcPr>
          <w:p w:rsidR="009F3E70" w:rsidRDefault="009F3E70" w:rsidP="009F3E70">
            <w:pPr>
              <w:jc w:val="right"/>
              <w:rPr>
                <w:b/>
                <w:bCs/>
                <w:color w:val="000000"/>
                <w:sz w:val="20"/>
                <w:szCs w:val="20"/>
              </w:rPr>
            </w:pPr>
            <w:r>
              <w:rPr>
                <w:b/>
                <w:bCs/>
                <w:color w:val="000000"/>
                <w:sz w:val="20"/>
                <w:szCs w:val="20"/>
              </w:rPr>
              <w:t>403,746</w:t>
            </w:r>
          </w:p>
        </w:tc>
        <w:tc>
          <w:tcPr>
            <w:tcW w:w="1546" w:type="dxa"/>
            <w:tcBorders>
              <w:top w:val="single" w:sz="8" w:space="0" w:color="auto"/>
              <w:left w:val="nil"/>
              <w:bottom w:val="single" w:sz="8" w:space="0" w:color="auto"/>
              <w:right w:val="nil"/>
            </w:tcBorders>
            <w:shd w:val="clear" w:color="000000" w:fill="8DB3E2" w:themeFill="text2" w:themeFillTint="66"/>
            <w:vAlign w:val="center"/>
            <w:hideMark/>
          </w:tcPr>
          <w:p w:rsidR="009F3E70" w:rsidRDefault="009F3E70" w:rsidP="009F3E70">
            <w:pPr>
              <w:jc w:val="right"/>
              <w:rPr>
                <w:b/>
                <w:bCs/>
                <w:color w:val="000000"/>
                <w:sz w:val="20"/>
                <w:szCs w:val="20"/>
              </w:rPr>
            </w:pPr>
            <w:r>
              <w:rPr>
                <w:b/>
                <w:bCs/>
                <w:color w:val="000000"/>
                <w:sz w:val="20"/>
                <w:szCs w:val="20"/>
              </w:rPr>
              <w:t>1,054</w:t>
            </w:r>
          </w:p>
        </w:tc>
        <w:tc>
          <w:tcPr>
            <w:tcW w:w="1701"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9F3E70" w:rsidRDefault="009F3E70" w:rsidP="009F3E70">
            <w:pPr>
              <w:jc w:val="right"/>
              <w:rPr>
                <w:b/>
                <w:bCs/>
                <w:color w:val="000000"/>
                <w:sz w:val="20"/>
                <w:szCs w:val="20"/>
              </w:rPr>
            </w:pPr>
            <w:r>
              <w:rPr>
                <w:b/>
                <w:bCs/>
                <w:color w:val="000000"/>
                <w:sz w:val="20"/>
                <w:szCs w:val="20"/>
              </w:rPr>
              <w:t>14,804</w:t>
            </w:r>
          </w:p>
        </w:tc>
        <w:tc>
          <w:tcPr>
            <w:tcW w:w="1701" w:type="dxa"/>
            <w:tcBorders>
              <w:top w:val="single" w:sz="8" w:space="0" w:color="auto"/>
              <w:left w:val="nil"/>
              <w:bottom w:val="single" w:sz="8" w:space="0" w:color="auto"/>
              <w:right w:val="single" w:sz="8" w:space="0" w:color="auto"/>
            </w:tcBorders>
            <w:shd w:val="clear" w:color="000000" w:fill="8DB3E2" w:themeFill="text2" w:themeFillTint="66"/>
            <w:vAlign w:val="center"/>
          </w:tcPr>
          <w:p w:rsidR="009F3E70" w:rsidRDefault="009F3E70" w:rsidP="009F3E70">
            <w:pPr>
              <w:jc w:val="right"/>
              <w:rPr>
                <w:b/>
                <w:bCs/>
                <w:color w:val="000000"/>
                <w:sz w:val="20"/>
                <w:szCs w:val="20"/>
              </w:rPr>
            </w:pPr>
            <w:r>
              <w:rPr>
                <w:b/>
                <w:bCs/>
                <w:color w:val="000000"/>
                <w:sz w:val="20"/>
                <w:szCs w:val="20"/>
              </w:rPr>
              <w:t>16,662</w:t>
            </w:r>
          </w:p>
        </w:tc>
        <w:tc>
          <w:tcPr>
            <w:tcW w:w="1701" w:type="dxa"/>
            <w:tcBorders>
              <w:top w:val="single" w:sz="8" w:space="0" w:color="auto"/>
              <w:left w:val="nil"/>
              <w:bottom w:val="single" w:sz="8" w:space="0" w:color="auto"/>
              <w:right w:val="single" w:sz="8" w:space="0" w:color="auto"/>
            </w:tcBorders>
            <w:shd w:val="clear" w:color="000000" w:fill="8DB3E2" w:themeFill="text2" w:themeFillTint="66"/>
            <w:vAlign w:val="center"/>
          </w:tcPr>
          <w:p w:rsidR="009F3E70" w:rsidRDefault="009F3E70" w:rsidP="009F3E70">
            <w:pPr>
              <w:jc w:val="right"/>
              <w:rPr>
                <w:b/>
                <w:bCs/>
                <w:color w:val="000000"/>
                <w:sz w:val="20"/>
                <w:szCs w:val="20"/>
              </w:rPr>
            </w:pPr>
            <w:r>
              <w:rPr>
                <w:b/>
                <w:bCs/>
                <w:color w:val="000000"/>
                <w:sz w:val="20"/>
                <w:szCs w:val="20"/>
              </w:rPr>
              <w:t>16,780</w:t>
            </w:r>
          </w:p>
        </w:tc>
      </w:tr>
      <w:tr w:rsidR="009F3E70" w:rsidRPr="00595641" w:rsidTr="00790BE6">
        <w:trPr>
          <w:trHeight w:val="255"/>
          <w:jc w:val="center"/>
        </w:trPr>
        <w:tc>
          <w:tcPr>
            <w:tcW w:w="3566" w:type="dxa"/>
            <w:tcBorders>
              <w:top w:val="nil"/>
              <w:left w:val="single" w:sz="8" w:space="0" w:color="auto"/>
              <w:bottom w:val="nil"/>
              <w:right w:val="single" w:sz="8" w:space="0" w:color="auto"/>
            </w:tcBorders>
            <w:shd w:val="clear" w:color="auto" w:fill="auto"/>
            <w:vAlign w:val="center"/>
            <w:hideMark/>
          </w:tcPr>
          <w:p w:rsidR="009F3E70" w:rsidRPr="00595641" w:rsidRDefault="009F3E70" w:rsidP="009F3E70">
            <w:pPr>
              <w:jc w:val="both"/>
              <w:rPr>
                <w:b/>
                <w:bCs/>
                <w:color w:val="000000"/>
                <w:sz w:val="20"/>
                <w:szCs w:val="20"/>
                <w:lang w:val="en-US"/>
              </w:rPr>
            </w:pPr>
            <w:r w:rsidRPr="00595641">
              <w:rPr>
                <w:b/>
                <w:bCs/>
                <w:color w:val="000000"/>
                <w:sz w:val="20"/>
                <w:szCs w:val="20"/>
                <w:lang w:val="en-US"/>
              </w:rPr>
              <w:t>PCMH:</w:t>
            </w:r>
          </w:p>
        </w:tc>
        <w:tc>
          <w:tcPr>
            <w:tcW w:w="1527" w:type="dxa"/>
            <w:tcBorders>
              <w:top w:val="nil"/>
              <w:left w:val="nil"/>
              <w:bottom w:val="nil"/>
              <w:right w:val="single" w:sz="8" w:space="0" w:color="auto"/>
            </w:tcBorders>
            <w:shd w:val="clear" w:color="auto" w:fill="auto"/>
            <w:vAlign w:val="center"/>
            <w:hideMark/>
          </w:tcPr>
          <w:p w:rsidR="009F3E70" w:rsidRDefault="009F3E70" w:rsidP="009F3E70">
            <w:pPr>
              <w:jc w:val="right"/>
              <w:rPr>
                <w:b/>
                <w:bCs/>
                <w:color w:val="000000"/>
                <w:sz w:val="20"/>
                <w:szCs w:val="20"/>
              </w:rPr>
            </w:pPr>
            <w:r>
              <w:rPr>
                <w:b/>
                <w:bCs/>
                <w:color w:val="000000"/>
                <w:sz w:val="20"/>
                <w:szCs w:val="20"/>
              </w:rPr>
              <w:t> </w:t>
            </w:r>
          </w:p>
        </w:tc>
        <w:tc>
          <w:tcPr>
            <w:tcW w:w="1546" w:type="dxa"/>
            <w:tcBorders>
              <w:top w:val="nil"/>
              <w:left w:val="nil"/>
              <w:bottom w:val="nil"/>
              <w:right w:val="nil"/>
            </w:tcBorders>
            <w:shd w:val="clear" w:color="auto" w:fill="auto"/>
            <w:vAlign w:val="center"/>
            <w:hideMark/>
          </w:tcPr>
          <w:p w:rsidR="009F3E70" w:rsidRDefault="009F3E70" w:rsidP="009F3E70">
            <w:pPr>
              <w:jc w:val="right"/>
              <w:rPr>
                <w:b/>
                <w:bCs/>
                <w:color w:val="000000"/>
                <w:sz w:val="20"/>
                <w:szCs w:val="20"/>
              </w:rPr>
            </w:pPr>
            <w:r>
              <w:rPr>
                <w:b/>
                <w:bCs/>
                <w:color w:val="000000"/>
                <w:sz w:val="20"/>
                <w:szCs w:val="20"/>
              </w:rPr>
              <w:t> </w:t>
            </w:r>
          </w:p>
        </w:tc>
        <w:tc>
          <w:tcPr>
            <w:tcW w:w="1701" w:type="dxa"/>
            <w:tcBorders>
              <w:top w:val="nil"/>
              <w:left w:val="single" w:sz="4" w:space="0" w:color="auto"/>
              <w:bottom w:val="nil"/>
              <w:right w:val="single" w:sz="4" w:space="0" w:color="auto"/>
            </w:tcBorders>
            <w:shd w:val="clear" w:color="auto" w:fill="auto"/>
            <w:vAlign w:val="center"/>
            <w:hideMark/>
          </w:tcPr>
          <w:p w:rsidR="009F3E70" w:rsidRDefault="009F3E70" w:rsidP="009F3E70">
            <w:pPr>
              <w:jc w:val="right"/>
              <w:rPr>
                <w:b/>
                <w:bCs/>
                <w:color w:val="000000"/>
                <w:sz w:val="20"/>
                <w:szCs w:val="20"/>
              </w:rPr>
            </w:pPr>
            <w:r>
              <w:rPr>
                <w:b/>
                <w:bCs/>
                <w:color w:val="000000"/>
                <w:sz w:val="20"/>
                <w:szCs w:val="20"/>
              </w:rPr>
              <w:t> </w:t>
            </w:r>
          </w:p>
        </w:tc>
        <w:tc>
          <w:tcPr>
            <w:tcW w:w="1701" w:type="dxa"/>
            <w:tcBorders>
              <w:top w:val="nil"/>
              <w:left w:val="nil"/>
              <w:bottom w:val="nil"/>
              <w:right w:val="single" w:sz="8" w:space="0" w:color="auto"/>
            </w:tcBorders>
            <w:shd w:val="clear" w:color="auto" w:fill="auto"/>
            <w:vAlign w:val="center"/>
          </w:tcPr>
          <w:p w:rsidR="009F3E70" w:rsidRDefault="009F3E70" w:rsidP="009F3E70">
            <w:pPr>
              <w:jc w:val="right"/>
              <w:rPr>
                <w:b/>
                <w:bCs/>
                <w:color w:val="000000"/>
                <w:sz w:val="20"/>
                <w:szCs w:val="20"/>
              </w:rPr>
            </w:pPr>
            <w:r>
              <w:rPr>
                <w:b/>
                <w:bCs/>
                <w:color w:val="000000"/>
                <w:sz w:val="20"/>
                <w:szCs w:val="20"/>
              </w:rPr>
              <w:t> </w:t>
            </w:r>
          </w:p>
        </w:tc>
        <w:tc>
          <w:tcPr>
            <w:tcW w:w="1701" w:type="dxa"/>
            <w:tcBorders>
              <w:top w:val="nil"/>
              <w:left w:val="nil"/>
              <w:bottom w:val="nil"/>
              <w:right w:val="single" w:sz="8" w:space="0" w:color="auto"/>
            </w:tcBorders>
            <w:vAlign w:val="center"/>
          </w:tcPr>
          <w:p w:rsidR="009F3E70" w:rsidRDefault="009F3E70" w:rsidP="009F3E70">
            <w:pPr>
              <w:jc w:val="right"/>
              <w:rPr>
                <w:b/>
                <w:bCs/>
                <w:color w:val="000000"/>
                <w:sz w:val="20"/>
                <w:szCs w:val="20"/>
              </w:rPr>
            </w:pPr>
            <w:r>
              <w:rPr>
                <w:b/>
                <w:bCs/>
                <w:color w:val="000000"/>
                <w:sz w:val="20"/>
                <w:szCs w:val="20"/>
              </w:rPr>
              <w:t> </w:t>
            </w:r>
          </w:p>
        </w:tc>
      </w:tr>
      <w:tr w:rsidR="009F3E70" w:rsidRPr="00595641" w:rsidTr="00FC4988">
        <w:trPr>
          <w:trHeight w:val="255"/>
          <w:jc w:val="center"/>
        </w:trPr>
        <w:tc>
          <w:tcPr>
            <w:tcW w:w="3566"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9F3E70" w:rsidRPr="00595641" w:rsidRDefault="009F3E70" w:rsidP="009F3E70">
            <w:pPr>
              <w:rPr>
                <w:color w:val="000000"/>
                <w:sz w:val="20"/>
                <w:szCs w:val="20"/>
                <w:lang w:val="en-US"/>
              </w:rPr>
            </w:pPr>
            <w:r w:rsidRPr="00595641">
              <w:rPr>
                <w:color w:val="000000"/>
                <w:sz w:val="20"/>
                <w:szCs w:val="20"/>
                <w:lang w:val="en-US"/>
              </w:rPr>
              <w:t xml:space="preserve">Primary &amp; Community </w:t>
            </w:r>
          </w:p>
        </w:tc>
        <w:tc>
          <w:tcPr>
            <w:tcW w:w="1527" w:type="dxa"/>
            <w:tcBorders>
              <w:top w:val="single" w:sz="4" w:space="0" w:color="auto"/>
              <w:left w:val="nil"/>
              <w:bottom w:val="single" w:sz="4" w:space="0" w:color="auto"/>
              <w:right w:val="single" w:sz="8" w:space="0" w:color="auto"/>
            </w:tcBorders>
            <w:shd w:val="clear" w:color="auto" w:fill="auto"/>
            <w:vAlign w:val="center"/>
            <w:hideMark/>
          </w:tcPr>
          <w:p w:rsidR="009F3E70" w:rsidRDefault="009F3E70" w:rsidP="009F3E70">
            <w:pPr>
              <w:jc w:val="right"/>
              <w:rPr>
                <w:color w:val="000000"/>
                <w:sz w:val="20"/>
                <w:szCs w:val="20"/>
              </w:rPr>
            </w:pPr>
            <w:r>
              <w:rPr>
                <w:color w:val="000000"/>
                <w:sz w:val="20"/>
                <w:szCs w:val="20"/>
              </w:rPr>
              <w:t>223,069</w:t>
            </w:r>
          </w:p>
        </w:tc>
        <w:tc>
          <w:tcPr>
            <w:tcW w:w="1546" w:type="dxa"/>
            <w:tcBorders>
              <w:top w:val="single" w:sz="4" w:space="0" w:color="auto"/>
              <w:left w:val="nil"/>
              <w:bottom w:val="single" w:sz="4" w:space="0" w:color="auto"/>
              <w:right w:val="nil"/>
            </w:tcBorders>
            <w:shd w:val="clear" w:color="auto" w:fill="auto"/>
            <w:vAlign w:val="center"/>
            <w:hideMark/>
          </w:tcPr>
          <w:p w:rsidR="009F3E70" w:rsidRDefault="009F3E70" w:rsidP="009F3E70">
            <w:pPr>
              <w:jc w:val="right"/>
              <w:rPr>
                <w:color w:val="000000"/>
                <w:sz w:val="20"/>
                <w:szCs w:val="20"/>
              </w:rPr>
            </w:pPr>
            <w:r>
              <w:rPr>
                <w:color w:val="FF0000"/>
                <w:sz w:val="20"/>
                <w:szCs w:val="20"/>
              </w:rPr>
              <w:t>(319)</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F3E70" w:rsidRDefault="009F3E70" w:rsidP="009F3E70">
            <w:pPr>
              <w:jc w:val="right"/>
              <w:rPr>
                <w:color w:val="000000"/>
                <w:sz w:val="20"/>
                <w:szCs w:val="20"/>
              </w:rPr>
            </w:pPr>
            <w:r>
              <w:rPr>
                <w:color w:val="000000"/>
                <w:sz w:val="20"/>
                <w:szCs w:val="20"/>
              </w:rPr>
              <w:t>1,221</w:t>
            </w:r>
          </w:p>
        </w:tc>
        <w:tc>
          <w:tcPr>
            <w:tcW w:w="1701" w:type="dxa"/>
            <w:tcBorders>
              <w:top w:val="single" w:sz="4" w:space="0" w:color="auto"/>
              <w:left w:val="nil"/>
              <w:bottom w:val="single" w:sz="4" w:space="0" w:color="auto"/>
              <w:right w:val="single" w:sz="8" w:space="0" w:color="auto"/>
            </w:tcBorders>
            <w:shd w:val="clear" w:color="auto" w:fill="auto"/>
            <w:vAlign w:val="center"/>
          </w:tcPr>
          <w:p w:rsidR="009F3E70" w:rsidRDefault="009F3E70" w:rsidP="009F3E70">
            <w:pPr>
              <w:jc w:val="right"/>
              <w:rPr>
                <w:color w:val="000000"/>
                <w:sz w:val="20"/>
                <w:szCs w:val="20"/>
              </w:rPr>
            </w:pPr>
            <w:r>
              <w:rPr>
                <w:color w:val="000000"/>
                <w:sz w:val="20"/>
                <w:szCs w:val="20"/>
              </w:rPr>
              <w:t>1,388</w:t>
            </w:r>
          </w:p>
        </w:tc>
        <w:tc>
          <w:tcPr>
            <w:tcW w:w="1701" w:type="dxa"/>
            <w:tcBorders>
              <w:top w:val="single" w:sz="4" w:space="0" w:color="auto"/>
              <w:left w:val="nil"/>
              <w:bottom w:val="single" w:sz="4" w:space="0" w:color="auto"/>
              <w:right w:val="single" w:sz="8" w:space="0" w:color="auto"/>
            </w:tcBorders>
            <w:shd w:val="clear" w:color="auto" w:fill="auto"/>
            <w:vAlign w:val="center"/>
          </w:tcPr>
          <w:p w:rsidR="009F3E70" w:rsidRDefault="009F3E70" w:rsidP="009F3E70">
            <w:pPr>
              <w:jc w:val="right"/>
              <w:rPr>
                <w:color w:val="000000"/>
                <w:sz w:val="20"/>
                <w:szCs w:val="20"/>
              </w:rPr>
            </w:pPr>
            <w:r>
              <w:rPr>
                <w:color w:val="000000"/>
                <w:sz w:val="20"/>
                <w:szCs w:val="20"/>
              </w:rPr>
              <w:t>2,915</w:t>
            </w:r>
          </w:p>
        </w:tc>
      </w:tr>
      <w:tr w:rsidR="009F3E70" w:rsidRPr="00595641" w:rsidTr="00FC4988">
        <w:trPr>
          <w:trHeight w:val="255"/>
          <w:jc w:val="center"/>
        </w:trPr>
        <w:tc>
          <w:tcPr>
            <w:tcW w:w="3566" w:type="dxa"/>
            <w:tcBorders>
              <w:top w:val="nil"/>
              <w:left w:val="single" w:sz="8" w:space="0" w:color="auto"/>
              <w:bottom w:val="single" w:sz="4" w:space="0" w:color="auto"/>
              <w:right w:val="single" w:sz="8" w:space="0" w:color="auto"/>
            </w:tcBorders>
            <w:shd w:val="clear" w:color="auto" w:fill="auto"/>
            <w:vAlign w:val="center"/>
            <w:hideMark/>
          </w:tcPr>
          <w:p w:rsidR="009F3E70" w:rsidRPr="00595641" w:rsidRDefault="009F3E70" w:rsidP="009F3E70">
            <w:pPr>
              <w:jc w:val="both"/>
              <w:rPr>
                <w:color w:val="000000"/>
                <w:sz w:val="20"/>
                <w:szCs w:val="20"/>
                <w:lang w:val="en-US"/>
              </w:rPr>
            </w:pPr>
            <w:r w:rsidRPr="00595641">
              <w:rPr>
                <w:color w:val="000000"/>
                <w:sz w:val="20"/>
                <w:szCs w:val="20"/>
                <w:lang w:val="en-US"/>
              </w:rPr>
              <w:t>Mental Health</w:t>
            </w:r>
          </w:p>
        </w:tc>
        <w:tc>
          <w:tcPr>
            <w:tcW w:w="1527" w:type="dxa"/>
            <w:tcBorders>
              <w:top w:val="nil"/>
              <w:left w:val="nil"/>
              <w:bottom w:val="single" w:sz="4" w:space="0" w:color="auto"/>
              <w:right w:val="single" w:sz="8" w:space="0" w:color="auto"/>
            </w:tcBorders>
            <w:shd w:val="clear" w:color="auto" w:fill="auto"/>
            <w:vAlign w:val="center"/>
            <w:hideMark/>
          </w:tcPr>
          <w:p w:rsidR="009F3E70" w:rsidRDefault="009F3E70" w:rsidP="009F3E70">
            <w:pPr>
              <w:jc w:val="right"/>
              <w:rPr>
                <w:color w:val="000000"/>
                <w:sz w:val="20"/>
                <w:szCs w:val="20"/>
              </w:rPr>
            </w:pPr>
            <w:r>
              <w:rPr>
                <w:color w:val="000000"/>
                <w:sz w:val="20"/>
                <w:szCs w:val="20"/>
              </w:rPr>
              <w:t>78,295</w:t>
            </w:r>
          </w:p>
        </w:tc>
        <w:tc>
          <w:tcPr>
            <w:tcW w:w="1546" w:type="dxa"/>
            <w:tcBorders>
              <w:top w:val="nil"/>
              <w:left w:val="nil"/>
              <w:bottom w:val="single" w:sz="4" w:space="0" w:color="auto"/>
              <w:right w:val="nil"/>
            </w:tcBorders>
            <w:shd w:val="clear" w:color="auto" w:fill="auto"/>
            <w:vAlign w:val="center"/>
            <w:hideMark/>
          </w:tcPr>
          <w:p w:rsidR="009F3E70" w:rsidRDefault="009F3E70" w:rsidP="009F3E70">
            <w:pPr>
              <w:jc w:val="right"/>
              <w:rPr>
                <w:color w:val="000000"/>
                <w:sz w:val="20"/>
                <w:szCs w:val="20"/>
              </w:rPr>
            </w:pPr>
            <w:r>
              <w:rPr>
                <w:color w:val="FF0000"/>
                <w:sz w:val="20"/>
                <w:szCs w:val="20"/>
              </w:rPr>
              <w:t>(258)</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9F3E70" w:rsidRDefault="009F3E70" w:rsidP="009F3E70">
            <w:pPr>
              <w:jc w:val="right"/>
              <w:rPr>
                <w:color w:val="000000"/>
                <w:sz w:val="20"/>
                <w:szCs w:val="20"/>
              </w:rPr>
            </w:pPr>
            <w:r>
              <w:rPr>
                <w:color w:val="FF0000"/>
                <w:sz w:val="20"/>
                <w:szCs w:val="20"/>
              </w:rPr>
              <w:t>(1,101)</w:t>
            </w:r>
          </w:p>
        </w:tc>
        <w:tc>
          <w:tcPr>
            <w:tcW w:w="1701" w:type="dxa"/>
            <w:tcBorders>
              <w:top w:val="nil"/>
              <w:left w:val="nil"/>
              <w:bottom w:val="single" w:sz="4" w:space="0" w:color="auto"/>
              <w:right w:val="single" w:sz="8" w:space="0" w:color="auto"/>
            </w:tcBorders>
            <w:shd w:val="clear" w:color="auto" w:fill="auto"/>
            <w:vAlign w:val="center"/>
          </w:tcPr>
          <w:p w:rsidR="009F3E70" w:rsidRDefault="009F3E70" w:rsidP="009F3E70">
            <w:pPr>
              <w:jc w:val="right"/>
              <w:rPr>
                <w:color w:val="000000"/>
                <w:sz w:val="20"/>
                <w:szCs w:val="20"/>
              </w:rPr>
            </w:pPr>
            <w:r>
              <w:rPr>
                <w:color w:val="FF0000"/>
                <w:sz w:val="20"/>
                <w:szCs w:val="20"/>
              </w:rPr>
              <w:t>(1,048)</w:t>
            </w:r>
          </w:p>
        </w:tc>
        <w:tc>
          <w:tcPr>
            <w:tcW w:w="1701" w:type="dxa"/>
            <w:tcBorders>
              <w:top w:val="nil"/>
              <w:left w:val="nil"/>
              <w:bottom w:val="single" w:sz="4" w:space="0" w:color="auto"/>
              <w:right w:val="single" w:sz="8" w:space="0" w:color="auto"/>
            </w:tcBorders>
            <w:shd w:val="clear" w:color="auto" w:fill="auto"/>
            <w:vAlign w:val="center"/>
          </w:tcPr>
          <w:p w:rsidR="009F3E70" w:rsidRDefault="009F3E70" w:rsidP="009F3E70">
            <w:pPr>
              <w:jc w:val="right"/>
              <w:rPr>
                <w:color w:val="000000"/>
                <w:sz w:val="20"/>
                <w:szCs w:val="20"/>
              </w:rPr>
            </w:pPr>
            <w:r>
              <w:rPr>
                <w:color w:val="000000"/>
                <w:sz w:val="20"/>
                <w:szCs w:val="20"/>
              </w:rPr>
              <w:t>718</w:t>
            </w:r>
          </w:p>
        </w:tc>
      </w:tr>
      <w:tr w:rsidR="009F3E70" w:rsidRPr="00595641" w:rsidTr="00FC4988">
        <w:trPr>
          <w:trHeight w:val="270"/>
          <w:jc w:val="center"/>
        </w:trPr>
        <w:tc>
          <w:tcPr>
            <w:tcW w:w="3566" w:type="dxa"/>
            <w:tcBorders>
              <w:top w:val="nil"/>
              <w:left w:val="single" w:sz="8" w:space="0" w:color="auto"/>
              <w:bottom w:val="single" w:sz="8" w:space="0" w:color="auto"/>
              <w:right w:val="single" w:sz="8" w:space="0" w:color="auto"/>
            </w:tcBorders>
            <w:shd w:val="clear" w:color="auto" w:fill="auto"/>
            <w:vAlign w:val="center"/>
            <w:hideMark/>
          </w:tcPr>
          <w:p w:rsidR="009F3E70" w:rsidRPr="00595641" w:rsidRDefault="009F3E70" w:rsidP="009F3E70">
            <w:pPr>
              <w:jc w:val="both"/>
              <w:rPr>
                <w:color w:val="000000"/>
                <w:sz w:val="20"/>
                <w:szCs w:val="20"/>
                <w:lang w:val="en-US"/>
              </w:rPr>
            </w:pPr>
            <w:r w:rsidRPr="00595641">
              <w:rPr>
                <w:color w:val="000000"/>
                <w:sz w:val="20"/>
                <w:szCs w:val="20"/>
                <w:lang w:val="en-US"/>
              </w:rPr>
              <w:t>Medicines Management</w:t>
            </w:r>
          </w:p>
        </w:tc>
        <w:tc>
          <w:tcPr>
            <w:tcW w:w="1527" w:type="dxa"/>
            <w:tcBorders>
              <w:top w:val="nil"/>
              <w:left w:val="nil"/>
              <w:bottom w:val="single" w:sz="8" w:space="0" w:color="auto"/>
              <w:right w:val="single" w:sz="8" w:space="0" w:color="auto"/>
            </w:tcBorders>
            <w:shd w:val="clear" w:color="auto" w:fill="auto"/>
            <w:vAlign w:val="center"/>
            <w:hideMark/>
          </w:tcPr>
          <w:p w:rsidR="009F3E70" w:rsidRDefault="009F3E70" w:rsidP="009F3E70">
            <w:pPr>
              <w:jc w:val="right"/>
              <w:rPr>
                <w:color w:val="000000"/>
                <w:sz w:val="20"/>
                <w:szCs w:val="20"/>
              </w:rPr>
            </w:pPr>
            <w:r>
              <w:rPr>
                <w:color w:val="000000"/>
                <w:sz w:val="20"/>
                <w:szCs w:val="20"/>
              </w:rPr>
              <w:t>123,798</w:t>
            </w:r>
          </w:p>
        </w:tc>
        <w:tc>
          <w:tcPr>
            <w:tcW w:w="1546" w:type="dxa"/>
            <w:tcBorders>
              <w:top w:val="nil"/>
              <w:left w:val="nil"/>
              <w:bottom w:val="single" w:sz="8" w:space="0" w:color="auto"/>
              <w:right w:val="nil"/>
            </w:tcBorders>
            <w:shd w:val="clear" w:color="auto" w:fill="auto"/>
            <w:vAlign w:val="center"/>
            <w:hideMark/>
          </w:tcPr>
          <w:p w:rsidR="009F3E70" w:rsidRDefault="009F3E70" w:rsidP="009F3E70">
            <w:pPr>
              <w:jc w:val="right"/>
              <w:rPr>
                <w:color w:val="000000"/>
                <w:sz w:val="20"/>
                <w:szCs w:val="20"/>
              </w:rPr>
            </w:pPr>
            <w:r>
              <w:rPr>
                <w:color w:val="000000"/>
                <w:sz w:val="20"/>
                <w:szCs w:val="20"/>
              </w:rPr>
              <w:t>381</w:t>
            </w:r>
          </w:p>
        </w:tc>
        <w:tc>
          <w:tcPr>
            <w:tcW w:w="1701" w:type="dxa"/>
            <w:tcBorders>
              <w:top w:val="nil"/>
              <w:left w:val="single" w:sz="4" w:space="0" w:color="auto"/>
              <w:bottom w:val="single" w:sz="8" w:space="0" w:color="auto"/>
              <w:right w:val="single" w:sz="4" w:space="0" w:color="auto"/>
            </w:tcBorders>
            <w:shd w:val="clear" w:color="auto" w:fill="auto"/>
            <w:vAlign w:val="center"/>
            <w:hideMark/>
          </w:tcPr>
          <w:p w:rsidR="009F3E70" w:rsidRDefault="009F3E70" w:rsidP="009F3E70">
            <w:pPr>
              <w:jc w:val="right"/>
              <w:rPr>
                <w:color w:val="000000"/>
                <w:sz w:val="20"/>
                <w:szCs w:val="20"/>
              </w:rPr>
            </w:pPr>
            <w:r>
              <w:rPr>
                <w:color w:val="000000"/>
                <w:sz w:val="20"/>
                <w:szCs w:val="20"/>
              </w:rPr>
              <w:t>2,048</w:t>
            </w:r>
          </w:p>
        </w:tc>
        <w:tc>
          <w:tcPr>
            <w:tcW w:w="1701" w:type="dxa"/>
            <w:tcBorders>
              <w:top w:val="nil"/>
              <w:left w:val="nil"/>
              <w:bottom w:val="single" w:sz="8" w:space="0" w:color="auto"/>
              <w:right w:val="single" w:sz="8" w:space="0" w:color="auto"/>
            </w:tcBorders>
            <w:shd w:val="clear" w:color="auto" w:fill="auto"/>
            <w:vAlign w:val="center"/>
          </w:tcPr>
          <w:p w:rsidR="009F3E70" w:rsidRDefault="009F3E70" w:rsidP="009F3E70">
            <w:pPr>
              <w:jc w:val="right"/>
              <w:rPr>
                <w:color w:val="000000"/>
                <w:sz w:val="20"/>
                <w:szCs w:val="20"/>
              </w:rPr>
            </w:pPr>
            <w:r>
              <w:rPr>
                <w:color w:val="000000"/>
                <w:sz w:val="20"/>
                <w:szCs w:val="20"/>
              </w:rPr>
              <w:t>2,059</w:t>
            </w:r>
          </w:p>
        </w:tc>
        <w:tc>
          <w:tcPr>
            <w:tcW w:w="1701" w:type="dxa"/>
            <w:tcBorders>
              <w:top w:val="nil"/>
              <w:left w:val="nil"/>
              <w:bottom w:val="single" w:sz="8" w:space="0" w:color="auto"/>
              <w:right w:val="single" w:sz="8" w:space="0" w:color="auto"/>
            </w:tcBorders>
            <w:shd w:val="clear" w:color="auto" w:fill="auto"/>
            <w:vAlign w:val="center"/>
          </w:tcPr>
          <w:p w:rsidR="009F3E70" w:rsidRDefault="009F3E70" w:rsidP="009F3E70">
            <w:pPr>
              <w:jc w:val="right"/>
              <w:rPr>
                <w:color w:val="000000"/>
                <w:sz w:val="20"/>
                <w:szCs w:val="20"/>
              </w:rPr>
            </w:pPr>
            <w:r>
              <w:rPr>
                <w:color w:val="000000"/>
                <w:sz w:val="20"/>
                <w:szCs w:val="20"/>
              </w:rPr>
              <w:t>1,937</w:t>
            </w:r>
          </w:p>
        </w:tc>
      </w:tr>
      <w:tr w:rsidR="009F3E70" w:rsidRPr="00595641" w:rsidTr="00790BE6">
        <w:trPr>
          <w:trHeight w:val="270"/>
          <w:jc w:val="center"/>
        </w:trPr>
        <w:tc>
          <w:tcPr>
            <w:tcW w:w="3566" w:type="dxa"/>
            <w:tcBorders>
              <w:top w:val="single" w:sz="8" w:space="0" w:color="auto"/>
              <w:left w:val="single" w:sz="8" w:space="0" w:color="auto"/>
              <w:bottom w:val="single" w:sz="8" w:space="0" w:color="auto"/>
              <w:right w:val="single" w:sz="8" w:space="0" w:color="auto"/>
            </w:tcBorders>
            <w:shd w:val="clear" w:color="000000" w:fill="8DB3E2" w:themeFill="text2" w:themeFillTint="66"/>
            <w:vAlign w:val="center"/>
            <w:hideMark/>
          </w:tcPr>
          <w:p w:rsidR="009F3E70" w:rsidRPr="00595641" w:rsidRDefault="009F3E70" w:rsidP="009F3E70">
            <w:pPr>
              <w:jc w:val="right"/>
              <w:rPr>
                <w:b/>
                <w:bCs/>
                <w:color w:val="000000"/>
                <w:sz w:val="20"/>
                <w:szCs w:val="20"/>
                <w:lang w:val="en-US"/>
              </w:rPr>
            </w:pPr>
            <w:r w:rsidRPr="00595641">
              <w:rPr>
                <w:b/>
                <w:bCs/>
                <w:color w:val="000000"/>
                <w:sz w:val="20"/>
                <w:szCs w:val="20"/>
                <w:lang w:val="en-US"/>
              </w:rPr>
              <w:t>Total PCMH</w:t>
            </w:r>
          </w:p>
        </w:tc>
        <w:tc>
          <w:tcPr>
            <w:tcW w:w="1527" w:type="dxa"/>
            <w:tcBorders>
              <w:top w:val="single" w:sz="8" w:space="0" w:color="auto"/>
              <w:left w:val="nil"/>
              <w:bottom w:val="single" w:sz="8" w:space="0" w:color="auto"/>
              <w:right w:val="single" w:sz="8" w:space="0" w:color="auto"/>
            </w:tcBorders>
            <w:shd w:val="clear" w:color="000000" w:fill="8DB3E2" w:themeFill="text2" w:themeFillTint="66"/>
            <w:vAlign w:val="center"/>
            <w:hideMark/>
          </w:tcPr>
          <w:p w:rsidR="009F3E70" w:rsidRDefault="009F3E70" w:rsidP="009F3E70">
            <w:pPr>
              <w:jc w:val="right"/>
              <w:rPr>
                <w:b/>
                <w:bCs/>
                <w:color w:val="000000"/>
                <w:sz w:val="20"/>
                <w:szCs w:val="20"/>
              </w:rPr>
            </w:pPr>
            <w:r>
              <w:rPr>
                <w:b/>
                <w:bCs/>
                <w:color w:val="000000"/>
                <w:sz w:val="20"/>
                <w:szCs w:val="20"/>
              </w:rPr>
              <w:t>425,163</w:t>
            </w:r>
          </w:p>
        </w:tc>
        <w:tc>
          <w:tcPr>
            <w:tcW w:w="1546" w:type="dxa"/>
            <w:tcBorders>
              <w:top w:val="single" w:sz="8" w:space="0" w:color="auto"/>
              <w:left w:val="nil"/>
              <w:bottom w:val="single" w:sz="8" w:space="0" w:color="auto"/>
              <w:right w:val="nil"/>
            </w:tcBorders>
            <w:shd w:val="clear" w:color="000000" w:fill="8DB3E2" w:themeFill="text2" w:themeFillTint="66"/>
            <w:vAlign w:val="center"/>
            <w:hideMark/>
          </w:tcPr>
          <w:p w:rsidR="009F3E70" w:rsidRDefault="009F3E70" w:rsidP="009F3E70">
            <w:pPr>
              <w:jc w:val="right"/>
              <w:rPr>
                <w:b/>
                <w:bCs/>
                <w:color w:val="000000"/>
                <w:sz w:val="20"/>
                <w:szCs w:val="20"/>
              </w:rPr>
            </w:pPr>
            <w:r>
              <w:rPr>
                <w:b/>
                <w:bCs/>
                <w:color w:val="FF0000"/>
                <w:sz w:val="20"/>
                <w:szCs w:val="20"/>
              </w:rPr>
              <w:t>(197)</w:t>
            </w:r>
          </w:p>
        </w:tc>
        <w:tc>
          <w:tcPr>
            <w:tcW w:w="1701"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9F3E70" w:rsidRDefault="009F3E70" w:rsidP="009F3E70">
            <w:pPr>
              <w:jc w:val="right"/>
              <w:rPr>
                <w:b/>
                <w:bCs/>
                <w:color w:val="000000"/>
                <w:sz w:val="20"/>
                <w:szCs w:val="20"/>
              </w:rPr>
            </w:pPr>
            <w:r>
              <w:rPr>
                <w:b/>
                <w:bCs/>
                <w:color w:val="000000"/>
                <w:sz w:val="20"/>
                <w:szCs w:val="20"/>
              </w:rPr>
              <w:t>2,167</w:t>
            </w:r>
          </w:p>
        </w:tc>
        <w:tc>
          <w:tcPr>
            <w:tcW w:w="1701" w:type="dxa"/>
            <w:tcBorders>
              <w:top w:val="single" w:sz="8" w:space="0" w:color="auto"/>
              <w:left w:val="nil"/>
              <w:bottom w:val="single" w:sz="8" w:space="0" w:color="auto"/>
              <w:right w:val="single" w:sz="8" w:space="0" w:color="auto"/>
            </w:tcBorders>
            <w:shd w:val="clear" w:color="000000" w:fill="8DB3E2" w:themeFill="text2" w:themeFillTint="66"/>
            <w:vAlign w:val="center"/>
          </w:tcPr>
          <w:p w:rsidR="009F3E70" w:rsidRDefault="009F3E70" w:rsidP="009F3E70">
            <w:pPr>
              <w:jc w:val="right"/>
              <w:rPr>
                <w:b/>
                <w:bCs/>
                <w:color w:val="000000"/>
                <w:sz w:val="20"/>
                <w:szCs w:val="20"/>
              </w:rPr>
            </w:pPr>
            <w:r>
              <w:rPr>
                <w:b/>
                <w:bCs/>
                <w:color w:val="000000"/>
                <w:sz w:val="20"/>
                <w:szCs w:val="20"/>
              </w:rPr>
              <w:t>2,398</w:t>
            </w:r>
          </w:p>
        </w:tc>
        <w:tc>
          <w:tcPr>
            <w:tcW w:w="1701" w:type="dxa"/>
            <w:tcBorders>
              <w:top w:val="single" w:sz="8" w:space="0" w:color="auto"/>
              <w:left w:val="nil"/>
              <w:bottom w:val="single" w:sz="8" w:space="0" w:color="auto"/>
              <w:right w:val="single" w:sz="8" w:space="0" w:color="auto"/>
            </w:tcBorders>
            <w:shd w:val="clear" w:color="000000" w:fill="8DB3E2" w:themeFill="text2" w:themeFillTint="66"/>
            <w:vAlign w:val="center"/>
          </w:tcPr>
          <w:p w:rsidR="009F3E70" w:rsidRDefault="009F3E70" w:rsidP="009F3E70">
            <w:pPr>
              <w:jc w:val="right"/>
              <w:rPr>
                <w:b/>
                <w:bCs/>
                <w:color w:val="000000"/>
                <w:sz w:val="20"/>
                <w:szCs w:val="20"/>
              </w:rPr>
            </w:pPr>
            <w:r>
              <w:rPr>
                <w:b/>
                <w:bCs/>
                <w:color w:val="000000"/>
                <w:sz w:val="20"/>
                <w:szCs w:val="20"/>
              </w:rPr>
              <w:t>5,570</w:t>
            </w:r>
          </w:p>
        </w:tc>
      </w:tr>
      <w:tr w:rsidR="009F3E70" w:rsidRPr="00595641" w:rsidTr="00FC4988">
        <w:trPr>
          <w:trHeight w:val="255"/>
          <w:jc w:val="center"/>
        </w:trPr>
        <w:tc>
          <w:tcPr>
            <w:tcW w:w="3566" w:type="dxa"/>
            <w:tcBorders>
              <w:top w:val="nil"/>
              <w:left w:val="single" w:sz="8" w:space="0" w:color="auto"/>
              <w:bottom w:val="single" w:sz="4" w:space="0" w:color="auto"/>
              <w:right w:val="single" w:sz="8" w:space="0" w:color="auto"/>
            </w:tcBorders>
            <w:shd w:val="clear" w:color="auto" w:fill="auto"/>
            <w:vAlign w:val="center"/>
            <w:hideMark/>
          </w:tcPr>
          <w:p w:rsidR="009F3E70" w:rsidRPr="00595641" w:rsidRDefault="009F3E70" w:rsidP="009F3E70">
            <w:pPr>
              <w:jc w:val="both"/>
              <w:rPr>
                <w:color w:val="000000"/>
                <w:sz w:val="20"/>
                <w:szCs w:val="20"/>
                <w:lang w:val="en-US"/>
              </w:rPr>
            </w:pPr>
            <w:r w:rsidRPr="00595641">
              <w:rPr>
                <w:color w:val="000000"/>
                <w:sz w:val="20"/>
                <w:szCs w:val="20"/>
                <w:lang w:val="en-US"/>
              </w:rPr>
              <w:t>Contracting &amp; Commissioning</w:t>
            </w:r>
          </w:p>
        </w:tc>
        <w:tc>
          <w:tcPr>
            <w:tcW w:w="1527" w:type="dxa"/>
            <w:tcBorders>
              <w:top w:val="nil"/>
              <w:left w:val="nil"/>
              <w:bottom w:val="single" w:sz="4" w:space="0" w:color="auto"/>
              <w:right w:val="single" w:sz="8" w:space="0" w:color="auto"/>
            </w:tcBorders>
            <w:shd w:val="clear" w:color="auto" w:fill="auto"/>
            <w:vAlign w:val="center"/>
            <w:hideMark/>
          </w:tcPr>
          <w:p w:rsidR="009F3E70" w:rsidRDefault="009F3E70" w:rsidP="009F3E70">
            <w:pPr>
              <w:jc w:val="right"/>
              <w:rPr>
                <w:color w:val="000000"/>
                <w:sz w:val="20"/>
                <w:szCs w:val="20"/>
              </w:rPr>
            </w:pPr>
            <w:r>
              <w:rPr>
                <w:color w:val="000000"/>
                <w:sz w:val="20"/>
                <w:szCs w:val="20"/>
              </w:rPr>
              <w:t>97,448</w:t>
            </w:r>
          </w:p>
        </w:tc>
        <w:tc>
          <w:tcPr>
            <w:tcW w:w="1546" w:type="dxa"/>
            <w:tcBorders>
              <w:top w:val="nil"/>
              <w:left w:val="nil"/>
              <w:bottom w:val="single" w:sz="4" w:space="0" w:color="auto"/>
              <w:right w:val="nil"/>
            </w:tcBorders>
            <w:shd w:val="clear" w:color="auto" w:fill="auto"/>
            <w:vAlign w:val="center"/>
            <w:hideMark/>
          </w:tcPr>
          <w:p w:rsidR="009F3E70" w:rsidRDefault="009F3E70" w:rsidP="009F3E70">
            <w:pPr>
              <w:jc w:val="right"/>
              <w:rPr>
                <w:color w:val="000000"/>
                <w:sz w:val="20"/>
                <w:szCs w:val="20"/>
              </w:rPr>
            </w:pPr>
            <w:r>
              <w:rPr>
                <w:color w:val="000000"/>
                <w:sz w:val="20"/>
                <w:szCs w:val="20"/>
              </w:rPr>
              <w:t>857</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9F3E70" w:rsidRDefault="009F3E70" w:rsidP="009F3E70">
            <w:pPr>
              <w:jc w:val="right"/>
              <w:rPr>
                <w:color w:val="000000"/>
                <w:sz w:val="20"/>
                <w:szCs w:val="20"/>
              </w:rPr>
            </w:pPr>
            <w:r>
              <w:rPr>
                <w:color w:val="000000"/>
                <w:sz w:val="20"/>
                <w:szCs w:val="20"/>
              </w:rPr>
              <w:t>1,302</w:t>
            </w:r>
          </w:p>
        </w:tc>
        <w:tc>
          <w:tcPr>
            <w:tcW w:w="1701" w:type="dxa"/>
            <w:tcBorders>
              <w:top w:val="nil"/>
              <w:left w:val="nil"/>
              <w:bottom w:val="single" w:sz="4" w:space="0" w:color="auto"/>
              <w:right w:val="single" w:sz="8" w:space="0" w:color="auto"/>
            </w:tcBorders>
            <w:shd w:val="clear" w:color="auto" w:fill="auto"/>
            <w:vAlign w:val="center"/>
          </w:tcPr>
          <w:p w:rsidR="009F3E70" w:rsidRDefault="009F3E70" w:rsidP="009F3E70">
            <w:pPr>
              <w:jc w:val="right"/>
              <w:rPr>
                <w:color w:val="000000"/>
                <w:sz w:val="20"/>
                <w:szCs w:val="20"/>
              </w:rPr>
            </w:pPr>
            <w:r>
              <w:rPr>
                <w:color w:val="000000"/>
                <w:sz w:val="20"/>
                <w:szCs w:val="20"/>
              </w:rPr>
              <w:t>1,001</w:t>
            </w:r>
          </w:p>
        </w:tc>
        <w:tc>
          <w:tcPr>
            <w:tcW w:w="1701" w:type="dxa"/>
            <w:tcBorders>
              <w:top w:val="nil"/>
              <w:left w:val="nil"/>
              <w:bottom w:val="single" w:sz="4" w:space="0" w:color="auto"/>
              <w:right w:val="single" w:sz="8" w:space="0" w:color="auto"/>
            </w:tcBorders>
            <w:shd w:val="clear" w:color="auto" w:fill="auto"/>
            <w:vAlign w:val="center"/>
          </w:tcPr>
          <w:p w:rsidR="009F3E70" w:rsidRDefault="009F3E70" w:rsidP="009F3E70">
            <w:pPr>
              <w:jc w:val="right"/>
              <w:rPr>
                <w:color w:val="000000"/>
                <w:sz w:val="20"/>
                <w:szCs w:val="20"/>
              </w:rPr>
            </w:pPr>
            <w:r>
              <w:rPr>
                <w:color w:val="000000"/>
                <w:sz w:val="20"/>
                <w:szCs w:val="20"/>
              </w:rPr>
              <w:t>600</w:t>
            </w:r>
          </w:p>
        </w:tc>
      </w:tr>
      <w:tr w:rsidR="009F3E70" w:rsidRPr="00595641" w:rsidTr="00FC4988">
        <w:trPr>
          <w:trHeight w:val="270"/>
          <w:jc w:val="center"/>
        </w:trPr>
        <w:tc>
          <w:tcPr>
            <w:tcW w:w="3566" w:type="dxa"/>
            <w:tcBorders>
              <w:top w:val="nil"/>
              <w:left w:val="single" w:sz="8" w:space="0" w:color="auto"/>
              <w:bottom w:val="single" w:sz="8" w:space="0" w:color="auto"/>
              <w:right w:val="single" w:sz="8" w:space="0" w:color="auto"/>
            </w:tcBorders>
            <w:shd w:val="clear" w:color="auto" w:fill="auto"/>
            <w:vAlign w:val="center"/>
            <w:hideMark/>
          </w:tcPr>
          <w:p w:rsidR="009F3E70" w:rsidRPr="00595641" w:rsidRDefault="009F3E70" w:rsidP="009F3E70">
            <w:pPr>
              <w:jc w:val="both"/>
              <w:rPr>
                <w:color w:val="000000"/>
                <w:sz w:val="20"/>
                <w:szCs w:val="20"/>
                <w:lang w:val="en-US"/>
              </w:rPr>
            </w:pPr>
            <w:r w:rsidRPr="00595641">
              <w:rPr>
                <w:color w:val="000000"/>
                <w:sz w:val="20"/>
                <w:szCs w:val="20"/>
                <w:lang w:val="en-US"/>
              </w:rPr>
              <w:t>Corporate Functions</w:t>
            </w:r>
          </w:p>
        </w:tc>
        <w:tc>
          <w:tcPr>
            <w:tcW w:w="1527" w:type="dxa"/>
            <w:tcBorders>
              <w:top w:val="nil"/>
              <w:left w:val="nil"/>
              <w:bottom w:val="single" w:sz="8" w:space="0" w:color="auto"/>
              <w:right w:val="single" w:sz="8" w:space="0" w:color="auto"/>
            </w:tcBorders>
            <w:shd w:val="clear" w:color="auto" w:fill="auto"/>
            <w:vAlign w:val="center"/>
            <w:hideMark/>
          </w:tcPr>
          <w:p w:rsidR="009F3E70" w:rsidRDefault="009F3E70" w:rsidP="009F3E70">
            <w:pPr>
              <w:jc w:val="right"/>
              <w:rPr>
                <w:color w:val="000000"/>
                <w:sz w:val="20"/>
                <w:szCs w:val="20"/>
              </w:rPr>
            </w:pPr>
            <w:r>
              <w:rPr>
                <w:color w:val="000000"/>
                <w:sz w:val="20"/>
                <w:szCs w:val="20"/>
              </w:rPr>
              <w:t>73,744</w:t>
            </w:r>
          </w:p>
        </w:tc>
        <w:tc>
          <w:tcPr>
            <w:tcW w:w="1546" w:type="dxa"/>
            <w:tcBorders>
              <w:top w:val="nil"/>
              <w:left w:val="nil"/>
              <w:bottom w:val="single" w:sz="8" w:space="0" w:color="auto"/>
              <w:right w:val="nil"/>
            </w:tcBorders>
            <w:shd w:val="clear" w:color="auto" w:fill="auto"/>
            <w:vAlign w:val="center"/>
            <w:hideMark/>
          </w:tcPr>
          <w:p w:rsidR="009F3E70" w:rsidRDefault="009F3E70" w:rsidP="009F3E70">
            <w:pPr>
              <w:jc w:val="right"/>
              <w:rPr>
                <w:color w:val="000000"/>
                <w:sz w:val="20"/>
                <w:szCs w:val="20"/>
              </w:rPr>
            </w:pPr>
            <w:r>
              <w:rPr>
                <w:color w:val="FF0000"/>
                <w:sz w:val="20"/>
                <w:szCs w:val="20"/>
              </w:rPr>
              <w:t>(252)</w:t>
            </w:r>
          </w:p>
        </w:tc>
        <w:tc>
          <w:tcPr>
            <w:tcW w:w="1701" w:type="dxa"/>
            <w:tcBorders>
              <w:top w:val="nil"/>
              <w:left w:val="single" w:sz="4" w:space="0" w:color="auto"/>
              <w:bottom w:val="single" w:sz="8" w:space="0" w:color="auto"/>
              <w:right w:val="single" w:sz="4" w:space="0" w:color="auto"/>
            </w:tcBorders>
            <w:shd w:val="clear" w:color="auto" w:fill="auto"/>
            <w:vAlign w:val="center"/>
            <w:hideMark/>
          </w:tcPr>
          <w:p w:rsidR="009F3E70" w:rsidRDefault="009F3E70" w:rsidP="009F3E70">
            <w:pPr>
              <w:jc w:val="right"/>
              <w:rPr>
                <w:color w:val="000000"/>
                <w:sz w:val="20"/>
                <w:szCs w:val="20"/>
              </w:rPr>
            </w:pPr>
            <w:r>
              <w:rPr>
                <w:color w:val="FF0000"/>
                <w:sz w:val="20"/>
                <w:szCs w:val="20"/>
              </w:rPr>
              <w:t>(1,132)</w:t>
            </w:r>
          </w:p>
        </w:tc>
        <w:tc>
          <w:tcPr>
            <w:tcW w:w="1701" w:type="dxa"/>
            <w:tcBorders>
              <w:top w:val="nil"/>
              <w:left w:val="nil"/>
              <w:bottom w:val="single" w:sz="8" w:space="0" w:color="auto"/>
              <w:right w:val="single" w:sz="8" w:space="0" w:color="auto"/>
            </w:tcBorders>
            <w:shd w:val="clear" w:color="auto" w:fill="auto"/>
            <w:vAlign w:val="center"/>
          </w:tcPr>
          <w:p w:rsidR="009F3E70" w:rsidRDefault="009F3E70" w:rsidP="009F3E70">
            <w:pPr>
              <w:jc w:val="right"/>
              <w:rPr>
                <w:color w:val="000000"/>
                <w:sz w:val="20"/>
                <w:szCs w:val="20"/>
              </w:rPr>
            </w:pPr>
            <w:r>
              <w:rPr>
                <w:color w:val="FF0000"/>
                <w:sz w:val="20"/>
                <w:szCs w:val="20"/>
              </w:rPr>
              <w:t>(1,177)</w:t>
            </w:r>
          </w:p>
        </w:tc>
        <w:tc>
          <w:tcPr>
            <w:tcW w:w="1701" w:type="dxa"/>
            <w:tcBorders>
              <w:top w:val="nil"/>
              <w:left w:val="nil"/>
              <w:bottom w:val="single" w:sz="8" w:space="0" w:color="auto"/>
              <w:right w:val="single" w:sz="8" w:space="0" w:color="auto"/>
            </w:tcBorders>
            <w:shd w:val="clear" w:color="auto" w:fill="auto"/>
            <w:vAlign w:val="center"/>
          </w:tcPr>
          <w:p w:rsidR="009F3E70" w:rsidRDefault="009F3E70" w:rsidP="009F3E70">
            <w:pPr>
              <w:jc w:val="right"/>
              <w:rPr>
                <w:color w:val="000000"/>
                <w:sz w:val="20"/>
                <w:szCs w:val="20"/>
              </w:rPr>
            </w:pPr>
            <w:r>
              <w:rPr>
                <w:color w:val="FF0000"/>
                <w:sz w:val="20"/>
                <w:szCs w:val="20"/>
              </w:rPr>
              <w:t>(159)</w:t>
            </w:r>
          </w:p>
        </w:tc>
      </w:tr>
      <w:tr w:rsidR="009F3E70" w:rsidRPr="00595641" w:rsidTr="00790BE6">
        <w:trPr>
          <w:trHeight w:val="270"/>
          <w:jc w:val="center"/>
        </w:trPr>
        <w:tc>
          <w:tcPr>
            <w:tcW w:w="3566" w:type="dxa"/>
            <w:tcBorders>
              <w:top w:val="single" w:sz="8" w:space="0" w:color="auto"/>
              <w:left w:val="single" w:sz="8" w:space="0" w:color="auto"/>
              <w:bottom w:val="single" w:sz="8" w:space="0" w:color="auto"/>
              <w:right w:val="single" w:sz="8" w:space="0" w:color="auto"/>
            </w:tcBorders>
            <w:shd w:val="clear" w:color="000000" w:fill="8DB3E2" w:themeFill="text2" w:themeFillTint="66"/>
            <w:vAlign w:val="center"/>
            <w:hideMark/>
          </w:tcPr>
          <w:p w:rsidR="009F3E70" w:rsidRPr="00595641" w:rsidRDefault="009F3E70" w:rsidP="009F3E70">
            <w:pPr>
              <w:jc w:val="right"/>
              <w:rPr>
                <w:b/>
                <w:bCs/>
                <w:color w:val="000000"/>
                <w:sz w:val="20"/>
                <w:szCs w:val="20"/>
                <w:lang w:val="en-US"/>
              </w:rPr>
            </w:pPr>
            <w:r>
              <w:rPr>
                <w:b/>
                <w:bCs/>
                <w:color w:val="000000"/>
                <w:sz w:val="20"/>
                <w:szCs w:val="20"/>
                <w:lang w:val="en-US"/>
              </w:rPr>
              <w:t>GRAND TOTAL M11</w:t>
            </w:r>
          </w:p>
        </w:tc>
        <w:tc>
          <w:tcPr>
            <w:tcW w:w="1527" w:type="dxa"/>
            <w:tcBorders>
              <w:top w:val="single" w:sz="8" w:space="0" w:color="auto"/>
              <w:left w:val="nil"/>
              <w:bottom w:val="single" w:sz="8" w:space="0" w:color="auto"/>
              <w:right w:val="single" w:sz="8" w:space="0" w:color="auto"/>
            </w:tcBorders>
            <w:shd w:val="clear" w:color="000000" w:fill="8DB3E2" w:themeFill="text2" w:themeFillTint="66"/>
            <w:vAlign w:val="center"/>
            <w:hideMark/>
          </w:tcPr>
          <w:p w:rsidR="009F3E70" w:rsidRDefault="009F3E70" w:rsidP="009F3E70">
            <w:pPr>
              <w:jc w:val="right"/>
              <w:rPr>
                <w:b/>
                <w:bCs/>
                <w:color w:val="000000"/>
                <w:sz w:val="20"/>
                <w:szCs w:val="20"/>
              </w:rPr>
            </w:pPr>
            <w:r>
              <w:rPr>
                <w:b/>
                <w:bCs/>
                <w:color w:val="000000"/>
                <w:sz w:val="20"/>
                <w:szCs w:val="20"/>
              </w:rPr>
              <w:t>1,000,101</w:t>
            </w:r>
          </w:p>
        </w:tc>
        <w:tc>
          <w:tcPr>
            <w:tcW w:w="1546" w:type="dxa"/>
            <w:tcBorders>
              <w:top w:val="single" w:sz="8" w:space="0" w:color="auto"/>
              <w:left w:val="nil"/>
              <w:bottom w:val="single" w:sz="8" w:space="0" w:color="auto"/>
              <w:right w:val="nil"/>
            </w:tcBorders>
            <w:shd w:val="clear" w:color="000000" w:fill="8DB3E2" w:themeFill="text2" w:themeFillTint="66"/>
            <w:vAlign w:val="center"/>
            <w:hideMark/>
          </w:tcPr>
          <w:p w:rsidR="009F3E70" w:rsidRDefault="009F3E70" w:rsidP="009F3E70">
            <w:pPr>
              <w:jc w:val="right"/>
              <w:rPr>
                <w:b/>
                <w:bCs/>
                <w:color w:val="000000"/>
                <w:sz w:val="20"/>
                <w:szCs w:val="20"/>
              </w:rPr>
            </w:pPr>
            <w:r>
              <w:rPr>
                <w:b/>
                <w:bCs/>
                <w:color w:val="000000"/>
                <w:sz w:val="20"/>
                <w:szCs w:val="20"/>
              </w:rPr>
              <w:t>1,463</w:t>
            </w:r>
          </w:p>
        </w:tc>
        <w:tc>
          <w:tcPr>
            <w:tcW w:w="1701"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9F3E70" w:rsidRDefault="009F3E70" w:rsidP="009F3E70">
            <w:pPr>
              <w:jc w:val="right"/>
              <w:rPr>
                <w:b/>
                <w:bCs/>
                <w:color w:val="000000"/>
                <w:sz w:val="20"/>
                <w:szCs w:val="20"/>
              </w:rPr>
            </w:pPr>
            <w:r>
              <w:rPr>
                <w:b/>
                <w:bCs/>
                <w:color w:val="000000"/>
                <w:sz w:val="20"/>
                <w:szCs w:val="20"/>
              </w:rPr>
              <w:t>17,142</w:t>
            </w:r>
          </w:p>
        </w:tc>
        <w:tc>
          <w:tcPr>
            <w:tcW w:w="1701" w:type="dxa"/>
            <w:tcBorders>
              <w:top w:val="single" w:sz="8" w:space="0" w:color="auto"/>
              <w:left w:val="nil"/>
              <w:bottom w:val="single" w:sz="8" w:space="0" w:color="auto"/>
              <w:right w:val="single" w:sz="8" w:space="0" w:color="auto"/>
            </w:tcBorders>
            <w:shd w:val="clear" w:color="000000" w:fill="8DB3E2" w:themeFill="text2" w:themeFillTint="66"/>
            <w:vAlign w:val="center"/>
          </w:tcPr>
          <w:p w:rsidR="009F3E70" w:rsidRDefault="009F3E70" w:rsidP="009F3E70">
            <w:pPr>
              <w:jc w:val="right"/>
              <w:rPr>
                <w:b/>
                <w:bCs/>
                <w:color w:val="000000"/>
                <w:sz w:val="20"/>
                <w:szCs w:val="20"/>
              </w:rPr>
            </w:pPr>
            <w:r>
              <w:rPr>
                <w:b/>
                <w:bCs/>
                <w:color w:val="000000"/>
                <w:sz w:val="20"/>
                <w:szCs w:val="20"/>
              </w:rPr>
              <w:t>18,884</w:t>
            </w:r>
          </w:p>
        </w:tc>
        <w:tc>
          <w:tcPr>
            <w:tcW w:w="1701" w:type="dxa"/>
            <w:tcBorders>
              <w:top w:val="single" w:sz="8" w:space="0" w:color="auto"/>
              <w:left w:val="nil"/>
              <w:bottom w:val="single" w:sz="8" w:space="0" w:color="auto"/>
              <w:right w:val="single" w:sz="8" w:space="0" w:color="auto"/>
            </w:tcBorders>
            <w:shd w:val="clear" w:color="000000" w:fill="8DB3E2" w:themeFill="text2" w:themeFillTint="66"/>
            <w:vAlign w:val="center"/>
          </w:tcPr>
          <w:p w:rsidR="009F3E70" w:rsidRDefault="009F3E70" w:rsidP="009F3E70">
            <w:pPr>
              <w:jc w:val="right"/>
              <w:rPr>
                <w:b/>
                <w:bCs/>
                <w:color w:val="000000"/>
                <w:sz w:val="20"/>
                <w:szCs w:val="20"/>
              </w:rPr>
            </w:pPr>
            <w:r>
              <w:rPr>
                <w:b/>
                <w:bCs/>
                <w:color w:val="000000"/>
                <w:sz w:val="20"/>
                <w:szCs w:val="20"/>
              </w:rPr>
              <w:t>22,791</w:t>
            </w:r>
          </w:p>
        </w:tc>
      </w:tr>
      <w:tr w:rsidR="009F3E70" w:rsidRPr="00595641" w:rsidTr="00790BE6">
        <w:trPr>
          <w:trHeight w:val="270"/>
          <w:jc w:val="center"/>
        </w:trPr>
        <w:tc>
          <w:tcPr>
            <w:tcW w:w="3566" w:type="dxa"/>
            <w:tcBorders>
              <w:top w:val="single" w:sz="8" w:space="0" w:color="auto"/>
              <w:left w:val="single" w:sz="8" w:space="0" w:color="auto"/>
              <w:bottom w:val="single" w:sz="8" w:space="0" w:color="auto"/>
              <w:right w:val="single" w:sz="8" w:space="0" w:color="auto"/>
            </w:tcBorders>
            <w:shd w:val="clear" w:color="auto" w:fill="auto"/>
            <w:vAlign w:val="center"/>
          </w:tcPr>
          <w:p w:rsidR="009F3E70" w:rsidRPr="00595641" w:rsidRDefault="009F3E70" w:rsidP="009F3E70">
            <w:pPr>
              <w:jc w:val="both"/>
              <w:rPr>
                <w:color w:val="000000"/>
                <w:sz w:val="20"/>
                <w:szCs w:val="20"/>
                <w:lang w:val="en-US"/>
              </w:rPr>
            </w:pPr>
          </w:p>
        </w:tc>
        <w:tc>
          <w:tcPr>
            <w:tcW w:w="1527" w:type="dxa"/>
            <w:tcBorders>
              <w:top w:val="single" w:sz="8" w:space="0" w:color="auto"/>
              <w:left w:val="nil"/>
              <w:bottom w:val="single" w:sz="8" w:space="0" w:color="auto"/>
              <w:right w:val="single" w:sz="8" w:space="0" w:color="auto"/>
            </w:tcBorders>
            <w:shd w:val="clear" w:color="auto" w:fill="auto"/>
            <w:vAlign w:val="center"/>
          </w:tcPr>
          <w:p w:rsidR="009F3E70" w:rsidRPr="005620E9" w:rsidRDefault="009F3E70" w:rsidP="009F3E70">
            <w:pPr>
              <w:jc w:val="both"/>
              <w:rPr>
                <w:color w:val="000000"/>
                <w:sz w:val="20"/>
                <w:szCs w:val="20"/>
                <w:highlight w:val="yellow"/>
                <w:lang w:val="en-US"/>
              </w:rPr>
            </w:pPr>
          </w:p>
        </w:tc>
        <w:tc>
          <w:tcPr>
            <w:tcW w:w="1546" w:type="dxa"/>
            <w:tcBorders>
              <w:top w:val="single" w:sz="8" w:space="0" w:color="auto"/>
              <w:left w:val="nil"/>
              <w:bottom w:val="single" w:sz="8" w:space="0" w:color="auto"/>
              <w:right w:val="nil"/>
            </w:tcBorders>
            <w:shd w:val="clear" w:color="auto" w:fill="auto"/>
            <w:vAlign w:val="center"/>
          </w:tcPr>
          <w:p w:rsidR="009F3E70" w:rsidRPr="005620E9" w:rsidRDefault="009F3E70" w:rsidP="009F3E70">
            <w:pPr>
              <w:jc w:val="both"/>
              <w:rPr>
                <w:color w:val="000000"/>
                <w:sz w:val="20"/>
                <w:szCs w:val="20"/>
                <w:highlight w:val="yellow"/>
                <w:lang w:val="en-US"/>
              </w:rPr>
            </w:pPr>
          </w:p>
        </w:tc>
        <w:tc>
          <w:tcPr>
            <w:tcW w:w="1701" w:type="dxa"/>
            <w:tcBorders>
              <w:top w:val="single" w:sz="8" w:space="0" w:color="auto"/>
              <w:left w:val="single" w:sz="4" w:space="0" w:color="auto"/>
              <w:bottom w:val="single" w:sz="8" w:space="0" w:color="auto"/>
              <w:right w:val="single" w:sz="4" w:space="0" w:color="auto"/>
            </w:tcBorders>
            <w:shd w:val="clear" w:color="auto" w:fill="auto"/>
            <w:vAlign w:val="center"/>
          </w:tcPr>
          <w:p w:rsidR="009F3E70" w:rsidRPr="005620E9" w:rsidRDefault="009F3E70" w:rsidP="009F3E70">
            <w:pPr>
              <w:jc w:val="both"/>
              <w:rPr>
                <w:color w:val="000000"/>
                <w:sz w:val="20"/>
                <w:szCs w:val="20"/>
                <w:highlight w:val="yellow"/>
                <w:lang w:val="en-US"/>
              </w:rPr>
            </w:pPr>
          </w:p>
        </w:tc>
        <w:tc>
          <w:tcPr>
            <w:tcW w:w="1701" w:type="dxa"/>
            <w:tcBorders>
              <w:top w:val="single" w:sz="8" w:space="0" w:color="auto"/>
              <w:left w:val="nil"/>
              <w:bottom w:val="single" w:sz="8" w:space="0" w:color="auto"/>
              <w:right w:val="single" w:sz="8" w:space="0" w:color="auto"/>
            </w:tcBorders>
            <w:shd w:val="clear" w:color="auto" w:fill="auto"/>
            <w:vAlign w:val="center"/>
          </w:tcPr>
          <w:p w:rsidR="009F3E70" w:rsidRPr="005620E9" w:rsidRDefault="009F3E70" w:rsidP="009F3E70">
            <w:pPr>
              <w:jc w:val="both"/>
              <w:rPr>
                <w:color w:val="000000"/>
                <w:sz w:val="20"/>
                <w:szCs w:val="20"/>
                <w:highlight w:val="yellow"/>
                <w:lang w:val="en-US"/>
              </w:rPr>
            </w:pPr>
          </w:p>
        </w:tc>
        <w:tc>
          <w:tcPr>
            <w:tcW w:w="1701" w:type="dxa"/>
            <w:tcBorders>
              <w:top w:val="single" w:sz="8" w:space="0" w:color="auto"/>
              <w:left w:val="nil"/>
              <w:bottom w:val="single" w:sz="8" w:space="0" w:color="auto"/>
              <w:right w:val="single" w:sz="8" w:space="0" w:color="auto"/>
            </w:tcBorders>
            <w:vAlign w:val="center"/>
          </w:tcPr>
          <w:p w:rsidR="009F3E70" w:rsidRPr="005620E9" w:rsidRDefault="009F3E70" w:rsidP="009F3E70">
            <w:pPr>
              <w:jc w:val="right"/>
              <w:rPr>
                <w:b/>
                <w:bCs/>
                <w:color w:val="000000" w:themeColor="text1"/>
                <w:sz w:val="20"/>
                <w:szCs w:val="20"/>
                <w:highlight w:val="yellow"/>
              </w:rPr>
            </w:pPr>
          </w:p>
        </w:tc>
      </w:tr>
      <w:tr w:rsidR="009F3E70" w:rsidRPr="008075AF" w:rsidTr="0054713E">
        <w:trPr>
          <w:trHeight w:val="270"/>
          <w:jc w:val="center"/>
        </w:trPr>
        <w:tc>
          <w:tcPr>
            <w:tcW w:w="3566" w:type="dxa"/>
            <w:tcBorders>
              <w:top w:val="single" w:sz="8" w:space="0" w:color="auto"/>
              <w:left w:val="single" w:sz="8" w:space="0" w:color="auto"/>
              <w:bottom w:val="single" w:sz="8" w:space="0" w:color="auto"/>
              <w:right w:val="single" w:sz="8" w:space="0" w:color="auto"/>
            </w:tcBorders>
            <w:shd w:val="clear" w:color="000000" w:fill="8DB3E2" w:themeFill="text2" w:themeFillTint="66"/>
            <w:vAlign w:val="center"/>
          </w:tcPr>
          <w:p w:rsidR="009F3E70" w:rsidRPr="00595641" w:rsidRDefault="009F3E70" w:rsidP="009F3E70">
            <w:pPr>
              <w:jc w:val="right"/>
              <w:rPr>
                <w:b/>
                <w:bCs/>
                <w:color w:val="000000"/>
                <w:sz w:val="20"/>
                <w:szCs w:val="20"/>
                <w:lang w:val="en-US"/>
              </w:rPr>
            </w:pPr>
            <w:r>
              <w:rPr>
                <w:b/>
                <w:bCs/>
                <w:color w:val="000000"/>
                <w:sz w:val="20"/>
                <w:szCs w:val="20"/>
                <w:lang w:val="en-US"/>
              </w:rPr>
              <w:t>GRAND TOTAL M10</w:t>
            </w:r>
          </w:p>
        </w:tc>
        <w:tc>
          <w:tcPr>
            <w:tcW w:w="1527" w:type="dxa"/>
            <w:tcBorders>
              <w:top w:val="single" w:sz="8" w:space="0" w:color="auto"/>
              <w:left w:val="nil"/>
              <w:bottom w:val="single" w:sz="8" w:space="0" w:color="auto"/>
              <w:right w:val="single" w:sz="8" w:space="0" w:color="auto"/>
            </w:tcBorders>
            <w:shd w:val="clear" w:color="auto" w:fill="8DB3E2" w:themeFill="text2" w:themeFillTint="66"/>
            <w:vAlign w:val="center"/>
          </w:tcPr>
          <w:p w:rsidR="009F3E70" w:rsidRPr="00221399" w:rsidRDefault="009F3E70" w:rsidP="009F3E70">
            <w:pPr>
              <w:jc w:val="right"/>
              <w:rPr>
                <w:b/>
                <w:bCs/>
                <w:color w:val="000000"/>
                <w:sz w:val="20"/>
                <w:szCs w:val="20"/>
              </w:rPr>
            </w:pPr>
            <w:r w:rsidRPr="00221399">
              <w:rPr>
                <w:b/>
                <w:bCs/>
                <w:color w:val="000000"/>
                <w:sz w:val="20"/>
                <w:szCs w:val="20"/>
              </w:rPr>
              <w:t>999,731</w:t>
            </w:r>
          </w:p>
        </w:tc>
        <w:tc>
          <w:tcPr>
            <w:tcW w:w="1546" w:type="dxa"/>
            <w:tcBorders>
              <w:top w:val="single" w:sz="8" w:space="0" w:color="auto"/>
              <w:left w:val="nil"/>
              <w:bottom w:val="single" w:sz="8" w:space="0" w:color="auto"/>
              <w:right w:val="nil"/>
            </w:tcBorders>
            <w:shd w:val="clear" w:color="auto" w:fill="8DB3E2" w:themeFill="text2" w:themeFillTint="66"/>
            <w:vAlign w:val="center"/>
          </w:tcPr>
          <w:p w:rsidR="009F3E70" w:rsidRPr="00221399" w:rsidRDefault="009F3E70" w:rsidP="009F3E70">
            <w:pPr>
              <w:jc w:val="right"/>
              <w:rPr>
                <w:b/>
                <w:bCs/>
                <w:color w:val="000000"/>
                <w:sz w:val="20"/>
                <w:szCs w:val="20"/>
              </w:rPr>
            </w:pPr>
            <w:r w:rsidRPr="00221399">
              <w:rPr>
                <w:b/>
                <w:bCs/>
                <w:color w:val="FF0000"/>
                <w:sz w:val="20"/>
                <w:szCs w:val="20"/>
              </w:rPr>
              <w:t>(749)</w:t>
            </w:r>
          </w:p>
        </w:tc>
        <w:tc>
          <w:tcPr>
            <w:tcW w:w="1701" w:type="dxa"/>
            <w:tcBorders>
              <w:top w:val="single" w:sz="8" w:space="0" w:color="auto"/>
              <w:left w:val="single" w:sz="4" w:space="0" w:color="auto"/>
              <w:bottom w:val="single" w:sz="8" w:space="0" w:color="auto"/>
              <w:right w:val="single" w:sz="4" w:space="0" w:color="auto"/>
            </w:tcBorders>
            <w:shd w:val="clear" w:color="auto" w:fill="8DB3E2" w:themeFill="text2" w:themeFillTint="66"/>
            <w:vAlign w:val="center"/>
          </w:tcPr>
          <w:p w:rsidR="009F3E70" w:rsidRPr="00221399" w:rsidRDefault="009F3E70" w:rsidP="009F3E70">
            <w:pPr>
              <w:jc w:val="right"/>
              <w:rPr>
                <w:b/>
                <w:bCs/>
                <w:color w:val="000000"/>
                <w:sz w:val="20"/>
                <w:szCs w:val="20"/>
              </w:rPr>
            </w:pPr>
            <w:r w:rsidRPr="00221399">
              <w:rPr>
                <w:b/>
                <w:bCs/>
                <w:color w:val="000000"/>
                <w:sz w:val="20"/>
                <w:szCs w:val="20"/>
              </w:rPr>
              <w:t>15,679</w:t>
            </w:r>
          </w:p>
        </w:tc>
        <w:tc>
          <w:tcPr>
            <w:tcW w:w="1701" w:type="dxa"/>
            <w:tcBorders>
              <w:top w:val="single" w:sz="8" w:space="0" w:color="auto"/>
              <w:left w:val="nil"/>
              <w:bottom w:val="single" w:sz="8" w:space="0" w:color="auto"/>
              <w:right w:val="single" w:sz="8" w:space="0" w:color="auto"/>
            </w:tcBorders>
            <w:shd w:val="clear" w:color="auto" w:fill="8DB3E2" w:themeFill="text2" w:themeFillTint="66"/>
            <w:vAlign w:val="center"/>
          </w:tcPr>
          <w:p w:rsidR="009F3E70" w:rsidRPr="00221399" w:rsidRDefault="009F3E70" w:rsidP="009F3E70">
            <w:pPr>
              <w:jc w:val="right"/>
              <w:rPr>
                <w:b/>
                <w:bCs/>
                <w:color w:val="000000"/>
                <w:sz w:val="20"/>
                <w:szCs w:val="20"/>
              </w:rPr>
            </w:pPr>
            <w:r w:rsidRPr="00221399">
              <w:rPr>
                <w:b/>
                <w:bCs/>
                <w:color w:val="000000"/>
                <w:sz w:val="20"/>
                <w:szCs w:val="20"/>
              </w:rPr>
              <w:t>19,893</w:t>
            </w:r>
          </w:p>
        </w:tc>
        <w:tc>
          <w:tcPr>
            <w:tcW w:w="1701" w:type="dxa"/>
            <w:tcBorders>
              <w:top w:val="single" w:sz="8" w:space="0" w:color="auto"/>
              <w:left w:val="nil"/>
              <w:bottom w:val="single" w:sz="8" w:space="0" w:color="auto"/>
              <w:right w:val="single" w:sz="8" w:space="0" w:color="auto"/>
            </w:tcBorders>
            <w:shd w:val="clear" w:color="auto" w:fill="8DB3E2" w:themeFill="text2" w:themeFillTint="66"/>
            <w:vAlign w:val="center"/>
          </w:tcPr>
          <w:p w:rsidR="009F3E70" w:rsidRPr="00221399" w:rsidRDefault="009F3E70" w:rsidP="009F3E70">
            <w:pPr>
              <w:jc w:val="right"/>
              <w:rPr>
                <w:b/>
                <w:bCs/>
                <w:color w:val="000000"/>
                <w:sz w:val="20"/>
                <w:szCs w:val="20"/>
              </w:rPr>
            </w:pPr>
            <w:r w:rsidRPr="00221399">
              <w:rPr>
                <w:b/>
                <w:bCs/>
                <w:color w:val="000000"/>
                <w:sz w:val="20"/>
                <w:szCs w:val="20"/>
              </w:rPr>
              <w:t>22,961</w:t>
            </w:r>
          </w:p>
        </w:tc>
      </w:tr>
    </w:tbl>
    <w:p w:rsidR="00D83E3D" w:rsidRPr="008075AF" w:rsidRDefault="00D83E3D" w:rsidP="00D83E3D">
      <w:pPr>
        <w:pStyle w:val="ListParagraph"/>
        <w:ind w:left="360"/>
        <w:jc w:val="both"/>
        <w:rPr>
          <w:sz w:val="20"/>
          <w:szCs w:val="20"/>
          <w:highlight w:val="yellow"/>
        </w:rPr>
      </w:pPr>
    </w:p>
    <w:p w:rsidR="00F70E7B" w:rsidRPr="008075AF" w:rsidRDefault="008C0EC5" w:rsidP="00D83E3D">
      <w:pPr>
        <w:pStyle w:val="ListParagraph"/>
        <w:ind w:left="360"/>
        <w:jc w:val="both"/>
        <w:rPr>
          <w:sz w:val="20"/>
          <w:szCs w:val="20"/>
          <w:highlight w:val="yellow"/>
        </w:rPr>
      </w:pPr>
      <w:r w:rsidRPr="008075AF">
        <w:rPr>
          <w:noProof/>
          <w:highlight w:val="yellow"/>
          <w:lang w:eastAsia="en-GB"/>
        </w:rPr>
        <mc:AlternateContent>
          <mc:Choice Requires="wps">
            <w:drawing>
              <wp:anchor distT="45720" distB="45720" distL="114300" distR="114300" simplePos="0" relativeHeight="251729920" behindDoc="0" locked="0" layoutInCell="1" allowOverlap="1">
                <wp:simplePos x="0" y="0"/>
                <wp:positionH relativeFrom="column">
                  <wp:posOffset>615315</wp:posOffset>
                </wp:positionH>
                <wp:positionV relativeFrom="paragraph">
                  <wp:posOffset>156845</wp:posOffset>
                </wp:positionV>
                <wp:extent cx="8835390" cy="2026285"/>
                <wp:effectExtent l="0" t="0" r="22860" b="12065"/>
                <wp:wrapSquare wrapText="bothSides"/>
                <wp:docPr id="37"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8835390" cy="2026285"/>
                        </a:xfrm>
                        <a:prstGeom prst="rect">
                          <a:avLst/>
                        </a:prstGeom>
                        <a:solidFill>
                          <a:srgbClr val="FFFFFF"/>
                        </a:solidFill>
                        <a:ln w="19050">
                          <a:solidFill>
                            <a:srgbClr val="8EB4E3"/>
                          </a:solidFill>
                          <a:miter lim="800000"/>
                          <a:headEnd/>
                          <a:tailEnd/>
                        </a:ln>
                      </wps:spPr>
                      <wps:txbx>
                        <w:txbxContent>
                          <w:p w:rsidR="00F66189" w:rsidRPr="009E585F" w:rsidRDefault="00F66189" w:rsidP="00B126BF">
                            <w:pPr>
                              <w:jc w:val="both"/>
                              <w:rPr>
                                <w:rFonts w:cs="Tahoma"/>
                                <w:b/>
                                <w:bCs/>
                                <w:sz w:val="24"/>
                                <w:u w:val="single"/>
                              </w:rPr>
                            </w:pPr>
                            <w:r w:rsidRPr="009E585F">
                              <w:rPr>
                                <w:rFonts w:cs="Tahoma"/>
                                <w:b/>
                                <w:bCs/>
                                <w:sz w:val="24"/>
                                <w:u w:val="single"/>
                              </w:rPr>
                              <w:t>Current Month</w:t>
                            </w:r>
                            <w:r>
                              <w:rPr>
                                <w:rFonts w:cs="Tahoma"/>
                                <w:b/>
                                <w:bCs/>
                                <w:sz w:val="24"/>
                                <w:u w:val="single"/>
                              </w:rPr>
                              <w:t xml:space="preserve"> and Year To Date</w:t>
                            </w:r>
                          </w:p>
                          <w:p w:rsidR="00F66189" w:rsidRPr="00C06FBB" w:rsidRDefault="00F66189" w:rsidP="00B126BF">
                            <w:pPr>
                              <w:jc w:val="both"/>
                              <w:rPr>
                                <w:rFonts w:cs="Tahoma"/>
                                <w:b/>
                                <w:bCs/>
                                <w:sz w:val="24"/>
                              </w:rPr>
                            </w:pPr>
                          </w:p>
                          <w:p w:rsidR="00F66189" w:rsidRPr="004A0016" w:rsidRDefault="00F66189" w:rsidP="009F3E70">
                            <w:pPr>
                              <w:pStyle w:val="ListParagraph"/>
                              <w:numPr>
                                <w:ilvl w:val="0"/>
                                <w:numId w:val="11"/>
                              </w:numPr>
                              <w:ind w:left="709" w:hanging="709"/>
                              <w:jc w:val="both"/>
                              <w:rPr>
                                <w:color w:val="000000" w:themeColor="text1"/>
                                <w:sz w:val="24"/>
                              </w:rPr>
                            </w:pPr>
                            <w:r w:rsidRPr="0077437C">
                              <w:rPr>
                                <w:rFonts w:cs="Tahoma"/>
                                <w:bCs/>
                                <w:color w:val="000000" w:themeColor="text1"/>
                                <w:sz w:val="24"/>
                              </w:rPr>
                              <w:t xml:space="preserve">The above table </w:t>
                            </w:r>
                            <w:r w:rsidRPr="00422717">
                              <w:rPr>
                                <w:rFonts w:cs="Tahoma"/>
                                <w:bCs/>
                                <w:color w:val="000000" w:themeColor="text1"/>
                                <w:sz w:val="24"/>
                              </w:rPr>
                              <w:t xml:space="preserve">shows the current month, YTD and forecast positions by Division rather than by Expenditure </w:t>
                            </w:r>
                            <w:r w:rsidRPr="004A0016">
                              <w:rPr>
                                <w:rFonts w:cs="Tahoma"/>
                                <w:bCs/>
                                <w:color w:val="000000" w:themeColor="text1"/>
                                <w:sz w:val="24"/>
                              </w:rPr>
                              <w:t>categories as in Section 2.2 above.</w:t>
                            </w:r>
                          </w:p>
                          <w:p w:rsidR="00F66189" w:rsidRPr="004A0016" w:rsidRDefault="00F66189" w:rsidP="009F3E70">
                            <w:pPr>
                              <w:pStyle w:val="ListParagraph"/>
                              <w:ind w:left="709"/>
                              <w:jc w:val="both"/>
                              <w:rPr>
                                <w:color w:val="000000" w:themeColor="text1"/>
                                <w:sz w:val="24"/>
                              </w:rPr>
                            </w:pPr>
                          </w:p>
                          <w:p w:rsidR="00F66189" w:rsidRPr="00221399" w:rsidRDefault="00F66189" w:rsidP="009F3E70">
                            <w:pPr>
                              <w:pStyle w:val="ListParagraph"/>
                              <w:numPr>
                                <w:ilvl w:val="0"/>
                                <w:numId w:val="11"/>
                              </w:numPr>
                              <w:ind w:left="709" w:hanging="709"/>
                              <w:jc w:val="both"/>
                              <w:rPr>
                                <w:color w:val="000000" w:themeColor="text1"/>
                                <w:sz w:val="24"/>
                              </w:rPr>
                            </w:pPr>
                            <w:r w:rsidRPr="00221399">
                              <w:rPr>
                                <w:color w:val="000000" w:themeColor="text1"/>
                                <w:sz w:val="24"/>
                              </w:rPr>
                              <w:t>The main YTD overspends , expressed as a % of budget are as follows:</w:t>
                            </w:r>
                          </w:p>
                          <w:p w:rsidR="00F66189" w:rsidRPr="00221399" w:rsidRDefault="00F66189" w:rsidP="009F3E70">
                            <w:pPr>
                              <w:pStyle w:val="ListParagraph"/>
                              <w:numPr>
                                <w:ilvl w:val="0"/>
                                <w:numId w:val="13"/>
                              </w:numPr>
                              <w:jc w:val="both"/>
                              <w:rPr>
                                <w:color w:val="000000" w:themeColor="text1"/>
                                <w:sz w:val="24"/>
                              </w:rPr>
                            </w:pPr>
                            <w:r w:rsidRPr="00221399">
                              <w:rPr>
                                <w:color w:val="000000" w:themeColor="text1"/>
                                <w:sz w:val="24"/>
                              </w:rPr>
                              <w:t xml:space="preserve"> POW Delivery Unit 7.9%, Facilities 5.5%, Unscheduled Care 3.7% &amp; Clinical Support 2.8%. </w:t>
                            </w:r>
                          </w:p>
                          <w:p w:rsidR="00F66189" w:rsidRPr="00221399" w:rsidRDefault="00F66189" w:rsidP="009F3E70">
                            <w:pPr>
                              <w:ind w:left="709"/>
                              <w:jc w:val="both"/>
                              <w:rPr>
                                <w:color w:val="000000" w:themeColor="text1"/>
                                <w:sz w:val="24"/>
                              </w:rPr>
                            </w:pPr>
                          </w:p>
                          <w:p w:rsidR="00F66189" w:rsidRPr="00221399" w:rsidRDefault="00F66189" w:rsidP="009F3E70">
                            <w:pPr>
                              <w:pStyle w:val="ListParagraph"/>
                              <w:numPr>
                                <w:ilvl w:val="0"/>
                                <w:numId w:val="11"/>
                              </w:numPr>
                              <w:ind w:left="709" w:hanging="709"/>
                              <w:jc w:val="both"/>
                              <w:rPr>
                                <w:color w:val="000000" w:themeColor="text1"/>
                                <w:sz w:val="24"/>
                              </w:rPr>
                            </w:pPr>
                            <w:r w:rsidRPr="00221399">
                              <w:rPr>
                                <w:color w:val="000000" w:themeColor="text1"/>
                                <w:sz w:val="24"/>
                              </w:rPr>
                              <w:t>The main YTD underspends , expressed as a % of budget are as follows:</w:t>
                            </w:r>
                          </w:p>
                          <w:p w:rsidR="00F66189" w:rsidRPr="00221399" w:rsidRDefault="00F66189" w:rsidP="009F3E70">
                            <w:pPr>
                              <w:pStyle w:val="ListParagraph"/>
                              <w:numPr>
                                <w:ilvl w:val="0"/>
                                <w:numId w:val="13"/>
                              </w:numPr>
                              <w:jc w:val="both"/>
                              <w:rPr>
                                <w:color w:val="000000" w:themeColor="text1"/>
                                <w:sz w:val="24"/>
                              </w:rPr>
                            </w:pPr>
                            <w:r w:rsidRPr="00221399">
                              <w:rPr>
                                <w:color w:val="000000" w:themeColor="text1"/>
                                <w:sz w:val="24"/>
                              </w:rPr>
                              <w:t xml:space="preserve"> Mental Health 1.5% &amp; Corporate Functions at 1.7%.</w:t>
                            </w:r>
                          </w:p>
                          <w:p w:rsidR="00F66189" w:rsidRPr="00741B09" w:rsidRDefault="00F66189" w:rsidP="00B126BF">
                            <w:pPr>
                              <w:pStyle w:val="ListParagraph"/>
                              <w:rPr>
                                <w:sz w:val="24"/>
                              </w:rPr>
                            </w:pPr>
                          </w:p>
                          <w:p w:rsidR="00F66189" w:rsidRPr="00C06FBB" w:rsidRDefault="00F66189" w:rsidP="00B126BF">
                            <w:pPr>
                              <w:pStyle w:val="ListParagraph"/>
                              <w:ind w:left="360"/>
                              <w:jc w:val="both"/>
                              <w:rPr>
                                <w:sz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30" type="#_x0000_t202" style="position:absolute;left:0;text-align:left;margin-left:48.45pt;margin-top:12.35pt;width:695.7pt;height:159.55pt;z-index:2517299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" strokecolor="#8eb4e3" strokeweight="1.5pt">
                <v:path arrowok="t"/>
                <v:textbox>
                  <w:txbxContent>
                    <w:p w:rsidR="00F66189" w:rsidRPr="009E585F" w:rsidRDefault="00F66189" w:rsidP="00B126BF">
                      <w:pPr>
                        <w:jc w:val="both"/>
                        <w:rPr>
                          <w:rFonts w:cs="Tahoma"/>
                          <w:b/>
                          <w:bCs/>
                          <w:sz w:val="24"/>
                          <w:u w:val="single"/>
                        </w:rPr>
                      </w:pPr>
                      <w:r w:rsidRPr="009E585F">
                        <w:rPr>
                          <w:rFonts w:cs="Tahoma"/>
                          <w:b/>
                          <w:bCs/>
                          <w:sz w:val="24"/>
                          <w:u w:val="single"/>
                        </w:rPr>
                        <w:t>Current Month</w:t>
                      </w:r>
                      <w:r>
                        <w:rPr>
                          <w:rFonts w:cs="Tahoma"/>
                          <w:b/>
                          <w:bCs/>
                          <w:sz w:val="24"/>
                          <w:u w:val="single"/>
                        </w:rPr>
                        <w:t xml:space="preserve"> and Year To Date</w:t>
                      </w:r>
                    </w:p>
                    <w:p w:rsidR="00F66189" w:rsidRPr="00C06FBB" w:rsidRDefault="00F66189" w:rsidP="00B126BF">
                      <w:pPr>
                        <w:jc w:val="both"/>
                        <w:rPr>
                          <w:rFonts w:cs="Tahoma"/>
                          <w:b/>
                          <w:bCs/>
                          <w:sz w:val="24"/>
                        </w:rPr>
                      </w:pPr>
                    </w:p>
                    <w:p w:rsidR="00F66189" w:rsidRPr="004A0016" w:rsidRDefault="00F66189" w:rsidP="009F3E70">
                      <w:pPr>
                        <w:pStyle w:val="ListParagraph"/>
                        <w:numPr>
                          <w:ilvl w:val="0"/>
                          <w:numId w:val="11"/>
                        </w:numPr>
                        <w:ind w:left="709" w:hanging="709"/>
                        <w:jc w:val="both"/>
                        <w:rPr>
                          <w:color w:val="000000" w:themeColor="text1"/>
                          <w:sz w:val="24"/>
                        </w:rPr>
                      </w:pPr>
                      <w:r w:rsidRPr="0077437C">
                        <w:rPr>
                          <w:rFonts w:cs="Tahoma"/>
                          <w:bCs/>
                          <w:color w:val="000000" w:themeColor="text1"/>
                          <w:sz w:val="24"/>
                        </w:rPr>
                        <w:t xml:space="preserve">The above table </w:t>
                      </w:r>
                      <w:r w:rsidRPr="00422717">
                        <w:rPr>
                          <w:rFonts w:cs="Tahoma"/>
                          <w:bCs/>
                          <w:color w:val="000000" w:themeColor="text1"/>
                          <w:sz w:val="24"/>
                        </w:rPr>
                        <w:t xml:space="preserve">shows the current month, YTD and forecast positions by Division rather than by Expenditure </w:t>
                      </w:r>
                      <w:r w:rsidRPr="004A0016">
                        <w:rPr>
                          <w:rFonts w:cs="Tahoma"/>
                          <w:bCs/>
                          <w:color w:val="000000" w:themeColor="text1"/>
                          <w:sz w:val="24"/>
                        </w:rPr>
                        <w:t>categories as in Section 2.2 above.</w:t>
                      </w:r>
                    </w:p>
                    <w:p w:rsidR="00F66189" w:rsidRPr="004A0016" w:rsidRDefault="00F66189" w:rsidP="009F3E70">
                      <w:pPr>
                        <w:pStyle w:val="ListParagraph"/>
                        <w:ind w:left="709"/>
                        <w:jc w:val="both"/>
                        <w:rPr>
                          <w:color w:val="000000" w:themeColor="text1"/>
                          <w:sz w:val="24"/>
                        </w:rPr>
                      </w:pPr>
                    </w:p>
                    <w:p w:rsidR="00F66189" w:rsidRPr="00221399" w:rsidRDefault="00F66189" w:rsidP="009F3E70">
                      <w:pPr>
                        <w:pStyle w:val="ListParagraph"/>
                        <w:numPr>
                          <w:ilvl w:val="0"/>
                          <w:numId w:val="11"/>
                        </w:numPr>
                        <w:ind w:left="709" w:hanging="709"/>
                        <w:jc w:val="both"/>
                        <w:rPr>
                          <w:color w:val="000000" w:themeColor="text1"/>
                          <w:sz w:val="24"/>
                        </w:rPr>
                      </w:pPr>
                      <w:r w:rsidRPr="00221399">
                        <w:rPr>
                          <w:color w:val="000000" w:themeColor="text1"/>
                          <w:sz w:val="24"/>
                        </w:rPr>
                        <w:t>The main YTD overspends , expressed as a % of budget are as follows:</w:t>
                      </w:r>
                    </w:p>
                    <w:p w:rsidR="00F66189" w:rsidRPr="00221399" w:rsidRDefault="00F66189" w:rsidP="009F3E70">
                      <w:pPr>
                        <w:pStyle w:val="ListParagraph"/>
                        <w:numPr>
                          <w:ilvl w:val="0"/>
                          <w:numId w:val="13"/>
                        </w:numPr>
                        <w:jc w:val="both"/>
                        <w:rPr>
                          <w:color w:val="000000" w:themeColor="text1"/>
                          <w:sz w:val="24"/>
                        </w:rPr>
                      </w:pPr>
                      <w:r w:rsidRPr="00221399">
                        <w:rPr>
                          <w:color w:val="000000" w:themeColor="text1"/>
                          <w:sz w:val="24"/>
                        </w:rPr>
                        <w:t xml:space="preserve"> POW Delivery Unit 7.9%, Facilities 5.5%, Unscheduled Care 3.7% &amp; Clinical Support 2.8%. </w:t>
                      </w:r>
                    </w:p>
                    <w:p w:rsidR="00F66189" w:rsidRPr="00221399" w:rsidRDefault="00F66189" w:rsidP="009F3E70">
                      <w:pPr>
                        <w:ind w:left="709"/>
                        <w:jc w:val="both"/>
                        <w:rPr>
                          <w:color w:val="000000" w:themeColor="text1"/>
                          <w:sz w:val="24"/>
                        </w:rPr>
                      </w:pPr>
                    </w:p>
                    <w:p w:rsidR="00F66189" w:rsidRPr="00221399" w:rsidRDefault="00F66189" w:rsidP="009F3E70">
                      <w:pPr>
                        <w:pStyle w:val="ListParagraph"/>
                        <w:numPr>
                          <w:ilvl w:val="0"/>
                          <w:numId w:val="11"/>
                        </w:numPr>
                        <w:ind w:left="709" w:hanging="709"/>
                        <w:jc w:val="both"/>
                        <w:rPr>
                          <w:color w:val="000000" w:themeColor="text1"/>
                          <w:sz w:val="24"/>
                        </w:rPr>
                      </w:pPr>
                      <w:r w:rsidRPr="00221399">
                        <w:rPr>
                          <w:color w:val="000000" w:themeColor="text1"/>
                          <w:sz w:val="24"/>
                        </w:rPr>
                        <w:t>The main YTD underspends , expressed as a % of budget are as follows:</w:t>
                      </w:r>
                    </w:p>
                    <w:p w:rsidR="00F66189" w:rsidRPr="00221399" w:rsidRDefault="00F66189" w:rsidP="009F3E70">
                      <w:pPr>
                        <w:pStyle w:val="ListParagraph"/>
                        <w:numPr>
                          <w:ilvl w:val="0"/>
                          <w:numId w:val="13"/>
                        </w:numPr>
                        <w:jc w:val="both"/>
                        <w:rPr>
                          <w:color w:val="000000" w:themeColor="text1"/>
                          <w:sz w:val="24"/>
                        </w:rPr>
                      </w:pPr>
                      <w:r w:rsidRPr="00221399">
                        <w:rPr>
                          <w:color w:val="000000" w:themeColor="text1"/>
                          <w:sz w:val="24"/>
                        </w:rPr>
                        <w:t xml:space="preserve"> Mental Health 1.5% &amp; Corporate Functions at 1.7%.</w:t>
                      </w:r>
                    </w:p>
                    <w:p w:rsidR="00F66189" w:rsidRPr="00741B09" w:rsidRDefault="00F66189" w:rsidP="00B126BF">
                      <w:pPr>
                        <w:pStyle w:val="ListParagraph"/>
                        <w:rPr>
                          <w:sz w:val="24"/>
                        </w:rPr>
                      </w:pPr>
                    </w:p>
                    <w:p w:rsidR="00F66189" w:rsidRPr="00C06FBB" w:rsidRDefault="00F66189" w:rsidP="00B126BF">
                      <w:pPr>
                        <w:pStyle w:val="ListParagraph"/>
                        <w:ind w:left="360"/>
                        <w:jc w:val="both"/>
                        <w:rPr>
                          <w:sz w:val="24"/>
                        </w:rPr>
                      </w:pPr>
                    </w:p>
                  </w:txbxContent>
                </v:textbox>
                <w10:wrap type="square"/>
              </v:shape>
            </w:pict>
          </mc:Fallback>
        </mc:AlternateContent>
      </w:r>
    </w:p>
    <w:p w:rsidR="00D83E3D" w:rsidRPr="008075AF" w:rsidRDefault="00D83E3D" w:rsidP="00D83E3D">
      <w:pPr>
        <w:ind w:left="709"/>
        <w:jc w:val="both"/>
        <w:rPr>
          <w:rFonts w:cs="Tahoma"/>
          <w:b/>
          <w:bCs/>
          <w:sz w:val="20"/>
          <w:szCs w:val="20"/>
          <w:highlight w:val="yellow"/>
          <w:u w:val="single"/>
        </w:rPr>
      </w:pPr>
    </w:p>
    <w:p w:rsidR="00B126BF" w:rsidRPr="008075AF" w:rsidRDefault="00B126BF" w:rsidP="00402173">
      <w:pPr>
        <w:jc w:val="both"/>
        <w:rPr>
          <w:rFonts w:cs="Tahoma"/>
          <w:b/>
          <w:bCs/>
          <w:sz w:val="24"/>
          <w:highlight w:val="yellow"/>
        </w:rPr>
      </w:pPr>
    </w:p>
    <w:p w:rsidR="00B126BF" w:rsidRPr="008075AF" w:rsidRDefault="00B126BF" w:rsidP="00402173">
      <w:pPr>
        <w:jc w:val="both"/>
        <w:rPr>
          <w:rFonts w:cs="Tahoma"/>
          <w:b/>
          <w:bCs/>
          <w:sz w:val="24"/>
          <w:highlight w:val="yellow"/>
        </w:rPr>
      </w:pPr>
    </w:p>
    <w:p w:rsidR="00B126BF" w:rsidRPr="008075AF" w:rsidRDefault="00B126BF" w:rsidP="00402173">
      <w:pPr>
        <w:jc w:val="both"/>
        <w:rPr>
          <w:rFonts w:cs="Tahoma"/>
          <w:b/>
          <w:bCs/>
          <w:sz w:val="24"/>
          <w:highlight w:val="yellow"/>
        </w:rPr>
      </w:pPr>
    </w:p>
    <w:p w:rsidR="00B126BF" w:rsidRPr="008075AF" w:rsidRDefault="00B126BF" w:rsidP="00402173">
      <w:pPr>
        <w:jc w:val="both"/>
        <w:rPr>
          <w:rFonts w:cs="Tahoma"/>
          <w:b/>
          <w:bCs/>
          <w:sz w:val="24"/>
          <w:highlight w:val="yellow"/>
        </w:rPr>
      </w:pPr>
    </w:p>
    <w:p w:rsidR="00B126BF" w:rsidRPr="008075AF" w:rsidRDefault="00B126BF" w:rsidP="00402173">
      <w:pPr>
        <w:jc w:val="both"/>
        <w:rPr>
          <w:rFonts w:cs="Tahoma"/>
          <w:b/>
          <w:bCs/>
          <w:sz w:val="24"/>
          <w:highlight w:val="yellow"/>
          <w:u w:val="single"/>
        </w:rPr>
      </w:pPr>
    </w:p>
    <w:p w:rsidR="00B126BF" w:rsidRPr="008075AF" w:rsidRDefault="00B126BF" w:rsidP="00402173">
      <w:pPr>
        <w:jc w:val="both"/>
        <w:rPr>
          <w:rFonts w:cs="Tahoma"/>
          <w:b/>
          <w:bCs/>
          <w:sz w:val="24"/>
          <w:highlight w:val="yellow"/>
          <w:u w:val="single"/>
        </w:rPr>
      </w:pPr>
    </w:p>
    <w:p w:rsidR="00B126BF" w:rsidRPr="008075AF" w:rsidRDefault="00B126BF" w:rsidP="00402173">
      <w:pPr>
        <w:jc w:val="both"/>
        <w:rPr>
          <w:rFonts w:cs="Tahoma"/>
          <w:b/>
          <w:bCs/>
          <w:sz w:val="24"/>
          <w:highlight w:val="yellow"/>
          <w:u w:val="single"/>
        </w:rPr>
      </w:pPr>
    </w:p>
    <w:p w:rsidR="00B126BF" w:rsidRPr="008075AF" w:rsidRDefault="00B126BF" w:rsidP="00402173">
      <w:pPr>
        <w:jc w:val="both"/>
        <w:rPr>
          <w:rFonts w:cs="Tahoma"/>
          <w:b/>
          <w:bCs/>
          <w:sz w:val="24"/>
          <w:highlight w:val="yellow"/>
          <w:u w:val="single"/>
        </w:rPr>
      </w:pPr>
    </w:p>
    <w:p w:rsidR="00B126BF" w:rsidRPr="008075AF" w:rsidRDefault="00B126BF" w:rsidP="00B126BF">
      <w:pPr>
        <w:jc w:val="both"/>
        <w:rPr>
          <w:rFonts w:cs="Tahoma"/>
          <w:bCs/>
          <w:sz w:val="24"/>
          <w:highlight w:val="yellow"/>
        </w:rPr>
      </w:pPr>
    </w:p>
    <w:p w:rsidR="00B126BF" w:rsidRPr="008075AF" w:rsidRDefault="00B126BF" w:rsidP="00B126BF">
      <w:pPr>
        <w:jc w:val="both"/>
        <w:rPr>
          <w:rFonts w:cs="Tahoma"/>
          <w:bCs/>
          <w:sz w:val="24"/>
          <w:highlight w:val="yellow"/>
        </w:rPr>
      </w:pPr>
    </w:p>
    <w:p w:rsidR="00B126BF" w:rsidRPr="008075AF" w:rsidRDefault="00B126BF" w:rsidP="00B126BF">
      <w:pPr>
        <w:jc w:val="both"/>
        <w:rPr>
          <w:rFonts w:cs="Tahoma"/>
          <w:bCs/>
          <w:sz w:val="24"/>
          <w:highlight w:val="yellow"/>
        </w:rPr>
      </w:pPr>
    </w:p>
    <w:p w:rsidR="00B126BF" w:rsidRPr="008075AF" w:rsidRDefault="00B126BF" w:rsidP="00B126BF">
      <w:pPr>
        <w:jc w:val="both"/>
        <w:rPr>
          <w:rFonts w:cs="Tahoma"/>
          <w:bCs/>
          <w:sz w:val="24"/>
          <w:highlight w:val="yellow"/>
        </w:rPr>
      </w:pPr>
    </w:p>
    <w:p w:rsidR="00C96214" w:rsidRPr="008075AF" w:rsidRDefault="00C96214" w:rsidP="00C96214">
      <w:pPr>
        <w:jc w:val="both"/>
        <w:rPr>
          <w:rFonts w:cs="Tahoma"/>
          <w:b/>
          <w:bCs/>
          <w:sz w:val="16"/>
          <w:szCs w:val="16"/>
          <w:highlight w:val="yellow"/>
          <w:u w:val="single"/>
        </w:rPr>
      </w:pPr>
      <w:r w:rsidRPr="008075AF">
        <w:rPr>
          <w:rFonts w:cs="Tahoma"/>
          <w:b/>
          <w:bCs/>
          <w:sz w:val="24"/>
          <w:highlight w:val="yellow"/>
          <w:u w:val="single"/>
        </w:rPr>
        <w:t xml:space="preserve"> </w:t>
      </w:r>
    </w:p>
    <w:p w:rsidR="00F35004" w:rsidRPr="008075AF" w:rsidRDefault="00F35004" w:rsidP="007F2E2E">
      <w:pPr>
        <w:ind w:left="720"/>
        <w:jc w:val="both"/>
        <w:rPr>
          <w:rFonts w:cs="Tahoma"/>
          <w:bCs/>
          <w:sz w:val="24"/>
          <w:highlight w:val="yellow"/>
        </w:rPr>
      </w:pPr>
    </w:p>
    <w:p w:rsidR="00F35004" w:rsidRPr="008075AF" w:rsidRDefault="00F35004" w:rsidP="007F2E2E">
      <w:pPr>
        <w:ind w:left="720"/>
        <w:jc w:val="both"/>
        <w:rPr>
          <w:rFonts w:cs="Tahoma"/>
          <w:bCs/>
          <w:sz w:val="24"/>
          <w:highlight w:val="yellow"/>
        </w:rPr>
      </w:pPr>
    </w:p>
    <w:p w:rsidR="00F35004" w:rsidRPr="008075AF" w:rsidRDefault="00F35004" w:rsidP="007F2E2E">
      <w:pPr>
        <w:ind w:left="720"/>
        <w:jc w:val="both"/>
        <w:rPr>
          <w:rFonts w:cs="Tahoma"/>
          <w:bCs/>
          <w:sz w:val="24"/>
          <w:highlight w:val="yellow"/>
        </w:rPr>
      </w:pPr>
    </w:p>
    <w:p w:rsidR="008745EB" w:rsidRPr="008075AF" w:rsidRDefault="008745EB" w:rsidP="007F2E2E">
      <w:pPr>
        <w:ind w:left="720"/>
        <w:jc w:val="both"/>
        <w:rPr>
          <w:rFonts w:cs="Tahoma"/>
          <w:bCs/>
          <w:sz w:val="24"/>
          <w:highlight w:val="yellow"/>
        </w:rPr>
      </w:pPr>
    </w:p>
    <w:p w:rsidR="00B57F60" w:rsidRPr="008075AF" w:rsidRDefault="00B57F60" w:rsidP="00B57F60">
      <w:pPr>
        <w:pStyle w:val="ListParagraph"/>
        <w:rPr>
          <w:rFonts w:cs="Tahoma"/>
          <w:b/>
          <w:bCs/>
          <w:sz w:val="24"/>
          <w:highlight w:val="yellow"/>
        </w:rPr>
      </w:pPr>
    </w:p>
    <w:p w:rsidR="00B57F60" w:rsidRPr="008075AF" w:rsidRDefault="00B57F60">
      <w:pPr>
        <w:rPr>
          <w:rFonts w:cs="Tahoma"/>
          <w:b/>
          <w:bCs/>
          <w:sz w:val="24"/>
          <w:highlight w:val="yellow"/>
        </w:rPr>
      </w:pPr>
      <w:r w:rsidRPr="008075AF">
        <w:rPr>
          <w:rFonts w:cs="Tahoma"/>
          <w:b/>
          <w:bCs/>
          <w:sz w:val="24"/>
          <w:highlight w:val="yellow"/>
        </w:rPr>
        <w:br w:type="page"/>
      </w:r>
    </w:p>
    <w:p w:rsidR="0054713E" w:rsidRPr="00D63220" w:rsidRDefault="0054713E" w:rsidP="006616E8">
      <w:pPr>
        <w:pStyle w:val="ListParagraph"/>
        <w:numPr>
          <w:ilvl w:val="1"/>
          <w:numId w:val="34"/>
        </w:numPr>
        <w:rPr>
          <w:rFonts w:cs="Tahoma"/>
          <w:b/>
          <w:bCs/>
          <w:sz w:val="24"/>
        </w:rPr>
      </w:pPr>
      <w:r w:rsidRPr="00D63220">
        <w:rPr>
          <w:rFonts w:cs="Tahoma"/>
          <w:b/>
          <w:bCs/>
          <w:sz w:val="24"/>
        </w:rPr>
        <w:t>Pay Expenditure</w:t>
      </w:r>
    </w:p>
    <w:p w:rsidR="0054713E" w:rsidRPr="00D63220" w:rsidRDefault="0054713E" w:rsidP="0054713E">
      <w:pPr>
        <w:pStyle w:val="ListParagraph"/>
        <w:ind w:left="360"/>
        <w:jc w:val="both"/>
        <w:rPr>
          <w:sz w:val="20"/>
          <w:szCs w:val="20"/>
        </w:rPr>
      </w:pPr>
    </w:p>
    <w:p w:rsidR="0054713E" w:rsidRPr="00D63220" w:rsidRDefault="0054713E" w:rsidP="0054713E">
      <w:pPr>
        <w:ind w:firstLine="720"/>
        <w:jc w:val="both"/>
        <w:rPr>
          <w:b/>
          <w:sz w:val="24"/>
        </w:rPr>
      </w:pPr>
      <w:r w:rsidRPr="00D63220">
        <w:rPr>
          <w:b/>
          <w:sz w:val="24"/>
        </w:rPr>
        <w:t>Monthly Trends (Please note scale of Y-axis)</w:t>
      </w:r>
    </w:p>
    <w:p w:rsidR="0054713E" w:rsidRPr="00D63220" w:rsidRDefault="0054713E" w:rsidP="0054713E">
      <w:pPr>
        <w:ind w:firstLine="720"/>
        <w:jc w:val="both"/>
        <w:rPr>
          <w:b/>
          <w:sz w:val="24"/>
        </w:rPr>
      </w:pPr>
    </w:p>
    <w:p w:rsidR="0054713E" w:rsidRPr="00D63220" w:rsidRDefault="0054713E" w:rsidP="0054713E">
      <w:pPr>
        <w:pStyle w:val="ListParagraph"/>
        <w:ind w:left="709"/>
        <w:rPr>
          <w:sz w:val="20"/>
          <w:szCs w:val="20"/>
        </w:rPr>
      </w:pPr>
      <w:r w:rsidRPr="00D63220">
        <w:rPr>
          <w:noProof/>
          <w:lang w:eastAsia="en-GB"/>
        </w:rPr>
        <w:t xml:space="preserve"> </w:t>
      </w:r>
      <w:r w:rsidR="00C02CB5">
        <w:rPr>
          <w:noProof/>
          <w:lang w:eastAsia="en-GB"/>
        </w:rPr>
        <w:drawing>
          <wp:inline distT="0" distB="0" distL="0" distR="0" wp14:anchorId="40A90DF6" wp14:editId="5366BD01">
            <wp:extent cx="4452731" cy="2926715"/>
            <wp:effectExtent l="0" t="0" r="5080" b="6985"/>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r w:rsidRPr="00D63220">
        <w:rPr>
          <w:noProof/>
          <w:lang w:eastAsia="en-GB"/>
        </w:rPr>
        <w:t xml:space="preserve"> </w:t>
      </w:r>
      <w:r w:rsidR="00C02CB5">
        <w:rPr>
          <w:noProof/>
          <w:lang w:eastAsia="en-GB"/>
        </w:rPr>
        <w:drawing>
          <wp:inline distT="0" distB="0" distL="0" distR="0" wp14:anchorId="09778FC9" wp14:editId="023A7A22">
            <wp:extent cx="4518163" cy="2921635"/>
            <wp:effectExtent l="0" t="0" r="15875" b="1206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54713E" w:rsidRPr="00D63220" w:rsidRDefault="00422717" w:rsidP="0054713E">
      <w:pPr>
        <w:jc w:val="both"/>
        <w:rPr>
          <w:sz w:val="20"/>
          <w:szCs w:val="20"/>
        </w:rPr>
      </w:pPr>
      <w:r w:rsidRPr="00D63220">
        <w:rPr>
          <w:noProof/>
          <w:lang w:eastAsia="en-GB"/>
        </w:rPr>
        <mc:AlternateContent>
          <mc:Choice Requires="wps">
            <w:drawing>
              <wp:anchor distT="45720" distB="45720" distL="114300" distR="114300" simplePos="0" relativeHeight="251807744" behindDoc="0" locked="0" layoutInCell="1" allowOverlap="1" wp14:anchorId="64A8C597" wp14:editId="39B113B6">
                <wp:simplePos x="0" y="0"/>
                <wp:positionH relativeFrom="column">
                  <wp:posOffset>535967</wp:posOffset>
                </wp:positionH>
                <wp:positionV relativeFrom="page">
                  <wp:posOffset>4603750</wp:posOffset>
                </wp:positionV>
                <wp:extent cx="9010650" cy="2275840"/>
                <wp:effectExtent l="0" t="0" r="19050" b="10160"/>
                <wp:wrapSquare wrapText="bothSides"/>
                <wp:docPr id="34"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9010650" cy="2275840"/>
                        </a:xfrm>
                        <a:prstGeom prst="rect">
                          <a:avLst/>
                        </a:prstGeom>
                        <a:solidFill>
                          <a:srgbClr val="FFFFFF"/>
                        </a:solidFill>
                        <a:ln w="19050">
                          <a:solidFill>
                            <a:srgbClr val="8EB4E3"/>
                          </a:solidFill>
                          <a:miter lim="800000"/>
                          <a:headEnd/>
                          <a:tailEnd/>
                        </a:ln>
                      </wps:spPr>
                      <wps:txbx>
                        <w:txbxContent>
                          <w:p w:rsidR="00F66189" w:rsidRPr="00702A58" w:rsidRDefault="00F66189" w:rsidP="0054713E">
                            <w:pPr>
                              <w:pStyle w:val="ListParagraph"/>
                              <w:ind w:left="0"/>
                              <w:jc w:val="both"/>
                              <w:rPr>
                                <w:b/>
                                <w:sz w:val="24"/>
                              </w:rPr>
                            </w:pPr>
                            <w:r w:rsidRPr="00702A58">
                              <w:rPr>
                                <w:b/>
                                <w:sz w:val="24"/>
                              </w:rPr>
                              <w:t>Key Issues</w:t>
                            </w:r>
                          </w:p>
                          <w:p w:rsidR="00F66189" w:rsidRPr="00702A58" w:rsidRDefault="00F66189" w:rsidP="0054713E">
                            <w:pPr>
                              <w:pStyle w:val="ListParagraph"/>
                              <w:jc w:val="both"/>
                              <w:rPr>
                                <w:sz w:val="16"/>
                                <w:szCs w:val="16"/>
                              </w:rPr>
                            </w:pPr>
                          </w:p>
                          <w:p w:rsidR="00F66189" w:rsidRPr="00E95D57" w:rsidRDefault="00F66189" w:rsidP="006616E8">
                            <w:pPr>
                              <w:pStyle w:val="ListParagraph"/>
                              <w:numPr>
                                <w:ilvl w:val="0"/>
                                <w:numId w:val="4"/>
                              </w:numPr>
                              <w:jc w:val="both"/>
                              <w:rPr>
                                <w:sz w:val="24"/>
                              </w:rPr>
                            </w:pPr>
                            <w:r w:rsidRPr="00E95D57">
                              <w:rPr>
                                <w:sz w:val="24"/>
                              </w:rPr>
                              <w:t xml:space="preserve">The budget and spend for April </w:t>
                            </w:r>
                            <w:r>
                              <w:rPr>
                                <w:sz w:val="24"/>
                              </w:rPr>
                              <w:t xml:space="preserve">was </w:t>
                            </w:r>
                            <w:r w:rsidRPr="00E95D57">
                              <w:rPr>
                                <w:sz w:val="24"/>
                              </w:rPr>
                              <w:t>high because this included £1.6m for the A4C non-consolidated lump sum payment as per the framework agreement.</w:t>
                            </w:r>
                          </w:p>
                          <w:p w:rsidR="00F66189" w:rsidRPr="00E95D57" w:rsidRDefault="00F66189" w:rsidP="006616E8">
                            <w:pPr>
                              <w:pStyle w:val="ListParagraph"/>
                              <w:numPr>
                                <w:ilvl w:val="0"/>
                                <w:numId w:val="4"/>
                              </w:numPr>
                              <w:jc w:val="both"/>
                              <w:rPr>
                                <w:sz w:val="24"/>
                              </w:rPr>
                            </w:pPr>
                            <w:r w:rsidRPr="00E95D57">
                              <w:rPr>
                                <w:sz w:val="24"/>
                              </w:rPr>
                              <w:t>The budget and spend increase for October represent</w:t>
                            </w:r>
                            <w:r>
                              <w:rPr>
                                <w:sz w:val="24"/>
                              </w:rPr>
                              <w:t>ed</w:t>
                            </w:r>
                            <w:r w:rsidRPr="00E95D57">
                              <w:rPr>
                                <w:sz w:val="24"/>
                              </w:rPr>
                              <w:t xml:space="preserve"> the Med</w:t>
                            </w:r>
                            <w:r>
                              <w:rPr>
                                <w:sz w:val="24"/>
                              </w:rPr>
                              <w:t>ical &amp; Dental pay award, with an</w:t>
                            </w:r>
                            <w:r w:rsidRPr="00E95D57">
                              <w:rPr>
                                <w:sz w:val="24"/>
                              </w:rPr>
                              <w:t xml:space="preserve"> additional £1.8m of budget and £1.5m of expenditure related to the pay</w:t>
                            </w:r>
                            <w:r>
                              <w:rPr>
                                <w:sz w:val="24"/>
                              </w:rPr>
                              <w:t xml:space="preserve"> </w:t>
                            </w:r>
                            <w:r w:rsidRPr="00E95D57">
                              <w:rPr>
                                <w:sz w:val="24"/>
                              </w:rPr>
                              <w:t>award and arrears.</w:t>
                            </w:r>
                          </w:p>
                          <w:p w:rsidR="00F66189" w:rsidRPr="00E95D57" w:rsidRDefault="00F66189" w:rsidP="006616E8">
                            <w:pPr>
                              <w:pStyle w:val="ListParagraph"/>
                              <w:numPr>
                                <w:ilvl w:val="0"/>
                                <w:numId w:val="4"/>
                              </w:numPr>
                              <w:jc w:val="both"/>
                              <w:rPr>
                                <w:sz w:val="24"/>
                              </w:rPr>
                            </w:pPr>
                            <w:r>
                              <w:rPr>
                                <w:sz w:val="24"/>
                              </w:rPr>
                              <w:t>The M11</w:t>
                            </w:r>
                            <w:r w:rsidRPr="00E95D57">
                              <w:rPr>
                                <w:sz w:val="24"/>
                              </w:rPr>
                              <w:t xml:space="preserve"> position is re</w:t>
                            </w:r>
                            <w:r>
                              <w:rPr>
                                <w:sz w:val="24"/>
                              </w:rPr>
                              <w:t xml:space="preserve">porting Pay expenditure of £44.5m compared to a budget of £44.0 </w:t>
                            </w:r>
                            <w:r w:rsidRPr="00E95D57">
                              <w:rPr>
                                <w:sz w:val="24"/>
                              </w:rPr>
                              <w:t>givi</w:t>
                            </w:r>
                            <w:r>
                              <w:rPr>
                                <w:sz w:val="24"/>
                              </w:rPr>
                              <w:t>ng rise to an over spend of £0.5m. This is consistent when</w:t>
                            </w:r>
                            <w:r w:rsidRPr="00E95D57">
                              <w:rPr>
                                <w:sz w:val="24"/>
                              </w:rPr>
                              <w:t xml:space="preserve"> compared to t</w:t>
                            </w:r>
                            <w:r>
                              <w:rPr>
                                <w:sz w:val="24"/>
                              </w:rPr>
                              <w:t>he YTD average overspend of £0.5</w:t>
                            </w:r>
                            <w:r w:rsidRPr="00E95D57">
                              <w:rPr>
                                <w:sz w:val="24"/>
                              </w:rPr>
                              <w:t>m per month.</w:t>
                            </w:r>
                          </w:p>
                          <w:p w:rsidR="00F66189" w:rsidRPr="00D8064E" w:rsidRDefault="00F66189" w:rsidP="006616E8">
                            <w:pPr>
                              <w:pStyle w:val="ListParagraph"/>
                              <w:numPr>
                                <w:ilvl w:val="0"/>
                                <w:numId w:val="4"/>
                              </w:numPr>
                              <w:jc w:val="both"/>
                              <w:rPr>
                                <w:sz w:val="24"/>
                              </w:rPr>
                            </w:pPr>
                            <w:r>
                              <w:rPr>
                                <w:sz w:val="24"/>
                              </w:rPr>
                              <w:t>Agency spend was £3.6m in M11, which remains inconsistent to last month and</w:t>
                            </w:r>
                            <w:r w:rsidRPr="00E95D57">
                              <w:rPr>
                                <w:sz w:val="24"/>
                              </w:rPr>
                              <w:t xml:space="preserve"> the average of the previ</w:t>
                            </w:r>
                            <w:r>
                              <w:rPr>
                                <w:sz w:val="24"/>
                              </w:rPr>
                              <w:t>ous quarter.</w:t>
                            </w:r>
                          </w:p>
                          <w:p w:rsidR="00F66189" w:rsidRPr="006976FC" w:rsidRDefault="00F66189" w:rsidP="006616E8">
                            <w:pPr>
                              <w:pStyle w:val="ListParagraph"/>
                              <w:numPr>
                                <w:ilvl w:val="0"/>
                                <w:numId w:val="4"/>
                              </w:numPr>
                              <w:jc w:val="both"/>
                              <w:rPr>
                                <w:sz w:val="24"/>
                              </w:rPr>
                            </w:pPr>
                            <w:r w:rsidRPr="006976FC">
                              <w:rPr>
                                <w:sz w:val="24"/>
                              </w:rPr>
                              <w:t>The M12 budget profile is s</w:t>
                            </w:r>
                            <w:r>
                              <w:rPr>
                                <w:sz w:val="24"/>
                              </w:rPr>
                              <w:t>howing an increase of circa £0.6</w:t>
                            </w:r>
                            <w:r w:rsidRPr="006976FC">
                              <w:rPr>
                                <w:sz w:val="24"/>
                              </w:rPr>
                              <w:t xml:space="preserve">m which mainly relates to </w:t>
                            </w:r>
                            <w:r>
                              <w:rPr>
                                <w:sz w:val="24"/>
                              </w:rPr>
                              <w:t>General Surgery</w:t>
                            </w:r>
                            <w:r w:rsidRPr="006976FC">
                              <w:rPr>
                                <w:sz w:val="24"/>
                              </w:rPr>
                              <w:t xml:space="preserve"> and Operations Management directorates. These budgets </w:t>
                            </w:r>
                            <w:r>
                              <w:rPr>
                                <w:sz w:val="24"/>
                              </w:rPr>
                              <w:t>reflect the planned increase in costs for M12</w:t>
                            </w:r>
                            <w:r w:rsidRPr="006976FC">
                              <w:rPr>
                                <w:sz w:val="24"/>
                              </w:rPr>
                              <w:t xml:space="preserve">. </w:t>
                            </w:r>
                          </w:p>
                          <w:p w:rsidR="00F66189" w:rsidRPr="000F3492" w:rsidRDefault="00F66189" w:rsidP="0054713E">
                            <w:pPr>
                              <w:pStyle w:val="ListParagraph"/>
                              <w:ind w:left="360"/>
                              <w:jc w:val="both"/>
                              <w:rPr>
                                <w:sz w:val="20"/>
                                <w:szCs w:val="20"/>
                              </w:rPr>
                            </w:pPr>
                          </w:p>
                          <w:p w:rsidR="00F66189" w:rsidRPr="00702A58" w:rsidRDefault="00F66189" w:rsidP="0054713E">
                            <w:pPr>
                              <w:pStyle w:val="ListParagraph"/>
                              <w:rPr>
                                <w:sz w:val="24"/>
                              </w:rPr>
                            </w:pPr>
                          </w:p>
                          <w:p w:rsidR="00F66189" w:rsidRPr="00702A58" w:rsidRDefault="00F66189" w:rsidP="0054713E">
                            <w:pPr>
                              <w:pStyle w:val="ListParagraph"/>
                              <w:ind w:left="360"/>
                              <w:jc w:val="both"/>
                              <w:rPr>
                                <w:sz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4A8C597" id="Text Box 9" o:spid="_x0000_s1031" type="#_x0000_t202" style="position:absolute;left:0;text-align:left;margin-left:42.2pt;margin-top:362.5pt;width:709.5pt;height:179.2pt;z-index:251807744;visibility:visible;mso-wrap-style:square;mso-width-percent:0;mso-height-percent:0;mso-wrap-distance-left:9pt;mso-wrap-distance-top:3.6pt;mso-wrap-distance-right:9pt;mso-wrap-distance-bottom:3.6pt;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" strokecolor="#8eb4e3" strokeweight="1.5pt">
                <v:path arrowok="t"/>
                <v:textbox>
                  <w:txbxContent>
                    <w:p w:rsidR="00F66189" w:rsidRPr="00702A58" w:rsidRDefault="00F66189" w:rsidP="0054713E">
                      <w:pPr>
                        <w:pStyle w:val="ListParagraph"/>
                        <w:ind w:left="0"/>
                        <w:jc w:val="both"/>
                        <w:rPr>
                          <w:b/>
                          <w:sz w:val="24"/>
                        </w:rPr>
                      </w:pPr>
                      <w:r w:rsidRPr="00702A58">
                        <w:rPr>
                          <w:b/>
                          <w:sz w:val="24"/>
                        </w:rPr>
                        <w:t>Key Issues</w:t>
                      </w:r>
                    </w:p>
                    <w:p w:rsidR="00F66189" w:rsidRPr="00702A58" w:rsidRDefault="00F66189" w:rsidP="0054713E">
                      <w:pPr>
                        <w:pStyle w:val="ListParagraph"/>
                        <w:jc w:val="both"/>
                        <w:rPr>
                          <w:sz w:val="16"/>
                          <w:szCs w:val="16"/>
                        </w:rPr>
                      </w:pPr>
                    </w:p>
                    <w:p w:rsidR="00F66189" w:rsidRPr="00E95D57" w:rsidRDefault="00F66189" w:rsidP="006616E8">
                      <w:pPr>
                        <w:pStyle w:val="ListParagraph"/>
                        <w:numPr>
                          <w:ilvl w:val="0"/>
                          <w:numId w:val="4"/>
                        </w:numPr>
                        <w:jc w:val="both"/>
                        <w:rPr>
                          <w:sz w:val="24"/>
                        </w:rPr>
                      </w:pPr>
                      <w:r w:rsidRPr="00E95D57">
                        <w:rPr>
                          <w:sz w:val="24"/>
                        </w:rPr>
                        <w:t xml:space="preserve">The budget and spend for April </w:t>
                      </w:r>
                      <w:r>
                        <w:rPr>
                          <w:sz w:val="24"/>
                        </w:rPr>
                        <w:t xml:space="preserve">was </w:t>
                      </w:r>
                      <w:r w:rsidRPr="00E95D57">
                        <w:rPr>
                          <w:sz w:val="24"/>
                        </w:rPr>
                        <w:t>high because this included £1.6m for the A4C non-consolidated lump sum payment as per the framework agreement.</w:t>
                      </w:r>
                    </w:p>
                    <w:p w:rsidR="00F66189" w:rsidRPr="00E95D57" w:rsidRDefault="00F66189" w:rsidP="006616E8">
                      <w:pPr>
                        <w:pStyle w:val="ListParagraph"/>
                        <w:numPr>
                          <w:ilvl w:val="0"/>
                          <w:numId w:val="4"/>
                        </w:numPr>
                        <w:jc w:val="both"/>
                        <w:rPr>
                          <w:sz w:val="24"/>
                        </w:rPr>
                      </w:pPr>
                      <w:r w:rsidRPr="00E95D57">
                        <w:rPr>
                          <w:sz w:val="24"/>
                        </w:rPr>
                        <w:t>The budget and spend increase for October represent</w:t>
                      </w:r>
                      <w:r>
                        <w:rPr>
                          <w:sz w:val="24"/>
                        </w:rPr>
                        <w:t>ed</w:t>
                      </w:r>
                      <w:r w:rsidRPr="00E95D57">
                        <w:rPr>
                          <w:sz w:val="24"/>
                        </w:rPr>
                        <w:t xml:space="preserve"> the Med</w:t>
                      </w:r>
                      <w:r>
                        <w:rPr>
                          <w:sz w:val="24"/>
                        </w:rPr>
                        <w:t>ical &amp; Dental pay award, with an</w:t>
                      </w:r>
                      <w:r w:rsidRPr="00E95D57">
                        <w:rPr>
                          <w:sz w:val="24"/>
                        </w:rPr>
                        <w:t xml:space="preserve"> additional £1.8m of budget and £1.5m of expenditure related to the pay</w:t>
                      </w:r>
                      <w:r>
                        <w:rPr>
                          <w:sz w:val="24"/>
                        </w:rPr>
                        <w:t xml:space="preserve"> </w:t>
                      </w:r>
                      <w:r w:rsidRPr="00E95D57">
                        <w:rPr>
                          <w:sz w:val="24"/>
                        </w:rPr>
                        <w:t>award and arrears.</w:t>
                      </w:r>
                    </w:p>
                    <w:p w:rsidR="00F66189" w:rsidRPr="00E95D57" w:rsidRDefault="00F66189" w:rsidP="006616E8">
                      <w:pPr>
                        <w:pStyle w:val="ListParagraph"/>
                        <w:numPr>
                          <w:ilvl w:val="0"/>
                          <w:numId w:val="4"/>
                        </w:numPr>
                        <w:jc w:val="both"/>
                        <w:rPr>
                          <w:sz w:val="24"/>
                        </w:rPr>
                      </w:pPr>
                      <w:r>
                        <w:rPr>
                          <w:sz w:val="24"/>
                        </w:rPr>
                        <w:t>The M11</w:t>
                      </w:r>
                      <w:r w:rsidRPr="00E95D57">
                        <w:rPr>
                          <w:sz w:val="24"/>
                        </w:rPr>
                        <w:t xml:space="preserve"> position is re</w:t>
                      </w:r>
                      <w:r>
                        <w:rPr>
                          <w:sz w:val="24"/>
                        </w:rPr>
                        <w:t xml:space="preserve">porting Pay expenditure of £44.5m compared to a budget of £44.0 </w:t>
                      </w:r>
                      <w:r w:rsidRPr="00E95D57">
                        <w:rPr>
                          <w:sz w:val="24"/>
                        </w:rPr>
                        <w:t>givi</w:t>
                      </w:r>
                      <w:r>
                        <w:rPr>
                          <w:sz w:val="24"/>
                        </w:rPr>
                        <w:t>ng rise to an over spend of £0.5m. This is consistent when</w:t>
                      </w:r>
                      <w:r w:rsidRPr="00E95D57">
                        <w:rPr>
                          <w:sz w:val="24"/>
                        </w:rPr>
                        <w:t xml:space="preserve"> compared to t</w:t>
                      </w:r>
                      <w:r>
                        <w:rPr>
                          <w:sz w:val="24"/>
                        </w:rPr>
                        <w:t>he YTD average overspend of £0.5</w:t>
                      </w:r>
                      <w:r w:rsidRPr="00E95D57">
                        <w:rPr>
                          <w:sz w:val="24"/>
                        </w:rPr>
                        <w:t>m per month.</w:t>
                      </w:r>
                    </w:p>
                    <w:p w:rsidR="00F66189" w:rsidRPr="00D8064E" w:rsidRDefault="00F66189" w:rsidP="006616E8">
                      <w:pPr>
                        <w:pStyle w:val="ListParagraph"/>
                        <w:numPr>
                          <w:ilvl w:val="0"/>
                          <w:numId w:val="4"/>
                        </w:numPr>
                        <w:jc w:val="both"/>
                        <w:rPr>
                          <w:sz w:val="24"/>
                        </w:rPr>
                      </w:pPr>
                      <w:r>
                        <w:rPr>
                          <w:sz w:val="24"/>
                        </w:rPr>
                        <w:t>Agency spend was £3.6m in M11, which remains inconsistent to last month and</w:t>
                      </w:r>
                      <w:r w:rsidRPr="00E95D57">
                        <w:rPr>
                          <w:sz w:val="24"/>
                        </w:rPr>
                        <w:t xml:space="preserve"> the average of the previ</w:t>
                      </w:r>
                      <w:r>
                        <w:rPr>
                          <w:sz w:val="24"/>
                        </w:rPr>
                        <w:t>ous quarter.</w:t>
                      </w:r>
                    </w:p>
                    <w:p w:rsidR="00F66189" w:rsidRPr="006976FC" w:rsidRDefault="00F66189" w:rsidP="006616E8">
                      <w:pPr>
                        <w:pStyle w:val="ListParagraph"/>
                        <w:numPr>
                          <w:ilvl w:val="0"/>
                          <w:numId w:val="4"/>
                        </w:numPr>
                        <w:jc w:val="both"/>
                        <w:rPr>
                          <w:sz w:val="24"/>
                        </w:rPr>
                      </w:pPr>
                      <w:r w:rsidRPr="006976FC">
                        <w:rPr>
                          <w:sz w:val="24"/>
                        </w:rPr>
                        <w:t>The M12 budget profile is s</w:t>
                      </w:r>
                      <w:r>
                        <w:rPr>
                          <w:sz w:val="24"/>
                        </w:rPr>
                        <w:t>howing an increase of circa £0.6</w:t>
                      </w:r>
                      <w:r w:rsidRPr="006976FC">
                        <w:rPr>
                          <w:sz w:val="24"/>
                        </w:rPr>
                        <w:t xml:space="preserve">m which mainly relates to </w:t>
                      </w:r>
                      <w:r>
                        <w:rPr>
                          <w:sz w:val="24"/>
                        </w:rPr>
                        <w:t>General Surgery</w:t>
                      </w:r>
                      <w:r w:rsidRPr="006976FC">
                        <w:rPr>
                          <w:sz w:val="24"/>
                        </w:rPr>
                        <w:t xml:space="preserve"> and Operations Management directorates. These budgets </w:t>
                      </w:r>
                      <w:r>
                        <w:rPr>
                          <w:sz w:val="24"/>
                        </w:rPr>
                        <w:t>reflect the planned increase in costs for M12</w:t>
                      </w:r>
                      <w:r w:rsidRPr="006976FC">
                        <w:rPr>
                          <w:sz w:val="24"/>
                        </w:rPr>
                        <w:t xml:space="preserve">. </w:t>
                      </w:r>
                    </w:p>
                    <w:p w:rsidR="00F66189" w:rsidRPr="000F3492" w:rsidRDefault="00F66189" w:rsidP="0054713E">
                      <w:pPr>
                        <w:pStyle w:val="ListParagraph"/>
                        <w:ind w:left="360"/>
                        <w:jc w:val="both"/>
                        <w:rPr>
                          <w:sz w:val="20"/>
                          <w:szCs w:val="20"/>
                        </w:rPr>
                      </w:pPr>
                    </w:p>
                    <w:p w:rsidR="00F66189" w:rsidRPr="00702A58" w:rsidRDefault="00F66189" w:rsidP="0054713E">
                      <w:pPr>
                        <w:pStyle w:val="ListParagraph"/>
                        <w:rPr>
                          <w:sz w:val="24"/>
                        </w:rPr>
                      </w:pPr>
                    </w:p>
                    <w:p w:rsidR="00F66189" w:rsidRPr="00702A58" w:rsidRDefault="00F66189" w:rsidP="0054713E">
                      <w:pPr>
                        <w:pStyle w:val="ListParagraph"/>
                        <w:ind w:left="360"/>
                        <w:jc w:val="both"/>
                        <w:rPr>
                          <w:sz w:val="24"/>
                        </w:rPr>
                      </w:pPr>
                    </w:p>
                  </w:txbxContent>
                </v:textbox>
                <w10:wrap type="square" anchory="page"/>
              </v:shape>
            </w:pict>
          </mc:Fallback>
        </mc:AlternateContent>
      </w:r>
    </w:p>
    <w:p w:rsidR="0054713E" w:rsidRDefault="0054713E" w:rsidP="0054713E">
      <w:pPr>
        <w:ind w:firstLine="720"/>
        <w:jc w:val="both"/>
        <w:rPr>
          <w:b/>
          <w:sz w:val="24"/>
        </w:rPr>
      </w:pPr>
      <w:r w:rsidRPr="006A1831">
        <w:rPr>
          <w:b/>
          <w:sz w:val="24"/>
        </w:rPr>
        <w:t>Performance by Staff Category</w:t>
      </w:r>
    </w:p>
    <w:p w:rsidR="0054713E" w:rsidRPr="006A1831" w:rsidRDefault="0054713E" w:rsidP="0054713E">
      <w:pPr>
        <w:ind w:firstLine="720"/>
        <w:jc w:val="both"/>
        <w:rPr>
          <w:b/>
          <w:sz w:val="24"/>
        </w:rPr>
      </w:pPr>
      <w:r w:rsidRPr="006A1831">
        <w:rPr>
          <w:noProof/>
          <w:lang w:eastAsia="en-GB"/>
        </w:rPr>
        <mc:AlternateContent>
          <mc:Choice Requires="wps">
            <w:drawing>
              <wp:anchor distT="0" distB="0" distL="114300" distR="114300" simplePos="0" relativeHeight="251806720" behindDoc="0" locked="0" layoutInCell="1" allowOverlap="1" wp14:anchorId="594E0F7F" wp14:editId="22B567EF">
                <wp:simplePos x="0" y="0"/>
                <wp:positionH relativeFrom="column">
                  <wp:posOffset>7574280</wp:posOffset>
                </wp:positionH>
                <wp:positionV relativeFrom="paragraph">
                  <wp:posOffset>170815</wp:posOffset>
                </wp:positionV>
                <wp:extent cx="2331720" cy="5350510"/>
                <wp:effectExtent l="0" t="0" r="11430" b="21590"/>
                <wp:wrapNone/>
                <wp:docPr id="33"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331720" cy="5350510"/>
                        </a:xfrm>
                        <a:prstGeom prst="rect">
                          <a:avLst/>
                        </a:prstGeom>
                        <a:solidFill>
                          <a:srgbClr val="FFFFFF"/>
                        </a:solidFill>
                        <a:ln w="19050">
                          <a:solidFill>
                            <a:srgbClr val="8EB4E3"/>
                          </a:solidFill>
                          <a:miter lim="800000"/>
                          <a:headEnd/>
                          <a:tailEnd/>
                        </a:ln>
                      </wps:spPr>
                      <wps:txbx>
                        <w:txbxContent>
                          <w:p w:rsidR="00F66189" w:rsidRPr="0005475C" w:rsidRDefault="00F66189" w:rsidP="0054713E">
                            <w:pPr>
                              <w:rPr>
                                <w:b/>
                                <w:sz w:val="24"/>
                              </w:rPr>
                            </w:pPr>
                            <w:r w:rsidRPr="0005475C">
                              <w:rPr>
                                <w:b/>
                                <w:sz w:val="24"/>
                              </w:rPr>
                              <w:t>Key Issues</w:t>
                            </w:r>
                          </w:p>
                          <w:p w:rsidR="00F66189" w:rsidRPr="00E95D57" w:rsidRDefault="00F66189" w:rsidP="0054713E">
                            <w:pPr>
                              <w:pStyle w:val="ListParagraph"/>
                              <w:ind w:left="360"/>
                              <w:rPr>
                                <w:color w:val="000000"/>
                                <w:sz w:val="24"/>
                                <w:lang w:val="en-US"/>
                              </w:rPr>
                            </w:pPr>
                          </w:p>
                          <w:p w:rsidR="00F66189" w:rsidRPr="007D1C25" w:rsidRDefault="00F66189" w:rsidP="006616E8">
                            <w:pPr>
                              <w:pStyle w:val="ListParagraph"/>
                              <w:numPr>
                                <w:ilvl w:val="0"/>
                                <w:numId w:val="10"/>
                              </w:numPr>
                              <w:ind w:left="426" w:hanging="426"/>
                              <w:rPr>
                                <w:sz w:val="24"/>
                              </w:rPr>
                            </w:pPr>
                            <w:r w:rsidRPr="00E95D57">
                              <w:rPr>
                                <w:sz w:val="24"/>
                              </w:rPr>
                              <w:t>Medical Pay is showing a</w:t>
                            </w:r>
                            <w:r>
                              <w:rPr>
                                <w:sz w:val="24"/>
                              </w:rPr>
                              <w:t xml:space="preserve"> current month overspend of £170k. The YTD overspend at M11 is £2,934</w:t>
                            </w:r>
                            <w:r w:rsidRPr="00E95D57">
                              <w:rPr>
                                <w:sz w:val="24"/>
                              </w:rPr>
                              <w:t>k.</w:t>
                            </w:r>
                          </w:p>
                          <w:p w:rsidR="00F66189" w:rsidRPr="007D1C25" w:rsidRDefault="00F66189" w:rsidP="006616E8">
                            <w:pPr>
                              <w:pStyle w:val="ListParagraph"/>
                              <w:numPr>
                                <w:ilvl w:val="0"/>
                                <w:numId w:val="10"/>
                              </w:numPr>
                              <w:ind w:left="426" w:hanging="426"/>
                              <w:rPr>
                                <w:sz w:val="24"/>
                              </w:rPr>
                            </w:pPr>
                            <w:r w:rsidRPr="00E95D57">
                              <w:rPr>
                                <w:sz w:val="24"/>
                              </w:rPr>
                              <w:t xml:space="preserve">Wards &amp; A&amp;E </w:t>
                            </w:r>
                            <w:r>
                              <w:rPr>
                                <w:sz w:val="24"/>
                              </w:rPr>
                              <w:t xml:space="preserve">nursing </w:t>
                            </w:r>
                            <w:r w:rsidRPr="00E95D57">
                              <w:rPr>
                                <w:sz w:val="24"/>
                              </w:rPr>
                              <w:t>is showing a current month overspend of £</w:t>
                            </w:r>
                            <w:r>
                              <w:rPr>
                                <w:sz w:val="24"/>
                              </w:rPr>
                              <w:t>593k and a M11 YTD overspend of £5,081</w:t>
                            </w:r>
                            <w:r w:rsidRPr="00E95D57">
                              <w:rPr>
                                <w:sz w:val="24"/>
                              </w:rPr>
                              <w:t>k.</w:t>
                            </w:r>
                          </w:p>
                          <w:p w:rsidR="00F66189" w:rsidRPr="00E95D57" w:rsidRDefault="00F66189" w:rsidP="006616E8">
                            <w:pPr>
                              <w:pStyle w:val="ListParagraph"/>
                              <w:numPr>
                                <w:ilvl w:val="0"/>
                                <w:numId w:val="10"/>
                              </w:numPr>
                              <w:ind w:left="426" w:hanging="426"/>
                              <w:rPr>
                                <w:sz w:val="24"/>
                              </w:rPr>
                            </w:pPr>
                            <w:r>
                              <w:rPr>
                                <w:sz w:val="24"/>
                              </w:rPr>
                              <w:t>Other Nursing is showing a current month underspend of £234k, which gives a M11 YTD underspend of £1,536k.</w:t>
                            </w:r>
                          </w:p>
                          <w:p w:rsidR="00F66189" w:rsidRPr="00E95D57" w:rsidRDefault="00F66189" w:rsidP="006616E8">
                            <w:pPr>
                              <w:pStyle w:val="ListParagraph"/>
                              <w:numPr>
                                <w:ilvl w:val="0"/>
                                <w:numId w:val="10"/>
                              </w:numPr>
                              <w:ind w:left="426" w:hanging="426"/>
                              <w:rPr>
                                <w:sz w:val="24"/>
                              </w:rPr>
                            </w:pPr>
                            <w:r w:rsidRPr="00E95D57">
                              <w:rPr>
                                <w:sz w:val="24"/>
                              </w:rPr>
                              <w:t>Significant YTD underspends are being reported for :</w:t>
                            </w:r>
                          </w:p>
                          <w:p w:rsidR="00F66189" w:rsidRPr="00E95D57" w:rsidRDefault="00F66189" w:rsidP="0054713E">
                            <w:pPr>
                              <w:pStyle w:val="ListParagraph"/>
                              <w:rPr>
                                <w:sz w:val="24"/>
                              </w:rPr>
                            </w:pPr>
                          </w:p>
                          <w:p w:rsidR="00F66189" w:rsidRPr="00E95D57" w:rsidRDefault="00F66189" w:rsidP="006616E8">
                            <w:pPr>
                              <w:pStyle w:val="ListParagraph"/>
                              <w:numPr>
                                <w:ilvl w:val="0"/>
                                <w:numId w:val="22"/>
                              </w:numPr>
                              <w:rPr>
                                <w:sz w:val="24"/>
                              </w:rPr>
                            </w:pPr>
                            <w:r>
                              <w:rPr>
                                <w:sz w:val="24"/>
                              </w:rPr>
                              <w:t>Allied Health Professionals £847</w:t>
                            </w:r>
                            <w:r w:rsidRPr="00E95D57">
                              <w:rPr>
                                <w:sz w:val="24"/>
                              </w:rPr>
                              <w:t>k</w:t>
                            </w:r>
                          </w:p>
                          <w:p w:rsidR="00F66189" w:rsidRPr="00E95D57" w:rsidRDefault="00F66189" w:rsidP="006616E8">
                            <w:pPr>
                              <w:pStyle w:val="ListParagraph"/>
                              <w:numPr>
                                <w:ilvl w:val="0"/>
                                <w:numId w:val="22"/>
                              </w:numPr>
                              <w:rPr>
                                <w:sz w:val="24"/>
                              </w:rPr>
                            </w:pPr>
                            <w:r>
                              <w:rPr>
                                <w:sz w:val="24"/>
                              </w:rPr>
                              <w:t>Admin &amp; Clerical £1,331</w:t>
                            </w:r>
                            <w:r w:rsidRPr="00E95D57">
                              <w:rPr>
                                <w:sz w:val="24"/>
                              </w:rPr>
                              <w:t>k</w:t>
                            </w:r>
                          </w:p>
                          <w:p w:rsidR="00F66189" w:rsidRPr="00E95D57" w:rsidRDefault="00F66189" w:rsidP="006616E8">
                            <w:pPr>
                              <w:pStyle w:val="ListParagraph"/>
                              <w:numPr>
                                <w:ilvl w:val="0"/>
                                <w:numId w:val="22"/>
                              </w:numPr>
                              <w:rPr>
                                <w:sz w:val="24"/>
                              </w:rPr>
                            </w:pPr>
                            <w:r>
                              <w:rPr>
                                <w:sz w:val="24"/>
                              </w:rPr>
                              <w:t>Add Prof &amp; Scientific £882</w:t>
                            </w:r>
                            <w:r w:rsidRPr="00E95D57">
                              <w:rPr>
                                <w:sz w:val="24"/>
                              </w:rPr>
                              <w:t xml:space="preserve">k </w:t>
                            </w:r>
                          </w:p>
                          <w:p w:rsidR="00F66189" w:rsidRDefault="00F66189" w:rsidP="0054713E">
                            <w:pPr>
                              <w:pStyle w:val="ListParagraph"/>
                              <w:ind w:left="360"/>
                              <w:rPr>
                                <w:color w:val="000000"/>
                                <w:sz w:val="24"/>
                                <w:lang w:val="en-US"/>
                              </w:rPr>
                            </w:pPr>
                          </w:p>
                          <w:p w:rsidR="00F66189" w:rsidRPr="00A51E2D" w:rsidRDefault="00F66189" w:rsidP="0054713E">
                            <w:pPr>
                              <w:pStyle w:val="ListParagraph"/>
                              <w:ind w:left="360"/>
                              <w:rPr>
                                <w:color w:val="000000"/>
                                <w:sz w:val="24"/>
                                <w:highlight w:val="yellow"/>
                                <w:lang w:val="en-US"/>
                              </w:rPr>
                            </w:pPr>
                          </w:p>
                          <w:p w:rsidR="00F66189" w:rsidRPr="00A51E2D" w:rsidRDefault="00F66189" w:rsidP="0054713E">
                            <w:pPr>
                              <w:pStyle w:val="ListParagraph"/>
                              <w:ind w:left="360"/>
                              <w:rPr>
                                <w:color w:val="000000"/>
                                <w:sz w:val="24"/>
                                <w:highlight w:val="yellow"/>
                                <w:lang w:val="en-US"/>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94E0F7F" id="Text Box 27" o:spid="_x0000_s1032" type="#_x0000_t202" style="position:absolute;left:0;text-align:left;margin-left:596.4pt;margin-top:13.45pt;width:183.6pt;height:421.3pt;z-index:251806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" strokecolor="#8eb4e3" strokeweight="1.5pt">
                <v:path arrowok="t"/>
                <v:textbox>
                  <w:txbxContent>
                    <w:p w:rsidR="00F66189" w:rsidRPr="0005475C" w:rsidRDefault="00F66189" w:rsidP="0054713E">
                      <w:pPr>
                        <w:rPr>
                          <w:b/>
                          <w:sz w:val="24"/>
                        </w:rPr>
                      </w:pPr>
                      <w:r w:rsidRPr="0005475C">
                        <w:rPr>
                          <w:b/>
                          <w:sz w:val="24"/>
                        </w:rPr>
                        <w:t>Key Issues</w:t>
                      </w:r>
                    </w:p>
                    <w:p w:rsidR="00F66189" w:rsidRPr="00E95D57" w:rsidRDefault="00F66189" w:rsidP="0054713E">
                      <w:pPr>
                        <w:pStyle w:val="ListParagraph"/>
                        <w:ind w:left="360"/>
                        <w:rPr>
                          <w:color w:val="000000"/>
                          <w:sz w:val="24"/>
                          <w:lang w:val="en-US"/>
                        </w:rPr>
                      </w:pPr>
                    </w:p>
                    <w:p w:rsidR="00F66189" w:rsidRPr="007D1C25" w:rsidRDefault="00F66189" w:rsidP="006616E8">
                      <w:pPr>
                        <w:pStyle w:val="ListParagraph"/>
                        <w:numPr>
                          <w:ilvl w:val="0"/>
                          <w:numId w:val="10"/>
                        </w:numPr>
                        <w:ind w:left="426" w:hanging="426"/>
                        <w:rPr>
                          <w:sz w:val="24"/>
                        </w:rPr>
                      </w:pPr>
                      <w:r w:rsidRPr="00E95D57">
                        <w:rPr>
                          <w:sz w:val="24"/>
                        </w:rPr>
                        <w:t>Medical Pay is showing a</w:t>
                      </w:r>
                      <w:r>
                        <w:rPr>
                          <w:sz w:val="24"/>
                        </w:rPr>
                        <w:t xml:space="preserve"> current month overspend of £170k. The YTD overspend at M11 is £2,934</w:t>
                      </w:r>
                      <w:r w:rsidRPr="00E95D57">
                        <w:rPr>
                          <w:sz w:val="24"/>
                        </w:rPr>
                        <w:t>k.</w:t>
                      </w:r>
                    </w:p>
                    <w:p w:rsidR="00F66189" w:rsidRPr="007D1C25" w:rsidRDefault="00F66189" w:rsidP="006616E8">
                      <w:pPr>
                        <w:pStyle w:val="ListParagraph"/>
                        <w:numPr>
                          <w:ilvl w:val="0"/>
                          <w:numId w:val="10"/>
                        </w:numPr>
                        <w:ind w:left="426" w:hanging="426"/>
                        <w:rPr>
                          <w:sz w:val="24"/>
                        </w:rPr>
                      </w:pPr>
                      <w:r w:rsidRPr="00E95D57">
                        <w:rPr>
                          <w:sz w:val="24"/>
                        </w:rPr>
                        <w:t xml:space="preserve">Wards &amp; A&amp;E </w:t>
                      </w:r>
                      <w:r>
                        <w:rPr>
                          <w:sz w:val="24"/>
                        </w:rPr>
                        <w:t xml:space="preserve">nursing </w:t>
                      </w:r>
                      <w:r w:rsidRPr="00E95D57">
                        <w:rPr>
                          <w:sz w:val="24"/>
                        </w:rPr>
                        <w:t>is showing a current month overspend of £</w:t>
                      </w:r>
                      <w:r>
                        <w:rPr>
                          <w:sz w:val="24"/>
                        </w:rPr>
                        <w:t>593k and a M11 YTD overspend of £5,081</w:t>
                      </w:r>
                      <w:r w:rsidRPr="00E95D57">
                        <w:rPr>
                          <w:sz w:val="24"/>
                        </w:rPr>
                        <w:t>k.</w:t>
                      </w:r>
                    </w:p>
                    <w:p w:rsidR="00F66189" w:rsidRPr="00E95D57" w:rsidRDefault="00F66189" w:rsidP="006616E8">
                      <w:pPr>
                        <w:pStyle w:val="ListParagraph"/>
                        <w:numPr>
                          <w:ilvl w:val="0"/>
                          <w:numId w:val="10"/>
                        </w:numPr>
                        <w:ind w:left="426" w:hanging="426"/>
                        <w:rPr>
                          <w:sz w:val="24"/>
                        </w:rPr>
                      </w:pPr>
                      <w:r>
                        <w:rPr>
                          <w:sz w:val="24"/>
                        </w:rPr>
                        <w:t>Other Nursing is showing a current month underspend of £234k, which gives a M11 YTD underspend of £1,536k.</w:t>
                      </w:r>
                    </w:p>
                    <w:p w:rsidR="00F66189" w:rsidRPr="00E95D57" w:rsidRDefault="00F66189" w:rsidP="006616E8">
                      <w:pPr>
                        <w:pStyle w:val="ListParagraph"/>
                        <w:numPr>
                          <w:ilvl w:val="0"/>
                          <w:numId w:val="10"/>
                        </w:numPr>
                        <w:ind w:left="426" w:hanging="426"/>
                        <w:rPr>
                          <w:sz w:val="24"/>
                        </w:rPr>
                      </w:pPr>
                      <w:r w:rsidRPr="00E95D57">
                        <w:rPr>
                          <w:sz w:val="24"/>
                        </w:rPr>
                        <w:t>Significant YTD underspends are being reported for :</w:t>
                      </w:r>
                    </w:p>
                    <w:p w:rsidR="00F66189" w:rsidRPr="00E95D57" w:rsidRDefault="00F66189" w:rsidP="0054713E">
                      <w:pPr>
                        <w:pStyle w:val="ListParagraph"/>
                        <w:rPr>
                          <w:sz w:val="24"/>
                        </w:rPr>
                      </w:pPr>
                    </w:p>
                    <w:p w:rsidR="00F66189" w:rsidRPr="00E95D57" w:rsidRDefault="00F66189" w:rsidP="006616E8">
                      <w:pPr>
                        <w:pStyle w:val="ListParagraph"/>
                        <w:numPr>
                          <w:ilvl w:val="0"/>
                          <w:numId w:val="22"/>
                        </w:numPr>
                        <w:rPr>
                          <w:sz w:val="24"/>
                        </w:rPr>
                      </w:pPr>
                      <w:r>
                        <w:rPr>
                          <w:sz w:val="24"/>
                        </w:rPr>
                        <w:t>Allied Health Professionals £847</w:t>
                      </w:r>
                      <w:r w:rsidRPr="00E95D57">
                        <w:rPr>
                          <w:sz w:val="24"/>
                        </w:rPr>
                        <w:t>k</w:t>
                      </w:r>
                    </w:p>
                    <w:p w:rsidR="00F66189" w:rsidRPr="00E95D57" w:rsidRDefault="00F66189" w:rsidP="006616E8">
                      <w:pPr>
                        <w:pStyle w:val="ListParagraph"/>
                        <w:numPr>
                          <w:ilvl w:val="0"/>
                          <w:numId w:val="22"/>
                        </w:numPr>
                        <w:rPr>
                          <w:sz w:val="24"/>
                        </w:rPr>
                      </w:pPr>
                      <w:r>
                        <w:rPr>
                          <w:sz w:val="24"/>
                        </w:rPr>
                        <w:t>Admin &amp; Clerical £1,331</w:t>
                      </w:r>
                      <w:r w:rsidRPr="00E95D57">
                        <w:rPr>
                          <w:sz w:val="24"/>
                        </w:rPr>
                        <w:t>k</w:t>
                      </w:r>
                    </w:p>
                    <w:p w:rsidR="00F66189" w:rsidRPr="00E95D57" w:rsidRDefault="00F66189" w:rsidP="006616E8">
                      <w:pPr>
                        <w:pStyle w:val="ListParagraph"/>
                        <w:numPr>
                          <w:ilvl w:val="0"/>
                          <w:numId w:val="22"/>
                        </w:numPr>
                        <w:rPr>
                          <w:sz w:val="24"/>
                        </w:rPr>
                      </w:pPr>
                      <w:r>
                        <w:rPr>
                          <w:sz w:val="24"/>
                        </w:rPr>
                        <w:t>Add Prof &amp; Scientific £882</w:t>
                      </w:r>
                      <w:r w:rsidRPr="00E95D57">
                        <w:rPr>
                          <w:sz w:val="24"/>
                        </w:rPr>
                        <w:t xml:space="preserve">k </w:t>
                      </w:r>
                    </w:p>
                    <w:p w:rsidR="00F66189" w:rsidRDefault="00F66189" w:rsidP="0054713E">
                      <w:pPr>
                        <w:pStyle w:val="ListParagraph"/>
                        <w:ind w:left="360"/>
                        <w:rPr>
                          <w:color w:val="000000"/>
                          <w:sz w:val="24"/>
                          <w:lang w:val="en-US"/>
                        </w:rPr>
                      </w:pPr>
                    </w:p>
                    <w:p w:rsidR="00F66189" w:rsidRPr="00A51E2D" w:rsidRDefault="00F66189" w:rsidP="0054713E">
                      <w:pPr>
                        <w:pStyle w:val="ListParagraph"/>
                        <w:ind w:left="360"/>
                        <w:rPr>
                          <w:color w:val="000000"/>
                          <w:sz w:val="24"/>
                          <w:highlight w:val="yellow"/>
                          <w:lang w:val="en-US"/>
                        </w:rPr>
                      </w:pPr>
                    </w:p>
                    <w:p w:rsidR="00F66189" w:rsidRPr="00A51E2D" w:rsidRDefault="00F66189" w:rsidP="0054713E">
                      <w:pPr>
                        <w:pStyle w:val="ListParagraph"/>
                        <w:ind w:left="360"/>
                        <w:rPr>
                          <w:color w:val="000000"/>
                          <w:sz w:val="24"/>
                          <w:highlight w:val="yellow"/>
                          <w:lang w:val="en-US"/>
                        </w:rPr>
                      </w:pPr>
                    </w:p>
                  </w:txbxContent>
                </v:textbox>
              </v:shape>
            </w:pict>
          </mc:Fallback>
        </mc:AlternateContent>
      </w:r>
    </w:p>
    <w:tbl>
      <w:tblPr>
        <w:tblW w:w="10915" w:type="dxa"/>
        <w:tblInd w:w="817" w:type="dxa"/>
        <w:tblLayout w:type="fixed"/>
        <w:tblLook w:val="04A0" w:firstRow="1" w:lastRow="0" w:firstColumn="1" w:lastColumn="0" w:noHBand="0" w:noVBand="1"/>
      </w:tblPr>
      <w:tblGrid>
        <w:gridCol w:w="3827"/>
        <w:gridCol w:w="1560"/>
        <w:gridCol w:w="1984"/>
        <w:gridCol w:w="1559"/>
        <w:gridCol w:w="1985"/>
      </w:tblGrid>
      <w:tr w:rsidR="0054713E" w:rsidRPr="006A1831" w:rsidTr="003C4364">
        <w:trPr>
          <w:trHeight w:val="510"/>
        </w:trPr>
        <w:tc>
          <w:tcPr>
            <w:tcW w:w="3827" w:type="dxa"/>
            <w:tcBorders>
              <w:top w:val="single" w:sz="8" w:space="0" w:color="auto"/>
              <w:left w:val="single" w:sz="8" w:space="0" w:color="auto"/>
              <w:bottom w:val="nil"/>
              <w:right w:val="single" w:sz="8" w:space="0" w:color="auto"/>
            </w:tcBorders>
            <w:shd w:val="clear" w:color="auto" w:fill="auto"/>
            <w:hideMark/>
          </w:tcPr>
          <w:p w:rsidR="0054713E" w:rsidRPr="006A1831" w:rsidRDefault="0054713E" w:rsidP="003C4364">
            <w:pPr>
              <w:rPr>
                <w:color w:val="000000"/>
                <w:sz w:val="20"/>
                <w:szCs w:val="20"/>
                <w:lang w:val="en-US"/>
              </w:rPr>
            </w:pPr>
            <w:r w:rsidRPr="006A1831">
              <w:rPr>
                <w:color w:val="000000"/>
                <w:sz w:val="20"/>
                <w:szCs w:val="20"/>
                <w:lang w:val="en-US"/>
              </w:rPr>
              <w:t> </w:t>
            </w:r>
          </w:p>
        </w:tc>
        <w:tc>
          <w:tcPr>
            <w:tcW w:w="1560" w:type="dxa"/>
            <w:tcBorders>
              <w:top w:val="single" w:sz="8" w:space="0" w:color="auto"/>
              <w:left w:val="nil"/>
              <w:bottom w:val="nil"/>
              <w:right w:val="single" w:sz="8" w:space="0" w:color="auto"/>
            </w:tcBorders>
            <w:shd w:val="clear" w:color="auto" w:fill="auto"/>
            <w:hideMark/>
          </w:tcPr>
          <w:p w:rsidR="0054713E" w:rsidRPr="006A1831" w:rsidRDefault="0054713E" w:rsidP="003C4364">
            <w:pPr>
              <w:jc w:val="center"/>
              <w:rPr>
                <w:b/>
                <w:bCs/>
                <w:color w:val="000000"/>
                <w:sz w:val="20"/>
                <w:szCs w:val="20"/>
                <w:lang w:val="en-US"/>
              </w:rPr>
            </w:pPr>
            <w:r w:rsidRPr="006A1831">
              <w:rPr>
                <w:rFonts w:cs="Arial"/>
                <w:b/>
                <w:bCs/>
                <w:color w:val="000000"/>
                <w:sz w:val="20"/>
                <w:szCs w:val="20"/>
                <w:lang w:eastAsia="en-GB"/>
              </w:rPr>
              <w:t>Annual Budget</w:t>
            </w:r>
          </w:p>
        </w:tc>
        <w:tc>
          <w:tcPr>
            <w:tcW w:w="1984" w:type="dxa"/>
            <w:tcBorders>
              <w:top w:val="single" w:sz="8" w:space="0" w:color="auto"/>
              <w:left w:val="nil"/>
              <w:bottom w:val="nil"/>
              <w:right w:val="nil"/>
            </w:tcBorders>
            <w:shd w:val="clear" w:color="auto" w:fill="auto"/>
            <w:hideMark/>
          </w:tcPr>
          <w:p w:rsidR="0054713E" w:rsidRPr="006A1831" w:rsidRDefault="0054713E" w:rsidP="003C4364">
            <w:pPr>
              <w:jc w:val="center"/>
              <w:rPr>
                <w:b/>
                <w:bCs/>
                <w:color w:val="000000"/>
                <w:sz w:val="20"/>
                <w:szCs w:val="20"/>
                <w:lang w:val="en-US"/>
              </w:rPr>
            </w:pPr>
            <w:r w:rsidRPr="006A1831">
              <w:rPr>
                <w:rFonts w:cs="Arial"/>
                <w:b/>
                <w:bCs/>
                <w:color w:val="000000"/>
                <w:sz w:val="20"/>
                <w:szCs w:val="20"/>
                <w:lang w:eastAsia="en-GB"/>
              </w:rPr>
              <w:t>Current Month Variance</w:t>
            </w:r>
          </w:p>
        </w:tc>
        <w:tc>
          <w:tcPr>
            <w:tcW w:w="1559" w:type="dxa"/>
            <w:tcBorders>
              <w:top w:val="single" w:sz="8" w:space="0" w:color="auto"/>
              <w:left w:val="single" w:sz="4" w:space="0" w:color="auto"/>
              <w:bottom w:val="nil"/>
              <w:right w:val="single" w:sz="4" w:space="0" w:color="auto"/>
            </w:tcBorders>
            <w:shd w:val="clear" w:color="auto" w:fill="auto"/>
            <w:hideMark/>
          </w:tcPr>
          <w:p w:rsidR="0054713E" w:rsidRPr="006A1831" w:rsidRDefault="0054713E" w:rsidP="003C4364">
            <w:pPr>
              <w:jc w:val="center"/>
              <w:rPr>
                <w:rFonts w:cs="Arial"/>
                <w:b/>
                <w:bCs/>
                <w:color w:val="000000"/>
                <w:sz w:val="20"/>
                <w:szCs w:val="20"/>
                <w:lang w:eastAsia="en-GB"/>
              </w:rPr>
            </w:pPr>
            <w:r w:rsidRPr="006A1831">
              <w:rPr>
                <w:rFonts w:cs="Arial"/>
                <w:b/>
                <w:bCs/>
                <w:color w:val="000000"/>
                <w:sz w:val="20"/>
                <w:szCs w:val="20"/>
                <w:lang w:eastAsia="en-GB"/>
              </w:rPr>
              <w:t>Year to Date Variance</w:t>
            </w:r>
          </w:p>
        </w:tc>
        <w:tc>
          <w:tcPr>
            <w:tcW w:w="1985" w:type="dxa"/>
            <w:tcBorders>
              <w:top w:val="single" w:sz="8" w:space="0" w:color="auto"/>
              <w:left w:val="nil"/>
              <w:bottom w:val="nil"/>
              <w:right w:val="single" w:sz="8" w:space="0" w:color="auto"/>
            </w:tcBorders>
            <w:shd w:val="clear" w:color="auto" w:fill="auto"/>
            <w:hideMark/>
          </w:tcPr>
          <w:p w:rsidR="0054713E" w:rsidRPr="006A1831" w:rsidRDefault="0054713E" w:rsidP="003C4364">
            <w:pPr>
              <w:jc w:val="center"/>
              <w:rPr>
                <w:b/>
                <w:bCs/>
                <w:color w:val="000000"/>
                <w:sz w:val="20"/>
                <w:szCs w:val="20"/>
                <w:lang w:val="en-US"/>
              </w:rPr>
            </w:pPr>
            <w:r w:rsidRPr="006A1831">
              <w:rPr>
                <w:rFonts w:cs="Arial"/>
                <w:b/>
                <w:bCs/>
                <w:color w:val="000000"/>
                <w:sz w:val="20"/>
                <w:szCs w:val="20"/>
                <w:lang w:eastAsia="en-GB"/>
              </w:rPr>
              <w:t>YTD Variance as % of YTD budget</w:t>
            </w:r>
          </w:p>
        </w:tc>
      </w:tr>
      <w:tr w:rsidR="0054713E" w:rsidRPr="006A1831" w:rsidTr="003C4364">
        <w:trPr>
          <w:trHeight w:val="270"/>
        </w:trPr>
        <w:tc>
          <w:tcPr>
            <w:tcW w:w="3827" w:type="dxa"/>
            <w:tcBorders>
              <w:top w:val="nil"/>
              <w:left w:val="single" w:sz="8" w:space="0" w:color="auto"/>
              <w:bottom w:val="single" w:sz="8" w:space="0" w:color="auto"/>
              <w:right w:val="single" w:sz="8" w:space="0" w:color="auto"/>
            </w:tcBorders>
            <w:shd w:val="clear" w:color="auto" w:fill="auto"/>
            <w:hideMark/>
          </w:tcPr>
          <w:p w:rsidR="0054713E" w:rsidRPr="006A1831" w:rsidRDefault="0054713E" w:rsidP="003C4364">
            <w:pPr>
              <w:jc w:val="both"/>
              <w:rPr>
                <w:b/>
                <w:bCs/>
                <w:color w:val="000000"/>
                <w:sz w:val="20"/>
                <w:szCs w:val="20"/>
                <w:lang w:val="en-US"/>
              </w:rPr>
            </w:pPr>
            <w:r w:rsidRPr="006A1831">
              <w:rPr>
                <w:rFonts w:cs="Arial"/>
                <w:b/>
                <w:bCs/>
                <w:color w:val="000000"/>
                <w:sz w:val="20"/>
                <w:szCs w:val="20"/>
                <w:lang w:eastAsia="en-GB"/>
              </w:rPr>
              <w:t> </w:t>
            </w:r>
          </w:p>
        </w:tc>
        <w:tc>
          <w:tcPr>
            <w:tcW w:w="1560" w:type="dxa"/>
            <w:tcBorders>
              <w:top w:val="nil"/>
              <w:left w:val="nil"/>
              <w:bottom w:val="single" w:sz="8" w:space="0" w:color="auto"/>
              <w:right w:val="single" w:sz="8" w:space="0" w:color="auto"/>
            </w:tcBorders>
            <w:shd w:val="clear" w:color="auto" w:fill="auto"/>
            <w:hideMark/>
          </w:tcPr>
          <w:p w:rsidR="0054713E" w:rsidRPr="006A1831" w:rsidRDefault="0054713E" w:rsidP="003C4364">
            <w:pPr>
              <w:jc w:val="center"/>
              <w:rPr>
                <w:b/>
                <w:bCs/>
                <w:color w:val="000000"/>
                <w:sz w:val="20"/>
                <w:szCs w:val="20"/>
                <w:lang w:val="en-US"/>
              </w:rPr>
            </w:pPr>
            <w:r w:rsidRPr="006A1831">
              <w:rPr>
                <w:rFonts w:cs="Arial"/>
                <w:b/>
                <w:bCs/>
                <w:color w:val="000000"/>
                <w:sz w:val="20"/>
                <w:szCs w:val="20"/>
                <w:lang w:eastAsia="en-GB"/>
              </w:rPr>
              <w:t>£'000</w:t>
            </w:r>
          </w:p>
        </w:tc>
        <w:tc>
          <w:tcPr>
            <w:tcW w:w="1984" w:type="dxa"/>
            <w:tcBorders>
              <w:top w:val="nil"/>
              <w:left w:val="nil"/>
              <w:bottom w:val="single" w:sz="8" w:space="0" w:color="auto"/>
              <w:right w:val="nil"/>
            </w:tcBorders>
            <w:shd w:val="clear" w:color="auto" w:fill="auto"/>
            <w:hideMark/>
          </w:tcPr>
          <w:p w:rsidR="0054713E" w:rsidRPr="006A1831" w:rsidRDefault="0054713E" w:rsidP="003C4364">
            <w:pPr>
              <w:jc w:val="center"/>
              <w:rPr>
                <w:b/>
                <w:bCs/>
                <w:color w:val="000000"/>
                <w:sz w:val="20"/>
                <w:szCs w:val="20"/>
                <w:lang w:val="en-US"/>
              </w:rPr>
            </w:pPr>
            <w:r w:rsidRPr="006A1831">
              <w:rPr>
                <w:rFonts w:cs="Arial"/>
                <w:b/>
                <w:bCs/>
                <w:color w:val="000000"/>
                <w:sz w:val="20"/>
                <w:szCs w:val="20"/>
                <w:lang w:eastAsia="en-GB"/>
              </w:rPr>
              <w:t>£'000</w:t>
            </w:r>
          </w:p>
        </w:tc>
        <w:tc>
          <w:tcPr>
            <w:tcW w:w="1559" w:type="dxa"/>
            <w:tcBorders>
              <w:top w:val="nil"/>
              <w:left w:val="single" w:sz="4" w:space="0" w:color="auto"/>
              <w:bottom w:val="single" w:sz="8" w:space="0" w:color="auto"/>
              <w:right w:val="single" w:sz="4" w:space="0" w:color="auto"/>
            </w:tcBorders>
            <w:shd w:val="clear" w:color="auto" w:fill="auto"/>
            <w:hideMark/>
          </w:tcPr>
          <w:p w:rsidR="0054713E" w:rsidRPr="006A1831" w:rsidRDefault="0054713E" w:rsidP="003C4364">
            <w:pPr>
              <w:jc w:val="center"/>
              <w:rPr>
                <w:b/>
                <w:bCs/>
                <w:color w:val="000000"/>
                <w:sz w:val="20"/>
                <w:szCs w:val="20"/>
                <w:lang w:val="en-US"/>
              </w:rPr>
            </w:pPr>
            <w:r w:rsidRPr="006A1831">
              <w:rPr>
                <w:rFonts w:cs="Arial"/>
                <w:b/>
                <w:bCs/>
                <w:color w:val="000000"/>
                <w:sz w:val="20"/>
                <w:szCs w:val="20"/>
                <w:lang w:eastAsia="en-GB"/>
              </w:rPr>
              <w:t>£'000</w:t>
            </w:r>
          </w:p>
        </w:tc>
        <w:tc>
          <w:tcPr>
            <w:tcW w:w="1985" w:type="dxa"/>
            <w:tcBorders>
              <w:top w:val="nil"/>
              <w:left w:val="nil"/>
              <w:bottom w:val="single" w:sz="8" w:space="0" w:color="auto"/>
              <w:right w:val="single" w:sz="8" w:space="0" w:color="auto"/>
            </w:tcBorders>
            <w:shd w:val="clear" w:color="auto" w:fill="auto"/>
            <w:hideMark/>
          </w:tcPr>
          <w:p w:rsidR="0054713E" w:rsidRPr="006A1831" w:rsidRDefault="0054713E" w:rsidP="003C4364">
            <w:pPr>
              <w:jc w:val="center"/>
              <w:rPr>
                <w:b/>
                <w:bCs/>
                <w:color w:val="000000"/>
                <w:sz w:val="20"/>
                <w:szCs w:val="20"/>
                <w:lang w:val="en-US"/>
              </w:rPr>
            </w:pPr>
            <w:r w:rsidRPr="006A1831">
              <w:rPr>
                <w:rFonts w:cs="Arial"/>
                <w:b/>
                <w:bCs/>
                <w:color w:val="000000"/>
                <w:sz w:val="20"/>
                <w:szCs w:val="20"/>
                <w:lang w:eastAsia="en-GB"/>
              </w:rPr>
              <w:t>%</w:t>
            </w:r>
          </w:p>
        </w:tc>
      </w:tr>
      <w:tr w:rsidR="00C02CB5" w:rsidRPr="006A1831" w:rsidTr="003C4364">
        <w:trPr>
          <w:trHeight w:val="340"/>
        </w:trPr>
        <w:tc>
          <w:tcPr>
            <w:tcW w:w="3827" w:type="dxa"/>
            <w:tcBorders>
              <w:top w:val="nil"/>
              <w:left w:val="single" w:sz="8" w:space="0" w:color="auto"/>
              <w:bottom w:val="nil"/>
              <w:right w:val="single" w:sz="8" w:space="0" w:color="auto"/>
            </w:tcBorders>
            <w:shd w:val="clear" w:color="auto" w:fill="auto"/>
            <w:vAlign w:val="bottom"/>
            <w:hideMark/>
          </w:tcPr>
          <w:p w:rsidR="00C02CB5" w:rsidRPr="006A1831" w:rsidRDefault="00C02CB5" w:rsidP="00C02CB5">
            <w:pPr>
              <w:rPr>
                <w:b/>
                <w:bCs/>
                <w:color w:val="000000"/>
                <w:sz w:val="20"/>
                <w:szCs w:val="20"/>
                <w:lang w:val="en-US"/>
              </w:rPr>
            </w:pPr>
            <w:r w:rsidRPr="006A1831">
              <w:rPr>
                <w:rFonts w:cs="Arial"/>
                <w:b/>
                <w:bCs/>
                <w:color w:val="000000"/>
                <w:sz w:val="20"/>
                <w:szCs w:val="20"/>
              </w:rPr>
              <w:t>Medical And Dental</w:t>
            </w:r>
          </w:p>
        </w:tc>
        <w:tc>
          <w:tcPr>
            <w:tcW w:w="1560" w:type="dxa"/>
            <w:tcBorders>
              <w:top w:val="nil"/>
              <w:left w:val="nil"/>
              <w:bottom w:val="nil"/>
              <w:right w:val="single" w:sz="8" w:space="0" w:color="auto"/>
            </w:tcBorders>
            <w:shd w:val="clear" w:color="auto" w:fill="auto"/>
            <w:vAlign w:val="center"/>
            <w:hideMark/>
          </w:tcPr>
          <w:p w:rsidR="00C02CB5" w:rsidRDefault="00C02CB5" w:rsidP="00C02CB5">
            <w:pPr>
              <w:jc w:val="right"/>
              <w:rPr>
                <w:b/>
                <w:bCs/>
                <w:color w:val="000000"/>
                <w:sz w:val="20"/>
                <w:szCs w:val="20"/>
                <w:lang w:eastAsia="en-GB"/>
              </w:rPr>
            </w:pPr>
            <w:r>
              <w:rPr>
                <w:b/>
                <w:bCs/>
                <w:color w:val="000000"/>
                <w:sz w:val="20"/>
                <w:szCs w:val="20"/>
              </w:rPr>
              <w:t>134,445</w:t>
            </w:r>
          </w:p>
        </w:tc>
        <w:tc>
          <w:tcPr>
            <w:tcW w:w="1984" w:type="dxa"/>
            <w:tcBorders>
              <w:top w:val="single" w:sz="8" w:space="0" w:color="auto"/>
              <w:left w:val="nil"/>
              <w:bottom w:val="nil"/>
              <w:right w:val="nil"/>
            </w:tcBorders>
            <w:shd w:val="clear" w:color="auto" w:fill="auto"/>
            <w:vAlign w:val="center"/>
            <w:hideMark/>
          </w:tcPr>
          <w:p w:rsidR="00C02CB5" w:rsidRDefault="00C02CB5" w:rsidP="00C02CB5">
            <w:pPr>
              <w:jc w:val="right"/>
              <w:rPr>
                <w:b/>
                <w:bCs/>
                <w:color w:val="000000"/>
                <w:sz w:val="20"/>
                <w:szCs w:val="20"/>
              </w:rPr>
            </w:pPr>
            <w:r>
              <w:rPr>
                <w:b/>
                <w:bCs/>
                <w:color w:val="000000"/>
                <w:sz w:val="20"/>
                <w:szCs w:val="20"/>
              </w:rPr>
              <w:t>170</w:t>
            </w:r>
          </w:p>
        </w:tc>
        <w:tc>
          <w:tcPr>
            <w:tcW w:w="1559" w:type="dxa"/>
            <w:tcBorders>
              <w:top w:val="single" w:sz="8" w:space="0" w:color="auto"/>
              <w:left w:val="single" w:sz="4" w:space="0" w:color="auto"/>
              <w:bottom w:val="nil"/>
              <w:right w:val="single" w:sz="4" w:space="0" w:color="auto"/>
            </w:tcBorders>
            <w:shd w:val="clear" w:color="auto" w:fill="auto"/>
            <w:vAlign w:val="center"/>
            <w:hideMark/>
          </w:tcPr>
          <w:p w:rsidR="00C02CB5" w:rsidRDefault="00C02CB5" w:rsidP="00C02CB5">
            <w:pPr>
              <w:jc w:val="right"/>
              <w:rPr>
                <w:b/>
                <w:bCs/>
                <w:color w:val="000000"/>
                <w:sz w:val="20"/>
                <w:szCs w:val="20"/>
              </w:rPr>
            </w:pPr>
            <w:r>
              <w:rPr>
                <w:b/>
                <w:bCs/>
                <w:color w:val="000000"/>
                <w:sz w:val="20"/>
                <w:szCs w:val="20"/>
              </w:rPr>
              <w:t>2,934</w:t>
            </w:r>
          </w:p>
        </w:tc>
        <w:tc>
          <w:tcPr>
            <w:tcW w:w="1985" w:type="dxa"/>
            <w:tcBorders>
              <w:top w:val="nil"/>
              <w:left w:val="nil"/>
              <w:bottom w:val="nil"/>
              <w:right w:val="single" w:sz="8" w:space="0" w:color="auto"/>
            </w:tcBorders>
            <w:shd w:val="clear" w:color="auto" w:fill="FF0000"/>
            <w:vAlign w:val="center"/>
            <w:hideMark/>
          </w:tcPr>
          <w:p w:rsidR="00C02CB5" w:rsidRDefault="00C02CB5" w:rsidP="00C02CB5">
            <w:pPr>
              <w:jc w:val="right"/>
              <w:rPr>
                <w:b/>
                <w:bCs/>
                <w:color w:val="000000"/>
                <w:sz w:val="20"/>
                <w:szCs w:val="20"/>
              </w:rPr>
            </w:pPr>
            <w:r>
              <w:rPr>
                <w:b/>
                <w:bCs/>
                <w:color w:val="000000"/>
                <w:sz w:val="20"/>
                <w:szCs w:val="20"/>
              </w:rPr>
              <w:t>2.39%</w:t>
            </w:r>
          </w:p>
        </w:tc>
      </w:tr>
      <w:tr w:rsidR="00C02CB5" w:rsidRPr="006A1831" w:rsidTr="003C4364">
        <w:trPr>
          <w:trHeight w:val="340"/>
        </w:trPr>
        <w:tc>
          <w:tcPr>
            <w:tcW w:w="3827" w:type="dxa"/>
            <w:tcBorders>
              <w:top w:val="single" w:sz="4" w:space="0" w:color="auto"/>
              <w:left w:val="single" w:sz="8" w:space="0" w:color="auto"/>
              <w:bottom w:val="single" w:sz="4" w:space="0" w:color="auto"/>
              <w:right w:val="single" w:sz="8" w:space="0" w:color="auto"/>
            </w:tcBorders>
            <w:shd w:val="clear" w:color="auto" w:fill="auto"/>
            <w:vAlign w:val="bottom"/>
            <w:hideMark/>
          </w:tcPr>
          <w:p w:rsidR="00C02CB5" w:rsidRPr="006A1831" w:rsidRDefault="00C02CB5" w:rsidP="00C02CB5">
            <w:pPr>
              <w:rPr>
                <w:b/>
                <w:bCs/>
                <w:color w:val="000000"/>
                <w:sz w:val="20"/>
                <w:szCs w:val="20"/>
                <w:lang w:val="en-US"/>
              </w:rPr>
            </w:pPr>
            <w:r w:rsidRPr="006A1831">
              <w:rPr>
                <w:b/>
                <w:bCs/>
                <w:color w:val="000000"/>
                <w:sz w:val="20"/>
                <w:szCs w:val="20"/>
                <w:lang w:val="en-US"/>
              </w:rPr>
              <w:t> </w:t>
            </w:r>
          </w:p>
        </w:tc>
        <w:tc>
          <w:tcPr>
            <w:tcW w:w="1560" w:type="dxa"/>
            <w:tcBorders>
              <w:top w:val="single" w:sz="4" w:space="0" w:color="auto"/>
              <w:left w:val="nil"/>
              <w:bottom w:val="single" w:sz="4" w:space="0" w:color="auto"/>
              <w:right w:val="single" w:sz="8" w:space="0" w:color="auto"/>
            </w:tcBorders>
            <w:shd w:val="clear" w:color="auto" w:fill="auto"/>
            <w:vAlign w:val="center"/>
            <w:hideMark/>
          </w:tcPr>
          <w:p w:rsidR="00C02CB5" w:rsidRDefault="00C02CB5" w:rsidP="00C02CB5">
            <w:pPr>
              <w:rPr>
                <w:color w:val="000000"/>
                <w:sz w:val="20"/>
                <w:szCs w:val="20"/>
              </w:rPr>
            </w:pPr>
            <w:r>
              <w:rPr>
                <w:color w:val="000000"/>
                <w:sz w:val="20"/>
                <w:szCs w:val="20"/>
              </w:rPr>
              <w:t> </w:t>
            </w:r>
          </w:p>
        </w:tc>
        <w:tc>
          <w:tcPr>
            <w:tcW w:w="1984" w:type="dxa"/>
            <w:tcBorders>
              <w:top w:val="single" w:sz="4" w:space="0" w:color="auto"/>
              <w:left w:val="nil"/>
              <w:bottom w:val="single" w:sz="4" w:space="0" w:color="auto"/>
              <w:right w:val="nil"/>
            </w:tcBorders>
            <w:shd w:val="clear" w:color="auto" w:fill="auto"/>
            <w:vAlign w:val="center"/>
            <w:hideMark/>
          </w:tcPr>
          <w:p w:rsidR="00C02CB5" w:rsidRDefault="00C02CB5" w:rsidP="00C02CB5">
            <w:pPr>
              <w:rPr>
                <w:color w:val="000000"/>
                <w:sz w:val="20"/>
                <w:szCs w:val="20"/>
              </w:rPr>
            </w:pPr>
            <w:r>
              <w:rPr>
                <w:color w:val="000000"/>
                <w:sz w:val="20"/>
                <w:szCs w:val="20"/>
              </w:rPr>
              <w:t>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02CB5" w:rsidRDefault="00C02CB5" w:rsidP="00C02CB5">
            <w:pPr>
              <w:rPr>
                <w:color w:val="000000"/>
                <w:sz w:val="20"/>
                <w:szCs w:val="20"/>
              </w:rPr>
            </w:pPr>
            <w:r>
              <w:rPr>
                <w:color w:val="000000"/>
                <w:sz w:val="20"/>
                <w:szCs w:val="20"/>
              </w:rPr>
              <w:t> </w:t>
            </w:r>
          </w:p>
        </w:tc>
        <w:tc>
          <w:tcPr>
            <w:tcW w:w="1985" w:type="dxa"/>
            <w:tcBorders>
              <w:top w:val="single" w:sz="4" w:space="0" w:color="auto"/>
              <w:left w:val="nil"/>
              <w:bottom w:val="single" w:sz="4" w:space="0" w:color="auto"/>
              <w:right w:val="single" w:sz="8" w:space="0" w:color="auto"/>
            </w:tcBorders>
            <w:shd w:val="clear" w:color="auto" w:fill="auto"/>
            <w:vAlign w:val="center"/>
            <w:hideMark/>
          </w:tcPr>
          <w:p w:rsidR="00C02CB5" w:rsidRDefault="00C02CB5" w:rsidP="00C02CB5">
            <w:pPr>
              <w:jc w:val="right"/>
              <w:rPr>
                <w:color w:val="000000"/>
                <w:sz w:val="20"/>
                <w:szCs w:val="20"/>
              </w:rPr>
            </w:pPr>
            <w:r>
              <w:rPr>
                <w:color w:val="000000"/>
                <w:sz w:val="20"/>
                <w:szCs w:val="20"/>
              </w:rPr>
              <w:t> </w:t>
            </w:r>
          </w:p>
        </w:tc>
      </w:tr>
      <w:tr w:rsidR="00C02CB5" w:rsidRPr="006A1831" w:rsidTr="003C4364">
        <w:trPr>
          <w:trHeight w:val="340"/>
        </w:trPr>
        <w:tc>
          <w:tcPr>
            <w:tcW w:w="3827" w:type="dxa"/>
            <w:tcBorders>
              <w:top w:val="nil"/>
              <w:left w:val="single" w:sz="8" w:space="0" w:color="auto"/>
              <w:bottom w:val="single" w:sz="4" w:space="0" w:color="auto"/>
              <w:right w:val="single" w:sz="8" w:space="0" w:color="auto"/>
            </w:tcBorders>
            <w:shd w:val="clear" w:color="auto" w:fill="auto"/>
            <w:vAlign w:val="bottom"/>
            <w:hideMark/>
          </w:tcPr>
          <w:p w:rsidR="00C02CB5" w:rsidRPr="006A1831" w:rsidRDefault="00C02CB5" w:rsidP="00C02CB5">
            <w:pPr>
              <w:rPr>
                <w:b/>
                <w:bCs/>
                <w:color w:val="000000"/>
                <w:sz w:val="20"/>
                <w:szCs w:val="20"/>
                <w:lang w:val="en-US"/>
              </w:rPr>
            </w:pPr>
            <w:r w:rsidRPr="006A1831">
              <w:rPr>
                <w:b/>
                <w:bCs/>
                <w:color w:val="000000"/>
                <w:sz w:val="20"/>
                <w:szCs w:val="20"/>
                <w:lang w:val="en-US"/>
              </w:rPr>
              <w:t>Wards and A&amp;E Nursing:</w:t>
            </w:r>
          </w:p>
        </w:tc>
        <w:tc>
          <w:tcPr>
            <w:tcW w:w="1560" w:type="dxa"/>
            <w:tcBorders>
              <w:top w:val="nil"/>
              <w:left w:val="nil"/>
              <w:bottom w:val="single" w:sz="4" w:space="0" w:color="auto"/>
              <w:right w:val="single" w:sz="8" w:space="0" w:color="auto"/>
            </w:tcBorders>
            <w:shd w:val="clear" w:color="auto" w:fill="auto"/>
            <w:vAlign w:val="center"/>
            <w:hideMark/>
          </w:tcPr>
          <w:p w:rsidR="00C02CB5" w:rsidRDefault="00C02CB5" w:rsidP="00C02CB5">
            <w:pPr>
              <w:rPr>
                <w:color w:val="000000"/>
                <w:sz w:val="20"/>
                <w:szCs w:val="20"/>
              </w:rPr>
            </w:pPr>
            <w:r>
              <w:rPr>
                <w:color w:val="000000"/>
                <w:sz w:val="20"/>
                <w:szCs w:val="20"/>
              </w:rPr>
              <w:t> </w:t>
            </w:r>
          </w:p>
        </w:tc>
        <w:tc>
          <w:tcPr>
            <w:tcW w:w="1984" w:type="dxa"/>
            <w:tcBorders>
              <w:top w:val="nil"/>
              <w:left w:val="nil"/>
              <w:bottom w:val="single" w:sz="4" w:space="0" w:color="auto"/>
              <w:right w:val="nil"/>
            </w:tcBorders>
            <w:shd w:val="clear" w:color="auto" w:fill="auto"/>
            <w:vAlign w:val="center"/>
            <w:hideMark/>
          </w:tcPr>
          <w:p w:rsidR="00C02CB5" w:rsidRDefault="00C02CB5" w:rsidP="00C02CB5">
            <w:pPr>
              <w:rPr>
                <w:color w:val="000000"/>
                <w:sz w:val="20"/>
                <w:szCs w:val="20"/>
              </w:rPr>
            </w:pPr>
            <w:r>
              <w:rPr>
                <w:color w:val="000000"/>
                <w:sz w:val="20"/>
                <w:szCs w:val="20"/>
              </w:rPr>
              <w:t> </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rsidR="00C02CB5" w:rsidRDefault="00C02CB5" w:rsidP="00C02CB5">
            <w:pPr>
              <w:rPr>
                <w:color w:val="000000"/>
                <w:sz w:val="20"/>
                <w:szCs w:val="20"/>
              </w:rPr>
            </w:pPr>
            <w:r>
              <w:rPr>
                <w:color w:val="000000"/>
                <w:sz w:val="20"/>
                <w:szCs w:val="20"/>
              </w:rPr>
              <w:t> </w:t>
            </w:r>
          </w:p>
        </w:tc>
        <w:tc>
          <w:tcPr>
            <w:tcW w:w="1985" w:type="dxa"/>
            <w:tcBorders>
              <w:top w:val="nil"/>
              <w:left w:val="nil"/>
              <w:bottom w:val="single" w:sz="4" w:space="0" w:color="auto"/>
              <w:right w:val="single" w:sz="8" w:space="0" w:color="auto"/>
            </w:tcBorders>
            <w:shd w:val="clear" w:color="auto" w:fill="auto"/>
            <w:vAlign w:val="center"/>
            <w:hideMark/>
          </w:tcPr>
          <w:p w:rsidR="00C02CB5" w:rsidRDefault="00C02CB5" w:rsidP="00C02CB5">
            <w:pPr>
              <w:jc w:val="right"/>
              <w:rPr>
                <w:color w:val="000000"/>
                <w:sz w:val="20"/>
                <w:szCs w:val="20"/>
              </w:rPr>
            </w:pPr>
            <w:r>
              <w:rPr>
                <w:color w:val="000000"/>
                <w:sz w:val="20"/>
                <w:szCs w:val="20"/>
              </w:rPr>
              <w:t> </w:t>
            </w:r>
          </w:p>
        </w:tc>
      </w:tr>
      <w:tr w:rsidR="00C02CB5" w:rsidRPr="006A1831" w:rsidTr="00593E3F">
        <w:trPr>
          <w:trHeight w:val="340"/>
        </w:trPr>
        <w:tc>
          <w:tcPr>
            <w:tcW w:w="3827" w:type="dxa"/>
            <w:tcBorders>
              <w:top w:val="nil"/>
              <w:left w:val="single" w:sz="8" w:space="0" w:color="auto"/>
              <w:bottom w:val="single" w:sz="4" w:space="0" w:color="auto"/>
              <w:right w:val="single" w:sz="8" w:space="0" w:color="auto"/>
            </w:tcBorders>
            <w:shd w:val="clear" w:color="auto" w:fill="auto"/>
            <w:vAlign w:val="bottom"/>
            <w:hideMark/>
          </w:tcPr>
          <w:p w:rsidR="00C02CB5" w:rsidRPr="006A1831" w:rsidRDefault="00C02CB5" w:rsidP="00C02CB5">
            <w:pPr>
              <w:rPr>
                <w:color w:val="000000"/>
                <w:sz w:val="20"/>
                <w:szCs w:val="20"/>
                <w:lang w:val="en-US"/>
              </w:rPr>
            </w:pPr>
            <w:r w:rsidRPr="006A1831">
              <w:rPr>
                <w:color w:val="000000"/>
                <w:sz w:val="20"/>
                <w:szCs w:val="20"/>
                <w:lang w:val="en-US"/>
              </w:rPr>
              <w:t>Registered Nursing</w:t>
            </w:r>
          </w:p>
        </w:tc>
        <w:tc>
          <w:tcPr>
            <w:tcW w:w="1560" w:type="dxa"/>
            <w:tcBorders>
              <w:top w:val="nil"/>
              <w:left w:val="nil"/>
              <w:bottom w:val="single" w:sz="4" w:space="0" w:color="auto"/>
              <w:right w:val="single" w:sz="8" w:space="0" w:color="auto"/>
            </w:tcBorders>
            <w:shd w:val="clear" w:color="auto" w:fill="auto"/>
            <w:vAlign w:val="center"/>
            <w:hideMark/>
          </w:tcPr>
          <w:p w:rsidR="00C02CB5" w:rsidRDefault="00C02CB5" w:rsidP="00C02CB5">
            <w:pPr>
              <w:jc w:val="right"/>
              <w:rPr>
                <w:color w:val="000000"/>
                <w:sz w:val="20"/>
                <w:szCs w:val="20"/>
              </w:rPr>
            </w:pPr>
            <w:r>
              <w:rPr>
                <w:color w:val="000000"/>
                <w:sz w:val="20"/>
                <w:szCs w:val="20"/>
              </w:rPr>
              <w:t>50,447</w:t>
            </w:r>
          </w:p>
        </w:tc>
        <w:tc>
          <w:tcPr>
            <w:tcW w:w="1984" w:type="dxa"/>
            <w:tcBorders>
              <w:top w:val="nil"/>
              <w:left w:val="nil"/>
              <w:bottom w:val="single" w:sz="4" w:space="0" w:color="auto"/>
              <w:right w:val="nil"/>
            </w:tcBorders>
            <w:shd w:val="clear" w:color="auto" w:fill="auto"/>
            <w:vAlign w:val="center"/>
            <w:hideMark/>
          </w:tcPr>
          <w:p w:rsidR="00C02CB5" w:rsidRDefault="00C02CB5" w:rsidP="00C02CB5">
            <w:pPr>
              <w:jc w:val="right"/>
              <w:rPr>
                <w:color w:val="000000"/>
                <w:sz w:val="20"/>
                <w:szCs w:val="20"/>
              </w:rPr>
            </w:pPr>
            <w:r>
              <w:rPr>
                <w:color w:val="FF0000"/>
                <w:sz w:val="20"/>
                <w:szCs w:val="20"/>
              </w:rPr>
              <w:t>(40)</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rsidR="00C02CB5" w:rsidRDefault="00C02CB5" w:rsidP="00C02CB5">
            <w:pPr>
              <w:jc w:val="right"/>
              <w:rPr>
                <w:color w:val="000000"/>
                <w:sz w:val="20"/>
                <w:szCs w:val="20"/>
              </w:rPr>
            </w:pPr>
            <w:r>
              <w:rPr>
                <w:color w:val="000000"/>
                <w:sz w:val="20"/>
                <w:szCs w:val="20"/>
              </w:rPr>
              <w:t>713</w:t>
            </w:r>
          </w:p>
        </w:tc>
        <w:tc>
          <w:tcPr>
            <w:tcW w:w="1985" w:type="dxa"/>
            <w:tcBorders>
              <w:top w:val="nil"/>
              <w:left w:val="nil"/>
              <w:bottom w:val="single" w:sz="4" w:space="0" w:color="auto"/>
              <w:right w:val="single" w:sz="8" w:space="0" w:color="auto"/>
            </w:tcBorders>
            <w:shd w:val="clear" w:color="auto" w:fill="FFC000"/>
            <w:vAlign w:val="center"/>
            <w:hideMark/>
          </w:tcPr>
          <w:p w:rsidR="00C02CB5" w:rsidRDefault="00C02CB5" w:rsidP="00C02CB5">
            <w:pPr>
              <w:jc w:val="right"/>
              <w:rPr>
                <w:color w:val="000000"/>
                <w:sz w:val="20"/>
                <w:szCs w:val="20"/>
              </w:rPr>
            </w:pPr>
            <w:r>
              <w:rPr>
                <w:color w:val="000000"/>
                <w:sz w:val="20"/>
                <w:szCs w:val="20"/>
              </w:rPr>
              <w:t>1.55%</w:t>
            </w:r>
          </w:p>
        </w:tc>
      </w:tr>
      <w:tr w:rsidR="00C02CB5" w:rsidRPr="006A1831" w:rsidTr="003C4364">
        <w:trPr>
          <w:trHeight w:val="340"/>
        </w:trPr>
        <w:tc>
          <w:tcPr>
            <w:tcW w:w="3827" w:type="dxa"/>
            <w:tcBorders>
              <w:top w:val="nil"/>
              <w:left w:val="single" w:sz="8" w:space="0" w:color="auto"/>
              <w:bottom w:val="single" w:sz="4" w:space="0" w:color="auto"/>
              <w:right w:val="single" w:sz="8" w:space="0" w:color="auto"/>
            </w:tcBorders>
            <w:shd w:val="clear" w:color="auto" w:fill="auto"/>
            <w:vAlign w:val="bottom"/>
            <w:hideMark/>
          </w:tcPr>
          <w:p w:rsidR="00C02CB5" w:rsidRPr="006A1831" w:rsidRDefault="00C02CB5" w:rsidP="00C02CB5">
            <w:pPr>
              <w:rPr>
                <w:color w:val="000000"/>
                <w:sz w:val="20"/>
                <w:szCs w:val="20"/>
                <w:lang w:val="en-US"/>
              </w:rPr>
            </w:pPr>
            <w:r w:rsidRPr="006A1831">
              <w:rPr>
                <w:color w:val="000000"/>
                <w:sz w:val="20"/>
                <w:szCs w:val="20"/>
                <w:lang w:val="en-US"/>
              </w:rPr>
              <w:t>Additional Clinical Services</w:t>
            </w:r>
          </w:p>
        </w:tc>
        <w:tc>
          <w:tcPr>
            <w:tcW w:w="1560" w:type="dxa"/>
            <w:tcBorders>
              <w:top w:val="nil"/>
              <w:left w:val="nil"/>
              <w:bottom w:val="single" w:sz="4" w:space="0" w:color="auto"/>
              <w:right w:val="single" w:sz="8" w:space="0" w:color="auto"/>
            </w:tcBorders>
            <w:shd w:val="clear" w:color="auto" w:fill="auto"/>
            <w:vAlign w:val="center"/>
            <w:hideMark/>
          </w:tcPr>
          <w:p w:rsidR="00C02CB5" w:rsidRDefault="00C02CB5" w:rsidP="00C02CB5">
            <w:pPr>
              <w:jc w:val="right"/>
              <w:rPr>
                <w:color w:val="000000"/>
                <w:sz w:val="20"/>
                <w:szCs w:val="20"/>
              </w:rPr>
            </w:pPr>
            <w:r>
              <w:rPr>
                <w:color w:val="000000"/>
                <w:sz w:val="20"/>
                <w:szCs w:val="20"/>
              </w:rPr>
              <w:t>22,339</w:t>
            </w:r>
          </w:p>
        </w:tc>
        <w:tc>
          <w:tcPr>
            <w:tcW w:w="1984" w:type="dxa"/>
            <w:tcBorders>
              <w:top w:val="nil"/>
              <w:left w:val="nil"/>
              <w:bottom w:val="single" w:sz="4" w:space="0" w:color="auto"/>
              <w:right w:val="nil"/>
            </w:tcBorders>
            <w:shd w:val="clear" w:color="auto" w:fill="auto"/>
            <w:vAlign w:val="center"/>
            <w:hideMark/>
          </w:tcPr>
          <w:p w:rsidR="00C02CB5" w:rsidRDefault="00C02CB5" w:rsidP="00C02CB5">
            <w:pPr>
              <w:jc w:val="right"/>
              <w:rPr>
                <w:color w:val="000000"/>
                <w:sz w:val="20"/>
                <w:szCs w:val="20"/>
              </w:rPr>
            </w:pPr>
            <w:r>
              <w:rPr>
                <w:color w:val="000000"/>
                <w:sz w:val="20"/>
                <w:szCs w:val="20"/>
              </w:rPr>
              <w:t>632</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rsidR="00C02CB5" w:rsidRDefault="00C02CB5" w:rsidP="00C02CB5">
            <w:pPr>
              <w:jc w:val="right"/>
              <w:rPr>
                <w:color w:val="000000"/>
                <w:sz w:val="20"/>
                <w:szCs w:val="20"/>
              </w:rPr>
            </w:pPr>
            <w:r>
              <w:rPr>
                <w:color w:val="000000"/>
                <w:sz w:val="20"/>
                <w:szCs w:val="20"/>
              </w:rPr>
              <w:t>4,368</w:t>
            </w:r>
          </w:p>
        </w:tc>
        <w:tc>
          <w:tcPr>
            <w:tcW w:w="1985" w:type="dxa"/>
            <w:tcBorders>
              <w:top w:val="nil"/>
              <w:left w:val="nil"/>
              <w:bottom w:val="single" w:sz="4" w:space="0" w:color="auto"/>
              <w:right w:val="single" w:sz="8" w:space="0" w:color="auto"/>
            </w:tcBorders>
            <w:shd w:val="clear" w:color="auto" w:fill="FF0000"/>
            <w:vAlign w:val="center"/>
            <w:hideMark/>
          </w:tcPr>
          <w:p w:rsidR="00C02CB5" w:rsidRDefault="00C02CB5" w:rsidP="00C02CB5">
            <w:pPr>
              <w:jc w:val="right"/>
              <w:rPr>
                <w:color w:val="000000"/>
                <w:sz w:val="20"/>
                <w:szCs w:val="20"/>
              </w:rPr>
            </w:pPr>
            <w:r>
              <w:rPr>
                <w:color w:val="000000"/>
                <w:sz w:val="20"/>
                <w:szCs w:val="20"/>
              </w:rPr>
              <w:t>21.34%</w:t>
            </w:r>
          </w:p>
        </w:tc>
      </w:tr>
      <w:tr w:rsidR="00C02CB5" w:rsidRPr="006A1831" w:rsidTr="003C4364">
        <w:trPr>
          <w:trHeight w:val="340"/>
        </w:trPr>
        <w:tc>
          <w:tcPr>
            <w:tcW w:w="3827" w:type="dxa"/>
            <w:tcBorders>
              <w:top w:val="nil"/>
              <w:left w:val="single" w:sz="8" w:space="0" w:color="auto"/>
              <w:bottom w:val="single" w:sz="4" w:space="0" w:color="auto"/>
              <w:right w:val="single" w:sz="8" w:space="0" w:color="auto"/>
            </w:tcBorders>
            <w:shd w:val="clear" w:color="auto" w:fill="auto"/>
            <w:vAlign w:val="bottom"/>
            <w:hideMark/>
          </w:tcPr>
          <w:p w:rsidR="00C02CB5" w:rsidRPr="006A1831" w:rsidRDefault="00C02CB5" w:rsidP="00C02CB5">
            <w:pPr>
              <w:rPr>
                <w:b/>
                <w:bCs/>
                <w:color w:val="000000"/>
                <w:sz w:val="20"/>
                <w:szCs w:val="20"/>
                <w:lang w:val="en-US"/>
              </w:rPr>
            </w:pPr>
            <w:r w:rsidRPr="006A1831">
              <w:rPr>
                <w:b/>
                <w:bCs/>
                <w:color w:val="000000"/>
                <w:sz w:val="20"/>
                <w:szCs w:val="20"/>
                <w:lang w:val="en-US"/>
              </w:rPr>
              <w:t>Sub-Total Wards &amp; A&amp;E Nursing</w:t>
            </w:r>
          </w:p>
        </w:tc>
        <w:tc>
          <w:tcPr>
            <w:tcW w:w="1560" w:type="dxa"/>
            <w:tcBorders>
              <w:top w:val="nil"/>
              <w:left w:val="nil"/>
              <w:bottom w:val="single" w:sz="4" w:space="0" w:color="auto"/>
              <w:right w:val="single" w:sz="8" w:space="0" w:color="auto"/>
            </w:tcBorders>
            <w:shd w:val="clear" w:color="auto" w:fill="auto"/>
            <w:vAlign w:val="center"/>
            <w:hideMark/>
          </w:tcPr>
          <w:p w:rsidR="00C02CB5" w:rsidRDefault="00C02CB5" w:rsidP="00C02CB5">
            <w:pPr>
              <w:jc w:val="right"/>
              <w:rPr>
                <w:b/>
                <w:bCs/>
                <w:color w:val="000000"/>
                <w:sz w:val="20"/>
                <w:szCs w:val="20"/>
              </w:rPr>
            </w:pPr>
            <w:r>
              <w:rPr>
                <w:b/>
                <w:bCs/>
                <w:color w:val="000000"/>
                <w:sz w:val="20"/>
                <w:szCs w:val="20"/>
              </w:rPr>
              <w:t>72,786</w:t>
            </w:r>
          </w:p>
        </w:tc>
        <w:tc>
          <w:tcPr>
            <w:tcW w:w="1984" w:type="dxa"/>
            <w:tcBorders>
              <w:top w:val="nil"/>
              <w:left w:val="nil"/>
              <w:bottom w:val="single" w:sz="4" w:space="0" w:color="auto"/>
              <w:right w:val="nil"/>
            </w:tcBorders>
            <w:shd w:val="clear" w:color="auto" w:fill="auto"/>
            <w:vAlign w:val="center"/>
            <w:hideMark/>
          </w:tcPr>
          <w:p w:rsidR="00C02CB5" w:rsidRDefault="00C02CB5" w:rsidP="00C02CB5">
            <w:pPr>
              <w:jc w:val="right"/>
              <w:rPr>
                <w:b/>
                <w:bCs/>
                <w:color w:val="000000"/>
                <w:sz w:val="20"/>
                <w:szCs w:val="20"/>
              </w:rPr>
            </w:pPr>
            <w:r>
              <w:rPr>
                <w:b/>
                <w:bCs/>
                <w:color w:val="000000"/>
                <w:sz w:val="20"/>
                <w:szCs w:val="20"/>
              </w:rPr>
              <w:t>593</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rsidR="00C02CB5" w:rsidRDefault="00C02CB5" w:rsidP="00C02CB5">
            <w:pPr>
              <w:jc w:val="right"/>
              <w:rPr>
                <w:b/>
                <w:bCs/>
                <w:color w:val="000000"/>
                <w:sz w:val="20"/>
                <w:szCs w:val="20"/>
              </w:rPr>
            </w:pPr>
            <w:r>
              <w:rPr>
                <w:b/>
                <w:bCs/>
                <w:color w:val="000000"/>
                <w:sz w:val="20"/>
                <w:szCs w:val="20"/>
              </w:rPr>
              <w:t>5,081</w:t>
            </w:r>
          </w:p>
        </w:tc>
        <w:tc>
          <w:tcPr>
            <w:tcW w:w="1985" w:type="dxa"/>
            <w:tcBorders>
              <w:top w:val="nil"/>
              <w:left w:val="nil"/>
              <w:bottom w:val="single" w:sz="4" w:space="0" w:color="auto"/>
              <w:right w:val="single" w:sz="8" w:space="0" w:color="auto"/>
            </w:tcBorders>
            <w:shd w:val="clear" w:color="auto" w:fill="FF0000"/>
            <w:vAlign w:val="center"/>
            <w:hideMark/>
          </w:tcPr>
          <w:p w:rsidR="00C02CB5" w:rsidRDefault="00C02CB5" w:rsidP="00C02CB5">
            <w:pPr>
              <w:jc w:val="right"/>
              <w:rPr>
                <w:b/>
                <w:bCs/>
                <w:color w:val="000000"/>
                <w:sz w:val="20"/>
                <w:szCs w:val="20"/>
              </w:rPr>
            </w:pPr>
            <w:r>
              <w:rPr>
                <w:b/>
                <w:bCs/>
                <w:color w:val="000000"/>
                <w:sz w:val="20"/>
                <w:szCs w:val="20"/>
              </w:rPr>
              <w:t>7.63%</w:t>
            </w:r>
          </w:p>
        </w:tc>
      </w:tr>
      <w:tr w:rsidR="00C02CB5" w:rsidRPr="006A1831" w:rsidTr="003C4364">
        <w:trPr>
          <w:trHeight w:val="340"/>
        </w:trPr>
        <w:tc>
          <w:tcPr>
            <w:tcW w:w="3827" w:type="dxa"/>
            <w:tcBorders>
              <w:top w:val="nil"/>
              <w:left w:val="single" w:sz="8" w:space="0" w:color="auto"/>
              <w:bottom w:val="single" w:sz="4" w:space="0" w:color="auto"/>
              <w:right w:val="single" w:sz="8" w:space="0" w:color="auto"/>
            </w:tcBorders>
            <w:shd w:val="clear" w:color="auto" w:fill="auto"/>
            <w:vAlign w:val="bottom"/>
            <w:hideMark/>
          </w:tcPr>
          <w:p w:rsidR="00C02CB5" w:rsidRPr="006A1831" w:rsidRDefault="00C02CB5" w:rsidP="00C02CB5">
            <w:pPr>
              <w:rPr>
                <w:b/>
                <w:bCs/>
                <w:color w:val="000000"/>
                <w:sz w:val="20"/>
                <w:szCs w:val="20"/>
                <w:lang w:val="en-US"/>
              </w:rPr>
            </w:pPr>
            <w:r w:rsidRPr="006A1831">
              <w:rPr>
                <w:b/>
                <w:bCs/>
                <w:color w:val="000000"/>
                <w:sz w:val="20"/>
                <w:szCs w:val="20"/>
                <w:lang w:val="en-US"/>
              </w:rPr>
              <w:t> </w:t>
            </w:r>
          </w:p>
        </w:tc>
        <w:tc>
          <w:tcPr>
            <w:tcW w:w="1560" w:type="dxa"/>
            <w:tcBorders>
              <w:top w:val="nil"/>
              <w:left w:val="nil"/>
              <w:bottom w:val="single" w:sz="4" w:space="0" w:color="auto"/>
              <w:right w:val="single" w:sz="8" w:space="0" w:color="auto"/>
            </w:tcBorders>
            <w:shd w:val="clear" w:color="auto" w:fill="auto"/>
            <w:vAlign w:val="center"/>
            <w:hideMark/>
          </w:tcPr>
          <w:p w:rsidR="00C02CB5" w:rsidRDefault="00C02CB5" w:rsidP="00C02CB5">
            <w:pPr>
              <w:rPr>
                <w:color w:val="000000"/>
                <w:sz w:val="20"/>
                <w:szCs w:val="20"/>
              </w:rPr>
            </w:pPr>
            <w:r>
              <w:rPr>
                <w:color w:val="000000"/>
                <w:sz w:val="20"/>
                <w:szCs w:val="20"/>
              </w:rPr>
              <w:t> </w:t>
            </w:r>
          </w:p>
        </w:tc>
        <w:tc>
          <w:tcPr>
            <w:tcW w:w="1984" w:type="dxa"/>
            <w:tcBorders>
              <w:top w:val="nil"/>
              <w:left w:val="nil"/>
              <w:bottom w:val="single" w:sz="4" w:space="0" w:color="auto"/>
              <w:right w:val="nil"/>
            </w:tcBorders>
            <w:shd w:val="clear" w:color="auto" w:fill="auto"/>
            <w:vAlign w:val="center"/>
            <w:hideMark/>
          </w:tcPr>
          <w:p w:rsidR="00C02CB5" w:rsidRDefault="00C02CB5" w:rsidP="00C02CB5">
            <w:pPr>
              <w:rPr>
                <w:color w:val="000000"/>
                <w:sz w:val="20"/>
                <w:szCs w:val="20"/>
              </w:rPr>
            </w:pPr>
            <w:r>
              <w:rPr>
                <w:color w:val="000000"/>
                <w:sz w:val="20"/>
                <w:szCs w:val="20"/>
              </w:rPr>
              <w:t> </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rsidR="00C02CB5" w:rsidRDefault="00C02CB5" w:rsidP="00C02CB5">
            <w:pPr>
              <w:rPr>
                <w:color w:val="000000"/>
                <w:sz w:val="20"/>
                <w:szCs w:val="20"/>
              </w:rPr>
            </w:pPr>
            <w:r>
              <w:rPr>
                <w:color w:val="000000"/>
                <w:sz w:val="20"/>
                <w:szCs w:val="20"/>
              </w:rPr>
              <w:t> </w:t>
            </w:r>
          </w:p>
        </w:tc>
        <w:tc>
          <w:tcPr>
            <w:tcW w:w="1985" w:type="dxa"/>
            <w:tcBorders>
              <w:top w:val="nil"/>
              <w:left w:val="nil"/>
              <w:bottom w:val="single" w:sz="4" w:space="0" w:color="auto"/>
              <w:right w:val="single" w:sz="8" w:space="0" w:color="auto"/>
            </w:tcBorders>
            <w:shd w:val="clear" w:color="auto" w:fill="auto"/>
            <w:vAlign w:val="center"/>
            <w:hideMark/>
          </w:tcPr>
          <w:p w:rsidR="00C02CB5" w:rsidRDefault="00C02CB5" w:rsidP="00C02CB5">
            <w:pPr>
              <w:jc w:val="right"/>
              <w:rPr>
                <w:color w:val="000000"/>
                <w:sz w:val="20"/>
                <w:szCs w:val="20"/>
              </w:rPr>
            </w:pPr>
            <w:r>
              <w:rPr>
                <w:color w:val="000000"/>
                <w:sz w:val="20"/>
                <w:szCs w:val="20"/>
              </w:rPr>
              <w:t> </w:t>
            </w:r>
          </w:p>
        </w:tc>
      </w:tr>
      <w:tr w:rsidR="00C02CB5" w:rsidRPr="006A1831" w:rsidTr="003C4364">
        <w:trPr>
          <w:trHeight w:val="340"/>
        </w:trPr>
        <w:tc>
          <w:tcPr>
            <w:tcW w:w="3827" w:type="dxa"/>
            <w:tcBorders>
              <w:top w:val="nil"/>
              <w:left w:val="single" w:sz="8" w:space="0" w:color="auto"/>
              <w:bottom w:val="single" w:sz="4" w:space="0" w:color="auto"/>
              <w:right w:val="single" w:sz="8" w:space="0" w:color="auto"/>
            </w:tcBorders>
            <w:shd w:val="clear" w:color="auto" w:fill="auto"/>
            <w:vAlign w:val="bottom"/>
            <w:hideMark/>
          </w:tcPr>
          <w:p w:rsidR="00C02CB5" w:rsidRPr="006A1831" w:rsidRDefault="00C02CB5" w:rsidP="00C02CB5">
            <w:pPr>
              <w:rPr>
                <w:b/>
                <w:bCs/>
                <w:color w:val="000000"/>
                <w:sz w:val="20"/>
                <w:szCs w:val="20"/>
                <w:lang w:val="en-US"/>
              </w:rPr>
            </w:pPr>
            <w:r w:rsidRPr="006A1831">
              <w:rPr>
                <w:b/>
                <w:bCs/>
                <w:color w:val="000000"/>
                <w:sz w:val="20"/>
                <w:szCs w:val="20"/>
                <w:lang w:val="en-US"/>
              </w:rPr>
              <w:t>Other Nursing:</w:t>
            </w:r>
          </w:p>
        </w:tc>
        <w:tc>
          <w:tcPr>
            <w:tcW w:w="1560" w:type="dxa"/>
            <w:tcBorders>
              <w:top w:val="nil"/>
              <w:left w:val="nil"/>
              <w:bottom w:val="single" w:sz="4" w:space="0" w:color="auto"/>
              <w:right w:val="single" w:sz="8" w:space="0" w:color="auto"/>
            </w:tcBorders>
            <w:shd w:val="clear" w:color="auto" w:fill="auto"/>
            <w:vAlign w:val="center"/>
            <w:hideMark/>
          </w:tcPr>
          <w:p w:rsidR="00C02CB5" w:rsidRDefault="00C02CB5" w:rsidP="00C02CB5">
            <w:pPr>
              <w:rPr>
                <w:color w:val="000000"/>
                <w:sz w:val="20"/>
                <w:szCs w:val="20"/>
              </w:rPr>
            </w:pPr>
            <w:r>
              <w:rPr>
                <w:color w:val="000000"/>
                <w:sz w:val="20"/>
                <w:szCs w:val="20"/>
              </w:rPr>
              <w:t> </w:t>
            </w:r>
          </w:p>
        </w:tc>
        <w:tc>
          <w:tcPr>
            <w:tcW w:w="1984" w:type="dxa"/>
            <w:tcBorders>
              <w:top w:val="nil"/>
              <w:left w:val="nil"/>
              <w:bottom w:val="single" w:sz="4" w:space="0" w:color="auto"/>
              <w:right w:val="nil"/>
            </w:tcBorders>
            <w:shd w:val="clear" w:color="auto" w:fill="auto"/>
            <w:vAlign w:val="center"/>
            <w:hideMark/>
          </w:tcPr>
          <w:p w:rsidR="00C02CB5" w:rsidRDefault="00C02CB5" w:rsidP="00C02CB5">
            <w:pPr>
              <w:rPr>
                <w:color w:val="000000"/>
                <w:sz w:val="20"/>
                <w:szCs w:val="20"/>
              </w:rPr>
            </w:pPr>
            <w:r>
              <w:rPr>
                <w:color w:val="000000"/>
                <w:sz w:val="20"/>
                <w:szCs w:val="20"/>
              </w:rPr>
              <w:t> </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rsidR="00C02CB5" w:rsidRDefault="00C02CB5" w:rsidP="00C02CB5">
            <w:pPr>
              <w:rPr>
                <w:color w:val="000000"/>
                <w:sz w:val="20"/>
                <w:szCs w:val="20"/>
              </w:rPr>
            </w:pPr>
            <w:r>
              <w:rPr>
                <w:color w:val="000000"/>
                <w:sz w:val="20"/>
                <w:szCs w:val="20"/>
              </w:rPr>
              <w:t> </w:t>
            </w:r>
          </w:p>
        </w:tc>
        <w:tc>
          <w:tcPr>
            <w:tcW w:w="1985" w:type="dxa"/>
            <w:tcBorders>
              <w:top w:val="nil"/>
              <w:left w:val="nil"/>
              <w:bottom w:val="single" w:sz="4" w:space="0" w:color="auto"/>
              <w:right w:val="single" w:sz="8" w:space="0" w:color="auto"/>
            </w:tcBorders>
            <w:shd w:val="clear" w:color="auto" w:fill="auto"/>
            <w:vAlign w:val="center"/>
            <w:hideMark/>
          </w:tcPr>
          <w:p w:rsidR="00C02CB5" w:rsidRDefault="00C02CB5" w:rsidP="00C02CB5">
            <w:pPr>
              <w:jc w:val="right"/>
              <w:rPr>
                <w:color w:val="000000"/>
                <w:sz w:val="20"/>
                <w:szCs w:val="20"/>
              </w:rPr>
            </w:pPr>
            <w:r>
              <w:rPr>
                <w:color w:val="000000"/>
                <w:sz w:val="20"/>
                <w:szCs w:val="20"/>
              </w:rPr>
              <w:t> </w:t>
            </w:r>
          </w:p>
        </w:tc>
      </w:tr>
      <w:tr w:rsidR="00C02CB5" w:rsidRPr="006A1831" w:rsidTr="003C4364">
        <w:trPr>
          <w:trHeight w:val="340"/>
        </w:trPr>
        <w:tc>
          <w:tcPr>
            <w:tcW w:w="3827" w:type="dxa"/>
            <w:tcBorders>
              <w:top w:val="nil"/>
              <w:left w:val="single" w:sz="8" w:space="0" w:color="auto"/>
              <w:bottom w:val="single" w:sz="4" w:space="0" w:color="auto"/>
              <w:right w:val="single" w:sz="8" w:space="0" w:color="auto"/>
            </w:tcBorders>
            <w:shd w:val="clear" w:color="auto" w:fill="auto"/>
            <w:vAlign w:val="bottom"/>
            <w:hideMark/>
          </w:tcPr>
          <w:p w:rsidR="00C02CB5" w:rsidRPr="006A1831" w:rsidRDefault="00C02CB5" w:rsidP="00C02CB5">
            <w:pPr>
              <w:rPr>
                <w:color w:val="000000"/>
                <w:sz w:val="20"/>
                <w:szCs w:val="20"/>
                <w:lang w:val="en-US"/>
              </w:rPr>
            </w:pPr>
            <w:r w:rsidRPr="006A1831">
              <w:rPr>
                <w:color w:val="000000"/>
                <w:sz w:val="20"/>
                <w:szCs w:val="20"/>
                <w:lang w:val="en-US"/>
              </w:rPr>
              <w:t>Registered Nursing</w:t>
            </w:r>
          </w:p>
        </w:tc>
        <w:tc>
          <w:tcPr>
            <w:tcW w:w="1560" w:type="dxa"/>
            <w:tcBorders>
              <w:top w:val="nil"/>
              <w:left w:val="nil"/>
              <w:bottom w:val="single" w:sz="4" w:space="0" w:color="auto"/>
              <w:right w:val="single" w:sz="8" w:space="0" w:color="auto"/>
            </w:tcBorders>
            <w:shd w:val="clear" w:color="auto" w:fill="auto"/>
            <w:vAlign w:val="center"/>
            <w:hideMark/>
          </w:tcPr>
          <w:p w:rsidR="00C02CB5" w:rsidRDefault="00C02CB5" w:rsidP="00C02CB5">
            <w:pPr>
              <w:jc w:val="right"/>
              <w:rPr>
                <w:color w:val="000000"/>
                <w:sz w:val="20"/>
                <w:szCs w:val="20"/>
              </w:rPr>
            </w:pPr>
            <w:r>
              <w:rPr>
                <w:color w:val="000000"/>
                <w:sz w:val="20"/>
                <w:szCs w:val="20"/>
              </w:rPr>
              <w:t>121,322</w:t>
            </w:r>
          </w:p>
        </w:tc>
        <w:tc>
          <w:tcPr>
            <w:tcW w:w="1984" w:type="dxa"/>
            <w:tcBorders>
              <w:top w:val="nil"/>
              <w:left w:val="nil"/>
              <w:bottom w:val="single" w:sz="4" w:space="0" w:color="auto"/>
              <w:right w:val="nil"/>
            </w:tcBorders>
            <w:shd w:val="clear" w:color="auto" w:fill="auto"/>
            <w:vAlign w:val="center"/>
            <w:hideMark/>
          </w:tcPr>
          <w:p w:rsidR="00C02CB5" w:rsidRDefault="00C02CB5" w:rsidP="00C02CB5">
            <w:pPr>
              <w:jc w:val="right"/>
              <w:rPr>
                <w:color w:val="000000"/>
                <w:sz w:val="20"/>
                <w:szCs w:val="20"/>
              </w:rPr>
            </w:pPr>
            <w:r>
              <w:rPr>
                <w:color w:val="FF0000"/>
                <w:sz w:val="20"/>
                <w:szCs w:val="20"/>
              </w:rPr>
              <w:t>(362)</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rsidR="00C02CB5" w:rsidRDefault="00C02CB5" w:rsidP="00C02CB5">
            <w:pPr>
              <w:jc w:val="right"/>
              <w:rPr>
                <w:color w:val="000000"/>
                <w:sz w:val="20"/>
                <w:szCs w:val="20"/>
              </w:rPr>
            </w:pPr>
            <w:r>
              <w:rPr>
                <w:color w:val="FF0000"/>
                <w:sz w:val="20"/>
                <w:szCs w:val="20"/>
              </w:rPr>
              <w:t>(3,232)</w:t>
            </w:r>
          </w:p>
        </w:tc>
        <w:tc>
          <w:tcPr>
            <w:tcW w:w="1985" w:type="dxa"/>
            <w:tcBorders>
              <w:top w:val="nil"/>
              <w:left w:val="nil"/>
              <w:bottom w:val="single" w:sz="4" w:space="0" w:color="auto"/>
              <w:right w:val="single" w:sz="8" w:space="0" w:color="auto"/>
            </w:tcBorders>
            <w:shd w:val="clear" w:color="auto" w:fill="92D050"/>
            <w:vAlign w:val="center"/>
            <w:hideMark/>
          </w:tcPr>
          <w:p w:rsidR="00C02CB5" w:rsidRDefault="00C02CB5" w:rsidP="00C02CB5">
            <w:pPr>
              <w:jc w:val="right"/>
              <w:rPr>
                <w:color w:val="000000"/>
                <w:sz w:val="20"/>
                <w:szCs w:val="20"/>
              </w:rPr>
            </w:pPr>
            <w:r>
              <w:rPr>
                <w:color w:val="000000"/>
                <w:sz w:val="20"/>
                <w:szCs w:val="20"/>
              </w:rPr>
              <w:t>-2.90%</w:t>
            </w:r>
          </w:p>
        </w:tc>
      </w:tr>
      <w:tr w:rsidR="00C02CB5" w:rsidRPr="006A1831" w:rsidTr="003C4364">
        <w:trPr>
          <w:trHeight w:val="340"/>
        </w:trPr>
        <w:tc>
          <w:tcPr>
            <w:tcW w:w="3827" w:type="dxa"/>
            <w:tcBorders>
              <w:top w:val="nil"/>
              <w:left w:val="single" w:sz="8" w:space="0" w:color="auto"/>
              <w:bottom w:val="single" w:sz="4" w:space="0" w:color="auto"/>
              <w:right w:val="single" w:sz="8" w:space="0" w:color="auto"/>
            </w:tcBorders>
            <w:shd w:val="clear" w:color="auto" w:fill="auto"/>
            <w:vAlign w:val="bottom"/>
            <w:hideMark/>
          </w:tcPr>
          <w:p w:rsidR="00C02CB5" w:rsidRPr="006A1831" w:rsidRDefault="00C02CB5" w:rsidP="00C02CB5">
            <w:pPr>
              <w:rPr>
                <w:color w:val="000000"/>
                <w:sz w:val="20"/>
                <w:szCs w:val="20"/>
                <w:lang w:val="en-US"/>
              </w:rPr>
            </w:pPr>
            <w:r w:rsidRPr="006A1831">
              <w:rPr>
                <w:color w:val="000000"/>
                <w:sz w:val="20"/>
                <w:szCs w:val="20"/>
                <w:lang w:val="en-US"/>
              </w:rPr>
              <w:t>Additional Clinical Services</w:t>
            </w:r>
          </w:p>
        </w:tc>
        <w:tc>
          <w:tcPr>
            <w:tcW w:w="1560" w:type="dxa"/>
            <w:tcBorders>
              <w:top w:val="nil"/>
              <w:left w:val="nil"/>
              <w:bottom w:val="single" w:sz="4" w:space="0" w:color="auto"/>
              <w:right w:val="single" w:sz="8" w:space="0" w:color="auto"/>
            </w:tcBorders>
            <w:shd w:val="clear" w:color="auto" w:fill="auto"/>
            <w:vAlign w:val="center"/>
            <w:hideMark/>
          </w:tcPr>
          <w:p w:rsidR="00C02CB5" w:rsidRDefault="00C02CB5" w:rsidP="00C02CB5">
            <w:pPr>
              <w:jc w:val="right"/>
              <w:rPr>
                <w:color w:val="000000"/>
                <w:sz w:val="20"/>
                <w:szCs w:val="20"/>
              </w:rPr>
            </w:pPr>
            <w:r>
              <w:rPr>
                <w:color w:val="000000"/>
                <w:sz w:val="20"/>
                <w:szCs w:val="20"/>
              </w:rPr>
              <w:t>24,545</w:t>
            </w:r>
          </w:p>
        </w:tc>
        <w:tc>
          <w:tcPr>
            <w:tcW w:w="1984" w:type="dxa"/>
            <w:tcBorders>
              <w:top w:val="nil"/>
              <w:left w:val="nil"/>
              <w:bottom w:val="single" w:sz="4" w:space="0" w:color="auto"/>
              <w:right w:val="nil"/>
            </w:tcBorders>
            <w:shd w:val="clear" w:color="auto" w:fill="auto"/>
            <w:vAlign w:val="center"/>
            <w:hideMark/>
          </w:tcPr>
          <w:p w:rsidR="00C02CB5" w:rsidRDefault="00C02CB5" w:rsidP="00C02CB5">
            <w:pPr>
              <w:jc w:val="right"/>
              <w:rPr>
                <w:color w:val="000000"/>
                <w:sz w:val="20"/>
                <w:szCs w:val="20"/>
              </w:rPr>
            </w:pPr>
            <w:r>
              <w:rPr>
                <w:color w:val="000000"/>
                <w:sz w:val="20"/>
                <w:szCs w:val="20"/>
              </w:rPr>
              <w:t>128</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rsidR="00C02CB5" w:rsidRDefault="00C02CB5" w:rsidP="00C02CB5">
            <w:pPr>
              <w:jc w:val="right"/>
              <w:rPr>
                <w:color w:val="000000"/>
                <w:sz w:val="20"/>
                <w:szCs w:val="20"/>
              </w:rPr>
            </w:pPr>
            <w:r>
              <w:rPr>
                <w:color w:val="000000"/>
                <w:sz w:val="20"/>
                <w:szCs w:val="20"/>
              </w:rPr>
              <w:t>1,696</w:t>
            </w:r>
          </w:p>
        </w:tc>
        <w:tc>
          <w:tcPr>
            <w:tcW w:w="1985" w:type="dxa"/>
            <w:tcBorders>
              <w:top w:val="nil"/>
              <w:left w:val="nil"/>
              <w:bottom w:val="single" w:sz="4" w:space="0" w:color="auto"/>
              <w:right w:val="single" w:sz="8" w:space="0" w:color="auto"/>
            </w:tcBorders>
            <w:shd w:val="clear" w:color="auto" w:fill="FF0000"/>
            <w:vAlign w:val="center"/>
            <w:hideMark/>
          </w:tcPr>
          <w:p w:rsidR="00C02CB5" w:rsidRDefault="00C02CB5" w:rsidP="00C02CB5">
            <w:pPr>
              <w:jc w:val="right"/>
              <w:rPr>
                <w:color w:val="000000"/>
                <w:sz w:val="20"/>
                <w:szCs w:val="20"/>
              </w:rPr>
            </w:pPr>
            <w:r>
              <w:rPr>
                <w:color w:val="000000"/>
                <w:sz w:val="20"/>
                <w:szCs w:val="20"/>
              </w:rPr>
              <w:t>7.58%</w:t>
            </w:r>
          </w:p>
        </w:tc>
      </w:tr>
      <w:tr w:rsidR="00C02CB5" w:rsidRPr="006A1831" w:rsidTr="003C4364">
        <w:trPr>
          <w:trHeight w:val="340"/>
        </w:trPr>
        <w:tc>
          <w:tcPr>
            <w:tcW w:w="3827" w:type="dxa"/>
            <w:tcBorders>
              <w:top w:val="nil"/>
              <w:left w:val="single" w:sz="8" w:space="0" w:color="auto"/>
              <w:bottom w:val="single" w:sz="4" w:space="0" w:color="auto"/>
              <w:right w:val="single" w:sz="8" w:space="0" w:color="auto"/>
            </w:tcBorders>
            <w:shd w:val="clear" w:color="auto" w:fill="auto"/>
            <w:vAlign w:val="bottom"/>
            <w:hideMark/>
          </w:tcPr>
          <w:p w:rsidR="00C02CB5" w:rsidRPr="006A1831" w:rsidRDefault="00C02CB5" w:rsidP="00C02CB5">
            <w:pPr>
              <w:rPr>
                <w:b/>
                <w:bCs/>
                <w:color w:val="000000"/>
                <w:sz w:val="20"/>
                <w:szCs w:val="20"/>
                <w:lang w:val="en-US"/>
              </w:rPr>
            </w:pPr>
            <w:r w:rsidRPr="006A1831">
              <w:rPr>
                <w:b/>
                <w:bCs/>
                <w:color w:val="000000"/>
                <w:sz w:val="20"/>
                <w:szCs w:val="20"/>
                <w:lang w:val="en-US"/>
              </w:rPr>
              <w:t>Sub-Total Other Nursing</w:t>
            </w:r>
          </w:p>
        </w:tc>
        <w:tc>
          <w:tcPr>
            <w:tcW w:w="1560" w:type="dxa"/>
            <w:tcBorders>
              <w:top w:val="nil"/>
              <w:left w:val="nil"/>
              <w:bottom w:val="single" w:sz="4" w:space="0" w:color="auto"/>
              <w:right w:val="single" w:sz="8" w:space="0" w:color="auto"/>
            </w:tcBorders>
            <w:shd w:val="clear" w:color="auto" w:fill="auto"/>
            <w:vAlign w:val="center"/>
            <w:hideMark/>
          </w:tcPr>
          <w:p w:rsidR="00C02CB5" w:rsidRDefault="00C02CB5" w:rsidP="00C02CB5">
            <w:pPr>
              <w:jc w:val="right"/>
              <w:rPr>
                <w:b/>
                <w:bCs/>
                <w:color w:val="000000"/>
                <w:sz w:val="20"/>
                <w:szCs w:val="20"/>
              </w:rPr>
            </w:pPr>
            <w:r>
              <w:rPr>
                <w:b/>
                <w:bCs/>
                <w:color w:val="000000"/>
                <w:sz w:val="20"/>
                <w:szCs w:val="20"/>
              </w:rPr>
              <w:t>145,867</w:t>
            </w:r>
          </w:p>
        </w:tc>
        <w:tc>
          <w:tcPr>
            <w:tcW w:w="1984" w:type="dxa"/>
            <w:tcBorders>
              <w:top w:val="nil"/>
              <w:left w:val="nil"/>
              <w:bottom w:val="single" w:sz="4" w:space="0" w:color="auto"/>
              <w:right w:val="nil"/>
            </w:tcBorders>
            <w:shd w:val="clear" w:color="auto" w:fill="auto"/>
            <w:vAlign w:val="center"/>
            <w:hideMark/>
          </w:tcPr>
          <w:p w:rsidR="00C02CB5" w:rsidRDefault="00C02CB5" w:rsidP="00C02CB5">
            <w:pPr>
              <w:jc w:val="right"/>
              <w:rPr>
                <w:b/>
                <w:bCs/>
                <w:color w:val="000000"/>
                <w:sz w:val="20"/>
                <w:szCs w:val="20"/>
              </w:rPr>
            </w:pPr>
            <w:r>
              <w:rPr>
                <w:b/>
                <w:bCs/>
                <w:color w:val="FF0000"/>
                <w:sz w:val="20"/>
                <w:szCs w:val="20"/>
              </w:rPr>
              <w:t>(234)</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rsidR="00C02CB5" w:rsidRDefault="00C02CB5" w:rsidP="00C02CB5">
            <w:pPr>
              <w:jc w:val="right"/>
              <w:rPr>
                <w:b/>
                <w:bCs/>
                <w:color w:val="000000"/>
                <w:sz w:val="20"/>
                <w:szCs w:val="20"/>
              </w:rPr>
            </w:pPr>
            <w:r>
              <w:rPr>
                <w:b/>
                <w:bCs/>
                <w:color w:val="FF0000"/>
                <w:sz w:val="20"/>
                <w:szCs w:val="20"/>
              </w:rPr>
              <w:t>(1,536)</w:t>
            </w:r>
          </w:p>
        </w:tc>
        <w:tc>
          <w:tcPr>
            <w:tcW w:w="1985" w:type="dxa"/>
            <w:tcBorders>
              <w:top w:val="nil"/>
              <w:left w:val="nil"/>
              <w:bottom w:val="single" w:sz="4" w:space="0" w:color="auto"/>
              <w:right w:val="single" w:sz="8" w:space="0" w:color="auto"/>
            </w:tcBorders>
            <w:shd w:val="clear" w:color="auto" w:fill="92D050"/>
            <w:vAlign w:val="center"/>
            <w:hideMark/>
          </w:tcPr>
          <w:p w:rsidR="00C02CB5" w:rsidRDefault="00C02CB5" w:rsidP="00C02CB5">
            <w:pPr>
              <w:jc w:val="right"/>
              <w:rPr>
                <w:b/>
                <w:bCs/>
                <w:color w:val="000000"/>
                <w:sz w:val="20"/>
                <w:szCs w:val="20"/>
              </w:rPr>
            </w:pPr>
            <w:r>
              <w:rPr>
                <w:b/>
                <w:bCs/>
                <w:color w:val="000000"/>
                <w:sz w:val="20"/>
                <w:szCs w:val="20"/>
              </w:rPr>
              <w:t>-1.15%</w:t>
            </w:r>
          </w:p>
        </w:tc>
      </w:tr>
      <w:tr w:rsidR="00C02CB5" w:rsidRPr="006A1831" w:rsidTr="003C4364">
        <w:trPr>
          <w:trHeight w:val="340"/>
        </w:trPr>
        <w:tc>
          <w:tcPr>
            <w:tcW w:w="3827" w:type="dxa"/>
            <w:tcBorders>
              <w:top w:val="nil"/>
              <w:left w:val="single" w:sz="8" w:space="0" w:color="auto"/>
              <w:bottom w:val="single" w:sz="4" w:space="0" w:color="auto"/>
              <w:right w:val="single" w:sz="8" w:space="0" w:color="auto"/>
            </w:tcBorders>
            <w:shd w:val="clear" w:color="auto" w:fill="auto"/>
            <w:vAlign w:val="bottom"/>
            <w:hideMark/>
          </w:tcPr>
          <w:p w:rsidR="00C02CB5" w:rsidRPr="006A1831" w:rsidRDefault="00C02CB5" w:rsidP="00C02CB5">
            <w:pPr>
              <w:rPr>
                <w:b/>
                <w:bCs/>
                <w:color w:val="000000"/>
                <w:sz w:val="20"/>
                <w:szCs w:val="20"/>
                <w:lang w:val="en-US"/>
              </w:rPr>
            </w:pPr>
            <w:r w:rsidRPr="006A1831">
              <w:rPr>
                <w:b/>
                <w:bCs/>
                <w:color w:val="000000"/>
                <w:sz w:val="20"/>
                <w:szCs w:val="20"/>
                <w:lang w:val="en-US"/>
              </w:rPr>
              <w:t> </w:t>
            </w:r>
          </w:p>
        </w:tc>
        <w:tc>
          <w:tcPr>
            <w:tcW w:w="1560" w:type="dxa"/>
            <w:tcBorders>
              <w:top w:val="nil"/>
              <w:left w:val="nil"/>
              <w:bottom w:val="single" w:sz="4" w:space="0" w:color="auto"/>
              <w:right w:val="single" w:sz="8" w:space="0" w:color="auto"/>
            </w:tcBorders>
            <w:shd w:val="clear" w:color="auto" w:fill="auto"/>
            <w:vAlign w:val="center"/>
            <w:hideMark/>
          </w:tcPr>
          <w:p w:rsidR="00C02CB5" w:rsidRDefault="00C02CB5" w:rsidP="00C02CB5">
            <w:pPr>
              <w:rPr>
                <w:color w:val="000000"/>
                <w:sz w:val="20"/>
                <w:szCs w:val="20"/>
              </w:rPr>
            </w:pPr>
            <w:r>
              <w:rPr>
                <w:color w:val="000000"/>
                <w:sz w:val="20"/>
                <w:szCs w:val="20"/>
              </w:rPr>
              <w:t> </w:t>
            </w:r>
          </w:p>
        </w:tc>
        <w:tc>
          <w:tcPr>
            <w:tcW w:w="1984" w:type="dxa"/>
            <w:tcBorders>
              <w:top w:val="nil"/>
              <w:left w:val="nil"/>
              <w:bottom w:val="single" w:sz="4" w:space="0" w:color="auto"/>
              <w:right w:val="nil"/>
            </w:tcBorders>
            <w:shd w:val="clear" w:color="auto" w:fill="auto"/>
            <w:vAlign w:val="center"/>
            <w:hideMark/>
          </w:tcPr>
          <w:p w:rsidR="00C02CB5" w:rsidRDefault="00C02CB5" w:rsidP="00C02CB5">
            <w:pPr>
              <w:rPr>
                <w:color w:val="000000"/>
                <w:sz w:val="20"/>
                <w:szCs w:val="20"/>
              </w:rPr>
            </w:pPr>
            <w:r>
              <w:rPr>
                <w:color w:val="000000"/>
                <w:sz w:val="20"/>
                <w:szCs w:val="20"/>
              </w:rPr>
              <w:t> </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rsidR="00C02CB5" w:rsidRDefault="00C02CB5" w:rsidP="00C02CB5">
            <w:pPr>
              <w:rPr>
                <w:color w:val="000000"/>
                <w:sz w:val="20"/>
                <w:szCs w:val="20"/>
              </w:rPr>
            </w:pPr>
            <w:r>
              <w:rPr>
                <w:color w:val="000000"/>
                <w:sz w:val="20"/>
                <w:szCs w:val="20"/>
              </w:rPr>
              <w:t> </w:t>
            </w:r>
          </w:p>
        </w:tc>
        <w:tc>
          <w:tcPr>
            <w:tcW w:w="1985" w:type="dxa"/>
            <w:tcBorders>
              <w:top w:val="nil"/>
              <w:left w:val="nil"/>
              <w:bottom w:val="single" w:sz="4" w:space="0" w:color="auto"/>
              <w:right w:val="single" w:sz="8" w:space="0" w:color="auto"/>
            </w:tcBorders>
            <w:shd w:val="clear" w:color="auto" w:fill="auto"/>
            <w:vAlign w:val="center"/>
            <w:hideMark/>
          </w:tcPr>
          <w:p w:rsidR="00C02CB5" w:rsidRDefault="00C02CB5" w:rsidP="00C02CB5">
            <w:pPr>
              <w:jc w:val="right"/>
              <w:rPr>
                <w:color w:val="000000"/>
                <w:sz w:val="20"/>
                <w:szCs w:val="20"/>
              </w:rPr>
            </w:pPr>
            <w:r>
              <w:rPr>
                <w:color w:val="000000"/>
                <w:sz w:val="20"/>
                <w:szCs w:val="20"/>
              </w:rPr>
              <w:t> </w:t>
            </w:r>
          </w:p>
        </w:tc>
      </w:tr>
      <w:tr w:rsidR="00C02CB5" w:rsidRPr="006A1831" w:rsidTr="003C4364">
        <w:trPr>
          <w:trHeight w:val="340"/>
        </w:trPr>
        <w:tc>
          <w:tcPr>
            <w:tcW w:w="3827" w:type="dxa"/>
            <w:tcBorders>
              <w:top w:val="nil"/>
              <w:left w:val="single" w:sz="8" w:space="0" w:color="auto"/>
              <w:bottom w:val="single" w:sz="4" w:space="0" w:color="auto"/>
              <w:right w:val="single" w:sz="8" w:space="0" w:color="auto"/>
            </w:tcBorders>
            <w:shd w:val="clear" w:color="auto" w:fill="auto"/>
            <w:vAlign w:val="bottom"/>
          </w:tcPr>
          <w:p w:rsidR="00C02CB5" w:rsidRPr="006A1831" w:rsidRDefault="00C02CB5" w:rsidP="00C02CB5">
            <w:pPr>
              <w:rPr>
                <w:color w:val="000000"/>
                <w:sz w:val="20"/>
                <w:szCs w:val="20"/>
                <w:lang w:val="en-US"/>
              </w:rPr>
            </w:pPr>
            <w:r w:rsidRPr="006A1831">
              <w:rPr>
                <w:color w:val="000000"/>
                <w:sz w:val="20"/>
                <w:szCs w:val="20"/>
                <w:lang w:val="en-US"/>
              </w:rPr>
              <w:t>Additional Clinical Services</w:t>
            </w:r>
          </w:p>
        </w:tc>
        <w:tc>
          <w:tcPr>
            <w:tcW w:w="1560" w:type="dxa"/>
            <w:tcBorders>
              <w:top w:val="nil"/>
              <w:left w:val="nil"/>
              <w:bottom w:val="single" w:sz="4" w:space="0" w:color="auto"/>
              <w:right w:val="single" w:sz="8" w:space="0" w:color="auto"/>
            </w:tcBorders>
            <w:shd w:val="clear" w:color="auto" w:fill="auto"/>
            <w:vAlign w:val="center"/>
          </w:tcPr>
          <w:p w:rsidR="00C02CB5" w:rsidRDefault="00C02CB5" w:rsidP="00C02CB5">
            <w:pPr>
              <w:jc w:val="right"/>
              <w:rPr>
                <w:color w:val="000000"/>
                <w:sz w:val="20"/>
                <w:szCs w:val="20"/>
              </w:rPr>
            </w:pPr>
            <w:r>
              <w:rPr>
                <w:color w:val="000000"/>
                <w:sz w:val="20"/>
                <w:szCs w:val="20"/>
              </w:rPr>
              <w:t>11,699</w:t>
            </w:r>
          </w:p>
        </w:tc>
        <w:tc>
          <w:tcPr>
            <w:tcW w:w="1984" w:type="dxa"/>
            <w:tcBorders>
              <w:top w:val="nil"/>
              <w:left w:val="nil"/>
              <w:bottom w:val="single" w:sz="4" w:space="0" w:color="auto"/>
              <w:right w:val="nil"/>
            </w:tcBorders>
            <w:shd w:val="clear" w:color="auto" w:fill="auto"/>
            <w:vAlign w:val="center"/>
          </w:tcPr>
          <w:p w:rsidR="00C02CB5" w:rsidRDefault="00C02CB5" w:rsidP="00C02CB5">
            <w:pPr>
              <w:jc w:val="right"/>
              <w:rPr>
                <w:color w:val="000000"/>
                <w:sz w:val="20"/>
                <w:szCs w:val="20"/>
              </w:rPr>
            </w:pPr>
            <w:r>
              <w:rPr>
                <w:color w:val="FF0000"/>
                <w:sz w:val="20"/>
                <w:szCs w:val="20"/>
              </w:rPr>
              <w:t>(4)</w:t>
            </w:r>
          </w:p>
        </w:tc>
        <w:tc>
          <w:tcPr>
            <w:tcW w:w="1559" w:type="dxa"/>
            <w:tcBorders>
              <w:top w:val="nil"/>
              <w:left w:val="single" w:sz="4" w:space="0" w:color="auto"/>
              <w:bottom w:val="single" w:sz="4" w:space="0" w:color="auto"/>
              <w:right w:val="single" w:sz="4" w:space="0" w:color="auto"/>
            </w:tcBorders>
            <w:shd w:val="clear" w:color="auto" w:fill="auto"/>
            <w:vAlign w:val="center"/>
          </w:tcPr>
          <w:p w:rsidR="00C02CB5" w:rsidRDefault="00C02CB5" w:rsidP="00C02CB5">
            <w:pPr>
              <w:jc w:val="right"/>
              <w:rPr>
                <w:color w:val="000000"/>
                <w:sz w:val="20"/>
                <w:szCs w:val="20"/>
              </w:rPr>
            </w:pPr>
            <w:r>
              <w:rPr>
                <w:color w:val="FF0000"/>
                <w:sz w:val="20"/>
                <w:szCs w:val="20"/>
              </w:rPr>
              <w:t>(165)</w:t>
            </w:r>
          </w:p>
        </w:tc>
        <w:tc>
          <w:tcPr>
            <w:tcW w:w="1985" w:type="dxa"/>
            <w:tcBorders>
              <w:top w:val="nil"/>
              <w:left w:val="nil"/>
              <w:bottom w:val="single" w:sz="4" w:space="0" w:color="auto"/>
              <w:right w:val="single" w:sz="8" w:space="0" w:color="auto"/>
            </w:tcBorders>
            <w:shd w:val="clear" w:color="auto" w:fill="92D050"/>
            <w:vAlign w:val="center"/>
          </w:tcPr>
          <w:p w:rsidR="00C02CB5" w:rsidRDefault="00C02CB5" w:rsidP="00C02CB5">
            <w:pPr>
              <w:jc w:val="right"/>
              <w:rPr>
                <w:color w:val="000000"/>
                <w:sz w:val="20"/>
                <w:szCs w:val="20"/>
              </w:rPr>
            </w:pPr>
            <w:r>
              <w:rPr>
                <w:color w:val="000000"/>
                <w:sz w:val="20"/>
                <w:szCs w:val="20"/>
              </w:rPr>
              <w:t>-1.37%</w:t>
            </w:r>
          </w:p>
        </w:tc>
      </w:tr>
      <w:tr w:rsidR="00C02CB5" w:rsidRPr="006A1831" w:rsidTr="003C4364">
        <w:trPr>
          <w:trHeight w:val="340"/>
        </w:trPr>
        <w:tc>
          <w:tcPr>
            <w:tcW w:w="3827" w:type="dxa"/>
            <w:tcBorders>
              <w:top w:val="nil"/>
              <w:left w:val="single" w:sz="8" w:space="0" w:color="auto"/>
              <w:bottom w:val="single" w:sz="4" w:space="0" w:color="auto"/>
              <w:right w:val="single" w:sz="8" w:space="0" w:color="auto"/>
            </w:tcBorders>
            <w:shd w:val="clear" w:color="auto" w:fill="auto"/>
            <w:vAlign w:val="bottom"/>
            <w:hideMark/>
          </w:tcPr>
          <w:p w:rsidR="00C02CB5" w:rsidRPr="006A1831" w:rsidRDefault="00C02CB5" w:rsidP="00C02CB5">
            <w:pPr>
              <w:rPr>
                <w:color w:val="000000"/>
                <w:sz w:val="20"/>
                <w:szCs w:val="20"/>
                <w:lang w:val="en-US"/>
              </w:rPr>
            </w:pPr>
            <w:r w:rsidRPr="006A1831">
              <w:rPr>
                <w:rFonts w:cs="Arial"/>
                <w:color w:val="000000"/>
                <w:sz w:val="20"/>
                <w:szCs w:val="20"/>
              </w:rPr>
              <w:t>Allied Health Professionals</w:t>
            </w:r>
          </w:p>
        </w:tc>
        <w:tc>
          <w:tcPr>
            <w:tcW w:w="1560" w:type="dxa"/>
            <w:tcBorders>
              <w:top w:val="nil"/>
              <w:left w:val="nil"/>
              <w:bottom w:val="single" w:sz="4" w:space="0" w:color="auto"/>
              <w:right w:val="single" w:sz="8" w:space="0" w:color="auto"/>
            </w:tcBorders>
            <w:shd w:val="clear" w:color="auto" w:fill="auto"/>
            <w:vAlign w:val="center"/>
            <w:hideMark/>
          </w:tcPr>
          <w:p w:rsidR="00C02CB5" w:rsidRDefault="00C02CB5" w:rsidP="00C02CB5">
            <w:pPr>
              <w:jc w:val="right"/>
              <w:rPr>
                <w:color w:val="000000"/>
                <w:sz w:val="20"/>
                <w:szCs w:val="20"/>
              </w:rPr>
            </w:pPr>
            <w:r>
              <w:rPr>
                <w:color w:val="000000"/>
                <w:sz w:val="20"/>
                <w:szCs w:val="20"/>
              </w:rPr>
              <w:t>29,747</w:t>
            </w:r>
          </w:p>
        </w:tc>
        <w:tc>
          <w:tcPr>
            <w:tcW w:w="1984" w:type="dxa"/>
            <w:tcBorders>
              <w:top w:val="nil"/>
              <w:left w:val="nil"/>
              <w:bottom w:val="single" w:sz="4" w:space="0" w:color="auto"/>
              <w:right w:val="nil"/>
            </w:tcBorders>
            <w:shd w:val="clear" w:color="auto" w:fill="auto"/>
            <w:vAlign w:val="center"/>
            <w:hideMark/>
          </w:tcPr>
          <w:p w:rsidR="00C02CB5" w:rsidRDefault="00C02CB5" w:rsidP="00C02CB5">
            <w:pPr>
              <w:jc w:val="right"/>
              <w:rPr>
                <w:color w:val="000000"/>
                <w:sz w:val="20"/>
                <w:szCs w:val="20"/>
              </w:rPr>
            </w:pPr>
            <w:r>
              <w:rPr>
                <w:color w:val="000000"/>
                <w:sz w:val="20"/>
                <w:szCs w:val="20"/>
              </w:rPr>
              <w:t>4</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rsidR="00C02CB5" w:rsidRDefault="00C02CB5" w:rsidP="00C02CB5">
            <w:pPr>
              <w:jc w:val="right"/>
              <w:rPr>
                <w:color w:val="000000"/>
                <w:sz w:val="20"/>
                <w:szCs w:val="20"/>
              </w:rPr>
            </w:pPr>
            <w:r>
              <w:rPr>
                <w:color w:val="FF0000"/>
                <w:sz w:val="20"/>
                <w:szCs w:val="20"/>
              </w:rPr>
              <w:t>(847)</w:t>
            </w:r>
          </w:p>
        </w:tc>
        <w:tc>
          <w:tcPr>
            <w:tcW w:w="1985" w:type="dxa"/>
            <w:tcBorders>
              <w:top w:val="nil"/>
              <w:left w:val="nil"/>
              <w:bottom w:val="single" w:sz="4" w:space="0" w:color="auto"/>
              <w:right w:val="single" w:sz="8" w:space="0" w:color="auto"/>
            </w:tcBorders>
            <w:shd w:val="clear" w:color="auto" w:fill="92D050"/>
            <w:vAlign w:val="center"/>
            <w:hideMark/>
          </w:tcPr>
          <w:p w:rsidR="00C02CB5" w:rsidRDefault="00C02CB5" w:rsidP="00C02CB5">
            <w:pPr>
              <w:jc w:val="right"/>
              <w:rPr>
                <w:color w:val="000000"/>
                <w:sz w:val="20"/>
                <w:szCs w:val="20"/>
              </w:rPr>
            </w:pPr>
            <w:r>
              <w:rPr>
                <w:color w:val="000000"/>
                <w:sz w:val="20"/>
                <w:szCs w:val="20"/>
              </w:rPr>
              <w:t>-3.10%</w:t>
            </w:r>
          </w:p>
        </w:tc>
      </w:tr>
      <w:tr w:rsidR="00C02CB5" w:rsidRPr="006A1831" w:rsidTr="003C4364">
        <w:trPr>
          <w:trHeight w:val="340"/>
        </w:trPr>
        <w:tc>
          <w:tcPr>
            <w:tcW w:w="3827" w:type="dxa"/>
            <w:tcBorders>
              <w:top w:val="nil"/>
              <w:left w:val="single" w:sz="8" w:space="0" w:color="auto"/>
              <w:bottom w:val="single" w:sz="4" w:space="0" w:color="auto"/>
              <w:right w:val="single" w:sz="8" w:space="0" w:color="auto"/>
            </w:tcBorders>
            <w:shd w:val="clear" w:color="auto" w:fill="auto"/>
            <w:vAlign w:val="bottom"/>
            <w:hideMark/>
          </w:tcPr>
          <w:p w:rsidR="00C02CB5" w:rsidRPr="006A1831" w:rsidRDefault="00C02CB5" w:rsidP="00C02CB5">
            <w:pPr>
              <w:rPr>
                <w:color w:val="000000"/>
                <w:sz w:val="20"/>
                <w:szCs w:val="20"/>
                <w:lang w:val="en-US"/>
              </w:rPr>
            </w:pPr>
            <w:r w:rsidRPr="006A1831">
              <w:rPr>
                <w:rFonts w:cs="Arial"/>
                <w:color w:val="000000"/>
                <w:sz w:val="20"/>
                <w:szCs w:val="20"/>
              </w:rPr>
              <w:t>Add Prof Scientific And Technical</w:t>
            </w:r>
          </w:p>
        </w:tc>
        <w:tc>
          <w:tcPr>
            <w:tcW w:w="1560" w:type="dxa"/>
            <w:tcBorders>
              <w:top w:val="nil"/>
              <w:left w:val="nil"/>
              <w:bottom w:val="single" w:sz="4" w:space="0" w:color="auto"/>
              <w:right w:val="single" w:sz="8" w:space="0" w:color="auto"/>
            </w:tcBorders>
            <w:shd w:val="clear" w:color="auto" w:fill="auto"/>
            <w:vAlign w:val="center"/>
            <w:hideMark/>
          </w:tcPr>
          <w:p w:rsidR="00C02CB5" w:rsidRDefault="00C02CB5" w:rsidP="00C02CB5">
            <w:pPr>
              <w:jc w:val="right"/>
              <w:rPr>
                <w:color w:val="000000"/>
                <w:sz w:val="20"/>
                <w:szCs w:val="20"/>
              </w:rPr>
            </w:pPr>
            <w:r>
              <w:rPr>
                <w:color w:val="000000"/>
                <w:sz w:val="20"/>
                <w:szCs w:val="20"/>
              </w:rPr>
              <w:t>19,034</w:t>
            </w:r>
          </w:p>
        </w:tc>
        <w:tc>
          <w:tcPr>
            <w:tcW w:w="1984" w:type="dxa"/>
            <w:tcBorders>
              <w:top w:val="nil"/>
              <w:left w:val="nil"/>
              <w:bottom w:val="single" w:sz="4" w:space="0" w:color="auto"/>
              <w:right w:val="nil"/>
            </w:tcBorders>
            <w:shd w:val="clear" w:color="auto" w:fill="auto"/>
            <w:vAlign w:val="center"/>
            <w:hideMark/>
          </w:tcPr>
          <w:p w:rsidR="00C02CB5" w:rsidRDefault="00C02CB5" w:rsidP="00C02CB5">
            <w:pPr>
              <w:jc w:val="right"/>
              <w:rPr>
                <w:color w:val="000000"/>
                <w:sz w:val="20"/>
                <w:szCs w:val="20"/>
              </w:rPr>
            </w:pPr>
            <w:r>
              <w:rPr>
                <w:color w:val="FF0000"/>
                <w:sz w:val="20"/>
                <w:szCs w:val="20"/>
              </w:rPr>
              <w:t>(111)</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rsidR="00C02CB5" w:rsidRDefault="00C02CB5" w:rsidP="00C02CB5">
            <w:pPr>
              <w:jc w:val="right"/>
              <w:rPr>
                <w:color w:val="000000"/>
                <w:sz w:val="20"/>
                <w:szCs w:val="20"/>
              </w:rPr>
            </w:pPr>
            <w:r>
              <w:rPr>
                <w:color w:val="FF0000"/>
                <w:sz w:val="20"/>
                <w:szCs w:val="20"/>
              </w:rPr>
              <w:t>(882)</w:t>
            </w:r>
          </w:p>
        </w:tc>
        <w:tc>
          <w:tcPr>
            <w:tcW w:w="1985" w:type="dxa"/>
            <w:tcBorders>
              <w:top w:val="nil"/>
              <w:left w:val="nil"/>
              <w:bottom w:val="single" w:sz="4" w:space="0" w:color="auto"/>
              <w:right w:val="single" w:sz="8" w:space="0" w:color="auto"/>
            </w:tcBorders>
            <w:shd w:val="clear" w:color="auto" w:fill="92D050"/>
            <w:vAlign w:val="center"/>
            <w:hideMark/>
          </w:tcPr>
          <w:p w:rsidR="00C02CB5" w:rsidRDefault="00C02CB5" w:rsidP="00C02CB5">
            <w:pPr>
              <w:jc w:val="right"/>
              <w:rPr>
                <w:color w:val="000000"/>
                <w:sz w:val="20"/>
                <w:szCs w:val="20"/>
              </w:rPr>
            </w:pPr>
            <w:r>
              <w:rPr>
                <w:color w:val="000000"/>
                <w:sz w:val="20"/>
                <w:szCs w:val="20"/>
              </w:rPr>
              <w:t>-5.06%</w:t>
            </w:r>
          </w:p>
        </w:tc>
      </w:tr>
      <w:tr w:rsidR="00C02CB5" w:rsidRPr="006A1831" w:rsidTr="003C4364">
        <w:trPr>
          <w:trHeight w:val="340"/>
        </w:trPr>
        <w:tc>
          <w:tcPr>
            <w:tcW w:w="3827" w:type="dxa"/>
            <w:tcBorders>
              <w:top w:val="nil"/>
              <w:left w:val="single" w:sz="8" w:space="0" w:color="auto"/>
              <w:bottom w:val="single" w:sz="4" w:space="0" w:color="auto"/>
              <w:right w:val="single" w:sz="8" w:space="0" w:color="auto"/>
            </w:tcBorders>
            <w:shd w:val="clear" w:color="auto" w:fill="auto"/>
            <w:vAlign w:val="bottom"/>
            <w:hideMark/>
          </w:tcPr>
          <w:p w:rsidR="00C02CB5" w:rsidRPr="006A1831" w:rsidRDefault="00C02CB5" w:rsidP="00C02CB5">
            <w:pPr>
              <w:rPr>
                <w:color w:val="000000"/>
                <w:sz w:val="20"/>
                <w:szCs w:val="20"/>
                <w:lang w:val="en-US"/>
              </w:rPr>
            </w:pPr>
            <w:r w:rsidRPr="006A1831">
              <w:rPr>
                <w:rFonts w:cs="Arial"/>
                <w:color w:val="000000"/>
                <w:sz w:val="20"/>
                <w:szCs w:val="20"/>
              </w:rPr>
              <w:t>Administrative &amp; Clerical</w:t>
            </w:r>
          </w:p>
        </w:tc>
        <w:tc>
          <w:tcPr>
            <w:tcW w:w="1560" w:type="dxa"/>
            <w:tcBorders>
              <w:top w:val="nil"/>
              <w:left w:val="nil"/>
              <w:bottom w:val="single" w:sz="4" w:space="0" w:color="auto"/>
              <w:right w:val="single" w:sz="8" w:space="0" w:color="auto"/>
            </w:tcBorders>
            <w:shd w:val="clear" w:color="auto" w:fill="auto"/>
            <w:vAlign w:val="center"/>
            <w:hideMark/>
          </w:tcPr>
          <w:p w:rsidR="00C02CB5" w:rsidRDefault="00C02CB5" w:rsidP="00C02CB5">
            <w:pPr>
              <w:jc w:val="right"/>
              <w:rPr>
                <w:color w:val="000000"/>
                <w:sz w:val="20"/>
                <w:szCs w:val="20"/>
              </w:rPr>
            </w:pPr>
            <w:r>
              <w:rPr>
                <w:color w:val="000000"/>
                <w:sz w:val="20"/>
                <w:szCs w:val="20"/>
              </w:rPr>
              <w:t>67,605</w:t>
            </w:r>
          </w:p>
        </w:tc>
        <w:tc>
          <w:tcPr>
            <w:tcW w:w="1984" w:type="dxa"/>
            <w:tcBorders>
              <w:top w:val="nil"/>
              <w:left w:val="nil"/>
              <w:bottom w:val="single" w:sz="4" w:space="0" w:color="auto"/>
              <w:right w:val="nil"/>
            </w:tcBorders>
            <w:shd w:val="clear" w:color="auto" w:fill="auto"/>
            <w:vAlign w:val="center"/>
            <w:hideMark/>
          </w:tcPr>
          <w:p w:rsidR="00C02CB5" w:rsidRDefault="00C02CB5" w:rsidP="00C02CB5">
            <w:pPr>
              <w:jc w:val="right"/>
              <w:rPr>
                <w:color w:val="000000"/>
                <w:sz w:val="20"/>
                <w:szCs w:val="20"/>
              </w:rPr>
            </w:pPr>
            <w:r>
              <w:rPr>
                <w:color w:val="FF0000"/>
                <w:sz w:val="20"/>
                <w:szCs w:val="20"/>
              </w:rPr>
              <w:t>(195)</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rsidR="00C02CB5" w:rsidRDefault="00C02CB5" w:rsidP="00C02CB5">
            <w:pPr>
              <w:jc w:val="right"/>
              <w:rPr>
                <w:color w:val="000000"/>
                <w:sz w:val="20"/>
                <w:szCs w:val="20"/>
              </w:rPr>
            </w:pPr>
            <w:r>
              <w:rPr>
                <w:color w:val="FF0000"/>
                <w:sz w:val="20"/>
                <w:szCs w:val="20"/>
              </w:rPr>
              <w:t>(1,331)</w:t>
            </w:r>
          </w:p>
        </w:tc>
        <w:tc>
          <w:tcPr>
            <w:tcW w:w="1985" w:type="dxa"/>
            <w:tcBorders>
              <w:top w:val="nil"/>
              <w:left w:val="nil"/>
              <w:bottom w:val="single" w:sz="4" w:space="0" w:color="auto"/>
              <w:right w:val="single" w:sz="8" w:space="0" w:color="auto"/>
            </w:tcBorders>
            <w:shd w:val="clear" w:color="auto" w:fill="92D050"/>
            <w:vAlign w:val="center"/>
            <w:hideMark/>
          </w:tcPr>
          <w:p w:rsidR="00C02CB5" w:rsidRDefault="00C02CB5" w:rsidP="00C02CB5">
            <w:pPr>
              <w:jc w:val="right"/>
              <w:rPr>
                <w:color w:val="000000"/>
                <w:sz w:val="20"/>
                <w:szCs w:val="20"/>
              </w:rPr>
            </w:pPr>
            <w:r>
              <w:rPr>
                <w:color w:val="000000"/>
                <w:sz w:val="20"/>
                <w:szCs w:val="20"/>
              </w:rPr>
              <w:t>-2.16%</w:t>
            </w:r>
          </w:p>
        </w:tc>
      </w:tr>
      <w:tr w:rsidR="00C02CB5" w:rsidRPr="006A1831" w:rsidTr="00BD3982">
        <w:trPr>
          <w:trHeight w:val="340"/>
        </w:trPr>
        <w:tc>
          <w:tcPr>
            <w:tcW w:w="3827" w:type="dxa"/>
            <w:tcBorders>
              <w:top w:val="nil"/>
              <w:left w:val="single" w:sz="8" w:space="0" w:color="auto"/>
              <w:bottom w:val="single" w:sz="4" w:space="0" w:color="auto"/>
              <w:right w:val="single" w:sz="8" w:space="0" w:color="auto"/>
            </w:tcBorders>
            <w:shd w:val="clear" w:color="auto" w:fill="auto"/>
            <w:vAlign w:val="bottom"/>
            <w:hideMark/>
          </w:tcPr>
          <w:p w:rsidR="00C02CB5" w:rsidRPr="006A1831" w:rsidRDefault="00C02CB5" w:rsidP="00C02CB5">
            <w:pPr>
              <w:rPr>
                <w:color w:val="000000"/>
                <w:sz w:val="20"/>
                <w:szCs w:val="20"/>
                <w:lang w:val="en-US"/>
              </w:rPr>
            </w:pPr>
            <w:r w:rsidRPr="006A1831">
              <w:rPr>
                <w:rFonts w:cs="Arial"/>
                <w:color w:val="000000"/>
                <w:sz w:val="20"/>
                <w:szCs w:val="20"/>
              </w:rPr>
              <w:t>Estates And Ancillary</w:t>
            </w:r>
          </w:p>
        </w:tc>
        <w:tc>
          <w:tcPr>
            <w:tcW w:w="1560" w:type="dxa"/>
            <w:tcBorders>
              <w:top w:val="nil"/>
              <w:left w:val="nil"/>
              <w:bottom w:val="single" w:sz="4" w:space="0" w:color="auto"/>
              <w:right w:val="single" w:sz="8" w:space="0" w:color="auto"/>
            </w:tcBorders>
            <w:shd w:val="clear" w:color="auto" w:fill="auto"/>
            <w:vAlign w:val="center"/>
            <w:hideMark/>
          </w:tcPr>
          <w:p w:rsidR="00C02CB5" w:rsidRDefault="00C02CB5" w:rsidP="00C02CB5">
            <w:pPr>
              <w:jc w:val="right"/>
              <w:rPr>
                <w:color w:val="000000"/>
                <w:sz w:val="20"/>
                <w:szCs w:val="20"/>
              </w:rPr>
            </w:pPr>
            <w:r>
              <w:rPr>
                <w:color w:val="000000"/>
                <w:sz w:val="20"/>
                <w:szCs w:val="20"/>
              </w:rPr>
              <w:t>31,437</w:t>
            </w:r>
          </w:p>
        </w:tc>
        <w:tc>
          <w:tcPr>
            <w:tcW w:w="1984" w:type="dxa"/>
            <w:tcBorders>
              <w:top w:val="nil"/>
              <w:left w:val="nil"/>
              <w:bottom w:val="single" w:sz="4" w:space="0" w:color="auto"/>
              <w:right w:val="nil"/>
            </w:tcBorders>
            <w:shd w:val="clear" w:color="auto" w:fill="auto"/>
            <w:vAlign w:val="center"/>
            <w:hideMark/>
          </w:tcPr>
          <w:p w:rsidR="00C02CB5" w:rsidRDefault="00C02CB5" w:rsidP="00C02CB5">
            <w:pPr>
              <w:jc w:val="right"/>
              <w:rPr>
                <w:color w:val="000000"/>
                <w:sz w:val="20"/>
                <w:szCs w:val="20"/>
              </w:rPr>
            </w:pPr>
            <w:r>
              <w:rPr>
                <w:color w:val="000000"/>
                <w:sz w:val="20"/>
                <w:szCs w:val="20"/>
              </w:rPr>
              <w:t>13</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rsidR="00C02CB5" w:rsidRDefault="00C02CB5" w:rsidP="00C02CB5">
            <w:pPr>
              <w:jc w:val="right"/>
              <w:rPr>
                <w:color w:val="000000"/>
                <w:sz w:val="20"/>
                <w:szCs w:val="20"/>
              </w:rPr>
            </w:pPr>
            <w:r>
              <w:rPr>
                <w:color w:val="000000"/>
                <w:sz w:val="20"/>
                <w:szCs w:val="20"/>
              </w:rPr>
              <w:t>431</w:t>
            </w:r>
          </w:p>
        </w:tc>
        <w:tc>
          <w:tcPr>
            <w:tcW w:w="1985" w:type="dxa"/>
            <w:tcBorders>
              <w:top w:val="nil"/>
              <w:left w:val="nil"/>
              <w:bottom w:val="single" w:sz="4" w:space="0" w:color="auto"/>
              <w:right w:val="single" w:sz="8" w:space="0" w:color="auto"/>
            </w:tcBorders>
            <w:shd w:val="clear" w:color="auto" w:fill="FFC000"/>
            <w:vAlign w:val="center"/>
            <w:hideMark/>
          </w:tcPr>
          <w:p w:rsidR="00C02CB5" w:rsidRDefault="00C02CB5" w:rsidP="00C02CB5">
            <w:pPr>
              <w:jc w:val="right"/>
              <w:rPr>
                <w:color w:val="000000"/>
                <w:sz w:val="20"/>
                <w:szCs w:val="20"/>
              </w:rPr>
            </w:pPr>
            <w:r>
              <w:rPr>
                <w:color w:val="000000"/>
                <w:sz w:val="20"/>
                <w:szCs w:val="20"/>
              </w:rPr>
              <w:t>1.50%</w:t>
            </w:r>
          </w:p>
        </w:tc>
      </w:tr>
      <w:tr w:rsidR="00C02CB5" w:rsidRPr="006A1831" w:rsidTr="003C4364">
        <w:trPr>
          <w:trHeight w:val="340"/>
        </w:trPr>
        <w:tc>
          <w:tcPr>
            <w:tcW w:w="3827" w:type="dxa"/>
            <w:tcBorders>
              <w:top w:val="nil"/>
              <w:left w:val="single" w:sz="8" w:space="0" w:color="auto"/>
              <w:bottom w:val="single" w:sz="4" w:space="0" w:color="auto"/>
              <w:right w:val="single" w:sz="8" w:space="0" w:color="auto"/>
            </w:tcBorders>
            <w:shd w:val="clear" w:color="auto" w:fill="auto"/>
            <w:vAlign w:val="bottom"/>
            <w:hideMark/>
          </w:tcPr>
          <w:p w:rsidR="00C02CB5" w:rsidRPr="006A1831" w:rsidRDefault="00C02CB5" w:rsidP="00C02CB5">
            <w:pPr>
              <w:rPr>
                <w:color w:val="000000"/>
                <w:sz w:val="20"/>
                <w:szCs w:val="20"/>
                <w:lang w:val="en-US"/>
              </w:rPr>
            </w:pPr>
            <w:r w:rsidRPr="006A1831">
              <w:rPr>
                <w:rFonts w:cs="Arial"/>
                <w:color w:val="000000"/>
                <w:sz w:val="20"/>
                <w:szCs w:val="20"/>
              </w:rPr>
              <w:t>Healthcare Scientists</w:t>
            </w:r>
          </w:p>
        </w:tc>
        <w:tc>
          <w:tcPr>
            <w:tcW w:w="1560" w:type="dxa"/>
            <w:tcBorders>
              <w:top w:val="nil"/>
              <w:left w:val="nil"/>
              <w:bottom w:val="single" w:sz="4" w:space="0" w:color="auto"/>
              <w:right w:val="single" w:sz="8" w:space="0" w:color="auto"/>
            </w:tcBorders>
            <w:shd w:val="clear" w:color="auto" w:fill="auto"/>
            <w:vAlign w:val="center"/>
            <w:hideMark/>
          </w:tcPr>
          <w:p w:rsidR="00C02CB5" w:rsidRDefault="00C02CB5" w:rsidP="00C02CB5">
            <w:pPr>
              <w:jc w:val="right"/>
              <w:rPr>
                <w:color w:val="000000"/>
                <w:sz w:val="20"/>
                <w:szCs w:val="20"/>
              </w:rPr>
            </w:pPr>
            <w:r>
              <w:rPr>
                <w:color w:val="000000"/>
                <w:sz w:val="20"/>
                <w:szCs w:val="20"/>
              </w:rPr>
              <w:t>11,809</w:t>
            </w:r>
          </w:p>
        </w:tc>
        <w:tc>
          <w:tcPr>
            <w:tcW w:w="1984" w:type="dxa"/>
            <w:tcBorders>
              <w:top w:val="nil"/>
              <w:left w:val="nil"/>
              <w:bottom w:val="single" w:sz="4" w:space="0" w:color="auto"/>
              <w:right w:val="nil"/>
            </w:tcBorders>
            <w:shd w:val="clear" w:color="auto" w:fill="auto"/>
            <w:vAlign w:val="center"/>
            <w:hideMark/>
          </w:tcPr>
          <w:p w:rsidR="00C02CB5" w:rsidRDefault="00C02CB5" w:rsidP="00C02CB5">
            <w:pPr>
              <w:jc w:val="right"/>
              <w:rPr>
                <w:color w:val="000000"/>
                <w:sz w:val="20"/>
                <w:szCs w:val="20"/>
              </w:rPr>
            </w:pPr>
            <w:r>
              <w:rPr>
                <w:color w:val="000000"/>
                <w:sz w:val="20"/>
                <w:szCs w:val="20"/>
              </w:rPr>
              <w:t>90</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rsidR="00C02CB5" w:rsidRDefault="00C02CB5" w:rsidP="00C02CB5">
            <w:pPr>
              <w:jc w:val="right"/>
              <w:rPr>
                <w:color w:val="000000"/>
                <w:sz w:val="20"/>
                <w:szCs w:val="20"/>
              </w:rPr>
            </w:pPr>
            <w:r>
              <w:rPr>
                <w:color w:val="000000"/>
                <w:sz w:val="20"/>
                <w:szCs w:val="20"/>
              </w:rPr>
              <w:t>193</w:t>
            </w:r>
          </w:p>
        </w:tc>
        <w:tc>
          <w:tcPr>
            <w:tcW w:w="1985" w:type="dxa"/>
            <w:tcBorders>
              <w:top w:val="nil"/>
              <w:left w:val="nil"/>
              <w:bottom w:val="single" w:sz="4" w:space="0" w:color="auto"/>
              <w:right w:val="single" w:sz="8" w:space="0" w:color="auto"/>
            </w:tcBorders>
            <w:shd w:val="clear" w:color="auto" w:fill="FFC000"/>
            <w:vAlign w:val="center"/>
            <w:hideMark/>
          </w:tcPr>
          <w:p w:rsidR="00C02CB5" w:rsidRDefault="00C02CB5" w:rsidP="00C02CB5">
            <w:pPr>
              <w:jc w:val="right"/>
              <w:rPr>
                <w:color w:val="000000"/>
                <w:sz w:val="20"/>
                <w:szCs w:val="20"/>
              </w:rPr>
            </w:pPr>
            <w:r>
              <w:rPr>
                <w:color w:val="000000"/>
                <w:sz w:val="20"/>
                <w:szCs w:val="20"/>
              </w:rPr>
              <w:t>1.78%</w:t>
            </w:r>
          </w:p>
        </w:tc>
      </w:tr>
      <w:tr w:rsidR="00C02CB5" w:rsidRPr="006A1831" w:rsidTr="003C4364">
        <w:trPr>
          <w:trHeight w:val="340"/>
        </w:trPr>
        <w:tc>
          <w:tcPr>
            <w:tcW w:w="3827" w:type="dxa"/>
            <w:tcBorders>
              <w:top w:val="nil"/>
              <w:left w:val="single" w:sz="8" w:space="0" w:color="auto"/>
              <w:bottom w:val="single" w:sz="8" w:space="0" w:color="auto"/>
              <w:right w:val="single" w:sz="8" w:space="0" w:color="auto"/>
            </w:tcBorders>
            <w:shd w:val="clear" w:color="auto" w:fill="auto"/>
            <w:vAlign w:val="bottom"/>
            <w:hideMark/>
          </w:tcPr>
          <w:p w:rsidR="00C02CB5" w:rsidRPr="006A1831" w:rsidRDefault="00C02CB5" w:rsidP="00C02CB5">
            <w:pPr>
              <w:rPr>
                <w:color w:val="000000"/>
                <w:sz w:val="20"/>
                <w:szCs w:val="20"/>
                <w:lang w:val="en-US"/>
              </w:rPr>
            </w:pPr>
            <w:r>
              <w:rPr>
                <w:rFonts w:cs="Arial"/>
                <w:color w:val="000000"/>
                <w:sz w:val="20"/>
                <w:szCs w:val="20"/>
              </w:rPr>
              <w:t>Vacancy factors included in budgets for staff turnover</w:t>
            </w:r>
          </w:p>
        </w:tc>
        <w:tc>
          <w:tcPr>
            <w:tcW w:w="1560" w:type="dxa"/>
            <w:tcBorders>
              <w:top w:val="nil"/>
              <w:left w:val="nil"/>
              <w:bottom w:val="single" w:sz="8" w:space="0" w:color="auto"/>
              <w:right w:val="single" w:sz="8" w:space="0" w:color="auto"/>
            </w:tcBorders>
            <w:shd w:val="clear" w:color="auto" w:fill="auto"/>
            <w:vAlign w:val="center"/>
            <w:hideMark/>
          </w:tcPr>
          <w:p w:rsidR="00C02CB5" w:rsidRDefault="00C02CB5" w:rsidP="00C02CB5">
            <w:pPr>
              <w:jc w:val="right"/>
              <w:rPr>
                <w:color w:val="000000"/>
                <w:sz w:val="20"/>
                <w:szCs w:val="20"/>
              </w:rPr>
            </w:pPr>
            <w:r>
              <w:rPr>
                <w:color w:val="FF0000"/>
                <w:sz w:val="20"/>
                <w:szCs w:val="20"/>
              </w:rPr>
              <w:t>(1,694)</w:t>
            </w:r>
          </w:p>
        </w:tc>
        <w:tc>
          <w:tcPr>
            <w:tcW w:w="1984" w:type="dxa"/>
            <w:tcBorders>
              <w:top w:val="nil"/>
              <w:left w:val="nil"/>
              <w:bottom w:val="single" w:sz="8" w:space="0" w:color="auto"/>
              <w:right w:val="nil"/>
            </w:tcBorders>
            <w:shd w:val="clear" w:color="auto" w:fill="auto"/>
            <w:vAlign w:val="center"/>
            <w:hideMark/>
          </w:tcPr>
          <w:p w:rsidR="00C02CB5" w:rsidRDefault="00C02CB5" w:rsidP="00C02CB5">
            <w:pPr>
              <w:jc w:val="right"/>
              <w:rPr>
                <w:color w:val="000000"/>
                <w:sz w:val="20"/>
                <w:szCs w:val="20"/>
              </w:rPr>
            </w:pPr>
            <w:r>
              <w:rPr>
                <w:color w:val="000000"/>
                <w:sz w:val="20"/>
                <w:szCs w:val="20"/>
              </w:rPr>
              <w:t>132</w:t>
            </w:r>
          </w:p>
        </w:tc>
        <w:tc>
          <w:tcPr>
            <w:tcW w:w="1559" w:type="dxa"/>
            <w:tcBorders>
              <w:top w:val="nil"/>
              <w:left w:val="single" w:sz="4" w:space="0" w:color="auto"/>
              <w:bottom w:val="single" w:sz="8" w:space="0" w:color="auto"/>
              <w:right w:val="single" w:sz="4" w:space="0" w:color="auto"/>
            </w:tcBorders>
            <w:shd w:val="clear" w:color="auto" w:fill="auto"/>
            <w:vAlign w:val="center"/>
            <w:hideMark/>
          </w:tcPr>
          <w:p w:rsidR="00C02CB5" w:rsidRDefault="00C02CB5" w:rsidP="00C02CB5">
            <w:pPr>
              <w:jc w:val="right"/>
              <w:rPr>
                <w:color w:val="000000"/>
                <w:sz w:val="20"/>
                <w:szCs w:val="20"/>
              </w:rPr>
            </w:pPr>
            <w:r>
              <w:rPr>
                <w:color w:val="000000"/>
                <w:sz w:val="20"/>
                <w:szCs w:val="20"/>
              </w:rPr>
              <w:t>1,579</w:t>
            </w:r>
          </w:p>
        </w:tc>
        <w:tc>
          <w:tcPr>
            <w:tcW w:w="1985" w:type="dxa"/>
            <w:tcBorders>
              <w:top w:val="nil"/>
              <w:left w:val="nil"/>
              <w:bottom w:val="single" w:sz="8" w:space="0" w:color="auto"/>
              <w:right w:val="single" w:sz="8" w:space="0" w:color="auto"/>
            </w:tcBorders>
            <w:shd w:val="clear" w:color="auto" w:fill="auto"/>
            <w:vAlign w:val="center"/>
            <w:hideMark/>
          </w:tcPr>
          <w:p w:rsidR="00C02CB5" w:rsidRDefault="00C02CB5" w:rsidP="00C02CB5">
            <w:pPr>
              <w:jc w:val="right"/>
              <w:rPr>
                <w:color w:val="000000"/>
                <w:sz w:val="20"/>
                <w:szCs w:val="20"/>
              </w:rPr>
            </w:pPr>
            <w:r>
              <w:rPr>
                <w:color w:val="000000"/>
                <w:sz w:val="20"/>
                <w:szCs w:val="20"/>
              </w:rPr>
              <w:t> </w:t>
            </w:r>
          </w:p>
        </w:tc>
      </w:tr>
      <w:tr w:rsidR="00C02CB5" w:rsidRPr="008075AF" w:rsidTr="003C4364">
        <w:trPr>
          <w:trHeight w:val="627"/>
        </w:trPr>
        <w:tc>
          <w:tcPr>
            <w:tcW w:w="3827" w:type="dxa"/>
            <w:tcBorders>
              <w:top w:val="single" w:sz="8" w:space="0" w:color="auto"/>
              <w:left w:val="single" w:sz="8" w:space="0" w:color="auto"/>
              <w:bottom w:val="single" w:sz="8" w:space="0" w:color="auto"/>
              <w:right w:val="single" w:sz="8" w:space="0" w:color="auto"/>
            </w:tcBorders>
            <w:shd w:val="clear" w:color="auto" w:fill="8DB3E2" w:themeFill="text2" w:themeFillTint="66"/>
            <w:vAlign w:val="center"/>
            <w:hideMark/>
          </w:tcPr>
          <w:p w:rsidR="00C02CB5" w:rsidRPr="006A1831" w:rsidRDefault="00C02CB5" w:rsidP="00C02CB5">
            <w:pPr>
              <w:rPr>
                <w:b/>
                <w:bCs/>
                <w:color w:val="000000"/>
                <w:sz w:val="20"/>
                <w:szCs w:val="20"/>
                <w:lang w:val="en-US"/>
              </w:rPr>
            </w:pPr>
            <w:r w:rsidRPr="006A1831">
              <w:rPr>
                <w:rFonts w:cs="Arial"/>
                <w:b/>
                <w:bCs/>
                <w:color w:val="000000"/>
                <w:sz w:val="20"/>
                <w:szCs w:val="20"/>
              </w:rPr>
              <w:t>Grand Total</w:t>
            </w:r>
          </w:p>
        </w:tc>
        <w:tc>
          <w:tcPr>
            <w:tcW w:w="1560" w:type="dxa"/>
            <w:tcBorders>
              <w:top w:val="single" w:sz="8" w:space="0" w:color="auto"/>
              <w:left w:val="nil"/>
              <w:bottom w:val="single" w:sz="8" w:space="0" w:color="auto"/>
              <w:right w:val="single" w:sz="8" w:space="0" w:color="auto"/>
            </w:tcBorders>
            <w:shd w:val="clear" w:color="auto" w:fill="8DB3E2" w:themeFill="text2" w:themeFillTint="66"/>
            <w:vAlign w:val="center"/>
            <w:hideMark/>
          </w:tcPr>
          <w:p w:rsidR="00C02CB5" w:rsidRDefault="00C02CB5" w:rsidP="00C02CB5">
            <w:pPr>
              <w:jc w:val="right"/>
              <w:rPr>
                <w:b/>
                <w:bCs/>
                <w:color w:val="000000"/>
                <w:sz w:val="20"/>
                <w:szCs w:val="20"/>
              </w:rPr>
            </w:pPr>
            <w:r>
              <w:rPr>
                <w:b/>
                <w:bCs/>
                <w:color w:val="000000"/>
                <w:sz w:val="20"/>
                <w:szCs w:val="20"/>
              </w:rPr>
              <w:t>522,737</w:t>
            </w:r>
          </w:p>
        </w:tc>
        <w:tc>
          <w:tcPr>
            <w:tcW w:w="1984" w:type="dxa"/>
            <w:tcBorders>
              <w:top w:val="single" w:sz="8" w:space="0" w:color="auto"/>
              <w:left w:val="nil"/>
              <w:bottom w:val="single" w:sz="8" w:space="0" w:color="auto"/>
              <w:right w:val="nil"/>
            </w:tcBorders>
            <w:shd w:val="clear" w:color="auto" w:fill="8DB3E2" w:themeFill="text2" w:themeFillTint="66"/>
            <w:vAlign w:val="center"/>
            <w:hideMark/>
          </w:tcPr>
          <w:p w:rsidR="00C02CB5" w:rsidRDefault="00C02CB5" w:rsidP="00C02CB5">
            <w:pPr>
              <w:jc w:val="right"/>
              <w:rPr>
                <w:b/>
                <w:bCs/>
                <w:color w:val="000000"/>
                <w:sz w:val="20"/>
                <w:szCs w:val="20"/>
              </w:rPr>
            </w:pPr>
            <w:r>
              <w:rPr>
                <w:b/>
                <w:bCs/>
                <w:color w:val="000000"/>
                <w:sz w:val="20"/>
                <w:szCs w:val="20"/>
              </w:rPr>
              <w:t>458</w:t>
            </w:r>
          </w:p>
        </w:tc>
        <w:tc>
          <w:tcPr>
            <w:tcW w:w="1559" w:type="dxa"/>
            <w:tcBorders>
              <w:top w:val="single" w:sz="8" w:space="0" w:color="auto"/>
              <w:left w:val="single" w:sz="4" w:space="0" w:color="auto"/>
              <w:bottom w:val="single" w:sz="8" w:space="0" w:color="auto"/>
              <w:right w:val="single" w:sz="4" w:space="0" w:color="auto"/>
            </w:tcBorders>
            <w:shd w:val="clear" w:color="auto" w:fill="8DB3E2" w:themeFill="text2" w:themeFillTint="66"/>
            <w:vAlign w:val="center"/>
            <w:hideMark/>
          </w:tcPr>
          <w:p w:rsidR="00C02CB5" w:rsidRDefault="00C02CB5" w:rsidP="00C02CB5">
            <w:pPr>
              <w:jc w:val="right"/>
              <w:rPr>
                <w:b/>
                <w:bCs/>
                <w:color w:val="000000"/>
                <w:sz w:val="20"/>
                <w:szCs w:val="20"/>
              </w:rPr>
            </w:pPr>
            <w:r>
              <w:rPr>
                <w:b/>
                <w:bCs/>
                <w:color w:val="000000"/>
                <w:sz w:val="20"/>
                <w:szCs w:val="20"/>
              </w:rPr>
              <w:t>5,457</w:t>
            </w:r>
          </w:p>
        </w:tc>
        <w:tc>
          <w:tcPr>
            <w:tcW w:w="1985" w:type="dxa"/>
            <w:tcBorders>
              <w:top w:val="single" w:sz="8" w:space="0" w:color="auto"/>
              <w:left w:val="nil"/>
              <w:bottom w:val="single" w:sz="8" w:space="0" w:color="auto"/>
              <w:right w:val="single" w:sz="8" w:space="0" w:color="auto"/>
            </w:tcBorders>
            <w:shd w:val="clear" w:color="auto" w:fill="8DB3E2" w:themeFill="text2" w:themeFillTint="66"/>
            <w:vAlign w:val="center"/>
            <w:hideMark/>
          </w:tcPr>
          <w:p w:rsidR="00C02CB5" w:rsidRDefault="00C02CB5" w:rsidP="00C02CB5">
            <w:pPr>
              <w:jc w:val="right"/>
              <w:rPr>
                <w:b/>
                <w:bCs/>
                <w:color w:val="000000"/>
                <w:sz w:val="20"/>
                <w:szCs w:val="20"/>
              </w:rPr>
            </w:pPr>
            <w:r>
              <w:rPr>
                <w:b/>
                <w:bCs/>
                <w:color w:val="000000"/>
                <w:sz w:val="20"/>
                <w:szCs w:val="20"/>
              </w:rPr>
              <w:t>1.14%</w:t>
            </w:r>
          </w:p>
        </w:tc>
      </w:tr>
    </w:tbl>
    <w:p w:rsidR="00422717" w:rsidRDefault="00422717" w:rsidP="0054713E">
      <w:pPr>
        <w:ind w:firstLine="720"/>
        <w:jc w:val="both"/>
        <w:rPr>
          <w:b/>
          <w:sz w:val="24"/>
        </w:rPr>
      </w:pPr>
    </w:p>
    <w:p w:rsidR="0054713E" w:rsidRPr="005370F3" w:rsidRDefault="0054713E" w:rsidP="0054713E">
      <w:pPr>
        <w:ind w:firstLine="720"/>
        <w:jc w:val="both"/>
        <w:rPr>
          <w:b/>
          <w:sz w:val="24"/>
        </w:rPr>
      </w:pPr>
      <w:r w:rsidRPr="005370F3">
        <w:rPr>
          <w:b/>
          <w:sz w:val="24"/>
        </w:rPr>
        <w:t>Performance by Division</w:t>
      </w:r>
    </w:p>
    <w:p w:rsidR="0054713E" w:rsidRPr="005370F3" w:rsidRDefault="0054713E" w:rsidP="0054713E">
      <w:pPr>
        <w:pStyle w:val="ListParagraph"/>
        <w:ind w:left="360"/>
        <w:jc w:val="both"/>
        <w:rPr>
          <w:sz w:val="16"/>
          <w:szCs w:val="16"/>
        </w:rPr>
      </w:pPr>
    </w:p>
    <w:tbl>
      <w:tblPr>
        <w:tblW w:w="14737" w:type="dxa"/>
        <w:jc w:val="center"/>
        <w:tblLook w:val="04A0" w:firstRow="1" w:lastRow="0" w:firstColumn="1" w:lastColumn="0" w:noHBand="0" w:noVBand="1"/>
      </w:tblPr>
      <w:tblGrid>
        <w:gridCol w:w="6670"/>
        <w:gridCol w:w="1234"/>
        <w:gridCol w:w="1316"/>
        <w:gridCol w:w="1418"/>
        <w:gridCol w:w="1420"/>
        <w:gridCol w:w="2679"/>
      </w:tblGrid>
      <w:tr w:rsidR="0054713E" w:rsidRPr="005370F3" w:rsidTr="003C4364">
        <w:trPr>
          <w:trHeight w:val="270"/>
          <w:jc w:val="center"/>
        </w:trPr>
        <w:tc>
          <w:tcPr>
            <w:tcW w:w="6670" w:type="dxa"/>
            <w:vMerge w:val="restart"/>
            <w:tcBorders>
              <w:top w:val="single" w:sz="8" w:space="0" w:color="auto"/>
              <w:left w:val="single" w:sz="8" w:space="0" w:color="auto"/>
              <w:bottom w:val="nil"/>
              <w:right w:val="single" w:sz="8" w:space="0" w:color="auto"/>
            </w:tcBorders>
            <w:shd w:val="clear" w:color="auto" w:fill="auto"/>
            <w:hideMark/>
          </w:tcPr>
          <w:p w:rsidR="0054713E" w:rsidRPr="005370F3" w:rsidRDefault="0054713E" w:rsidP="003C4364">
            <w:pPr>
              <w:rPr>
                <w:b/>
                <w:bCs/>
                <w:color w:val="000000"/>
                <w:sz w:val="20"/>
                <w:szCs w:val="20"/>
                <w:lang w:val="en-US"/>
              </w:rPr>
            </w:pPr>
          </w:p>
        </w:tc>
        <w:tc>
          <w:tcPr>
            <w:tcW w:w="1234" w:type="dxa"/>
            <w:tcBorders>
              <w:top w:val="single" w:sz="8" w:space="0" w:color="auto"/>
              <w:left w:val="nil"/>
              <w:bottom w:val="single" w:sz="8" w:space="0" w:color="auto"/>
              <w:right w:val="single" w:sz="8" w:space="0" w:color="auto"/>
            </w:tcBorders>
            <w:shd w:val="clear" w:color="auto" w:fill="auto"/>
            <w:vAlign w:val="center"/>
            <w:hideMark/>
          </w:tcPr>
          <w:p w:rsidR="0054713E" w:rsidRPr="005370F3" w:rsidRDefault="0054713E" w:rsidP="003C4364">
            <w:pPr>
              <w:jc w:val="both"/>
              <w:rPr>
                <w:b/>
                <w:bCs/>
                <w:color w:val="000000"/>
                <w:sz w:val="20"/>
                <w:szCs w:val="20"/>
                <w:lang w:val="en-US"/>
              </w:rPr>
            </w:pPr>
            <w:r w:rsidRPr="005370F3">
              <w:rPr>
                <w:b/>
                <w:bCs/>
                <w:color w:val="000000"/>
                <w:sz w:val="20"/>
                <w:szCs w:val="20"/>
                <w:lang w:val="en-US"/>
              </w:rPr>
              <w:t> </w:t>
            </w:r>
          </w:p>
        </w:tc>
        <w:tc>
          <w:tcPr>
            <w:tcW w:w="4154" w:type="dxa"/>
            <w:gridSpan w:val="3"/>
            <w:tcBorders>
              <w:top w:val="single" w:sz="8" w:space="0" w:color="auto"/>
              <w:left w:val="nil"/>
              <w:bottom w:val="single" w:sz="8" w:space="0" w:color="auto"/>
              <w:right w:val="single" w:sz="8" w:space="0" w:color="000000"/>
            </w:tcBorders>
            <w:shd w:val="clear" w:color="auto" w:fill="auto"/>
            <w:vAlign w:val="center"/>
            <w:hideMark/>
          </w:tcPr>
          <w:p w:rsidR="0054713E" w:rsidRPr="005370F3" w:rsidRDefault="0054713E" w:rsidP="003C4364">
            <w:pPr>
              <w:jc w:val="center"/>
              <w:rPr>
                <w:b/>
                <w:bCs/>
                <w:color w:val="000000"/>
                <w:sz w:val="20"/>
                <w:szCs w:val="20"/>
                <w:lang w:val="en-US"/>
              </w:rPr>
            </w:pPr>
            <w:r w:rsidRPr="005370F3">
              <w:rPr>
                <w:b/>
                <w:bCs/>
                <w:color w:val="000000"/>
                <w:sz w:val="20"/>
                <w:szCs w:val="20"/>
                <w:lang w:val="en-US"/>
              </w:rPr>
              <w:t>In Month Variance</w:t>
            </w:r>
          </w:p>
        </w:tc>
        <w:tc>
          <w:tcPr>
            <w:tcW w:w="2679" w:type="dxa"/>
            <w:tcBorders>
              <w:top w:val="single" w:sz="8" w:space="0" w:color="auto"/>
              <w:left w:val="nil"/>
              <w:bottom w:val="single" w:sz="8" w:space="0" w:color="auto"/>
              <w:right w:val="single" w:sz="8" w:space="0" w:color="000000"/>
            </w:tcBorders>
            <w:shd w:val="clear" w:color="auto" w:fill="auto"/>
            <w:vAlign w:val="center"/>
            <w:hideMark/>
          </w:tcPr>
          <w:p w:rsidR="0054713E" w:rsidRPr="005370F3" w:rsidRDefault="0054713E" w:rsidP="003C4364">
            <w:pPr>
              <w:jc w:val="center"/>
              <w:rPr>
                <w:b/>
                <w:bCs/>
                <w:color w:val="000000"/>
                <w:sz w:val="20"/>
                <w:szCs w:val="20"/>
                <w:lang w:val="en-US"/>
              </w:rPr>
            </w:pPr>
            <w:r w:rsidRPr="005370F3">
              <w:rPr>
                <w:b/>
                <w:bCs/>
                <w:color w:val="000000"/>
                <w:sz w:val="20"/>
                <w:szCs w:val="20"/>
                <w:lang w:val="en-US"/>
              </w:rPr>
              <w:t>Year to Date Variance</w:t>
            </w:r>
          </w:p>
        </w:tc>
      </w:tr>
      <w:tr w:rsidR="0054713E" w:rsidRPr="005370F3" w:rsidTr="003C4364">
        <w:trPr>
          <w:trHeight w:val="270"/>
          <w:jc w:val="center"/>
        </w:trPr>
        <w:tc>
          <w:tcPr>
            <w:tcW w:w="6670" w:type="dxa"/>
            <w:vMerge/>
            <w:tcBorders>
              <w:top w:val="single" w:sz="8" w:space="0" w:color="auto"/>
              <w:left w:val="single" w:sz="8" w:space="0" w:color="auto"/>
              <w:bottom w:val="nil"/>
              <w:right w:val="single" w:sz="8" w:space="0" w:color="auto"/>
            </w:tcBorders>
            <w:shd w:val="clear" w:color="auto" w:fill="auto"/>
            <w:hideMark/>
          </w:tcPr>
          <w:p w:rsidR="0054713E" w:rsidRPr="005370F3" w:rsidRDefault="0054713E" w:rsidP="003C4364">
            <w:pPr>
              <w:rPr>
                <w:b/>
                <w:bCs/>
                <w:color w:val="000000"/>
                <w:sz w:val="20"/>
                <w:szCs w:val="20"/>
                <w:lang w:val="en-US"/>
              </w:rPr>
            </w:pPr>
          </w:p>
        </w:tc>
        <w:tc>
          <w:tcPr>
            <w:tcW w:w="1234" w:type="dxa"/>
            <w:tcBorders>
              <w:top w:val="single" w:sz="8" w:space="0" w:color="auto"/>
              <w:left w:val="nil"/>
              <w:bottom w:val="single" w:sz="8" w:space="0" w:color="auto"/>
              <w:right w:val="single" w:sz="8" w:space="0" w:color="auto"/>
            </w:tcBorders>
            <w:shd w:val="clear" w:color="auto" w:fill="auto"/>
            <w:vAlign w:val="center"/>
            <w:hideMark/>
          </w:tcPr>
          <w:p w:rsidR="0054713E" w:rsidRPr="005370F3" w:rsidRDefault="0054713E" w:rsidP="003C4364">
            <w:pPr>
              <w:jc w:val="both"/>
              <w:rPr>
                <w:b/>
                <w:bCs/>
                <w:color w:val="000000"/>
                <w:sz w:val="20"/>
                <w:szCs w:val="20"/>
                <w:lang w:val="en-US"/>
              </w:rPr>
            </w:pPr>
          </w:p>
        </w:tc>
        <w:tc>
          <w:tcPr>
            <w:tcW w:w="4154" w:type="dxa"/>
            <w:gridSpan w:val="3"/>
            <w:tcBorders>
              <w:top w:val="single" w:sz="8" w:space="0" w:color="auto"/>
              <w:left w:val="nil"/>
              <w:bottom w:val="single" w:sz="8" w:space="0" w:color="auto"/>
              <w:right w:val="single" w:sz="8" w:space="0" w:color="000000"/>
            </w:tcBorders>
            <w:shd w:val="clear" w:color="auto" w:fill="auto"/>
            <w:vAlign w:val="center"/>
            <w:hideMark/>
          </w:tcPr>
          <w:p w:rsidR="0054713E" w:rsidRPr="005370F3" w:rsidRDefault="0054713E" w:rsidP="003C4364">
            <w:pPr>
              <w:jc w:val="center"/>
              <w:rPr>
                <w:b/>
                <w:bCs/>
                <w:color w:val="000000"/>
                <w:sz w:val="20"/>
                <w:szCs w:val="20"/>
                <w:lang w:val="en-US"/>
              </w:rPr>
            </w:pPr>
            <w:r w:rsidRPr="005370F3">
              <w:rPr>
                <w:b/>
                <w:bCs/>
                <w:color w:val="000000"/>
                <w:sz w:val="20"/>
                <w:szCs w:val="20"/>
                <w:lang w:val="en-US"/>
              </w:rPr>
              <w:t>Over/(Under) Spend</w:t>
            </w:r>
          </w:p>
        </w:tc>
        <w:tc>
          <w:tcPr>
            <w:tcW w:w="2679" w:type="dxa"/>
            <w:tcBorders>
              <w:top w:val="single" w:sz="8" w:space="0" w:color="auto"/>
              <w:left w:val="nil"/>
              <w:bottom w:val="single" w:sz="8" w:space="0" w:color="auto"/>
              <w:right w:val="single" w:sz="8" w:space="0" w:color="000000"/>
            </w:tcBorders>
            <w:shd w:val="clear" w:color="auto" w:fill="auto"/>
            <w:vAlign w:val="center"/>
            <w:hideMark/>
          </w:tcPr>
          <w:p w:rsidR="0054713E" w:rsidRPr="005370F3" w:rsidRDefault="0054713E" w:rsidP="003C4364">
            <w:pPr>
              <w:jc w:val="center"/>
              <w:rPr>
                <w:b/>
                <w:bCs/>
                <w:color w:val="000000"/>
                <w:sz w:val="20"/>
                <w:szCs w:val="20"/>
                <w:lang w:val="en-US"/>
              </w:rPr>
            </w:pPr>
            <w:r w:rsidRPr="005370F3">
              <w:rPr>
                <w:b/>
                <w:bCs/>
                <w:color w:val="000000"/>
                <w:sz w:val="20"/>
                <w:szCs w:val="20"/>
                <w:lang w:val="en-US"/>
              </w:rPr>
              <w:t>Over/(Under) Spend</w:t>
            </w:r>
          </w:p>
        </w:tc>
      </w:tr>
      <w:tr w:rsidR="0054713E" w:rsidRPr="005370F3" w:rsidTr="003C4364">
        <w:trPr>
          <w:trHeight w:val="510"/>
          <w:jc w:val="center"/>
        </w:trPr>
        <w:tc>
          <w:tcPr>
            <w:tcW w:w="6670" w:type="dxa"/>
            <w:vMerge/>
            <w:tcBorders>
              <w:top w:val="single" w:sz="8" w:space="0" w:color="auto"/>
              <w:left w:val="single" w:sz="8" w:space="0" w:color="auto"/>
              <w:bottom w:val="nil"/>
              <w:right w:val="single" w:sz="8" w:space="0" w:color="auto"/>
            </w:tcBorders>
            <w:vAlign w:val="center"/>
            <w:hideMark/>
          </w:tcPr>
          <w:p w:rsidR="0054713E" w:rsidRPr="005370F3" w:rsidRDefault="0054713E" w:rsidP="003C4364">
            <w:pPr>
              <w:rPr>
                <w:b/>
                <w:bCs/>
                <w:color w:val="000000"/>
                <w:sz w:val="20"/>
                <w:szCs w:val="20"/>
                <w:lang w:val="en-US"/>
              </w:rPr>
            </w:pPr>
          </w:p>
        </w:tc>
        <w:tc>
          <w:tcPr>
            <w:tcW w:w="1234" w:type="dxa"/>
            <w:tcBorders>
              <w:top w:val="nil"/>
              <w:left w:val="nil"/>
              <w:bottom w:val="nil"/>
              <w:right w:val="single" w:sz="8" w:space="0" w:color="auto"/>
            </w:tcBorders>
            <w:shd w:val="clear" w:color="auto" w:fill="auto"/>
            <w:vAlign w:val="center"/>
            <w:hideMark/>
          </w:tcPr>
          <w:p w:rsidR="0054713E" w:rsidRPr="005370F3" w:rsidRDefault="0054713E" w:rsidP="003C4364">
            <w:pPr>
              <w:jc w:val="center"/>
              <w:rPr>
                <w:color w:val="000000"/>
                <w:sz w:val="20"/>
                <w:szCs w:val="20"/>
                <w:lang w:val="en-US"/>
              </w:rPr>
            </w:pPr>
            <w:r w:rsidRPr="005370F3">
              <w:rPr>
                <w:color w:val="000000"/>
                <w:sz w:val="20"/>
                <w:szCs w:val="20"/>
                <w:lang w:val="en-US"/>
              </w:rPr>
              <w:t>Annual Budget</w:t>
            </w:r>
          </w:p>
        </w:tc>
        <w:tc>
          <w:tcPr>
            <w:tcW w:w="1316" w:type="dxa"/>
            <w:tcBorders>
              <w:top w:val="nil"/>
              <w:left w:val="nil"/>
              <w:bottom w:val="nil"/>
              <w:right w:val="nil"/>
            </w:tcBorders>
            <w:shd w:val="clear" w:color="auto" w:fill="auto"/>
            <w:vAlign w:val="center"/>
            <w:hideMark/>
          </w:tcPr>
          <w:p w:rsidR="0054713E" w:rsidRPr="005370F3" w:rsidRDefault="0054713E" w:rsidP="003C4364">
            <w:pPr>
              <w:jc w:val="center"/>
              <w:rPr>
                <w:color w:val="000000"/>
                <w:sz w:val="20"/>
                <w:szCs w:val="20"/>
                <w:lang w:val="en-US"/>
              </w:rPr>
            </w:pPr>
            <w:r w:rsidRPr="005370F3">
              <w:rPr>
                <w:color w:val="000000"/>
                <w:sz w:val="20"/>
                <w:szCs w:val="20"/>
                <w:lang w:val="en-US"/>
              </w:rPr>
              <w:t>Last Month</w:t>
            </w:r>
          </w:p>
        </w:tc>
        <w:tc>
          <w:tcPr>
            <w:tcW w:w="1418" w:type="dxa"/>
            <w:tcBorders>
              <w:top w:val="nil"/>
              <w:left w:val="single" w:sz="4" w:space="0" w:color="auto"/>
              <w:bottom w:val="nil"/>
              <w:right w:val="single" w:sz="4" w:space="0" w:color="auto"/>
            </w:tcBorders>
            <w:shd w:val="clear" w:color="auto" w:fill="auto"/>
            <w:vAlign w:val="center"/>
            <w:hideMark/>
          </w:tcPr>
          <w:p w:rsidR="0054713E" w:rsidRPr="005370F3" w:rsidRDefault="0054713E" w:rsidP="003C4364">
            <w:pPr>
              <w:jc w:val="center"/>
              <w:rPr>
                <w:color w:val="000000"/>
                <w:sz w:val="20"/>
                <w:szCs w:val="20"/>
                <w:lang w:val="en-US"/>
              </w:rPr>
            </w:pPr>
            <w:r w:rsidRPr="005370F3">
              <w:rPr>
                <w:color w:val="000000"/>
                <w:sz w:val="20"/>
                <w:szCs w:val="20"/>
                <w:lang w:val="en-US"/>
              </w:rPr>
              <w:t>Current Month</w:t>
            </w:r>
          </w:p>
        </w:tc>
        <w:tc>
          <w:tcPr>
            <w:tcW w:w="1420" w:type="dxa"/>
            <w:tcBorders>
              <w:top w:val="nil"/>
              <w:left w:val="nil"/>
              <w:bottom w:val="nil"/>
              <w:right w:val="single" w:sz="8" w:space="0" w:color="auto"/>
            </w:tcBorders>
            <w:shd w:val="clear" w:color="auto" w:fill="auto"/>
            <w:vAlign w:val="center"/>
            <w:hideMark/>
          </w:tcPr>
          <w:p w:rsidR="0054713E" w:rsidRPr="005370F3" w:rsidRDefault="0054713E" w:rsidP="003C4364">
            <w:pPr>
              <w:jc w:val="center"/>
              <w:rPr>
                <w:color w:val="000000"/>
                <w:sz w:val="20"/>
                <w:szCs w:val="20"/>
                <w:lang w:val="en-US"/>
              </w:rPr>
            </w:pPr>
            <w:r w:rsidRPr="005370F3">
              <w:rPr>
                <w:color w:val="000000"/>
                <w:sz w:val="20"/>
                <w:szCs w:val="20"/>
                <w:lang w:val="en-US"/>
              </w:rPr>
              <w:t>Change</w:t>
            </w:r>
          </w:p>
        </w:tc>
        <w:tc>
          <w:tcPr>
            <w:tcW w:w="2679" w:type="dxa"/>
            <w:tcBorders>
              <w:top w:val="nil"/>
              <w:left w:val="single" w:sz="4" w:space="0" w:color="auto"/>
              <w:bottom w:val="nil"/>
              <w:right w:val="single" w:sz="4" w:space="0" w:color="auto"/>
            </w:tcBorders>
            <w:shd w:val="clear" w:color="auto" w:fill="auto"/>
            <w:vAlign w:val="center"/>
            <w:hideMark/>
          </w:tcPr>
          <w:p w:rsidR="0054713E" w:rsidRPr="005370F3" w:rsidRDefault="0054713E" w:rsidP="003C4364">
            <w:pPr>
              <w:jc w:val="center"/>
              <w:rPr>
                <w:color w:val="000000"/>
                <w:sz w:val="20"/>
                <w:szCs w:val="20"/>
                <w:lang w:val="en-US"/>
              </w:rPr>
            </w:pPr>
            <w:r w:rsidRPr="005370F3">
              <w:rPr>
                <w:color w:val="000000"/>
                <w:sz w:val="20"/>
                <w:szCs w:val="20"/>
                <w:lang w:val="en-US"/>
              </w:rPr>
              <w:t>Current Month</w:t>
            </w:r>
          </w:p>
        </w:tc>
      </w:tr>
      <w:tr w:rsidR="0054713E" w:rsidRPr="005370F3" w:rsidTr="003C4364">
        <w:trPr>
          <w:trHeight w:val="270"/>
          <w:jc w:val="center"/>
        </w:trPr>
        <w:tc>
          <w:tcPr>
            <w:tcW w:w="6670" w:type="dxa"/>
            <w:tcBorders>
              <w:top w:val="nil"/>
              <w:left w:val="single" w:sz="8" w:space="0" w:color="auto"/>
              <w:bottom w:val="single" w:sz="8" w:space="0" w:color="auto"/>
              <w:right w:val="single" w:sz="8" w:space="0" w:color="auto"/>
            </w:tcBorders>
            <w:shd w:val="clear" w:color="auto" w:fill="auto"/>
            <w:vAlign w:val="center"/>
            <w:hideMark/>
          </w:tcPr>
          <w:p w:rsidR="0054713E" w:rsidRPr="005370F3" w:rsidRDefault="0054713E" w:rsidP="003C4364">
            <w:pPr>
              <w:jc w:val="center"/>
              <w:rPr>
                <w:color w:val="000000"/>
                <w:sz w:val="20"/>
                <w:szCs w:val="20"/>
                <w:lang w:val="en-US"/>
              </w:rPr>
            </w:pPr>
            <w:r w:rsidRPr="005370F3">
              <w:rPr>
                <w:color w:val="000000"/>
                <w:sz w:val="20"/>
                <w:szCs w:val="20"/>
                <w:lang w:val="en-US"/>
              </w:rPr>
              <w:t> </w:t>
            </w:r>
          </w:p>
        </w:tc>
        <w:tc>
          <w:tcPr>
            <w:tcW w:w="1234" w:type="dxa"/>
            <w:tcBorders>
              <w:top w:val="nil"/>
              <w:left w:val="nil"/>
              <w:bottom w:val="single" w:sz="8" w:space="0" w:color="auto"/>
              <w:right w:val="single" w:sz="8" w:space="0" w:color="auto"/>
            </w:tcBorders>
            <w:shd w:val="clear" w:color="auto" w:fill="auto"/>
            <w:vAlign w:val="center"/>
            <w:hideMark/>
          </w:tcPr>
          <w:p w:rsidR="0054713E" w:rsidRPr="005370F3" w:rsidRDefault="0054713E" w:rsidP="003C4364">
            <w:pPr>
              <w:jc w:val="center"/>
              <w:rPr>
                <w:color w:val="000000"/>
                <w:sz w:val="20"/>
                <w:szCs w:val="20"/>
                <w:lang w:val="en-US"/>
              </w:rPr>
            </w:pPr>
            <w:r w:rsidRPr="005370F3">
              <w:rPr>
                <w:color w:val="000000"/>
                <w:sz w:val="20"/>
                <w:szCs w:val="20"/>
                <w:lang w:val="en-US"/>
              </w:rPr>
              <w:t>£'000</w:t>
            </w:r>
          </w:p>
        </w:tc>
        <w:tc>
          <w:tcPr>
            <w:tcW w:w="1316" w:type="dxa"/>
            <w:tcBorders>
              <w:top w:val="nil"/>
              <w:left w:val="nil"/>
              <w:bottom w:val="single" w:sz="8" w:space="0" w:color="auto"/>
              <w:right w:val="nil"/>
            </w:tcBorders>
            <w:shd w:val="clear" w:color="auto" w:fill="auto"/>
            <w:vAlign w:val="center"/>
            <w:hideMark/>
          </w:tcPr>
          <w:p w:rsidR="0054713E" w:rsidRPr="005370F3" w:rsidRDefault="0054713E" w:rsidP="003C4364">
            <w:pPr>
              <w:jc w:val="center"/>
              <w:rPr>
                <w:color w:val="000000"/>
                <w:sz w:val="20"/>
                <w:szCs w:val="20"/>
                <w:lang w:val="en-US"/>
              </w:rPr>
            </w:pPr>
            <w:r w:rsidRPr="005370F3">
              <w:rPr>
                <w:color w:val="000000"/>
                <w:sz w:val="20"/>
                <w:szCs w:val="20"/>
                <w:lang w:val="en-US"/>
              </w:rPr>
              <w:t>£'000</w:t>
            </w:r>
          </w:p>
        </w:tc>
        <w:tc>
          <w:tcPr>
            <w:tcW w:w="1418" w:type="dxa"/>
            <w:tcBorders>
              <w:top w:val="nil"/>
              <w:left w:val="single" w:sz="4" w:space="0" w:color="auto"/>
              <w:bottom w:val="single" w:sz="8" w:space="0" w:color="auto"/>
              <w:right w:val="single" w:sz="4" w:space="0" w:color="auto"/>
            </w:tcBorders>
            <w:shd w:val="clear" w:color="auto" w:fill="auto"/>
            <w:vAlign w:val="center"/>
            <w:hideMark/>
          </w:tcPr>
          <w:p w:rsidR="0054713E" w:rsidRPr="005370F3" w:rsidRDefault="0054713E" w:rsidP="003C4364">
            <w:pPr>
              <w:jc w:val="center"/>
              <w:rPr>
                <w:color w:val="000000"/>
                <w:sz w:val="20"/>
                <w:szCs w:val="20"/>
                <w:lang w:val="en-US"/>
              </w:rPr>
            </w:pPr>
            <w:r w:rsidRPr="005370F3">
              <w:rPr>
                <w:color w:val="000000"/>
                <w:sz w:val="20"/>
                <w:szCs w:val="20"/>
                <w:lang w:val="en-US"/>
              </w:rPr>
              <w:t>£'000</w:t>
            </w:r>
          </w:p>
        </w:tc>
        <w:tc>
          <w:tcPr>
            <w:tcW w:w="1420" w:type="dxa"/>
            <w:tcBorders>
              <w:top w:val="nil"/>
              <w:left w:val="nil"/>
              <w:bottom w:val="single" w:sz="8" w:space="0" w:color="auto"/>
              <w:right w:val="single" w:sz="8" w:space="0" w:color="auto"/>
            </w:tcBorders>
            <w:shd w:val="clear" w:color="auto" w:fill="auto"/>
            <w:vAlign w:val="center"/>
            <w:hideMark/>
          </w:tcPr>
          <w:p w:rsidR="0054713E" w:rsidRPr="005370F3" w:rsidRDefault="0054713E" w:rsidP="003C4364">
            <w:pPr>
              <w:jc w:val="center"/>
              <w:rPr>
                <w:color w:val="000000"/>
                <w:sz w:val="20"/>
                <w:szCs w:val="20"/>
                <w:lang w:val="en-US"/>
              </w:rPr>
            </w:pPr>
            <w:r w:rsidRPr="005370F3">
              <w:rPr>
                <w:color w:val="000000"/>
                <w:sz w:val="20"/>
                <w:szCs w:val="20"/>
                <w:lang w:val="en-US"/>
              </w:rPr>
              <w:t>£'000</w:t>
            </w:r>
          </w:p>
        </w:tc>
        <w:tc>
          <w:tcPr>
            <w:tcW w:w="2679" w:type="dxa"/>
            <w:tcBorders>
              <w:top w:val="nil"/>
              <w:left w:val="single" w:sz="4" w:space="0" w:color="auto"/>
              <w:bottom w:val="single" w:sz="8" w:space="0" w:color="auto"/>
              <w:right w:val="single" w:sz="4" w:space="0" w:color="auto"/>
            </w:tcBorders>
            <w:shd w:val="clear" w:color="auto" w:fill="auto"/>
            <w:vAlign w:val="center"/>
            <w:hideMark/>
          </w:tcPr>
          <w:p w:rsidR="0054713E" w:rsidRPr="005370F3" w:rsidRDefault="0054713E" w:rsidP="003C4364">
            <w:pPr>
              <w:jc w:val="center"/>
              <w:rPr>
                <w:color w:val="000000"/>
                <w:sz w:val="20"/>
                <w:szCs w:val="20"/>
                <w:lang w:val="en-US"/>
              </w:rPr>
            </w:pPr>
            <w:r w:rsidRPr="005370F3">
              <w:rPr>
                <w:color w:val="000000"/>
                <w:sz w:val="20"/>
                <w:szCs w:val="20"/>
                <w:lang w:val="en-US"/>
              </w:rPr>
              <w:t>£'000</w:t>
            </w:r>
          </w:p>
        </w:tc>
      </w:tr>
      <w:tr w:rsidR="0054713E" w:rsidRPr="005370F3" w:rsidTr="003C4364">
        <w:trPr>
          <w:trHeight w:val="255"/>
          <w:jc w:val="center"/>
        </w:trPr>
        <w:tc>
          <w:tcPr>
            <w:tcW w:w="6670" w:type="dxa"/>
            <w:tcBorders>
              <w:top w:val="nil"/>
              <w:left w:val="single" w:sz="8" w:space="0" w:color="auto"/>
              <w:bottom w:val="nil"/>
              <w:right w:val="single" w:sz="8" w:space="0" w:color="auto"/>
            </w:tcBorders>
            <w:shd w:val="clear" w:color="auto" w:fill="auto"/>
            <w:vAlign w:val="center"/>
            <w:hideMark/>
          </w:tcPr>
          <w:p w:rsidR="0054713E" w:rsidRPr="005370F3" w:rsidRDefault="0054713E" w:rsidP="003C4364">
            <w:pPr>
              <w:jc w:val="both"/>
              <w:rPr>
                <w:b/>
                <w:bCs/>
                <w:color w:val="000000"/>
                <w:sz w:val="20"/>
                <w:szCs w:val="20"/>
                <w:lang w:val="en-US"/>
              </w:rPr>
            </w:pPr>
            <w:r w:rsidRPr="005370F3">
              <w:rPr>
                <w:b/>
                <w:bCs/>
                <w:color w:val="000000"/>
                <w:sz w:val="20"/>
                <w:szCs w:val="20"/>
                <w:lang w:val="en-US"/>
              </w:rPr>
              <w:t>Chief Operating Officer:</w:t>
            </w:r>
          </w:p>
        </w:tc>
        <w:tc>
          <w:tcPr>
            <w:tcW w:w="1234" w:type="dxa"/>
            <w:tcBorders>
              <w:top w:val="nil"/>
              <w:left w:val="nil"/>
              <w:bottom w:val="nil"/>
              <w:right w:val="single" w:sz="8" w:space="0" w:color="auto"/>
            </w:tcBorders>
            <w:shd w:val="clear" w:color="auto" w:fill="auto"/>
            <w:vAlign w:val="center"/>
            <w:hideMark/>
          </w:tcPr>
          <w:p w:rsidR="0054713E" w:rsidRPr="005370F3" w:rsidRDefault="0054713E" w:rsidP="003C4364">
            <w:pPr>
              <w:jc w:val="right"/>
              <w:rPr>
                <w:b/>
                <w:bCs/>
                <w:color w:val="000000"/>
                <w:sz w:val="20"/>
                <w:szCs w:val="20"/>
                <w:lang w:val="en-US"/>
              </w:rPr>
            </w:pPr>
            <w:r w:rsidRPr="005370F3">
              <w:rPr>
                <w:b/>
                <w:bCs/>
                <w:color w:val="000000"/>
                <w:sz w:val="20"/>
                <w:szCs w:val="20"/>
                <w:lang w:val="en-US"/>
              </w:rPr>
              <w:t> </w:t>
            </w:r>
          </w:p>
        </w:tc>
        <w:tc>
          <w:tcPr>
            <w:tcW w:w="1316" w:type="dxa"/>
            <w:tcBorders>
              <w:top w:val="nil"/>
              <w:left w:val="nil"/>
              <w:bottom w:val="nil"/>
              <w:right w:val="nil"/>
            </w:tcBorders>
            <w:shd w:val="clear" w:color="auto" w:fill="auto"/>
            <w:vAlign w:val="center"/>
            <w:hideMark/>
          </w:tcPr>
          <w:p w:rsidR="0054713E" w:rsidRPr="005370F3" w:rsidRDefault="0054713E" w:rsidP="003C4364">
            <w:pPr>
              <w:jc w:val="right"/>
              <w:rPr>
                <w:b/>
                <w:bCs/>
                <w:color w:val="000000"/>
                <w:sz w:val="20"/>
                <w:szCs w:val="20"/>
                <w:lang w:val="en-US"/>
              </w:rPr>
            </w:pPr>
          </w:p>
        </w:tc>
        <w:tc>
          <w:tcPr>
            <w:tcW w:w="1418" w:type="dxa"/>
            <w:tcBorders>
              <w:top w:val="nil"/>
              <w:left w:val="single" w:sz="4" w:space="0" w:color="auto"/>
              <w:bottom w:val="nil"/>
              <w:right w:val="single" w:sz="4" w:space="0" w:color="auto"/>
            </w:tcBorders>
            <w:shd w:val="clear" w:color="auto" w:fill="auto"/>
            <w:vAlign w:val="center"/>
            <w:hideMark/>
          </w:tcPr>
          <w:p w:rsidR="0054713E" w:rsidRPr="005370F3" w:rsidRDefault="0054713E" w:rsidP="003C4364">
            <w:pPr>
              <w:jc w:val="right"/>
              <w:rPr>
                <w:b/>
                <w:bCs/>
                <w:color w:val="000000"/>
                <w:sz w:val="20"/>
                <w:szCs w:val="20"/>
                <w:lang w:val="en-US"/>
              </w:rPr>
            </w:pPr>
            <w:r w:rsidRPr="005370F3">
              <w:rPr>
                <w:b/>
                <w:bCs/>
                <w:color w:val="000000"/>
                <w:sz w:val="20"/>
                <w:szCs w:val="20"/>
                <w:lang w:val="en-US"/>
              </w:rPr>
              <w:t> </w:t>
            </w:r>
          </w:p>
        </w:tc>
        <w:tc>
          <w:tcPr>
            <w:tcW w:w="1420" w:type="dxa"/>
            <w:tcBorders>
              <w:top w:val="nil"/>
              <w:left w:val="nil"/>
              <w:bottom w:val="nil"/>
              <w:right w:val="single" w:sz="8" w:space="0" w:color="auto"/>
            </w:tcBorders>
            <w:shd w:val="clear" w:color="auto" w:fill="auto"/>
            <w:vAlign w:val="center"/>
            <w:hideMark/>
          </w:tcPr>
          <w:p w:rsidR="0054713E" w:rsidRPr="005370F3" w:rsidRDefault="0054713E" w:rsidP="003C4364">
            <w:pPr>
              <w:jc w:val="right"/>
              <w:rPr>
                <w:b/>
                <w:bCs/>
                <w:color w:val="000000"/>
                <w:sz w:val="20"/>
                <w:szCs w:val="20"/>
                <w:lang w:val="en-US"/>
              </w:rPr>
            </w:pPr>
            <w:r w:rsidRPr="005370F3">
              <w:rPr>
                <w:b/>
                <w:bCs/>
                <w:color w:val="000000"/>
                <w:sz w:val="20"/>
                <w:szCs w:val="20"/>
                <w:lang w:val="en-US"/>
              </w:rPr>
              <w:t> </w:t>
            </w:r>
          </w:p>
        </w:tc>
        <w:tc>
          <w:tcPr>
            <w:tcW w:w="2679" w:type="dxa"/>
            <w:tcBorders>
              <w:top w:val="nil"/>
              <w:left w:val="single" w:sz="4" w:space="0" w:color="auto"/>
              <w:bottom w:val="nil"/>
              <w:right w:val="single" w:sz="4" w:space="0" w:color="auto"/>
            </w:tcBorders>
            <w:shd w:val="clear" w:color="auto" w:fill="auto"/>
            <w:vAlign w:val="center"/>
            <w:hideMark/>
          </w:tcPr>
          <w:p w:rsidR="0054713E" w:rsidRPr="005370F3" w:rsidRDefault="0054713E" w:rsidP="003C4364">
            <w:pPr>
              <w:jc w:val="right"/>
              <w:rPr>
                <w:b/>
                <w:bCs/>
                <w:color w:val="000000"/>
                <w:sz w:val="20"/>
                <w:szCs w:val="20"/>
                <w:lang w:val="en-US"/>
              </w:rPr>
            </w:pPr>
            <w:r w:rsidRPr="005370F3">
              <w:rPr>
                <w:b/>
                <w:bCs/>
                <w:color w:val="000000"/>
                <w:sz w:val="20"/>
                <w:szCs w:val="20"/>
                <w:lang w:val="en-US"/>
              </w:rPr>
              <w:t> </w:t>
            </w:r>
          </w:p>
        </w:tc>
      </w:tr>
      <w:tr w:rsidR="00C02CB5" w:rsidRPr="005370F3" w:rsidTr="003C4364">
        <w:trPr>
          <w:trHeight w:val="255"/>
          <w:jc w:val="center"/>
        </w:trPr>
        <w:tc>
          <w:tcPr>
            <w:tcW w:w="6670" w:type="dxa"/>
            <w:tcBorders>
              <w:top w:val="single" w:sz="4" w:space="0" w:color="auto"/>
              <w:left w:val="single" w:sz="8" w:space="0" w:color="auto"/>
              <w:bottom w:val="nil"/>
              <w:right w:val="single" w:sz="8" w:space="0" w:color="auto"/>
            </w:tcBorders>
            <w:shd w:val="clear" w:color="auto" w:fill="auto"/>
            <w:vAlign w:val="center"/>
            <w:hideMark/>
          </w:tcPr>
          <w:p w:rsidR="00C02CB5" w:rsidRPr="005370F3" w:rsidRDefault="00C02CB5" w:rsidP="00C02CB5">
            <w:pPr>
              <w:jc w:val="both"/>
              <w:rPr>
                <w:color w:val="000000"/>
                <w:sz w:val="20"/>
                <w:szCs w:val="20"/>
                <w:lang w:val="en-US"/>
              </w:rPr>
            </w:pPr>
            <w:r w:rsidRPr="005370F3">
              <w:rPr>
                <w:color w:val="000000"/>
                <w:sz w:val="20"/>
                <w:szCs w:val="20"/>
                <w:lang w:val="en-US"/>
              </w:rPr>
              <w:t>Unscheduled Care</w:t>
            </w:r>
          </w:p>
        </w:tc>
        <w:tc>
          <w:tcPr>
            <w:tcW w:w="1234" w:type="dxa"/>
            <w:tcBorders>
              <w:top w:val="single" w:sz="4" w:space="0" w:color="auto"/>
              <w:left w:val="nil"/>
              <w:bottom w:val="nil"/>
              <w:right w:val="single" w:sz="8" w:space="0" w:color="auto"/>
            </w:tcBorders>
            <w:shd w:val="clear" w:color="auto" w:fill="auto"/>
            <w:vAlign w:val="center"/>
            <w:hideMark/>
          </w:tcPr>
          <w:p w:rsidR="00C02CB5" w:rsidRDefault="00C02CB5" w:rsidP="00C02CB5">
            <w:pPr>
              <w:jc w:val="right"/>
              <w:rPr>
                <w:sz w:val="20"/>
                <w:szCs w:val="20"/>
                <w:lang w:eastAsia="en-GB"/>
              </w:rPr>
            </w:pPr>
            <w:r>
              <w:rPr>
                <w:sz w:val="20"/>
                <w:szCs w:val="20"/>
              </w:rPr>
              <w:t>72,802</w:t>
            </w:r>
          </w:p>
        </w:tc>
        <w:tc>
          <w:tcPr>
            <w:tcW w:w="1316" w:type="dxa"/>
            <w:tcBorders>
              <w:top w:val="single" w:sz="4" w:space="0" w:color="auto"/>
              <w:left w:val="nil"/>
              <w:bottom w:val="nil"/>
              <w:right w:val="nil"/>
            </w:tcBorders>
            <w:shd w:val="clear" w:color="auto" w:fill="auto"/>
            <w:vAlign w:val="center"/>
            <w:hideMark/>
          </w:tcPr>
          <w:p w:rsidR="00C02CB5" w:rsidRDefault="00C02CB5" w:rsidP="00C02CB5">
            <w:pPr>
              <w:jc w:val="right"/>
              <w:rPr>
                <w:sz w:val="20"/>
                <w:szCs w:val="20"/>
              </w:rPr>
            </w:pPr>
            <w:r>
              <w:rPr>
                <w:sz w:val="20"/>
                <w:szCs w:val="20"/>
              </w:rPr>
              <w:t>20</w:t>
            </w:r>
          </w:p>
        </w:tc>
        <w:tc>
          <w:tcPr>
            <w:tcW w:w="1418" w:type="dxa"/>
            <w:tcBorders>
              <w:top w:val="single" w:sz="4" w:space="0" w:color="auto"/>
              <w:left w:val="single" w:sz="4" w:space="0" w:color="auto"/>
              <w:bottom w:val="nil"/>
              <w:right w:val="single" w:sz="4" w:space="0" w:color="auto"/>
            </w:tcBorders>
            <w:shd w:val="clear" w:color="auto" w:fill="auto"/>
            <w:vAlign w:val="center"/>
            <w:hideMark/>
          </w:tcPr>
          <w:p w:rsidR="00C02CB5" w:rsidRDefault="00C02CB5" w:rsidP="00C02CB5">
            <w:pPr>
              <w:jc w:val="right"/>
              <w:rPr>
                <w:sz w:val="20"/>
                <w:szCs w:val="20"/>
              </w:rPr>
            </w:pPr>
            <w:r>
              <w:rPr>
                <w:sz w:val="20"/>
                <w:szCs w:val="20"/>
              </w:rPr>
              <w:t>95</w:t>
            </w:r>
          </w:p>
        </w:tc>
        <w:tc>
          <w:tcPr>
            <w:tcW w:w="1420" w:type="dxa"/>
            <w:tcBorders>
              <w:top w:val="single" w:sz="4" w:space="0" w:color="auto"/>
              <w:left w:val="nil"/>
              <w:bottom w:val="nil"/>
              <w:right w:val="single" w:sz="8" w:space="0" w:color="auto"/>
            </w:tcBorders>
            <w:shd w:val="clear" w:color="auto" w:fill="auto"/>
            <w:vAlign w:val="center"/>
          </w:tcPr>
          <w:p w:rsidR="00C02CB5" w:rsidRDefault="00C02CB5" w:rsidP="00C02CB5">
            <w:pPr>
              <w:jc w:val="right"/>
              <w:rPr>
                <w:sz w:val="20"/>
                <w:szCs w:val="20"/>
              </w:rPr>
            </w:pPr>
            <w:r>
              <w:rPr>
                <w:sz w:val="20"/>
                <w:szCs w:val="20"/>
              </w:rPr>
              <w:t>75</w:t>
            </w:r>
          </w:p>
        </w:tc>
        <w:tc>
          <w:tcPr>
            <w:tcW w:w="2679" w:type="dxa"/>
            <w:tcBorders>
              <w:top w:val="single" w:sz="4" w:space="0" w:color="auto"/>
              <w:left w:val="single" w:sz="4" w:space="0" w:color="auto"/>
              <w:bottom w:val="nil"/>
              <w:right w:val="single" w:sz="4" w:space="0" w:color="auto"/>
            </w:tcBorders>
            <w:shd w:val="clear" w:color="auto" w:fill="auto"/>
            <w:vAlign w:val="center"/>
            <w:hideMark/>
          </w:tcPr>
          <w:p w:rsidR="00C02CB5" w:rsidRDefault="00C02CB5" w:rsidP="00C02CB5">
            <w:pPr>
              <w:jc w:val="right"/>
              <w:rPr>
                <w:sz w:val="20"/>
                <w:szCs w:val="20"/>
              </w:rPr>
            </w:pPr>
            <w:r>
              <w:rPr>
                <w:sz w:val="20"/>
                <w:szCs w:val="20"/>
              </w:rPr>
              <w:t>1,805</w:t>
            </w:r>
          </w:p>
        </w:tc>
      </w:tr>
      <w:tr w:rsidR="00C02CB5" w:rsidRPr="003F1E23" w:rsidTr="003C4364">
        <w:trPr>
          <w:trHeight w:val="255"/>
          <w:jc w:val="center"/>
        </w:trPr>
        <w:tc>
          <w:tcPr>
            <w:tcW w:w="6670"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C02CB5" w:rsidRPr="003F1E23" w:rsidRDefault="00C02CB5" w:rsidP="00C02CB5">
            <w:pPr>
              <w:jc w:val="both"/>
              <w:rPr>
                <w:color w:val="000000"/>
                <w:sz w:val="20"/>
                <w:szCs w:val="20"/>
                <w:lang w:val="en-US"/>
              </w:rPr>
            </w:pPr>
            <w:r w:rsidRPr="003F1E23">
              <w:rPr>
                <w:color w:val="000000"/>
                <w:sz w:val="20"/>
                <w:szCs w:val="20"/>
                <w:lang w:val="en-US"/>
              </w:rPr>
              <w:t>Planned Care</w:t>
            </w:r>
          </w:p>
        </w:tc>
        <w:tc>
          <w:tcPr>
            <w:tcW w:w="1234" w:type="dxa"/>
            <w:tcBorders>
              <w:top w:val="single" w:sz="4" w:space="0" w:color="auto"/>
              <w:left w:val="nil"/>
              <w:bottom w:val="single" w:sz="4" w:space="0" w:color="auto"/>
              <w:right w:val="single" w:sz="8" w:space="0" w:color="auto"/>
            </w:tcBorders>
            <w:shd w:val="clear" w:color="auto" w:fill="auto"/>
            <w:vAlign w:val="center"/>
            <w:hideMark/>
          </w:tcPr>
          <w:p w:rsidR="00C02CB5" w:rsidRDefault="00C02CB5" w:rsidP="00C02CB5">
            <w:pPr>
              <w:jc w:val="right"/>
              <w:rPr>
                <w:sz w:val="20"/>
                <w:szCs w:val="20"/>
              </w:rPr>
            </w:pPr>
            <w:r>
              <w:rPr>
                <w:sz w:val="20"/>
                <w:szCs w:val="20"/>
              </w:rPr>
              <w:t>92,865</w:t>
            </w:r>
          </w:p>
        </w:tc>
        <w:tc>
          <w:tcPr>
            <w:tcW w:w="1316" w:type="dxa"/>
            <w:tcBorders>
              <w:top w:val="single" w:sz="4" w:space="0" w:color="auto"/>
              <w:left w:val="nil"/>
              <w:bottom w:val="single" w:sz="4" w:space="0" w:color="auto"/>
              <w:right w:val="nil"/>
            </w:tcBorders>
            <w:shd w:val="clear" w:color="auto" w:fill="auto"/>
            <w:vAlign w:val="center"/>
            <w:hideMark/>
          </w:tcPr>
          <w:p w:rsidR="00C02CB5" w:rsidRDefault="00C02CB5" w:rsidP="00C02CB5">
            <w:pPr>
              <w:jc w:val="right"/>
              <w:rPr>
                <w:sz w:val="20"/>
                <w:szCs w:val="20"/>
              </w:rPr>
            </w:pPr>
            <w:r>
              <w:rPr>
                <w:sz w:val="20"/>
                <w:szCs w:val="20"/>
              </w:rPr>
              <w:t>171</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02CB5" w:rsidRDefault="00C02CB5" w:rsidP="00C02CB5">
            <w:pPr>
              <w:jc w:val="right"/>
              <w:rPr>
                <w:sz w:val="20"/>
                <w:szCs w:val="20"/>
              </w:rPr>
            </w:pPr>
            <w:r>
              <w:rPr>
                <w:sz w:val="20"/>
                <w:szCs w:val="20"/>
              </w:rPr>
              <w:t>180</w:t>
            </w:r>
          </w:p>
        </w:tc>
        <w:tc>
          <w:tcPr>
            <w:tcW w:w="1420" w:type="dxa"/>
            <w:tcBorders>
              <w:top w:val="single" w:sz="4" w:space="0" w:color="auto"/>
              <w:left w:val="nil"/>
              <w:bottom w:val="single" w:sz="4" w:space="0" w:color="auto"/>
              <w:right w:val="single" w:sz="8" w:space="0" w:color="auto"/>
            </w:tcBorders>
            <w:shd w:val="clear" w:color="auto" w:fill="auto"/>
            <w:vAlign w:val="center"/>
          </w:tcPr>
          <w:p w:rsidR="00C02CB5" w:rsidRDefault="00C02CB5" w:rsidP="00C02CB5">
            <w:pPr>
              <w:jc w:val="right"/>
              <w:rPr>
                <w:sz w:val="20"/>
                <w:szCs w:val="20"/>
              </w:rPr>
            </w:pPr>
            <w:r>
              <w:rPr>
                <w:sz w:val="20"/>
                <w:szCs w:val="20"/>
              </w:rPr>
              <w:t>9</w:t>
            </w:r>
          </w:p>
        </w:tc>
        <w:tc>
          <w:tcPr>
            <w:tcW w:w="267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02CB5" w:rsidRDefault="00C02CB5" w:rsidP="00C02CB5">
            <w:pPr>
              <w:jc w:val="right"/>
              <w:rPr>
                <w:sz w:val="20"/>
                <w:szCs w:val="20"/>
              </w:rPr>
            </w:pPr>
            <w:r>
              <w:rPr>
                <w:sz w:val="20"/>
                <w:szCs w:val="20"/>
              </w:rPr>
              <w:t>442</w:t>
            </w:r>
          </w:p>
        </w:tc>
      </w:tr>
      <w:tr w:rsidR="00C02CB5" w:rsidRPr="003F1E23" w:rsidTr="003C4364">
        <w:trPr>
          <w:trHeight w:val="255"/>
          <w:jc w:val="center"/>
        </w:trPr>
        <w:tc>
          <w:tcPr>
            <w:tcW w:w="6670" w:type="dxa"/>
            <w:tcBorders>
              <w:top w:val="single" w:sz="4" w:space="0" w:color="auto"/>
              <w:left w:val="single" w:sz="8" w:space="0" w:color="auto"/>
              <w:bottom w:val="single" w:sz="4" w:space="0" w:color="auto"/>
              <w:right w:val="single" w:sz="8" w:space="0" w:color="auto"/>
            </w:tcBorders>
            <w:shd w:val="clear" w:color="auto" w:fill="auto"/>
            <w:vAlign w:val="center"/>
          </w:tcPr>
          <w:p w:rsidR="00C02CB5" w:rsidRPr="003F1E23" w:rsidRDefault="00C02CB5" w:rsidP="00C02CB5">
            <w:pPr>
              <w:jc w:val="both"/>
              <w:rPr>
                <w:color w:val="000000"/>
                <w:sz w:val="20"/>
                <w:szCs w:val="20"/>
                <w:lang w:val="en-US"/>
              </w:rPr>
            </w:pPr>
            <w:r w:rsidRPr="003F1E23">
              <w:rPr>
                <w:color w:val="000000"/>
                <w:sz w:val="20"/>
                <w:szCs w:val="20"/>
                <w:lang w:val="en-US"/>
              </w:rPr>
              <w:t>POW Delivery Unit</w:t>
            </w:r>
          </w:p>
        </w:tc>
        <w:tc>
          <w:tcPr>
            <w:tcW w:w="1234" w:type="dxa"/>
            <w:tcBorders>
              <w:top w:val="single" w:sz="4" w:space="0" w:color="auto"/>
              <w:left w:val="nil"/>
              <w:bottom w:val="single" w:sz="4" w:space="0" w:color="auto"/>
              <w:right w:val="single" w:sz="8" w:space="0" w:color="auto"/>
            </w:tcBorders>
            <w:shd w:val="clear" w:color="auto" w:fill="auto"/>
            <w:vAlign w:val="center"/>
          </w:tcPr>
          <w:p w:rsidR="00C02CB5" w:rsidRDefault="00C02CB5" w:rsidP="00C02CB5">
            <w:pPr>
              <w:jc w:val="right"/>
              <w:rPr>
                <w:sz w:val="20"/>
                <w:szCs w:val="20"/>
              </w:rPr>
            </w:pPr>
            <w:r>
              <w:rPr>
                <w:sz w:val="20"/>
                <w:szCs w:val="20"/>
              </w:rPr>
              <w:t>89,985</w:t>
            </w:r>
          </w:p>
        </w:tc>
        <w:tc>
          <w:tcPr>
            <w:tcW w:w="1316" w:type="dxa"/>
            <w:tcBorders>
              <w:top w:val="single" w:sz="4" w:space="0" w:color="auto"/>
              <w:left w:val="nil"/>
              <w:bottom w:val="single" w:sz="4" w:space="0" w:color="auto"/>
              <w:right w:val="nil"/>
            </w:tcBorders>
            <w:shd w:val="clear" w:color="auto" w:fill="auto"/>
            <w:vAlign w:val="center"/>
          </w:tcPr>
          <w:p w:rsidR="00C02CB5" w:rsidRDefault="00C02CB5" w:rsidP="00C02CB5">
            <w:pPr>
              <w:jc w:val="right"/>
              <w:rPr>
                <w:sz w:val="20"/>
                <w:szCs w:val="20"/>
              </w:rPr>
            </w:pPr>
            <w:r>
              <w:rPr>
                <w:sz w:val="20"/>
                <w:szCs w:val="20"/>
              </w:rPr>
              <w:t>500</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C02CB5" w:rsidRDefault="00C02CB5" w:rsidP="00C02CB5">
            <w:pPr>
              <w:jc w:val="right"/>
              <w:rPr>
                <w:sz w:val="20"/>
                <w:szCs w:val="20"/>
              </w:rPr>
            </w:pPr>
            <w:r>
              <w:rPr>
                <w:sz w:val="20"/>
                <w:szCs w:val="20"/>
              </w:rPr>
              <w:t>410</w:t>
            </w:r>
          </w:p>
        </w:tc>
        <w:tc>
          <w:tcPr>
            <w:tcW w:w="1420" w:type="dxa"/>
            <w:tcBorders>
              <w:top w:val="single" w:sz="4" w:space="0" w:color="auto"/>
              <w:left w:val="nil"/>
              <w:bottom w:val="single" w:sz="4" w:space="0" w:color="auto"/>
              <w:right w:val="single" w:sz="8" w:space="0" w:color="auto"/>
            </w:tcBorders>
            <w:shd w:val="clear" w:color="auto" w:fill="auto"/>
            <w:vAlign w:val="center"/>
          </w:tcPr>
          <w:p w:rsidR="00C02CB5" w:rsidRDefault="00C02CB5" w:rsidP="00C02CB5">
            <w:pPr>
              <w:jc w:val="right"/>
              <w:rPr>
                <w:sz w:val="20"/>
                <w:szCs w:val="20"/>
              </w:rPr>
            </w:pPr>
            <w:r>
              <w:rPr>
                <w:color w:val="FF0000"/>
                <w:sz w:val="20"/>
                <w:szCs w:val="20"/>
              </w:rPr>
              <w:t>(90)</w:t>
            </w:r>
          </w:p>
        </w:tc>
        <w:tc>
          <w:tcPr>
            <w:tcW w:w="2679" w:type="dxa"/>
            <w:tcBorders>
              <w:top w:val="single" w:sz="4" w:space="0" w:color="auto"/>
              <w:left w:val="single" w:sz="4" w:space="0" w:color="auto"/>
              <w:bottom w:val="single" w:sz="4" w:space="0" w:color="auto"/>
              <w:right w:val="single" w:sz="4" w:space="0" w:color="auto"/>
            </w:tcBorders>
            <w:shd w:val="clear" w:color="auto" w:fill="auto"/>
            <w:vAlign w:val="center"/>
          </w:tcPr>
          <w:p w:rsidR="00C02CB5" w:rsidRDefault="00C02CB5" w:rsidP="00C02CB5">
            <w:pPr>
              <w:jc w:val="right"/>
              <w:rPr>
                <w:sz w:val="20"/>
                <w:szCs w:val="20"/>
              </w:rPr>
            </w:pPr>
            <w:r>
              <w:rPr>
                <w:sz w:val="20"/>
                <w:szCs w:val="20"/>
              </w:rPr>
              <w:t>4,845</w:t>
            </w:r>
          </w:p>
        </w:tc>
      </w:tr>
      <w:tr w:rsidR="00C02CB5" w:rsidRPr="003F1E23" w:rsidTr="003C4364">
        <w:trPr>
          <w:trHeight w:val="255"/>
          <w:jc w:val="center"/>
        </w:trPr>
        <w:tc>
          <w:tcPr>
            <w:tcW w:w="6670" w:type="dxa"/>
            <w:tcBorders>
              <w:top w:val="nil"/>
              <w:left w:val="single" w:sz="8" w:space="0" w:color="auto"/>
              <w:bottom w:val="single" w:sz="4" w:space="0" w:color="auto"/>
              <w:right w:val="single" w:sz="8" w:space="0" w:color="auto"/>
            </w:tcBorders>
            <w:shd w:val="clear" w:color="auto" w:fill="auto"/>
            <w:vAlign w:val="center"/>
            <w:hideMark/>
          </w:tcPr>
          <w:p w:rsidR="00C02CB5" w:rsidRPr="003F1E23" w:rsidRDefault="00C02CB5" w:rsidP="00C02CB5">
            <w:pPr>
              <w:jc w:val="both"/>
              <w:rPr>
                <w:color w:val="000000"/>
                <w:sz w:val="20"/>
                <w:szCs w:val="20"/>
                <w:lang w:val="en-US"/>
              </w:rPr>
            </w:pPr>
            <w:r w:rsidRPr="003F1E23">
              <w:rPr>
                <w:color w:val="000000"/>
                <w:sz w:val="20"/>
                <w:szCs w:val="20"/>
                <w:lang w:val="en-US"/>
              </w:rPr>
              <w:t xml:space="preserve">Clinical Support </w:t>
            </w:r>
          </w:p>
        </w:tc>
        <w:tc>
          <w:tcPr>
            <w:tcW w:w="1234" w:type="dxa"/>
            <w:tcBorders>
              <w:top w:val="nil"/>
              <w:left w:val="nil"/>
              <w:bottom w:val="single" w:sz="4" w:space="0" w:color="auto"/>
              <w:right w:val="single" w:sz="8" w:space="0" w:color="auto"/>
            </w:tcBorders>
            <w:shd w:val="clear" w:color="auto" w:fill="auto"/>
            <w:vAlign w:val="center"/>
            <w:hideMark/>
          </w:tcPr>
          <w:p w:rsidR="00C02CB5" w:rsidRDefault="00C02CB5" w:rsidP="00C02CB5">
            <w:pPr>
              <w:jc w:val="right"/>
              <w:rPr>
                <w:sz w:val="20"/>
                <w:szCs w:val="20"/>
              </w:rPr>
            </w:pPr>
            <w:r>
              <w:rPr>
                <w:sz w:val="20"/>
                <w:szCs w:val="20"/>
              </w:rPr>
              <w:t>44,007</w:t>
            </w:r>
          </w:p>
        </w:tc>
        <w:tc>
          <w:tcPr>
            <w:tcW w:w="1316" w:type="dxa"/>
            <w:tcBorders>
              <w:top w:val="nil"/>
              <w:left w:val="nil"/>
              <w:bottom w:val="single" w:sz="4" w:space="0" w:color="auto"/>
              <w:right w:val="nil"/>
            </w:tcBorders>
            <w:shd w:val="clear" w:color="auto" w:fill="auto"/>
            <w:vAlign w:val="center"/>
            <w:hideMark/>
          </w:tcPr>
          <w:p w:rsidR="00C02CB5" w:rsidRDefault="00C02CB5" w:rsidP="00C02CB5">
            <w:pPr>
              <w:jc w:val="right"/>
              <w:rPr>
                <w:sz w:val="20"/>
                <w:szCs w:val="20"/>
              </w:rPr>
            </w:pPr>
            <w:r>
              <w:rPr>
                <w:color w:val="FF0000"/>
                <w:sz w:val="20"/>
                <w:szCs w:val="20"/>
              </w:rPr>
              <w:t>(61)</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C02CB5" w:rsidRDefault="00C02CB5" w:rsidP="00C02CB5">
            <w:pPr>
              <w:jc w:val="right"/>
              <w:rPr>
                <w:sz w:val="20"/>
                <w:szCs w:val="20"/>
              </w:rPr>
            </w:pPr>
            <w:r>
              <w:rPr>
                <w:sz w:val="20"/>
                <w:szCs w:val="20"/>
              </w:rPr>
              <w:t>142</w:t>
            </w:r>
          </w:p>
        </w:tc>
        <w:tc>
          <w:tcPr>
            <w:tcW w:w="1420" w:type="dxa"/>
            <w:tcBorders>
              <w:top w:val="nil"/>
              <w:left w:val="nil"/>
              <w:bottom w:val="single" w:sz="4" w:space="0" w:color="auto"/>
              <w:right w:val="single" w:sz="8" w:space="0" w:color="auto"/>
            </w:tcBorders>
            <w:shd w:val="clear" w:color="auto" w:fill="auto"/>
            <w:vAlign w:val="center"/>
          </w:tcPr>
          <w:p w:rsidR="00C02CB5" w:rsidRDefault="00C02CB5" w:rsidP="00C02CB5">
            <w:pPr>
              <w:jc w:val="right"/>
              <w:rPr>
                <w:sz w:val="20"/>
                <w:szCs w:val="20"/>
              </w:rPr>
            </w:pPr>
            <w:r>
              <w:rPr>
                <w:sz w:val="20"/>
                <w:szCs w:val="20"/>
              </w:rPr>
              <w:t>203</w:t>
            </w:r>
          </w:p>
        </w:tc>
        <w:tc>
          <w:tcPr>
            <w:tcW w:w="2679" w:type="dxa"/>
            <w:tcBorders>
              <w:top w:val="nil"/>
              <w:left w:val="single" w:sz="4" w:space="0" w:color="auto"/>
              <w:bottom w:val="single" w:sz="4" w:space="0" w:color="auto"/>
              <w:right w:val="single" w:sz="4" w:space="0" w:color="auto"/>
            </w:tcBorders>
            <w:shd w:val="clear" w:color="auto" w:fill="auto"/>
            <w:vAlign w:val="center"/>
            <w:hideMark/>
          </w:tcPr>
          <w:p w:rsidR="00C02CB5" w:rsidRDefault="00C02CB5" w:rsidP="00C02CB5">
            <w:pPr>
              <w:jc w:val="right"/>
              <w:rPr>
                <w:sz w:val="20"/>
                <w:szCs w:val="20"/>
              </w:rPr>
            </w:pPr>
            <w:r>
              <w:rPr>
                <w:sz w:val="20"/>
                <w:szCs w:val="20"/>
              </w:rPr>
              <w:t>635</w:t>
            </w:r>
          </w:p>
        </w:tc>
      </w:tr>
      <w:tr w:rsidR="00C02CB5" w:rsidRPr="003F1E23" w:rsidTr="003C4364">
        <w:trPr>
          <w:trHeight w:val="270"/>
          <w:jc w:val="center"/>
        </w:trPr>
        <w:tc>
          <w:tcPr>
            <w:tcW w:w="6670" w:type="dxa"/>
            <w:tcBorders>
              <w:top w:val="nil"/>
              <w:left w:val="single" w:sz="8" w:space="0" w:color="auto"/>
              <w:bottom w:val="single" w:sz="8" w:space="0" w:color="auto"/>
              <w:right w:val="single" w:sz="8" w:space="0" w:color="auto"/>
            </w:tcBorders>
            <w:shd w:val="clear" w:color="auto" w:fill="auto"/>
            <w:vAlign w:val="center"/>
            <w:hideMark/>
          </w:tcPr>
          <w:p w:rsidR="00C02CB5" w:rsidRPr="003F1E23" w:rsidRDefault="00C02CB5" w:rsidP="00C02CB5">
            <w:pPr>
              <w:jc w:val="both"/>
              <w:rPr>
                <w:color w:val="000000"/>
                <w:sz w:val="20"/>
                <w:szCs w:val="20"/>
                <w:lang w:val="en-US"/>
              </w:rPr>
            </w:pPr>
            <w:r w:rsidRPr="003F1E23">
              <w:rPr>
                <w:color w:val="000000"/>
                <w:sz w:val="20"/>
                <w:szCs w:val="20"/>
                <w:lang w:val="en-US"/>
              </w:rPr>
              <w:t xml:space="preserve">Facilities </w:t>
            </w:r>
          </w:p>
        </w:tc>
        <w:tc>
          <w:tcPr>
            <w:tcW w:w="1234" w:type="dxa"/>
            <w:tcBorders>
              <w:top w:val="nil"/>
              <w:left w:val="nil"/>
              <w:bottom w:val="single" w:sz="8" w:space="0" w:color="auto"/>
              <w:right w:val="single" w:sz="8" w:space="0" w:color="auto"/>
            </w:tcBorders>
            <w:shd w:val="clear" w:color="auto" w:fill="auto"/>
            <w:vAlign w:val="center"/>
            <w:hideMark/>
          </w:tcPr>
          <w:p w:rsidR="00C02CB5" w:rsidRDefault="00C02CB5" w:rsidP="00C02CB5">
            <w:pPr>
              <w:jc w:val="right"/>
              <w:rPr>
                <w:sz w:val="20"/>
                <w:szCs w:val="20"/>
              </w:rPr>
            </w:pPr>
            <w:r>
              <w:rPr>
                <w:sz w:val="20"/>
                <w:szCs w:val="20"/>
              </w:rPr>
              <w:t>28,673</w:t>
            </w:r>
          </w:p>
        </w:tc>
        <w:tc>
          <w:tcPr>
            <w:tcW w:w="1316" w:type="dxa"/>
            <w:tcBorders>
              <w:top w:val="nil"/>
              <w:left w:val="nil"/>
              <w:bottom w:val="single" w:sz="8" w:space="0" w:color="auto"/>
              <w:right w:val="nil"/>
            </w:tcBorders>
            <w:shd w:val="clear" w:color="auto" w:fill="auto"/>
            <w:vAlign w:val="center"/>
            <w:hideMark/>
          </w:tcPr>
          <w:p w:rsidR="00C02CB5" w:rsidRDefault="00C02CB5" w:rsidP="00C02CB5">
            <w:pPr>
              <w:jc w:val="right"/>
              <w:rPr>
                <w:sz w:val="20"/>
                <w:szCs w:val="20"/>
              </w:rPr>
            </w:pPr>
            <w:r>
              <w:rPr>
                <w:color w:val="FF0000"/>
                <w:sz w:val="20"/>
                <w:szCs w:val="20"/>
              </w:rPr>
              <w:t>(21)</w:t>
            </w:r>
          </w:p>
        </w:tc>
        <w:tc>
          <w:tcPr>
            <w:tcW w:w="1418" w:type="dxa"/>
            <w:tcBorders>
              <w:top w:val="nil"/>
              <w:left w:val="single" w:sz="4" w:space="0" w:color="auto"/>
              <w:bottom w:val="single" w:sz="8" w:space="0" w:color="auto"/>
              <w:right w:val="single" w:sz="4" w:space="0" w:color="auto"/>
            </w:tcBorders>
            <w:shd w:val="clear" w:color="auto" w:fill="auto"/>
            <w:vAlign w:val="center"/>
            <w:hideMark/>
          </w:tcPr>
          <w:p w:rsidR="00C02CB5" w:rsidRDefault="00C02CB5" w:rsidP="00C02CB5">
            <w:pPr>
              <w:jc w:val="right"/>
              <w:rPr>
                <w:sz w:val="20"/>
                <w:szCs w:val="20"/>
              </w:rPr>
            </w:pPr>
            <w:r>
              <w:rPr>
                <w:sz w:val="20"/>
                <w:szCs w:val="20"/>
              </w:rPr>
              <w:t>30</w:t>
            </w:r>
          </w:p>
        </w:tc>
        <w:tc>
          <w:tcPr>
            <w:tcW w:w="1420" w:type="dxa"/>
            <w:tcBorders>
              <w:top w:val="nil"/>
              <w:left w:val="nil"/>
              <w:bottom w:val="single" w:sz="8" w:space="0" w:color="auto"/>
              <w:right w:val="single" w:sz="8" w:space="0" w:color="auto"/>
            </w:tcBorders>
            <w:shd w:val="clear" w:color="auto" w:fill="auto"/>
            <w:vAlign w:val="center"/>
          </w:tcPr>
          <w:p w:rsidR="00C02CB5" w:rsidRDefault="00C02CB5" w:rsidP="00C02CB5">
            <w:pPr>
              <w:jc w:val="right"/>
              <w:rPr>
                <w:sz w:val="20"/>
                <w:szCs w:val="20"/>
              </w:rPr>
            </w:pPr>
            <w:r>
              <w:rPr>
                <w:sz w:val="20"/>
                <w:szCs w:val="20"/>
              </w:rPr>
              <w:t>51</w:t>
            </w:r>
          </w:p>
        </w:tc>
        <w:tc>
          <w:tcPr>
            <w:tcW w:w="2679" w:type="dxa"/>
            <w:tcBorders>
              <w:top w:val="nil"/>
              <w:left w:val="single" w:sz="4" w:space="0" w:color="auto"/>
              <w:bottom w:val="single" w:sz="8" w:space="0" w:color="auto"/>
              <w:right w:val="single" w:sz="4" w:space="0" w:color="auto"/>
            </w:tcBorders>
            <w:shd w:val="clear" w:color="auto" w:fill="auto"/>
            <w:vAlign w:val="center"/>
            <w:hideMark/>
          </w:tcPr>
          <w:p w:rsidR="00C02CB5" w:rsidRDefault="00C02CB5" w:rsidP="00C02CB5">
            <w:pPr>
              <w:jc w:val="right"/>
              <w:rPr>
                <w:sz w:val="20"/>
                <w:szCs w:val="20"/>
              </w:rPr>
            </w:pPr>
            <w:r>
              <w:rPr>
                <w:color w:val="FF0000"/>
                <w:sz w:val="20"/>
                <w:szCs w:val="20"/>
              </w:rPr>
              <w:t>(43)</w:t>
            </w:r>
          </w:p>
        </w:tc>
      </w:tr>
      <w:tr w:rsidR="00C02CB5" w:rsidRPr="003F1E23" w:rsidTr="003C4364">
        <w:trPr>
          <w:trHeight w:val="270"/>
          <w:jc w:val="center"/>
        </w:trPr>
        <w:tc>
          <w:tcPr>
            <w:tcW w:w="6670" w:type="dxa"/>
            <w:tcBorders>
              <w:top w:val="single" w:sz="8" w:space="0" w:color="auto"/>
              <w:left w:val="single" w:sz="8" w:space="0" w:color="auto"/>
              <w:bottom w:val="single" w:sz="8" w:space="0" w:color="auto"/>
              <w:right w:val="single" w:sz="8" w:space="0" w:color="auto"/>
            </w:tcBorders>
            <w:shd w:val="clear" w:color="000000" w:fill="8DB3E2" w:themeFill="text2" w:themeFillTint="66"/>
            <w:vAlign w:val="center"/>
            <w:hideMark/>
          </w:tcPr>
          <w:p w:rsidR="00C02CB5" w:rsidRPr="003F1E23" w:rsidRDefault="00C02CB5" w:rsidP="00C02CB5">
            <w:pPr>
              <w:jc w:val="right"/>
              <w:rPr>
                <w:b/>
                <w:bCs/>
                <w:color w:val="000000"/>
                <w:sz w:val="20"/>
                <w:szCs w:val="20"/>
                <w:lang w:val="en-US"/>
              </w:rPr>
            </w:pPr>
            <w:r w:rsidRPr="003F1E23">
              <w:rPr>
                <w:b/>
                <w:bCs/>
                <w:color w:val="000000"/>
                <w:sz w:val="20"/>
                <w:szCs w:val="20"/>
                <w:lang w:val="en-US"/>
              </w:rPr>
              <w:t>Total COO</w:t>
            </w:r>
          </w:p>
        </w:tc>
        <w:tc>
          <w:tcPr>
            <w:tcW w:w="1234" w:type="dxa"/>
            <w:tcBorders>
              <w:top w:val="single" w:sz="8" w:space="0" w:color="auto"/>
              <w:left w:val="nil"/>
              <w:bottom w:val="single" w:sz="8" w:space="0" w:color="auto"/>
              <w:right w:val="single" w:sz="8" w:space="0" w:color="auto"/>
            </w:tcBorders>
            <w:shd w:val="clear" w:color="000000" w:fill="8DB3E2" w:themeFill="text2" w:themeFillTint="66"/>
            <w:vAlign w:val="center"/>
            <w:hideMark/>
          </w:tcPr>
          <w:p w:rsidR="00C02CB5" w:rsidRDefault="00C02CB5" w:rsidP="00C02CB5">
            <w:pPr>
              <w:jc w:val="right"/>
              <w:rPr>
                <w:b/>
                <w:bCs/>
                <w:sz w:val="20"/>
                <w:szCs w:val="20"/>
              </w:rPr>
            </w:pPr>
            <w:r>
              <w:rPr>
                <w:b/>
                <w:bCs/>
                <w:sz w:val="20"/>
                <w:szCs w:val="20"/>
              </w:rPr>
              <w:t>328,334</w:t>
            </w:r>
          </w:p>
        </w:tc>
        <w:tc>
          <w:tcPr>
            <w:tcW w:w="1316" w:type="dxa"/>
            <w:tcBorders>
              <w:top w:val="single" w:sz="8" w:space="0" w:color="auto"/>
              <w:left w:val="nil"/>
              <w:bottom w:val="single" w:sz="8" w:space="0" w:color="auto"/>
              <w:right w:val="nil"/>
            </w:tcBorders>
            <w:shd w:val="clear" w:color="000000" w:fill="8DB3E2" w:themeFill="text2" w:themeFillTint="66"/>
            <w:vAlign w:val="center"/>
            <w:hideMark/>
          </w:tcPr>
          <w:p w:rsidR="00C02CB5" w:rsidRDefault="00C02CB5" w:rsidP="00C02CB5">
            <w:pPr>
              <w:jc w:val="right"/>
              <w:rPr>
                <w:b/>
                <w:bCs/>
                <w:sz w:val="20"/>
                <w:szCs w:val="20"/>
              </w:rPr>
            </w:pPr>
            <w:r>
              <w:rPr>
                <w:b/>
                <w:bCs/>
                <w:sz w:val="20"/>
                <w:szCs w:val="20"/>
              </w:rPr>
              <w:t>609</w:t>
            </w:r>
          </w:p>
        </w:tc>
        <w:tc>
          <w:tcPr>
            <w:tcW w:w="1418"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C02CB5" w:rsidRDefault="00C02CB5" w:rsidP="00C02CB5">
            <w:pPr>
              <w:jc w:val="right"/>
              <w:rPr>
                <w:b/>
                <w:bCs/>
                <w:sz w:val="20"/>
                <w:szCs w:val="20"/>
              </w:rPr>
            </w:pPr>
            <w:r>
              <w:rPr>
                <w:b/>
                <w:bCs/>
                <w:sz w:val="20"/>
                <w:szCs w:val="20"/>
              </w:rPr>
              <w:t>858</w:t>
            </w:r>
          </w:p>
        </w:tc>
        <w:tc>
          <w:tcPr>
            <w:tcW w:w="1420" w:type="dxa"/>
            <w:tcBorders>
              <w:top w:val="single" w:sz="8" w:space="0" w:color="auto"/>
              <w:left w:val="nil"/>
              <w:bottom w:val="single" w:sz="8" w:space="0" w:color="auto"/>
              <w:right w:val="single" w:sz="8" w:space="0" w:color="auto"/>
            </w:tcBorders>
            <w:shd w:val="clear" w:color="000000" w:fill="8DB3E2" w:themeFill="text2" w:themeFillTint="66"/>
            <w:vAlign w:val="center"/>
          </w:tcPr>
          <w:p w:rsidR="00C02CB5" w:rsidRDefault="00C02CB5" w:rsidP="00C02CB5">
            <w:pPr>
              <w:jc w:val="right"/>
              <w:rPr>
                <w:b/>
                <w:bCs/>
                <w:sz w:val="20"/>
                <w:szCs w:val="20"/>
              </w:rPr>
            </w:pPr>
            <w:r>
              <w:rPr>
                <w:b/>
                <w:bCs/>
                <w:sz w:val="20"/>
                <w:szCs w:val="20"/>
              </w:rPr>
              <w:t>249</w:t>
            </w:r>
          </w:p>
        </w:tc>
        <w:tc>
          <w:tcPr>
            <w:tcW w:w="2679"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C02CB5" w:rsidRDefault="00C02CB5" w:rsidP="00C02CB5">
            <w:pPr>
              <w:jc w:val="right"/>
              <w:rPr>
                <w:b/>
                <w:bCs/>
                <w:sz w:val="20"/>
                <w:szCs w:val="20"/>
              </w:rPr>
            </w:pPr>
            <w:r>
              <w:rPr>
                <w:b/>
                <w:bCs/>
                <w:sz w:val="20"/>
                <w:szCs w:val="20"/>
              </w:rPr>
              <w:t>7,685</w:t>
            </w:r>
          </w:p>
        </w:tc>
      </w:tr>
      <w:tr w:rsidR="00C02CB5" w:rsidRPr="003F1E23" w:rsidTr="003C4364">
        <w:trPr>
          <w:trHeight w:val="255"/>
          <w:jc w:val="center"/>
        </w:trPr>
        <w:tc>
          <w:tcPr>
            <w:tcW w:w="6670" w:type="dxa"/>
            <w:tcBorders>
              <w:top w:val="nil"/>
              <w:left w:val="single" w:sz="8" w:space="0" w:color="auto"/>
              <w:bottom w:val="nil"/>
              <w:right w:val="single" w:sz="8" w:space="0" w:color="auto"/>
            </w:tcBorders>
            <w:shd w:val="clear" w:color="auto" w:fill="auto"/>
            <w:vAlign w:val="center"/>
            <w:hideMark/>
          </w:tcPr>
          <w:p w:rsidR="00C02CB5" w:rsidRPr="003F1E23" w:rsidRDefault="00C02CB5" w:rsidP="00C02CB5">
            <w:pPr>
              <w:jc w:val="both"/>
              <w:rPr>
                <w:b/>
                <w:bCs/>
                <w:color w:val="000000"/>
                <w:sz w:val="20"/>
                <w:szCs w:val="20"/>
                <w:lang w:val="en-US"/>
              </w:rPr>
            </w:pPr>
            <w:r w:rsidRPr="003F1E23">
              <w:rPr>
                <w:b/>
                <w:bCs/>
                <w:color w:val="000000"/>
                <w:sz w:val="20"/>
                <w:szCs w:val="20"/>
                <w:lang w:val="en-US"/>
              </w:rPr>
              <w:t>PCMH:</w:t>
            </w:r>
          </w:p>
        </w:tc>
        <w:tc>
          <w:tcPr>
            <w:tcW w:w="1234" w:type="dxa"/>
            <w:tcBorders>
              <w:top w:val="nil"/>
              <w:left w:val="nil"/>
              <w:bottom w:val="nil"/>
              <w:right w:val="single" w:sz="8" w:space="0" w:color="auto"/>
            </w:tcBorders>
            <w:shd w:val="clear" w:color="auto" w:fill="auto"/>
            <w:vAlign w:val="center"/>
            <w:hideMark/>
          </w:tcPr>
          <w:p w:rsidR="00C02CB5" w:rsidRDefault="00C02CB5" w:rsidP="00C02CB5">
            <w:pPr>
              <w:jc w:val="right"/>
              <w:rPr>
                <w:b/>
                <w:bCs/>
                <w:sz w:val="20"/>
                <w:szCs w:val="20"/>
              </w:rPr>
            </w:pPr>
            <w:r>
              <w:rPr>
                <w:b/>
                <w:bCs/>
                <w:sz w:val="20"/>
                <w:szCs w:val="20"/>
              </w:rPr>
              <w:t> </w:t>
            </w:r>
          </w:p>
        </w:tc>
        <w:tc>
          <w:tcPr>
            <w:tcW w:w="1316" w:type="dxa"/>
            <w:tcBorders>
              <w:top w:val="nil"/>
              <w:left w:val="nil"/>
              <w:bottom w:val="nil"/>
              <w:right w:val="nil"/>
            </w:tcBorders>
            <w:shd w:val="clear" w:color="auto" w:fill="auto"/>
            <w:vAlign w:val="center"/>
            <w:hideMark/>
          </w:tcPr>
          <w:p w:rsidR="00C02CB5" w:rsidRDefault="00C02CB5" w:rsidP="00C02CB5">
            <w:pPr>
              <w:jc w:val="right"/>
              <w:rPr>
                <w:b/>
                <w:bCs/>
                <w:sz w:val="20"/>
                <w:szCs w:val="20"/>
              </w:rPr>
            </w:pPr>
            <w:r>
              <w:rPr>
                <w:b/>
                <w:bCs/>
                <w:sz w:val="20"/>
                <w:szCs w:val="20"/>
              </w:rPr>
              <w:t> </w:t>
            </w:r>
          </w:p>
        </w:tc>
        <w:tc>
          <w:tcPr>
            <w:tcW w:w="1418" w:type="dxa"/>
            <w:tcBorders>
              <w:top w:val="nil"/>
              <w:left w:val="single" w:sz="4" w:space="0" w:color="auto"/>
              <w:bottom w:val="nil"/>
              <w:right w:val="single" w:sz="4" w:space="0" w:color="auto"/>
            </w:tcBorders>
            <w:shd w:val="clear" w:color="auto" w:fill="auto"/>
            <w:vAlign w:val="center"/>
            <w:hideMark/>
          </w:tcPr>
          <w:p w:rsidR="00C02CB5" w:rsidRDefault="00C02CB5" w:rsidP="00C02CB5">
            <w:pPr>
              <w:jc w:val="right"/>
              <w:rPr>
                <w:b/>
                <w:bCs/>
                <w:sz w:val="20"/>
                <w:szCs w:val="20"/>
              </w:rPr>
            </w:pPr>
            <w:r>
              <w:rPr>
                <w:b/>
                <w:bCs/>
                <w:sz w:val="20"/>
                <w:szCs w:val="20"/>
              </w:rPr>
              <w:t> </w:t>
            </w:r>
          </w:p>
        </w:tc>
        <w:tc>
          <w:tcPr>
            <w:tcW w:w="1420" w:type="dxa"/>
            <w:tcBorders>
              <w:top w:val="nil"/>
              <w:left w:val="nil"/>
              <w:bottom w:val="nil"/>
              <w:right w:val="single" w:sz="8" w:space="0" w:color="auto"/>
            </w:tcBorders>
            <w:shd w:val="clear" w:color="auto" w:fill="auto"/>
            <w:vAlign w:val="center"/>
          </w:tcPr>
          <w:p w:rsidR="00C02CB5" w:rsidRDefault="00C02CB5" w:rsidP="00C02CB5">
            <w:pPr>
              <w:jc w:val="right"/>
              <w:rPr>
                <w:b/>
                <w:bCs/>
                <w:sz w:val="20"/>
                <w:szCs w:val="20"/>
              </w:rPr>
            </w:pPr>
            <w:r>
              <w:rPr>
                <w:b/>
                <w:bCs/>
                <w:sz w:val="20"/>
                <w:szCs w:val="20"/>
              </w:rPr>
              <w:t> </w:t>
            </w:r>
          </w:p>
        </w:tc>
        <w:tc>
          <w:tcPr>
            <w:tcW w:w="2679" w:type="dxa"/>
            <w:tcBorders>
              <w:top w:val="nil"/>
              <w:left w:val="single" w:sz="4" w:space="0" w:color="auto"/>
              <w:bottom w:val="nil"/>
              <w:right w:val="single" w:sz="4" w:space="0" w:color="auto"/>
            </w:tcBorders>
            <w:shd w:val="clear" w:color="auto" w:fill="auto"/>
            <w:vAlign w:val="center"/>
            <w:hideMark/>
          </w:tcPr>
          <w:p w:rsidR="00C02CB5" w:rsidRDefault="00C02CB5" w:rsidP="00C02CB5">
            <w:pPr>
              <w:jc w:val="right"/>
              <w:rPr>
                <w:b/>
                <w:bCs/>
                <w:sz w:val="20"/>
                <w:szCs w:val="20"/>
              </w:rPr>
            </w:pPr>
            <w:r>
              <w:rPr>
                <w:b/>
                <w:bCs/>
                <w:sz w:val="20"/>
                <w:szCs w:val="20"/>
              </w:rPr>
              <w:t> </w:t>
            </w:r>
          </w:p>
        </w:tc>
      </w:tr>
      <w:tr w:rsidR="00C02CB5" w:rsidRPr="003F1E23" w:rsidTr="003C4364">
        <w:trPr>
          <w:trHeight w:val="255"/>
          <w:jc w:val="center"/>
        </w:trPr>
        <w:tc>
          <w:tcPr>
            <w:tcW w:w="6670"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C02CB5" w:rsidRPr="00680D90" w:rsidRDefault="00C02CB5" w:rsidP="00C02CB5">
            <w:pPr>
              <w:rPr>
                <w:color w:val="000000"/>
                <w:sz w:val="20"/>
                <w:szCs w:val="20"/>
                <w:lang w:val="en-US"/>
              </w:rPr>
            </w:pPr>
            <w:r w:rsidRPr="00680D90">
              <w:rPr>
                <w:color w:val="000000"/>
                <w:sz w:val="20"/>
                <w:szCs w:val="20"/>
                <w:lang w:val="en-US"/>
              </w:rPr>
              <w:t xml:space="preserve">Primary &amp; Community </w:t>
            </w:r>
          </w:p>
        </w:tc>
        <w:tc>
          <w:tcPr>
            <w:tcW w:w="1234" w:type="dxa"/>
            <w:tcBorders>
              <w:top w:val="single" w:sz="4" w:space="0" w:color="auto"/>
              <w:left w:val="nil"/>
              <w:bottom w:val="single" w:sz="4" w:space="0" w:color="auto"/>
              <w:right w:val="single" w:sz="8" w:space="0" w:color="auto"/>
            </w:tcBorders>
            <w:shd w:val="clear" w:color="auto" w:fill="auto"/>
            <w:vAlign w:val="center"/>
            <w:hideMark/>
          </w:tcPr>
          <w:p w:rsidR="00C02CB5" w:rsidRDefault="00C02CB5" w:rsidP="00C02CB5">
            <w:pPr>
              <w:jc w:val="right"/>
              <w:rPr>
                <w:sz w:val="20"/>
                <w:szCs w:val="20"/>
              </w:rPr>
            </w:pPr>
            <w:r>
              <w:rPr>
                <w:sz w:val="20"/>
                <w:szCs w:val="20"/>
              </w:rPr>
              <w:t>99,102</w:t>
            </w:r>
          </w:p>
        </w:tc>
        <w:tc>
          <w:tcPr>
            <w:tcW w:w="1316" w:type="dxa"/>
            <w:tcBorders>
              <w:top w:val="single" w:sz="4" w:space="0" w:color="auto"/>
              <w:left w:val="nil"/>
              <w:bottom w:val="single" w:sz="4" w:space="0" w:color="auto"/>
              <w:right w:val="nil"/>
            </w:tcBorders>
            <w:shd w:val="clear" w:color="auto" w:fill="auto"/>
            <w:vAlign w:val="center"/>
            <w:hideMark/>
          </w:tcPr>
          <w:p w:rsidR="00C02CB5" w:rsidRDefault="00C02CB5" w:rsidP="00C02CB5">
            <w:pPr>
              <w:jc w:val="right"/>
              <w:rPr>
                <w:sz w:val="20"/>
                <w:szCs w:val="20"/>
              </w:rPr>
            </w:pPr>
            <w:r>
              <w:rPr>
                <w:sz w:val="20"/>
                <w:szCs w:val="20"/>
              </w:rPr>
              <w:t>181</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02CB5" w:rsidRDefault="00C02CB5" w:rsidP="00C02CB5">
            <w:pPr>
              <w:jc w:val="right"/>
              <w:rPr>
                <w:sz w:val="20"/>
                <w:szCs w:val="20"/>
              </w:rPr>
            </w:pPr>
            <w:r>
              <w:rPr>
                <w:color w:val="FF0000"/>
                <w:sz w:val="20"/>
                <w:szCs w:val="20"/>
              </w:rPr>
              <w:t>(74)</w:t>
            </w:r>
          </w:p>
        </w:tc>
        <w:tc>
          <w:tcPr>
            <w:tcW w:w="1420" w:type="dxa"/>
            <w:tcBorders>
              <w:top w:val="single" w:sz="4" w:space="0" w:color="auto"/>
              <w:left w:val="nil"/>
              <w:bottom w:val="single" w:sz="4" w:space="0" w:color="auto"/>
              <w:right w:val="single" w:sz="8" w:space="0" w:color="auto"/>
            </w:tcBorders>
            <w:shd w:val="clear" w:color="auto" w:fill="auto"/>
            <w:vAlign w:val="center"/>
          </w:tcPr>
          <w:p w:rsidR="00C02CB5" w:rsidRDefault="00C02CB5" w:rsidP="00C02CB5">
            <w:pPr>
              <w:jc w:val="right"/>
              <w:rPr>
                <w:sz w:val="20"/>
                <w:szCs w:val="20"/>
              </w:rPr>
            </w:pPr>
            <w:r>
              <w:rPr>
                <w:color w:val="FF0000"/>
                <w:sz w:val="20"/>
                <w:szCs w:val="20"/>
              </w:rPr>
              <w:t>(255)</w:t>
            </w:r>
          </w:p>
        </w:tc>
        <w:tc>
          <w:tcPr>
            <w:tcW w:w="267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02CB5" w:rsidRDefault="00C02CB5" w:rsidP="00C02CB5">
            <w:pPr>
              <w:jc w:val="right"/>
              <w:rPr>
                <w:sz w:val="20"/>
                <w:szCs w:val="20"/>
              </w:rPr>
            </w:pPr>
            <w:r>
              <w:rPr>
                <w:sz w:val="20"/>
                <w:szCs w:val="20"/>
              </w:rPr>
              <w:t>352</w:t>
            </w:r>
          </w:p>
        </w:tc>
      </w:tr>
      <w:tr w:rsidR="00C02CB5" w:rsidRPr="003F1E23" w:rsidTr="003C4364">
        <w:trPr>
          <w:trHeight w:val="255"/>
          <w:jc w:val="center"/>
        </w:trPr>
        <w:tc>
          <w:tcPr>
            <w:tcW w:w="6670" w:type="dxa"/>
            <w:tcBorders>
              <w:top w:val="nil"/>
              <w:left w:val="single" w:sz="8" w:space="0" w:color="auto"/>
              <w:bottom w:val="single" w:sz="4" w:space="0" w:color="auto"/>
              <w:right w:val="single" w:sz="8" w:space="0" w:color="auto"/>
            </w:tcBorders>
            <w:shd w:val="clear" w:color="auto" w:fill="auto"/>
            <w:vAlign w:val="center"/>
            <w:hideMark/>
          </w:tcPr>
          <w:p w:rsidR="00C02CB5" w:rsidRPr="00680D90" w:rsidRDefault="00C02CB5" w:rsidP="00C02CB5">
            <w:pPr>
              <w:jc w:val="both"/>
              <w:rPr>
                <w:color w:val="000000"/>
                <w:sz w:val="20"/>
                <w:szCs w:val="20"/>
                <w:lang w:val="en-US"/>
              </w:rPr>
            </w:pPr>
            <w:r w:rsidRPr="00680D90">
              <w:rPr>
                <w:color w:val="000000"/>
                <w:sz w:val="20"/>
                <w:szCs w:val="20"/>
                <w:lang w:val="en-US"/>
              </w:rPr>
              <w:t>Mental Health</w:t>
            </w:r>
          </w:p>
        </w:tc>
        <w:tc>
          <w:tcPr>
            <w:tcW w:w="1234" w:type="dxa"/>
            <w:tcBorders>
              <w:top w:val="nil"/>
              <w:left w:val="nil"/>
              <w:bottom w:val="single" w:sz="4" w:space="0" w:color="auto"/>
              <w:right w:val="single" w:sz="8" w:space="0" w:color="auto"/>
            </w:tcBorders>
            <w:shd w:val="clear" w:color="auto" w:fill="auto"/>
            <w:vAlign w:val="center"/>
            <w:hideMark/>
          </w:tcPr>
          <w:p w:rsidR="00C02CB5" w:rsidRDefault="00C02CB5" w:rsidP="00C02CB5">
            <w:pPr>
              <w:jc w:val="right"/>
              <w:rPr>
                <w:sz w:val="20"/>
                <w:szCs w:val="20"/>
              </w:rPr>
            </w:pPr>
            <w:r>
              <w:rPr>
                <w:sz w:val="20"/>
                <w:szCs w:val="20"/>
              </w:rPr>
              <w:t>45,838</w:t>
            </w:r>
          </w:p>
        </w:tc>
        <w:tc>
          <w:tcPr>
            <w:tcW w:w="1316" w:type="dxa"/>
            <w:tcBorders>
              <w:top w:val="nil"/>
              <w:left w:val="nil"/>
              <w:bottom w:val="single" w:sz="4" w:space="0" w:color="auto"/>
              <w:right w:val="nil"/>
            </w:tcBorders>
            <w:shd w:val="clear" w:color="auto" w:fill="auto"/>
            <w:vAlign w:val="center"/>
            <w:hideMark/>
          </w:tcPr>
          <w:p w:rsidR="00C02CB5" w:rsidRDefault="00C02CB5" w:rsidP="00C02CB5">
            <w:pPr>
              <w:jc w:val="right"/>
              <w:rPr>
                <w:sz w:val="20"/>
                <w:szCs w:val="20"/>
              </w:rPr>
            </w:pPr>
            <w:r>
              <w:rPr>
                <w:color w:val="FF0000"/>
                <w:sz w:val="20"/>
                <w:szCs w:val="20"/>
              </w:rPr>
              <w:t>(221)</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C02CB5" w:rsidRDefault="00C02CB5" w:rsidP="00C02CB5">
            <w:pPr>
              <w:jc w:val="right"/>
              <w:rPr>
                <w:sz w:val="20"/>
                <w:szCs w:val="20"/>
              </w:rPr>
            </w:pPr>
            <w:r>
              <w:rPr>
                <w:color w:val="FF0000"/>
                <w:sz w:val="20"/>
                <w:szCs w:val="20"/>
              </w:rPr>
              <w:t>(257)</w:t>
            </w:r>
          </w:p>
        </w:tc>
        <w:tc>
          <w:tcPr>
            <w:tcW w:w="1420" w:type="dxa"/>
            <w:tcBorders>
              <w:top w:val="nil"/>
              <w:left w:val="nil"/>
              <w:bottom w:val="single" w:sz="4" w:space="0" w:color="auto"/>
              <w:right w:val="single" w:sz="8" w:space="0" w:color="auto"/>
            </w:tcBorders>
            <w:shd w:val="clear" w:color="auto" w:fill="auto"/>
            <w:vAlign w:val="center"/>
          </w:tcPr>
          <w:p w:rsidR="00C02CB5" w:rsidRDefault="00C02CB5" w:rsidP="00C02CB5">
            <w:pPr>
              <w:jc w:val="right"/>
              <w:rPr>
                <w:sz w:val="20"/>
                <w:szCs w:val="20"/>
              </w:rPr>
            </w:pPr>
            <w:r>
              <w:rPr>
                <w:color w:val="FF0000"/>
                <w:sz w:val="20"/>
                <w:szCs w:val="20"/>
              </w:rPr>
              <w:t>(36)</w:t>
            </w:r>
          </w:p>
        </w:tc>
        <w:tc>
          <w:tcPr>
            <w:tcW w:w="2679" w:type="dxa"/>
            <w:tcBorders>
              <w:top w:val="nil"/>
              <w:left w:val="single" w:sz="4" w:space="0" w:color="auto"/>
              <w:bottom w:val="single" w:sz="4" w:space="0" w:color="auto"/>
              <w:right w:val="single" w:sz="4" w:space="0" w:color="auto"/>
            </w:tcBorders>
            <w:shd w:val="clear" w:color="auto" w:fill="auto"/>
            <w:vAlign w:val="center"/>
            <w:hideMark/>
          </w:tcPr>
          <w:p w:rsidR="00C02CB5" w:rsidRDefault="00C02CB5" w:rsidP="00C02CB5">
            <w:pPr>
              <w:jc w:val="right"/>
              <w:rPr>
                <w:sz w:val="20"/>
                <w:szCs w:val="20"/>
              </w:rPr>
            </w:pPr>
            <w:r>
              <w:rPr>
                <w:color w:val="FF0000"/>
                <w:sz w:val="20"/>
                <w:szCs w:val="20"/>
              </w:rPr>
              <w:t>(1,725)</w:t>
            </w:r>
          </w:p>
        </w:tc>
      </w:tr>
      <w:tr w:rsidR="00C02CB5" w:rsidRPr="003F1E23" w:rsidTr="003C4364">
        <w:trPr>
          <w:trHeight w:val="270"/>
          <w:jc w:val="center"/>
        </w:trPr>
        <w:tc>
          <w:tcPr>
            <w:tcW w:w="6670" w:type="dxa"/>
            <w:tcBorders>
              <w:top w:val="nil"/>
              <w:left w:val="single" w:sz="8" w:space="0" w:color="auto"/>
              <w:bottom w:val="single" w:sz="8" w:space="0" w:color="auto"/>
              <w:right w:val="single" w:sz="8" w:space="0" w:color="auto"/>
            </w:tcBorders>
            <w:shd w:val="clear" w:color="auto" w:fill="auto"/>
            <w:vAlign w:val="center"/>
            <w:hideMark/>
          </w:tcPr>
          <w:p w:rsidR="00C02CB5" w:rsidRPr="003F1E23" w:rsidRDefault="00C02CB5" w:rsidP="00C02CB5">
            <w:pPr>
              <w:jc w:val="both"/>
              <w:rPr>
                <w:color w:val="000000"/>
                <w:sz w:val="20"/>
                <w:szCs w:val="20"/>
                <w:lang w:val="en-US"/>
              </w:rPr>
            </w:pPr>
            <w:r w:rsidRPr="003F1E23">
              <w:rPr>
                <w:color w:val="000000"/>
                <w:sz w:val="20"/>
                <w:szCs w:val="20"/>
                <w:lang w:val="en-US"/>
              </w:rPr>
              <w:t>Medicines Management</w:t>
            </w:r>
          </w:p>
        </w:tc>
        <w:tc>
          <w:tcPr>
            <w:tcW w:w="1234" w:type="dxa"/>
            <w:tcBorders>
              <w:top w:val="nil"/>
              <w:left w:val="nil"/>
              <w:bottom w:val="single" w:sz="8" w:space="0" w:color="auto"/>
              <w:right w:val="single" w:sz="8" w:space="0" w:color="auto"/>
            </w:tcBorders>
            <w:shd w:val="clear" w:color="auto" w:fill="auto"/>
            <w:vAlign w:val="center"/>
            <w:hideMark/>
          </w:tcPr>
          <w:p w:rsidR="00C02CB5" w:rsidRDefault="00C02CB5" w:rsidP="00C02CB5">
            <w:pPr>
              <w:jc w:val="right"/>
              <w:rPr>
                <w:sz w:val="20"/>
                <w:szCs w:val="20"/>
              </w:rPr>
            </w:pPr>
            <w:r>
              <w:rPr>
                <w:sz w:val="20"/>
                <w:szCs w:val="20"/>
              </w:rPr>
              <w:t>11,165</w:t>
            </w:r>
          </w:p>
        </w:tc>
        <w:tc>
          <w:tcPr>
            <w:tcW w:w="1316" w:type="dxa"/>
            <w:tcBorders>
              <w:top w:val="nil"/>
              <w:left w:val="nil"/>
              <w:bottom w:val="single" w:sz="8" w:space="0" w:color="auto"/>
              <w:right w:val="nil"/>
            </w:tcBorders>
            <w:shd w:val="clear" w:color="auto" w:fill="auto"/>
            <w:vAlign w:val="center"/>
            <w:hideMark/>
          </w:tcPr>
          <w:p w:rsidR="00C02CB5" w:rsidRDefault="00C02CB5" w:rsidP="00C02CB5">
            <w:pPr>
              <w:jc w:val="right"/>
              <w:rPr>
                <w:sz w:val="20"/>
                <w:szCs w:val="20"/>
              </w:rPr>
            </w:pPr>
            <w:r>
              <w:rPr>
                <w:color w:val="FF0000"/>
                <w:sz w:val="20"/>
                <w:szCs w:val="20"/>
              </w:rPr>
              <w:t>(5)</w:t>
            </w:r>
          </w:p>
        </w:tc>
        <w:tc>
          <w:tcPr>
            <w:tcW w:w="1418" w:type="dxa"/>
            <w:tcBorders>
              <w:top w:val="nil"/>
              <w:left w:val="single" w:sz="4" w:space="0" w:color="auto"/>
              <w:bottom w:val="single" w:sz="8" w:space="0" w:color="auto"/>
              <w:right w:val="single" w:sz="4" w:space="0" w:color="auto"/>
            </w:tcBorders>
            <w:shd w:val="clear" w:color="auto" w:fill="auto"/>
            <w:vAlign w:val="center"/>
            <w:hideMark/>
          </w:tcPr>
          <w:p w:rsidR="00C02CB5" w:rsidRDefault="00C02CB5" w:rsidP="00C02CB5">
            <w:pPr>
              <w:jc w:val="right"/>
              <w:rPr>
                <w:sz w:val="20"/>
                <w:szCs w:val="20"/>
              </w:rPr>
            </w:pPr>
            <w:r>
              <w:rPr>
                <w:sz w:val="20"/>
                <w:szCs w:val="20"/>
              </w:rPr>
              <w:t>12</w:t>
            </w:r>
          </w:p>
        </w:tc>
        <w:tc>
          <w:tcPr>
            <w:tcW w:w="1420" w:type="dxa"/>
            <w:tcBorders>
              <w:top w:val="nil"/>
              <w:left w:val="nil"/>
              <w:bottom w:val="single" w:sz="8" w:space="0" w:color="auto"/>
              <w:right w:val="single" w:sz="8" w:space="0" w:color="auto"/>
            </w:tcBorders>
            <w:shd w:val="clear" w:color="auto" w:fill="auto"/>
            <w:vAlign w:val="center"/>
          </w:tcPr>
          <w:p w:rsidR="00C02CB5" w:rsidRDefault="00C02CB5" w:rsidP="00C02CB5">
            <w:pPr>
              <w:jc w:val="right"/>
              <w:rPr>
                <w:sz w:val="20"/>
                <w:szCs w:val="20"/>
              </w:rPr>
            </w:pPr>
            <w:r>
              <w:rPr>
                <w:sz w:val="20"/>
                <w:szCs w:val="20"/>
              </w:rPr>
              <w:t>17</w:t>
            </w:r>
          </w:p>
        </w:tc>
        <w:tc>
          <w:tcPr>
            <w:tcW w:w="2679" w:type="dxa"/>
            <w:tcBorders>
              <w:top w:val="nil"/>
              <w:left w:val="single" w:sz="4" w:space="0" w:color="auto"/>
              <w:bottom w:val="single" w:sz="8" w:space="0" w:color="auto"/>
              <w:right w:val="single" w:sz="4" w:space="0" w:color="auto"/>
            </w:tcBorders>
            <w:shd w:val="clear" w:color="auto" w:fill="auto"/>
            <w:vAlign w:val="center"/>
            <w:hideMark/>
          </w:tcPr>
          <w:p w:rsidR="00C02CB5" w:rsidRDefault="00C02CB5" w:rsidP="00C02CB5">
            <w:pPr>
              <w:jc w:val="right"/>
              <w:rPr>
                <w:sz w:val="20"/>
                <w:szCs w:val="20"/>
              </w:rPr>
            </w:pPr>
            <w:r>
              <w:rPr>
                <w:sz w:val="20"/>
                <w:szCs w:val="20"/>
              </w:rPr>
              <w:t>77</w:t>
            </w:r>
          </w:p>
        </w:tc>
      </w:tr>
      <w:tr w:rsidR="00C02CB5" w:rsidRPr="003F1E23" w:rsidTr="003C4364">
        <w:trPr>
          <w:trHeight w:val="270"/>
          <w:jc w:val="center"/>
        </w:trPr>
        <w:tc>
          <w:tcPr>
            <w:tcW w:w="6670" w:type="dxa"/>
            <w:tcBorders>
              <w:top w:val="single" w:sz="8" w:space="0" w:color="auto"/>
              <w:left w:val="single" w:sz="8" w:space="0" w:color="auto"/>
              <w:bottom w:val="single" w:sz="8" w:space="0" w:color="auto"/>
              <w:right w:val="single" w:sz="8" w:space="0" w:color="auto"/>
            </w:tcBorders>
            <w:shd w:val="clear" w:color="000000" w:fill="8DB3E2" w:themeFill="text2" w:themeFillTint="66"/>
            <w:vAlign w:val="center"/>
            <w:hideMark/>
          </w:tcPr>
          <w:p w:rsidR="00C02CB5" w:rsidRPr="003F1E23" w:rsidRDefault="00C02CB5" w:rsidP="00C02CB5">
            <w:pPr>
              <w:jc w:val="right"/>
              <w:rPr>
                <w:b/>
                <w:bCs/>
                <w:color w:val="000000"/>
                <w:sz w:val="20"/>
                <w:szCs w:val="20"/>
                <w:lang w:val="en-US"/>
              </w:rPr>
            </w:pPr>
            <w:r w:rsidRPr="003F1E23">
              <w:rPr>
                <w:b/>
                <w:bCs/>
                <w:color w:val="000000"/>
                <w:sz w:val="20"/>
                <w:szCs w:val="20"/>
                <w:lang w:val="en-US"/>
              </w:rPr>
              <w:t>Total PCMH</w:t>
            </w:r>
          </w:p>
        </w:tc>
        <w:tc>
          <w:tcPr>
            <w:tcW w:w="1234" w:type="dxa"/>
            <w:tcBorders>
              <w:top w:val="single" w:sz="8" w:space="0" w:color="auto"/>
              <w:left w:val="nil"/>
              <w:bottom w:val="single" w:sz="8" w:space="0" w:color="auto"/>
              <w:right w:val="single" w:sz="8" w:space="0" w:color="auto"/>
            </w:tcBorders>
            <w:shd w:val="clear" w:color="000000" w:fill="8DB3E2" w:themeFill="text2" w:themeFillTint="66"/>
            <w:vAlign w:val="center"/>
            <w:hideMark/>
          </w:tcPr>
          <w:p w:rsidR="00C02CB5" w:rsidRDefault="00C02CB5" w:rsidP="00C02CB5">
            <w:pPr>
              <w:jc w:val="right"/>
              <w:rPr>
                <w:b/>
                <w:bCs/>
                <w:sz w:val="20"/>
                <w:szCs w:val="20"/>
              </w:rPr>
            </w:pPr>
            <w:r>
              <w:rPr>
                <w:b/>
                <w:bCs/>
                <w:sz w:val="20"/>
                <w:szCs w:val="20"/>
              </w:rPr>
              <w:t>156,105</w:t>
            </w:r>
          </w:p>
        </w:tc>
        <w:tc>
          <w:tcPr>
            <w:tcW w:w="1316" w:type="dxa"/>
            <w:tcBorders>
              <w:top w:val="single" w:sz="8" w:space="0" w:color="auto"/>
              <w:left w:val="nil"/>
              <w:bottom w:val="single" w:sz="8" w:space="0" w:color="auto"/>
              <w:right w:val="nil"/>
            </w:tcBorders>
            <w:shd w:val="clear" w:color="000000" w:fill="8DB3E2" w:themeFill="text2" w:themeFillTint="66"/>
            <w:vAlign w:val="center"/>
            <w:hideMark/>
          </w:tcPr>
          <w:p w:rsidR="00C02CB5" w:rsidRDefault="00C02CB5" w:rsidP="00C02CB5">
            <w:pPr>
              <w:jc w:val="right"/>
              <w:rPr>
                <w:b/>
                <w:bCs/>
                <w:sz w:val="20"/>
                <w:szCs w:val="20"/>
              </w:rPr>
            </w:pPr>
            <w:r>
              <w:rPr>
                <w:b/>
                <w:bCs/>
                <w:color w:val="FF0000"/>
                <w:sz w:val="20"/>
                <w:szCs w:val="20"/>
              </w:rPr>
              <w:t>(46)</w:t>
            </w:r>
          </w:p>
        </w:tc>
        <w:tc>
          <w:tcPr>
            <w:tcW w:w="1418"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C02CB5" w:rsidRDefault="00C02CB5" w:rsidP="00C02CB5">
            <w:pPr>
              <w:jc w:val="right"/>
              <w:rPr>
                <w:b/>
                <w:bCs/>
                <w:sz w:val="20"/>
                <w:szCs w:val="20"/>
              </w:rPr>
            </w:pPr>
            <w:r>
              <w:rPr>
                <w:b/>
                <w:bCs/>
                <w:color w:val="FF0000"/>
                <w:sz w:val="20"/>
                <w:szCs w:val="20"/>
              </w:rPr>
              <w:t>(319)</w:t>
            </w:r>
          </w:p>
        </w:tc>
        <w:tc>
          <w:tcPr>
            <w:tcW w:w="1420" w:type="dxa"/>
            <w:tcBorders>
              <w:top w:val="single" w:sz="8" w:space="0" w:color="auto"/>
              <w:left w:val="nil"/>
              <w:bottom w:val="single" w:sz="8" w:space="0" w:color="auto"/>
              <w:right w:val="single" w:sz="8" w:space="0" w:color="auto"/>
            </w:tcBorders>
            <w:shd w:val="clear" w:color="000000" w:fill="8DB3E2" w:themeFill="text2" w:themeFillTint="66"/>
            <w:vAlign w:val="center"/>
          </w:tcPr>
          <w:p w:rsidR="00C02CB5" w:rsidRDefault="00C02CB5" w:rsidP="00C02CB5">
            <w:pPr>
              <w:jc w:val="right"/>
              <w:rPr>
                <w:b/>
                <w:bCs/>
                <w:sz w:val="20"/>
                <w:szCs w:val="20"/>
              </w:rPr>
            </w:pPr>
            <w:r>
              <w:rPr>
                <w:b/>
                <w:bCs/>
                <w:color w:val="FF0000"/>
                <w:sz w:val="20"/>
                <w:szCs w:val="20"/>
              </w:rPr>
              <w:t>(273)</w:t>
            </w:r>
          </w:p>
        </w:tc>
        <w:tc>
          <w:tcPr>
            <w:tcW w:w="2679"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C02CB5" w:rsidRDefault="00C02CB5" w:rsidP="00C02CB5">
            <w:pPr>
              <w:jc w:val="right"/>
              <w:rPr>
                <w:b/>
                <w:bCs/>
                <w:sz w:val="20"/>
                <w:szCs w:val="20"/>
              </w:rPr>
            </w:pPr>
            <w:r>
              <w:rPr>
                <w:b/>
                <w:bCs/>
                <w:color w:val="FF0000"/>
                <w:sz w:val="20"/>
                <w:szCs w:val="20"/>
              </w:rPr>
              <w:t>(1,297)</w:t>
            </w:r>
          </w:p>
        </w:tc>
      </w:tr>
      <w:tr w:rsidR="00C02CB5" w:rsidRPr="003F1E23" w:rsidTr="003C4364">
        <w:trPr>
          <w:trHeight w:val="255"/>
          <w:jc w:val="center"/>
        </w:trPr>
        <w:tc>
          <w:tcPr>
            <w:tcW w:w="6670" w:type="dxa"/>
            <w:tcBorders>
              <w:top w:val="nil"/>
              <w:left w:val="single" w:sz="8" w:space="0" w:color="auto"/>
              <w:bottom w:val="single" w:sz="4" w:space="0" w:color="auto"/>
              <w:right w:val="single" w:sz="8" w:space="0" w:color="auto"/>
            </w:tcBorders>
            <w:shd w:val="clear" w:color="auto" w:fill="auto"/>
            <w:vAlign w:val="center"/>
            <w:hideMark/>
          </w:tcPr>
          <w:p w:rsidR="00C02CB5" w:rsidRPr="003F1E23" w:rsidRDefault="00C02CB5" w:rsidP="00C02CB5">
            <w:pPr>
              <w:jc w:val="both"/>
              <w:rPr>
                <w:color w:val="000000"/>
                <w:sz w:val="20"/>
                <w:szCs w:val="20"/>
                <w:lang w:val="en-US"/>
              </w:rPr>
            </w:pPr>
            <w:r w:rsidRPr="003F1E23">
              <w:rPr>
                <w:color w:val="000000"/>
                <w:sz w:val="20"/>
                <w:szCs w:val="20"/>
                <w:lang w:val="en-US"/>
              </w:rPr>
              <w:t>Contracting &amp; Commissioning</w:t>
            </w:r>
          </w:p>
        </w:tc>
        <w:tc>
          <w:tcPr>
            <w:tcW w:w="1234" w:type="dxa"/>
            <w:tcBorders>
              <w:top w:val="nil"/>
              <w:left w:val="nil"/>
              <w:bottom w:val="single" w:sz="4" w:space="0" w:color="auto"/>
              <w:right w:val="single" w:sz="8" w:space="0" w:color="auto"/>
            </w:tcBorders>
            <w:shd w:val="clear" w:color="auto" w:fill="auto"/>
            <w:vAlign w:val="center"/>
            <w:hideMark/>
          </w:tcPr>
          <w:p w:rsidR="00C02CB5" w:rsidRDefault="00C02CB5" w:rsidP="00C02CB5">
            <w:pPr>
              <w:jc w:val="right"/>
              <w:rPr>
                <w:sz w:val="20"/>
                <w:szCs w:val="20"/>
              </w:rPr>
            </w:pPr>
            <w:r>
              <w:rPr>
                <w:sz w:val="20"/>
                <w:szCs w:val="20"/>
              </w:rPr>
              <w:t>0</w:t>
            </w:r>
          </w:p>
        </w:tc>
        <w:tc>
          <w:tcPr>
            <w:tcW w:w="1316" w:type="dxa"/>
            <w:tcBorders>
              <w:top w:val="nil"/>
              <w:left w:val="nil"/>
              <w:bottom w:val="single" w:sz="4" w:space="0" w:color="auto"/>
              <w:right w:val="nil"/>
            </w:tcBorders>
            <w:shd w:val="clear" w:color="auto" w:fill="auto"/>
            <w:vAlign w:val="center"/>
            <w:hideMark/>
          </w:tcPr>
          <w:p w:rsidR="00C02CB5" w:rsidRDefault="00C02CB5" w:rsidP="00C02CB5">
            <w:pPr>
              <w:jc w:val="right"/>
              <w:rPr>
                <w:sz w:val="20"/>
                <w:szCs w:val="20"/>
              </w:rPr>
            </w:pPr>
            <w:r>
              <w:rPr>
                <w:sz w:val="20"/>
                <w:szCs w:val="20"/>
              </w:rPr>
              <w:t>0</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C02CB5" w:rsidRDefault="00C02CB5" w:rsidP="00C02CB5">
            <w:pPr>
              <w:jc w:val="right"/>
              <w:rPr>
                <w:sz w:val="20"/>
                <w:szCs w:val="20"/>
              </w:rPr>
            </w:pPr>
            <w:r>
              <w:rPr>
                <w:sz w:val="20"/>
                <w:szCs w:val="20"/>
              </w:rPr>
              <w:t>0</w:t>
            </w:r>
          </w:p>
        </w:tc>
        <w:tc>
          <w:tcPr>
            <w:tcW w:w="1420" w:type="dxa"/>
            <w:tcBorders>
              <w:top w:val="nil"/>
              <w:left w:val="nil"/>
              <w:bottom w:val="single" w:sz="4" w:space="0" w:color="auto"/>
              <w:right w:val="single" w:sz="8" w:space="0" w:color="auto"/>
            </w:tcBorders>
            <w:shd w:val="clear" w:color="auto" w:fill="auto"/>
            <w:vAlign w:val="center"/>
          </w:tcPr>
          <w:p w:rsidR="00C02CB5" w:rsidRDefault="00C02CB5" w:rsidP="00C02CB5">
            <w:pPr>
              <w:jc w:val="right"/>
              <w:rPr>
                <w:sz w:val="20"/>
                <w:szCs w:val="20"/>
              </w:rPr>
            </w:pPr>
            <w:r>
              <w:rPr>
                <w:sz w:val="20"/>
                <w:szCs w:val="20"/>
              </w:rPr>
              <w:t>0</w:t>
            </w:r>
          </w:p>
        </w:tc>
        <w:tc>
          <w:tcPr>
            <w:tcW w:w="2679" w:type="dxa"/>
            <w:tcBorders>
              <w:top w:val="nil"/>
              <w:left w:val="single" w:sz="4" w:space="0" w:color="auto"/>
              <w:bottom w:val="single" w:sz="4" w:space="0" w:color="auto"/>
              <w:right w:val="single" w:sz="4" w:space="0" w:color="auto"/>
            </w:tcBorders>
            <w:shd w:val="clear" w:color="auto" w:fill="auto"/>
            <w:vAlign w:val="center"/>
            <w:hideMark/>
          </w:tcPr>
          <w:p w:rsidR="00C02CB5" w:rsidRDefault="00C02CB5" w:rsidP="00C02CB5">
            <w:pPr>
              <w:jc w:val="right"/>
              <w:rPr>
                <w:sz w:val="20"/>
                <w:szCs w:val="20"/>
              </w:rPr>
            </w:pPr>
            <w:r>
              <w:rPr>
                <w:sz w:val="20"/>
                <w:szCs w:val="20"/>
              </w:rPr>
              <w:t>0</w:t>
            </w:r>
          </w:p>
        </w:tc>
      </w:tr>
      <w:tr w:rsidR="00C02CB5" w:rsidRPr="003F1E23" w:rsidTr="003C4364">
        <w:trPr>
          <w:trHeight w:val="270"/>
          <w:jc w:val="center"/>
        </w:trPr>
        <w:tc>
          <w:tcPr>
            <w:tcW w:w="6670" w:type="dxa"/>
            <w:tcBorders>
              <w:top w:val="nil"/>
              <w:left w:val="single" w:sz="8" w:space="0" w:color="auto"/>
              <w:bottom w:val="single" w:sz="8" w:space="0" w:color="auto"/>
              <w:right w:val="single" w:sz="8" w:space="0" w:color="auto"/>
            </w:tcBorders>
            <w:shd w:val="clear" w:color="auto" w:fill="auto"/>
            <w:vAlign w:val="center"/>
            <w:hideMark/>
          </w:tcPr>
          <w:p w:rsidR="00C02CB5" w:rsidRPr="003F1E23" w:rsidRDefault="00C02CB5" w:rsidP="00C02CB5">
            <w:pPr>
              <w:jc w:val="both"/>
              <w:rPr>
                <w:color w:val="000000"/>
                <w:sz w:val="20"/>
                <w:szCs w:val="20"/>
                <w:lang w:val="en-US"/>
              </w:rPr>
            </w:pPr>
            <w:r w:rsidRPr="003F1E23">
              <w:rPr>
                <w:color w:val="000000"/>
                <w:sz w:val="20"/>
                <w:szCs w:val="20"/>
                <w:lang w:val="en-US"/>
              </w:rPr>
              <w:t>Corporate Functions</w:t>
            </w:r>
          </w:p>
        </w:tc>
        <w:tc>
          <w:tcPr>
            <w:tcW w:w="1234" w:type="dxa"/>
            <w:tcBorders>
              <w:top w:val="nil"/>
              <w:left w:val="nil"/>
              <w:bottom w:val="single" w:sz="8" w:space="0" w:color="auto"/>
              <w:right w:val="single" w:sz="8" w:space="0" w:color="auto"/>
            </w:tcBorders>
            <w:shd w:val="clear" w:color="auto" w:fill="auto"/>
            <w:vAlign w:val="center"/>
            <w:hideMark/>
          </w:tcPr>
          <w:p w:rsidR="00C02CB5" w:rsidRDefault="00C02CB5" w:rsidP="00C02CB5">
            <w:pPr>
              <w:jc w:val="right"/>
              <w:rPr>
                <w:sz w:val="20"/>
                <w:szCs w:val="20"/>
              </w:rPr>
            </w:pPr>
            <w:r>
              <w:rPr>
                <w:sz w:val="20"/>
                <w:szCs w:val="20"/>
              </w:rPr>
              <w:t>38,298</w:t>
            </w:r>
          </w:p>
        </w:tc>
        <w:tc>
          <w:tcPr>
            <w:tcW w:w="1316" w:type="dxa"/>
            <w:tcBorders>
              <w:top w:val="nil"/>
              <w:left w:val="nil"/>
              <w:bottom w:val="single" w:sz="8" w:space="0" w:color="auto"/>
              <w:right w:val="nil"/>
            </w:tcBorders>
            <w:shd w:val="clear" w:color="auto" w:fill="auto"/>
            <w:vAlign w:val="center"/>
            <w:hideMark/>
          </w:tcPr>
          <w:p w:rsidR="00C02CB5" w:rsidRDefault="00C02CB5" w:rsidP="00C02CB5">
            <w:pPr>
              <w:jc w:val="right"/>
              <w:rPr>
                <w:sz w:val="20"/>
                <w:szCs w:val="20"/>
              </w:rPr>
            </w:pPr>
            <w:r>
              <w:rPr>
                <w:color w:val="FF0000"/>
                <w:sz w:val="20"/>
                <w:szCs w:val="20"/>
              </w:rPr>
              <w:t>(111)</w:t>
            </w:r>
          </w:p>
        </w:tc>
        <w:tc>
          <w:tcPr>
            <w:tcW w:w="1418" w:type="dxa"/>
            <w:tcBorders>
              <w:top w:val="nil"/>
              <w:left w:val="single" w:sz="4" w:space="0" w:color="auto"/>
              <w:bottom w:val="single" w:sz="8" w:space="0" w:color="auto"/>
              <w:right w:val="single" w:sz="4" w:space="0" w:color="auto"/>
            </w:tcBorders>
            <w:shd w:val="clear" w:color="auto" w:fill="auto"/>
            <w:vAlign w:val="center"/>
            <w:hideMark/>
          </w:tcPr>
          <w:p w:rsidR="00C02CB5" w:rsidRDefault="00C02CB5" w:rsidP="00C02CB5">
            <w:pPr>
              <w:jc w:val="right"/>
              <w:rPr>
                <w:sz w:val="20"/>
                <w:szCs w:val="20"/>
              </w:rPr>
            </w:pPr>
            <w:r>
              <w:rPr>
                <w:color w:val="FF0000"/>
                <w:sz w:val="20"/>
                <w:szCs w:val="20"/>
              </w:rPr>
              <w:t>(82)</w:t>
            </w:r>
          </w:p>
        </w:tc>
        <w:tc>
          <w:tcPr>
            <w:tcW w:w="1420" w:type="dxa"/>
            <w:tcBorders>
              <w:top w:val="nil"/>
              <w:left w:val="nil"/>
              <w:bottom w:val="single" w:sz="8" w:space="0" w:color="auto"/>
              <w:right w:val="single" w:sz="8" w:space="0" w:color="auto"/>
            </w:tcBorders>
            <w:shd w:val="clear" w:color="auto" w:fill="auto"/>
            <w:vAlign w:val="center"/>
          </w:tcPr>
          <w:p w:rsidR="00C02CB5" w:rsidRDefault="00C02CB5" w:rsidP="00C02CB5">
            <w:pPr>
              <w:jc w:val="right"/>
              <w:rPr>
                <w:sz w:val="20"/>
                <w:szCs w:val="20"/>
              </w:rPr>
            </w:pPr>
            <w:r>
              <w:rPr>
                <w:sz w:val="20"/>
                <w:szCs w:val="20"/>
              </w:rPr>
              <w:t>29</w:t>
            </w:r>
          </w:p>
        </w:tc>
        <w:tc>
          <w:tcPr>
            <w:tcW w:w="2679" w:type="dxa"/>
            <w:tcBorders>
              <w:top w:val="nil"/>
              <w:left w:val="single" w:sz="4" w:space="0" w:color="auto"/>
              <w:bottom w:val="single" w:sz="8" w:space="0" w:color="auto"/>
              <w:right w:val="single" w:sz="4" w:space="0" w:color="auto"/>
            </w:tcBorders>
            <w:shd w:val="clear" w:color="auto" w:fill="auto"/>
            <w:vAlign w:val="center"/>
            <w:hideMark/>
          </w:tcPr>
          <w:p w:rsidR="00C02CB5" w:rsidRDefault="00C02CB5" w:rsidP="00C02CB5">
            <w:pPr>
              <w:jc w:val="right"/>
              <w:rPr>
                <w:sz w:val="20"/>
                <w:szCs w:val="20"/>
              </w:rPr>
            </w:pPr>
            <w:r>
              <w:rPr>
                <w:color w:val="FF0000"/>
                <w:sz w:val="20"/>
                <w:szCs w:val="20"/>
              </w:rPr>
              <w:t>(932)</w:t>
            </w:r>
          </w:p>
        </w:tc>
      </w:tr>
      <w:tr w:rsidR="00C02CB5" w:rsidRPr="003F1E23" w:rsidTr="003C4364">
        <w:trPr>
          <w:trHeight w:val="270"/>
          <w:jc w:val="center"/>
        </w:trPr>
        <w:tc>
          <w:tcPr>
            <w:tcW w:w="6670" w:type="dxa"/>
            <w:tcBorders>
              <w:top w:val="single" w:sz="8" w:space="0" w:color="auto"/>
              <w:left w:val="single" w:sz="8" w:space="0" w:color="auto"/>
              <w:bottom w:val="single" w:sz="8" w:space="0" w:color="auto"/>
              <w:right w:val="single" w:sz="8" w:space="0" w:color="auto"/>
            </w:tcBorders>
            <w:shd w:val="clear" w:color="000000" w:fill="8DB3E2" w:themeFill="text2" w:themeFillTint="66"/>
            <w:vAlign w:val="center"/>
            <w:hideMark/>
          </w:tcPr>
          <w:p w:rsidR="00C02CB5" w:rsidRPr="003F1E23" w:rsidRDefault="00C02CB5" w:rsidP="00C02CB5">
            <w:pPr>
              <w:jc w:val="right"/>
              <w:rPr>
                <w:b/>
                <w:bCs/>
                <w:color w:val="000000"/>
                <w:sz w:val="20"/>
                <w:szCs w:val="20"/>
                <w:lang w:val="en-US"/>
              </w:rPr>
            </w:pPr>
            <w:r w:rsidRPr="003F1E23">
              <w:rPr>
                <w:b/>
                <w:bCs/>
                <w:color w:val="000000"/>
                <w:sz w:val="20"/>
                <w:szCs w:val="20"/>
                <w:lang w:val="en-US"/>
              </w:rPr>
              <w:t>GRAND TOTAL</w:t>
            </w:r>
          </w:p>
        </w:tc>
        <w:tc>
          <w:tcPr>
            <w:tcW w:w="1234" w:type="dxa"/>
            <w:tcBorders>
              <w:top w:val="single" w:sz="8" w:space="0" w:color="auto"/>
              <w:left w:val="nil"/>
              <w:bottom w:val="single" w:sz="8" w:space="0" w:color="auto"/>
              <w:right w:val="single" w:sz="8" w:space="0" w:color="auto"/>
            </w:tcBorders>
            <w:shd w:val="clear" w:color="000000" w:fill="8DB3E2" w:themeFill="text2" w:themeFillTint="66"/>
            <w:vAlign w:val="center"/>
            <w:hideMark/>
          </w:tcPr>
          <w:p w:rsidR="00C02CB5" w:rsidRDefault="00C02CB5" w:rsidP="00C02CB5">
            <w:pPr>
              <w:jc w:val="right"/>
              <w:rPr>
                <w:b/>
                <w:bCs/>
                <w:sz w:val="20"/>
                <w:szCs w:val="20"/>
              </w:rPr>
            </w:pPr>
            <w:r>
              <w:rPr>
                <w:b/>
                <w:bCs/>
                <w:sz w:val="20"/>
                <w:szCs w:val="20"/>
              </w:rPr>
              <w:t>522,737</w:t>
            </w:r>
          </w:p>
        </w:tc>
        <w:tc>
          <w:tcPr>
            <w:tcW w:w="1316" w:type="dxa"/>
            <w:tcBorders>
              <w:top w:val="single" w:sz="8" w:space="0" w:color="auto"/>
              <w:left w:val="nil"/>
              <w:bottom w:val="single" w:sz="8" w:space="0" w:color="auto"/>
              <w:right w:val="nil"/>
            </w:tcBorders>
            <w:shd w:val="clear" w:color="000000" w:fill="8DB3E2" w:themeFill="text2" w:themeFillTint="66"/>
            <w:vAlign w:val="center"/>
            <w:hideMark/>
          </w:tcPr>
          <w:p w:rsidR="00C02CB5" w:rsidRDefault="00C02CB5" w:rsidP="00C02CB5">
            <w:pPr>
              <w:jc w:val="right"/>
              <w:rPr>
                <w:b/>
                <w:bCs/>
                <w:sz w:val="20"/>
                <w:szCs w:val="20"/>
              </w:rPr>
            </w:pPr>
            <w:r>
              <w:rPr>
                <w:b/>
                <w:bCs/>
                <w:sz w:val="20"/>
                <w:szCs w:val="20"/>
              </w:rPr>
              <w:t>452</w:t>
            </w:r>
          </w:p>
        </w:tc>
        <w:tc>
          <w:tcPr>
            <w:tcW w:w="1418"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C02CB5" w:rsidRDefault="00C02CB5" w:rsidP="00C02CB5">
            <w:pPr>
              <w:jc w:val="right"/>
              <w:rPr>
                <w:b/>
                <w:bCs/>
                <w:sz w:val="20"/>
                <w:szCs w:val="20"/>
              </w:rPr>
            </w:pPr>
            <w:r>
              <w:rPr>
                <w:b/>
                <w:bCs/>
                <w:sz w:val="20"/>
                <w:szCs w:val="20"/>
              </w:rPr>
              <w:t>458</w:t>
            </w:r>
          </w:p>
        </w:tc>
        <w:tc>
          <w:tcPr>
            <w:tcW w:w="1420" w:type="dxa"/>
            <w:tcBorders>
              <w:top w:val="single" w:sz="8" w:space="0" w:color="auto"/>
              <w:left w:val="nil"/>
              <w:bottom w:val="single" w:sz="8" w:space="0" w:color="auto"/>
              <w:right w:val="single" w:sz="8" w:space="0" w:color="auto"/>
            </w:tcBorders>
            <w:shd w:val="clear" w:color="000000" w:fill="8DB3E2" w:themeFill="text2" w:themeFillTint="66"/>
            <w:vAlign w:val="center"/>
          </w:tcPr>
          <w:p w:rsidR="00C02CB5" w:rsidRDefault="00C02CB5" w:rsidP="00C02CB5">
            <w:pPr>
              <w:jc w:val="right"/>
              <w:rPr>
                <w:b/>
                <w:bCs/>
                <w:sz w:val="20"/>
                <w:szCs w:val="20"/>
              </w:rPr>
            </w:pPr>
            <w:r>
              <w:rPr>
                <w:b/>
                <w:bCs/>
                <w:sz w:val="20"/>
                <w:szCs w:val="20"/>
              </w:rPr>
              <w:t>6</w:t>
            </w:r>
          </w:p>
        </w:tc>
        <w:tc>
          <w:tcPr>
            <w:tcW w:w="2679"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C02CB5" w:rsidRDefault="00C02CB5" w:rsidP="00C02CB5">
            <w:pPr>
              <w:jc w:val="right"/>
              <w:rPr>
                <w:b/>
                <w:bCs/>
                <w:sz w:val="20"/>
                <w:szCs w:val="20"/>
              </w:rPr>
            </w:pPr>
            <w:r>
              <w:rPr>
                <w:b/>
                <w:bCs/>
                <w:sz w:val="20"/>
                <w:szCs w:val="20"/>
              </w:rPr>
              <w:t>5,457</w:t>
            </w:r>
          </w:p>
        </w:tc>
      </w:tr>
    </w:tbl>
    <w:p w:rsidR="0054713E" w:rsidRDefault="0054713E" w:rsidP="0054713E">
      <w:pPr>
        <w:pStyle w:val="ListParagraph"/>
        <w:ind w:left="426"/>
        <w:jc w:val="both"/>
        <w:rPr>
          <w:sz w:val="20"/>
          <w:szCs w:val="20"/>
        </w:rPr>
      </w:pPr>
    </w:p>
    <w:p w:rsidR="0054713E" w:rsidRDefault="0054713E" w:rsidP="0054713E">
      <w:pPr>
        <w:pStyle w:val="ListParagraph"/>
        <w:ind w:left="426"/>
        <w:jc w:val="both"/>
        <w:rPr>
          <w:sz w:val="20"/>
          <w:szCs w:val="20"/>
        </w:rPr>
      </w:pPr>
      <w:r w:rsidRPr="003F1E23">
        <w:rPr>
          <w:noProof/>
          <w:lang w:eastAsia="en-GB"/>
        </w:rPr>
        <mc:AlternateContent>
          <mc:Choice Requires="wps">
            <w:drawing>
              <wp:inline distT="0" distB="0" distL="0" distR="0" wp14:anchorId="24610BC6" wp14:editId="3A0D7D80">
                <wp:extent cx="9490157" cy="1944806"/>
                <wp:effectExtent l="0" t="0" r="15875" b="17780"/>
                <wp:docPr id="32"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9490157" cy="1944806"/>
                        </a:xfrm>
                        <a:prstGeom prst="rect">
                          <a:avLst/>
                        </a:prstGeom>
                        <a:solidFill>
                          <a:srgbClr val="FFFFFF"/>
                        </a:solidFill>
                        <a:ln w="19050">
                          <a:solidFill>
                            <a:srgbClr val="8EB4E3"/>
                          </a:solidFill>
                          <a:miter lim="800000"/>
                          <a:headEnd/>
                          <a:tailEnd/>
                        </a:ln>
                      </wps:spPr>
                      <wps:txbx>
                        <w:txbxContent>
                          <w:p w:rsidR="00F66189" w:rsidRPr="00F43046" w:rsidRDefault="00F66189" w:rsidP="0054713E">
                            <w:pPr>
                              <w:pStyle w:val="ListParagraph"/>
                              <w:ind w:left="0"/>
                              <w:jc w:val="both"/>
                              <w:rPr>
                                <w:b/>
                                <w:sz w:val="16"/>
                                <w:szCs w:val="16"/>
                              </w:rPr>
                            </w:pPr>
                            <w:r w:rsidRPr="00F43046">
                              <w:rPr>
                                <w:b/>
                                <w:sz w:val="16"/>
                                <w:szCs w:val="16"/>
                              </w:rPr>
                              <w:t>Key Issues</w:t>
                            </w:r>
                          </w:p>
                          <w:p w:rsidR="00F66189" w:rsidRPr="00F43046" w:rsidRDefault="00F66189" w:rsidP="00593E3F">
                            <w:pPr>
                              <w:rPr>
                                <w:rFonts w:cs="Tahoma"/>
                                <w:bCs/>
                                <w:sz w:val="18"/>
                                <w:szCs w:val="18"/>
                              </w:rPr>
                            </w:pPr>
                            <w:r w:rsidRPr="00F43046">
                              <w:rPr>
                                <w:rFonts w:cs="Tahoma"/>
                                <w:bCs/>
                                <w:sz w:val="18"/>
                                <w:szCs w:val="18"/>
                              </w:rPr>
                              <w:t>The most significant overspends within the M11 YTD Pay overspend of £5.5m are as follows:</w:t>
                            </w:r>
                          </w:p>
                          <w:p w:rsidR="00F66189" w:rsidRPr="00F43046" w:rsidRDefault="00F66189" w:rsidP="00C02CB5">
                            <w:pPr>
                              <w:pStyle w:val="ListParagraph"/>
                              <w:numPr>
                                <w:ilvl w:val="1"/>
                                <w:numId w:val="12"/>
                              </w:numPr>
                              <w:rPr>
                                <w:rFonts w:cs="Tahoma"/>
                                <w:bCs/>
                                <w:sz w:val="18"/>
                                <w:szCs w:val="18"/>
                              </w:rPr>
                            </w:pPr>
                            <w:r w:rsidRPr="00F43046">
                              <w:rPr>
                                <w:rFonts w:cs="Tahoma"/>
                                <w:bCs/>
                                <w:sz w:val="18"/>
                                <w:szCs w:val="18"/>
                              </w:rPr>
                              <w:t>Acute Medicine and A&amp;E £1.8m (Additional clinical services £1.5m, Nursing &amp; Midwifery £0.2m and A&amp;C £0.2m)</w:t>
                            </w:r>
                          </w:p>
                          <w:p w:rsidR="00F66189" w:rsidRPr="00F43046" w:rsidRDefault="00F66189" w:rsidP="00C02CB5">
                            <w:pPr>
                              <w:pStyle w:val="ListParagraph"/>
                              <w:numPr>
                                <w:ilvl w:val="1"/>
                                <w:numId w:val="12"/>
                              </w:numPr>
                              <w:rPr>
                                <w:rFonts w:cs="Tahoma"/>
                                <w:bCs/>
                                <w:sz w:val="18"/>
                                <w:szCs w:val="18"/>
                              </w:rPr>
                            </w:pPr>
                            <w:r w:rsidRPr="00F43046">
                              <w:rPr>
                                <w:rFonts w:cs="Tahoma"/>
                                <w:bCs/>
                                <w:sz w:val="18"/>
                                <w:szCs w:val="18"/>
                              </w:rPr>
                              <w:t>ACT £0.3m (Nursing &amp; midwifery £0.2m and Additional clinical services £0.1m)</w:t>
                            </w:r>
                          </w:p>
                          <w:p w:rsidR="00F66189" w:rsidRPr="00F43046" w:rsidRDefault="00F66189" w:rsidP="00C02CB5">
                            <w:pPr>
                              <w:pStyle w:val="ListParagraph"/>
                              <w:numPr>
                                <w:ilvl w:val="1"/>
                                <w:numId w:val="12"/>
                              </w:numPr>
                              <w:rPr>
                                <w:rFonts w:cs="Tahoma"/>
                                <w:bCs/>
                                <w:sz w:val="18"/>
                                <w:szCs w:val="18"/>
                              </w:rPr>
                            </w:pPr>
                            <w:r w:rsidRPr="00F43046">
                              <w:rPr>
                                <w:rFonts w:cs="Tahoma"/>
                                <w:bCs/>
                                <w:sz w:val="18"/>
                                <w:szCs w:val="18"/>
                              </w:rPr>
                              <w:t>O&amp;G - £0.3m (Medical £0.1m, Nursing &amp; Midwifery £0.1m)</w:t>
                            </w:r>
                          </w:p>
                          <w:p w:rsidR="00F66189" w:rsidRPr="00F43046" w:rsidRDefault="00F66189" w:rsidP="00C02CB5">
                            <w:pPr>
                              <w:pStyle w:val="ListParagraph"/>
                              <w:numPr>
                                <w:ilvl w:val="1"/>
                                <w:numId w:val="12"/>
                              </w:numPr>
                              <w:rPr>
                                <w:rFonts w:cs="Tahoma"/>
                                <w:bCs/>
                                <w:sz w:val="18"/>
                                <w:szCs w:val="18"/>
                              </w:rPr>
                            </w:pPr>
                            <w:r w:rsidRPr="00F43046">
                              <w:rPr>
                                <w:rFonts w:cs="Tahoma"/>
                                <w:bCs/>
                                <w:sz w:val="18"/>
                                <w:szCs w:val="18"/>
                              </w:rPr>
                              <w:t>POW Delivery Unit £4.8m (Medical £2.5m, Additional clinical services £1.8m and Nursing &amp; Midwifery £1.0m)</w:t>
                            </w:r>
                          </w:p>
                          <w:p w:rsidR="00F66189" w:rsidRPr="00F43046" w:rsidRDefault="00F66189" w:rsidP="00C02CB5">
                            <w:pPr>
                              <w:pStyle w:val="ListParagraph"/>
                              <w:numPr>
                                <w:ilvl w:val="1"/>
                                <w:numId w:val="12"/>
                              </w:numPr>
                              <w:rPr>
                                <w:rFonts w:cs="Tahoma"/>
                                <w:bCs/>
                                <w:sz w:val="18"/>
                                <w:szCs w:val="18"/>
                              </w:rPr>
                            </w:pPr>
                            <w:r w:rsidRPr="00F43046">
                              <w:rPr>
                                <w:rFonts w:cs="Tahoma"/>
                                <w:bCs/>
                                <w:sz w:val="18"/>
                                <w:szCs w:val="18"/>
                              </w:rPr>
                              <w:t>Pathology £1.0m (Medical £0.6m and Healthcare Scientists £0.3m )</w:t>
                            </w:r>
                          </w:p>
                          <w:p w:rsidR="00F66189" w:rsidRPr="00F43046" w:rsidRDefault="00F66189" w:rsidP="00C02CB5">
                            <w:pPr>
                              <w:pStyle w:val="ListParagraph"/>
                              <w:numPr>
                                <w:ilvl w:val="1"/>
                                <w:numId w:val="12"/>
                              </w:numPr>
                              <w:rPr>
                                <w:rFonts w:cs="Tahoma"/>
                                <w:bCs/>
                                <w:sz w:val="18"/>
                                <w:szCs w:val="18"/>
                              </w:rPr>
                            </w:pPr>
                            <w:r w:rsidRPr="00F43046">
                              <w:rPr>
                                <w:rFonts w:cs="Tahoma"/>
                                <w:bCs/>
                                <w:sz w:val="18"/>
                                <w:szCs w:val="18"/>
                              </w:rPr>
                              <w:t>CAMHs £0.6m (Admin &amp; Clerical £0.3m and Additional clinical services £0.2m)</w:t>
                            </w:r>
                          </w:p>
                          <w:p w:rsidR="00F66189" w:rsidRPr="00F43046" w:rsidRDefault="00F66189" w:rsidP="00C02CB5">
                            <w:pPr>
                              <w:pStyle w:val="ListParagraph"/>
                              <w:numPr>
                                <w:ilvl w:val="1"/>
                                <w:numId w:val="12"/>
                              </w:numPr>
                              <w:rPr>
                                <w:rFonts w:cs="Tahoma"/>
                                <w:bCs/>
                                <w:sz w:val="18"/>
                                <w:szCs w:val="18"/>
                              </w:rPr>
                            </w:pPr>
                            <w:r w:rsidRPr="00F43046">
                              <w:rPr>
                                <w:rFonts w:cs="Tahoma"/>
                                <w:bCs/>
                                <w:sz w:val="18"/>
                                <w:szCs w:val="18"/>
                              </w:rPr>
                              <w:t>CYP £0.4m (Medical £0.4m)</w:t>
                            </w:r>
                          </w:p>
                          <w:p w:rsidR="00F66189" w:rsidRPr="00F43046" w:rsidRDefault="00F66189" w:rsidP="00C02CB5">
                            <w:pPr>
                              <w:pStyle w:val="ListParagraph"/>
                              <w:numPr>
                                <w:ilvl w:val="1"/>
                                <w:numId w:val="12"/>
                              </w:numPr>
                              <w:rPr>
                                <w:rFonts w:cs="Tahoma"/>
                                <w:bCs/>
                                <w:sz w:val="18"/>
                                <w:szCs w:val="18"/>
                              </w:rPr>
                            </w:pPr>
                            <w:r w:rsidRPr="00F43046">
                              <w:rPr>
                                <w:rFonts w:cs="Tahoma"/>
                                <w:bCs/>
                                <w:sz w:val="18"/>
                                <w:szCs w:val="18"/>
                              </w:rPr>
                              <w:t>ICT £0.2m (Admin &amp; clerical £0.2m)</w:t>
                            </w:r>
                          </w:p>
                          <w:p w:rsidR="00F66189" w:rsidRDefault="00F66189" w:rsidP="009625A5">
                            <w:pPr>
                              <w:rPr>
                                <w:rFonts w:cs="Tahoma"/>
                                <w:bCs/>
                                <w:sz w:val="18"/>
                                <w:szCs w:val="18"/>
                              </w:rPr>
                            </w:pPr>
                            <w:r w:rsidRPr="00F43046">
                              <w:rPr>
                                <w:rFonts w:cs="Tahoma"/>
                                <w:bCs/>
                                <w:sz w:val="18"/>
                                <w:szCs w:val="18"/>
                              </w:rPr>
                              <w:t xml:space="preserve">The most significant movements </w:t>
                            </w:r>
                            <w:r>
                              <w:rPr>
                                <w:rFonts w:cs="Tahoma"/>
                                <w:bCs/>
                                <w:sz w:val="18"/>
                                <w:szCs w:val="18"/>
                              </w:rPr>
                              <w:t xml:space="preserve">between M10 and M1 </w:t>
                            </w:r>
                            <w:r w:rsidRPr="00F43046">
                              <w:rPr>
                                <w:rFonts w:cs="Tahoma"/>
                                <w:bCs/>
                                <w:sz w:val="18"/>
                                <w:szCs w:val="18"/>
                              </w:rPr>
                              <w:t>are in the following areas:</w:t>
                            </w:r>
                          </w:p>
                          <w:p w:rsidR="00F66189" w:rsidRPr="00F43046" w:rsidRDefault="00F66189" w:rsidP="00F43046">
                            <w:pPr>
                              <w:pStyle w:val="ListParagraph"/>
                              <w:numPr>
                                <w:ilvl w:val="1"/>
                                <w:numId w:val="12"/>
                              </w:numPr>
                              <w:rPr>
                                <w:rFonts w:cs="Tahoma"/>
                                <w:bCs/>
                                <w:sz w:val="18"/>
                                <w:szCs w:val="18"/>
                              </w:rPr>
                            </w:pPr>
                            <w:r w:rsidRPr="00F43046">
                              <w:rPr>
                                <w:rFonts w:cs="Tahoma"/>
                                <w:bCs/>
                                <w:sz w:val="18"/>
                                <w:szCs w:val="18"/>
                              </w:rPr>
                              <w:t xml:space="preserve">Clinical support £0.2m </w:t>
                            </w:r>
                          </w:p>
                          <w:p w:rsidR="00F66189" w:rsidRPr="00F43046" w:rsidRDefault="00F66189" w:rsidP="00F43046">
                            <w:pPr>
                              <w:pStyle w:val="ListParagraph"/>
                              <w:numPr>
                                <w:ilvl w:val="1"/>
                                <w:numId w:val="12"/>
                              </w:numPr>
                              <w:rPr>
                                <w:rFonts w:cs="Tahoma"/>
                                <w:bCs/>
                                <w:sz w:val="18"/>
                                <w:szCs w:val="18"/>
                              </w:rPr>
                            </w:pPr>
                            <w:r>
                              <w:rPr>
                                <w:rFonts w:cs="Tahoma"/>
                                <w:bCs/>
                                <w:sz w:val="18"/>
                                <w:szCs w:val="18"/>
                              </w:rPr>
                              <w:t>Primary &amp; Community £(0.3)m</w:t>
                            </w:r>
                          </w:p>
                          <w:p w:rsidR="00F66189" w:rsidRPr="00F43046" w:rsidRDefault="00F66189" w:rsidP="009625A5">
                            <w:pPr>
                              <w:rPr>
                                <w:rFonts w:cs="Tahoma"/>
                                <w:bCs/>
                                <w:sz w:val="18"/>
                                <w:szCs w:val="18"/>
                              </w:rPr>
                            </w:pPr>
                          </w:p>
                          <w:p w:rsidR="00F66189" w:rsidRPr="00680D90" w:rsidRDefault="00F66189" w:rsidP="00680D90">
                            <w:pPr>
                              <w:rPr>
                                <w:rFonts w:cs="Tahoma"/>
                                <w:bCs/>
                                <w:sz w:val="22"/>
                                <w:szCs w:val="22"/>
                              </w:rPr>
                            </w:pPr>
                          </w:p>
                        </w:txbxContent>
                      </wps:txbx>
                      <wps:bodyPr rot="0" vert="horz" wrap="square" lIns="91440" tIns="45720" rIns="91440" bIns="45720" anchor="t" anchorCtr="0" upright="1">
                        <a:noAutofit/>
                      </wps:bodyPr>
                    </wps:wsp>
                  </a:graphicData>
                </a:graphic>
              </wp:inline>
            </w:drawing>
          </mc:Choice>
          <mc:Fallback>
            <w:pict>
              <v:shape w14:anchorId="24610BC6" id="Text Box 11" o:spid="_x0000_s1033" type="#_x0000_t202" style="width:747.25pt;height:153.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" strokecolor="#8eb4e3" strokeweight="1.5pt">
                <v:path arrowok="t"/>
                <v:textbox>
                  <w:txbxContent>
                    <w:p w:rsidR="00F66189" w:rsidRPr="00F43046" w:rsidRDefault="00F66189" w:rsidP="0054713E">
                      <w:pPr>
                        <w:pStyle w:val="ListParagraph"/>
                        <w:ind w:left="0"/>
                        <w:jc w:val="both"/>
                        <w:rPr>
                          <w:b/>
                          <w:sz w:val="16"/>
                          <w:szCs w:val="16"/>
                        </w:rPr>
                      </w:pPr>
                      <w:r w:rsidRPr="00F43046">
                        <w:rPr>
                          <w:b/>
                          <w:sz w:val="16"/>
                          <w:szCs w:val="16"/>
                        </w:rPr>
                        <w:t>Key Issues</w:t>
                      </w:r>
                    </w:p>
                    <w:p w:rsidR="00F66189" w:rsidRPr="00F43046" w:rsidRDefault="00F66189" w:rsidP="00593E3F">
                      <w:pPr>
                        <w:rPr>
                          <w:rFonts w:cs="Tahoma"/>
                          <w:bCs/>
                          <w:sz w:val="18"/>
                          <w:szCs w:val="18"/>
                        </w:rPr>
                      </w:pPr>
                      <w:r w:rsidRPr="00F43046">
                        <w:rPr>
                          <w:rFonts w:cs="Tahoma"/>
                          <w:bCs/>
                          <w:sz w:val="18"/>
                          <w:szCs w:val="18"/>
                        </w:rPr>
                        <w:t>The most significant overspends within the M11 YTD Pay overspend of £5.5m are as follows:</w:t>
                      </w:r>
                    </w:p>
                    <w:p w:rsidR="00F66189" w:rsidRPr="00F43046" w:rsidRDefault="00F66189" w:rsidP="00C02CB5">
                      <w:pPr>
                        <w:pStyle w:val="ListParagraph"/>
                        <w:numPr>
                          <w:ilvl w:val="1"/>
                          <w:numId w:val="12"/>
                        </w:numPr>
                        <w:rPr>
                          <w:rFonts w:cs="Tahoma"/>
                          <w:bCs/>
                          <w:sz w:val="18"/>
                          <w:szCs w:val="18"/>
                        </w:rPr>
                      </w:pPr>
                      <w:r w:rsidRPr="00F43046">
                        <w:rPr>
                          <w:rFonts w:cs="Tahoma"/>
                          <w:bCs/>
                          <w:sz w:val="18"/>
                          <w:szCs w:val="18"/>
                        </w:rPr>
                        <w:t>Acute Medicine and A&amp;E £1.8m (Additional clinical services £1.5m, Nursing &amp; Midwifery £0.2m and A&amp;C £0.2m)</w:t>
                      </w:r>
                    </w:p>
                    <w:p w:rsidR="00F66189" w:rsidRPr="00F43046" w:rsidRDefault="00F66189" w:rsidP="00C02CB5">
                      <w:pPr>
                        <w:pStyle w:val="ListParagraph"/>
                        <w:numPr>
                          <w:ilvl w:val="1"/>
                          <w:numId w:val="12"/>
                        </w:numPr>
                        <w:rPr>
                          <w:rFonts w:cs="Tahoma"/>
                          <w:bCs/>
                          <w:sz w:val="18"/>
                          <w:szCs w:val="18"/>
                        </w:rPr>
                      </w:pPr>
                      <w:r w:rsidRPr="00F43046">
                        <w:rPr>
                          <w:rFonts w:cs="Tahoma"/>
                          <w:bCs/>
                          <w:sz w:val="18"/>
                          <w:szCs w:val="18"/>
                        </w:rPr>
                        <w:t>ACT £0.3m (Nursing &amp; midwifery £0.2m and Additional clinical services £0.1m)</w:t>
                      </w:r>
                    </w:p>
                    <w:p w:rsidR="00F66189" w:rsidRPr="00F43046" w:rsidRDefault="00F66189" w:rsidP="00C02CB5">
                      <w:pPr>
                        <w:pStyle w:val="ListParagraph"/>
                        <w:numPr>
                          <w:ilvl w:val="1"/>
                          <w:numId w:val="12"/>
                        </w:numPr>
                        <w:rPr>
                          <w:rFonts w:cs="Tahoma"/>
                          <w:bCs/>
                          <w:sz w:val="18"/>
                          <w:szCs w:val="18"/>
                        </w:rPr>
                      </w:pPr>
                      <w:r w:rsidRPr="00F43046">
                        <w:rPr>
                          <w:rFonts w:cs="Tahoma"/>
                          <w:bCs/>
                          <w:sz w:val="18"/>
                          <w:szCs w:val="18"/>
                        </w:rPr>
                        <w:t>O&amp;G - £0.3m (Medical £0.1m, Nursing &amp; Midwifery £0.1m)</w:t>
                      </w:r>
                    </w:p>
                    <w:p w:rsidR="00F66189" w:rsidRPr="00F43046" w:rsidRDefault="00F66189" w:rsidP="00C02CB5">
                      <w:pPr>
                        <w:pStyle w:val="ListParagraph"/>
                        <w:numPr>
                          <w:ilvl w:val="1"/>
                          <w:numId w:val="12"/>
                        </w:numPr>
                        <w:rPr>
                          <w:rFonts w:cs="Tahoma"/>
                          <w:bCs/>
                          <w:sz w:val="18"/>
                          <w:szCs w:val="18"/>
                        </w:rPr>
                      </w:pPr>
                      <w:r w:rsidRPr="00F43046">
                        <w:rPr>
                          <w:rFonts w:cs="Tahoma"/>
                          <w:bCs/>
                          <w:sz w:val="18"/>
                          <w:szCs w:val="18"/>
                        </w:rPr>
                        <w:t>POW Delivery Unit £4.8m (Medical £2.5m, Additional clinical services £1.8m and Nursing &amp; Midwifery £1.0m)</w:t>
                      </w:r>
                    </w:p>
                    <w:p w:rsidR="00F66189" w:rsidRPr="00F43046" w:rsidRDefault="00F66189" w:rsidP="00C02CB5">
                      <w:pPr>
                        <w:pStyle w:val="ListParagraph"/>
                        <w:numPr>
                          <w:ilvl w:val="1"/>
                          <w:numId w:val="12"/>
                        </w:numPr>
                        <w:rPr>
                          <w:rFonts w:cs="Tahoma"/>
                          <w:bCs/>
                          <w:sz w:val="18"/>
                          <w:szCs w:val="18"/>
                        </w:rPr>
                      </w:pPr>
                      <w:r w:rsidRPr="00F43046">
                        <w:rPr>
                          <w:rFonts w:cs="Tahoma"/>
                          <w:bCs/>
                          <w:sz w:val="18"/>
                          <w:szCs w:val="18"/>
                        </w:rPr>
                        <w:t>Pathology £1.0m (Medical £0.6m and Healthcare Scientists £0.3m )</w:t>
                      </w:r>
                    </w:p>
                    <w:p w:rsidR="00F66189" w:rsidRPr="00F43046" w:rsidRDefault="00F66189" w:rsidP="00C02CB5">
                      <w:pPr>
                        <w:pStyle w:val="ListParagraph"/>
                        <w:numPr>
                          <w:ilvl w:val="1"/>
                          <w:numId w:val="12"/>
                        </w:numPr>
                        <w:rPr>
                          <w:rFonts w:cs="Tahoma"/>
                          <w:bCs/>
                          <w:sz w:val="18"/>
                          <w:szCs w:val="18"/>
                        </w:rPr>
                      </w:pPr>
                      <w:r w:rsidRPr="00F43046">
                        <w:rPr>
                          <w:rFonts w:cs="Tahoma"/>
                          <w:bCs/>
                          <w:sz w:val="18"/>
                          <w:szCs w:val="18"/>
                        </w:rPr>
                        <w:t>CAMHs £0.6m (Admin &amp; Clerical £0.3m and Additional clinical services £0.2m)</w:t>
                      </w:r>
                    </w:p>
                    <w:p w:rsidR="00F66189" w:rsidRPr="00F43046" w:rsidRDefault="00F66189" w:rsidP="00C02CB5">
                      <w:pPr>
                        <w:pStyle w:val="ListParagraph"/>
                        <w:numPr>
                          <w:ilvl w:val="1"/>
                          <w:numId w:val="12"/>
                        </w:numPr>
                        <w:rPr>
                          <w:rFonts w:cs="Tahoma"/>
                          <w:bCs/>
                          <w:sz w:val="18"/>
                          <w:szCs w:val="18"/>
                        </w:rPr>
                      </w:pPr>
                      <w:r w:rsidRPr="00F43046">
                        <w:rPr>
                          <w:rFonts w:cs="Tahoma"/>
                          <w:bCs/>
                          <w:sz w:val="18"/>
                          <w:szCs w:val="18"/>
                        </w:rPr>
                        <w:t>CYP £0.4m (Medical £0.4m)</w:t>
                      </w:r>
                    </w:p>
                    <w:p w:rsidR="00F66189" w:rsidRPr="00F43046" w:rsidRDefault="00F66189" w:rsidP="00C02CB5">
                      <w:pPr>
                        <w:pStyle w:val="ListParagraph"/>
                        <w:numPr>
                          <w:ilvl w:val="1"/>
                          <w:numId w:val="12"/>
                        </w:numPr>
                        <w:rPr>
                          <w:rFonts w:cs="Tahoma"/>
                          <w:bCs/>
                          <w:sz w:val="18"/>
                          <w:szCs w:val="18"/>
                        </w:rPr>
                      </w:pPr>
                      <w:r w:rsidRPr="00F43046">
                        <w:rPr>
                          <w:rFonts w:cs="Tahoma"/>
                          <w:bCs/>
                          <w:sz w:val="18"/>
                          <w:szCs w:val="18"/>
                        </w:rPr>
                        <w:t>ICT £0.2m (Admin &amp; clerical £0.2m)</w:t>
                      </w:r>
                    </w:p>
                    <w:p w:rsidR="00F66189" w:rsidRDefault="00F66189" w:rsidP="009625A5">
                      <w:pPr>
                        <w:rPr>
                          <w:rFonts w:cs="Tahoma"/>
                          <w:bCs/>
                          <w:sz w:val="18"/>
                          <w:szCs w:val="18"/>
                        </w:rPr>
                      </w:pPr>
                      <w:r w:rsidRPr="00F43046">
                        <w:rPr>
                          <w:rFonts w:cs="Tahoma"/>
                          <w:bCs/>
                          <w:sz w:val="18"/>
                          <w:szCs w:val="18"/>
                        </w:rPr>
                        <w:t xml:space="preserve">The most significant movements </w:t>
                      </w:r>
                      <w:r>
                        <w:rPr>
                          <w:rFonts w:cs="Tahoma"/>
                          <w:bCs/>
                          <w:sz w:val="18"/>
                          <w:szCs w:val="18"/>
                        </w:rPr>
                        <w:t xml:space="preserve">between M10 and M1 </w:t>
                      </w:r>
                      <w:r w:rsidRPr="00F43046">
                        <w:rPr>
                          <w:rFonts w:cs="Tahoma"/>
                          <w:bCs/>
                          <w:sz w:val="18"/>
                          <w:szCs w:val="18"/>
                        </w:rPr>
                        <w:t>are in the following areas:</w:t>
                      </w:r>
                    </w:p>
                    <w:p w:rsidR="00F66189" w:rsidRPr="00F43046" w:rsidRDefault="00F66189" w:rsidP="00F43046">
                      <w:pPr>
                        <w:pStyle w:val="ListParagraph"/>
                        <w:numPr>
                          <w:ilvl w:val="1"/>
                          <w:numId w:val="12"/>
                        </w:numPr>
                        <w:rPr>
                          <w:rFonts w:cs="Tahoma"/>
                          <w:bCs/>
                          <w:sz w:val="18"/>
                          <w:szCs w:val="18"/>
                        </w:rPr>
                      </w:pPr>
                      <w:r w:rsidRPr="00F43046">
                        <w:rPr>
                          <w:rFonts w:cs="Tahoma"/>
                          <w:bCs/>
                          <w:sz w:val="18"/>
                          <w:szCs w:val="18"/>
                        </w:rPr>
                        <w:t xml:space="preserve">Clinical support £0.2m </w:t>
                      </w:r>
                    </w:p>
                    <w:p w:rsidR="00F66189" w:rsidRPr="00F43046" w:rsidRDefault="00F66189" w:rsidP="00F43046">
                      <w:pPr>
                        <w:pStyle w:val="ListParagraph"/>
                        <w:numPr>
                          <w:ilvl w:val="1"/>
                          <w:numId w:val="12"/>
                        </w:numPr>
                        <w:rPr>
                          <w:rFonts w:cs="Tahoma"/>
                          <w:bCs/>
                          <w:sz w:val="18"/>
                          <w:szCs w:val="18"/>
                        </w:rPr>
                      </w:pPr>
                      <w:r>
                        <w:rPr>
                          <w:rFonts w:cs="Tahoma"/>
                          <w:bCs/>
                          <w:sz w:val="18"/>
                          <w:szCs w:val="18"/>
                        </w:rPr>
                        <w:t>Primary &amp; Community £(0.3)m</w:t>
                      </w:r>
                    </w:p>
                    <w:p w:rsidR="00F66189" w:rsidRPr="00F43046" w:rsidRDefault="00F66189" w:rsidP="009625A5">
                      <w:pPr>
                        <w:rPr>
                          <w:rFonts w:cs="Tahoma"/>
                          <w:bCs/>
                          <w:sz w:val="18"/>
                          <w:szCs w:val="18"/>
                        </w:rPr>
                      </w:pPr>
                    </w:p>
                    <w:p w:rsidR="00F66189" w:rsidRPr="00680D90" w:rsidRDefault="00F66189" w:rsidP="00680D90">
                      <w:pPr>
                        <w:rPr>
                          <w:rFonts w:cs="Tahoma"/>
                          <w:bCs/>
                          <w:sz w:val="22"/>
                          <w:szCs w:val="22"/>
                        </w:rPr>
                      </w:pPr>
                    </w:p>
                  </w:txbxContent>
                </v:textbox>
                <w10:anchorlock/>
              </v:shape>
            </w:pict>
          </mc:Fallback>
        </mc:AlternateContent>
      </w:r>
    </w:p>
    <w:p w:rsidR="0054713E" w:rsidRPr="006A1831" w:rsidRDefault="0054713E" w:rsidP="0054713E">
      <w:pPr>
        <w:ind w:firstLine="720"/>
        <w:rPr>
          <w:b/>
          <w:sz w:val="24"/>
        </w:rPr>
      </w:pPr>
      <w:r w:rsidRPr="006A1831">
        <w:rPr>
          <w:b/>
          <w:sz w:val="24"/>
        </w:rPr>
        <w:t>Medical and Dental Pay Expenditure</w:t>
      </w:r>
    </w:p>
    <w:p w:rsidR="0054713E" w:rsidRPr="006A1831" w:rsidRDefault="0054713E" w:rsidP="0054713E">
      <w:pPr>
        <w:ind w:firstLine="720"/>
        <w:jc w:val="both"/>
        <w:rPr>
          <w:b/>
          <w:sz w:val="24"/>
        </w:rPr>
      </w:pPr>
    </w:p>
    <w:p w:rsidR="0054713E" w:rsidRPr="006A1831" w:rsidRDefault="0054713E" w:rsidP="0054713E">
      <w:pPr>
        <w:pStyle w:val="ListParagraph"/>
        <w:ind w:left="0" w:firstLine="720"/>
        <w:rPr>
          <w:b/>
          <w:i/>
          <w:sz w:val="24"/>
        </w:rPr>
      </w:pPr>
      <w:r w:rsidRPr="006A1831">
        <w:rPr>
          <w:sz w:val="24"/>
        </w:rPr>
        <w:t xml:space="preserve">The chart below shows the trends of Medical &amp; Dental pay expenditure and budget.  </w:t>
      </w:r>
      <w:r w:rsidRPr="006A1831">
        <w:rPr>
          <w:b/>
          <w:i/>
          <w:sz w:val="24"/>
        </w:rPr>
        <w:t>(Please note scale of Y-axis)</w:t>
      </w:r>
    </w:p>
    <w:p w:rsidR="0054713E" w:rsidRPr="003F1E23" w:rsidRDefault="0054713E" w:rsidP="0054713E">
      <w:pPr>
        <w:pStyle w:val="ListParagraph"/>
        <w:ind w:left="0"/>
        <w:jc w:val="both"/>
        <w:rPr>
          <w:rFonts w:cs="Tahoma"/>
          <w:bCs/>
          <w:sz w:val="20"/>
          <w:szCs w:val="20"/>
        </w:rPr>
      </w:pPr>
    </w:p>
    <w:p w:rsidR="0054713E" w:rsidRPr="003F1E23" w:rsidRDefault="0054713E" w:rsidP="0054713E">
      <w:pPr>
        <w:pStyle w:val="ListParagraph"/>
        <w:rPr>
          <w:rFonts w:cs="Tahoma"/>
          <w:bCs/>
          <w:sz w:val="20"/>
          <w:szCs w:val="20"/>
        </w:rPr>
      </w:pPr>
      <w:r w:rsidRPr="003F1E23">
        <w:rPr>
          <w:noProof/>
          <w:lang w:eastAsia="en-GB"/>
        </w:rPr>
        <mc:AlternateContent>
          <mc:Choice Requires="wps">
            <w:drawing>
              <wp:anchor distT="0" distB="0" distL="114300" distR="114300" simplePos="0" relativeHeight="251800576" behindDoc="0" locked="0" layoutInCell="1" allowOverlap="1" wp14:anchorId="329477C9" wp14:editId="04C41D29">
                <wp:simplePos x="0" y="0"/>
                <wp:positionH relativeFrom="column">
                  <wp:posOffset>6470125</wp:posOffset>
                </wp:positionH>
                <wp:positionV relativeFrom="paragraph">
                  <wp:posOffset>152291</wp:posOffset>
                </wp:positionV>
                <wp:extent cx="3187065" cy="4798198"/>
                <wp:effectExtent l="0" t="0" r="13335" b="21590"/>
                <wp:wrapNone/>
                <wp:docPr id="31"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187065" cy="4798198"/>
                        </a:xfrm>
                        <a:prstGeom prst="rect">
                          <a:avLst/>
                        </a:prstGeom>
                        <a:solidFill>
                          <a:srgbClr val="FFFFFF"/>
                        </a:solidFill>
                        <a:ln w="19050">
                          <a:solidFill>
                            <a:srgbClr val="8EB4E3"/>
                          </a:solidFill>
                          <a:miter lim="800000"/>
                          <a:headEnd/>
                          <a:tailEnd/>
                        </a:ln>
                      </wps:spPr>
                      <wps:txbx>
                        <w:txbxContent>
                          <w:p w:rsidR="00F66189" w:rsidRPr="00C06FBB" w:rsidRDefault="00F66189" w:rsidP="0054713E">
                            <w:pPr>
                              <w:rPr>
                                <w:b/>
                                <w:sz w:val="24"/>
                              </w:rPr>
                            </w:pPr>
                            <w:r w:rsidRPr="00C06FBB">
                              <w:rPr>
                                <w:b/>
                                <w:sz w:val="24"/>
                              </w:rPr>
                              <w:t xml:space="preserve">Key </w:t>
                            </w:r>
                            <w:r>
                              <w:rPr>
                                <w:b/>
                                <w:sz w:val="24"/>
                              </w:rPr>
                              <w:t>Issues</w:t>
                            </w:r>
                          </w:p>
                          <w:p w:rsidR="00F66189" w:rsidRPr="00C06FBB" w:rsidRDefault="00F66189" w:rsidP="0054713E">
                            <w:pPr>
                              <w:rPr>
                                <w:b/>
                                <w:sz w:val="24"/>
                              </w:rPr>
                            </w:pPr>
                          </w:p>
                          <w:p w:rsidR="00F66189" w:rsidRPr="00216666" w:rsidRDefault="00F66189" w:rsidP="006616E8">
                            <w:pPr>
                              <w:pStyle w:val="ListParagraph"/>
                              <w:numPr>
                                <w:ilvl w:val="0"/>
                                <w:numId w:val="5"/>
                              </w:numPr>
                              <w:ind w:left="426" w:hanging="426"/>
                              <w:rPr>
                                <w:sz w:val="22"/>
                                <w:szCs w:val="22"/>
                              </w:rPr>
                            </w:pPr>
                            <w:r w:rsidRPr="00216666">
                              <w:rPr>
                                <w:sz w:val="22"/>
                                <w:szCs w:val="22"/>
                              </w:rPr>
                              <w:t>The 2019/20 Medical &amp; Dental pay award was processed in M7 together with arrears for April to September.</w:t>
                            </w:r>
                          </w:p>
                          <w:p w:rsidR="00F66189" w:rsidRPr="00517C0F" w:rsidRDefault="00F66189" w:rsidP="00517C0F">
                            <w:pPr>
                              <w:rPr>
                                <w:sz w:val="22"/>
                                <w:szCs w:val="22"/>
                              </w:rPr>
                            </w:pPr>
                          </w:p>
                          <w:p w:rsidR="00F66189" w:rsidRDefault="00F66189" w:rsidP="006616E8">
                            <w:pPr>
                              <w:pStyle w:val="ListParagraph"/>
                              <w:numPr>
                                <w:ilvl w:val="0"/>
                                <w:numId w:val="5"/>
                              </w:numPr>
                              <w:ind w:left="426" w:hanging="426"/>
                              <w:rPr>
                                <w:sz w:val="22"/>
                                <w:szCs w:val="22"/>
                              </w:rPr>
                            </w:pPr>
                            <w:r w:rsidRPr="00216666">
                              <w:rPr>
                                <w:sz w:val="22"/>
                                <w:szCs w:val="22"/>
                              </w:rPr>
                              <w:t>The budget was increased by £3m in M7 to fund the pay award and £1.8m of this budget was profiled into M7.</w:t>
                            </w:r>
                          </w:p>
                          <w:p w:rsidR="00F66189" w:rsidRPr="00517C0F" w:rsidRDefault="00F66189" w:rsidP="00517C0F">
                            <w:pPr>
                              <w:rPr>
                                <w:sz w:val="22"/>
                                <w:szCs w:val="22"/>
                              </w:rPr>
                            </w:pPr>
                          </w:p>
                          <w:p w:rsidR="00F66189" w:rsidRPr="00216666" w:rsidRDefault="00F66189" w:rsidP="006616E8">
                            <w:pPr>
                              <w:pStyle w:val="ListParagraph"/>
                              <w:numPr>
                                <w:ilvl w:val="0"/>
                                <w:numId w:val="5"/>
                              </w:numPr>
                              <w:ind w:left="426" w:hanging="426"/>
                              <w:rPr>
                                <w:sz w:val="22"/>
                                <w:szCs w:val="22"/>
                              </w:rPr>
                            </w:pPr>
                            <w:r w:rsidRPr="00216666">
                              <w:rPr>
                                <w:sz w:val="22"/>
                                <w:szCs w:val="22"/>
                              </w:rPr>
                              <w:t>E</w:t>
                            </w:r>
                            <w:r>
                              <w:rPr>
                                <w:sz w:val="22"/>
                                <w:szCs w:val="22"/>
                              </w:rPr>
                              <w:t>xpenditure in M11 decreased slightly by £0.2m from M10, to £11.47m</w:t>
                            </w:r>
                            <w:r w:rsidRPr="00216666">
                              <w:rPr>
                                <w:sz w:val="22"/>
                                <w:szCs w:val="22"/>
                              </w:rPr>
                              <w:t xml:space="preserve">.  </w:t>
                            </w:r>
                          </w:p>
                          <w:p w:rsidR="00F66189" w:rsidRPr="00216666" w:rsidRDefault="00F66189" w:rsidP="0054713E">
                            <w:pPr>
                              <w:pStyle w:val="ListParagraph"/>
                              <w:ind w:left="426"/>
                              <w:rPr>
                                <w:sz w:val="22"/>
                                <w:szCs w:val="22"/>
                              </w:rPr>
                            </w:pPr>
                          </w:p>
                          <w:p w:rsidR="00F66189" w:rsidRPr="00216666" w:rsidRDefault="00F66189" w:rsidP="006616E8">
                            <w:pPr>
                              <w:pStyle w:val="ListParagraph"/>
                              <w:numPr>
                                <w:ilvl w:val="0"/>
                                <w:numId w:val="5"/>
                              </w:numPr>
                              <w:ind w:left="426" w:hanging="426"/>
                              <w:rPr>
                                <w:sz w:val="22"/>
                                <w:szCs w:val="22"/>
                              </w:rPr>
                            </w:pPr>
                            <w:r>
                              <w:rPr>
                                <w:sz w:val="22"/>
                                <w:szCs w:val="22"/>
                              </w:rPr>
                              <w:t>The M11</w:t>
                            </w:r>
                            <w:r w:rsidRPr="00216666">
                              <w:rPr>
                                <w:sz w:val="22"/>
                                <w:szCs w:val="22"/>
                              </w:rPr>
                              <w:t xml:space="preserve"> over</w:t>
                            </w:r>
                            <w:r>
                              <w:rPr>
                                <w:sz w:val="22"/>
                                <w:szCs w:val="22"/>
                              </w:rPr>
                              <w:t>spend was £0.2</w:t>
                            </w:r>
                            <w:r w:rsidRPr="00216666">
                              <w:rPr>
                                <w:sz w:val="22"/>
                                <w:szCs w:val="22"/>
                              </w:rPr>
                              <w:t>m</w:t>
                            </w:r>
                            <w:r>
                              <w:rPr>
                                <w:sz w:val="22"/>
                                <w:szCs w:val="22"/>
                              </w:rPr>
                              <w:t xml:space="preserve"> which increases the M11 YTD overspend to £2.9</w:t>
                            </w:r>
                            <w:r w:rsidRPr="00216666">
                              <w:rPr>
                                <w:sz w:val="22"/>
                                <w:szCs w:val="22"/>
                              </w:rPr>
                              <w:t xml:space="preserve">m. </w:t>
                            </w:r>
                          </w:p>
                          <w:p w:rsidR="00F66189" w:rsidRPr="00216666" w:rsidRDefault="00F66189" w:rsidP="0054713E">
                            <w:pPr>
                              <w:pStyle w:val="ListParagraph"/>
                              <w:rPr>
                                <w:sz w:val="22"/>
                                <w:szCs w:val="22"/>
                              </w:rPr>
                            </w:pPr>
                          </w:p>
                          <w:p w:rsidR="00F66189" w:rsidRPr="00216666" w:rsidRDefault="00F66189" w:rsidP="006616E8">
                            <w:pPr>
                              <w:pStyle w:val="ListParagraph"/>
                              <w:numPr>
                                <w:ilvl w:val="0"/>
                                <w:numId w:val="5"/>
                              </w:numPr>
                              <w:ind w:left="426" w:hanging="426"/>
                              <w:rPr>
                                <w:sz w:val="22"/>
                                <w:szCs w:val="22"/>
                              </w:rPr>
                            </w:pPr>
                            <w:r>
                              <w:rPr>
                                <w:sz w:val="22"/>
                                <w:szCs w:val="22"/>
                              </w:rPr>
                              <w:t>M11 Medical agency spend was £1.52m, a slight reduction from M10</w:t>
                            </w:r>
                            <w:r w:rsidRPr="00216666">
                              <w:rPr>
                                <w:sz w:val="22"/>
                                <w:szCs w:val="22"/>
                              </w:rPr>
                              <w:t xml:space="preserve">. </w:t>
                            </w:r>
                          </w:p>
                          <w:p w:rsidR="00F66189" w:rsidRPr="00216666" w:rsidRDefault="00F66189" w:rsidP="0054713E">
                            <w:pPr>
                              <w:pStyle w:val="ListParagraph"/>
                              <w:rPr>
                                <w:sz w:val="22"/>
                                <w:szCs w:val="22"/>
                              </w:rPr>
                            </w:pPr>
                          </w:p>
                          <w:p w:rsidR="00F66189" w:rsidRPr="00216666" w:rsidRDefault="00F66189" w:rsidP="006616E8">
                            <w:pPr>
                              <w:pStyle w:val="ListParagraph"/>
                              <w:numPr>
                                <w:ilvl w:val="0"/>
                                <w:numId w:val="5"/>
                              </w:numPr>
                              <w:ind w:left="426" w:hanging="426"/>
                              <w:rPr>
                                <w:sz w:val="22"/>
                                <w:szCs w:val="22"/>
                              </w:rPr>
                            </w:pPr>
                            <w:r>
                              <w:rPr>
                                <w:sz w:val="22"/>
                                <w:szCs w:val="22"/>
                              </w:rPr>
                              <w:t xml:space="preserve">The </w:t>
                            </w:r>
                            <w:r w:rsidRPr="00216666">
                              <w:rPr>
                                <w:sz w:val="22"/>
                                <w:szCs w:val="22"/>
                              </w:rPr>
                              <w:t>M</w:t>
                            </w:r>
                            <w:r>
                              <w:rPr>
                                <w:sz w:val="22"/>
                                <w:szCs w:val="22"/>
                              </w:rPr>
                              <w:t>11</w:t>
                            </w:r>
                            <w:r w:rsidRPr="00216666">
                              <w:rPr>
                                <w:sz w:val="22"/>
                                <w:szCs w:val="22"/>
                              </w:rPr>
                              <w:t xml:space="preserve"> agenc</w:t>
                            </w:r>
                            <w:r>
                              <w:rPr>
                                <w:sz w:val="22"/>
                                <w:szCs w:val="22"/>
                              </w:rPr>
                              <w:t>y spend accounted for 13</w:t>
                            </w:r>
                            <w:r w:rsidRPr="00216666">
                              <w:rPr>
                                <w:sz w:val="22"/>
                                <w:szCs w:val="22"/>
                              </w:rPr>
                              <w:t>% of total Medical &amp; Dental pay.</w:t>
                            </w:r>
                          </w:p>
                          <w:p w:rsidR="00F66189" w:rsidRPr="006436BD" w:rsidRDefault="00F66189" w:rsidP="0054713E">
                            <w:pPr>
                              <w:pStyle w:val="ListParagraph"/>
                              <w:ind w:left="426"/>
                              <w:rPr>
                                <w:sz w:val="24"/>
                              </w:rPr>
                            </w:pPr>
                          </w:p>
                          <w:p w:rsidR="00F66189" w:rsidRPr="006436BD" w:rsidRDefault="00F66189" w:rsidP="0054713E">
                            <w:pPr>
                              <w:rPr>
                                <w:sz w:val="20"/>
                                <w:szCs w:val="2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29477C9" id="Text Box 18" o:spid="_x0000_s1034" type="#_x0000_t202" style="position:absolute;left:0;text-align:left;margin-left:509.45pt;margin-top:12pt;width:250.95pt;height:377.8pt;z-index:25180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" strokecolor="#8eb4e3" strokeweight="1.5pt">
                <v:path arrowok="t"/>
                <v:textbox>
                  <w:txbxContent>
                    <w:p w:rsidR="00F66189" w:rsidRPr="00C06FBB" w:rsidRDefault="00F66189" w:rsidP="0054713E">
                      <w:pPr>
                        <w:rPr>
                          <w:b/>
                          <w:sz w:val="24"/>
                        </w:rPr>
                      </w:pPr>
                      <w:r w:rsidRPr="00C06FBB">
                        <w:rPr>
                          <w:b/>
                          <w:sz w:val="24"/>
                        </w:rPr>
                        <w:t xml:space="preserve">Key </w:t>
                      </w:r>
                      <w:r>
                        <w:rPr>
                          <w:b/>
                          <w:sz w:val="24"/>
                        </w:rPr>
                        <w:t>Issues</w:t>
                      </w:r>
                    </w:p>
                    <w:p w:rsidR="00F66189" w:rsidRPr="00C06FBB" w:rsidRDefault="00F66189" w:rsidP="0054713E">
                      <w:pPr>
                        <w:rPr>
                          <w:b/>
                          <w:sz w:val="24"/>
                        </w:rPr>
                      </w:pPr>
                    </w:p>
                    <w:p w:rsidR="00F66189" w:rsidRPr="00216666" w:rsidRDefault="00F66189" w:rsidP="006616E8">
                      <w:pPr>
                        <w:pStyle w:val="ListParagraph"/>
                        <w:numPr>
                          <w:ilvl w:val="0"/>
                          <w:numId w:val="5"/>
                        </w:numPr>
                        <w:ind w:left="426" w:hanging="426"/>
                        <w:rPr>
                          <w:sz w:val="22"/>
                          <w:szCs w:val="22"/>
                        </w:rPr>
                      </w:pPr>
                      <w:r w:rsidRPr="00216666">
                        <w:rPr>
                          <w:sz w:val="22"/>
                          <w:szCs w:val="22"/>
                        </w:rPr>
                        <w:t>The 2019/20 Medical &amp; Dental pay award was processed in M7 together with arrears for April to September.</w:t>
                      </w:r>
                    </w:p>
                    <w:p w:rsidR="00F66189" w:rsidRPr="00517C0F" w:rsidRDefault="00F66189" w:rsidP="00517C0F">
                      <w:pPr>
                        <w:rPr>
                          <w:sz w:val="22"/>
                          <w:szCs w:val="22"/>
                        </w:rPr>
                      </w:pPr>
                    </w:p>
                    <w:p w:rsidR="00F66189" w:rsidRDefault="00F66189" w:rsidP="006616E8">
                      <w:pPr>
                        <w:pStyle w:val="ListParagraph"/>
                        <w:numPr>
                          <w:ilvl w:val="0"/>
                          <w:numId w:val="5"/>
                        </w:numPr>
                        <w:ind w:left="426" w:hanging="426"/>
                        <w:rPr>
                          <w:sz w:val="22"/>
                          <w:szCs w:val="22"/>
                        </w:rPr>
                      </w:pPr>
                      <w:r w:rsidRPr="00216666">
                        <w:rPr>
                          <w:sz w:val="22"/>
                          <w:szCs w:val="22"/>
                        </w:rPr>
                        <w:t>The budget was increased by £3m in M7 to fund the pay award and £1.8m of this budget was profiled into M7.</w:t>
                      </w:r>
                    </w:p>
                    <w:p w:rsidR="00F66189" w:rsidRPr="00517C0F" w:rsidRDefault="00F66189" w:rsidP="00517C0F">
                      <w:pPr>
                        <w:rPr>
                          <w:sz w:val="22"/>
                          <w:szCs w:val="22"/>
                        </w:rPr>
                      </w:pPr>
                    </w:p>
                    <w:p w:rsidR="00F66189" w:rsidRPr="00216666" w:rsidRDefault="00F66189" w:rsidP="006616E8">
                      <w:pPr>
                        <w:pStyle w:val="ListParagraph"/>
                        <w:numPr>
                          <w:ilvl w:val="0"/>
                          <w:numId w:val="5"/>
                        </w:numPr>
                        <w:ind w:left="426" w:hanging="426"/>
                        <w:rPr>
                          <w:sz w:val="22"/>
                          <w:szCs w:val="22"/>
                        </w:rPr>
                      </w:pPr>
                      <w:r w:rsidRPr="00216666">
                        <w:rPr>
                          <w:sz w:val="22"/>
                          <w:szCs w:val="22"/>
                        </w:rPr>
                        <w:t>E</w:t>
                      </w:r>
                      <w:r>
                        <w:rPr>
                          <w:sz w:val="22"/>
                          <w:szCs w:val="22"/>
                        </w:rPr>
                        <w:t>xpenditure in M11 decreased slightly by £0.2m from M10, to £11.47m</w:t>
                      </w:r>
                      <w:r w:rsidRPr="00216666">
                        <w:rPr>
                          <w:sz w:val="22"/>
                          <w:szCs w:val="22"/>
                        </w:rPr>
                        <w:t xml:space="preserve">.  </w:t>
                      </w:r>
                    </w:p>
                    <w:p w:rsidR="00F66189" w:rsidRPr="00216666" w:rsidRDefault="00F66189" w:rsidP="0054713E">
                      <w:pPr>
                        <w:pStyle w:val="ListParagraph"/>
                        <w:ind w:left="426"/>
                        <w:rPr>
                          <w:sz w:val="22"/>
                          <w:szCs w:val="22"/>
                        </w:rPr>
                      </w:pPr>
                    </w:p>
                    <w:p w:rsidR="00F66189" w:rsidRPr="00216666" w:rsidRDefault="00F66189" w:rsidP="006616E8">
                      <w:pPr>
                        <w:pStyle w:val="ListParagraph"/>
                        <w:numPr>
                          <w:ilvl w:val="0"/>
                          <w:numId w:val="5"/>
                        </w:numPr>
                        <w:ind w:left="426" w:hanging="426"/>
                        <w:rPr>
                          <w:sz w:val="22"/>
                          <w:szCs w:val="22"/>
                        </w:rPr>
                      </w:pPr>
                      <w:r>
                        <w:rPr>
                          <w:sz w:val="22"/>
                          <w:szCs w:val="22"/>
                        </w:rPr>
                        <w:t>The M11</w:t>
                      </w:r>
                      <w:r w:rsidRPr="00216666">
                        <w:rPr>
                          <w:sz w:val="22"/>
                          <w:szCs w:val="22"/>
                        </w:rPr>
                        <w:t xml:space="preserve"> over</w:t>
                      </w:r>
                      <w:r>
                        <w:rPr>
                          <w:sz w:val="22"/>
                          <w:szCs w:val="22"/>
                        </w:rPr>
                        <w:t>spend was £0.2</w:t>
                      </w:r>
                      <w:r w:rsidRPr="00216666">
                        <w:rPr>
                          <w:sz w:val="22"/>
                          <w:szCs w:val="22"/>
                        </w:rPr>
                        <w:t>m</w:t>
                      </w:r>
                      <w:r>
                        <w:rPr>
                          <w:sz w:val="22"/>
                          <w:szCs w:val="22"/>
                        </w:rPr>
                        <w:t xml:space="preserve"> which increases the M11 YTD overspend to £2.9</w:t>
                      </w:r>
                      <w:r w:rsidRPr="00216666">
                        <w:rPr>
                          <w:sz w:val="22"/>
                          <w:szCs w:val="22"/>
                        </w:rPr>
                        <w:t xml:space="preserve">m. </w:t>
                      </w:r>
                    </w:p>
                    <w:p w:rsidR="00F66189" w:rsidRPr="00216666" w:rsidRDefault="00F66189" w:rsidP="0054713E">
                      <w:pPr>
                        <w:pStyle w:val="ListParagraph"/>
                        <w:rPr>
                          <w:sz w:val="22"/>
                          <w:szCs w:val="22"/>
                        </w:rPr>
                      </w:pPr>
                    </w:p>
                    <w:p w:rsidR="00F66189" w:rsidRPr="00216666" w:rsidRDefault="00F66189" w:rsidP="006616E8">
                      <w:pPr>
                        <w:pStyle w:val="ListParagraph"/>
                        <w:numPr>
                          <w:ilvl w:val="0"/>
                          <w:numId w:val="5"/>
                        </w:numPr>
                        <w:ind w:left="426" w:hanging="426"/>
                        <w:rPr>
                          <w:sz w:val="22"/>
                          <w:szCs w:val="22"/>
                        </w:rPr>
                      </w:pPr>
                      <w:r>
                        <w:rPr>
                          <w:sz w:val="22"/>
                          <w:szCs w:val="22"/>
                        </w:rPr>
                        <w:t>M11 Medical agency spend was £1.52m, a slight reduction from M10</w:t>
                      </w:r>
                      <w:r w:rsidRPr="00216666">
                        <w:rPr>
                          <w:sz w:val="22"/>
                          <w:szCs w:val="22"/>
                        </w:rPr>
                        <w:t xml:space="preserve">. </w:t>
                      </w:r>
                    </w:p>
                    <w:p w:rsidR="00F66189" w:rsidRPr="00216666" w:rsidRDefault="00F66189" w:rsidP="0054713E">
                      <w:pPr>
                        <w:pStyle w:val="ListParagraph"/>
                        <w:rPr>
                          <w:sz w:val="22"/>
                          <w:szCs w:val="22"/>
                        </w:rPr>
                      </w:pPr>
                    </w:p>
                    <w:p w:rsidR="00F66189" w:rsidRPr="00216666" w:rsidRDefault="00F66189" w:rsidP="006616E8">
                      <w:pPr>
                        <w:pStyle w:val="ListParagraph"/>
                        <w:numPr>
                          <w:ilvl w:val="0"/>
                          <w:numId w:val="5"/>
                        </w:numPr>
                        <w:ind w:left="426" w:hanging="426"/>
                        <w:rPr>
                          <w:sz w:val="22"/>
                          <w:szCs w:val="22"/>
                        </w:rPr>
                      </w:pPr>
                      <w:r>
                        <w:rPr>
                          <w:sz w:val="22"/>
                          <w:szCs w:val="22"/>
                        </w:rPr>
                        <w:t xml:space="preserve">The </w:t>
                      </w:r>
                      <w:r w:rsidRPr="00216666">
                        <w:rPr>
                          <w:sz w:val="22"/>
                          <w:szCs w:val="22"/>
                        </w:rPr>
                        <w:t>M</w:t>
                      </w:r>
                      <w:r>
                        <w:rPr>
                          <w:sz w:val="22"/>
                          <w:szCs w:val="22"/>
                        </w:rPr>
                        <w:t>11</w:t>
                      </w:r>
                      <w:r w:rsidRPr="00216666">
                        <w:rPr>
                          <w:sz w:val="22"/>
                          <w:szCs w:val="22"/>
                        </w:rPr>
                        <w:t xml:space="preserve"> agenc</w:t>
                      </w:r>
                      <w:r>
                        <w:rPr>
                          <w:sz w:val="22"/>
                          <w:szCs w:val="22"/>
                        </w:rPr>
                        <w:t>y spend accounted for 13</w:t>
                      </w:r>
                      <w:r w:rsidRPr="00216666">
                        <w:rPr>
                          <w:sz w:val="22"/>
                          <w:szCs w:val="22"/>
                        </w:rPr>
                        <w:t>% of total Medical &amp; Dental pay.</w:t>
                      </w:r>
                    </w:p>
                    <w:p w:rsidR="00F66189" w:rsidRPr="006436BD" w:rsidRDefault="00F66189" w:rsidP="0054713E">
                      <w:pPr>
                        <w:pStyle w:val="ListParagraph"/>
                        <w:ind w:left="426"/>
                        <w:rPr>
                          <w:sz w:val="24"/>
                        </w:rPr>
                      </w:pPr>
                    </w:p>
                    <w:p w:rsidR="00F66189" w:rsidRPr="006436BD" w:rsidRDefault="00F66189" w:rsidP="0054713E">
                      <w:pPr>
                        <w:rPr>
                          <w:sz w:val="20"/>
                          <w:szCs w:val="20"/>
                        </w:rPr>
                      </w:pPr>
                    </w:p>
                  </w:txbxContent>
                </v:textbox>
              </v:shape>
            </w:pict>
          </mc:Fallback>
        </mc:AlternateContent>
      </w:r>
    </w:p>
    <w:p w:rsidR="0054713E" w:rsidRPr="003F1E23" w:rsidRDefault="0054713E" w:rsidP="0054713E">
      <w:pPr>
        <w:pStyle w:val="ListParagraph"/>
        <w:ind w:left="709"/>
        <w:jc w:val="both"/>
        <w:rPr>
          <w:sz w:val="20"/>
          <w:szCs w:val="20"/>
        </w:rPr>
      </w:pPr>
      <w:r w:rsidRPr="003F1E23">
        <w:rPr>
          <w:noProof/>
          <w:lang w:eastAsia="en-GB"/>
        </w:rPr>
        <w:t xml:space="preserve"> </w:t>
      </w:r>
      <w:r w:rsidR="006D1937">
        <w:rPr>
          <w:noProof/>
          <w:lang w:eastAsia="en-GB"/>
        </w:rPr>
        <w:drawing>
          <wp:inline distT="0" distB="0" distL="0" distR="0" wp14:anchorId="6606BE88" wp14:editId="41DFA17B">
            <wp:extent cx="5737225" cy="3013545"/>
            <wp:effectExtent l="0" t="0" r="15875" b="15875"/>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54713E" w:rsidRPr="003F1E23" w:rsidRDefault="0054713E" w:rsidP="0054713E">
      <w:pPr>
        <w:pStyle w:val="ListParagraph"/>
        <w:jc w:val="both"/>
        <w:rPr>
          <w:sz w:val="20"/>
          <w:szCs w:val="20"/>
        </w:rPr>
      </w:pPr>
    </w:p>
    <w:p w:rsidR="0054713E" w:rsidRPr="003F1E23" w:rsidRDefault="006D1937" w:rsidP="0054713E">
      <w:pPr>
        <w:ind w:left="851"/>
        <w:jc w:val="both"/>
        <w:rPr>
          <w:noProof/>
          <w:lang w:eastAsia="en-GB"/>
        </w:rPr>
      </w:pPr>
      <w:r>
        <w:rPr>
          <w:noProof/>
          <w:lang w:eastAsia="en-GB"/>
        </w:rPr>
        <w:drawing>
          <wp:inline distT="0" distB="0" distL="0" distR="0" wp14:anchorId="158660A4" wp14:editId="4FF63EDB">
            <wp:extent cx="2679590" cy="1610995"/>
            <wp:effectExtent l="0" t="0" r="6985" b="8255"/>
            <wp:docPr id="43" name="Chart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r w:rsidR="0054713E">
        <w:rPr>
          <w:noProof/>
          <w:lang w:eastAsia="en-GB"/>
        </w:rPr>
        <w:t xml:space="preserve"> </w:t>
      </w:r>
      <w:r>
        <w:rPr>
          <w:noProof/>
          <w:lang w:eastAsia="en-GB"/>
        </w:rPr>
        <w:drawing>
          <wp:inline distT="0" distB="0" distL="0" distR="0" wp14:anchorId="4F775ECE" wp14:editId="326F94C3">
            <wp:extent cx="2962219" cy="1610995"/>
            <wp:effectExtent l="0" t="0" r="10160" b="8255"/>
            <wp:docPr id="51" name="Chart 5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54713E" w:rsidRPr="003F1E23" w:rsidRDefault="0054713E" w:rsidP="0054713E">
      <w:pPr>
        <w:ind w:firstLine="720"/>
        <w:jc w:val="both"/>
        <w:rPr>
          <w:sz w:val="24"/>
        </w:rPr>
      </w:pPr>
    </w:p>
    <w:p w:rsidR="0054713E" w:rsidRPr="002F0DF3" w:rsidRDefault="0054713E" w:rsidP="0054713E">
      <w:pPr>
        <w:ind w:left="720" w:right="678" w:hanging="720"/>
        <w:jc w:val="both"/>
        <w:rPr>
          <w:noProof/>
          <w:sz w:val="24"/>
          <w:lang w:eastAsia="en-GB"/>
        </w:rPr>
      </w:pPr>
      <w:r w:rsidRPr="002F0DF3">
        <w:rPr>
          <w:noProof/>
          <w:sz w:val="24"/>
          <w:lang w:eastAsia="en-GB"/>
        </w:rPr>
        <w:tab/>
        <w:t xml:space="preserve">The Chart below shows </w:t>
      </w:r>
      <w:r>
        <w:rPr>
          <w:noProof/>
          <w:sz w:val="24"/>
          <w:lang w:eastAsia="en-GB"/>
        </w:rPr>
        <w:t xml:space="preserve">an analysis of the </w:t>
      </w:r>
      <w:r w:rsidRPr="002F0DF3">
        <w:rPr>
          <w:noProof/>
          <w:sz w:val="24"/>
          <w:lang w:eastAsia="en-GB"/>
        </w:rPr>
        <w:t xml:space="preserve">monthly medical </w:t>
      </w:r>
      <w:r>
        <w:rPr>
          <w:noProof/>
          <w:sz w:val="24"/>
          <w:lang w:eastAsia="en-GB"/>
        </w:rPr>
        <w:t>agency costs by grade.</w:t>
      </w:r>
    </w:p>
    <w:p w:rsidR="0054713E" w:rsidRPr="008075AF" w:rsidRDefault="0054713E" w:rsidP="0054713E">
      <w:pPr>
        <w:jc w:val="both"/>
        <w:rPr>
          <w:noProof/>
          <w:sz w:val="24"/>
          <w:highlight w:val="yellow"/>
          <w:lang w:eastAsia="en-GB"/>
        </w:rPr>
      </w:pPr>
    </w:p>
    <w:p w:rsidR="0054713E" w:rsidRPr="008075AF" w:rsidRDefault="0054713E" w:rsidP="0054713E">
      <w:pPr>
        <w:rPr>
          <w:sz w:val="24"/>
          <w:highlight w:val="yellow"/>
        </w:rPr>
      </w:pPr>
    </w:p>
    <w:p w:rsidR="0054713E" w:rsidRPr="008075AF" w:rsidRDefault="0054713E" w:rsidP="0054713E">
      <w:pPr>
        <w:ind w:left="720"/>
        <w:rPr>
          <w:sz w:val="24"/>
          <w:highlight w:val="yellow"/>
        </w:rPr>
      </w:pPr>
      <w:r w:rsidRPr="008075AF">
        <w:rPr>
          <w:noProof/>
          <w:highlight w:val="yellow"/>
          <w:lang w:eastAsia="en-GB"/>
        </w:rPr>
        <mc:AlternateContent>
          <mc:Choice Requires="wps">
            <w:drawing>
              <wp:anchor distT="45720" distB="45720" distL="114300" distR="114300" simplePos="0" relativeHeight="251811840" behindDoc="0" locked="0" layoutInCell="1" allowOverlap="1" wp14:anchorId="29BD557E" wp14:editId="5F858ADA">
                <wp:simplePos x="0" y="0"/>
                <wp:positionH relativeFrom="column">
                  <wp:posOffset>6374130</wp:posOffset>
                </wp:positionH>
                <wp:positionV relativeFrom="paragraph">
                  <wp:posOffset>8890</wp:posOffset>
                </wp:positionV>
                <wp:extent cx="3304540" cy="4851400"/>
                <wp:effectExtent l="0" t="0" r="10160" b="25400"/>
                <wp:wrapSquare wrapText="bothSides"/>
                <wp:docPr id="30"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304540" cy="4851400"/>
                        </a:xfrm>
                        <a:prstGeom prst="rect">
                          <a:avLst/>
                        </a:prstGeom>
                        <a:solidFill>
                          <a:srgbClr val="FFFFFF"/>
                        </a:solidFill>
                        <a:ln w="19050">
                          <a:solidFill>
                            <a:srgbClr val="8EB4E3"/>
                          </a:solidFill>
                          <a:miter lim="800000"/>
                          <a:headEnd/>
                          <a:tailEnd/>
                        </a:ln>
                      </wps:spPr>
                      <wps:txbx>
                        <w:txbxContent>
                          <w:p w:rsidR="00F66189" w:rsidRPr="00F35004" w:rsidRDefault="00F66189" w:rsidP="0054713E">
                            <w:pPr>
                              <w:pStyle w:val="ListParagraph"/>
                              <w:ind w:left="0"/>
                              <w:jc w:val="both"/>
                              <w:rPr>
                                <w:b/>
                                <w:sz w:val="22"/>
                                <w:szCs w:val="22"/>
                              </w:rPr>
                            </w:pPr>
                            <w:r w:rsidRPr="00F35004">
                              <w:rPr>
                                <w:b/>
                                <w:sz w:val="22"/>
                                <w:szCs w:val="22"/>
                              </w:rPr>
                              <w:t>Key Issues</w:t>
                            </w:r>
                          </w:p>
                          <w:p w:rsidR="00F66189" w:rsidRDefault="00F66189" w:rsidP="0054713E">
                            <w:pPr>
                              <w:rPr>
                                <w:sz w:val="24"/>
                                <w:highlight w:val="yellow"/>
                              </w:rPr>
                            </w:pPr>
                          </w:p>
                          <w:p w:rsidR="00F66189" w:rsidRPr="00CD07CB" w:rsidRDefault="00F66189" w:rsidP="006616E8">
                            <w:pPr>
                              <w:pStyle w:val="ListParagraph"/>
                              <w:numPr>
                                <w:ilvl w:val="0"/>
                                <w:numId w:val="10"/>
                              </w:numPr>
                              <w:rPr>
                                <w:sz w:val="24"/>
                              </w:rPr>
                            </w:pPr>
                            <w:r w:rsidRPr="00CD07CB">
                              <w:rPr>
                                <w:sz w:val="24"/>
                              </w:rPr>
                              <w:t xml:space="preserve">The level of medical </w:t>
                            </w:r>
                            <w:r>
                              <w:rPr>
                                <w:sz w:val="24"/>
                              </w:rPr>
                              <w:t>and dental agency expenditure reduced slightly in M11 to £1.52</w:t>
                            </w:r>
                            <w:r w:rsidRPr="00CD07CB">
                              <w:rPr>
                                <w:sz w:val="24"/>
                              </w:rPr>
                              <w:t xml:space="preserve">m. </w:t>
                            </w:r>
                          </w:p>
                          <w:p w:rsidR="00F66189" w:rsidRPr="00CD07CB" w:rsidRDefault="00F66189" w:rsidP="00E175D5">
                            <w:pPr>
                              <w:pStyle w:val="ListParagraph"/>
                              <w:rPr>
                                <w:sz w:val="24"/>
                              </w:rPr>
                            </w:pPr>
                          </w:p>
                          <w:p w:rsidR="00F66189" w:rsidRDefault="00F66189" w:rsidP="006A1ADD">
                            <w:pPr>
                              <w:pStyle w:val="ListParagraph"/>
                              <w:numPr>
                                <w:ilvl w:val="0"/>
                                <w:numId w:val="10"/>
                              </w:numPr>
                              <w:rPr>
                                <w:sz w:val="24"/>
                              </w:rPr>
                            </w:pPr>
                            <w:r w:rsidRPr="00A1004B">
                              <w:rPr>
                                <w:sz w:val="24"/>
                              </w:rPr>
                              <w:t>The Movement in M11 expenditure was minimal with a sligh</w:t>
                            </w:r>
                            <w:r>
                              <w:rPr>
                                <w:sz w:val="24"/>
                              </w:rPr>
                              <w:t>t reduction within Consultants and C</w:t>
                            </w:r>
                            <w:r w:rsidRPr="00A1004B">
                              <w:rPr>
                                <w:sz w:val="24"/>
                              </w:rPr>
                              <w:t xml:space="preserve">areer Grades and a slight increase </w:t>
                            </w:r>
                            <w:r>
                              <w:rPr>
                                <w:sz w:val="24"/>
                              </w:rPr>
                              <w:t>within Training G</w:t>
                            </w:r>
                            <w:r w:rsidRPr="00A1004B">
                              <w:rPr>
                                <w:sz w:val="24"/>
                              </w:rPr>
                              <w:t xml:space="preserve">rades. </w:t>
                            </w:r>
                          </w:p>
                          <w:p w:rsidR="00F66189" w:rsidRPr="00A1004B" w:rsidRDefault="00F66189" w:rsidP="00A1004B">
                            <w:pPr>
                              <w:rPr>
                                <w:sz w:val="24"/>
                              </w:rPr>
                            </w:pPr>
                          </w:p>
                          <w:p w:rsidR="00F66189" w:rsidRPr="00A1004B" w:rsidRDefault="00F66189" w:rsidP="00A1004B">
                            <w:pPr>
                              <w:pStyle w:val="ListParagraph"/>
                              <w:numPr>
                                <w:ilvl w:val="0"/>
                                <w:numId w:val="10"/>
                              </w:numPr>
                              <w:rPr>
                                <w:sz w:val="24"/>
                              </w:rPr>
                            </w:pPr>
                            <w:r>
                              <w:rPr>
                                <w:sz w:val="24"/>
                              </w:rPr>
                              <w:t>The most significant in</w:t>
                            </w:r>
                            <w:r w:rsidRPr="00CD07CB">
                              <w:rPr>
                                <w:sz w:val="24"/>
                              </w:rPr>
                              <w:t xml:space="preserve">creases in agency </w:t>
                            </w:r>
                            <w:r>
                              <w:rPr>
                                <w:sz w:val="24"/>
                              </w:rPr>
                              <w:t xml:space="preserve">expenditure in M11 </w:t>
                            </w:r>
                            <w:r w:rsidRPr="00CD07CB">
                              <w:rPr>
                                <w:sz w:val="24"/>
                              </w:rPr>
                              <w:t>were reported within:</w:t>
                            </w:r>
                          </w:p>
                          <w:p w:rsidR="00F66189" w:rsidRDefault="00F66189" w:rsidP="006616E8">
                            <w:pPr>
                              <w:pStyle w:val="ListParagraph"/>
                              <w:numPr>
                                <w:ilvl w:val="1"/>
                                <w:numId w:val="10"/>
                              </w:numPr>
                              <w:rPr>
                                <w:sz w:val="24"/>
                              </w:rPr>
                            </w:pPr>
                            <w:r>
                              <w:rPr>
                                <w:sz w:val="24"/>
                              </w:rPr>
                              <w:t>POW Surgical Services £135k</w:t>
                            </w:r>
                          </w:p>
                          <w:p w:rsidR="00F66189" w:rsidRPr="00CD07CB" w:rsidRDefault="00F66189" w:rsidP="006616E8">
                            <w:pPr>
                              <w:pStyle w:val="ListParagraph"/>
                              <w:numPr>
                                <w:ilvl w:val="1"/>
                                <w:numId w:val="10"/>
                              </w:numPr>
                              <w:rPr>
                                <w:sz w:val="24"/>
                              </w:rPr>
                            </w:pPr>
                            <w:r>
                              <w:rPr>
                                <w:sz w:val="24"/>
                              </w:rPr>
                              <w:t>Acute Medicine £60</w:t>
                            </w:r>
                            <w:r w:rsidRPr="00CD07CB">
                              <w:rPr>
                                <w:sz w:val="24"/>
                              </w:rPr>
                              <w:t>k</w:t>
                            </w:r>
                          </w:p>
                          <w:p w:rsidR="00F66189" w:rsidRPr="00CD07CB" w:rsidRDefault="00F66189" w:rsidP="00E07806">
                            <w:pPr>
                              <w:pStyle w:val="ListParagraph"/>
                              <w:ind w:left="1440"/>
                              <w:rPr>
                                <w:sz w:val="24"/>
                              </w:rPr>
                            </w:pPr>
                          </w:p>
                          <w:p w:rsidR="00F66189" w:rsidRPr="00A1004B" w:rsidRDefault="00F66189" w:rsidP="00A1004B">
                            <w:pPr>
                              <w:pStyle w:val="ListParagraph"/>
                              <w:numPr>
                                <w:ilvl w:val="0"/>
                                <w:numId w:val="10"/>
                              </w:numPr>
                              <w:rPr>
                                <w:sz w:val="24"/>
                              </w:rPr>
                            </w:pPr>
                            <w:r>
                              <w:rPr>
                                <w:sz w:val="24"/>
                              </w:rPr>
                              <w:t>The most significant de</w:t>
                            </w:r>
                            <w:r w:rsidRPr="00CD07CB">
                              <w:rPr>
                                <w:sz w:val="24"/>
                              </w:rPr>
                              <w:t xml:space="preserve">creases in agency </w:t>
                            </w:r>
                            <w:r>
                              <w:rPr>
                                <w:sz w:val="24"/>
                              </w:rPr>
                              <w:t xml:space="preserve">expenditure in M11 </w:t>
                            </w:r>
                            <w:r w:rsidRPr="00CD07CB">
                              <w:rPr>
                                <w:sz w:val="24"/>
                              </w:rPr>
                              <w:t>were reported within:</w:t>
                            </w:r>
                          </w:p>
                          <w:p w:rsidR="00F66189" w:rsidRDefault="00F66189" w:rsidP="00A1004B">
                            <w:pPr>
                              <w:pStyle w:val="ListParagraph"/>
                              <w:numPr>
                                <w:ilvl w:val="1"/>
                                <w:numId w:val="10"/>
                              </w:numPr>
                              <w:rPr>
                                <w:sz w:val="24"/>
                              </w:rPr>
                            </w:pPr>
                            <w:r>
                              <w:rPr>
                                <w:sz w:val="24"/>
                              </w:rPr>
                              <w:t>Primary Care £144k</w:t>
                            </w:r>
                          </w:p>
                          <w:p w:rsidR="00F66189" w:rsidRPr="00CD07CB" w:rsidRDefault="00F66189" w:rsidP="00A1004B">
                            <w:pPr>
                              <w:pStyle w:val="ListParagraph"/>
                              <w:numPr>
                                <w:ilvl w:val="1"/>
                                <w:numId w:val="10"/>
                              </w:numPr>
                              <w:rPr>
                                <w:sz w:val="24"/>
                              </w:rPr>
                            </w:pPr>
                            <w:r>
                              <w:rPr>
                                <w:sz w:val="24"/>
                              </w:rPr>
                              <w:t>Mental Health £60</w:t>
                            </w:r>
                            <w:r w:rsidRPr="00CD07CB">
                              <w:rPr>
                                <w:sz w:val="24"/>
                              </w:rPr>
                              <w:t>k</w:t>
                            </w:r>
                          </w:p>
                          <w:p w:rsidR="00F66189" w:rsidRPr="001101C5" w:rsidRDefault="00F66189" w:rsidP="0054713E">
                            <w:pPr>
                              <w:rPr>
                                <w:sz w:val="24"/>
                              </w:rPr>
                            </w:pPr>
                          </w:p>
                          <w:p w:rsidR="00F66189" w:rsidRPr="001101C5" w:rsidRDefault="00F66189" w:rsidP="0054713E">
                            <w:pPr>
                              <w:rPr>
                                <w:sz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9BD557E" id="Text Box 13" o:spid="_x0000_s1035" type="#_x0000_t202" style="position:absolute;left:0;text-align:left;margin-left:501.9pt;margin-top:.7pt;width:260.2pt;height:382pt;z-index:2518118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" strokecolor="#8eb4e3" strokeweight="1.5pt">
                <v:path arrowok="t"/>
                <v:textbox>
                  <w:txbxContent>
                    <w:p w:rsidR="00F66189" w:rsidRPr="00F35004" w:rsidRDefault="00F66189" w:rsidP="0054713E">
                      <w:pPr>
                        <w:pStyle w:val="ListParagraph"/>
                        <w:ind w:left="0"/>
                        <w:jc w:val="both"/>
                        <w:rPr>
                          <w:b/>
                          <w:sz w:val="22"/>
                          <w:szCs w:val="22"/>
                        </w:rPr>
                      </w:pPr>
                      <w:r w:rsidRPr="00F35004">
                        <w:rPr>
                          <w:b/>
                          <w:sz w:val="22"/>
                          <w:szCs w:val="22"/>
                        </w:rPr>
                        <w:t>Key Issues</w:t>
                      </w:r>
                    </w:p>
                    <w:p w:rsidR="00F66189" w:rsidRDefault="00F66189" w:rsidP="0054713E">
                      <w:pPr>
                        <w:rPr>
                          <w:sz w:val="24"/>
                          <w:highlight w:val="yellow"/>
                        </w:rPr>
                      </w:pPr>
                    </w:p>
                    <w:p w:rsidR="00F66189" w:rsidRPr="00CD07CB" w:rsidRDefault="00F66189" w:rsidP="006616E8">
                      <w:pPr>
                        <w:pStyle w:val="ListParagraph"/>
                        <w:numPr>
                          <w:ilvl w:val="0"/>
                          <w:numId w:val="10"/>
                        </w:numPr>
                        <w:rPr>
                          <w:sz w:val="24"/>
                        </w:rPr>
                      </w:pPr>
                      <w:r w:rsidRPr="00CD07CB">
                        <w:rPr>
                          <w:sz w:val="24"/>
                        </w:rPr>
                        <w:t xml:space="preserve">The level of medical </w:t>
                      </w:r>
                      <w:r>
                        <w:rPr>
                          <w:sz w:val="24"/>
                        </w:rPr>
                        <w:t>and dental agency expenditure reduced slightly in M11 to £1.52</w:t>
                      </w:r>
                      <w:r w:rsidRPr="00CD07CB">
                        <w:rPr>
                          <w:sz w:val="24"/>
                        </w:rPr>
                        <w:t xml:space="preserve">m. </w:t>
                      </w:r>
                    </w:p>
                    <w:p w:rsidR="00F66189" w:rsidRPr="00CD07CB" w:rsidRDefault="00F66189" w:rsidP="00E175D5">
                      <w:pPr>
                        <w:pStyle w:val="ListParagraph"/>
                        <w:rPr>
                          <w:sz w:val="24"/>
                        </w:rPr>
                      </w:pPr>
                    </w:p>
                    <w:p w:rsidR="00F66189" w:rsidRDefault="00F66189" w:rsidP="006A1ADD">
                      <w:pPr>
                        <w:pStyle w:val="ListParagraph"/>
                        <w:numPr>
                          <w:ilvl w:val="0"/>
                          <w:numId w:val="10"/>
                        </w:numPr>
                        <w:rPr>
                          <w:sz w:val="24"/>
                        </w:rPr>
                      </w:pPr>
                      <w:r w:rsidRPr="00A1004B">
                        <w:rPr>
                          <w:sz w:val="24"/>
                        </w:rPr>
                        <w:t>The Movement in M11 expenditure was minimal with a sligh</w:t>
                      </w:r>
                      <w:r>
                        <w:rPr>
                          <w:sz w:val="24"/>
                        </w:rPr>
                        <w:t>t reduction within Consultants and C</w:t>
                      </w:r>
                      <w:r w:rsidRPr="00A1004B">
                        <w:rPr>
                          <w:sz w:val="24"/>
                        </w:rPr>
                        <w:t xml:space="preserve">areer Grades and a slight increase </w:t>
                      </w:r>
                      <w:r>
                        <w:rPr>
                          <w:sz w:val="24"/>
                        </w:rPr>
                        <w:t>within Training G</w:t>
                      </w:r>
                      <w:r w:rsidRPr="00A1004B">
                        <w:rPr>
                          <w:sz w:val="24"/>
                        </w:rPr>
                        <w:t xml:space="preserve">rades. </w:t>
                      </w:r>
                    </w:p>
                    <w:p w:rsidR="00F66189" w:rsidRPr="00A1004B" w:rsidRDefault="00F66189" w:rsidP="00A1004B">
                      <w:pPr>
                        <w:rPr>
                          <w:sz w:val="24"/>
                        </w:rPr>
                      </w:pPr>
                    </w:p>
                    <w:p w:rsidR="00F66189" w:rsidRPr="00A1004B" w:rsidRDefault="00F66189" w:rsidP="00A1004B">
                      <w:pPr>
                        <w:pStyle w:val="ListParagraph"/>
                        <w:numPr>
                          <w:ilvl w:val="0"/>
                          <w:numId w:val="10"/>
                        </w:numPr>
                        <w:rPr>
                          <w:sz w:val="24"/>
                        </w:rPr>
                      </w:pPr>
                      <w:r>
                        <w:rPr>
                          <w:sz w:val="24"/>
                        </w:rPr>
                        <w:t>The most significant in</w:t>
                      </w:r>
                      <w:r w:rsidRPr="00CD07CB">
                        <w:rPr>
                          <w:sz w:val="24"/>
                        </w:rPr>
                        <w:t xml:space="preserve">creases in agency </w:t>
                      </w:r>
                      <w:r>
                        <w:rPr>
                          <w:sz w:val="24"/>
                        </w:rPr>
                        <w:t xml:space="preserve">expenditure in M11 </w:t>
                      </w:r>
                      <w:r w:rsidRPr="00CD07CB">
                        <w:rPr>
                          <w:sz w:val="24"/>
                        </w:rPr>
                        <w:t>were reported within:</w:t>
                      </w:r>
                    </w:p>
                    <w:p w:rsidR="00F66189" w:rsidRDefault="00F66189" w:rsidP="006616E8">
                      <w:pPr>
                        <w:pStyle w:val="ListParagraph"/>
                        <w:numPr>
                          <w:ilvl w:val="1"/>
                          <w:numId w:val="10"/>
                        </w:numPr>
                        <w:rPr>
                          <w:sz w:val="24"/>
                        </w:rPr>
                      </w:pPr>
                      <w:r>
                        <w:rPr>
                          <w:sz w:val="24"/>
                        </w:rPr>
                        <w:t>POW Surgical Services £135k</w:t>
                      </w:r>
                    </w:p>
                    <w:p w:rsidR="00F66189" w:rsidRPr="00CD07CB" w:rsidRDefault="00F66189" w:rsidP="006616E8">
                      <w:pPr>
                        <w:pStyle w:val="ListParagraph"/>
                        <w:numPr>
                          <w:ilvl w:val="1"/>
                          <w:numId w:val="10"/>
                        </w:numPr>
                        <w:rPr>
                          <w:sz w:val="24"/>
                        </w:rPr>
                      </w:pPr>
                      <w:r>
                        <w:rPr>
                          <w:sz w:val="24"/>
                        </w:rPr>
                        <w:t>Acute Medicine £60</w:t>
                      </w:r>
                      <w:r w:rsidRPr="00CD07CB">
                        <w:rPr>
                          <w:sz w:val="24"/>
                        </w:rPr>
                        <w:t>k</w:t>
                      </w:r>
                    </w:p>
                    <w:p w:rsidR="00F66189" w:rsidRPr="00CD07CB" w:rsidRDefault="00F66189" w:rsidP="00E07806">
                      <w:pPr>
                        <w:pStyle w:val="ListParagraph"/>
                        <w:ind w:left="1440"/>
                        <w:rPr>
                          <w:sz w:val="24"/>
                        </w:rPr>
                      </w:pPr>
                    </w:p>
                    <w:p w:rsidR="00F66189" w:rsidRPr="00A1004B" w:rsidRDefault="00F66189" w:rsidP="00A1004B">
                      <w:pPr>
                        <w:pStyle w:val="ListParagraph"/>
                        <w:numPr>
                          <w:ilvl w:val="0"/>
                          <w:numId w:val="10"/>
                        </w:numPr>
                        <w:rPr>
                          <w:sz w:val="24"/>
                        </w:rPr>
                      </w:pPr>
                      <w:r>
                        <w:rPr>
                          <w:sz w:val="24"/>
                        </w:rPr>
                        <w:t>The most significant de</w:t>
                      </w:r>
                      <w:r w:rsidRPr="00CD07CB">
                        <w:rPr>
                          <w:sz w:val="24"/>
                        </w:rPr>
                        <w:t xml:space="preserve">creases in agency </w:t>
                      </w:r>
                      <w:r>
                        <w:rPr>
                          <w:sz w:val="24"/>
                        </w:rPr>
                        <w:t xml:space="preserve">expenditure in M11 </w:t>
                      </w:r>
                      <w:r w:rsidRPr="00CD07CB">
                        <w:rPr>
                          <w:sz w:val="24"/>
                        </w:rPr>
                        <w:t>were reported within:</w:t>
                      </w:r>
                    </w:p>
                    <w:p w:rsidR="00F66189" w:rsidRDefault="00F66189" w:rsidP="00A1004B">
                      <w:pPr>
                        <w:pStyle w:val="ListParagraph"/>
                        <w:numPr>
                          <w:ilvl w:val="1"/>
                          <w:numId w:val="10"/>
                        </w:numPr>
                        <w:rPr>
                          <w:sz w:val="24"/>
                        </w:rPr>
                      </w:pPr>
                      <w:r>
                        <w:rPr>
                          <w:sz w:val="24"/>
                        </w:rPr>
                        <w:t>Primary Care £144k</w:t>
                      </w:r>
                    </w:p>
                    <w:p w:rsidR="00F66189" w:rsidRPr="00CD07CB" w:rsidRDefault="00F66189" w:rsidP="00A1004B">
                      <w:pPr>
                        <w:pStyle w:val="ListParagraph"/>
                        <w:numPr>
                          <w:ilvl w:val="1"/>
                          <w:numId w:val="10"/>
                        </w:numPr>
                        <w:rPr>
                          <w:sz w:val="24"/>
                        </w:rPr>
                      </w:pPr>
                      <w:r>
                        <w:rPr>
                          <w:sz w:val="24"/>
                        </w:rPr>
                        <w:t>Mental Health £60</w:t>
                      </w:r>
                      <w:r w:rsidRPr="00CD07CB">
                        <w:rPr>
                          <w:sz w:val="24"/>
                        </w:rPr>
                        <w:t>k</w:t>
                      </w:r>
                    </w:p>
                    <w:p w:rsidR="00F66189" w:rsidRPr="001101C5" w:rsidRDefault="00F66189" w:rsidP="0054713E">
                      <w:pPr>
                        <w:rPr>
                          <w:sz w:val="24"/>
                        </w:rPr>
                      </w:pPr>
                    </w:p>
                    <w:p w:rsidR="00F66189" w:rsidRPr="001101C5" w:rsidRDefault="00F66189" w:rsidP="0054713E">
                      <w:pPr>
                        <w:rPr>
                          <w:sz w:val="24"/>
                        </w:rPr>
                      </w:pPr>
                    </w:p>
                  </w:txbxContent>
                </v:textbox>
                <w10:wrap type="square"/>
              </v:shape>
            </w:pict>
          </mc:Fallback>
        </mc:AlternateContent>
      </w:r>
      <w:r w:rsidRPr="00BB55D2">
        <w:rPr>
          <w:noProof/>
          <w:lang w:eastAsia="en-GB"/>
        </w:rPr>
        <w:t xml:space="preserve"> </w:t>
      </w:r>
      <w:r w:rsidR="006D1937">
        <w:rPr>
          <w:noProof/>
          <w:lang w:eastAsia="en-GB"/>
        </w:rPr>
        <w:drawing>
          <wp:inline distT="0" distB="0" distL="0" distR="0" wp14:anchorId="21ADDC7B" wp14:editId="05A6C935">
            <wp:extent cx="5709036" cy="4859020"/>
            <wp:effectExtent l="0" t="0" r="6350" b="17780"/>
            <wp:docPr id="52" name="Chart 5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54713E" w:rsidRDefault="0054713E" w:rsidP="0054713E">
      <w:pPr>
        <w:rPr>
          <w:b/>
          <w:sz w:val="24"/>
        </w:rPr>
      </w:pPr>
      <w:r>
        <w:rPr>
          <w:b/>
          <w:sz w:val="24"/>
        </w:rPr>
        <w:br w:type="page"/>
      </w:r>
    </w:p>
    <w:p w:rsidR="0054713E" w:rsidRPr="000364C6" w:rsidRDefault="0054713E" w:rsidP="0054713E">
      <w:pPr>
        <w:ind w:firstLine="720"/>
        <w:jc w:val="both"/>
        <w:rPr>
          <w:b/>
          <w:sz w:val="24"/>
        </w:rPr>
      </w:pPr>
      <w:r w:rsidRPr="000364C6">
        <w:rPr>
          <w:b/>
          <w:sz w:val="24"/>
        </w:rPr>
        <w:t>Registered Nursing - Wards and A&amp;E Pay Expenditure</w:t>
      </w:r>
    </w:p>
    <w:p w:rsidR="0054713E" w:rsidRPr="000364C6" w:rsidRDefault="0054713E" w:rsidP="0054713E">
      <w:pPr>
        <w:pStyle w:val="ListParagraph"/>
        <w:jc w:val="both"/>
        <w:rPr>
          <w:rFonts w:cs="Tahoma"/>
          <w:bCs/>
          <w:sz w:val="24"/>
        </w:rPr>
      </w:pPr>
    </w:p>
    <w:p w:rsidR="0054713E" w:rsidRPr="000364C6" w:rsidRDefault="0054713E" w:rsidP="0054713E">
      <w:pPr>
        <w:pStyle w:val="ListParagraph"/>
        <w:ind w:left="709"/>
        <w:rPr>
          <w:sz w:val="24"/>
        </w:rPr>
      </w:pPr>
      <w:r w:rsidRPr="000364C6">
        <w:rPr>
          <w:sz w:val="24"/>
        </w:rPr>
        <w:t xml:space="preserve">The charts below show the monthly trends for Registered Nursing </w:t>
      </w:r>
      <w:r>
        <w:rPr>
          <w:sz w:val="24"/>
        </w:rPr>
        <w:t xml:space="preserve">pay costs in </w:t>
      </w:r>
      <w:r w:rsidRPr="000364C6">
        <w:rPr>
          <w:sz w:val="24"/>
        </w:rPr>
        <w:t>Wards and A&amp;E</w:t>
      </w:r>
      <w:r>
        <w:rPr>
          <w:sz w:val="24"/>
        </w:rPr>
        <w:t>:</w:t>
      </w:r>
    </w:p>
    <w:p w:rsidR="0054713E" w:rsidRPr="000364C6" w:rsidRDefault="0054713E" w:rsidP="0054713E">
      <w:pPr>
        <w:pStyle w:val="ListParagraph"/>
        <w:ind w:left="709"/>
        <w:rPr>
          <w:b/>
          <w:i/>
          <w:sz w:val="24"/>
        </w:rPr>
      </w:pPr>
      <w:r w:rsidRPr="000364C6">
        <w:rPr>
          <w:b/>
          <w:i/>
          <w:sz w:val="24"/>
        </w:rPr>
        <w:t>(Please note scale of Y-axis)</w:t>
      </w:r>
    </w:p>
    <w:p w:rsidR="0054713E" w:rsidRPr="008075AF" w:rsidRDefault="0054713E" w:rsidP="0054713E">
      <w:pPr>
        <w:jc w:val="both"/>
        <w:rPr>
          <w:noProof/>
          <w:highlight w:val="yellow"/>
          <w:lang w:eastAsia="en-GB"/>
        </w:rPr>
      </w:pPr>
      <w:r w:rsidRPr="008075AF">
        <w:rPr>
          <w:noProof/>
          <w:highlight w:val="yellow"/>
          <w:lang w:eastAsia="en-GB"/>
        </w:rPr>
        <mc:AlternateContent>
          <mc:Choice Requires="wps">
            <w:drawing>
              <wp:anchor distT="0" distB="0" distL="114300" distR="114300" simplePos="0" relativeHeight="251801600" behindDoc="0" locked="0" layoutInCell="1" allowOverlap="1" wp14:anchorId="79E4B29C" wp14:editId="55A4F36C">
                <wp:simplePos x="0" y="0"/>
                <wp:positionH relativeFrom="column">
                  <wp:posOffset>6450330</wp:posOffset>
                </wp:positionH>
                <wp:positionV relativeFrom="paragraph">
                  <wp:posOffset>215265</wp:posOffset>
                </wp:positionV>
                <wp:extent cx="3239770" cy="4810125"/>
                <wp:effectExtent l="0" t="0" r="17780" b="28575"/>
                <wp:wrapNone/>
                <wp:docPr id="29"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239770" cy="4810125"/>
                        </a:xfrm>
                        <a:prstGeom prst="rect">
                          <a:avLst/>
                        </a:prstGeom>
                        <a:solidFill>
                          <a:srgbClr val="FFFFFF"/>
                        </a:solidFill>
                        <a:ln w="19050">
                          <a:solidFill>
                            <a:srgbClr val="8EB4E3"/>
                          </a:solidFill>
                          <a:miter lim="800000"/>
                          <a:headEnd/>
                          <a:tailEnd/>
                        </a:ln>
                      </wps:spPr>
                      <wps:txbx>
                        <w:txbxContent>
                          <w:p w:rsidR="00F66189" w:rsidRPr="00E26651" w:rsidRDefault="00F66189" w:rsidP="0054713E">
                            <w:pPr>
                              <w:rPr>
                                <w:b/>
                                <w:sz w:val="24"/>
                              </w:rPr>
                            </w:pPr>
                            <w:r w:rsidRPr="00E26651">
                              <w:rPr>
                                <w:b/>
                                <w:sz w:val="24"/>
                              </w:rPr>
                              <w:t xml:space="preserve">Key </w:t>
                            </w:r>
                            <w:r>
                              <w:rPr>
                                <w:b/>
                                <w:sz w:val="24"/>
                              </w:rPr>
                              <w:t>Issues</w:t>
                            </w:r>
                          </w:p>
                          <w:p w:rsidR="00F66189" w:rsidRPr="00E26651" w:rsidRDefault="00F66189" w:rsidP="0054713E">
                            <w:pPr>
                              <w:rPr>
                                <w:b/>
                                <w:sz w:val="24"/>
                              </w:rPr>
                            </w:pPr>
                          </w:p>
                          <w:p w:rsidR="00F66189" w:rsidRPr="00CD07CB" w:rsidRDefault="00F66189" w:rsidP="006616E8">
                            <w:pPr>
                              <w:pStyle w:val="ListParagraph"/>
                              <w:numPr>
                                <w:ilvl w:val="0"/>
                                <w:numId w:val="6"/>
                              </w:numPr>
                              <w:ind w:left="360"/>
                              <w:rPr>
                                <w:sz w:val="22"/>
                                <w:szCs w:val="22"/>
                              </w:rPr>
                            </w:pPr>
                            <w:r w:rsidRPr="00CD07CB">
                              <w:rPr>
                                <w:sz w:val="22"/>
                                <w:szCs w:val="22"/>
                              </w:rPr>
                              <w:t xml:space="preserve">The budget and spend in M1&amp; M2 </w:t>
                            </w:r>
                            <w:r>
                              <w:rPr>
                                <w:sz w:val="22"/>
                                <w:szCs w:val="22"/>
                              </w:rPr>
                              <w:t xml:space="preserve">was increased by </w:t>
                            </w:r>
                            <w:r w:rsidRPr="00CD07CB">
                              <w:rPr>
                                <w:sz w:val="22"/>
                                <w:szCs w:val="22"/>
                              </w:rPr>
                              <w:t>circa £200k for the non consolidated lump sum payment and pay awards.</w:t>
                            </w:r>
                          </w:p>
                          <w:p w:rsidR="00F66189" w:rsidRPr="00CD07CB" w:rsidRDefault="00F66189" w:rsidP="0054713E">
                            <w:pPr>
                              <w:pStyle w:val="ListParagraph"/>
                              <w:ind w:left="360"/>
                              <w:rPr>
                                <w:sz w:val="22"/>
                                <w:szCs w:val="22"/>
                              </w:rPr>
                            </w:pPr>
                          </w:p>
                          <w:p w:rsidR="00F66189" w:rsidRPr="00CD07CB" w:rsidRDefault="00F66189" w:rsidP="006616E8">
                            <w:pPr>
                              <w:pStyle w:val="ListParagraph"/>
                              <w:numPr>
                                <w:ilvl w:val="0"/>
                                <w:numId w:val="6"/>
                              </w:numPr>
                              <w:ind w:left="360"/>
                              <w:rPr>
                                <w:sz w:val="22"/>
                                <w:szCs w:val="22"/>
                              </w:rPr>
                            </w:pPr>
                            <w:r w:rsidRPr="00CD07CB">
                              <w:rPr>
                                <w:sz w:val="22"/>
                                <w:szCs w:val="22"/>
                              </w:rPr>
                              <w:t>The budget increase in M6 relate</w:t>
                            </w:r>
                            <w:r>
                              <w:rPr>
                                <w:sz w:val="22"/>
                                <w:szCs w:val="22"/>
                              </w:rPr>
                              <w:t>d</w:t>
                            </w:r>
                            <w:r w:rsidRPr="00CD07CB">
                              <w:rPr>
                                <w:sz w:val="22"/>
                                <w:szCs w:val="22"/>
                              </w:rPr>
                              <w:t xml:space="preserve"> to a budget adjustment within Acute Medicine and A&amp;E.</w:t>
                            </w:r>
                          </w:p>
                          <w:p w:rsidR="00F66189" w:rsidRPr="00CD07CB" w:rsidRDefault="00F66189" w:rsidP="00BA15E1">
                            <w:pPr>
                              <w:pStyle w:val="ListParagraph"/>
                              <w:rPr>
                                <w:sz w:val="22"/>
                                <w:szCs w:val="22"/>
                              </w:rPr>
                            </w:pPr>
                          </w:p>
                          <w:p w:rsidR="00F66189" w:rsidRPr="00CD07CB" w:rsidRDefault="00F66189" w:rsidP="006616E8">
                            <w:pPr>
                              <w:pStyle w:val="ListParagraph"/>
                              <w:numPr>
                                <w:ilvl w:val="0"/>
                                <w:numId w:val="6"/>
                              </w:numPr>
                              <w:ind w:left="360"/>
                              <w:rPr>
                                <w:sz w:val="22"/>
                                <w:szCs w:val="22"/>
                              </w:rPr>
                            </w:pPr>
                            <w:r>
                              <w:rPr>
                                <w:sz w:val="22"/>
                                <w:szCs w:val="22"/>
                              </w:rPr>
                              <w:t>Expenditure in M11 fell slightly by £138k to £4.3</w:t>
                            </w:r>
                            <w:r w:rsidRPr="00CD07CB">
                              <w:rPr>
                                <w:sz w:val="22"/>
                                <w:szCs w:val="22"/>
                              </w:rPr>
                              <w:t>m.</w:t>
                            </w:r>
                          </w:p>
                          <w:p w:rsidR="00F66189" w:rsidRPr="00CD07CB" w:rsidRDefault="00F66189" w:rsidP="0054713E">
                            <w:pPr>
                              <w:pStyle w:val="ListParagraph"/>
                              <w:rPr>
                                <w:sz w:val="22"/>
                                <w:szCs w:val="22"/>
                              </w:rPr>
                            </w:pPr>
                          </w:p>
                          <w:p w:rsidR="00F66189" w:rsidRPr="00CD07CB" w:rsidRDefault="00F66189" w:rsidP="006616E8">
                            <w:pPr>
                              <w:pStyle w:val="ListParagraph"/>
                              <w:numPr>
                                <w:ilvl w:val="0"/>
                                <w:numId w:val="6"/>
                              </w:numPr>
                              <w:ind w:left="360"/>
                              <w:rPr>
                                <w:sz w:val="22"/>
                                <w:szCs w:val="22"/>
                              </w:rPr>
                            </w:pPr>
                            <w:r>
                              <w:rPr>
                                <w:sz w:val="22"/>
                                <w:szCs w:val="22"/>
                              </w:rPr>
                              <w:t>M11</w:t>
                            </w:r>
                            <w:r w:rsidRPr="00CD07CB">
                              <w:rPr>
                                <w:sz w:val="22"/>
                                <w:szCs w:val="22"/>
                              </w:rPr>
                              <w:t xml:space="preserve"> </w:t>
                            </w:r>
                            <w:r>
                              <w:rPr>
                                <w:sz w:val="22"/>
                                <w:szCs w:val="22"/>
                              </w:rPr>
                              <w:t xml:space="preserve">reported an in month underspend of £40k which reduced the </w:t>
                            </w:r>
                            <w:r w:rsidRPr="00CD07CB">
                              <w:rPr>
                                <w:sz w:val="22"/>
                                <w:szCs w:val="22"/>
                              </w:rPr>
                              <w:t xml:space="preserve">YTD </w:t>
                            </w:r>
                            <w:r>
                              <w:rPr>
                                <w:sz w:val="22"/>
                                <w:szCs w:val="22"/>
                              </w:rPr>
                              <w:t>overspend to £713</w:t>
                            </w:r>
                            <w:r w:rsidRPr="00CD07CB">
                              <w:rPr>
                                <w:sz w:val="22"/>
                                <w:szCs w:val="22"/>
                              </w:rPr>
                              <w:t>k</w:t>
                            </w:r>
                            <w:r>
                              <w:rPr>
                                <w:sz w:val="22"/>
                                <w:szCs w:val="22"/>
                              </w:rPr>
                              <w:t>.</w:t>
                            </w:r>
                          </w:p>
                          <w:p w:rsidR="00F66189" w:rsidRPr="00CD07CB" w:rsidRDefault="00F66189" w:rsidP="0054713E">
                            <w:pPr>
                              <w:rPr>
                                <w:sz w:val="22"/>
                                <w:szCs w:val="22"/>
                              </w:rPr>
                            </w:pPr>
                          </w:p>
                          <w:p w:rsidR="00F66189" w:rsidRPr="00CD07CB" w:rsidRDefault="00F66189" w:rsidP="006616E8">
                            <w:pPr>
                              <w:pStyle w:val="ListParagraph"/>
                              <w:numPr>
                                <w:ilvl w:val="0"/>
                                <w:numId w:val="6"/>
                              </w:numPr>
                              <w:ind w:left="360"/>
                              <w:rPr>
                                <w:sz w:val="22"/>
                                <w:szCs w:val="22"/>
                              </w:rPr>
                            </w:pPr>
                            <w:r>
                              <w:rPr>
                                <w:sz w:val="22"/>
                                <w:szCs w:val="22"/>
                              </w:rPr>
                              <w:t>M11 agency costs decreased by £193k to £1,055k (M10 £1,248</w:t>
                            </w:r>
                            <w:r w:rsidRPr="00CD07CB">
                              <w:rPr>
                                <w:sz w:val="22"/>
                                <w:szCs w:val="22"/>
                              </w:rPr>
                              <w:t xml:space="preserve">k). </w:t>
                            </w:r>
                          </w:p>
                          <w:p w:rsidR="00F66189" w:rsidRPr="00CD07CB" w:rsidRDefault="00F66189" w:rsidP="0054713E">
                            <w:pPr>
                              <w:pStyle w:val="ListParagraph"/>
                              <w:ind w:left="360"/>
                              <w:rPr>
                                <w:sz w:val="22"/>
                                <w:szCs w:val="22"/>
                              </w:rPr>
                            </w:pPr>
                            <w:r w:rsidRPr="00CD07CB">
                              <w:rPr>
                                <w:sz w:val="22"/>
                                <w:szCs w:val="22"/>
                              </w:rPr>
                              <w:t xml:space="preserve"> </w:t>
                            </w:r>
                          </w:p>
                          <w:p w:rsidR="00F66189" w:rsidRPr="00CD07CB" w:rsidRDefault="00F66189" w:rsidP="006616E8">
                            <w:pPr>
                              <w:pStyle w:val="ListParagraph"/>
                              <w:numPr>
                                <w:ilvl w:val="0"/>
                                <w:numId w:val="6"/>
                              </w:numPr>
                              <w:ind w:left="360"/>
                              <w:rPr>
                                <w:sz w:val="22"/>
                                <w:szCs w:val="22"/>
                              </w:rPr>
                            </w:pPr>
                            <w:r>
                              <w:rPr>
                                <w:sz w:val="22"/>
                                <w:szCs w:val="22"/>
                              </w:rPr>
                              <w:t>The M11 agency spend accounted for 25</w:t>
                            </w:r>
                            <w:r w:rsidRPr="00CD07CB">
                              <w:rPr>
                                <w:sz w:val="22"/>
                                <w:szCs w:val="22"/>
                              </w:rPr>
                              <w:t>% of total Ward and A&amp;E registered nursin</w:t>
                            </w:r>
                            <w:r>
                              <w:rPr>
                                <w:sz w:val="22"/>
                                <w:szCs w:val="22"/>
                              </w:rPr>
                              <w:t>g pay with bank expenditure of 1</w:t>
                            </w:r>
                            <w:r w:rsidRPr="00CD07CB">
                              <w:rPr>
                                <w:sz w:val="22"/>
                                <w:szCs w:val="22"/>
                              </w:rPr>
                              <w:t>%.</w:t>
                            </w:r>
                          </w:p>
                          <w:p w:rsidR="00F66189" w:rsidRPr="00717EB5" w:rsidRDefault="00F66189" w:rsidP="0054713E">
                            <w:pPr>
                              <w:pStyle w:val="ListParagraph"/>
                              <w:rPr>
                                <w:sz w:val="20"/>
                                <w:szCs w:val="2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9E4B29C" id="Text Box 17" o:spid="_x0000_s1036" type="#_x0000_t202" style="position:absolute;left:0;text-align:left;margin-left:507.9pt;margin-top:16.95pt;width:255.1pt;height:378.75pt;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" strokecolor="#8eb4e3" strokeweight="1.5pt">
                <v:path arrowok="t"/>
                <v:textbox>
                  <w:txbxContent>
                    <w:p w:rsidR="00F66189" w:rsidRPr="00E26651" w:rsidRDefault="00F66189" w:rsidP="0054713E">
                      <w:pPr>
                        <w:rPr>
                          <w:b/>
                          <w:sz w:val="24"/>
                        </w:rPr>
                      </w:pPr>
                      <w:r w:rsidRPr="00E26651">
                        <w:rPr>
                          <w:b/>
                          <w:sz w:val="24"/>
                        </w:rPr>
                        <w:t xml:space="preserve">Key </w:t>
                      </w:r>
                      <w:r>
                        <w:rPr>
                          <w:b/>
                          <w:sz w:val="24"/>
                        </w:rPr>
                        <w:t>Issues</w:t>
                      </w:r>
                    </w:p>
                    <w:p w:rsidR="00F66189" w:rsidRPr="00E26651" w:rsidRDefault="00F66189" w:rsidP="0054713E">
                      <w:pPr>
                        <w:rPr>
                          <w:b/>
                          <w:sz w:val="24"/>
                        </w:rPr>
                      </w:pPr>
                    </w:p>
                    <w:p w:rsidR="00F66189" w:rsidRPr="00CD07CB" w:rsidRDefault="00F66189" w:rsidP="006616E8">
                      <w:pPr>
                        <w:pStyle w:val="ListParagraph"/>
                        <w:numPr>
                          <w:ilvl w:val="0"/>
                          <w:numId w:val="6"/>
                        </w:numPr>
                        <w:ind w:left="360"/>
                        <w:rPr>
                          <w:sz w:val="22"/>
                          <w:szCs w:val="22"/>
                        </w:rPr>
                      </w:pPr>
                      <w:r w:rsidRPr="00CD07CB">
                        <w:rPr>
                          <w:sz w:val="22"/>
                          <w:szCs w:val="22"/>
                        </w:rPr>
                        <w:t xml:space="preserve">The budget and spend in M1&amp; M2 </w:t>
                      </w:r>
                      <w:r>
                        <w:rPr>
                          <w:sz w:val="22"/>
                          <w:szCs w:val="22"/>
                        </w:rPr>
                        <w:t xml:space="preserve">was increased by </w:t>
                      </w:r>
                      <w:r w:rsidRPr="00CD07CB">
                        <w:rPr>
                          <w:sz w:val="22"/>
                          <w:szCs w:val="22"/>
                        </w:rPr>
                        <w:t>circa £200k for the non consolidated lump sum payment and pay awards.</w:t>
                      </w:r>
                    </w:p>
                    <w:p w:rsidR="00F66189" w:rsidRPr="00CD07CB" w:rsidRDefault="00F66189" w:rsidP="0054713E">
                      <w:pPr>
                        <w:pStyle w:val="ListParagraph"/>
                        <w:ind w:left="360"/>
                        <w:rPr>
                          <w:sz w:val="22"/>
                          <w:szCs w:val="22"/>
                        </w:rPr>
                      </w:pPr>
                    </w:p>
                    <w:p w:rsidR="00F66189" w:rsidRPr="00CD07CB" w:rsidRDefault="00F66189" w:rsidP="006616E8">
                      <w:pPr>
                        <w:pStyle w:val="ListParagraph"/>
                        <w:numPr>
                          <w:ilvl w:val="0"/>
                          <w:numId w:val="6"/>
                        </w:numPr>
                        <w:ind w:left="360"/>
                        <w:rPr>
                          <w:sz w:val="22"/>
                          <w:szCs w:val="22"/>
                        </w:rPr>
                      </w:pPr>
                      <w:r w:rsidRPr="00CD07CB">
                        <w:rPr>
                          <w:sz w:val="22"/>
                          <w:szCs w:val="22"/>
                        </w:rPr>
                        <w:t>The budget increase in M6 relate</w:t>
                      </w:r>
                      <w:r>
                        <w:rPr>
                          <w:sz w:val="22"/>
                          <w:szCs w:val="22"/>
                        </w:rPr>
                        <w:t>d</w:t>
                      </w:r>
                      <w:r w:rsidRPr="00CD07CB">
                        <w:rPr>
                          <w:sz w:val="22"/>
                          <w:szCs w:val="22"/>
                        </w:rPr>
                        <w:t xml:space="preserve"> to a budget adjustment within Acute Medicine and A&amp;E.</w:t>
                      </w:r>
                    </w:p>
                    <w:p w:rsidR="00F66189" w:rsidRPr="00CD07CB" w:rsidRDefault="00F66189" w:rsidP="00BA15E1">
                      <w:pPr>
                        <w:pStyle w:val="ListParagraph"/>
                        <w:rPr>
                          <w:sz w:val="22"/>
                          <w:szCs w:val="22"/>
                        </w:rPr>
                      </w:pPr>
                    </w:p>
                    <w:p w:rsidR="00F66189" w:rsidRPr="00CD07CB" w:rsidRDefault="00F66189" w:rsidP="006616E8">
                      <w:pPr>
                        <w:pStyle w:val="ListParagraph"/>
                        <w:numPr>
                          <w:ilvl w:val="0"/>
                          <w:numId w:val="6"/>
                        </w:numPr>
                        <w:ind w:left="360"/>
                        <w:rPr>
                          <w:sz w:val="22"/>
                          <w:szCs w:val="22"/>
                        </w:rPr>
                      </w:pPr>
                      <w:r>
                        <w:rPr>
                          <w:sz w:val="22"/>
                          <w:szCs w:val="22"/>
                        </w:rPr>
                        <w:t>Expenditure in M11 fell slightly by £138k to £4.3</w:t>
                      </w:r>
                      <w:r w:rsidRPr="00CD07CB">
                        <w:rPr>
                          <w:sz w:val="22"/>
                          <w:szCs w:val="22"/>
                        </w:rPr>
                        <w:t>m.</w:t>
                      </w:r>
                    </w:p>
                    <w:p w:rsidR="00F66189" w:rsidRPr="00CD07CB" w:rsidRDefault="00F66189" w:rsidP="0054713E">
                      <w:pPr>
                        <w:pStyle w:val="ListParagraph"/>
                        <w:rPr>
                          <w:sz w:val="22"/>
                          <w:szCs w:val="22"/>
                        </w:rPr>
                      </w:pPr>
                    </w:p>
                    <w:p w:rsidR="00F66189" w:rsidRPr="00CD07CB" w:rsidRDefault="00F66189" w:rsidP="006616E8">
                      <w:pPr>
                        <w:pStyle w:val="ListParagraph"/>
                        <w:numPr>
                          <w:ilvl w:val="0"/>
                          <w:numId w:val="6"/>
                        </w:numPr>
                        <w:ind w:left="360"/>
                        <w:rPr>
                          <w:sz w:val="22"/>
                          <w:szCs w:val="22"/>
                        </w:rPr>
                      </w:pPr>
                      <w:r>
                        <w:rPr>
                          <w:sz w:val="22"/>
                          <w:szCs w:val="22"/>
                        </w:rPr>
                        <w:t>M11</w:t>
                      </w:r>
                      <w:r w:rsidRPr="00CD07CB">
                        <w:rPr>
                          <w:sz w:val="22"/>
                          <w:szCs w:val="22"/>
                        </w:rPr>
                        <w:t xml:space="preserve"> </w:t>
                      </w:r>
                      <w:r>
                        <w:rPr>
                          <w:sz w:val="22"/>
                          <w:szCs w:val="22"/>
                        </w:rPr>
                        <w:t xml:space="preserve">reported an in month underspend of £40k which reduced the </w:t>
                      </w:r>
                      <w:r w:rsidRPr="00CD07CB">
                        <w:rPr>
                          <w:sz w:val="22"/>
                          <w:szCs w:val="22"/>
                        </w:rPr>
                        <w:t xml:space="preserve">YTD </w:t>
                      </w:r>
                      <w:r>
                        <w:rPr>
                          <w:sz w:val="22"/>
                          <w:szCs w:val="22"/>
                        </w:rPr>
                        <w:t>overspend to £713</w:t>
                      </w:r>
                      <w:r w:rsidRPr="00CD07CB">
                        <w:rPr>
                          <w:sz w:val="22"/>
                          <w:szCs w:val="22"/>
                        </w:rPr>
                        <w:t>k</w:t>
                      </w:r>
                      <w:r>
                        <w:rPr>
                          <w:sz w:val="22"/>
                          <w:szCs w:val="22"/>
                        </w:rPr>
                        <w:t>.</w:t>
                      </w:r>
                    </w:p>
                    <w:p w:rsidR="00F66189" w:rsidRPr="00CD07CB" w:rsidRDefault="00F66189" w:rsidP="0054713E">
                      <w:pPr>
                        <w:rPr>
                          <w:sz w:val="22"/>
                          <w:szCs w:val="22"/>
                        </w:rPr>
                      </w:pPr>
                    </w:p>
                    <w:p w:rsidR="00F66189" w:rsidRPr="00CD07CB" w:rsidRDefault="00F66189" w:rsidP="006616E8">
                      <w:pPr>
                        <w:pStyle w:val="ListParagraph"/>
                        <w:numPr>
                          <w:ilvl w:val="0"/>
                          <w:numId w:val="6"/>
                        </w:numPr>
                        <w:ind w:left="360"/>
                        <w:rPr>
                          <w:sz w:val="22"/>
                          <w:szCs w:val="22"/>
                        </w:rPr>
                      </w:pPr>
                      <w:r>
                        <w:rPr>
                          <w:sz w:val="22"/>
                          <w:szCs w:val="22"/>
                        </w:rPr>
                        <w:t>M11 agency costs decreased by £193k to £1,055k (M10 £1,248</w:t>
                      </w:r>
                      <w:r w:rsidRPr="00CD07CB">
                        <w:rPr>
                          <w:sz w:val="22"/>
                          <w:szCs w:val="22"/>
                        </w:rPr>
                        <w:t xml:space="preserve">k). </w:t>
                      </w:r>
                    </w:p>
                    <w:p w:rsidR="00F66189" w:rsidRPr="00CD07CB" w:rsidRDefault="00F66189" w:rsidP="0054713E">
                      <w:pPr>
                        <w:pStyle w:val="ListParagraph"/>
                        <w:ind w:left="360"/>
                        <w:rPr>
                          <w:sz w:val="22"/>
                          <w:szCs w:val="22"/>
                        </w:rPr>
                      </w:pPr>
                      <w:r w:rsidRPr="00CD07CB">
                        <w:rPr>
                          <w:sz w:val="22"/>
                          <w:szCs w:val="22"/>
                        </w:rPr>
                        <w:t xml:space="preserve"> </w:t>
                      </w:r>
                    </w:p>
                    <w:p w:rsidR="00F66189" w:rsidRPr="00CD07CB" w:rsidRDefault="00F66189" w:rsidP="006616E8">
                      <w:pPr>
                        <w:pStyle w:val="ListParagraph"/>
                        <w:numPr>
                          <w:ilvl w:val="0"/>
                          <w:numId w:val="6"/>
                        </w:numPr>
                        <w:ind w:left="360"/>
                        <w:rPr>
                          <w:sz w:val="22"/>
                          <w:szCs w:val="22"/>
                        </w:rPr>
                      </w:pPr>
                      <w:r>
                        <w:rPr>
                          <w:sz w:val="22"/>
                          <w:szCs w:val="22"/>
                        </w:rPr>
                        <w:t>The M11 agency spend accounted for 25</w:t>
                      </w:r>
                      <w:r w:rsidRPr="00CD07CB">
                        <w:rPr>
                          <w:sz w:val="22"/>
                          <w:szCs w:val="22"/>
                        </w:rPr>
                        <w:t>% of total Ward and A&amp;E registered nursin</w:t>
                      </w:r>
                      <w:r>
                        <w:rPr>
                          <w:sz w:val="22"/>
                          <w:szCs w:val="22"/>
                        </w:rPr>
                        <w:t>g pay with bank expenditure of 1</w:t>
                      </w:r>
                      <w:r w:rsidRPr="00CD07CB">
                        <w:rPr>
                          <w:sz w:val="22"/>
                          <w:szCs w:val="22"/>
                        </w:rPr>
                        <w:t>%.</w:t>
                      </w:r>
                    </w:p>
                    <w:p w:rsidR="00F66189" w:rsidRPr="00717EB5" w:rsidRDefault="00F66189" w:rsidP="0054713E">
                      <w:pPr>
                        <w:pStyle w:val="ListParagraph"/>
                        <w:rPr>
                          <w:sz w:val="20"/>
                          <w:szCs w:val="20"/>
                        </w:rPr>
                      </w:pPr>
                    </w:p>
                  </w:txbxContent>
                </v:textbox>
              </v:shape>
            </w:pict>
          </mc:Fallback>
        </mc:AlternateContent>
      </w:r>
    </w:p>
    <w:p w:rsidR="0054713E" w:rsidRPr="008075AF" w:rsidRDefault="00A1004B" w:rsidP="0054713E">
      <w:pPr>
        <w:ind w:left="709"/>
        <w:jc w:val="both"/>
        <w:rPr>
          <w:noProof/>
          <w:highlight w:val="yellow"/>
          <w:lang w:eastAsia="en-GB"/>
        </w:rPr>
      </w:pPr>
      <w:r>
        <w:rPr>
          <w:noProof/>
          <w:lang w:eastAsia="en-GB"/>
        </w:rPr>
        <w:drawing>
          <wp:inline distT="0" distB="0" distL="0" distR="0" wp14:anchorId="438B9F83" wp14:editId="07EDE3B3">
            <wp:extent cx="5742305" cy="2902226"/>
            <wp:effectExtent l="0" t="0" r="10795" b="12700"/>
            <wp:docPr id="53" name="Chart 5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r w:rsidR="0054713E" w:rsidRPr="008075AF">
        <w:rPr>
          <w:noProof/>
          <w:highlight w:val="yellow"/>
          <w:lang w:eastAsia="en-GB"/>
        </w:rPr>
        <w:t xml:space="preserve"> </w:t>
      </w:r>
    </w:p>
    <w:p w:rsidR="0054713E" w:rsidRPr="008075AF" w:rsidRDefault="0054713E" w:rsidP="0054713E">
      <w:pPr>
        <w:jc w:val="both"/>
        <w:rPr>
          <w:rFonts w:cs="Tahoma"/>
          <w:bCs/>
          <w:sz w:val="20"/>
          <w:szCs w:val="20"/>
          <w:highlight w:val="yellow"/>
        </w:rPr>
      </w:pPr>
    </w:p>
    <w:p w:rsidR="0054713E" w:rsidRPr="00A1004B" w:rsidRDefault="00A1004B" w:rsidP="0054713E">
      <w:pPr>
        <w:ind w:left="709"/>
        <w:jc w:val="both"/>
        <w:rPr>
          <w:noProof/>
          <w:lang w:eastAsia="en-GB"/>
        </w:rPr>
      </w:pPr>
      <w:r w:rsidRPr="00A1004B">
        <w:rPr>
          <w:noProof/>
          <w:lang w:eastAsia="en-GB"/>
        </w:rPr>
        <w:drawing>
          <wp:inline distT="0" distB="0" distL="0" distR="0" wp14:anchorId="6C759A18" wp14:editId="1DAC7805">
            <wp:extent cx="2886324" cy="1769745"/>
            <wp:effectExtent l="0" t="0" r="9525" b="1905"/>
            <wp:docPr id="54" name="Chart 54"/>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r w:rsidR="0054713E" w:rsidRPr="00A1004B">
        <w:rPr>
          <w:noProof/>
          <w:lang w:eastAsia="en-GB"/>
        </w:rPr>
        <w:t xml:space="preserve">  </w:t>
      </w:r>
      <w:r>
        <w:rPr>
          <w:noProof/>
          <w:lang w:eastAsia="en-GB"/>
        </w:rPr>
        <w:drawing>
          <wp:inline distT="0" distB="0" distL="0" distR="0" wp14:anchorId="18951039" wp14:editId="2FBED349">
            <wp:extent cx="2720809" cy="1769745"/>
            <wp:effectExtent l="0" t="0" r="3810" b="1905"/>
            <wp:docPr id="56" name="Chart 56"/>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54713E" w:rsidRPr="000364C6" w:rsidRDefault="0054713E" w:rsidP="0054713E">
      <w:pPr>
        <w:ind w:firstLine="720"/>
        <w:jc w:val="both"/>
        <w:rPr>
          <w:b/>
          <w:sz w:val="24"/>
        </w:rPr>
      </w:pPr>
      <w:r w:rsidRPr="000364C6">
        <w:rPr>
          <w:b/>
          <w:sz w:val="24"/>
        </w:rPr>
        <w:t xml:space="preserve">Registered Nursing - Wards and A&amp;E Agency Expenditure </w:t>
      </w:r>
    </w:p>
    <w:p w:rsidR="0054713E" w:rsidRPr="000364C6" w:rsidRDefault="0054713E" w:rsidP="0054713E">
      <w:pPr>
        <w:jc w:val="both"/>
        <w:rPr>
          <w:noProof/>
          <w:lang w:eastAsia="en-GB"/>
        </w:rPr>
      </w:pPr>
    </w:p>
    <w:p w:rsidR="0054713E" w:rsidRDefault="0054713E" w:rsidP="0054713E">
      <w:pPr>
        <w:ind w:left="720" w:right="962"/>
        <w:jc w:val="both"/>
        <w:rPr>
          <w:noProof/>
          <w:sz w:val="24"/>
          <w:lang w:eastAsia="en-GB"/>
        </w:rPr>
      </w:pPr>
      <w:r w:rsidRPr="000364C6">
        <w:rPr>
          <w:noProof/>
          <w:sz w:val="24"/>
          <w:lang w:eastAsia="en-GB"/>
        </w:rPr>
        <w:t xml:space="preserve">The </w:t>
      </w:r>
      <w:r>
        <w:rPr>
          <w:noProof/>
          <w:sz w:val="24"/>
          <w:lang w:eastAsia="en-GB"/>
        </w:rPr>
        <w:t>chart</w:t>
      </w:r>
      <w:r w:rsidRPr="000364C6">
        <w:rPr>
          <w:noProof/>
          <w:sz w:val="24"/>
          <w:lang w:eastAsia="en-GB"/>
        </w:rPr>
        <w:t xml:space="preserve"> below shows </w:t>
      </w:r>
      <w:r>
        <w:rPr>
          <w:noProof/>
          <w:sz w:val="24"/>
          <w:lang w:eastAsia="en-GB"/>
        </w:rPr>
        <w:t xml:space="preserve">a split of the </w:t>
      </w:r>
      <w:r w:rsidRPr="000364C6">
        <w:rPr>
          <w:noProof/>
          <w:sz w:val="24"/>
          <w:lang w:eastAsia="en-GB"/>
        </w:rPr>
        <w:t xml:space="preserve">monthly </w:t>
      </w:r>
      <w:r>
        <w:rPr>
          <w:noProof/>
          <w:sz w:val="24"/>
          <w:lang w:eastAsia="en-GB"/>
        </w:rPr>
        <w:t xml:space="preserve">agency costs for </w:t>
      </w:r>
      <w:r w:rsidRPr="000364C6">
        <w:rPr>
          <w:noProof/>
          <w:sz w:val="24"/>
          <w:lang w:eastAsia="en-GB"/>
        </w:rPr>
        <w:t xml:space="preserve">Registered Nursing </w:t>
      </w:r>
      <w:r>
        <w:rPr>
          <w:noProof/>
          <w:sz w:val="24"/>
          <w:lang w:eastAsia="en-GB"/>
        </w:rPr>
        <w:t xml:space="preserve">in </w:t>
      </w:r>
      <w:r w:rsidRPr="000364C6">
        <w:rPr>
          <w:noProof/>
          <w:sz w:val="24"/>
          <w:lang w:eastAsia="en-GB"/>
        </w:rPr>
        <w:t xml:space="preserve">Wards and A&amp;E </w:t>
      </w:r>
      <w:r>
        <w:rPr>
          <w:noProof/>
          <w:sz w:val="24"/>
          <w:lang w:eastAsia="en-GB"/>
        </w:rPr>
        <w:t>by Division.</w:t>
      </w:r>
    </w:p>
    <w:p w:rsidR="0054713E" w:rsidRDefault="0054713E" w:rsidP="0054713E">
      <w:pPr>
        <w:ind w:left="720" w:right="962"/>
        <w:jc w:val="both"/>
        <w:rPr>
          <w:noProof/>
          <w:sz w:val="24"/>
          <w:lang w:eastAsia="en-GB"/>
        </w:rPr>
      </w:pPr>
    </w:p>
    <w:p w:rsidR="0054713E" w:rsidRPr="008075AF" w:rsidRDefault="0054713E" w:rsidP="0054713E">
      <w:pPr>
        <w:ind w:left="709"/>
        <w:jc w:val="both"/>
        <w:rPr>
          <w:rFonts w:cs="Tahoma"/>
          <w:bCs/>
          <w:sz w:val="20"/>
          <w:szCs w:val="20"/>
          <w:highlight w:val="yellow"/>
        </w:rPr>
      </w:pPr>
      <w:r w:rsidRPr="008075AF">
        <w:rPr>
          <w:noProof/>
          <w:highlight w:val="yellow"/>
          <w:lang w:eastAsia="en-GB"/>
        </w:rPr>
        <mc:AlternateContent>
          <mc:Choice Requires="wps">
            <w:drawing>
              <wp:anchor distT="0" distB="0" distL="114300" distR="114300" simplePos="0" relativeHeight="251813888" behindDoc="0" locked="0" layoutInCell="1" allowOverlap="1" wp14:anchorId="4ED44528" wp14:editId="406DFE6D">
                <wp:simplePos x="0" y="0"/>
                <wp:positionH relativeFrom="column">
                  <wp:posOffset>6398564</wp:posOffset>
                </wp:positionH>
                <wp:positionV relativeFrom="paragraph">
                  <wp:posOffset>11182</wp:posOffset>
                </wp:positionV>
                <wp:extent cx="3239770" cy="4539918"/>
                <wp:effectExtent l="0" t="0" r="17780" b="13335"/>
                <wp:wrapNone/>
                <wp:docPr id="58"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239770" cy="4539918"/>
                        </a:xfrm>
                        <a:prstGeom prst="rect">
                          <a:avLst/>
                        </a:prstGeom>
                        <a:solidFill>
                          <a:srgbClr val="FFFFFF"/>
                        </a:solidFill>
                        <a:ln w="19050">
                          <a:solidFill>
                            <a:srgbClr val="8EB4E3"/>
                          </a:solidFill>
                          <a:miter lim="800000"/>
                          <a:headEnd/>
                          <a:tailEnd/>
                        </a:ln>
                      </wps:spPr>
                      <wps:txbx>
                        <w:txbxContent>
                          <w:p w:rsidR="00F66189" w:rsidRPr="00E26651" w:rsidRDefault="00F66189" w:rsidP="0054713E">
                            <w:pPr>
                              <w:rPr>
                                <w:b/>
                                <w:sz w:val="24"/>
                              </w:rPr>
                            </w:pPr>
                            <w:r w:rsidRPr="00E26651">
                              <w:rPr>
                                <w:b/>
                                <w:sz w:val="24"/>
                              </w:rPr>
                              <w:t xml:space="preserve">Key </w:t>
                            </w:r>
                            <w:r>
                              <w:rPr>
                                <w:b/>
                                <w:sz w:val="24"/>
                              </w:rPr>
                              <w:t>Issues</w:t>
                            </w:r>
                          </w:p>
                          <w:p w:rsidR="00F66189" w:rsidRPr="00E26651" w:rsidRDefault="00F66189" w:rsidP="0054713E">
                            <w:pPr>
                              <w:rPr>
                                <w:b/>
                                <w:sz w:val="24"/>
                              </w:rPr>
                            </w:pPr>
                          </w:p>
                          <w:p w:rsidR="00F66189" w:rsidRPr="006D727A" w:rsidRDefault="00F66189" w:rsidP="006616E8">
                            <w:pPr>
                              <w:pStyle w:val="ListParagraph"/>
                              <w:numPr>
                                <w:ilvl w:val="0"/>
                                <w:numId w:val="6"/>
                              </w:numPr>
                              <w:ind w:left="360"/>
                              <w:rPr>
                                <w:sz w:val="22"/>
                                <w:szCs w:val="22"/>
                              </w:rPr>
                            </w:pPr>
                            <w:r>
                              <w:rPr>
                                <w:sz w:val="22"/>
                                <w:szCs w:val="22"/>
                              </w:rPr>
                              <w:t>The total agency spend in M11 was £1,055k, which is a reduction of £193</w:t>
                            </w:r>
                            <w:r w:rsidRPr="006D727A">
                              <w:rPr>
                                <w:sz w:val="22"/>
                                <w:szCs w:val="22"/>
                              </w:rPr>
                              <w:t>k compar</w:t>
                            </w:r>
                            <w:r>
                              <w:rPr>
                                <w:sz w:val="22"/>
                                <w:szCs w:val="22"/>
                              </w:rPr>
                              <w:t>ed to the M10 expenditure of £1,248</w:t>
                            </w:r>
                            <w:r w:rsidRPr="006D727A">
                              <w:rPr>
                                <w:sz w:val="22"/>
                                <w:szCs w:val="22"/>
                              </w:rPr>
                              <w:t>k.</w:t>
                            </w:r>
                          </w:p>
                          <w:p w:rsidR="00F66189" w:rsidRPr="006D727A" w:rsidRDefault="00F66189" w:rsidP="0054713E">
                            <w:pPr>
                              <w:pStyle w:val="ListParagraph"/>
                              <w:ind w:left="360"/>
                              <w:rPr>
                                <w:sz w:val="22"/>
                                <w:szCs w:val="22"/>
                              </w:rPr>
                            </w:pPr>
                          </w:p>
                          <w:p w:rsidR="00F66189" w:rsidRPr="006D727A" w:rsidRDefault="00F66189" w:rsidP="006616E8">
                            <w:pPr>
                              <w:pStyle w:val="ListParagraph"/>
                              <w:numPr>
                                <w:ilvl w:val="0"/>
                                <w:numId w:val="6"/>
                              </w:numPr>
                              <w:ind w:left="360"/>
                              <w:rPr>
                                <w:sz w:val="22"/>
                                <w:szCs w:val="22"/>
                              </w:rPr>
                            </w:pPr>
                            <w:r>
                              <w:rPr>
                                <w:sz w:val="22"/>
                                <w:szCs w:val="22"/>
                              </w:rPr>
                              <w:t>The most significant de</w:t>
                            </w:r>
                            <w:r w:rsidRPr="006D727A">
                              <w:rPr>
                                <w:sz w:val="22"/>
                                <w:szCs w:val="22"/>
                              </w:rPr>
                              <w:t xml:space="preserve">crease </w:t>
                            </w:r>
                            <w:r>
                              <w:rPr>
                                <w:sz w:val="22"/>
                                <w:szCs w:val="22"/>
                              </w:rPr>
                              <w:t>was</w:t>
                            </w:r>
                            <w:r w:rsidRPr="006D727A">
                              <w:rPr>
                                <w:sz w:val="22"/>
                                <w:szCs w:val="22"/>
                              </w:rPr>
                              <w:t xml:space="preserve"> reported within </w:t>
                            </w:r>
                            <w:r>
                              <w:rPr>
                                <w:sz w:val="22"/>
                                <w:szCs w:val="22"/>
                              </w:rPr>
                              <w:t>POW Delivery Unit with a reduction of £218</w:t>
                            </w:r>
                            <w:r w:rsidRPr="006D727A">
                              <w:rPr>
                                <w:sz w:val="22"/>
                                <w:szCs w:val="22"/>
                              </w:rPr>
                              <w:t>k</w:t>
                            </w:r>
                            <w:r>
                              <w:rPr>
                                <w:sz w:val="22"/>
                                <w:szCs w:val="22"/>
                              </w:rPr>
                              <w:t>.</w:t>
                            </w:r>
                          </w:p>
                          <w:p w:rsidR="00F66189" w:rsidRPr="006D727A" w:rsidRDefault="00F66189" w:rsidP="0054713E">
                            <w:pPr>
                              <w:pStyle w:val="ListParagraph"/>
                              <w:rPr>
                                <w:sz w:val="22"/>
                                <w:szCs w:val="22"/>
                              </w:rPr>
                            </w:pPr>
                          </w:p>
                          <w:p w:rsidR="00F66189" w:rsidRPr="006D727A" w:rsidRDefault="00F66189" w:rsidP="006616E8">
                            <w:pPr>
                              <w:pStyle w:val="ListParagraph"/>
                              <w:numPr>
                                <w:ilvl w:val="0"/>
                                <w:numId w:val="6"/>
                              </w:numPr>
                              <w:ind w:left="360"/>
                              <w:rPr>
                                <w:sz w:val="22"/>
                                <w:szCs w:val="22"/>
                              </w:rPr>
                            </w:pPr>
                            <w:r w:rsidRPr="006D727A">
                              <w:rPr>
                                <w:sz w:val="22"/>
                                <w:szCs w:val="22"/>
                              </w:rPr>
                              <w:t>U</w:t>
                            </w:r>
                            <w:r>
                              <w:rPr>
                                <w:sz w:val="22"/>
                                <w:szCs w:val="22"/>
                              </w:rPr>
                              <w:t>nscheduled care accounted for 51.3</w:t>
                            </w:r>
                            <w:r w:rsidRPr="006D727A">
                              <w:rPr>
                                <w:sz w:val="22"/>
                                <w:szCs w:val="22"/>
                              </w:rPr>
                              <w:t xml:space="preserve">% of </w:t>
                            </w:r>
                            <w:r>
                              <w:rPr>
                                <w:sz w:val="22"/>
                                <w:szCs w:val="22"/>
                              </w:rPr>
                              <w:t>the total agency expenditure in M11</w:t>
                            </w:r>
                            <w:r w:rsidRPr="006D727A">
                              <w:rPr>
                                <w:sz w:val="22"/>
                                <w:szCs w:val="22"/>
                              </w:rPr>
                              <w:t>, with the POW</w:t>
                            </w:r>
                            <w:r>
                              <w:rPr>
                                <w:sz w:val="22"/>
                                <w:szCs w:val="22"/>
                              </w:rPr>
                              <w:t xml:space="preserve"> Delivery Unit reducing from 30.9% in M10 to 15.8</w:t>
                            </w:r>
                            <w:r w:rsidRPr="006D727A">
                              <w:rPr>
                                <w:sz w:val="22"/>
                                <w:szCs w:val="22"/>
                              </w:rPr>
                              <w:t>%</w:t>
                            </w:r>
                            <w:r>
                              <w:rPr>
                                <w:sz w:val="22"/>
                                <w:szCs w:val="22"/>
                              </w:rPr>
                              <w:t xml:space="preserve"> in M11.</w:t>
                            </w:r>
                          </w:p>
                          <w:p w:rsidR="00F66189" w:rsidRPr="005A0F4A" w:rsidRDefault="00F66189" w:rsidP="0054713E">
                            <w:pPr>
                              <w:pStyle w:val="ListParagraph"/>
                              <w:ind w:left="360"/>
                              <w:rPr>
                                <w:sz w:val="22"/>
                                <w:szCs w:val="22"/>
                              </w:rPr>
                            </w:pPr>
                            <w:r w:rsidRPr="005A0F4A">
                              <w:rPr>
                                <w:sz w:val="22"/>
                                <w:szCs w:val="22"/>
                              </w:rPr>
                              <w:t xml:space="preserve"> </w:t>
                            </w:r>
                          </w:p>
                          <w:p w:rsidR="00F66189" w:rsidRPr="00313640" w:rsidRDefault="00F66189" w:rsidP="0054713E">
                            <w:pPr>
                              <w:pStyle w:val="ListParagraph"/>
                              <w:ind w:left="360"/>
                              <w:rPr>
                                <w:sz w:val="22"/>
                                <w:szCs w:val="22"/>
                              </w:rPr>
                            </w:pPr>
                          </w:p>
                          <w:p w:rsidR="00F66189" w:rsidRPr="005A0F4A" w:rsidRDefault="00F66189" w:rsidP="0054713E">
                            <w:pPr>
                              <w:pStyle w:val="ListParagraph"/>
                              <w:rPr>
                                <w:sz w:val="20"/>
                                <w:szCs w:val="20"/>
                              </w:rPr>
                            </w:pPr>
                          </w:p>
                          <w:p w:rsidR="00F66189" w:rsidRPr="005A0F4A" w:rsidRDefault="00F66189" w:rsidP="0054713E">
                            <w:pPr>
                              <w:pStyle w:val="ListParagraph"/>
                              <w:ind w:left="284"/>
                              <w:rPr>
                                <w:sz w:val="20"/>
                                <w:szCs w:val="2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ED44528" id="_x0000_s1037" type="#_x0000_t202" style="position:absolute;left:0;text-align:left;margin-left:503.8pt;margin-top:.9pt;width:255.1pt;height:357.45pt;z-index:251813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" strokecolor="#8eb4e3" strokeweight="1.5pt">
                <v:path arrowok="t"/>
                <v:textbox>
                  <w:txbxContent>
                    <w:p w:rsidR="00F66189" w:rsidRPr="00E26651" w:rsidRDefault="00F66189" w:rsidP="0054713E">
                      <w:pPr>
                        <w:rPr>
                          <w:b/>
                          <w:sz w:val="24"/>
                        </w:rPr>
                      </w:pPr>
                      <w:r w:rsidRPr="00E26651">
                        <w:rPr>
                          <w:b/>
                          <w:sz w:val="24"/>
                        </w:rPr>
                        <w:t xml:space="preserve">Key </w:t>
                      </w:r>
                      <w:r>
                        <w:rPr>
                          <w:b/>
                          <w:sz w:val="24"/>
                        </w:rPr>
                        <w:t>Issues</w:t>
                      </w:r>
                    </w:p>
                    <w:p w:rsidR="00F66189" w:rsidRPr="00E26651" w:rsidRDefault="00F66189" w:rsidP="0054713E">
                      <w:pPr>
                        <w:rPr>
                          <w:b/>
                          <w:sz w:val="24"/>
                        </w:rPr>
                      </w:pPr>
                    </w:p>
                    <w:p w:rsidR="00F66189" w:rsidRPr="006D727A" w:rsidRDefault="00F66189" w:rsidP="006616E8">
                      <w:pPr>
                        <w:pStyle w:val="ListParagraph"/>
                        <w:numPr>
                          <w:ilvl w:val="0"/>
                          <w:numId w:val="6"/>
                        </w:numPr>
                        <w:ind w:left="360"/>
                        <w:rPr>
                          <w:sz w:val="22"/>
                          <w:szCs w:val="22"/>
                        </w:rPr>
                      </w:pPr>
                      <w:r>
                        <w:rPr>
                          <w:sz w:val="22"/>
                          <w:szCs w:val="22"/>
                        </w:rPr>
                        <w:t>The total agency spend in M11 was £1,055k, which is a reduction of £193</w:t>
                      </w:r>
                      <w:r w:rsidRPr="006D727A">
                        <w:rPr>
                          <w:sz w:val="22"/>
                          <w:szCs w:val="22"/>
                        </w:rPr>
                        <w:t>k compar</w:t>
                      </w:r>
                      <w:r>
                        <w:rPr>
                          <w:sz w:val="22"/>
                          <w:szCs w:val="22"/>
                        </w:rPr>
                        <w:t>ed to the M10 expenditure of £1,248</w:t>
                      </w:r>
                      <w:r w:rsidRPr="006D727A">
                        <w:rPr>
                          <w:sz w:val="22"/>
                          <w:szCs w:val="22"/>
                        </w:rPr>
                        <w:t>k.</w:t>
                      </w:r>
                    </w:p>
                    <w:p w:rsidR="00F66189" w:rsidRPr="006D727A" w:rsidRDefault="00F66189" w:rsidP="0054713E">
                      <w:pPr>
                        <w:pStyle w:val="ListParagraph"/>
                        <w:ind w:left="360"/>
                        <w:rPr>
                          <w:sz w:val="22"/>
                          <w:szCs w:val="22"/>
                        </w:rPr>
                      </w:pPr>
                    </w:p>
                    <w:p w:rsidR="00F66189" w:rsidRPr="006D727A" w:rsidRDefault="00F66189" w:rsidP="006616E8">
                      <w:pPr>
                        <w:pStyle w:val="ListParagraph"/>
                        <w:numPr>
                          <w:ilvl w:val="0"/>
                          <w:numId w:val="6"/>
                        </w:numPr>
                        <w:ind w:left="360"/>
                        <w:rPr>
                          <w:sz w:val="22"/>
                          <w:szCs w:val="22"/>
                        </w:rPr>
                      </w:pPr>
                      <w:r>
                        <w:rPr>
                          <w:sz w:val="22"/>
                          <w:szCs w:val="22"/>
                        </w:rPr>
                        <w:t>The most significant de</w:t>
                      </w:r>
                      <w:r w:rsidRPr="006D727A">
                        <w:rPr>
                          <w:sz w:val="22"/>
                          <w:szCs w:val="22"/>
                        </w:rPr>
                        <w:t xml:space="preserve">crease </w:t>
                      </w:r>
                      <w:r>
                        <w:rPr>
                          <w:sz w:val="22"/>
                          <w:szCs w:val="22"/>
                        </w:rPr>
                        <w:t>was</w:t>
                      </w:r>
                      <w:r w:rsidRPr="006D727A">
                        <w:rPr>
                          <w:sz w:val="22"/>
                          <w:szCs w:val="22"/>
                        </w:rPr>
                        <w:t xml:space="preserve"> reported within </w:t>
                      </w:r>
                      <w:r>
                        <w:rPr>
                          <w:sz w:val="22"/>
                          <w:szCs w:val="22"/>
                        </w:rPr>
                        <w:t>POW Delivery Unit with a reduction of £218</w:t>
                      </w:r>
                      <w:r w:rsidRPr="006D727A">
                        <w:rPr>
                          <w:sz w:val="22"/>
                          <w:szCs w:val="22"/>
                        </w:rPr>
                        <w:t>k</w:t>
                      </w:r>
                      <w:r>
                        <w:rPr>
                          <w:sz w:val="22"/>
                          <w:szCs w:val="22"/>
                        </w:rPr>
                        <w:t>.</w:t>
                      </w:r>
                    </w:p>
                    <w:p w:rsidR="00F66189" w:rsidRPr="006D727A" w:rsidRDefault="00F66189" w:rsidP="0054713E">
                      <w:pPr>
                        <w:pStyle w:val="ListParagraph"/>
                        <w:rPr>
                          <w:sz w:val="22"/>
                          <w:szCs w:val="22"/>
                        </w:rPr>
                      </w:pPr>
                    </w:p>
                    <w:p w:rsidR="00F66189" w:rsidRPr="006D727A" w:rsidRDefault="00F66189" w:rsidP="006616E8">
                      <w:pPr>
                        <w:pStyle w:val="ListParagraph"/>
                        <w:numPr>
                          <w:ilvl w:val="0"/>
                          <w:numId w:val="6"/>
                        </w:numPr>
                        <w:ind w:left="360"/>
                        <w:rPr>
                          <w:sz w:val="22"/>
                          <w:szCs w:val="22"/>
                        </w:rPr>
                      </w:pPr>
                      <w:r w:rsidRPr="006D727A">
                        <w:rPr>
                          <w:sz w:val="22"/>
                          <w:szCs w:val="22"/>
                        </w:rPr>
                        <w:t>U</w:t>
                      </w:r>
                      <w:r>
                        <w:rPr>
                          <w:sz w:val="22"/>
                          <w:szCs w:val="22"/>
                        </w:rPr>
                        <w:t>nscheduled care accounted for 51.3</w:t>
                      </w:r>
                      <w:r w:rsidRPr="006D727A">
                        <w:rPr>
                          <w:sz w:val="22"/>
                          <w:szCs w:val="22"/>
                        </w:rPr>
                        <w:t xml:space="preserve">% of </w:t>
                      </w:r>
                      <w:r>
                        <w:rPr>
                          <w:sz w:val="22"/>
                          <w:szCs w:val="22"/>
                        </w:rPr>
                        <w:t>the total agency expenditure in M11</w:t>
                      </w:r>
                      <w:r w:rsidRPr="006D727A">
                        <w:rPr>
                          <w:sz w:val="22"/>
                          <w:szCs w:val="22"/>
                        </w:rPr>
                        <w:t>, with the POW</w:t>
                      </w:r>
                      <w:r>
                        <w:rPr>
                          <w:sz w:val="22"/>
                          <w:szCs w:val="22"/>
                        </w:rPr>
                        <w:t xml:space="preserve"> Delivery Unit reducing from 30.9% in M10 to 15.8</w:t>
                      </w:r>
                      <w:r w:rsidRPr="006D727A">
                        <w:rPr>
                          <w:sz w:val="22"/>
                          <w:szCs w:val="22"/>
                        </w:rPr>
                        <w:t>%</w:t>
                      </w:r>
                      <w:r>
                        <w:rPr>
                          <w:sz w:val="22"/>
                          <w:szCs w:val="22"/>
                        </w:rPr>
                        <w:t xml:space="preserve"> in M11.</w:t>
                      </w:r>
                    </w:p>
                    <w:p w:rsidR="00F66189" w:rsidRPr="005A0F4A" w:rsidRDefault="00F66189" w:rsidP="0054713E">
                      <w:pPr>
                        <w:pStyle w:val="ListParagraph"/>
                        <w:ind w:left="360"/>
                        <w:rPr>
                          <w:sz w:val="22"/>
                          <w:szCs w:val="22"/>
                        </w:rPr>
                      </w:pPr>
                      <w:r w:rsidRPr="005A0F4A">
                        <w:rPr>
                          <w:sz w:val="22"/>
                          <w:szCs w:val="22"/>
                        </w:rPr>
                        <w:t xml:space="preserve"> </w:t>
                      </w:r>
                    </w:p>
                    <w:p w:rsidR="00F66189" w:rsidRPr="00313640" w:rsidRDefault="00F66189" w:rsidP="0054713E">
                      <w:pPr>
                        <w:pStyle w:val="ListParagraph"/>
                        <w:ind w:left="360"/>
                        <w:rPr>
                          <w:sz w:val="22"/>
                          <w:szCs w:val="22"/>
                        </w:rPr>
                      </w:pPr>
                    </w:p>
                    <w:p w:rsidR="00F66189" w:rsidRPr="005A0F4A" w:rsidRDefault="00F66189" w:rsidP="0054713E">
                      <w:pPr>
                        <w:pStyle w:val="ListParagraph"/>
                        <w:rPr>
                          <w:sz w:val="20"/>
                          <w:szCs w:val="20"/>
                        </w:rPr>
                      </w:pPr>
                    </w:p>
                    <w:p w:rsidR="00F66189" w:rsidRPr="005A0F4A" w:rsidRDefault="00F66189" w:rsidP="0054713E">
                      <w:pPr>
                        <w:pStyle w:val="ListParagraph"/>
                        <w:ind w:left="284"/>
                        <w:rPr>
                          <w:sz w:val="20"/>
                          <w:szCs w:val="20"/>
                        </w:rPr>
                      </w:pPr>
                    </w:p>
                  </w:txbxContent>
                </v:textbox>
              </v:shape>
            </w:pict>
          </mc:Fallback>
        </mc:AlternateContent>
      </w:r>
      <w:r w:rsidRPr="009E1897">
        <w:rPr>
          <w:noProof/>
          <w:lang w:eastAsia="en-GB"/>
        </w:rPr>
        <w:t xml:space="preserve"> </w:t>
      </w:r>
      <w:r w:rsidR="00A1004B">
        <w:rPr>
          <w:noProof/>
          <w:lang w:eastAsia="en-GB"/>
        </w:rPr>
        <w:drawing>
          <wp:inline distT="0" distB="0" distL="0" distR="0" wp14:anchorId="0B3432DE" wp14:editId="07B4B803">
            <wp:extent cx="5676900" cy="4547566"/>
            <wp:effectExtent l="0" t="0" r="0" b="5715"/>
            <wp:docPr id="57" name="Chart 57"/>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54713E" w:rsidRPr="00003341" w:rsidRDefault="0054713E" w:rsidP="0054713E">
      <w:pPr>
        <w:rPr>
          <w:b/>
          <w:sz w:val="24"/>
        </w:rPr>
      </w:pPr>
      <w:r w:rsidRPr="008075AF">
        <w:rPr>
          <w:rFonts w:cs="Tahoma"/>
          <w:bCs/>
          <w:sz w:val="20"/>
          <w:szCs w:val="20"/>
          <w:highlight w:val="yellow"/>
        </w:rPr>
        <w:br w:type="page"/>
      </w:r>
      <w:r w:rsidRPr="00003341">
        <w:rPr>
          <w:b/>
          <w:sz w:val="24"/>
        </w:rPr>
        <w:t xml:space="preserve">Additional Clinical Services – Wards and A&amp;E Pay Expenditure </w:t>
      </w:r>
    </w:p>
    <w:p w:rsidR="0054713E" w:rsidRPr="00003341" w:rsidRDefault="0054713E" w:rsidP="0054713E">
      <w:pPr>
        <w:ind w:firstLine="709"/>
        <w:rPr>
          <w:b/>
          <w:sz w:val="24"/>
        </w:rPr>
      </w:pPr>
    </w:p>
    <w:p w:rsidR="0054713E" w:rsidRPr="00003341" w:rsidRDefault="0054713E" w:rsidP="0054713E">
      <w:pPr>
        <w:pStyle w:val="ListParagraph"/>
        <w:ind w:left="709" w:right="678"/>
        <w:jc w:val="both"/>
        <w:rPr>
          <w:b/>
          <w:i/>
          <w:sz w:val="24"/>
        </w:rPr>
      </w:pPr>
      <w:r w:rsidRPr="00003341">
        <w:rPr>
          <w:sz w:val="24"/>
        </w:rPr>
        <w:t xml:space="preserve">The chart below show the monthly trends for Additional Clinical Services </w:t>
      </w:r>
      <w:r>
        <w:rPr>
          <w:sz w:val="24"/>
        </w:rPr>
        <w:t>pay costs in Wards and A&amp;E:</w:t>
      </w:r>
      <w:r w:rsidRPr="00003341">
        <w:rPr>
          <w:b/>
          <w:i/>
          <w:sz w:val="24"/>
        </w:rPr>
        <w:t xml:space="preserve"> </w:t>
      </w:r>
      <w:r w:rsidRPr="00434E1D">
        <w:rPr>
          <w:b/>
          <w:i/>
          <w:sz w:val="24"/>
        </w:rPr>
        <w:t>(Please note scale of Y-axis)</w:t>
      </w:r>
    </w:p>
    <w:p w:rsidR="0054713E" w:rsidRPr="00003341" w:rsidRDefault="0054713E" w:rsidP="0054713E">
      <w:pPr>
        <w:pStyle w:val="ListParagraph"/>
        <w:ind w:left="709"/>
        <w:rPr>
          <w:rFonts w:cs="Tahoma"/>
          <w:bCs/>
          <w:sz w:val="20"/>
          <w:szCs w:val="20"/>
        </w:rPr>
      </w:pPr>
    </w:p>
    <w:p w:rsidR="0054713E" w:rsidRPr="00003341" w:rsidRDefault="0024129B" w:rsidP="0054713E">
      <w:pPr>
        <w:ind w:left="709"/>
        <w:rPr>
          <w:noProof/>
          <w:lang w:eastAsia="en-GB"/>
        </w:rPr>
      </w:pPr>
      <w:r>
        <w:rPr>
          <w:noProof/>
          <w:lang w:eastAsia="en-GB"/>
        </w:rPr>
        <w:drawing>
          <wp:inline distT="0" distB="0" distL="0" distR="0" wp14:anchorId="1EDD983A" wp14:editId="630D0845">
            <wp:extent cx="5777865" cy="2814761"/>
            <wp:effectExtent l="0" t="0" r="13335" b="5080"/>
            <wp:docPr id="59" name="Chart 59"/>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r w:rsidR="0054713E" w:rsidRPr="00003341">
        <w:rPr>
          <w:noProof/>
          <w:lang w:eastAsia="en-GB"/>
        </w:rPr>
        <mc:AlternateContent>
          <mc:Choice Requires="wps">
            <w:drawing>
              <wp:anchor distT="0" distB="0" distL="114300" distR="114300" simplePos="0" relativeHeight="251802624" behindDoc="0" locked="0" layoutInCell="1" allowOverlap="1" wp14:anchorId="705036A9" wp14:editId="504DEE00">
                <wp:simplePos x="0" y="0"/>
                <wp:positionH relativeFrom="column">
                  <wp:posOffset>6472076</wp:posOffset>
                </wp:positionH>
                <wp:positionV relativeFrom="paragraph">
                  <wp:posOffset>6326</wp:posOffset>
                </wp:positionV>
                <wp:extent cx="3220720" cy="4746865"/>
                <wp:effectExtent l="0" t="0" r="17780" b="15875"/>
                <wp:wrapNone/>
                <wp:docPr id="28"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220720" cy="4746865"/>
                        </a:xfrm>
                        <a:prstGeom prst="rect">
                          <a:avLst/>
                        </a:prstGeom>
                        <a:solidFill>
                          <a:srgbClr val="FFFFFF"/>
                        </a:solidFill>
                        <a:ln w="19050">
                          <a:solidFill>
                            <a:srgbClr val="8EB4E3"/>
                          </a:solidFill>
                          <a:miter lim="800000"/>
                          <a:headEnd/>
                          <a:tailEnd/>
                        </a:ln>
                      </wps:spPr>
                      <wps:txbx>
                        <w:txbxContent>
                          <w:p w:rsidR="00F66189" w:rsidRPr="00E26651" w:rsidRDefault="00F66189" w:rsidP="0054713E">
                            <w:pPr>
                              <w:rPr>
                                <w:b/>
                                <w:sz w:val="24"/>
                              </w:rPr>
                            </w:pPr>
                            <w:r w:rsidRPr="00E26651">
                              <w:rPr>
                                <w:b/>
                                <w:sz w:val="24"/>
                              </w:rPr>
                              <w:t xml:space="preserve">Key </w:t>
                            </w:r>
                            <w:r>
                              <w:rPr>
                                <w:b/>
                                <w:sz w:val="24"/>
                              </w:rPr>
                              <w:t>Issues</w:t>
                            </w:r>
                          </w:p>
                          <w:p w:rsidR="00F66189" w:rsidRPr="00E26651" w:rsidRDefault="00F66189" w:rsidP="0054713E">
                            <w:pPr>
                              <w:rPr>
                                <w:b/>
                                <w:sz w:val="24"/>
                              </w:rPr>
                            </w:pPr>
                          </w:p>
                          <w:p w:rsidR="00F66189" w:rsidRPr="006D727A" w:rsidRDefault="00F66189" w:rsidP="006616E8">
                            <w:pPr>
                              <w:pStyle w:val="ListParagraph"/>
                              <w:numPr>
                                <w:ilvl w:val="0"/>
                                <w:numId w:val="6"/>
                              </w:numPr>
                              <w:ind w:left="360"/>
                              <w:rPr>
                                <w:sz w:val="22"/>
                                <w:szCs w:val="22"/>
                              </w:rPr>
                            </w:pPr>
                            <w:r w:rsidRPr="006D727A">
                              <w:rPr>
                                <w:sz w:val="22"/>
                                <w:szCs w:val="22"/>
                              </w:rPr>
                              <w:t>The budget and spend in M1 included circa £70k for the non consolidated lump sum payment.</w:t>
                            </w:r>
                          </w:p>
                          <w:p w:rsidR="00F66189" w:rsidRPr="006D727A" w:rsidRDefault="00F66189" w:rsidP="0054713E">
                            <w:pPr>
                              <w:pStyle w:val="ListParagraph"/>
                              <w:ind w:left="360"/>
                              <w:rPr>
                                <w:sz w:val="22"/>
                                <w:szCs w:val="22"/>
                              </w:rPr>
                            </w:pPr>
                          </w:p>
                          <w:p w:rsidR="00F66189" w:rsidRPr="006D727A" w:rsidRDefault="00F66189" w:rsidP="006616E8">
                            <w:pPr>
                              <w:pStyle w:val="ListParagraph"/>
                              <w:numPr>
                                <w:ilvl w:val="0"/>
                                <w:numId w:val="6"/>
                              </w:numPr>
                              <w:ind w:left="360"/>
                              <w:rPr>
                                <w:sz w:val="22"/>
                                <w:szCs w:val="22"/>
                              </w:rPr>
                            </w:pPr>
                            <w:r>
                              <w:rPr>
                                <w:sz w:val="22"/>
                                <w:szCs w:val="22"/>
                              </w:rPr>
                              <w:t>Expenditure in M11 increased by £336</w:t>
                            </w:r>
                            <w:r w:rsidRPr="006D727A">
                              <w:rPr>
                                <w:sz w:val="22"/>
                                <w:szCs w:val="22"/>
                              </w:rPr>
                              <w:t>k.</w:t>
                            </w:r>
                          </w:p>
                          <w:p w:rsidR="00F66189" w:rsidRPr="006D727A" w:rsidRDefault="00F66189" w:rsidP="0054713E">
                            <w:pPr>
                              <w:pStyle w:val="ListParagraph"/>
                              <w:rPr>
                                <w:sz w:val="22"/>
                                <w:szCs w:val="22"/>
                              </w:rPr>
                            </w:pPr>
                          </w:p>
                          <w:p w:rsidR="00F66189" w:rsidRPr="006D727A" w:rsidRDefault="00F66189" w:rsidP="006616E8">
                            <w:pPr>
                              <w:pStyle w:val="ListParagraph"/>
                              <w:numPr>
                                <w:ilvl w:val="0"/>
                                <w:numId w:val="6"/>
                              </w:numPr>
                              <w:ind w:left="360"/>
                              <w:rPr>
                                <w:sz w:val="22"/>
                                <w:szCs w:val="22"/>
                              </w:rPr>
                            </w:pPr>
                            <w:r>
                              <w:rPr>
                                <w:sz w:val="22"/>
                                <w:szCs w:val="22"/>
                              </w:rPr>
                              <w:t>The M11 overspend was £632k which increased the YTD overspend to £4.4</w:t>
                            </w:r>
                            <w:r w:rsidRPr="006D727A">
                              <w:rPr>
                                <w:sz w:val="22"/>
                                <w:szCs w:val="22"/>
                              </w:rPr>
                              <w:t xml:space="preserve">m. </w:t>
                            </w:r>
                          </w:p>
                          <w:p w:rsidR="00F66189" w:rsidRPr="006D727A" w:rsidRDefault="00F66189" w:rsidP="0054713E">
                            <w:pPr>
                              <w:rPr>
                                <w:sz w:val="22"/>
                                <w:szCs w:val="22"/>
                              </w:rPr>
                            </w:pPr>
                          </w:p>
                          <w:p w:rsidR="00F66189" w:rsidRPr="006D727A" w:rsidRDefault="00F66189" w:rsidP="006616E8">
                            <w:pPr>
                              <w:pStyle w:val="ListParagraph"/>
                              <w:numPr>
                                <w:ilvl w:val="0"/>
                                <w:numId w:val="6"/>
                              </w:numPr>
                              <w:ind w:left="360"/>
                              <w:rPr>
                                <w:sz w:val="22"/>
                                <w:szCs w:val="22"/>
                              </w:rPr>
                            </w:pPr>
                            <w:r>
                              <w:rPr>
                                <w:sz w:val="22"/>
                                <w:szCs w:val="22"/>
                              </w:rPr>
                              <w:t>M11 agency costs</w:t>
                            </w:r>
                            <w:r w:rsidRPr="006D727A">
                              <w:rPr>
                                <w:sz w:val="22"/>
                                <w:szCs w:val="22"/>
                              </w:rPr>
                              <w:t xml:space="preserve"> </w:t>
                            </w:r>
                            <w:r>
                              <w:rPr>
                                <w:sz w:val="22"/>
                                <w:szCs w:val="22"/>
                              </w:rPr>
                              <w:t>were £188</w:t>
                            </w:r>
                            <w:r w:rsidRPr="006D727A">
                              <w:rPr>
                                <w:sz w:val="22"/>
                                <w:szCs w:val="22"/>
                              </w:rPr>
                              <w:t>k</w:t>
                            </w:r>
                            <w:r>
                              <w:rPr>
                                <w:sz w:val="22"/>
                                <w:szCs w:val="22"/>
                              </w:rPr>
                              <w:t>, an increase of £171k</w:t>
                            </w:r>
                            <w:r w:rsidRPr="006D727A">
                              <w:rPr>
                                <w:sz w:val="22"/>
                                <w:szCs w:val="22"/>
                              </w:rPr>
                              <w:t xml:space="preserve"> </w:t>
                            </w:r>
                            <w:r>
                              <w:rPr>
                                <w:sz w:val="22"/>
                                <w:szCs w:val="22"/>
                              </w:rPr>
                              <w:t>compared to M10</w:t>
                            </w:r>
                            <w:r w:rsidRPr="006D727A">
                              <w:rPr>
                                <w:sz w:val="22"/>
                                <w:szCs w:val="22"/>
                              </w:rPr>
                              <w:t xml:space="preserve">. </w:t>
                            </w:r>
                          </w:p>
                          <w:p w:rsidR="00F66189" w:rsidRPr="006D727A" w:rsidRDefault="00F66189" w:rsidP="0054713E">
                            <w:pPr>
                              <w:pStyle w:val="ListParagraph"/>
                              <w:ind w:left="360"/>
                              <w:rPr>
                                <w:sz w:val="22"/>
                                <w:szCs w:val="22"/>
                              </w:rPr>
                            </w:pPr>
                            <w:r w:rsidRPr="006D727A">
                              <w:rPr>
                                <w:sz w:val="22"/>
                                <w:szCs w:val="22"/>
                              </w:rPr>
                              <w:t xml:space="preserve"> </w:t>
                            </w:r>
                          </w:p>
                          <w:p w:rsidR="00F66189" w:rsidRPr="006D727A" w:rsidRDefault="00F66189" w:rsidP="006616E8">
                            <w:pPr>
                              <w:pStyle w:val="ListParagraph"/>
                              <w:numPr>
                                <w:ilvl w:val="0"/>
                                <w:numId w:val="6"/>
                              </w:numPr>
                              <w:ind w:left="360"/>
                              <w:rPr>
                                <w:sz w:val="22"/>
                                <w:szCs w:val="22"/>
                              </w:rPr>
                            </w:pPr>
                            <w:r>
                              <w:rPr>
                                <w:sz w:val="22"/>
                                <w:szCs w:val="22"/>
                              </w:rPr>
                              <w:t>M11 bank costs accounted for 27</w:t>
                            </w:r>
                            <w:r w:rsidRPr="006D727A">
                              <w:rPr>
                                <w:sz w:val="22"/>
                                <w:szCs w:val="22"/>
                              </w:rPr>
                              <w:t xml:space="preserve">% of the total pay costs for ACS staff in Wards and A&amp;E. </w:t>
                            </w:r>
                          </w:p>
                          <w:p w:rsidR="00F66189" w:rsidRPr="00E26651" w:rsidRDefault="00F66189" w:rsidP="0054713E">
                            <w:pPr>
                              <w:rPr>
                                <w:sz w:val="24"/>
                              </w:rPr>
                            </w:pPr>
                          </w:p>
                          <w:p w:rsidR="00F66189" w:rsidRPr="00E26651" w:rsidRDefault="00F66189" w:rsidP="0054713E">
                            <w:pPr>
                              <w:pStyle w:val="ListParagraph"/>
                              <w:ind w:left="360"/>
                              <w:rPr>
                                <w:sz w:val="24"/>
                              </w:rPr>
                            </w:pPr>
                            <w:r w:rsidRPr="00E26651">
                              <w:rPr>
                                <w:sz w:val="24"/>
                              </w:rPr>
                              <w:t xml:space="preserve"> </w:t>
                            </w:r>
                          </w:p>
                          <w:p w:rsidR="00F66189" w:rsidRPr="00717EB5" w:rsidRDefault="00F66189" w:rsidP="0054713E">
                            <w:pPr>
                              <w:pStyle w:val="ListParagraph"/>
                              <w:ind w:left="284"/>
                              <w:rPr>
                                <w:sz w:val="20"/>
                                <w:szCs w:val="2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05036A9" id="Text Box 16" o:spid="_x0000_s1038" type="#_x0000_t202" style="position:absolute;left:0;text-align:left;margin-left:509.6pt;margin-top:.5pt;width:253.6pt;height:373.75pt;z-index:25180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" strokecolor="#8eb4e3" strokeweight="1.5pt">
                <v:path arrowok="t"/>
                <v:textbox>
                  <w:txbxContent>
                    <w:p w:rsidR="00F66189" w:rsidRPr="00E26651" w:rsidRDefault="00F66189" w:rsidP="0054713E">
                      <w:pPr>
                        <w:rPr>
                          <w:b/>
                          <w:sz w:val="24"/>
                        </w:rPr>
                      </w:pPr>
                      <w:r w:rsidRPr="00E26651">
                        <w:rPr>
                          <w:b/>
                          <w:sz w:val="24"/>
                        </w:rPr>
                        <w:t xml:space="preserve">Key </w:t>
                      </w:r>
                      <w:r>
                        <w:rPr>
                          <w:b/>
                          <w:sz w:val="24"/>
                        </w:rPr>
                        <w:t>Issues</w:t>
                      </w:r>
                    </w:p>
                    <w:p w:rsidR="00F66189" w:rsidRPr="00E26651" w:rsidRDefault="00F66189" w:rsidP="0054713E">
                      <w:pPr>
                        <w:rPr>
                          <w:b/>
                          <w:sz w:val="24"/>
                        </w:rPr>
                      </w:pPr>
                    </w:p>
                    <w:p w:rsidR="00F66189" w:rsidRPr="006D727A" w:rsidRDefault="00F66189" w:rsidP="006616E8">
                      <w:pPr>
                        <w:pStyle w:val="ListParagraph"/>
                        <w:numPr>
                          <w:ilvl w:val="0"/>
                          <w:numId w:val="6"/>
                        </w:numPr>
                        <w:ind w:left="360"/>
                        <w:rPr>
                          <w:sz w:val="22"/>
                          <w:szCs w:val="22"/>
                        </w:rPr>
                      </w:pPr>
                      <w:r w:rsidRPr="006D727A">
                        <w:rPr>
                          <w:sz w:val="22"/>
                          <w:szCs w:val="22"/>
                        </w:rPr>
                        <w:t>The budget and spend in M1 included circa £70k for the non consolidated lump sum payment.</w:t>
                      </w:r>
                    </w:p>
                    <w:p w:rsidR="00F66189" w:rsidRPr="006D727A" w:rsidRDefault="00F66189" w:rsidP="0054713E">
                      <w:pPr>
                        <w:pStyle w:val="ListParagraph"/>
                        <w:ind w:left="360"/>
                        <w:rPr>
                          <w:sz w:val="22"/>
                          <w:szCs w:val="22"/>
                        </w:rPr>
                      </w:pPr>
                    </w:p>
                    <w:p w:rsidR="00F66189" w:rsidRPr="006D727A" w:rsidRDefault="00F66189" w:rsidP="006616E8">
                      <w:pPr>
                        <w:pStyle w:val="ListParagraph"/>
                        <w:numPr>
                          <w:ilvl w:val="0"/>
                          <w:numId w:val="6"/>
                        </w:numPr>
                        <w:ind w:left="360"/>
                        <w:rPr>
                          <w:sz w:val="22"/>
                          <w:szCs w:val="22"/>
                        </w:rPr>
                      </w:pPr>
                      <w:r>
                        <w:rPr>
                          <w:sz w:val="22"/>
                          <w:szCs w:val="22"/>
                        </w:rPr>
                        <w:t>Expenditure in M11 increased by £336</w:t>
                      </w:r>
                      <w:r w:rsidRPr="006D727A">
                        <w:rPr>
                          <w:sz w:val="22"/>
                          <w:szCs w:val="22"/>
                        </w:rPr>
                        <w:t>k.</w:t>
                      </w:r>
                    </w:p>
                    <w:p w:rsidR="00F66189" w:rsidRPr="006D727A" w:rsidRDefault="00F66189" w:rsidP="0054713E">
                      <w:pPr>
                        <w:pStyle w:val="ListParagraph"/>
                        <w:rPr>
                          <w:sz w:val="22"/>
                          <w:szCs w:val="22"/>
                        </w:rPr>
                      </w:pPr>
                    </w:p>
                    <w:p w:rsidR="00F66189" w:rsidRPr="006D727A" w:rsidRDefault="00F66189" w:rsidP="006616E8">
                      <w:pPr>
                        <w:pStyle w:val="ListParagraph"/>
                        <w:numPr>
                          <w:ilvl w:val="0"/>
                          <w:numId w:val="6"/>
                        </w:numPr>
                        <w:ind w:left="360"/>
                        <w:rPr>
                          <w:sz w:val="22"/>
                          <w:szCs w:val="22"/>
                        </w:rPr>
                      </w:pPr>
                      <w:r>
                        <w:rPr>
                          <w:sz w:val="22"/>
                          <w:szCs w:val="22"/>
                        </w:rPr>
                        <w:t>The M11 overspend was £632k which increased the YTD overspend to £4.4</w:t>
                      </w:r>
                      <w:r w:rsidRPr="006D727A">
                        <w:rPr>
                          <w:sz w:val="22"/>
                          <w:szCs w:val="22"/>
                        </w:rPr>
                        <w:t xml:space="preserve">m. </w:t>
                      </w:r>
                    </w:p>
                    <w:p w:rsidR="00F66189" w:rsidRPr="006D727A" w:rsidRDefault="00F66189" w:rsidP="0054713E">
                      <w:pPr>
                        <w:rPr>
                          <w:sz w:val="22"/>
                          <w:szCs w:val="22"/>
                        </w:rPr>
                      </w:pPr>
                    </w:p>
                    <w:p w:rsidR="00F66189" w:rsidRPr="006D727A" w:rsidRDefault="00F66189" w:rsidP="006616E8">
                      <w:pPr>
                        <w:pStyle w:val="ListParagraph"/>
                        <w:numPr>
                          <w:ilvl w:val="0"/>
                          <w:numId w:val="6"/>
                        </w:numPr>
                        <w:ind w:left="360"/>
                        <w:rPr>
                          <w:sz w:val="22"/>
                          <w:szCs w:val="22"/>
                        </w:rPr>
                      </w:pPr>
                      <w:r>
                        <w:rPr>
                          <w:sz w:val="22"/>
                          <w:szCs w:val="22"/>
                        </w:rPr>
                        <w:t>M11 agency costs</w:t>
                      </w:r>
                      <w:r w:rsidRPr="006D727A">
                        <w:rPr>
                          <w:sz w:val="22"/>
                          <w:szCs w:val="22"/>
                        </w:rPr>
                        <w:t xml:space="preserve"> </w:t>
                      </w:r>
                      <w:r>
                        <w:rPr>
                          <w:sz w:val="22"/>
                          <w:szCs w:val="22"/>
                        </w:rPr>
                        <w:t>were £188</w:t>
                      </w:r>
                      <w:r w:rsidRPr="006D727A">
                        <w:rPr>
                          <w:sz w:val="22"/>
                          <w:szCs w:val="22"/>
                        </w:rPr>
                        <w:t>k</w:t>
                      </w:r>
                      <w:r>
                        <w:rPr>
                          <w:sz w:val="22"/>
                          <w:szCs w:val="22"/>
                        </w:rPr>
                        <w:t>, an increase of £171k</w:t>
                      </w:r>
                      <w:r w:rsidRPr="006D727A">
                        <w:rPr>
                          <w:sz w:val="22"/>
                          <w:szCs w:val="22"/>
                        </w:rPr>
                        <w:t xml:space="preserve"> </w:t>
                      </w:r>
                      <w:r>
                        <w:rPr>
                          <w:sz w:val="22"/>
                          <w:szCs w:val="22"/>
                        </w:rPr>
                        <w:t>compared to M10</w:t>
                      </w:r>
                      <w:r w:rsidRPr="006D727A">
                        <w:rPr>
                          <w:sz w:val="22"/>
                          <w:szCs w:val="22"/>
                        </w:rPr>
                        <w:t xml:space="preserve">. </w:t>
                      </w:r>
                    </w:p>
                    <w:p w:rsidR="00F66189" w:rsidRPr="006D727A" w:rsidRDefault="00F66189" w:rsidP="0054713E">
                      <w:pPr>
                        <w:pStyle w:val="ListParagraph"/>
                        <w:ind w:left="360"/>
                        <w:rPr>
                          <w:sz w:val="22"/>
                          <w:szCs w:val="22"/>
                        </w:rPr>
                      </w:pPr>
                      <w:r w:rsidRPr="006D727A">
                        <w:rPr>
                          <w:sz w:val="22"/>
                          <w:szCs w:val="22"/>
                        </w:rPr>
                        <w:t xml:space="preserve"> </w:t>
                      </w:r>
                    </w:p>
                    <w:p w:rsidR="00F66189" w:rsidRPr="006D727A" w:rsidRDefault="00F66189" w:rsidP="006616E8">
                      <w:pPr>
                        <w:pStyle w:val="ListParagraph"/>
                        <w:numPr>
                          <w:ilvl w:val="0"/>
                          <w:numId w:val="6"/>
                        </w:numPr>
                        <w:ind w:left="360"/>
                        <w:rPr>
                          <w:sz w:val="22"/>
                          <w:szCs w:val="22"/>
                        </w:rPr>
                      </w:pPr>
                      <w:r>
                        <w:rPr>
                          <w:sz w:val="22"/>
                          <w:szCs w:val="22"/>
                        </w:rPr>
                        <w:t>M11 bank costs accounted for 27</w:t>
                      </w:r>
                      <w:r w:rsidRPr="006D727A">
                        <w:rPr>
                          <w:sz w:val="22"/>
                          <w:szCs w:val="22"/>
                        </w:rPr>
                        <w:t xml:space="preserve">% of the total pay costs for ACS staff in Wards and A&amp;E. </w:t>
                      </w:r>
                    </w:p>
                    <w:p w:rsidR="00F66189" w:rsidRPr="00E26651" w:rsidRDefault="00F66189" w:rsidP="0054713E">
                      <w:pPr>
                        <w:rPr>
                          <w:sz w:val="24"/>
                        </w:rPr>
                      </w:pPr>
                    </w:p>
                    <w:p w:rsidR="00F66189" w:rsidRPr="00E26651" w:rsidRDefault="00F66189" w:rsidP="0054713E">
                      <w:pPr>
                        <w:pStyle w:val="ListParagraph"/>
                        <w:ind w:left="360"/>
                        <w:rPr>
                          <w:sz w:val="24"/>
                        </w:rPr>
                      </w:pPr>
                      <w:r w:rsidRPr="00E26651">
                        <w:rPr>
                          <w:sz w:val="24"/>
                        </w:rPr>
                        <w:t xml:space="preserve"> </w:t>
                      </w:r>
                    </w:p>
                    <w:p w:rsidR="00F66189" w:rsidRPr="00717EB5" w:rsidRDefault="00F66189" w:rsidP="0054713E">
                      <w:pPr>
                        <w:pStyle w:val="ListParagraph"/>
                        <w:ind w:left="284"/>
                        <w:rPr>
                          <w:sz w:val="20"/>
                          <w:szCs w:val="20"/>
                        </w:rPr>
                      </w:pPr>
                    </w:p>
                  </w:txbxContent>
                </v:textbox>
              </v:shape>
            </w:pict>
          </mc:Fallback>
        </mc:AlternateContent>
      </w:r>
      <w:r w:rsidR="0054713E" w:rsidRPr="00003341">
        <w:rPr>
          <w:noProof/>
          <w:lang w:eastAsia="en-GB"/>
        </w:rPr>
        <w:t xml:space="preserve"> </w:t>
      </w:r>
    </w:p>
    <w:p w:rsidR="0054713E" w:rsidRPr="00003341" w:rsidRDefault="0054713E" w:rsidP="0054713E">
      <w:pPr>
        <w:ind w:left="709"/>
        <w:rPr>
          <w:rFonts w:cs="Tahoma"/>
          <w:bCs/>
          <w:sz w:val="20"/>
          <w:szCs w:val="20"/>
        </w:rPr>
      </w:pPr>
    </w:p>
    <w:p w:rsidR="0054713E" w:rsidRPr="00003341" w:rsidRDefault="005B619D" w:rsidP="0054713E">
      <w:pPr>
        <w:ind w:left="709"/>
        <w:jc w:val="both"/>
        <w:rPr>
          <w:rFonts w:cs="Tahoma"/>
          <w:bCs/>
          <w:sz w:val="20"/>
          <w:szCs w:val="20"/>
        </w:rPr>
      </w:pPr>
      <w:r>
        <w:rPr>
          <w:noProof/>
          <w:lang w:eastAsia="en-GB"/>
        </w:rPr>
        <w:drawing>
          <wp:inline distT="0" distB="0" distL="0" distR="0" wp14:anchorId="364E30C3" wp14:editId="4C3B4AEE">
            <wp:extent cx="2955341" cy="1762125"/>
            <wp:effectExtent l="0" t="0" r="16510" b="9525"/>
            <wp:docPr id="46" name="Chart 46"/>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r w:rsidR="0054713E" w:rsidRPr="00960C6D">
        <w:rPr>
          <w:noProof/>
          <w:lang w:eastAsia="en-GB"/>
        </w:rPr>
        <w:t xml:space="preserve"> </w:t>
      </w:r>
      <w:r>
        <w:rPr>
          <w:noProof/>
          <w:lang w:eastAsia="en-GB"/>
        </w:rPr>
        <w:drawing>
          <wp:inline distT="0" distB="0" distL="0" distR="0" wp14:anchorId="6C4B1929" wp14:editId="6A9204C3">
            <wp:extent cx="2740787" cy="1762125"/>
            <wp:effectExtent l="0" t="0" r="2540" b="9525"/>
            <wp:docPr id="47" name="Chart 47"/>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r w:rsidR="0054713E" w:rsidRPr="00003341">
        <w:rPr>
          <w:noProof/>
          <w:lang w:eastAsia="en-GB"/>
        </w:rPr>
        <w:t xml:space="preserve"> </w:t>
      </w:r>
    </w:p>
    <w:p w:rsidR="0054713E" w:rsidRPr="00003341" w:rsidRDefault="0054713E" w:rsidP="0054713E">
      <w:pPr>
        <w:ind w:left="709"/>
        <w:jc w:val="both"/>
        <w:rPr>
          <w:rFonts w:cs="Tahoma"/>
          <w:b/>
          <w:bCs/>
          <w:sz w:val="24"/>
        </w:rPr>
      </w:pPr>
    </w:p>
    <w:p w:rsidR="0054713E" w:rsidRPr="00B87E00" w:rsidRDefault="0054713E" w:rsidP="006616E8">
      <w:pPr>
        <w:pStyle w:val="ListParagraph"/>
        <w:numPr>
          <w:ilvl w:val="1"/>
          <w:numId w:val="34"/>
        </w:numPr>
        <w:jc w:val="both"/>
        <w:rPr>
          <w:rFonts w:cs="Tahoma"/>
          <w:b/>
          <w:bCs/>
          <w:sz w:val="24"/>
        </w:rPr>
      </w:pPr>
      <w:r w:rsidRPr="00B87E00">
        <w:rPr>
          <w:rFonts w:cs="Tahoma"/>
          <w:b/>
          <w:bCs/>
          <w:sz w:val="24"/>
        </w:rPr>
        <w:t>Non Pay Expenditure</w:t>
      </w:r>
    </w:p>
    <w:p w:rsidR="0054713E" w:rsidRPr="00B87E00" w:rsidRDefault="0054713E" w:rsidP="0054713E">
      <w:pPr>
        <w:jc w:val="both"/>
        <w:rPr>
          <w:b/>
          <w:sz w:val="24"/>
          <w:u w:val="single"/>
        </w:rPr>
      </w:pPr>
    </w:p>
    <w:p w:rsidR="0054713E" w:rsidRPr="00B87E00" w:rsidRDefault="0054713E" w:rsidP="0054713E">
      <w:pPr>
        <w:ind w:firstLine="720"/>
        <w:rPr>
          <w:rFonts w:cs="Tahoma"/>
          <w:b/>
          <w:bCs/>
          <w:sz w:val="24"/>
        </w:rPr>
      </w:pPr>
      <w:r w:rsidRPr="00B87E00">
        <w:rPr>
          <w:rFonts w:cs="Tahoma"/>
          <w:b/>
          <w:bCs/>
          <w:sz w:val="24"/>
        </w:rPr>
        <w:t>Monthly Trends</w:t>
      </w:r>
    </w:p>
    <w:p w:rsidR="0054713E" w:rsidRPr="00B87E00" w:rsidRDefault="0054713E" w:rsidP="0054713E">
      <w:pPr>
        <w:jc w:val="both"/>
        <w:rPr>
          <w:rFonts w:cs="Tahoma"/>
          <w:b/>
          <w:bCs/>
          <w:sz w:val="24"/>
        </w:rPr>
      </w:pPr>
    </w:p>
    <w:p w:rsidR="0054713E" w:rsidRPr="00B87E00" w:rsidRDefault="0054713E" w:rsidP="0054713E">
      <w:pPr>
        <w:pStyle w:val="ListParagraph"/>
        <w:ind w:left="0" w:firstLine="720"/>
        <w:rPr>
          <w:b/>
          <w:i/>
          <w:sz w:val="24"/>
        </w:rPr>
      </w:pPr>
      <w:r w:rsidRPr="00B87E00">
        <w:rPr>
          <w:sz w:val="24"/>
        </w:rPr>
        <w:t xml:space="preserve">The chart below shows the monthly trends of non pay expenditure and budgets:  </w:t>
      </w:r>
      <w:r w:rsidRPr="00B87E00">
        <w:rPr>
          <w:b/>
          <w:i/>
          <w:sz w:val="24"/>
        </w:rPr>
        <w:t>(Please note scale of Y-axis)</w:t>
      </w:r>
    </w:p>
    <w:p w:rsidR="0054713E" w:rsidRPr="00B87E00" w:rsidRDefault="0054713E" w:rsidP="0054713E">
      <w:pPr>
        <w:jc w:val="both"/>
        <w:rPr>
          <w:rFonts w:cs="Tahoma"/>
          <w:b/>
          <w:bCs/>
          <w:sz w:val="20"/>
          <w:szCs w:val="20"/>
        </w:rPr>
      </w:pPr>
    </w:p>
    <w:p w:rsidR="0054713E" w:rsidRPr="00B87E00" w:rsidRDefault="0054713E" w:rsidP="0054713E">
      <w:pPr>
        <w:tabs>
          <w:tab w:val="left" w:pos="1603"/>
        </w:tabs>
        <w:ind w:left="709"/>
        <w:jc w:val="both"/>
        <w:rPr>
          <w:b/>
          <w:sz w:val="20"/>
          <w:szCs w:val="20"/>
          <w:u w:val="single"/>
        </w:rPr>
      </w:pPr>
      <w:r w:rsidRPr="00B87E00">
        <w:rPr>
          <w:noProof/>
          <w:lang w:eastAsia="en-GB"/>
        </w:rPr>
        <mc:AlternateContent>
          <mc:Choice Requires="wps">
            <w:drawing>
              <wp:anchor distT="0" distB="0" distL="114300" distR="114300" simplePos="0" relativeHeight="251808768" behindDoc="0" locked="0" layoutInCell="1" allowOverlap="1" wp14:anchorId="75662760" wp14:editId="6B019591">
                <wp:simplePos x="0" y="0"/>
                <wp:positionH relativeFrom="column">
                  <wp:posOffset>6391885</wp:posOffset>
                </wp:positionH>
                <wp:positionV relativeFrom="paragraph">
                  <wp:posOffset>21514</wp:posOffset>
                </wp:positionV>
                <wp:extent cx="3532919" cy="4694199"/>
                <wp:effectExtent l="0" t="0" r="10795" b="11430"/>
                <wp:wrapNone/>
                <wp:docPr id="27"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532919" cy="4694199"/>
                        </a:xfrm>
                        <a:prstGeom prst="rect">
                          <a:avLst/>
                        </a:prstGeom>
                        <a:solidFill>
                          <a:srgbClr val="FFFFFF"/>
                        </a:solidFill>
                        <a:ln w="19050">
                          <a:solidFill>
                            <a:srgbClr val="8EB4E3"/>
                          </a:solidFill>
                          <a:miter lim="800000"/>
                          <a:headEnd/>
                          <a:tailEnd/>
                        </a:ln>
                      </wps:spPr>
                      <wps:txbx>
                        <w:txbxContent>
                          <w:p w:rsidR="00F66189" w:rsidRPr="006A0EF4" w:rsidRDefault="00F66189" w:rsidP="0054713E">
                            <w:pPr>
                              <w:rPr>
                                <w:b/>
                                <w:sz w:val="24"/>
                              </w:rPr>
                            </w:pPr>
                            <w:r w:rsidRPr="006A0EF4">
                              <w:rPr>
                                <w:b/>
                                <w:sz w:val="24"/>
                              </w:rPr>
                              <w:t>Key Issues</w:t>
                            </w:r>
                          </w:p>
                          <w:p w:rsidR="00F66189" w:rsidRPr="006A0EF4" w:rsidRDefault="00F66189" w:rsidP="006616E8">
                            <w:pPr>
                              <w:pStyle w:val="ListParagraph"/>
                              <w:numPr>
                                <w:ilvl w:val="0"/>
                                <w:numId w:val="7"/>
                              </w:numPr>
                              <w:ind w:left="567" w:hanging="567"/>
                              <w:rPr>
                                <w:sz w:val="22"/>
                                <w:szCs w:val="22"/>
                              </w:rPr>
                            </w:pPr>
                            <w:r>
                              <w:rPr>
                                <w:sz w:val="22"/>
                                <w:szCs w:val="22"/>
                              </w:rPr>
                              <w:t>Total n</w:t>
                            </w:r>
                            <w:r w:rsidRPr="006A0EF4">
                              <w:rPr>
                                <w:sz w:val="22"/>
                                <w:szCs w:val="22"/>
                              </w:rPr>
                              <w:t xml:space="preserve">on </w:t>
                            </w:r>
                            <w:r>
                              <w:rPr>
                                <w:sz w:val="22"/>
                                <w:szCs w:val="22"/>
                              </w:rPr>
                              <w:t>p</w:t>
                            </w:r>
                            <w:r w:rsidRPr="006A0EF4">
                              <w:rPr>
                                <w:sz w:val="22"/>
                                <w:szCs w:val="22"/>
                              </w:rPr>
                              <w:t xml:space="preserve">ay </w:t>
                            </w:r>
                            <w:r>
                              <w:rPr>
                                <w:sz w:val="22"/>
                                <w:szCs w:val="22"/>
                              </w:rPr>
                              <w:t>expenditure increased by £2.9m to £55.2m in M11.</w:t>
                            </w:r>
                          </w:p>
                          <w:p w:rsidR="00F66189" w:rsidRPr="006F64BE" w:rsidRDefault="00F66189" w:rsidP="0054713E">
                            <w:pPr>
                              <w:pStyle w:val="ListParagraph"/>
                              <w:ind w:left="567"/>
                              <w:rPr>
                                <w:sz w:val="22"/>
                                <w:szCs w:val="22"/>
                              </w:rPr>
                            </w:pPr>
                          </w:p>
                          <w:p w:rsidR="00F66189" w:rsidRDefault="00F66189" w:rsidP="006616E8">
                            <w:pPr>
                              <w:pStyle w:val="ListParagraph"/>
                              <w:numPr>
                                <w:ilvl w:val="0"/>
                                <w:numId w:val="7"/>
                              </w:numPr>
                              <w:ind w:left="567" w:hanging="567"/>
                              <w:rPr>
                                <w:sz w:val="22"/>
                                <w:szCs w:val="22"/>
                              </w:rPr>
                            </w:pPr>
                            <w:r>
                              <w:rPr>
                                <w:sz w:val="22"/>
                                <w:szCs w:val="22"/>
                              </w:rPr>
                              <w:t>The M11 overspend was £1,548</w:t>
                            </w:r>
                            <w:r w:rsidRPr="00BD090E">
                              <w:rPr>
                                <w:sz w:val="22"/>
                                <w:szCs w:val="22"/>
                              </w:rPr>
                              <w:t xml:space="preserve">k </w:t>
                            </w:r>
                            <w:r>
                              <w:rPr>
                                <w:sz w:val="22"/>
                                <w:szCs w:val="22"/>
                              </w:rPr>
                              <w:t>which in</w:t>
                            </w:r>
                            <w:r w:rsidRPr="00BD090E">
                              <w:rPr>
                                <w:sz w:val="22"/>
                                <w:szCs w:val="22"/>
                              </w:rPr>
                              <w:t>cre</w:t>
                            </w:r>
                            <w:r>
                              <w:rPr>
                                <w:sz w:val="22"/>
                                <w:szCs w:val="22"/>
                              </w:rPr>
                              <w:t xml:space="preserve">ased the YTD overspend to £5,073k. </w:t>
                            </w:r>
                          </w:p>
                          <w:p w:rsidR="00F66189" w:rsidRPr="00B327CE" w:rsidRDefault="00F66189" w:rsidP="00B327CE">
                            <w:pPr>
                              <w:pStyle w:val="ListParagraph"/>
                              <w:rPr>
                                <w:sz w:val="22"/>
                                <w:szCs w:val="22"/>
                              </w:rPr>
                            </w:pPr>
                          </w:p>
                          <w:p w:rsidR="00F66189" w:rsidRDefault="00F66189" w:rsidP="006616E8">
                            <w:pPr>
                              <w:pStyle w:val="ListParagraph"/>
                              <w:numPr>
                                <w:ilvl w:val="0"/>
                                <w:numId w:val="7"/>
                              </w:numPr>
                              <w:ind w:left="567" w:hanging="567"/>
                              <w:rPr>
                                <w:sz w:val="22"/>
                                <w:szCs w:val="22"/>
                              </w:rPr>
                            </w:pPr>
                            <w:r>
                              <w:rPr>
                                <w:sz w:val="22"/>
                                <w:szCs w:val="22"/>
                              </w:rPr>
                              <w:t>The most significant increases in expenditure related to:</w:t>
                            </w:r>
                          </w:p>
                          <w:p w:rsidR="00F66189" w:rsidRDefault="00F66189" w:rsidP="00FB1D09">
                            <w:pPr>
                              <w:pStyle w:val="ListParagraph"/>
                              <w:numPr>
                                <w:ilvl w:val="1"/>
                                <w:numId w:val="7"/>
                              </w:numPr>
                              <w:rPr>
                                <w:sz w:val="22"/>
                                <w:szCs w:val="22"/>
                              </w:rPr>
                            </w:pPr>
                            <w:r>
                              <w:rPr>
                                <w:sz w:val="22"/>
                                <w:szCs w:val="22"/>
                              </w:rPr>
                              <w:t>Healthcare Agreements £0.9m</w:t>
                            </w:r>
                          </w:p>
                          <w:p w:rsidR="00F66189" w:rsidRDefault="00F66189" w:rsidP="00FB1D09">
                            <w:pPr>
                              <w:pStyle w:val="ListParagraph"/>
                              <w:numPr>
                                <w:ilvl w:val="1"/>
                                <w:numId w:val="7"/>
                              </w:numPr>
                              <w:rPr>
                                <w:sz w:val="22"/>
                                <w:szCs w:val="22"/>
                              </w:rPr>
                            </w:pPr>
                            <w:r>
                              <w:rPr>
                                <w:sz w:val="22"/>
                                <w:szCs w:val="22"/>
                              </w:rPr>
                              <w:t>Dental Voc Trainees £1.0m</w:t>
                            </w:r>
                          </w:p>
                          <w:p w:rsidR="00F66189" w:rsidRDefault="00F66189" w:rsidP="00FB1D09">
                            <w:pPr>
                              <w:pStyle w:val="ListParagraph"/>
                              <w:numPr>
                                <w:ilvl w:val="1"/>
                                <w:numId w:val="7"/>
                              </w:numPr>
                              <w:rPr>
                                <w:sz w:val="22"/>
                                <w:szCs w:val="22"/>
                              </w:rPr>
                            </w:pPr>
                            <w:r>
                              <w:rPr>
                                <w:sz w:val="22"/>
                                <w:szCs w:val="22"/>
                              </w:rPr>
                              <w:t>Clinical Supplies £0.3m</w:t>
                            </w:r>
                          </w:p>
                          <w:p w:rsidR="00F66189" w:rsidRDefault="00F66189" w:rsidP="00FB1D09">
                            <w:pPr>
                              <w:pStyle w:val="ListParagraph"/>
                              <w:numPr>
                                <w:ilvl w:val="1"/>
                                <w:numId w:val="7"/>
                              </w:numPr>
                              <w:rPr>
                                <w:sz w:val="22"/>
                                <w:szCs w:val="22"/>
                              </w:rPr>
                            </w:pPr>
                            <w:r>
                              <w:rPr>
                                <w:sz w:val="22"/>
                                <w:szCs w:val="22"/>
                              </w:rPr>
                              <w:t>Premises &amp; Plant £0.4m</w:t>
                            </w:r>
                          </w:p>
                          <w:p w:rsidR="00F66189" w:rsidRPr="00B327CE" w:rsidRDefault="00F66189" w:rsidP="00B327CE">
                            <w:pPr>
                              <w:pStyle w:val="ListParagraph"/>
                              <w:rPr>
                                <w:sz w:val="22"/>
                                <w:szCs w:val="22"/>
                              </w:rPr>
                            </w:pPr>
                          </w:p>
                          <w:p w:rsidR="00F66189" w:rsidRPr="00BD090E" w:rsidRDefault="00F66189" w:rsidP="006616E8">
                            <w:pPr>
                              <w:pStyle w:val="ListParagraph"/>
                              <w:numPr>
                                <w:ilvl w:val="0"/>
                                <w:numId w:val="7"/>
                              </w:numPr>
                              <w:ind w:left="567" w:hanging="567"/>
                              <w:rPr>
                                <w:sz w:val="22"/>
                                <w:szCs w:val="22"/>
                              </w:rPr>
                            </w:pPr>
                            <w:r>
                              <w:rPr>
                                <w:sz w:val="22"/>
                                <w:szCs w:val="22"/>
                              </w:rPr>
                              <w:t>There was a reversal of a reclassification of Dental Vocational trainees in M11 which increased delegated non-pay expenditure by £1m, this reverses a M10 reduction.</w:t>
                            </w:r>
                          </w:p>
                          <w:p w:rsidR="00F66189" w:rsidRPr="006F64BE" w:rsidRDefault="00F66189" w:rsidP="00C017AF">
                            <w:pPr>
                              <w:pStyle w:val="ListParagraph"/>
                              <w:rPr>
                                <w:sz w:val="22"/>
                                <w:szCs w:val="22"/>
                              </w:rPr>
                            </w:pPr>
                          </w:p>
                          <w:p w:rsidR="00F66189" w:rsidRPr="006F64BE" w:rsidRDefault="00F66189" w:rsidP="006616E8">
                            <w:pPr>
                              <w:pStyle w:val="ListParagraph"/>
                              <w:numPr>
                                <w:ilvl w:val="0"/>
                                <w:numId w:val="7"/>
                              </w:numPr>
                              <w:ind w:left="567" w:hanging="567"/>
                              <w:rPr>
                                <w:sz w:val="22"/>
                                <w:szCs w:val="22"/>
                              </w:rPr>
                            </w:pPr>
                            <w:r w:rsidRPr="006F64BE">
                              <w:rPr>
                                <w:sz w:val="22"/>
                                <w:szCs w:val="22"/>
                              </w:rPr>
                              <w:t>The increased budget for M12 mainly includes directorate based reserves for:</w:t>
                            </w:r>
                          </w:p>
                          <w:p w:rsidR="00F66189" w:rsidRDefault="00F66189" w:rsidP="006616E8">
                            <w:pPr>
                              <w:pStyle w:val="ListParagraph"/>
                              <w:numPr>
                                <w:ilvl w:val="0"/>
                                <w:numId w:val="31"/>
                              </w:numPr>
                              <w:rPr>
                                <w:sz w:val="22"/>
                                <w:szCs w:val="22"/>
                              </w:rPr>
                            </w:pPr>
                            <w:r>
                              <w:rPr>
                                <w:sz w:val="22"/>
                                <w:szCs w:val="22"/>
                              </w:rPr>
                              <w:t>GMS IT Refresh Programme £1.1m</w:t>
                            </w:r>
                          </w:p>
                          <w:p w:rsidR="00F66189" w:rsidRDefault="00F66189" w:rsidP="006616E8">
                            <w:pPr>
                              <w:pStyle w:val="ListParagraph"/>
                              <w:numPr>
                                <w:ilvl w:val="0"/>
                                <w:numId w:val="31"/>
                              </w:numPr>
                              <w:rPr>
                                <w:sz w:val="22"/>
                                <w:szCs w:val="22"/>
                              </w:rPr>
                            </w:pPr>
                            <w:r>
                              <w:rPr>
                                <w:sz w:val="22"/>
                                <w:szCs w:val="22"/>
                              </w:rPr>
                              <w:t>NICE/High cost drugs £0.7</w:t>
                            </w:r>
                            <w:r w:rsidRPr="006F64BE">
                              <w:rPr>
                                <w:sz w:val="22"/>
                                <w:szCs w:val="22"/>
                              </w:rPr>
                              <w:t>m</w:t>
                            </w:r>
                          </w:p>
                          <w:p w:rsidR="00F66189" w:rsidRDefault="00F66189" w:rsidP="006616E8">
                            <w:pPr>
                              <w:pStyle w:val="ListParagraph"/>
                              <w:numPr>
                                <w:ilvl w:val="0"/>
                                <w:numId w:val="31"/>
                              </w:numPr>
                              <w:rPr>
                                <w:sz w:val="22"/>
                                <w:szCs w:val="22"/>
                              </w:rPr>
                            </w:pPr>
                            <w:r>
                              <w:rPr>
                                <w:sz w:val="22"/>
                                <w:szCs w:val="22"/>
                              </w:rPr>
                              <w:t>ICT Microsoft Contract £0.6m</w:t>
                            </w:r>
                          </w:p>
                          <w:p w:rsidR="00F66189" w:rsidRPr="008103FB" w:rsidRDefault="00F66189" w:rsidP="0054713E">
                            <w:pPr>
                              <w:pStyle w:val="ListParagraph"/>
                              <w:ind w:left="0"/>
                              <w:rPr>
                                <w:sz w:val="20"/>
                                <w:szCs w:val="2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5662760" id="Text Box 14" o:spid="_x0000_s1039" type="#_x0000_t202" style="position:absolute;left:0;text-align:left;margin-left:503.3pt;margin-top:1.7pt;width:278.2pt;height:369.6pt;z-index:251808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" strokecolor="#8eb4e3" strokeweight="1.5pt">
                <v:path arrowok="t"/>
                <v:textbox>
                  <w:txbxContent>
                    <w:p w:rsidR="00F66189" w:rsidRPr="006A0EF4" w:rsidRDefault="00F66189" w:rsidP="0054713E">
                      <w:pPr>
                        <w:rPr>
                          <w:b/>
                          <w:sz w:val="24"/>
                        </w:rPr>
                      </w:pPr>
                      <w:r w:rsidRPr="006A0EF4">
                        <w:rPr>
                          <w:b/>
                          <w:sz w:val="24"/>
                        </w:rPr>
                        <w:t>Key Issues</w:t>
                      </w:r>
                    </w:p>
                    <w:p w:rsidR="00F66189" w:rsidRPr="006A0EF4" w:rsidRDefault="00F66189" w:rsidP="006616E8">
                      <w:pPr>
                        <w:pStyle w:val="ListParagraph"/>
                        <w:numPr>
                          <w:ilvl w:val="0"/>
                          <w:numId w:val="7"/>
                        </w:numPr>
                        <w:ind w:left="567" w:hanging="567"/>
                        <w:rPr>
                          <w:sz w:val="22"/>
                          <w:szCs w:val="22"/>
                        </w:rPr>
                      </w:pPr>
                      <w:r>
                        <w:rPr>
                          <w:sz w:val="22"/>
                          <w:szCs w:val="22"/>
                        </w:rPr>
                        <w:t>Total n</w:t>
                      </w:r>
                      <w:r w:rsidRPr="006A0EF4">
                        <w:rPr>
                          <w:sz w:val="22"/>
                          <w:szCs w:val="22"/>
                        </w:rPr>
                        <w:t xml:space="preserve">on </w:t>
                      </w:r>
                      <w:r>
                        <w:rPr>
                          <w:sz w:val="22"/>
                          <w:szCs w:val="22"/>
                        </w:rPr>
                        <w:t>p</w:t>
                      </w:r>
                      <w:r w:rsidRPr="006A0EF4">
                        <w:rPr>
                          <w:sz w:val="22"/>
                          <w:szCs w:val="22"/>
                        </w:rPr>
                        <w:t xml:space="preserve">ay </w:t>
                      </w:r>
                      <w:r>
                        <w:rPr>
                          <w:sz w:val="22"/>
                          <w:szCs w:val="22"/>
                        </w:rPr>
                        <w:t>expenditure increased by £2.9m to £55.2m in M11.</w:t>
                      </w:r>
                    </w:p>
                    <w:p w:rsidR="00F66189" w:rsidRPr="006F64BE" w:rsidRDefault="00F66189" w:rsidP="0054713E">
                      <w:pPr>
                        <w:pStyle w:val="ListParagraph"/>
                        <w:ind w:left="567"/>
                        <w:rPr>
                          <w:sz w:val="22"/>
                          <w:szCs w:val="22"/>
                        </w:rPr>
                      </w:pPr>
                    </w:p>
                    <w:p w:rsidR="00F66189" w:rsidRDefault="00F66189" w:rsidP="006616E8">
                      <w:pPr>
                        <w:pStyle w:val="ListParagraph"/>
                        <w:numPr>
                          <w:ilvl w:val="0"/>
                          <w:numId w:val="7"/>
                        </w:numPr>
                        <w:ind w:left="567" w:hanging="567"/>
                        <w:rPr>
                          <w:sz w:val="22"/>
                          <w:szCs w:val="22"/>
                        </w:rPr>
                      </w:pPr>
                      <w:r>
                        <w:rPr>
                          <w:sz w:val="22"/>
                          <w:szCs w:val="22"/>
                        </w:rPr>
                        <w:t>The M11 overspend was £1,548</w:t>
                      </w:r>
                      <w:r w:rsidRPr="00BD090E">
                        <w:rPr>
                          <w:sz w:val="22"/>
                          <w:szCs w:val="22"/>
                        </w:rPr>
                        <w:t xml:space="preserve">k </w:t>
                      </w:r>
                      <w:r>
                        <w:rPr>
                          <w:sz w:val="22"/>
                          <w:szCs w:val="22"/>
                        </w:rPr>
                        <w:t>which in</w:t>
                      </w:r>
                      <w:r w:rsidRPr="00BD090E">
                        <w:rPr>
                          <w:sz w:val="22"/>
                          <w:szCs w:val="22"/>
                        </w:rPr>
                        <w:t>cre</w:t>
                      </w:r>
                      <w:r>
                        <w:rPr>
                          <w:sz w:val="22"/>
                          <w:szCs w:val="22"/>
                        </w:rPr>
                        <w:t xml:space="preserve">ased the YTD overspend to £5,073k. </w:t>
                      </w:r>
                    </w:p>
                    <w:p w:rsidR="00F66189" w:rsidRPr="00B327CE" w:rsidRDefault="00F66189" w:rsidP="00B327CE">
                      <w:pPr>
                        <w:pStyle w:val="ListParagraph"/>
                        <w:rPr>
                          <w:sz w:val="22"/>
                          <w:szCs w:val="22"/>
                        </w:rPr>
                      </w:pPr>
                    </w:p>
                    <w:p w:rsidR="00F66189" w:rsidRDefault="00F66189" w:rsidP="006616E8">
                      <w:pPr>
                        <w:pStyle w:val="ListParagraph"/>
                        <w:numPr>
                          <w:ilvl w:val="0"/>
                          <w:numId w:val="7"/>
                        </w:numPr>
                        <w:ind w:left="567" w:hanging="567"/>
                        <w:rPr>
                          <w:sz w:val="22"/>
                          <w:szCs w:val="22"/>
                        </w:rPr>
                      </w:pPr>
                      <w:r>
                        <w:rPr>
                          <w:sz w:val="22"/>
                          <w:szCs w:val="22"/>
                        </w:rPr>
                        <w:t>The most significant increases in expenditure related to:</w:t>
                      </w:r>
                    </w:p>
                    <w:p w:rsidR="00F66189" w:rsidRDefault="00F66189" w:rsidP="00FB1D09">
                      <w:pPr>
                        <w:pStyle w:val="ListParagraph"/>
                        <w:numPr>
                          <w:ilvl w:val="1"/>
                          <w:numId w:val="7"/>
                        </w:numPr>
                        <w:rPr>
                          <w:sz w:val="22"/>
                          <w:szCs w:val="22"/>
                        </w:rPr>
                      </w:pPr>
                      <w:r>
                        <w:rPr>
                          <w:sz w:val="22"/>
                          <w:szCs w:val="22"/>
                        </w:rPr>
                        <w:t>Healthcare Agreements £0.9m</w:t>
                      </w:r>
                    </w:p>
                    <w:p w:rsidR="00F66189" w:rsidRDefault="00F66189" w:rsidP="00FB1D09">
                      <w:pPr>
                        <w:pStyle w:val="ListParagraph"/>
                        <w:numPr>
                          <w:ilvl w:val="1"/>
                          <w:numId w:val="7"/>
                        </w:numPr>
                        <w:rPr>
                          <w:sz w:val="22"/>
                          <w:szCs w:val="22"/>
                        </w:rPr>
                      </w:pPr>
                      <w:r>
                        <w:rPr>
                          <w:sz w:val="22"/>
                          <w:szCs w:val="22"/>
                        </w:rPr>
                        <w:t>Dental Voc Trainees £1.0m</w:t>
                      </w:r>
                    </w:p>
                    <w:p w:rsidR="00F66189" w:rsidRDefault="00F66189" w:rsidP="00FB1D09">
                      <w:pPr>
                        <w:pStyle w:val="ListParagraph"/>
                        <w:numPr>
                          <w:ilvl w:val="1"/>
                          <w:numId w:val="7"/>
                        </w:numPr>
                        <w:rPr>
                          <w:sz w:val="22"/>
                          <w:szCs w:val="22"/>
                        </w:rPr>
                      </w:pPr>
                      <w:r>
                        <w:rPr>
                          <w:sz w:val="22"/>
                          <w:szCs w:val="22"/>
                        </w:rPr>
                        <w:t>Clinical Supplies £0.3m</w:t>
                      </w:r>
                    </w:p>
                    <w:p w:rsidR="00F66189" w:rsidRDefault="00F66189" w:rsidP="00FB1D09">
                      <w:pPr>
                        <w:pStyle w:val="ListParagraph"/>
                        <w:numPr>
                          <w:ilvl w:val="1"/>
                          <w:numId w:val="7"/>
                        </w:numPr>
                        <w:rPr>
                          <w:sz w:val="22"/>
                          <w:szCs w:val="22"/>
                        </w:rPr>
                      </w:pPr>
                      <w:r>
                        <w:rPr>
                          <w:sz w:val="22"/>
                          <w:szCs w:val="22"/>
                        </w:rPr>
                        <w:t>Premises &amp; Plant £0.4m</w:t>
                      </w:r>
                    </w:p>
                    <w:p w:rsidR="00F66189" w:rsidRPr="00B327CE" w:rsidRDefault="00F66189" w:rsidP="00B327CE">
                      <w:pPr>
                        <w:pStyle w:val="ListParagraph"/>
                        <w:rPr>
                          <w:sz w:val="22"/>
                          <w:szCs w:val="22"/>
                        </w:rPr>
                      </w:pPr>
                    </w:p>
                    <w:p w:rsidR="00F66189" w:rsidRPr="00BD090E" w:rsidRDefault="00F66189" w:rsidP="006616E8">
                      <w:pPr>
                        <w:pStyle w:val="ListParagraph"/>
                        <w:numPr>
                          <w:ilvl w:val="0"/>
                          <w:numId w:val="7"/>
                        </w:numPr>
                        <w:ind w:left="567" w:hanging="567"/>
                        <w:rPr>
                          <w:sz w:val="22"/>
                          <w:szCs w:val="22"/>
                        </w:rPr>
                      </w:pPr>
                      <w:r>
                        <w:rPr>
                          <w:sz w:val="22"/>
                          <w:szCs w:val="22"/>
                        </w:rPr>
                        <w:t>There was a reversal of a reclassification of Dental Vocational trainees in M11 which increased delegated non-pay expenditure by £1m, this reverses a M10 reduction.</w:t>
                      </w:r>
                    </w:p>
                    <w:p w:rsidR="00F66189" w:rsidRPr="006F64BE" w:rsidRDefault="00F66189" w:rsidP="00C017AF">
                      <w:pPr>
                        <w:pStyle w:val="ListParagraph"/>
                        <w:rPr>
                          <w:sz w:val="22"/>
                          <w:szCs w:val="22"/>
                        </w:rPr>
                      </w:pPr>
                    </w:p>
                    <w:p w:rsidR="00F66189" w:rsidRPr="006F64BE" w:rsidRDefault="00F66189" w:rsidP="006616E8">
                      <w:pPr>
                        <w:pStyle w:val="ListParagraph"/>
                        <w:numPr>
                          <w:ilvl w:val="0"/>
                          <w:numId w:val="7"/>
                        </w:numPr>
                        <w:ind w:left="567" w:hanging="567"/>
                        <w:rPr>
                          <w:sz w:val="22"/>
                          <w:szCs w:val="22"/>
                        </w:rPr>
                      </w:pPr>
                      <w:r w:rsidRPr="006F64BE">
                        <w:rPr>
                          <w:sz w:val="22"/>
                          <w:szCs w:val="22"/>
                        </w:rPr>
                        <w:t>The increased budget for M12 mainly includes directorate based reserves for:</w:t>
                      </w:r>
                    </w:p>
                    <w:p w:rsidR="00F66189" w:rsidRDefault="00F66189" w:rsidP="006616E8">
                      <w:pPr>
                        <w:pStyle w:val="ListParagraph"/>
                        <w:numPr>
                          <w:ilvl w:val="0"/>
                          <w:numId w:val="31"/>
                        </w:numPr>
                        <w:rPr>
                          <w:sz w:val="22"/>
                          <w:szCs w:val="22"/>
                        </w:rPr>
                      </w:pPr>
                      <w:r>
                        <w:rPr>
                          <w:sz w:val="22"/>
                          <w:szCs w:val="22"/>
                        </w:rPr>
                        <w:t>GMS IT Refresh Programme £1.1m</w:t>
                      </w:r>
                    </w:p>
                    <w:p w:rsidR="00F66189" w:rsidRDefault="00F66189" w:rsidP="006616E8">
                      <w:pPr>
                        <w:pStyle w:val="ListParagraph"/>
                        <w:numPr>
                          <w:ilvl w:val="0"/>
                          <w:numId w:val="31"/>
                        </w:numPr>
                        <w:rPr>
                          <w:sz w:val="22"/>
                          <w:szCs w:val="22"/>
                        </w:rPr>
                      </w:pPr>
                      <w:r>
                        <w:rPr>
                          <w:sz w:val="22"/>
                          <w:szCs w:val="22"/>
                        </w:rPr>
                        <w:t>NICE/High cost drugs £0.7</w:t>
                      </w:r>
                      <w:r w:rsidRPr="006F64BE">
                        <w:rPr>
                          <w:sz w:val="22"/>
                          <w:szCs w:val="22"/>
                        </w:rPr>
                        <w:t>m</w:t>
                      </w:r>
                    </w:p>
                    <w:p w:rsidR="00F66189" w:rsidRDefault="00F66189" w:rsidP="006616E8">
                      <w:pPr>
                        <w:pStyle w:val="ListParagraph"/>
                        <w:numPr>
                          <w:ilvl w:val="0"/>
                          <w:numId w:val="31"/>
                        </w:numPr>
                        <w:rPr>
                          <w:sz w:val="22"/>
                          <w:szCs w:val="22"/>
                        </w:rPr>
                      </w:pPr>
                      <w:r>
                        <w:rPr>
                          <w:sz w:val="22"/>
                          <w:szCs w:val="22"/>
                        </w:rPr>
                        <w:t>ICT Microsoft Contract £0.6m</w:t>
                      </w:r>
                    </w:p>
                    <w:p w:rsidR="00F66189" w:rsidRPr="008103FB" w:rsidRDefault="00F66189" w:rsidP="0054713E">
                      <w:pPr>
                        <w:pStyle w:val="ListParagraph"/>
                        <w:ind w:left="0"/>
                        <w:rPr>
                          <w:sz w:val="20"/>
                          <w:szCs w:val="20"/>
                        </w:rPr>
                      </w:pPr>
                    </w:p>
                  </w:txbxContent>
                </v:textbox>
              </v:shape>
            </w:pict>
          </mc:Fallback>
        </mc:AlternateContent>
      </w:r>
      <w:r w:rsidRPr="00B87E00">
        <w:rPr>
          <w:noProof/>
          <w:lang w:eastAsia="en-GB"/>
        </w:rPr>
        <w:t xml:space="preserve"> </w:t>
      </w:r>
      <w:r w:rsidR="00002EC9">
        <w:rPr>
          <w:noProof/>
          <w:lang w:eastAsia="en-GB"/>
        </w:rPr>
        <w:drawing>
          <wp:inline distT="0" distB="0" distL="0" distR="0" wp14:anchorId="34346119" wp14:editId="7291A467">
            <wp:extent cx="5740400" cy="4709822"/>
            <wp:effectExtent l="0" t="0" r="12700" b="14605"/>
            <wp:docPr id="60" name="Chart 60"/>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54713E" w:rsidRPr="00B87E00" w:rsidRDefault="0054713E" w:rsidP="0054713E">
      <w:pPr>
        <w:ind w:firstLine="720"/>
        <w:jc w:val="both"/>
        <w:rPr>
          <w:rFonts w:cs="Tahoma"/>
          <w:b/>
          <w:bCs/>
          <w:sz w:val="24"/>
        </w:rPr>
      </w:pPr>
      <w:r w:rsidRPr="00B87E00">
        <w:rPr>
          <w:rFonts w:cs="Tahoma"/>
          <w:b/>
          <w:bCs/>
          <w:sz w:val="24"/>
        </w:rPr>
        <w:t xml:space="preserve">Performance by Expenditure Category </w:t>
      </w:r>
    </w:p>
    <w:p w:rsidR="0054713E" w:rsidRPr="00B87E00" w:rsidRDefault="0054713E" w:rsidP="0054713E">
      <w:pPr>
        <w:ind w:firstLine="720"/>
        <w:jc w:val="both"/>
        <w:rPr>
          <w:rFonts w:cs="Tahoma"/>
          <w:b/>
          <w:bCs/>
          <w:sz w:val="24"/>
        </w:rPr>
      </w:pPr>
    </w:p>
    <w:p w:rsidR="0054713E" w:rsidRPr="00EB32C9" w:rsidRDefault="0054713E" w:rsidP="0054713E">
      <w:pPr>
        <w:ind w:firstLine="720"/>
        <w:jc w:val="both"/>
        <w:rPr>
          <w:rFonts w:cs="Tahoma"/>
          <w:bCs/>
          <w:sz w:val="24"/>
        </w:rPr>
      </w:pPr>
      <w:r>
        <w:rPr>
          <w:rFonts w:cs="Tahoma"/>
          <w:bCs/>
          <w:sz w:val="24"/>
        </w:rPr>
        <w:t xml:space="preserve">The table below shows the current month </w:t>
      </w:r>
      <w:r w:rsidRPr="00EB32C9">
        <w:rPr>
          <w:rFonts w:cs="Tahoma"/>
          <w:bCs/>
          <w:sz w:val="24"/>
        </w:rPr>
        <w:t>and year to date variances in respect of non-pay expenditure.</w:t>
      </w:r>
    </w:p>
    <w:p w:rsidR="0054713E" w:rsidRPr="00EB32C9" w:rsidRDefault="0054713E" w:rsidP="0054713E">
      <w:pPr>
        <w:jc w:val="both"/>
        <w:rPr>
          <w:rFonts w:cs="Tahoma"/>
          <w:b/>
          <w:bCs/>
          <w:sz w:val="20"/>
          <w:szCs w:val="20"/>
          <w:u w:val="single"/>
        </w:rPr>
      </w:pPr>
      <w:r w:rsidRPr="00EB32C9">
        <w:rPr>
          <w:noProof/>
          <w:lang w:eastAsia="en-GB"/>
        </w:rPr>
        <mc:AlternateContent>
          <mc:Choice Requires="wps">
            <w:drawing>
              <wp:anchor distT="0" distB="0" distL="114300" distR="114300" simplePos="0" relativeHeight="251809792" behindDoc="0" locked="0" layoutInCell="1" allowOverlap="1" wp14:anchorId="66C94007" wp14:editId="51AA342B">
                <wp:simplePos x="0" y="0"/>
                <wp:positionH relativeFrom="column">
                  <wp:posOffset>6774180</wp:posOffset>
                </wp:positionH>
                <wp:positionV relativeFrom="paragraph">
                  <wp:posOffset>191134</wp:posOffset>
                </wp:positionV>
                <wp:extent cx="3133725" cy="5114925"/>
                <wp:effectExtent l="0" t="0" r="28575" b="28575"/>
                <wp:wrapNone/>
                <wp:docPr id="26"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133725" cy="5114925"/>
                        </a:xfrm>
                        <a:prstGeom prst="rect">
                          <a:avLst/>
                        </a:prstGeom>
                        <a:solidFill>
                          <a:srgbClr val="FFFFFF"/>
                        </a:solidFill>
                        <a:ln w="19050">
                          <a:solidFill>
                            <a:srgbClr val="8EB4E3"/>
                          </a:solidFill>
                          <a:miter lim="800000"/>
                          <a:headEnd/>
                          <a:tailEnd/>
                        </a:ln>
                      </wps:spPr>
                      <wps:txbx>
                        <w:txbxContent>
                          <w:p w:rsidR="00F66189" w:rsidRPr="00CD1519" w:rsidRDefault="00F66189" w:rsidP="0054713E">
                            <w:pPr>
                              <w:rPr>
                                <w:b/>
                                <w:sz w:val="24"/>
                              </w:rPr>
                            </w:pPr>
                            <w:r w:rsidRPr="00CD1519">
                              <w:rPr>
                                <w:b/>
                                <w:sz w:val="24"/>
                              </w:rPr>
                              <w:t>Key Issues:</w:t>
                            </w:r>
                          </w:p>
                          <w:p w:rsidR="00F66189" w:rsidRPr="00CE5098" w:rsidRDefault="00F66189" w:rsidP="006616E8">
                            <w:pPr>
                              <w:pStyle w:val="ListParagraph"/>
                              <w:numPr>
                                <w:ilvl w:val="0"/>
                                <w:numId w:val="10"/>
                              </w:numPr>
                              <w:ind w:left="426" w:hanging="426"/>
                              <w:rPr>
                                <w:sz w:val="20"/>
                                <w:szCs w:val="20"/>
                              </w:rPr>
                            </w:pPr>
                            <w:r w:rsidRPr="00793EF5">
                              <w:rPr>
                                <w:sz w:val="20"/>
                                <w:szCs w:val="20"/>
                              </w:rPr>
                              <w:t>The most significant in month variance</w:t>
                            </w:r>
                            <w:r>
                              <w:rPr>
                                <w:sz w:val="20"/>
                                <w:szCs w:val="20"/>
                              </w:rPr>
                              <w:t>s</w:t>
                            </w:r>
                            <w:r w:rsidRPr="00793EF5">
                              <w:rPr>
                                <w:sz w:val="20"/>
                                <w:szCs w:val="20"/>
                              </w:rPr>
                              <w:t xml:space="preserve"> </w:t>
                            </w:r>
                            <w:r w:rsidRPr="00CE5098">
                              <w:rPr>
                                <w:sz w:val="20"/>
                                <w:szCs w:val="20"/>
                              </w:rPr>
                              <w:t>relates to:</w:t>
                            </w:r>
                          </w:p>
                          <w:p w:rsidR="00F66189" w:rsidRPr="00CE5098" w:rsidRDefault="00F66189" w:rsidP="006616E8">
                            <w:pPr>
                              <w:pStyle w:val="ListParagraph"/>
                              <w:numPr>
                                <w:ilvl w:val="0"/>
                                <w:numId w:val="29"/>
                              </w:numPr>
                              <w:rPr>
                                <w:sz w:val="20"/>
                                <w:szCs w:val="20"/>
                              </w:rPr>
                            </w:pPr>
                            <w:r>
                              <w:rPr>
                                <w:sz w:val="20"/>
                                <w:szCs w:val="20"/>
                              </w:rPr>
                              <w:t xml:space="preserve">Services from Other NHS </w:t>
                            </w:r>
                            <w:r w:rsidRPr="00CE5098">
                              <w:rPr>
                                <w:sz w:val="20"/>
                                <w:szCs w:val="20"/>
                              </w:rPr>
                              <w:t>£</w:t>
                            </w:r>
                            <w:r>
                              <w:rPr>
                                <w:sz w:val="20"/>
                                <w:szCs w:val="20"/>
                              </w:rPr>
                              <w:t>735k</w:t>
                            </w:r>
                            <w:r w:rsidRPr="00CE5098">
                              <w:rPr>
                                <w:sz w:val="20"/>
                                <w:szCs w:val="20"/>
                              </w:rPr>
                              <w:t xml:space="preserve"> </w:t>
                            </w:r>
                          </w:p>
                          <w:p w:rsidR="00F66189" w:rsidRDefault="00F66189" w:rsidP="006616E8">
                            <w:pPr>
                              <w:pStyle w:val="ListParagraph"/>
                              <w:numPr>
                                <w:ilvl w:val="0"/>
                                <w:numId w:val="29"/>
                              </w:numPr>
                              <w:rPr>
                                <w:sz w:val="20"/>
                                <w:szCs w:val="20"/>
                              </w:rPr>
                            </w:pPr>
                            <w:r>
                              <w:rPr>
                                <w:sz w:val="20"/>
                                <w:szCs w:val="20"/>
                              </w:rPr>
                              <w:t>Establishment Expenses £400k</w:t>
                            </w:r>
                          </w:p>
                          <w:p w:rsidR="00F66189" w:rsidRPr="00CE5098" w:rsidRDefault="00F66189" w:rsidP="006616E8">
                            <w:pPr>
                              <w:pStyle w:val="ListParagraph"/>
                              <w:numPr>
                                <w:ilvl w:val="0"/>
                                <w:numId w:val="29"/>
                              </w:numPr>
                              <w:rPr>
                                <w:sz w:val="20"/>
                                <w:szCs w:val="20"/>
                              </w:rPr>
                            </w:pPr>
                            <w:r>
                              <w:rPr>
                                <w:sz w:val="20"/>
                                <w:szCs w:val="20"/>
                              </w:rPr>
                              <w:t xml:space="preserve">Premises &amp; Fixed Plant £389k  </w:t>
                            </w:r>
                          </w:p>
                          <w:p w:rsidR="00F66189" w:rsidRPr="00793EF5" w:rsidRDefault="00F66189" w:rsidP="00D77A1B">
                            <w:pPr>
                              <w:rPr>
                                <w:rFonts w:cs="Tahoma"/>
                                <w:bCs/>
                                <w:sz w:val="20"/>
                                <w:szCs w:val="20"/>
                              </w:rPr>
                            </w:pPr>
                          </w:p>
                          <w:p w:rsidR="00F66189" w:rsidRPr="00CE5098" w:rsidRDefault="00F66189" w:rsidP="006616E8">
                            <w:pPr>
                              <w:pStyle w:val="ListParagraph"/>
                              <w:numPr>
                                <w:ilvl w:val="0"/>
                                <w:numId w:val="10"/>
                              </w:numPr>
                              <w:ind w:left="426" w:hanging="426"/>
                              <w:rPr>
                                <w:sz w:val="20"/>
                                <w:szCs w:val="20"/>
                              </w:rPr>
                            </w:pPr>
                            <w:r w:rsidRPr="00CE5098">
                              <w:rPr>
                                <w:sz w:val="20"/>
                                <w:szCs w:val="20"/>
                              </w:rPr>
                              <w:t>The most significant YTD overspends at M1</w:t>
                            </w:r>
                            <w:r>
                              <w:rPr>
                                <w:sz w:val="20"/>
                                <w:szCs w:val="20"/>
                              </w:rPr>
                              <w:t>1</w:t>
                            </w:r>
                            <w:r w:rsidRPr="00CE5098">
                              <w:rPr>
                                <w:sz w:val="20"/>
                                <w:szCs w:val="20"/>
                              </w:rPr>
                              <w:t xml:space="preserve"> are in the following areas:</w:t>
                            </w:r>
                          </w:p>
                          <w:p w:rsidR="00F66189" w:rsidRPr="00CE5098" w:rsidRDefault="00F66189" w:rsidP="006616E8">
                            <w:pPr>
                              <w:pStyle w:val="ListParagraph"/>
                              <w:numPr>
                                <w:ilvl w:val="0"/>
                                <w:numId w:val="14"/>
                              </w:numPr>
                              <w:rPr>
                                <w:rFonts w:cs="Tahoma"/>
                                <w:bCs/>
                                <w:sz w:val="20"/>
                                <w:szCs w:val="20"/>
                              </w:rPr>
                            </w:pPr>
                            <w:r>
                              <w:rPr>
                                <w:rFonts w:cs="Tahoma"/>
                                <w:bCs/>
                                <w:sz w:val="20"/>
                                <w:szCs w:val="20"/>
                              </w:rPr>
                              <w:t>Primary care prescribing £1,693</w:t>
                            </w:r>
                            <w:r w:rsidRPr="00CE5098">
                              <w:rPr>
                                <w:rFonts w:cs="Tahoma"/>
                                <w:bCs/>
                                <w:sz w:val="20"/>
                                <w:szCs w:val="20"/>
                              </w:rPr>
                              <w:t>k</w:t>
                            </w:r>
                          </w:p>
                          <w:p w:rsidR="00F66189" w:rsidRPr="00CE5098" w:rsidRDefault="00F66189" w:rsidP="006616E8">
                            <w:pPr>
                              <w:pStyle w:val="ListParagraph"/>
                              <w:numPr>
                                <w:ilvl w:val="0"/>
                                <w:numId w:val="14"/>
                              </w:numPr>
                              <w:rPr>
                                <w:rFonts w:cs="Tahoma"/>
                                <w:bCs/>
                                <w:sz w:val="20"/>
                                <w:szCs w:val="20"/>
                              </w:rPr>
                            </w:pPr>
                            <w:r>
                              <w:rPr>
                                <w:rFonts w:cs="Tahoma"/>
                                <w:bCs/>
                                <w:sz w:val="20"/>
                                <w:szCs w:val="20"/>
                              </w:rPr>
                              <w:t>Other NHS Bodies £1,731</w:t>
                            </w:r>
                            <w:r w:rsidRPr="00CE5098">
                              <w:rPr>
                                <w:rFonts w:cs="Tahoma"/>
                                <w:bCs/>
                                <w:sz w:val="20"/>
                                <w:szCs w:val="20"/>
                              </w:rPr>
                              <w:t xml:space="preserve">k – </w:t>
                            </w:r>
                            <w:r>
                              <w:rPr>
                                <w:rFonts w:cs="Tahoma"/>
                                <w:bCs/>
                                <w:sz w:val="20"/>
                                <w:szCs w:val="20"/>
                              </w:rPr>
                              <w:t>GMS OOH contract £1,432</w:t>
                            </w:r>
                            <w:r w:rsidRPr="00CE5098">
                              <w:rPr>
                                <w:rFonts w:cs="Tahoma"/>
                                <w:bCs/>
                                <w:sz w:val="20"/>
                                <w:szCs w:val="20"/>
                              </w:rPr>
                              <w:t>k.</w:t>
                            </w:r>
                          </w:p>
                          <w:p w:rsidR="00F66189" w:rsidRDefault="00F66189" w:rsidP="006616E8">
                            <w:pPr>
                              <w:pStyle w:val="ListParagraph"/>
                              <w:numPr>
                                <w:ilvl w:val="0"/>
                                <w:numId w:val="14"/>
                              </w:numPr>
                              <w:rPr>
                                <w:rFonts w:cs="Tahoma"/>
                                <w:bCs/>
                                <w:sz w:val="20"/>
                                <w:szCs w:val="20"/>
                              </w:rPr>
                            </w:pPr>
                            <w:r>
                              <w:rPr>
                                <w:rFonts w:cs="Tahoma"/>
                                <w:bCs/>
                                <w:sz w:val="20"/>
                                <w:szCs w:val="20"/>
                              </w:rPr>
                              <w:t>Secondary Care Drugs £1,477k</w:t>
                            </w:r>
                          </w:p>
                          <w:p w:rsidR="00F66189" w:rsidRDefault="00F66189" w:rsidP="006616E8">
                            <w:pPr>
                              <w:pStyle w:val="ListParagraph"/>
                              <w:numPr>
                                <w:ilvl w:val="0"/>
                                <w:numId w:val="14"/>
                              </w:numPr>
                              <w:rPr>
                                <w:rFonts w:cs="Tahoma"/>
                                <w:bCs/>
                                <w:sz w:val="20"/>
                                <w:szCs w:val="20"/>
                              </w:rPr>
                            </w:pPr>
                            <w:r>
                              <w:rPr>
                                <w:rFonts w:cs="Tahoma"/>
                                <w:bCs/>
                                <w:sz w:val="20"/>
                                <w:szCs w:val="20"/>
                              </w:rPr>
                              <w:t>Establishment Expenses £1,930k</w:t>
                            </w:r>
                          </w:p>
                          <w:p w:rsidR="00F66189" w:rsidRPr="00CE5098" w:rsidRDefault="00F66189" w:rsidP="006616E8">
                            <w:pPr>
                              <w:pStyle w:val="ListParagraph"/>
                              <w:numPr>
                                <w:ilvl w:val="0"/>
                                <w:numId w:val="14"/>
                              </w:numPr>
                              <w:rPr>
                                <w:rFonts w:cs="Tahoma"/>
                                <w:bCs/>
                                <w:sz w:val="20"/>
                                <w:szCs w:val="20"/>
                              </w:rPr>
                            </w:pPr>
                            <w:r>
                              <w:rPr>
                                <w:rFonts w:cs="Tahoma"/>
                                <w:bCs/>
                                <w:sz w:val="20"/>
                                <w:szCs w:val="20"/>
                              </w:rPr>
                              <w:t>Premises &amp; Fixed Plant £1,584k</w:t>
                            </w:r>
                            <w:r w:rsidRPr="00CE5098">
                              <w:rPr>
                                <w:rFonts w:cs="Tahoma"/>
                                <w:bCs/>
                                <w:sz w:val="20"/>
                                <w:szCs w:val="20"/>
                              </w:rPr>
                              <w:t xml:space="preserve"> </w:t>
                            </w:r>
                          </w:p>
                          <w:p w:rsidR="00F66189" w:rsidRPr="00793EF5" w:rsidRDefault="00F66189" w:rsidP="00406820">
                            <w:pPr>
                              <w:rPr>
                                <w:rFonts w:cs="Tahoma"/>
                                <w:bCs/>
                                <w:sz w:val="20"/>
                                <w:szCs w:val="20"/>
                              </w:rPr>
                            </w:pPr>
                          </w:p>
                          <w:p w:rsidR="00F66189" w:rsidRPr="00BC0DBA" w:rsidRDefault="00F66189" w:rsidP="00BC0DBA">
                            <w:pPr>
                              <w:pStyle w:val="ListParagraph"/>
                              <w:numPr>
                                <w:ilvl w:val="0"/>
                                <w:numId w:val="28"/>
                              </w:numPr>
                              <w:rPr>
                                <w:rFonts w:cs="Tahoma"/>
                                <w:bCs/>
                                <w:sz w:val="20"/>
                                <w:szCs w:val="20"/>
                              </w:rPr>
                            </w:pPr>
                            <w:r w:rsidRPr="00793EF5">
                              <w:rPr>
                                <w:rFonts w:cs="Tahoma"/>
                                <w:bCs/>
                                <w:sz w:val="20"/>
                                <w:szCs w:val="20"/>
                              </w:rPr>
                              <w:t xml:space="preserve">It </w:t>
                            </w:r>
                            <w:r>
                              <w:rPr>
                                <w:rFonts w:cs="Tahoma"/>
                                <w:bCs/>
                                <w:sz w:val="20"/>
                                <w:szCs w:val="20"/>
                              </w:rPr>
                              <w:t>should be noted that the £2,097</w:t>
                            </w:r>
                            <w:r w:rsidRPr="00BC0DBA">
                              <w:rPr>
                                <w:rFonts w:cs="Tahoma"/>
                                <w:bCs/>
                                <w:sz w:val="20"/>
                                <w:szCs w:val="20"/>
                              </w:rPr>
                              <w:t xml:space="preserve">k underspend on Primary Care contracts includes </w:t>
                            </w:r>
                            <w:r>
                              <w:rPr>
                                <w:rFonts w:cs="Tahoma"/>
                                <w:bCs/>
                                <w:sz w:val="20"/>
                                <w:szCs w:val="20"/>
                              </w:rPr>
                              <w:t>£1,432</w:t>
                            </w:r>
                            <w:r w:rsidRPr="00BC0DBA">
                              <w:rPr>
                                <w:rFonts w:cs="Tahoma"/>
                                <w:bCs/>
                                <w:sz w:val="20"/>
                                <w:szCs w:val="20"/>
                              </w:rPr>
                              <w:t>k for OOH Services.</w:t>
                            </w:r>
                          </w:p>
                          <w:p w:rsidR="00F66189" w:rsidRDefault="00F66189" w:rsidP="001231A0">
                            <w:pPr>
                              <w:pStyle w:val="ListParagraph"/>
                              <w:ind w:left="360"/>
                              <w:rPr>
                                <w:rFonts w:cs="Tahoma"/>
                                <w:bCs/>
                                <w:sz w:val="20"/>
                                <w:szCs w:val="20"/>
                              </w:rPr>
                            </w:pPr>
                          </w:p>
                          <w:p w:rsidR="00F66189" w:rsidRPr="00BC0DBA" w:rsidRDefault="00F66189" w:rsidP="006616E8">
                            <w:pPr>
                              <w:pStyle w:val="ListParagraph"/>
                              <w:numPr>
                                <w:ilvl w:val="0"/>
                                <w:numId w:val="28"/>
                              </w:numPr>
                              <w:rPr>
                                <w:rFonts w:cs="Tahoma"/>
                                <w:bCs/>
                                <w:sz w:val="20"/>
                                <w:szCs w:val="20"/>
                              </w:rPr>
                            </w:pPr>
                            <w:r w:rsidRPr="00BC0DBA">
                              <w:rPr>
                                <w:rFonts w:cs="Tahoma"/>
                                <w:bCs/>
                                <w:sz w:val="20"/>
                                <w:szCs w:val="20"/>
                              </w:rPr>
                              <w:t>The under</w:t>
                            </w:r>
                            <w:r>
                              <w:rPr>
                                <w:rFonts w:cs="Tahoma"/>
                                <w:bCs/>
                                <w:sz w:val="20"/>
                                <w:szCs w:val="20"/>
                              </w:rPr>
                              <w:t xml:space="preserve"> spend on Misc Services of £1,565k includes £1,197</w:t>
                            </w:r>
                            <w:r w:rsidRPr="00BC0DBA">
                              <w:rPr>
                                <w:rFonts w:cs="Tahoma"/>
                                <w:bCs/>
                                <w:sz w:val="20"/>
                                <w:szCs w:val="20"/>
                              </w:rPr>
                              <w:t>k of Direct</w:t>
                            </w:r>
                            <w:r>
                              <w:rPr>
                                <w:rFonts w:cs="Tahoma"/>
                                <w:bCs/>
                                <w:sz w:val="20"/>
                                <w:szCs w:val="20"/>
                              </w:rPr>
                              <w:t>orate Reserves and Clinical Negligence £180</w:t>
                            </w:r>
                            <w:r w:rsidRPr="00BC0DBA">
                              <w:rPr>
                                <w:rFonts w:cs="Tahoma"/>
                                <w:bCs/>
                                <w:sz w:val="20"/>
                                <w:szCs w:val="20"/>
                              </w:rPr>
                              <w:t>k.</w:t>
                            </w:r>
                          </w:p>
                          <w:p w:rsidR="00F66189" w:rsidRPr="00406820" w:rsidRDefault="00F66189" w:rsidP="00406820">
                            <w:pPr>
                              <w:rPr>
                                <w:rFonts w:cs="Tahoma"/>
                                <w:bCs/>
                                <w:sz w:val="20"/>
                                <w:szCs w:val="20"/>
                              </w:rPr>
                            </w:pPr>
                          </w:p>
                          <w:p w:rsidR="00F66189" w:rsidRPr="00A5271D" w:rsidRDefault="00F66189" w:rsidP="0054713E">
                            <w:pPr>
                              <w:rPr>
                                <w:sz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6C94007" id="_x0000_s1040" type="#_x0000_t202" style="position:absolute;left:0;text-align:left;margin-left:533.4pt;margin-top:15.05pt;width:246.75pt;height:402.75pt;z-index:251809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" strokecolor="#8eb4e3" strokeweight="1.5pt">
                <v:path arrowok="t"/>
                <v:textbox>
                  <w:txbxContent>
                    <w:p w:rsidR="00F66189" w:rsidRPr="00CD1519" w:rsidRDefault="00F66189" w:rsidP="0054713E">
                      <w:pPr>
                        <w:rPr>
                          <w:b/>
                          <w:sz w:val="24"/>
                        </w:rPr>
                      </w:pPr>
                      <w:r w:rsidRPr="00CD1519">
                        <w:rPr>
                          <w:b/>
                          <w:sz w:val="24"/>
                        </w:rPr>
                        <w:t>Key Issues:</w:t>
                      </w:r>
                    </w:p>
                    <w:p w:rsidR="00F66189" w:rsidRPr="00CE5098" w:rsidRDefault="00F66189" w:rsidP="006616E8">
                      <w:pPr>
                        <w:pStyle w:val="ListParagraph"/>
                        <w:numPr>
                          <w:ilvl w:val="0"/>
                          <w:numId w:val="10"/>
                        </w:numPr>
                        <w:ind w:left="426" w:hanging="426"/>
                        <w:rPr>
                          <w:sz w:val="20"/>
                          <w:szCs w:val="20"/>
                        </w:rPr>
                      </w:pPr>
                      <w:r w:rsidRPr="00793EF5">
                        <w:rPr>
                          <w:sz w:val="20"/>
                          <w:szCs w:val="20"/>
                        </w:rPr>
                        <w:t>The most significant in month variance</w:t>
                      </w:r>
                      <w:r>
                        <w:rPr>
                          <w:sz w:val="20"/>
                          <w:szCs w:val="20"/>
                        </w:rPr>
                        <w:t>s</w:t>
                      </w:r>
                      <w:r w:rsidRPr="00793EF5">
                        <w:rPr>
                          <w:sz w:val="20"/>
                          <w:szCs w:val="20"/>
                        </w:rPr>
                        <w:t xml:space="preserve"> </w:t>
                      </w:r>
                      <w:r w:rsidRPr="00CE5098">
                        <w:rPr>
                          <w:sz w:val="20"/>
                          <w:szCs w:val="20"/>
                        </w:rPr>
                        <w:t>relates to:</w:t>
                      </w:r>
                    </w:p>
                    <w:p w:rsidR="00F66189" w:rsidRPr="00CE5098" w:rsidRDefault="00F66189" w:rsidP="006616E8">
                      <w:pPr>
                        <w:pStyle w:val="ListParagraph"/>
                        <w:numPr>
                          <w:ilvl w:val="0"/>
                          <w:numId w:val="29"/>
                        </w:numPr>
                        <w:rPr>
                          <w:sz w:val="20"/>
                          <w:szCs w:val="20"/>
                        </w:rPr>
                      </w:pPr>
                      <w:r>
                        <w:rPr>
                          <w:sz w:val="20"/>
                          <w:szCs w:val="20"/>
                        </w:rPr>
                        <w:t xml:space="preserve">Services from Other NHS </w:t>
                      </w:r>
                      <w:r w:rsidRPr="00CE5098">
                        <w:rPr>
                          <w:sz w:val="20"/>
                          <w:szCs w:val="20"/>
                        </w:rPr>
                        <w:t>£</w:t>
                      </w:r>
                      <w:r>
                        <w:rPr>
                          <w:sz w:val="20"/>
                          <w:szCs w:val="20"/>
                        </w:rPr>
                        <w:t>735k</w:t>
                      </w:r>
                      <w:r w:rsidRPr="00CE5098">
                        <w:rPr>
                          <w:sz w:val="20"/>
                          <w:szCs w:val="20"/>
                        </w:rPr>
                        <w:t xml:space="preserve"> </w:t>
                      </w:r>
                    </w:p>
                    <w:p w:rsidR="00F66189" w:rsidRDefault="00F66189" w:rsidP="006616E8">
                      <w:pPr>
                        <w:pStyle w:val="ListParagraph"/>
                        <w:numPr>
                          <w:ilvl w:val="0"/>
                          <w:numId w:val="29"/>
                        </w:numPr>
                        <w:rPr>
                          <w:sz w:val="20"/>
                          <w:szCs w:val="20"/>
                        </w:rPr>
                      </w:pPr>
                      <w:r>
                        <w:rPr>
                          <w:sz w:val="20"/>
                          <w:szCs w:val="20"/>
                        </w:rPr>
                        <w:t>Establishment Expenses £400k</w:t>
                      </w:r>
                    </w:p>
                    <w:p w:rsidR="00F66189" w:rsidRPr="00CE5098" w:rsidRDefault="00F66189" w:rsidP="006616E8">
                      <w:pPr>
                        <w:pStyle w:val="ListParagraph"/>
                        <w:numPr>
                          <w:ilvl w:val="0"/>
                          <w:numId w:val="29"/>
                        </w:numPr>
                        <w:rPr>
                          <w:sz w:val="20"/>
                          <w:szCs w:val="20"/>
                        </w:rPr>
                      </w:pPr>
                      <w:r>
                        <w:rPr>
                          <w:sz w:val="20"/>
                          <w:szCs w:val="20"/>
                        </w:rPr>
                        <w:t xml:space="preserve">Premises &amp; Fixed Plant £389k  </w:t>
                      </w:r>
                    </w:p>
                    <w:p w:rsidR="00F66189" w:rsidRPr="00793EF5" w:rsidRDefault="00F66189" w:rsidP="00D77A1B">
                      <w:pPr>
                        <w:rPr>
                          <w:rFonts w:cs="Tahoma"/>
                          <w:bCs/>
                          <w:sz w:val="20"/>
                          <w:szCs w:val="20"/>
                        </w:rPr>
                      </w:pPr>
                    </w:p>
                    <w:p w:rsidR="00F66189" w:rsidRPr="00CE5098" w:rsidRDefault="00F66189" w:rsidP="006616E8">
                      <w:pPr>
                        <w:pStyle w:val="ListParagraph"/>
                        <w:numPr>
                          <w:ilvl w:val="0"/>
                          <w:numId w:val="10"/>
                        </w:numPr>
                        <w:ind w:left="426" w:hanging="426"/>
                        <w:rPr>
                          <w:sz w:val="20"/>
                          <w:szCs w:val="20"/>
                        </w:rPr>
                      </w:pPr>
                      <w:r w:rsidRPr="00CE5098">
                        <w:rPr>
                          <w:sz w:val="20"/>
                          <w:szCs w:val="20"/>
                        </w:rPr>
                        <w:t>The most significant YTD overspends at M1</w:t>
                      </w:r>
                      <w:r>
                        <w:rPr>
                          <w:sz w:val="20"/>
                          <w:szCs w:val="20"/>
                        </w:rPr>
                        <w:t>1</w:t>
                      </w:r>
                      <w:r w:rsidRPr="00CE5098">
                        <w:rPr>
                          <w:sz w:val="20"/>
                          <w:szCs w:val="20"/>
                        </w:rPr>
                        <w:t xml:space="preserve"> are in the following areas:</w:t>
                      </w:r>
                    </w:p>
                    <w:p w:rsidR="00F66189" w:rsidRPr="00CE5098" w:rsidRDefault="00F66189" w:rsidP="006616E8">
                      <w:pPr>
                        <w:pStyle w:val="ListParagraph"/>
                        <w:numPr>
                          <w:ilvl w:val="0"/>
                          <w:numId w:val="14"/>
                        </w:numPr>
                        <w:rPr>
                          <w:rFonts w:cs="Tahoma"/>
                          <w:bCs/>
                          <w:sz w:val="20"/>
                          <w:szCs w:val="20"/>
                        </w:rPr>
                      </w:pPr>
                      <w:r>
                        <w:rPr>
                          <w:rFonts w:cs="Tahoma"/>
                          <w:bCs/>
                          <w:sz w:val="20"/>
                          <w:szCs w:val="20"/>
                        </w:rPr>
                        <w:t>Primary care prescribing £1,693</w:t>
                      </w:r>
                      <w:r w:rsidRPr="00CE5098">
                        <w:rPr>
                          <w:rFonts w:cs="Tahoma"/>
                          <w:bCs/>
                          <w:sz w:val="20"/>
                          <w:szCs w:val="20"/>
                        </w:rPr>
                        <w:t>k</w:t>
                      </w:r>
                    </w:p>
                    <w:p w:rsidR="00F66189" w:rsidRPr="00CE5098" w:rsidRDefault="00F66189" w:rsidP="006616E8">
                      <w:pPr>
                        <w:pStyle w:val="ListParagraph"/>
                        <w:numPr>
                          <w:ilvl w:val="0"/>
                          <w:numId w:val="14"/>
                        </w:numPr>
                        <w:rPr>
                          <w:rFonts w:cs="Tahoma"/>
                          <w:bCs/>
                          <w:sz w:val="20"/>
                          <w:szCs w:val="20"/>
                        </w:rPr>
                      </w:pPr>
                      <w:r>
                        <w:rPr>
                          <w:rFonts w:cs="Tahoma"/>
                          <w:bCs/>
                          <w:sz w:val="20"/>
                          <w:szCs w:val="20"/>
                        </w:rPr>
                        <w:t>Other NHS Bodies £1,731</w:t>
                      </w:r>
                      <w:r w:rsidRPr="00CE5098">
                        <w:rPr>
                          <w:rFonts w:cs="Tahoma"/>
                          <w:bCs/>
                          <w:sz w:val="20"/>
                          <w:szCs w:val="20"/>
                        </w:rPr>
                        <w:t xml:space="preserve">k – </w:t>
                      </w:r>
                      <w:r>
                        <w:rPr>
                          <w:rFonts w:cs="Tahoma"/>
                          <w:bCs/>
                          <w:sz w:val="20"/>
                          <w:szCs w:val="20"/>
                        </w:rPr>
                        <w:t>GMS OOH contract £1,432</w:t>
                      </w:r>
                      <w:r w:rsidRPr="00CE5098">
                        <w:rPr>
                          <w:rFonts w:cs="Tahoma"/>
                          <w:bCs/>
                          <w:sz w:val="20"/>
                          <w:szCs w:val="20"/>
                        </w:rPr>
                        <w:t>k.</w:t>
                      </w:r>
                    </w:p>
                    <w:p w:rsidR="00F66189" w:rsidRDefault="00F66189" w:rsidP="006616E8">
                      <w:pPr>
                        <w:pStyle w:val="ListParagraph"/>
                        <w:numPr>
                          <w:ilvl w:val="0"/>
                          <w:numId w:val="14"/>
                        </w:numPr>
                        <w:rPr>
                          <w:rFonts w:cs="Tahoma"/>
                          <w:bCs/>
                          <w:sz w:val="20"/>
                          <w:szCs w:val="20"/>
                        </w:rPr>
                      </w:pPr>
                      <w:r>
                        <w:rPr>
                          <w:rFonts w:cs="Tahoma"/>
                          <w:bCs/>
                          <w:sz w:val="20"/>
                          <w:szCs w:val="20"/>
                        </w:rPr>
                        <w:t>Secondary Care Drugs £1,477k</w:t>
                      </w:r>
                    </w:p>
                    <w:p w:rsidR="00F66189" w:rsidRDefault="00F66189" w:rsidP="006616E8">
                      <w:pPr>
                        <w:pStyle w:val="ListParagraph"/>
                        <w:numPr>
                          <w:ilvl w:val="0"/>
                          <w:numId w:val="14"/>
                        </w:numPr>
                        <w:rPr>
                          <w:rFonts w:cs="Tahoma"/>
                          <w:bCs/>
                          <w:sz w:val="20"/>
                          <w:szCs w:val="20"/>
                        </w:rPr>
                      </w:pPr>
                      <w:r>
                        <w:rPr>
                          <w:rFonts w:cs="Tahoma"/>
                          <w:bCs/>
                          <w:sz w:val="20"/>
                          <w:szCs w:val="20"/>
                        </w:rPr>
                        <w:t>Establishment Expenses £1,930k</w:t>
                      </w:r>
                    </w:p>
                    <w:p w:rsidR="00F66189" w:rsidRPr="00CE5098" w:rsidRDefault="00F66189" w:rsidP="006616E8">
                      <w:pPr>
                        <w:pStyle w:val="ListParagraph"/>
                        <w:numPr>
                          <w:ilvl w:val="0"/>
                          <w:numId w:val="14"/>
                        </w:numPr>
                        <w:rPr>
                          <w:rFonts w:cs="Tahoma"/>
                          <w:bCs/>
                          <w:sz w:val="20"/>
                          <w:szCs w:val="20"/>
                        </w:rPr>
                      </w:pPr>
                      <w:r>
                        <w:rPr>
                          <w:rFonts w:cs="Tahoma"/>
                          <w:bCs/>
                          <w:sz w:val="20"/>
                          <w:szCs w:val="20"/>
                        </w:rPr>
                        <w:t>Premises &amp; Fixed Plant £1,584k</w:t>
                      </w:r>
                      <w:r w:rsidRPr="00CE5098">
                        <w:rPr>
                          <w:rFonts w:cs="Tahoma"/>
                          <w:bCs/>
                          <w:sz w:val="20"/>
                          <w:szCs w:val="20"/>
                        </w:rPr>
                        <w:t xml:space="preserve"> </w:t>
                      </w:r>
                    </w:p>
                    <w:p w:rsidR="00F66189" w:rsidRPr="00793EF5" w:rsidRDefault="00F66189" w:rsidP="00406820">
                      <w:pPr>
                        <w:rPr>
                          <w:rFonts w:cs="Tahoma"/>
                          <w:bCs/>
                          <w:sz w:val="20"/>
                          <w:szCs w:val="20"/>
                        </w:rPr>
                      </w:pPr>
                    </w:p>
                    <w:p w:rsidR="00F66189" w:rsidRPr="00BC0DBA" w:rsidRDefault="00F66189" w:rsidP="00BC0DBA">
                      <w:pPr>
                        <w:pStyle w:val="ListParagraph"/>
                        <w:numPr>
                          <w:ilvl w:val="0"/>
                          <w:numId w:val="28"/>
                        </w:numPr>
                        <w:rPr>
                          <w:rFonts w:cs="Tahoma"/>
                          <w:bCs/>
                          <w:sz w:val="20"/>
                          <w:szCs w:val="20"/>
                        </w:rPr>
                      </w:pPr>
                      <w:r w:rsidRPr="00793EF5">
                        <w:rPr>
                          <w:rFonts w:cs="Tahoma"/>
                          <w:bCs/>
                          <w:sz w:val="20"/>
                          <w:szCs w:val="20"/>
                        </w:rPr>
                        <w:t xml:space="preserve">It </w:t>
                      </w:r>
                      <w:r>
                        <w:rPr>
                          <w:rFonts w:cs="Tahoma"/>
                          <w:bCs/>
                          <w:sz w:val="20"/>
                          <w:szCs w:val="20"/>
                        </w:rPr>
                        <w:t>should be noted that the £2,097</w:t>
                      </w:r>
                      <w:r w:rsidRPr="00BC0DBA">
                        <w:rPr>
                          <w:rFonts w:cs="Tahoma"/>
                          <w:bCs/>
                          <w:sz w:val="20"/>
                          <w:szCs w:val="20"/>
                        </w:rPr>
                        <w:t xml:space="preserve">k underspend on Primary Care contracts includes </w:t>
                      </w:r>
                      <w:r>
                        <w:rPr>
                          <w:rFonts w:cs="Tahoma"/>
                          <w:bCs/>
                          <w:sz w:val="20"/>
                          <w:szCs w:val="20"/>
                        </w:rPr>
                        <w:t>£1,432</w:t>
                      </w:r>
                      <w:r w:rsidRPr="00BC0DBA">
                        <w:rPr>
                          <w:rFonts w:cs="Tahoma"/>
                          <w:bCs/>
                          <w:sz w:val="20"/>
                          <w:szCs w:val="20"/>
                        </w:rPr>
                        <w:t>k for OOH Services.</w:t>
                      </w:r>
                    </w:p>
                    <w:p w:rsidR="00F66189" w:rsidRDefault="00F66189" w:rsidP="001231A0">
                      <w:pPr>
                        <w:pStyle w:val="ListParagraph"/>
                        <w:ind w:left="360"/>
                        <w:rPr>
                          <w:rFonts w:cs="Tahoma"/>
                          <w:bCs/>
                          <w:sz w:val="20"/>
                          <w:szCs w:val="20"/>
                        </w:rPr>
                      </w:pPr>
                    </w:p>
                    <w:p w:rsidR="00F66189" w:rsidRPr="00BC0DBA" w:rsidRDefault="00F66189" w:rsidP="006616E8">
                      <w:pPr>
                        <w:pStyle w:val="ListParagraph"/>
                        <w:numPr>
                          <w:ilvl w:val="0"/>
                          <w:numId w:val="28"/>
                        </w:numPr>
                        <w:rPr>
                          <w:rFonts w:cs="Tahoma"/>
                          <w:bCs/>
                          <w:sz w:val="20"/>
                          <w:szCs w:val="20"/>
                        </w:rPr>
                      </w:pPr>
                      <w:r w:rsidRPr="00BC0DBA">
                        <w:rPr>
                          <w:rFonts w:cs="Tahoma"/>
                          <w:bCs/>
                          <w:sz w:val="20"/>
                          <w:szCs w:val="20"/>
                        </w:rPr>
                        <w:t>The under</w:t>
                      </w:r>
                      <w:r>
                        <w:rPr>
                          <w:rFonts w:cs="Tahoma"/>
                          <w:bCs/>
                          <w:sz w:val="20"/>
                          <w:szCs w:val="20"/>
                        </w:rPr>
                        <w:t xml:space="preserve"> spend on Misc Services of £1,565k includes £1,197</w:t>
                      </w:r>
                      <w:r w:rsidRPr="00BC0DBA">
                        <w:rPr>
                          <w:rFonts w:cs="Tahoma"/>
                          <w:bCs/>
                          <w:sz w:val="20"/>
                          <w:szCs w:val="20"/>
                        </w:rPr>
                        <w:t>k of Direct</w:t>
                      </w:r>
                      <w:r>
                        <w:rPr>
                          <w:rFonts w:cs="Tahoma"/>
                          <w:bCs/>
                          <w:sz w:val="20"/>
                          <w:szCs w:val="20"/>
                        </w:rPr>
                        <w:t>orate Reserves and Clinical Negligence £180</w:t>
                      </w:r>
                      <w:r w:rsidRPr="00BC0DBA">
                        <w:rPr>
                          <w:rFonts w:cs="Tahoma"/>
                          <w:bCs/>
                          <w:sz w:val="20"/>
                          <w:szCs w:val="20"/>
                        </w:rPr>
                        <w:t>k.</w:t>
                      </w:r>
                    </w:p>
                    <w:p w:rsidR="00F66189" w:rsidRPr="00406820" w:rsidRDefault="00F66189" w:rsidP="00406820">
                      <w:pPr>
                        <w:rPr>
                          <w:rFonts w:cs="Tahoma"/>
                          <w:bCs/>
                          <w:sz w:val="20"/>
                          <w:szCs w:val="20"/>
                        </w:rPr>
                      </w:pPr>
                    </w:p>
                    <w:p w:rsidR="00F66189" w:rsidRPr="00A5271D" w:rsidRDefault="00F66189" w:rsidP="0054713E">
                      <w:pPr>
                        <w:rPr>
                          <w:sz w:val="24"/>
                        </w:rPr>
                      </w:pPr>
                    </w:p>
                  </w:txbxContent>
                </v:textbox>
              </v:shape>
            </w:pict>
          </mc:Fallback>
        </mc:AlternateContent>
      </w:r>
    </w:p>
    <w:tbl>
      <w:tblPr>
        <w:tblW w:w="9663" w:type="dxa"/>
        <w:tblInd w:w="817" w:type="dxa"/>
        <w:tblLayout w:type="fixed"/>
        <w:tblLook w:val="04A0" w:firstRow="1" w:lastRow="0" w:firstColumn="1" w:lastColumn="0" w:noHBand="0" w:noVBand="1"/>
      </w:tblPr>
      <w:tblGrid>
        <w:gridCol w:w="3827"/>
        <w:gridCol w:w="1300"/>
        <w:gridCol w:w="1276"/>
        <w:gridCol w:w="1417"/>
        <w:gridCol w:w="1843"/>
      </w:tblGrid>
      <w:tr w:rsidR="0054713E" w:rsidRPr="00EB32C9" w:rsidTr="003C4364">
        <w:trPr>
          <w:trHeight w:val="510"/>
        </w:trPr>
        <w:tc>
          <w:tcPr>
            <w:tcW w:w="3827" w:type="dxa"/>
            <w:tcBorders>
              <w:top w:val="single" w:sz="8" w:space="0" w:color="auto"/>
              <w:left w:val="single" w:sz="8" w:space="0" w:color="auto"/>
              <w:bottom w:val="nil"/>
              <w:right w:val="single" w:sz="8" w:space="0" w:color="auto"/>
            </w:tcBorders>
            <w:shd w:val="clear" w:color="auto" w:fill="auto"/>
            <w:hideMark/>
          </w:tcPr>
          <w:p w:rsidR="0054713E" w:rsidRPr="00EB32C9" w:rsidRDefault="0054713E" w:rsidP="003C4364">
            <w:pPr>
              <w:rPr>
                <w:color w:val="000000"/>
                <w:sz w:val="20"/>
                <w:szCs w:val="20"/>
                <w:lang w:val="en-US"/>
              </w:rPr>
            </w:pPr>
            <w:r w:rsidRPr="00EB32C9">
              <w:rPr>
                <w:color w:val="000000"/>
                <w:sz w:val="20"/>
                <w:szCs w:val="20"/>
                <w:lang w:val="en-US"/>
              </w:rPr>
              <w:t> </w:t>
            </w:r>
          </w:p>
        </w:tc>
        <w:tc>
          <w:tcPr>
            <w:tcW w:w="1300" w:type="dxa"/>
            <w:tcBorders>
              <w:top w:val="single" w:sz="8" w:space="0" w:color="auto"/>
              <w:left w:val="nil"/>
              <w:bottom w:val="nil"/>
              <w:right w:val="single" w:sz="8" w:space="0" w:color="auto"/>
            </w:tcBorders>
            <w:shd w:val="clear" w:color="auto" w:fill="auto"/>
            <w:hideMark/>
          </w:tcPr>
          <w:p w:rsidR="0054713E" w:rsidRPr="00EB32C9" w:rsidRDefault="0054713E" w:rsidP="003C4364">
            <w:pPr>
              <w:jc w:val="center"/>
              <w:rPr>
                <w:b/>
                <w:bCs/>
                <w:color w:val="000000"/>
                <w:sz w:val="20"/>
                <w:szCs w:val="20"/>
                <w:lang w:val="en-US"/>
              </w:rPr>
            </w:pPr>
            <w:r w:rsidRPr="00EB32C9">
              <w:rPr>
                <w:rFonts w:cs="Arial"/>
                <w:b/>
                <w:bCs/>
                <w:color w:val="000000"/>
                <w:sz w:val="20"/>
                <w:szCs w:val="20"/>
                <w:lang w:eastAsia="en-GB"/>
              </w:rPr>
              <w:t>Annual Budget</w:t>
            </w:r>
          </w:p>
        </w:tc>
        <w:tc>
          <w:tcPr>
            <w:tcW w:w="1276" w:type="dxa"/>
            <w:tcBorders>
              <w:top w:val="single" w:sz="8" w:space="0" w:color="auto"/>
              <w:left w:val="nil"/>
              <w:bottom w:val="nil"/>
              <w:right w:val="nil"/>
            </w:tcBorders>
            <w:shd w:val="clear" w:color="auto" w:fill="auto"/>
            <w:hideMark/>
          </w:tcPr>
          <w:p w:rsidR="0054713E" w:rsidRPr="00EB32C9" w:rsidRDefault="0054713E" w:rsidP="003C4364">
            <w:pPr>
              <w:jc w:val="center"/>
              <w:rPr>
                <w:b/>
                <w:bCs/>
                <w:color w:val="000000"/>
                <w:sz w:val="20"/>
                <w:szCs w:val="20"/>
                <w:lang w:val="en-US"/>
              </w:rPr>
            </w:pPr>
            <w:r w:rsidRPr="00EB32C9">
              <w:rPr>
                <w:rFonts w:cs="Arial"/>
                <w:b/>
                <w:bCs/>
                <w:color w:val="000000"/>
                <w:sz w:val="20"/>
                <w:szCs w:val="20"/>
                <w:lang w:eastAsia="en-GB"/>
              </w:rPr>
              <w:t>Current Month Variance</w:t>
            </w:r>
          </w:p>
        </w:tc>
        <w:tc>
          <w:tcPr>
            <w:tcW w:w="1417" w:type="dxa"/>
            <w:tcBorders>
              <w:top w:val="single" w:sz="8" w:space="0" w:color="auto"/>
              <w:left w:val="single" w:sz="4" w:space="0" w:color="auto"/>
              <w:bottom w:val="nil"/>
              <w:right w:val="single" w:sz="4" w:space="0" w:color="auto"/>
            </w:tcBorders>
            <w:shd w:val="clear" w:color="auto" w:fill="auto"/>
            <w:hideMark/>
          </w:tcPr>
          <w:p w:rsidR="0054713E" w:rsidRPr="00EB32C9" w:rsidRDefault="0054713E" w:rsidP="003C4364">
            <w:pPr>
              <w:jc w:val="center"/>
              <w:rPr>
                <w:b/>
                <w:bCs/>
                <w:color w:val="000000"/>
                <w:sz w:val="20"/>
                <w:szCs w:val="20"/>
                <w:lang w:val="en-US"/>
              </w:rPr>
            </w:pPr>
            <w:r w:rsidRPr="00EB32C9">
              <w:rPr>
                <w:rFonts w:cs="Arial"/>
                <w:b/>
                <w:bCs/>
                <w:color w:val="000000"/>
                <w:sz w:val="20"/>
                <w:szCs w:val="20"/>
                <w:lang w:eastAsia="en-GB"/>
              </w:rPr>
              <w:t>Year to Date Variance</w:t>
            </w:r>
          </w:p>
        </w:tc>
        <w:tc>
          <w:tcPr>
            <w:tcW w:w="1843" w:type="dxa"/>
            <w:tcBorders>
              <w:top w:val="single" w:sz="8" w:space="0" w:color="auto"/>
              <w:left w:val="nil"/>
              <w:bottom w:val="nil"/>
              <w:right w:val="single" w:sz="8" w:space="0" w:color="auto"/>
            </w:tcBorders>
            <w:shd w:val="clear" w:color="auto" w:fill="auto"/>
            <w:hideMark/>
          </w:tcPr>
          <w:p w:rsidR="0054713E" w:rsidRPr="00EB32C9" w:rsidRDefault="0054713E" w:rsidP="003C4364">
            <w:pPr>
              <w:jc w:val="center"/>
              <w:rPr>
                <w:b/>
                <w:bCs/>
                <w:color w:val="000000"/>
                <w:sz w:val="20"/>
                <w:szCs w:val="20"/>
                <w:lang w:val="en-US"/>
              </w:rPr>
            </w:pPr>
            <w:r w:rsidRPr="00EB32C9">
              <w:rPr>
                <w:rFonts w:cs="Arial"/>
                <w:b/>
                <w:bCs/>
                <w:color w:val="000000"/>
                <w:sz w:val="20"/>
                <w:szCs w:val="20"/>
                <w:lang w:eastAsia="en-GB"/>
              </w:rPr>
              <w:t>YTD Variance as % of YTD budget</w:t>
            </w:r>
          </w:p>
        </w:tc>
      </w:tr>
      <w:tr w:rsidR="0054713E" w:rsidRPr="00EB32C9" w:rsidTr="003C4364">
        <w:trPr>
          <w:trHeight w:val="270"/>
        </w:trPr>
        <w:tc>
          <w:tcPr>
            <w:tcW w:w="3827" w:type="dxa"/>
            <w:tcBorders>
              <w:top w:val="nil"/>
              <w:left w:val="single" w:sz="8" w:space="0" w:color="auto"/>
              <w:bottom w:val="nil"/>
              <w:right w:val="single" w:sz="8" w:space="0" w:color="auto"/>
            </w:tcBorders>
            <w:shd w:val="clear" w:color="auto" w:fill="auto"/>
            <w:hideMark/>
          </w:tcPr>
          <w:p w:rsidR="0054713E" w:rsidRPr="00EB32C9" w:rsidRDefault="0054713E" w:rsidP="003C4364">
            <w:pPr>
              <w:jc w:val="both"/>
              <w:rPr>
                <w:b/>
                <w:bCs/>
                <w:color w:val="000000"/>
                <w:sz w:val="20"/>
                <w:szCs w:val="20"/>
                <w:lang w:val="en-US"/>
              </w:rPr>
            </w:pPr>
            <w:r w:rsidRPr="00EB32C9">
              <w:rPr>
                <w:rFonts w:cs="Arial"/>
                <w:b/>
                <w:bCs/>
                <w:color w:val="000000"/>
                <w:sz w:val="20"/>
                <w:szCs w:val="20"/>
                <w:lang w:eastAsia="en-GB"/>
              </w:rPr>
              <w:t> </w:t>
            </w:r>
          </w:p>
        </w:tc>
        <w:tc>
          <w:tcPr>
            <w:tcW w:w="1300" w:type="dxa"/>
            <w:tcBorders>
              <w:top w:val="nil"/>
              <w:left w:val="nil"/>
              <w:bottom w:val="nil"/>
              <w:right w:val="single" w:sz="8" w:space="0" w:color="auto"/>
            </w:tcBorders>
            <w:shd w:val="clear" w:color="auto" w:fill="auto"/>
            <w:hideMark/>
          </w:tcPr>
          <w:p w:rsidR="0054713E" w:rsidRPr="00EB32C9" w:rsidRDefault="0054713E" w:rsidP="003C4364">
            <w:pPr>
              <w:jc w:val="center"/>
              <w:rPr>
                <w:b/>
                <w:bCs/>
                <w:color w:val="000000"/>
                <w:sz w:val="20"/>
                <w:szCs w:val="20"/>
                <w:lang w:val="en-US"/>
              </w:rPr>
            </w:pPr>
            <w:r w:rsidRPr="00EB32C9">
              <w:rPr>
                <w:rFonts w:cs="Arial"/>
                <w:b/>
                <w:bCs/>
                <w:color w:val="000000"/>
                <w:sz w:val="20"/>
                <w:szCs w:val="20"/>
                <w:lang w:eastAsia="en-GB"/>
              </w:rPr>
              <w:t>£'000</w:t>
            </w:r>
          </w:p>
        </w:tc>
        <w:tc>
          <w:tcPr>
            <w:tcW w:w="1276" w:type="dxa"/>
            <w:tcBorders>
              <w:top w:val="nil"/>
              <w:left w:val="nil"/>
              <w:bottom w:val="nil"/>
              <w:right w:val="nil"/>
            </w:tcBorders>
            <w:shd w:val="clear" w:color="auto" w:fill="auto"/>
            <w:hideMark/>
          </w:tcPr>
          <w:p w:rsidR="0054713E" w:rsidRPr="00EB32C9" w:rsidRDefault="0054713E" w:rsidP="003C4364">
            <w:pPr>
              <w:jc w:val="center"/>
              <w:rPr>
                <w:b/>
                <w:bCs/>
                <w:color w:val="000000"/>
                <w:sz w:val="20"/>
                <w:szCs w:val="20"/>
                <w:lang w:val="en-US"/>
              </w:rPr>
            </w:pPr>
            <w:r w:rsidRPr="00EB32C9">
              <w:rPr>
                <w:rFonts w:cs="Arial"/>
                <w:b/>
                <w:bCs/>
                <w:color w:val="000000"/>
                <w:sz w:val="20"/>
                <w:szCs w:val="20"/>
                <w:lang w:eastAsia="en-GB"/>
              </w:rPr>
              <w:t>£'000</w:t>
            </w:r>
          </w:p>
        </w:tc>
        <w:tc>
          <w:tcPr>
            <w:tcW w:w="1417" w:type="dxa"/>
            <w:tcBorders>
              <w:top w:val="nil"/>
              <w:left w:val="single" w:sz="4" w:space="0" w:color="auto"/>
              <w:bottom w:val="nil"/>
              <w:right w:val="single" w:sz="4" w:space="0" w:color="auto"/>
            </w:tcBorders>
            <w:shd w:val="clear" w:color="auto" w:fill="auto"/>
            <w:hideMark/>
          </w:tcPr>
          <w:p w:rsidR="0054713E" w:rsidRPr="00EB32C9" w:rsidRDefault="0054713E" w:rsidP="003C4364">
            <w:pPr>
              <w:jc w:val="center"/>
              <w:rPr>
                <w:b/>
                <w:bCs/>
                <w:color w:val="000000"/>
                <w:sz w:val="20"/>
                <w:szCs w:val="20"/>
                <w:lang w:val="en-US"/>
              </w:rPr>
            </w:pPr>
            <w:r w:rsidRPr="00EB32C9">
              <w:rPr>
                <w:rFonts w:cs="Arial"/>
                <w:b/>
                <w:bCs/>
                <w:color w:val="000000"/>
                <w:sz w:val="20"/>
                <w:szCs w:val="20"/>
                <w:lang w:eastAsia="en-GB"/>
              </w:rPr>
              <w:t>£'000</w:t>
            </w:r>
          </w:p>
        </w:tc>
        <w:tc>
          <w:tcPr>
            <w:tcW w:w="1843" w:type="dxa"/>
            <w:tcBorders>
              <w:top w:val="nil"/>
              <w:left w:val="nil"/>
              <w:bottom w:val="nil"/>
              <w:right w:val="single" w:sz="8" w:space="0" w:color="auto"/>
            </w:tcBorders>
            <w:shd w:val="clear" w:color="auto" w:fill="auto"/>
            <w:hideMark/>
          </w:tcPr>
          <w:p w:rsidR="0054713E" w:rsidRPr="00EB32C9" w:rsidRDefault="0054713E" w:rsidP="003C4364">
            <w:pPr>
              <w:jc w:val="center"/>
              <w:rPr>
                <w:b/>
                <w:bCs/>
                <w:color w:val="000000"/>
                <w:sz w:val="20"/>
                <w:szCs w:val="20"/>
                <w:lang w:val="en-US"/>
              </w:rPr>
            </w:pPr>
            <w:r w:rsidRPr="00EB32C9">
              <w:rPr>
                <w:rFonts w:cs="Arial"/>
                <w:b/>
                <w:bCs/>
                <w:color w:val="000000"/>
                <w:sz w:val="20"/>
                <w:szCs w:val="20"/>
                <w:lang w:eastAsia="en-GB"/>
              </w:rPr>
              <w:t>%</w:t>
            </w:r>
          </w:p>
        </w:tc>
      </w:tr>
      <w:tr w:rsidR="0054713E" w:rsidRPr="00EB32C9" w:rsidTr="003C4364">
        <w:trPr>
          <w:trHeight w:val="270"/>
        </w:trPr>
        <w:tc>
          <w:tcPr>
            <w:tcW w:w="3827" w:type="dxa"/>
            <w:tcBorders>
              <w:top w:val="nil"/>
              <w:left w:val="single" w:sz="8" w:space="0" w:color="auto"/>
              <w:bottom w:val="single" w:sz="8" w:space="0" w:color="auto"/>
              <w:right w:val="single" w:sz="8" w:space="0" w:color="auto"/>
            </w:tcBorders>
            <w:shd w:val="clear" w:color="auto" w:fill="auto"/>
          </w:tcPr>
          <w:p w:rsidR="0054713E" w:rsidRPr="00EB32C9" w:rsidRDefault="0054713E" w:rsidP="003C4364">
            <w:pPr>
              <w:jc w:val="both"/>
              <w:rPr>
                <w:rFonts w:cs="Arial"/>
                <w:b/>
                <w:bCs/>
                <w:color w:val="000000"/>
                <w:sz w:val="20"/>
                <w:szCs w:val="20"/>
                <w:lang w:eastAsia="en-GB"/>
              </w:rPr>
            </w:pPr>
          </w:p>
          <w:p w:rsidR="0054713E" w:rsidRPr="00EB32C9" w:rsidRDefault="0054713E" w:rsidP="003C4364">
            <w:pPr>
              <w:jc w:val="both"/>
              <w:rPr>
                <w:rFonts w:cs="Arial"/>
                <w:b/>
                <w:bCs/>
                <w:color w:val="000000"/>
                <w:sz w:val="20"/>
                <w:szCs w:val="20"/>
                <w:lang w:eastAsia="en-GB"/>
              </w:rPr>
            </w:pPr>
          </w:p>
        </w:tc>
        <w:tc>
          <w:tcPr>
            <w:tcW w:w="1300" w:type="dxa"/>
            <w:tcBorders>
              <w:top w:val="nil"/>
              <w:left w:val="nil"/>
              <w:bottom w:val="single" w:sz="8" w:space="0" w:color="auto"/>
              <w:right w:val="single" w:sz="8" w:space="0" w:color="auto"/>
            </w:tcBorders>
            <w:shd w:val="clear" w:color="auto" w:fill="auto"/>
          </w:tcPr>
          <w:p w:rsidR="0054713E" w:rsidRPr="00EB32C9" w:rsidRDefault="0054713E" w:rsidP="003C4364">
            <w:pPr>
              <w:jc w:val="center"/>
              <w:rPr>
                <w:rFonts w:cs="Arial"/>
                <w:b/>
                <w:bCs/>
                <w:color w:val="000000"/>
                <w:sz w:val="20"/>
                <w:szCs w:val="20"/>
                <w:lang w:eastAsia="en-GB"/>
              </w:rPr>
            </w:pPr>
          </w:p>
        </w:tc>
        <w:tc>
          <w:tcPr>
            <w:tcW w:w="1276" w:type="dxa"/>
            <w:tcBorders>
              <w:top w:val="nil"/>
              <w:left w:val="nil"/>
              <w:bottom w:val="single" w:sz="8" w:space="0" w:color="auto"/>
              <w:right w:val="nil"/>
            </w:tcBorders>
            <w:shd w:val="clear" w:color="auto" w:fill="auto"/>
          </w:tcPr>
          <w:p w:rsidR="0054713E" w:rsidRPr="00EB32C9" w:rsidRDefault="0054713E" w:rsidP="003C4364">
            <w:pPr>
              <w:jc w:val="center"/>
              <w:rPr>
                <w:rFonts w:cs="Arial"/>
                <w:b/>
                <w:bCs/>
                <w:color w:val="000000"/>
                <w:sz w:val="20"/>
                <w:szCs w:val="20"/>
                <w:lang w:eastAsia="en-GB"/>
              </w:rPr>
            </w:pPr>
          </w:p>
        </w:tc>
        <w:tc>
          <w:tcPr>
            <w:tcW w:w="1417" w:type="dxa"/>
            <w:tcBorders>
              <w:top w:val="nil"/>
              <w:left w:val="single" w:sz="4" w:space="0" w:color="auto"/>
              <w:bottom w:val="single" w:sz="8" w:space="0" w:color="auto"/>
              <w:right w:val="single" w:sz="4" w:space="0" w:color="auto"/>
            </w:tcBorders>
            <w:shd w:val="clear" w:color="auto" w:fill="auto"/>
          </w:tcPr>
          <w:p w:rsidR="0054713E" w:rsidRPr="00EB32C9" w:rsidRDefault="0054713E" w:rsidP="003C4364">
            <w:pPr>
              <w:jc w:val="center"/>
              <w:rPr>
                <w:rFonts w:cs="Arial"/>
                <w:b/>
                <w:bCs/>
                <w:color w:val="000000"/>
                <w:sz w:val="20"/>
                <w:szCs w:val="20"/>
                <w:lang w:eastAsia="en-GB"/>
              </w:rPr>
            </w:pPr>
          </w:p>
        </w:tc>
        <w:tc>
          <w:tcPr>
            <w:tcW w:w="1843" w:type="dxa"/>
            <w:tcBorders>
              <w:top w:val="nil"/>
              <w:left w:val="nil"/>
              <w:bottom w:val="single" w:sz="8" w:space="0" w:color="auto"/>
              <w:right w:val="single" w:sz="8" w:space="0" w:color="auto"/>
            </w:tcBorders>
            <w:shd w:val="clear" w:color="auto" w:fill="auto"/>
          </w:tcPr>
          <w:p w:rsidR="0054713E" w:rsidRPr="00EB32C9" w:rsidRDefault="0054713E" w:rsidP="003C4364">
            <w:pPr>
              <w:jc w:val="center"/>
              <w:rPr>
                <w:rFonts w:cs="Arial"/>
                <w:b/>
                <w:bCs/>
                <w:color w:val="000000"/>
                <w:sz w:val="20"/>
                <w:szCs w:val="20"/>
                <w:lang w:eastAsia="en-GB"/>
              </w:rPr>
            </w:pPr>
          </w:p>
        </w:tc>
      </w:tr>
      <w:tr w:rsidR="0054713E" w:rsidRPr="00EB32C9" w:rsidTr="003C4364">
        <w:trPr>
          <w:trHeight w:val="270"/>
        </w:trPr>
        <w:tc>
          <w:tcPr>
            <w:tcW w:w="3827" w:type="dxa"/>
            <w:tcBorders>
              <w:top w:val="nil"/>
              <w:left w:val="single" w:sz="8" w:space="0" w:color="auto"/>
              <w:bottom w:val="single" w:sz="8" w:space="0" w:color="auto"/>
              <w:right w:val="single" w:sz="8" w:space="0" w:color="auto"/>
            </w:tcBorders>
            <w:shd w:val="clear" w:color="auto" w:fill="auto"/>
            <w:vAlign w:val="center"/>
          </w:tcPr>
          <w:p w:rsidR="0054713E" w:rsidRPr="00EB32C9" w:rsidRDefault="0054713E" w:rsidP="003C4364">
            <w:pPr>
              <w:rPr>
                <w:b/>
                <w:bCs/>
                <w:color w:val="000000"/>
                <w:sz w:val="22"/>
                <w:szCs w:val="22"/>
                <w:lang w:eastAsia="en-GB"/>
              </w:rPr>
            </w:pPr>
            <w:r w:rsidRPr="00EB32C9">
              <w:rPr>
                <w:b/>
                <w:bCs/>
                <w:color w:val="000000"/>
                <w:sz w:val="22"/>
                <w:szCs w:val="22"/>
                <w:lang w:eastAsia="en-GB"/>
              </w:rPr>
              <w:t>Primary Care &amp; Contracts</w:t>
            </w:r>
          </w:p>
        </w:tc>
        <w:tc>
          <w:tcPr>
            <w:tcW w:w="1300" w:type="dxa"/>
            <w:tcBorders>
              <w:top w:val="nil"/>
              <w:left w:val="nil"/>
              <w:bottom w:val="single" w:sz="8" w:space="0" w:color="auto"/>
              <w:right w:val="single" w:sz="8" w:space="0" w:color="auto"/>
            </w:tcBorders>
            <w:shd w:val="clear" w:color="auto" w:fill="auto"/>
          </w:tcPr>
          <w:p w:rsidR="0054713E" w:rsidRPr="00EB32C9" w:rsidRDefault="0054713E" w:rsidP="003C4364">
            <w:pPr>
              <w:jc w:val="center"/>
              <w:rPr>
                <w:rFonts w:cs="Arial"/>
                <w:b/>
                <w:bCs/>
                <w:color w:val="000000"/>
                <w:sz w:val="20"/>
                <w:szCs w:val="20"/>
                <w:lang w:eastAsia="en-GB"/>
              </w:rPr>
            </w:pPr>
          </w:p>
        </w:tc>
        <w:tc>
          <w:tcPr>
            <w:tcW w:w="1276" w:type="dxa"/>
            <w:tcBorders>
              <w:top w:val="nil"/>
              <w:left w:val="nil"/>
              <w:bottom w:val="single" w:sz="8" w:space="0" w:color="auto"/>
              <w:right w:val="nil"/>
            </w:tcBorders>
            <w:shd w:val="clear" w:color="auto" w:fill="auto"/>
          </w:tcPr>
          <w:p w:rsidR="0054713E" w:rsidRPr="00EB32C9" w:rsidRDefault="0054713E" w:rsidP="003C4364">
            <w:pPr>
              <w:jc w:val="center"/>
              <w:rPr>
                <w:rFonts w:cs="Arial"/>
                <w:b/>
                <w:bCs/>
                <w:color w:val="000000"/>
                <w:sz w:val="20"/>
                <w:szCs w:val="20"/>
                <w:lang w:eastAsia="en-GB"/>
              </w:rPr>
            </w:pPr>
          </w:p>
        </w:tc>
        <w:tc>
          <w:tcPr>
            <w:tcW w:w="1417" w:type="dxa"/>
            <w:tcBorders>
              <w:top w:val="nil"/>
              <w:left w:val="single" w:sz="4" w:space="0" w:color="auto"/>
              <w:bottom w:val="single" w:sz="8" w:space="0" w:color="auto"/>
              <w:right w:val="single" w:sz="4" w:space="0" w:color="auto"/>
            </w:tcBorders>
            <w:shd w:val="clear" w:color="auto" w:fill="auto"/>
          </w:tcPr>
          <w:p w:rsidR="0054713E" w:rsidRPr="00EB32C9" w:rsidRDefault="0054713E" w:rsidP="003C4364">
            <w:pPr>
              <w:jc w:val="center"/>
              <w:rPr>
                <w:rFonts w:cs="Arial"/>
                <w:b/>
                <w:bCs/>
                <w:color w:val="000000"/>
                <w:sz w:val="20"/>
                <w:szCs w:val="20"/>
                <w:lang w:eastAsia="en-GB"/>
              </w:rPr>
            </w:pPr>
          </w:p>
        </w:tc>
        <w:tc>
          <w:tcPr>
            <w:tcW w:w="1843" w:type="dxa"/>
            <w:tcBorders>
              <w:top w:val="nil"/>
              <w:left w:val="nil"/>
              <w:bottom w:val="single" w:sz="8" w:space="0" w:color="auto"/>
              <w:right w:val="single" w:sz="8" w:space="0" w:color="auto"/>
            </w:tcBorders>
            <w:shd w:val="clear" w:color="auto" w:fill="auto"/>
          </w:tcPr>
          <w:p w:rsidR="0054713E" w:rsidRPr="00EB32C9" w:rsidRDefault="0054713E" w:rsidP="003C4364">
            <w:pPr>
              <w:jc w:val="center"/>
              <w:rPr>
                <w:rFonts w:cs="Arial"/>
                <w:b/>
                <w:bCs/>
                <w:color w:val="000000"/>
                <w:sz w:val="20"/>
                <w:szCs w:val="20"/>
                <w:lang w:eastAsia="en-GB"/>
              </w:rPr>
            </w:pPr>
          </w:p>
        </w:tc>
      </w:tr>
      <w:tr w:rsidR="00FB1D09" w:rsidRPr="00EB32C9" w:rsidTr="003C4364">
        <w:trPr>
          <w:trHeight w:val="270"/>
        </w:trPr>
        <w:tc>
          <w:tcPr>
            <w:tcW w:w="3827" w:type="dxa"/>
            <w:tcBorders>
              <w:top w:val="nil"/>
              <w:left w:val="single" w:sz="8" w:space="0" w:color="auto"/>
              <w:bottom w:val="single" w:sz="8" w:space="0" w:color="auto"/>
              <w:right w:val="single" w:sz="8" w:space="0" w:color="auto"/>
            </w:tcBorders>
            <w:shd w:val="clear" w:color="auto" w:fill="auto"/>
            <w:vAlign w:val="center"/>
          </w:tcPr>
          <w:p w:rsidR="00FB1D09" w:rsidRPr="00EB32C9" w:rsidRDefault="00FB1D09" w:rsidP="00FB1D09">
            <w:pPr>
              <w:jc w:val="both"/>
              <w:rPr>
                <w:color w:val="000000"/>
                <w:sz w:val="22"/>
                <w:szCs w:val="22"/>
                <w:lang w:eastAsia="en-GB"/>
              </w:rPr>
            </w:pPr>
            <w:r w:rsidRPr="00EB32C9">
              <w:rPr>
                <w:color w:val="000000"/>
                <w:sz w:val="22"/>
                <w:szCs w:val="22"/>
                <w:lang w:eastAsia="en-GB"/>
              </w:rPr>
              <w:t>Primary Care Contracts</w:t>
            </w:r>
          </w:p>
        </w:tc>
        <w:tc>
          <w:tcPr>
            <w:tcW w:w="1300" w:type="dxa"/>
            <w:tcBorders>
              <w:top w:val="nil"/>
              <w:left w:val="nil"/>
              <w:bottom w:val="single" w:sz="8" w:space="0" w:color="auto"/>
              <w:right w:val="single" w:sz="8" w:space="0" w:color="auto"/>
            </w:tcBorders>
            <w:shd w:val="clear" w:color="auto" w:fill="auto"/>
            <w:vAlign w:val="center"/>
          </w:tcPr>
          <w:p w:rsidR="00FB1D09" w:rsidRDefault="00FB1D09" w:rsidP="00FB1D09">
            <w:pPr>
              <w:jc w:val="right"/>
              <w:rPr>
                <w:sz w:val="20"/>
                <w:szCs w:val="20"/>
                <w:lang w:eastAsia="en-GB"/>
              </w:rPr>
            </w:pPr>
            <w:r>
              <w:rPr>
                <w:sz w:val="20"/>
                <w:szCs w:val="20"/>
              </w:rPr>
              <w:t>122,769</w:t>
            </w:r>
          </w:p>
        </w:tc>
        <w:tc>
          <w:tcPr>
            <w:tcW w:w="1276" w:type="dxa"/>
            <w:tcBorders>
              <w:top w:val="nil"/>
              <w:left w:val="nil"/>
              <w:bottom w:val="single" w:sz="8" w:space="0" w:color="auto"/>
              <w:right w:val="nil"/>
            </w:tcBorders>
            <w:shd w:val="clear" w:color="auto" w:fill="auto"/>
            <w:vAlign w:val="center"/>
          </w:tcPr>
          <w:p w:rsidR="00FB1D09" w:rsidRDefault="00FB1D09" w:rsidP="00FB1D09">
            <w:pPr>
              <w:jc w:val="right"/>
              <w:rPr>
                <w:sz w:val="20"/>
                <w:szCs w:val="20"/>
              </w:rPr>
            </w:pPr>
            <w:r>
              <w:rPr>
                <w:sz w:val="20"/>
                <w:szCs w:val="20"/>
              </w:rPr>
              <w:t>132</w:t>
            </w:r>
          </w:p>
        </w:tc>
        <w:tc>
          <w:tcPr>
            <w:tcW w:w="1417" w:type="dxa"/>
            <w:tcBorders>
              <w:top w:val="nil"/>
              <w:left w:val="single" w:sz="4" w:space="0" w:color="auto"/>
              <w:bottom w:val="single" w:sz="8" w:space="0" w:color="auto"/>
              <w:right w:val="single" w:sz="4" w:space="0" w:color="auto"/>
            </w:tcBorders>
            <w:shd w:val="clear" w:color="auto" w:fill="auto"/>
            <w:vAlign w:val="center"/>
          </w:tcPr>
          <w:p w:rsidR="00FB1D09" w:rsidRDefault="00FB1D09" w:rsidP="00FB1D09">
            <w:pPr>
              <w:jc w:val="right"/>
              <w:rPr>
                <w:sz w:val="20"/>
                <w:szCs w:val="20"/>
              </w:rPr>
            </w:pPr>
            <w:r>
              <w:rPr>
                <w:color w:val="FF0000"/>
                <w:sz w:val="20"/>
                <w:szCs w:val="20"/>
              </w:rPr>
              <w:t>(2,097)</w:t>
            </w:r>
          </w:p>
        </w:tc>
        <w:tc>
          <w:tcPr>
            <w:tcW w:w="1843" w:type="dxa"/>
            <w:tcBorders>
              <w:top w:val="nil"/>
              <w:left w:val="nil"/>
              <w:bottom w:val="single" w:sz="8" w:space="0" w:color="auto"/>
              <w:right w:val="single" w:sz="8" w:space="0" w:color="auto"/>
            </w:tcBorders>
            <w:shd w:val="clear" w:color="auto" w:fill="92D050"/>
            <w:vAlign w:val="center"/>
          </w:tcPr>
          <w:p w:rsidR="00FB1D09" w:rsidRDefault="00FB1D09" w:rsidP="00FB1D09">
            <w:pPr>
              <w:jc w:val="right"/>
              <w:rPr>
                <w:color w:val="000000"/>
                <w:sz w:val="20"/>
                <w:szCs w:val="20"/>
              </w:rPr>
            </w:pPr>
            <w:r>
              <w:rPr>
                <w:color w:val="000000"/>
                <w:sz w:val="20"/>
                <w:szCs w:val="20"/>
              </w:rPr>
              <w:t>-1.88%</w:t>
            </w:r>
          </w:p>
        </w:tc>
      </w:tr>
      <w:tr w:rsidR="00FB1D09" w:rsidRPr="00EB32C9" w:rsidTr="00C017AF">
        <w:trPr>
          <w:trHeight w:val="270"/>
        </w:trPr>
        <w:tc>
          <w:tcPr>
            <w:tcW w:w="3827" w:type="dxa"/>
            <w:tcBorders>
              <w:top w:val="nil"/>
              <w:left w:val="single" w:sz="8" w:space="0" w:color="auto"/>
              <w:bottom w:val="single" w:sz="8" w:space="0" w:color="auto"/>
              <w:right w:val="single" w:sz="8" w:space="0" w:color="auto"/>
            </w:tcBorders>
            <w:shd w:val="clear" w:color="auto" w:fill="auto"/>
            <w:vAlign w:val="center"/>
          </w:tcPr>
          <w:p w:rsidR="00FB1D09" w:rsidRPr="00EB32C9" w:rsidRDefault="00FB1D09" w:rsidP="00FB1D09">
            <w:pPr>
              <w:jc w:val="both"/>
              <w:rPr>
                <w:color w:val="000000"/>
                <w:sz w:val="22"/>
                <w:szCs w:val="22"/>
                <w:lang w:eastAsia="en-GB"/>
              </w:rPr>
            </w:pPr>
            <w:r w:rsidRPr="00EB32C9">
              <w:rPr>
                <w:color w:val="000000"/>
                <w:sz w:val="22"/>
                <w:szCs w:val="22"/>
                <w:lang w:eastAsia="en-GB"/>
              </w:rPr>
              <w:t>Primary Care Prescribing</w:t>
            </w:r>
          </w:p>
        </w:tc>
        <w:tc>
          <w:tcPr>
            <w:tcW w:w="1300" w:type="dxa"/>
            <w:tcBorders>
              <w:top w:val="nil"/>
              <w:left w:val="nil"/>
              <w:bottom w:val="single" w:sz="8" w:space="0" w:color="auto"/>
              <w:right w:val="single" w:sz="8" w:space="0" w:color="auto"/>
            </w:tcBorders>
            <w:shd w:val="clear" w:color="auto" w:fill="auto"/>
            <w:vAlign w:val="center"/>
          </w:tcPr>
          <w:p w:rsidR="00FB1D09" w:rsidRDefault="00FB1D09" w:rsidP="00FB1D09">
            <w:pPr>
              <w:jc w:val="right"/>
              <w:rPr>
                <w:sz w:val="20"/>
                <w:szCs w:val="20"/>
              </w:rPr>
            </w:pPr>
            <w:r>
              <w:rPr>
                <w:sz w:val="20"/>
                <w:szCs w:val="20"/>
              </w:rPr>
              <w:t>86,139</w:t>
            </w:r>
          </w:p>
        </w:tc>
        <w:tc>
          <w:tcPr>
            <w:tcW w:w="1276" w:type="dxa"/>
            <w:tcBorders>
              <w:top w:val="nil"/>
              <w:left w:val="nil"/>
              <w:bottom w:val="single" w:sz="8" w:space="0" w:color="auto"/>
              <w:right w:val="nil"/>
            </w:tcBorders>
            <w:shd w:val="clear" w:color="auto" w:fill="auto"/>
            <w:vAlign w:val="center"/>
          </w:tcPr>
          <w:p w:rsidR="00FB1D09" w:rsidRDefault="00FB1D09" w:rsidP="00FB1D09">
            <w:pPr>
              <w:jc w:val="right"/>
              <w:rPr>
                <w:sz w:val="20"/>
                <w:szCs w:val="20"/>
              </w:rPr>
            </w:pPr>
            <w:r>
              <w:rPr>
                <w:sz w:val="20"/>
                <w:szCs w:val="20"/>
              </w:rPr>
              <w:t>196</w:t>
            </w:r>
          </w:p>
        </w:tc>
        <w:tc>
          <w:tcPr>
            <w:tcW w:w="1417" w:type="dxa"/>
            <w:tcBorders>
              <w:top w:val="nil"/>
              <w:left w:val="single" w:sz="4" w:space="0" w:color="auto"/>
              <w:bottom w:val="single" w:sz="8" w:space="0" w:color="auto"/>
              <w:right w:val="single" w:sz="4" w:space="0" w:color="auto"/>
            </w:tcBorders>
            <w:shd w:val="clear" w:color="auto" w:fill="auto"/>
            <w:vAlign w:val="center"/>
          </w:tcPr>
          <w:p w:rsidR="00FB1D09" w:rsidRDefault="00FB1D09" w:rsidP="00FB1D09">
            <w:pPr>
              <w:jc w:val="right"/>
              <w:rPr>
                <w:sz w:val="20"/>
                <w:szCs w:val="20"/>
              </w:rPr>
            </w:pPr>
            <w:r>
              <w:rPr>
                <w:sz w:val="20"/>
                <w:szCs w:val="20"/>
              </w:rPr>
              <w:t>1,693</w:t>
            </w:r>
          </w:p>
        </w:tc>
        <w:tc>
          <w:tcPr>
            <w:tcW w:w="1843" w:type="dxa"/>
            <w:tcBorders>
              <w:top w:val="nil"/>
              <w:left w:val="nil"/>
              <w:bottom w:val="single" w:sz="8" w:space="0" w:color="auto"/>
              <w:right w:val="single" w:sz="8" w:space="0" w:color="auto"/>
            </w:tcBorders>
            <w:shd w:val="clear" w:color="auto" w:fill="FF0000"/>
            <w:vAlign w:val="center"/>
          </w:tcPr>
          <w:p w:rsidR="00FB1D09" w:rsidRDefault="00FB1D09" w:rsidP="00FB1D09">
            <w:pPr>
              <w:jc w:val="right"/>
              <w:rPr>
                <w:color w:val="000000"/>
                <w:sz w:val="20"/>
                <w:szCs w:val="20"/>
              </w:rPr>
            </w:pPr>
            <w:r>
              <w:rPr>
                <w:color w:val="000000"/>
                <w:sz w:val="20"/>
                <w:szCs w:val="20"/>
              </w:rPr>
              <w:t>2.14%</w:t>
            </w:r>
          </w:p>
        </w:tc>
      </w:tr>
      <w:tr w:rsidR="00FB1D09" w:rsidRPr="00EB32C9" w:rsidTr="00BE5EED">
        <w:trPr>
          <w:trHeight w:val="270"/>
        </w:trPr>
        <w:tc>
          <w:tcPr>
            <w:tcW w:w="3827" w:type="dxa"/>
            <w:tcBorders>
              <w:top w:val="nil"/>
              <w:left w:val="single" w:sz="8" w:space="0" w:color="auto"/>
              <w:bottom w:val="single" w:sz="8" w:space="0" w:color="auto"/>
              <w:right w:val="single" w:sz="8" w:space="0" w:color="auto"/>
            </w:tcBorders>
            <w:shd w:val="clear" w:color="auto" w:fill="auto"/>
            <w:vAlign w:val="center"/>
          </w:tcPr>
          <w:p w:rsidR="00FB1D09" w:rsidRPr="00EB32C9" w:rsidRDefault="00FB1D09" w:rsidP="00FB1D09">
            <w:pPr>
              <w:jc w:val="both"/>
              <w:rPr>
                <w:color w:val="000000"/>
                <w:sz w:val="22"/>
                <w:szCs w:val="22"/>
                <w:lang w:eastAsia="en-GB"/>
              </w:rPr>
            </w:pPr>
            <w:r w:rsidRPr="00EB32C9">
              <w:rPr>
                <w:color w:val="000000"/>
                <w:sz w:val="22"/>
                <w:szCs w:val="22"/>
                <w:lang w:eastAsia="en-GB"/>
              </w:rPr>
              <w:t>CHC &amp; FNC</w:t>
            </w:r>
          </w:p>
        </w:tc>
        <w:tc>
          <w:tcPr>
            <w:tcW w:w="1300" w:type="dxa"/>
            <w:tcBorders>
              <w:top w:val="nil"/>
              <w:left w:val="nil"/>
              <w:bottom w:val="single" w:sz="8" w:space="0" w:color="auto"/>
              <w:right w:val="single" w:sz="8" w:space="0" w:color="auto"/>
            </w:tcBorders>
            <w:shd w:val="clear" w:color="auto" w:fill="auto"/>
            <w:vAlign w:val="center"/>
          </w:tcPr>
          <w:p w:rsidR="00FB1D09" w:rsidRDefault="00FB1D09" w:rsidP="00FB1D09">
            <w:pPr>
              <w:jc w:val="right"/>
              <w:rPr>
                <w:sz w:val="20"/>
                <w:szCs w:val="20"/>
              </w:rPr>
            </w:pPr>
            <w:r>
              <w:rPr>
                <w:sz w:val="20"/>
                <w:szCs w:val="20"/>
              </w:rPr>
              <w:t>53,991</w:t>
            </w:r>
          </w:p>
        </w:tc>
        <w:tc>
          <w:tcPr>
            <w:tcW w:w="1276" w:type="dxa"/>
            <w:tcBorders>
              <w:top w:val="nil"/>
              <w:left w:val="nil"/>
              <w:bottom w:val="single" w:sz="8" w:space="0" w:color="auto"/>
              <w:right w:val="nil"/>
            </w:tcBorders>
            <w:shd w:val="clear" w:color="auto" w:fill="auto"/>
            <w:vAlign w:val="center"/>
          </w:tcPr>
          <w:p w:rsidR="00FB1D09" w:rsidRDefault="00FB1D09" w:rsidP="00FB1D09">
            <w:pPr>
              <w:jc w:val="right"/>
              <w:rPr>
                <w:sz w:val="20"/>
                <w:szCs w:val="20"/>
              </w:rPr>
            </w:pPr>
            <w:r>
              <w:rPr>
                <w:color w:val="FF0000"/>
                <w:sz w:val="20"/>
                <w:szCs w:val="20"/>
              </w:rPr>
              <w:t>(162)</w:t>
            </w:r>
          </w:p>
        </w:tc>
        <w:tc>
          <w:tcPr>
            <w:tcW w:w="1417" w:type="dxa"/>
            <w:tcBorders>
              <w:top w:val="nil"/>
              <w:left w:val="single" w:sz="4" w:space="0" w:color="auto"/>
              <w:bottom w:val="single" w:sz="8" w:space="0" w:color="auto"/>
              <w:right w:val="single" w:sz="4" w:space="0" w:color="auto"/>
            </w:tcBorders>
            <w:shd w:val="clear" w:color="auto" w:fill="auto"/>
            <w:vAlign w:val="center"/>
          </w:tcPr>
          <w:p w:rsidR="00FB1D09" w:rsidRDefault="00FB1D09" w:rsidP="00FB1D09">
            <w:pPr>
              <w:jc w:val="right"/>
              <w:rPr>
                <w:sz w:val="20"/>
                <w:szCs w:val="20"/>
              </w:rPr>
            </w:pPr>
            <w:r>
              <w:rPr>
                <w:sz w:val="20"/>
                <w:szCs w:val="20"/>
              </w:rPr>
              <w:t>229</w:t>
            </w:r>
          </w:p>
        </w:tc>
        <w:tc>
          <w:tcPr>
            <w:tcW w:w="1843" w:type="dxa"/>
            <w:tcBorders>
              <w:top w:val="nil"/>
              <w:left w:val="nil"/>
              <w:bottom w:val="single" w:sz="8" w:space="0" w:color="auto"/>
              <w:right w:val="single" w:sz="8" w:space="0" w:color="auto"/>
            </w:tcBorders>
            <w:shd w:val="clear" w:color="auto" w:fill="FFC000"/>
            <w:vAlign w:val="center"/>
          </w:tcPr>
          <w:p w:rsidR="00FB1D09" w:rsidRDefault="00FB1D09" w:rsidP="00FB1D09">
            <w:pPr>
              <w:jc w:val="right"/>
              <w:rPr>
                <w:color w:val="000000"/>
                <w:sz w:val="20"/>
                <w:szCs w:val="20"/>
              </w:rPr>
            </w:pPr>
            <w:r>
              <w:rPr>
                <w:color w:val="000000"/>
                <w:sz w:val="20"/>
                <w:szCs w:val="20"/>
              </w:rPr>
              <w:t>0.46%</w:t>
            </w:r>
          </w:p>
        </w:tc>
      </w:tr>
      <w:tr w:rsidR="00FB1D09" w:rsidRPr="00EB32C9" w:rsidTr="009625A5">
        <w:trPr>
          <w:trHeight w:val="270"/>
        </w:trPr>
        <w:tc>
          <w:tcPr>
            <w:tcW w:w="3827" w:type="dxa"/>
            <w:tcBorders>
              <w:top w:val="nil"/>
              <w:left w:val="single" w:sz="8" w:space="0" w:color="auto"/>
              <w:bottom w:val="single" w:sz="8" w:space="0" w:color="auto"/>
              <w:right w:val="single" w:sz="8" w:space="0" w:color="auto"/>
            </w:tcBorders>
            <w:shd w:val="clear" w:color="auto" w:fill="auto"/>
            <w:vAlign w:val="center"/>
          </w:tcPr>
          <w:p w:rsidR="00FB1D09" w:rsidRPr="00EB32C9" w:rsidRDefault="00FB1D09" w:rsidP="00FB1D09">
            <w:pPr>
              <w:rPr>
                <w:color w:val="000000"/>
                <w:sz w:val="22"/>
                <w:szCs w:val="22"/>
                <w:lang w:eastAsia="en-GB"/>
              </w:rPr>
            </w:pPr>
            <w:r w:rsidRPr="00EB32C9">
              <w:rPr>
                <w:color w:val="000000"/>
                <w:sz w:val="22"/>
                <w:szCs w:val="22"/>
                <w:lang w:eastAsia="en-GB"/>
              </w:rPr>
              <w:t>Secondary Healthcare</w:t>
            </w:r>
          </w:p>
        </w:tc>
        <w:tc>
          <w:tcPr>
            <w:tcW w:w="1300" w:type="dxa"/>
            <w:tcBorders>
              <w:top w:val="nil"/>
              <w:left w:val="nil"/>
              <w:bottom w:val="single" w:sz="8" w:space="0" w:color="auto"/>
              <w:right w:val="single" w:sz="8" w:space="0" w:color="auto"/>
            </w:tcBorders>
            <w:shd w:val="clear" w:color="auto" w:fill="auto"/>
            <w:vAlign w:val="center"/>
          </w:tcPr>
          <w:p w:rsidR="00FB1D09" w:rsidRDefault="00FB1D09" w:rsidP="00FB1D09">
            <w:pPr>
              <w:jc w:val="right"/>
              <w:rPr>
                <w:sz w:val="20"/>
                <w:szCs w:val="20"/>
              </w:rPr>
            </w:pPr>
            <w:r>
              <w:rPr>
                <w:sz w:val="20"/>
                <w:szCs w:val="20"/>
              </w:rPr>
              <w:t>7,073</w:t>
            </w:r>
          </w:p>
        </w:tc>
        <w:tc>
          <w:tcPr>
            <w:tcW w:w="1276" w:type="dxa"/>
            <w:tcBorders>
              <w:top w:val="nil"/>
              <w:left w:val="nil"/>
              <w:bottom w:val="single" w:sz="8" w:space="0" w:color="auto"/>
              <w:right w:val="nil"/>
            </w:tcBorders>
            <w:shd w:val="clear" w:color="auto" w:fill="auto"/>
            <w:vAlign w:val="center"/>
          </w:tcPr>
          <w:p w:rsidR="00FB1D09" w:rsidRDefault="00FB1D09" w:rsidP="00FB1D09">
            <w:pPr>
              <w:jc w:val="right"/>
              <w:rPr>
                <w:sz w:val="20"/>
                <w:szCs w:val="20"/>
              </w:rPr>
            </w:pPr>
            <w:r>
              <w:rPr>
                <w:color w:val="FF0000"/>
                <w:sz w:val="20"/>
                <w:szCs w:val="20"/>
              </w:rPr>
              <w:t>(39)</w:t>
            </w:r>
          </w:p>
        </w:tc>
        <w:tc>
          <w:tcPr>
            <w:tcW w:w="1417" w:type="dxa"/>
            <w:tcBorders>
              <w:top w:val="nil"/>
              <w:left w:val="single" w:sz="4" w:space="0" w:color="auto"/>
              <w:bottom w:val="single" w:sz="8" w:space="0" w:color="auto"/>
              <w:right w:val="single" w:sz="4" w:space="0" w:color="auto"/>
            </w:tcBorders>
            <w:shd w:val="clear" w:color="auto" w:fill="auto"/>
            <w:vAlign w:val="center"/>
          </w:tcPr>
          <w:p w:rsidR="00FB1D09" w:rsidRDefault="00FB1D09" w:rsidP="00FB1D09">
            <w:pPr>
              <w:jc w:val="right"/>
              <w:rPr>
                <w:sz w:val="20"/>
                <w:szCs w:val="20"/>
              </w:rPr>
            </w:pPr>
            <w:r>
              <w:rPr>
                <w:color w:val="FF0000"/>
                <w:sz w:val="20"/>
                <w:szCs w:val="20"/>
              </w:rPr>
              <w:t>(86)</w:t>
            </w:r>
          </w:p>
        </w:tc>
        <w:tc>
          <w:tcPr>
            <w:tcW w:w="1843" w:type="dxa"/>
            <w:tcBorders>
              <w:top w:val="nil"/>
              <w:left w:val="nil"/>
              <w:bottom w:val="single" w:sz="8" w:space="0" w:color="auto"/>
              <w:right w:val="single" w:sz="8" w:space="0" w:color="auto"/>
            </w:tcBorders>
            <w:shd w:val="clear" w:color="auto" w:fill="92D050"/>
            <w:vAlign w:val="center"/>
          </w:tcPr>
          <w:p w:rsidR="00FB1D09" w:rsidRDefault="00FB1D09" w:rsidP="00FB1D09">
            <w:pPr>
              <w:jc w:val="right"/>
              <w:rPr>
                <w:color w:val="000000"/>
                <w:sz w:val="20"/>
                <w:szCs w:val="20"/>
              </w:rPr>
            </w:pPr>
            <w:r>
              <w:rPr>
                <w:color w:val="000000"/>
                <w:sz w:val="20"/>
                <w:szCs w:val="20"/>
              </w:rPr>
              <w:t>-1.32%</w:t>
            </w:r>
          </w:p>
        </w:tc>
      </w:tr>
      <w:tr w:rsidR="00FB1D09" w:rsidRPr="00EB32C9" w:rsidTr="003C4364">
        <w:trPr>
          <w:trHeight w:val="270"/>
        </w:trPr>
        <w:tc>
          <w:tcPr>
            <w:tcW w:w="3827" w:type="dxa"/>
            <w:tcBorders>
              <w:top w:val="nil"/>
              <w:left w:val="single" w:sz="8" w:space="0" w:color="auto"/>
              <w:bottom w:val="single" w:sz="8" w:space="0" w:color="auto"/>
              <w:right w:val="single" w:sz="8" w:space="0" w:color="auto"/>
            </w:tcBorders>
            <w:shd w:val="clear" w:color="auto" w:fill="auto"/>
            <w:vAlign w:val="center"/>
          </w:tcPr>
          <w:p w:rsidR="00FB1D09" w:rsidRPr="00EB32C9" w:rsidRDefault="00FB1D09" w:rsidP="00FB1D09">
            <w:pPr>
              <w:rPr>
                <w:color w:val="000000"/>
                <w:sz w:val="22"/>
                <w:szCs w:val="22"/>
                <w:lang w:eastAsia="en-GB"/>
              </w:rPr>
            </w:pPr>
            <w:r w:rsidRPr="00EB32C9">
              <w:rPr>
                <w:color w:val="000000"/>
                <w:sz w:val="22"/>
                <w:szCs w:val="22"/>
                <w:lang w:eastAsia="en-GB"/>
              </w:rPr>
              <w:t>Purchases of Healthcare Services</w:t>
            </w:r>
          </w:p>
        </w:tc>
        <w:tc>
          <w:tcPr>
            <w:tcW w:w="1300" w:type="dxa"/>
            <w:tcBorders>
              <w:top w:val="nil"/>
              <w:left w:val="nil"/>
              <w:bottom w:val="single" w:sz="8" w:space="0" w:color="auto"/>
              <w:right w:val="single" w:sz="8" w:space="0" w:color="auto"/>
            </w:tcBorders>
            <w:shd w:val="clear" w:color="auto" w:fill="auto"/>
            <w:vAlign w:val="center"/>
          </w:tcPr>
          <w:p w:rsidR="00FB1D09" w:rsidRDefault="00FB1D09" w:rsidP="00FB1D09">
            <w:pPr>
              <w:jc w:val="right"/>
              <w:rPr>
                <w:sz w:val="20"/>
                <w:szCs w:val="20"/>
              </w:rPr>
            </w:pPr>
            <w:r>
              <w:rPr>
                <w:sz w:val="20"/>
                <w:szCs w:val="20"/>
              </w:rPr>
              <w:t>8,185</w:t>
            </w:r>
          </w:p>
        </w:tc>
        <w:tc>
          <w:tcPr>
            <w:tcW w:w="1276" w:type="dxa"/>
            <w:tcBorders>
              <w:top w:val="nil"/>
              <w:left w:val="nil"/>
              <w:bottom w:val="single" w:sz="8" w:space="0" w:color="auto"/>
              <w:right w:val="nil"/>
            </w:tcBorders>
            <w:shd w:val="clear" w:color="auto" w:fill="auto"/>
            <w:vAlign w:val="center"/>
          </w:tcPr>
          <w:p w:rsidR="00FB1D09" w:rsidRDefault="00FB1D09" w:rsidP="00FB1D09">
            <w:pPr>
              <w:jc w:val="right"/>
              <w:rPr>
                <w:sz w:val="20"/>
                <w:szCs w:val="20"/>
              </w:rPr>
            </w:pPr>
            <w:r>
              <w:rPr>
                <w:color w:val="FF0000"/>
                <w:sz w:val="20"/>
                <w:szCs w:val="20"/>
              </w:rPr>
              <w:t>(79)</w:t>
            </w:r>
          </w:p>
        </w:tc>
        <w:tc>
          <w:tcPr>
            <w:tcW w:w="1417" w:type="dxa"/>
            <w:tcBorders>
              <w:top w:val="nil"/>
              <w:left w:val="single" w:sz="4" w:space="0" w:color="auto"/>
              <w:bottom w:val="single" w:sz="8" w:space="0" w:color="auto"/>
              <w:right w:val="single" w:sz="4" w:space="0" w:color="auto"/>
            </w:tcBorders>
            <w:shd w:val="clear" w:color="auto" w:fill="auto"/>
            <w:vAlign w:val="center"/>
          </w:tcPr>
          <w:p w:rsidR="00FB1D09" w:rsidRDefault="00FB1D09" w:rsidP="00FB1D09">
            <w:pPr>
              <w:jc w:val="right"/>
              <w:rPr>
                <w:sz w:val="20"/>
                <w:szCs w:val="20"/>
              </w:rPr>
            </w:pPr>
            <w:r>
              <w:rPr>
                <w:color w:val="FF0000"/>
                <w:sz w:val="20"/>
                <w:szCs w:val="20"/>
              </w:rPr>
              <w:t>(50)</w:t>
            </w:r>
          </w:p>
        </w:tc>
        <w:tc>
          <w:tcPr>
            <w:tcW w:w="1843" w:type="dxa"/>
            <w:tcBorders>
              <w:top w:val="nil"/>
              <w:left w:val="nil"/>
              <w:bottom w:val="single" w:sz="8" w:space="0" w:color="auto"/>
              <w:right w:val="single" w:sz="8" w:space="0" w:color="auto"/>
            </w:tcBorders>
            <w:shd w:val="clear" w:color="auto" w:fill="FFC000"/>
            <w:vAlign w:val="center"/>
          </w:tcPr>
          <w:p w:rsidR="00FB1D09" w:rsidRDefault="00FB1D09" w:rsidP="00FB1D09">
            <w:pPr>
              <w:jc w:val="right"/>
              <w:rPr>
                <w:color w:val="000000"/>
                <w:sz w:val="20"/>
                <w:szCs w:val="20"/>
              </w:rPr>
            </w:pPr>
            <w:r>
              <w:rPr>
                <w:color w:val="000000"/>
                <w:sz w:val="20"/>
                <w:szCs w:val="20"/>
              </w:rPr>
              <w:t>-0.71%</w:t>
            </w:r>
          </w:p>
        </w:tc>
      </w:tr>
      <w:tr w:rsidR="00FB1D09" w:rsidRPr="00EB32C9" w:rsidTr="00BE5EED">
        <w:trPr>
          <w:trHeight w:val="270"/>
        </w:trPr>
        <w:tc>
          <w:tcPr>
            <w:tcW w:w="3827" w:type="dxa"/>
            <w:tcBorders>
              <w:top w:val="nil"/>
              <w:left w:val="single" w:sz="8" w:space="0" w:color="auto"/>
              <w:bottom w:val="single" w:sz="8" w:space="0" w:color="auto"/>
              <w:right w:val="single" w:sz="8" w:space="0" w:color="auto"/>
            </w:tcBorders>
            <w:shd w:val="clear" w:color="auto" w:fill="auto"/>
            <w:vAlign w:val="center"/>
          </w:tcPr>
          <w:p w:rsidR="00FB1D09" w:rsidRPr="00EB32C9" w:rsidRDefault="00FB1D09" w:rsidP="00FB1D09">
            <w:pPr>
              <w:rPr>
                <w:color w:val="000000"/>
                <w:sz w:val="22"/>
                <w:szCs w:val="22"/>
                <w:lang w:eastAsia="en-GB"/>
              </w:rPr>
            </w:pPr>
            <w:r w:rsidRPr="00EB32C9">
              <w:rPr>
                <w:color w:val="000000"/>
                <w:sz w:val="22"/>
                <w:szCs w:val="22"/>
                <w:lang w:eastAsia="en-GB"/>
              </w:rPr>
              <w:t>Services from Other NHS Bodies</w:t>
            </w:r>
          </w:p>
        </w:tc>
        <w:tc>
          <w:tcPr>
            <w:tcW w:w="1300" w:type="dxa"/>
            <w:tcBorders>
              <w:top w:val="nil"/>
              <w:left w:val="nil"/>
              <w:bottom w:val="single" w:sz="8" w:space="0" w:color="auto"/>
              <w:right w:val="single" w:sz="8" w:space="0" w:color="auto"/>
            </w:tcBorders>
            <w:shd w:val="clear" w:color="auto" w:fill="auto"/>
            <w:vAlign w:val="center"/>
          </w:tcPr>
          <w:p w:rsidR="00FB1D09" w:rsidRDefault="00FB1D09" w:rsidP="00FB1D09">
            <w:pPr>
              <w:jc w:val="right"/>
              <w:rPr>
                <w:sz w:val="20"/>
                <w:szCs w:val="20"/>
              </w:rPr>
            </w:pPr>
            <w:r>
              <w:rPr>
                <w:sz w:val="20"/>
                <w:szCs w:val="20"/>
              </w:rPr>
              <w:t>207,906</w:t>
            </w:r>
          </w:p>
        </w:tc>
        <w:tc>
          <w:tcPr>
            <w:tcW w:w="1276" w:type="dxa"/>
            <w:tcBorders>
              <w:top w:val="nil"/>
              <w:left w:val="nil"/>
              <w:bottom w:val="single" w:sz="8" w:space="0" w:color="auto"/>
              <w:right w:val="nil"/>
            </w:tcBorders>
            <w:shd w:val="clear" w:color="auto" w:fill="auto"/>
            <w:vAlign w:val="center"/>
          </w:tcPr>
          <w:p w:rsidR="00FB1D09" w:rsidRDefault="00FB1D09" w:rsidP="00FB1D09">
            <w:pPr>
              <w:jc w:val="right"/>
              <w:rPr>
                <w:sz w:val="20"/>
                <w:szCs w:val="20"/>
              </w:rPr>
            </w:pPr>
            <w:r>
              <w:rPr>
                <w:sz w:val="20"/>
                <w:szCs w:val="20"/>
              </w:rPr>
              <w:t>735</w:t>
            </w:r>
          </w:p>
        </w:tc>
        <w:tc>
          <w:tcPr>
            <w:tcW w:w="1417" w:type="dxa"/>
            <w:tcBorders>
              <w:top w:val="nil"/>
              <w:left w:val="single" w:sz="4" w:space="0" w:color="auto"/>
              <w:bottom w:val="single" w:sz="8" w:space="0" w:color="auto"/>
              <w:right w:val="single" w:sz="4" w:space="0" w:color="auto"/>
            </w:tcBorders>
            <w:shd w:val="clear" w:color="auto" w:fill="auto"/>
            <w:vAlign w:val="center"/>
          </w:tcPr>
          <w:p w:rsidR="00FB1D09" w:rsidRDefault="00FB1D09" w:rsidP="00FB1D09">
            <w:pPr>
              <w:jc w:val="right"/>
              <w:rPr>
                <w:sz w:val="20"/>
                <w:szCs w:val="20"/>
              </w:rPr>
            </w:pPr>
            <w:r>
              <w:rPr>
                <w:sz w:val="20"/>
                <w:szCs w:val="20"/>
              </w:rPr>
              <w:t>1,731</w:t>
            </w:r>
          </w:p>
        </w:tc>
        <w:tc>
          <w:tcPr>
            <w:tcW w:w="1843" w:type="dxa"/>
            <w:tcBorders>
              <w:top w:val="nil"/>
              <w:left w:val="nil"/>
              <w:bottom w:val="single" w:sz="8" w:space="0" w:color="auto"/>
              <w:right w:val="single" w:sz="8" w:space="0" w:color="auto"/>
            </w:tcBorders>
            <w:shd w:val="clear" w:color="auto" w:fill="FFC000"/>
            <w:vAlign w:val="center"/>
          </w:tcPr>
          <w:p w:rsidR="00FB1D09" w:rsidRDefault="00FB1D09" w:rsidP="00FB1D09">
            <w:pPr>
              <w:jc w:val="right"/>
              <w:rPr>
                <w:color w:val="000000"/>
                <w:sz w:val="20"/>
                <w:szCs w:val="20"/>
              </w:rPr>
            </w:pPr>
            <w:r>
              <w:rPr>
                <w:color w:val="000000"/>
                <w:sz w:val="20"/>
                <w:szCs w:val="20"/>
              </w:rPr>
              <w:t>0.91%</w:t>
            </w:r>
          </w:p>
        </w:tc>
      </w:tr>
      <w:tr w:rsidR="00FB1D09" w:rsidRPr="00EB32C9" w:rsidTr="003C4364">
        <w:trPr>
          <w:trHeight w:val="270"/>
        </w:trPr>
        <w:tc>
          <w:tcPr>
            <w:tcW w:w="3827" w:type="dxa"/>
            <w:tcBorders>
              <w:top w:val="nil"/>
              <w:left w:val="single" w:sz="8" w:space="0" w:color="auto"/>
              <w:bottom w:val="single" w:sz="8" w:space="0" w:color="auto"/>
              <w:right w:val="single" w:sz="8" w:space="0" w:color="auto"/>
            </w:tcBorders>
            <w:shd w:val="clear" w:color="auto" w:fill="auto"/>
            <w:vAlign w:val="center"/>
          </w:tcPr>
          <w:p w:rsidR="00FB1D09" w:rsidRPr="00EB32C9" w:rsidRDefault="00FB1D09" w:rsidP="00FB1D09">
            <w:pPr>
              <w:jc w:val="right"/>
              <w:rPr>
                <w:b/>
                <w:bCs/>
                <w:color w:val="000000"/>
                <w:sz w:val="22"/>
                <w:szCs w:val="22"/>
                <w:lang w:eastAsia="en-GB"/>
              </w:rPr>
            </w:pPr>
          </w:p>
        </w:tc>
        <w:tc>
          <w:tcPr>
            <w:tcW w:w="1300" w:type="dxa"/>
            <w:tcBorders>
              <w:top w:val="nil"/>
              <w:left w:val="nil"/>
              <w:bottom w:val="single" w:sz="8" w:space="0" w:color="auto"/>
              <w:right w:val="single" w:sz="8" w:space="0" w:color="auto"/>
            </w:tcBorders>
            <w:shd w:val="clear" w:color="auto" w:fill="auto"/>
            <w:vAlign w:val="center"/>
          </w:tcPr>
          <w:p w:rsidR="00FB1D09" w:rsidRDefault="00FB1D09" w:rsidP="00FB1D09">
            <w:pPr>
              <w:jc w:val="right"/>
              <w:rPr>
                <w:b/>
                <w:bCs/>
                <w:sz w:val="20"/>
                <w:szCs w:val="20"/>
              </w:rPr>
            </w:pPr>
            <w:r>
              <w:rPr>
                <w:b/>
                <w:bCs/>
                <w:sz w:val="20"/>
                <w:szCs w:val="20"/>
              </w:rPr>
              <w:t> </w:t>
            </w:r>
          </w:p>
        </w:tc>
        <w:tc>
          <w:tcPr>
            <w:tcW w:w="1276" w:type="dxa"/>
            <w:tcBorders>
              <w:top w:val="nil"/>
              <w:left w:val="nil"/>
              <w:bottom w:val="single" w:sz="8" w:space="0" w:color="auto"/>
              <w:right w:val="nil"/>
            </w:tcBorders>
            <w:shd w:val="clear" w:color="auto" w:fill="auto"/>
            <w:vAlign w:val="center"/>
          </w:tcPr>
          <w:p w:rsidR="00FB1D09" w:rsidRDefault="00FB1D09" w:rsidP="00FB1D09">
            <w:pPr>
              <w:jc w:val="right"/>
              <w:rPr>
                <w:b/>
                <w:bCs/>
                <w:sz w:val="20"/>
                <w:szCs w:val="20"/>
              </w:rPr>
            </w:pPr>
            <w:r>
              <w:rPr>
                <w:b/>
                <w:bCs/>
                <w:sz w:val="20"/>
                <w:szCs w:val="20"/>
              </w:rPr>
              <w:t> </w:t>
            </w:r>
          </w:p>
        </w:tc>
        <w:tc>
          <w:tcPr>
            <w:tcW w:w="1417" w:type="dxa"/>
            <w:tcBorders>
              <w:top w:val="nil"/>
              <w:left w:val="single" w:sz="4" w:space="0" w:color="auto"/>
              <w:bottom w:val="single" w:sz="8" w:space="0" w:color="auto"/>
              <w:right w:val="single" w:sz="4" w:space="0" w:color="auto"/>
            </w:tcBorders>
            <w:shd w:val="clear" w:color="auto" w:fill="auto"/>
            <w:vAlign w:val="center"/>
          </w:tcPr>
          <w:p w:rsidR="00FB1D09" w:rsidRDefault="00FB1D09" w:rsidP="00FB1D09">
            <w:pPr>
              <w:jc w:val="right"/>
              <w:rPr>
                <w:b/>
                <w:bCs/>
                <w:sz w:val="20"/>
                <w:szCs w:val="20"/>
              </w:rPr>
            </w:pPr>
            <w:r>
              <w:rPr>
                <w:b/>
                <w:bCs/>
                <w:sz w:val="20"/>
                <w:szCs w:val="20"/>
              </w:rPr>
              <w:t> </w:t>
            </w:r>
          </w:p>
        </w:tc>
        <w:tc>
          <w:tcPr>
            <w:tcW w:w="1843" w:type="dxa"/>
            <w:tcBorders>
              <w:top w:val="nil"/>
              <w:left w:val="nil"/>
              <w:bottom w:val="single" w:sz="8" w:space="0" w:color="auto"/>
              <w:right w:val="single" w:sz="8" w:space="0" w:color="auto"/>
            </w:tcBorders>
            <w:shd w:val="clear" w:color="auto" w:fill="auto"/>
            <w:vAlign w:val="center"/>
          </w:tcPr>
          <w:p w:rsidR="00FB1D09" w:rsidRDefault="00FB1D09" w:rsidP="00FB1D09">
            <w:pPr>
              <w:jc w:val="right"/>
              <w:rPr>
                <w:color w:val="000000"/>
                <w:sz w:val="20"/>
                <w:szCs w:val="20"/>
              </w:rPr>
            </w:pPr>
            <w:r>
              <w:rPr>
                <w:color w:val="000000"/>
                <w:sz w:val="20"/>
                <w:szCs w:val="20"/>
              </w:rPr>
              <w:t> </w:t>
            </w:r>
          </w:p>
        </w:tc>
      </w:tr>
      <w:tr w:rsidR="00FB1D09" w:rsidRPr="00EB32C9" w:rsidTr="003C4364">
        <w:trPr>
          <w:trHeight w:val="270"/>
        </w:trPr>
        <w:tc>
          <w:tcPr>
            <w:tcW w:w="3827" w:type="dxa"/>
            <w:tcBorders>
              <w:top w:val="nil"/>
              <w:left w:val="single" w:sz="8" w:space="0" w:color="auto"/>
              <w:bottom w:val="single" w:sz="8" w:space="0" w:color="auto"/>
              <w:right w:val="single" w:sz="8" w:space="0" w:color="auto"/>
            </w:tcBorders>
            <w:shd w:val="clear" w:color="auto" w:fill="8DB3E2" w:themeFill="text2" w:themeFillTint="66"/>
            <w:vAlign w:val="center"/>
          </w:tcPr>
          <w:p w:rsidR="00FB1D09" w:rsidRPr="00EB32C9" w:rsidRDefault="00FB1D09" w:rsidP="00FB1D09">
            <w:pPr>
              <w:jc w:val="right"/>
              <w:rPr>
                <w:b/>
                <w:bCs/>
                <w:color w:val="000000"/>
                <w:sz w:val="22"/>
                <w:szCs w:val="22"/>
                <w:lang w:eastAsia="en-GB"/>
              </w:rPr>
            </w:pPr>
            <w:r w:rsidRPr="00EB32C9">
              <w:rPr>
                <w:b/>
                <w:bCs/>
                <w:color w:val="000000"/>
                <w:sz w:val="22"/>
                <w:szCs w:val="22"/>
                <w:lang w:eastAsia="en-GB"/>
              </w:rPr>
              <w:t xml:space="preserve">Total Primary Care &amp; Contracts </w:t>
            </w:r>
          </w:p>
        </w:tc>
        <w:tc>
          <w:tcPr>
            <w:tcW w:w="1300" w:type="dxa"/>
            <w:tcBorders>
              <w:top w:val="nil"/>
              <w:left w:val="nil"/>
              <w:bottom w:val="single" w:sz="8" w:space="0" w:color="auto"/>
              <w:right w:val="single" w:sz="8" w:space="0" w:color="auto"/>
            </w:tcBorders>
            <w:shd w:val="clear" w:color="auto" w:fill="8DB3E2" w:themeFill="text2" w:themeFillTint="66"/>
            <w:vAlign w:val="center"/>
          </w:tcPr>
          <w:p w:rsidR="00FB1D09" w:rsidRDefault="00FB1D09" w:rsidP="00FB1D09">
            <w:pPr>
              <w:jc w:val="right"/>
              <w:rPr>
                <w:b/>
                <w:bCs/>
                <w:sz w:val="20"/>
                <w:szCs w:val="20"/>
              </w:rPr>
            </w:pPr>
            <w:r>
              <w:rPr>
                <w:b/>
                <w:bCs/>
                <w:sz w:val="20"/>
                <w:szCs w:val="20"/>
              </w:rPr>
              <w:t>486,063</w:t>
            </w:r>
          </w:p>
        </w:tc>
        <w:tc>
          <w:tcPr>
            <w:tcW w:w="1276" w:type="dxa"/>
            <w:tcBorders>
              <w:top w:val="nil"/>
              <w:left w:val="nil"/>
              <w:bottom w:val="single" w:sz="8" w:space="0" w:color="auto"/>
              <w:right w:val="nil"/>
            </w:tcBorders>
            <w:shd w:val="clear" w:color="auto" w:fill="8DB3E2" w:themeFill="text2" w:themeFillTint="66"/>
            <w:vAlign w:val="center"/>
          </w:tcPr>
          <w:p w:rsidR="00FB1D09" w:rsidRDefault="00FB1D09" w:rsidP="00FB1D09">
            <w:pPr>
              <w:jc w:val="right"/>
              <w:rPr>
                <w:b/>
                <w:bCs/>
                <w:sz w:val="20"/>
                <w:szCs w:val="20"/>
              </w:rPr>
            </w:pPr>
            <w:r>
              <w:rPr>
                <w:b/>
                <w:bCs/>
                <w:sz w:val="20"/>
                <w:szCs w:val="20"/>
              </w:rPr>
              <w:t>783</w:t>
            </w:r>
          </w:p>
        </w:tc>
        <w:tc>
          <w:tcPr>
            <w:tcW w:w="1417" w:type="dxa"/>
            <w:tcBorders>
              <w:top w:val="nil"/>
              <w:left w:val="single" w:sz="4" w:space="0" w:color="auto"/>
              <w:bottom w:val="single" w:sz="8" w:space="0" w:color="auto"/>
              <w:right w:val="single" w:sz="4" w:space="0" w:color="auto"/>
            </w:tcBorders>
            <w:shd w:val="clear" w:color="auto" w:fill="8DB3E2" w:themeFill="text2" w:themeFillTint="66"/>
            <w:vAlign w:val="center"/>
          </w:tcPr>
          <w:p w:rsidR="00FB1D09" w:rsidRDefault="00FB1D09" w:rsidP="00FB1D09">
            <w:pPr>
              <w:jc w:val="right"/>
              <w:rPr>
                <w:b/>
                <w:bCs/>
                <w:sz w:val="20"/>
                <w:szCs w:val="20"/>
              </w:rPr>
            </w:pPr>
            <w:r>
              <w:rPr>
                <w:b/>
                <w:bCs/>
                <w:sz w:val="20"/>
                <w:szCs w:val="20"/>
              </w:rPr>
              <w:t>1,420</w:t>
            </w:r>
          </w:p>
        </w:tc>
        <w:tc>
          <w:tcPr>
            <w:tcW w:w="1843" w:type="dxa"/>
            <w:tcBorders>
              <w:top w:val="nil"/>
              <w:left w:val="nil"/>
              <w:bottom w:val="single" w:sz="8" w:space="0" w:color="auto"/>
              <w:right w:val="single" w:sz="8" w:space="0" w:color="auto"/>
            </w:tcBorders>
            <w:shd w:val="clear" w:color="auto" w:fill="8DB3E2" w:themeFill="text2" w:themeFillTint="66"/>
            <w:vAlign w:val="center"/>
          </w:tcPr>
          <w:p w:rsidR="00FB1D09" w:rsidRDefault="00FB1D09" w:rsidP="00FB1D09">
            <w:pPr>
              <w:jc w:val="right"/>
              <w:rPr>
                <w:b/>
                <w:bCs/>
                <w:color w:val="000000"/>
                <w:sz w:val="20"/>
                <w:szCs w:val="20"/>
              </w:rPr>
            </w:pPr>
            <w:r>
              <w:rPr>
                <w:b/>
                <w:bCs/>
                <w:color w:val="000000"/>
                <w:sz w:val="20"/>
                <w:szCs w:val="20"/>
              </w:rPr>
              <w:t>0.32%</w:t>
            </w:r>
          </w:p>
        </w:tc>
      </w:tr>
      <w:tr w:rsidR="00FB1D09" w:rsidRPr="00EB32C9" w:rsidTr="003C4364">
        <w:trPr>
          <w:trHeight w:val="270"/>
        </w:trPr>
        <w:tc>
          <w:tcPr>
            <w:tcW w:w="3827" w:type="dxa"/>
            <w:tcBorders>
              <w:top w:val="nil"/>
              <w:left w:val="single" w:sz="8" w:space="0" w:color="auto"/>
              <w:bottom w:val="single" w:sz="8" w:space="0" w:color="auto"/>
              <w:right w:val="single" w:sz="8" w:space="0" w:color="auto"/>
            </w:tcBorders>
            <w:shd w:val="clear" w:color="auto" w:fill="auto"/>
            <w:vAlign w:val="center"/>
          </w:tcPr>
          <w:p w:rsidR="00FB1D09" w:rsidRPr="00EB32C9" w:rsidRDefault="00FB1D09" w:rsidP="00FB1D09">
            <w:pPr>
              <w:rPr>
                <w:b/>
                <w:bCs/>
                <w:color w:val="000000"/>
                <w:sz w:val="22"/>
                <w:szCs w:val="22"/>
                <w:lang w:eastAsia="en-GB"/>
              </w:rPr>
            </w:pPr>
            <w:r w:rsidRPr="00EB32C9">
              <w:rPr>
                <w:b/>
                <w:bCs/>
                <w:color w:val="000000"/>
                <w:sz w:val="22"/>
                <w:szCs w:val="22"/>
                <w:lang w:eastAsia="en-GB"/>
              </w:rPr>
              <w:t>Traditional Non Pay</w:t>
            </w:r>
          </w:p>
        </w:tc>
        <w:tc>
          <w:tcPr>
            <w:tcW w:w="1300" w:type="dxa"/>
            <w:tcBorders>
              <w:top w:val="nil"/>
              <w:left w:val="nil"/>
              <w:bottom w:val="single" w:sz="8" w:space="0" w:color="auto"/>
              <w:right w:val="single" w:sz="8" w:space="0" w:color="auto"/>
            </w:tcBorders>
            <w:shd w:val="clear" w:color="auto" w:fill="auto"/>
            <w:vAlign w:val="center"/>
          </w:tcPr>
          <w:p w:rsidR="00FB1D09" w:rsidRDefault="00FB1D09" w:rsidP="00FB1D09">
            <w:pPr>
              <w:jc w:val="right"/>
              <w:rPr>
                <w:sz w:val="20"/>
                <w:szCs w:val="20"/>
              </w:rPr>
            </w:pPr>
            <w:r>
              <w:rPr>
                <w:sz w:val="20"/>
                <w:szCs w:val="20"/>
              </w:rPr>
              <w:t> </w:t>
            </w:r>
          </w:p>
        </w:tc>
        <w:tc>
          <w:tcPr>
            <w:tcW w:w="1276" w:type="dxa"/>
            <w:tcBorders>
              <w:top w:val="nil"/>
              <w:left w:val="nil"/>
              <w:bottom w:val="single" w:sz="8" w:space="0" w:color="auto"/>
              <w:right w:val="nil"/>
            </w:tcBorders>
            <w:shd w:val="clear" w:color="auto" w:fill="auto"/>
            <w:vAlign w:val="center"/>
          </w:tcPr>
          <w:p w:rsidR="00FB1D09" w:rsidRDefault="00FB1D09" w:rsidP="00FB1D09">
            <w:pPr>
              <w:jc w:val="right"/>
              <w:rPr>
                <w:b/>
                <w:bCs/>
                <w:sz w:val="20"/>
                <w:szCs w:val="20"/>
              </w:rPr>
            </w:pPr>
            <w:r>
              <w:rPr>
                <w:b/>
                <w:bCs/>
                <w:sz w:val="20"/>
                <w:szCs w:val="20"/>
              </w:rPr>
              <w:t> </w:t>
            </w:r>
          </w:p>
        </w:tc>
        <w:tc>
          <w:tcPr>
            <w:tcW w:w="1417" w:type="dxa"/>
            <w:tcBorders>
              <w:top w:val="nil"/>
              <w:left w:val="single" w:sz="4" w:space="0" w:color="auto"/>
              <w:bottom w:val="single" w:sz="8" w:space="0" w:color="auto"/>
              <w:right w:val="single" w:sz="4" w:space="0" w:color="auto"/>
            </w:tcBorders>
            <w:shd w:val="clear" w:color="auto" w:fill="auto"/>
            <w:vAlign w:val="center"/>
          </w:tcPr>
          <w:p w:rsidR="00FB1D09" w:rsidRDefault="00FB1D09" w:rsidP="00FB1D09">
            <w:pPr>
              <w:jc w:val="right"/>
              <w:rPr>
                <w:sz w:val="20"/>
                <w:szCs w:val="20"/>
              </w:rPr>
            </w:pPr>
            <w:r>
              <w:rPr>
                <w:sz w:val="20"/>
                <w:szCs w:val="20"/>
              </w:rPr>
              <w:t> </w:t>
            </w:r>
          </w:p>
        </w:tc>
        <w:tc>
          <w:tcPr>
            <w:tcW w:w="1843" w:type="dxa"/>
            <w:tcBorders>
              <w:top w:val="nil"/>
              <w:left w:val="nil"/>
              <w:bottom w:val="single" w:sz="8" w:space="0" w:color="auto"/>
              <w:right w:val="single" w:sz="8" w:space="0" w:color="auto"/>
            </w:tcBorders>
            <w:shd w:val="clear" w:color="auto" w:fill="auto"/>
            <w:vAlign w:val="center"/>
          </w:tcPr>
          <w:p w:rsidR="00FB1D09" w:rsidRDefault="00FB1D09" w:rsidP="00FB1D09">
            <w:pPr>
              <w:jc w:val="center"/>
              <w:rPr>
                <w:color w:val="000000"/>
                <w:sz w:val="20"/>
                <w:szCs w:val="20"/>
              </w:rPr>
            </w:pPr>
            <w:r>
              <w:rPr>
                <w:color w:val="000000"/>
                <w:sz w:val="20"/>
                <w:szCs w:val="20"/>
              </w:rPr>
              <w:t> </w:t>
            </w:r>
          </w:p>
        </w:tc>
      </w:tr>
      <w:tr w:rsidR="00FB1D09" w:rsidRPr="00EB32C9" w:rsidTr="003C4364">
        <w:trPr>
          <w:trHeight w:val="270"/>
        </w:trPr>
        <w:tc>
          <w:tcPr>
            <w:tcW w:w="3827" w:type="dxa"/>
            <w:tcBorders>
              <w:top w:val="nil"/>
              <w:left w:val="single" w:sz="8" w:space="0" w:color="auto"/>
              <w:bottom w:val="single" w:sz="8" w:space="0" w:color="auto"/>
              <w:right w:val="single" w:sz="8" w:space="0" w:color="auto"/>
            </w:tcBorders>
            <w:shd w:val="clear" w:color="auto" w:fill="auto"/>
            <w:vAlign w:val="center"/>
          </w:tcPr>
          <w:p w:rsidR="00FB1D09" w:rsidRPr="00EB32C9" w:rsidRDefault="00FB1D09" w:rsidP="00FB1D09">
            <w:pPr>
              <w:rPr>
                <w:color w:val="000000"/>
                <w:sz w:val="22"/>
                <w:szCs w:val="22"/>
                <w:lang w:eastAsia="en-GB"/>
              </w:rPr>
            </w:pPr>
            <w:r w:rsidRPr="00EB32C9">
              <w:rPr>
                <w:color w:val="000000"/>
                <w:sz w:val="22"/>
                <w:szCs w:val="22"/>
                <w:lang w:eastAsia="en-GB"/>
              </w:rPr>
              <w:t>Secondary Care Drugs</w:t>
            </w:r>
          </w:p>
        </w:tc>
        <w:tc>
          <w:tcPr>
            <w:tcW w:w="1300" w:type="dxa"/>
            <w:tcBorders>
              <w:top w:val="nil"/>
              <w:left w:val="nil"/>
              <w:bottom w:val="single" w:sz="8" w:space="0" w:color="auto"/>
              <w:right w:val="single" w:sz="8" w:space="0" w:color="auto"/>
            </w:tcBorders>
            <w:shd w:val="clear" w:color="auto" w:fill="auto"/>
            <w:vAlign w:val="center"/>
          </w:tcPr>
          <w:p w:rsidR="00FB1D09" w:rsidRDefault="00FB1D09" w:rsidP="00FB1D09">
            <w:pPr>
              <w:jc w:val="right"/>
              <w:rPr>
                <w:sz w:val="20"/>
                <w:szCs w:val="20"/>
              </w:rPr>
            </w:pPr>
            <w:r>
              <w:rPr>
                <w:sz w:val="20"/>
                <w:szCs w:val="20"/>
              </w:rPr>
              <w:t>36,935</w:t>
            </w:r>
          </w:p>
        </w:tc>
        <w:tc>
          <w:tcPr>
            <w:tcW w:w="1276" w:type="dxa"/>
            <w:tcBorders>
              <w:top w:val="nil"/>
              <w:left w:val="nil"/>
              <w:bottom w:val="single" w:sz="8" w:space="0" w:color="auto"/>
              <w:right w:val="nil"/>
            </w:tcBorders>
            <w:shd w:val="clear" w:color="auto" w:fill="auto"/>
            <w:vAlign w:val="center"/>
          </w:tcPr>
          <w:p w:rsidR="00FB1D09" w:rsidRDefault="00FB1D09" w:rsidP="00FB1D09">
            <w:pPr>
              <w:jc w:val="right"/>
              <w:rPr>
                <w:sz w:val="20"/>
                <w:szCs w:val="20"/>
              </w:rPr>
            </w:pPr>
            <w:r>
              <w:rPr>
                <w:color w:val="FF0000"/>
                <w:sz w:val="20"/>
                <w:szCs w:val="20"/>
              </w:rPr>
              <w:t>(68)</w:t>
            </w:r>
          </w:p>
        </w:tc>
        <w:tc>
          <w:tcPr>
            <w:tcW w:w="1417" w:type="dxa"/>
            <w:tcBorders>
              <w:top w:val="nil"/>
              <w:left w:val="single" w:sz="4" w:space="0" w:color="auto"/>
              <w:bottom w:val="single" w:sz="8" w:space="0" w:color="auto"/>
              <w:right w:val="single" w:sz="4" w:space="0" w:color="auto"/>
            </w:tcBorders>
            <w:shd w:val="clear" w:color="auto" w:fill="auto"/>
            <w:vAlign w:val="center"/>
          </w:tcPr>
          <w:p w:rsidR="00FB1D09" w:rsidRDefault="00FB1D09" w:rsidP="00FB1D09">
            <w:pPr>
              <w:jc w:val="right"/>
              <w:rPr>
                <w:sz w:val="20"/>
                <w:szCs w:val="20"/>
              </w:rPr>
            </w:pPr>
            <w:r>
              <w:rPr>
                <w:sz w:val="20"/>
                <w:szCs w:val="20"/>
              </w:rPr>
              <w:t>1,477</w:t>
            </w:r>
          </w:p>
        </w:tc>
        <w:tc>
          <w:tcPr>
            <w:tcW w:w="1843" w:type="dxa"/>
            <w:tcBorders>
              <w:top w:val="nil"/>
              <w:left w:val="nil"/>
              <w:bottom w:val="single" w:sz="8" w:space="0" w:color="auto"/>
              <w:right w:val="single" w:sz="8" w:space="0" w:color="auto"/>
            </w:tcBorders>
            <w:shd w:val="clear" w:color="auto" w:fill="FF0000"/>
            <w:vAlign w:val="center"/>
          </w:tcPr>
          <w:p w:rsidR="00FB1D09" w:rsidRDefault="00FB1D09" w:rsidP="00FB1D09">
            <w:pPr>
              <w:jc w:val="right"/>
              <w:rPr>
                <w:color w:val="000000"/>
                <w:sz w:val="20"/>
                <w:szCs w:val="20"/>
              </w:rPr>
            </w:pPr>
            <w:r>
              <w:rPr>
                <w:color w:val="000000"/>
                <w:sz w:val="20"/>
                <w:szCs w:val="20"/>
              </w:rPr>
              <w:t>4.24%</w:t>
            </w:r>
          </w:p>
        </w:tc>
      </w:tr>
      <w:tr w:rsidR="00FB1D09" w:rsidRPr="00EB32C9" w:rsidTr="00BE5EED">
        <w:trPr>
          <w:trHeight w:val="270"/>
        </w:trPr>
        <w:tc>
          <w:tcPr>
            <w:tcW w:w="3827" w:type="dxa"/>
            <w:tcBorders>
              <w:top w:val="nil"/>
              <w:left w:val="single" w:sz="8" w:space="0" w:color="auto"/>
              <w:bottom w:val="single" w:sz="8" w:space="0" w:color="auto"/>
              <w:right w:val="single" w:sz="8" w:space="0" w:color="auto"/>
            </w:tcBorders>
            <w:shd w:val="clear" w:color="auto" w:fill="auto"/>
            <w:vAlign w:val="center"/>
          </w:tcPr>
          <w:p w:rsidR="00FB1D09" w:rsidRPr="00EB32C9" w:rsidRDefault="00FB1D09" w:rsidP="00FB1D09">
            <w:pPr>
              <w:rPr>
                <w:color w:val="000000"/>
                <w:sz w:val="22"/>
                <w:szCs w:val="22"/>
                <w:lang w:eastAsia="en-GB"/>
              </w:rPr>
            </w:pPr>
            <w:r w:rsidRPr="00EB32C9">
              <w:rPr>
                <w:color w:val="000000"/>
                <w:sz w:val="22"/>
                <w:szCs w:val="22"/>
                <w:lang w:eastAsia="en-GB"/>
              </w:rPr>
              <w:t>Clinical Supplies &amp; Services</w:t>
            </w:r>
          </w:p>
        </w:tc>
        <w:tc>
          <w:tcPr>
            <w:tcW w:w="1300" w:type="dxa"/>
            <w:tcBorders>
              <w:top w:val="nil"/>
              <w:left w:val="nil"/>
              <w:bottom w:val="single" w:sz="8" w:space="0" w:color="auto"/>
              <w:right w:val="single" w:sz="8" w:space="0" w:color="auto"/>
            </w:tcBorders>
            <w:shd w:val="clear" w:color="auto" w:fill="auto"/>
            <w:vAlign w:val="center"/>
          </w:tcPr>
          <w:p w:rsidR="00FB1D09" w:rsidRDefault="00FB1D09" w:rsidP="00FB1D09">
            <w:pPr>
              <w:jc w:val="right"/>
              <w:rPr>
                <w:sz w:val="20"/>
                <w:szCs w:val="20"/>
              </w:rPr>
            </w:pPr>
            <w:r>
              <w:rPr>
                <w:sz w:val="20"/>
                <w:szCs w:val="20"/>
              </w:rPr>
              <w:t>38,707</w:t>
            </w:r>
          </w:p>
        </w:tc>
        <w:tc>
          <w:tcPr>
            <w:tcW w:w="1276" w:type="dxa"/>
            <w:tcBorders>
              <w:top w:val="nil"/>
              <w:left w:val="nil"/>
              <w:bottom w:val="single" w:sz="8" w:space="0" w:color="auto"/>
              <w:right w:val="nil"/>
            </w:tcBorders>
            <w:shd w:val="clear" w:color="auto" w:fill="auto"/>
            <w:vAlign w:val="center"/>
          </w:tcPr>
          <w:p w:rsidR="00FB1D09" w:rsidRDefault="00FB1D09" w:rsidP="00FB1D09">
            <w:pPr>
              <w:jc w:val="right"/>
              <w:rPr>
                <w:sz w:val="20"/>
                <w:szCs w:val="20"/>
              </w:rPr>
            </w:pPr>
            <w:r>
              <w:rPr>
                <w:sz w:val="20"/>
                <w:szCs w:val="20"/>
              </w:rPr>
              <w:t>19</w:t>
            </w:r>
          </w:p>
        </w:tc>
        <w:tc>
          <w:tcPr>
            <w:tcW w:w="1417" w:type="dxa"/>
            <w:tcBorders>
              <w:top w:val="nil"/>
              <w:left w:val="single" w:sz="4" w:space="0" w:color="auto"/>
              <w:bottom w:val="single" w:sz="8" w:space="0" w:color="auto"/>
              <w:right w:val="single" w:sz="4" w:space="0" w:color="auto"/>
            </w:tcBorders>
            <w:shd w:val="clear" w:color="auto" w:fill="auto"/>
            <w:vAlign w:val="center"/>
          </w:tcPr>
          <w:p w:rsidR="00FB1D09" w:rsidRDefault="00FB1D09" w:rsidP="00FB1D09">
            <w:pPr>
              <w:jc w:val="right"/>
              <w:rPr>
                <w:sz w:val="20"/>
                <w:szCs w:val="20"/>
              </w:rPr>
            </w:pPr>
            <w:r>
              <w:rPr>
                <w:color w:val="FF0000"/>
                <w:sz w:val="20"/>
                <w:szCs w:val="20"/>
              </w:rPr>
              <w:t>(215)</w:t>
            </w:r>
          </w:p>
        </w:tc>
        <w:tc>
          <w:tcPr>
            <w:tcW w:w="1843" w:type="dxa"/>
            <w:tcBorders>
              <w:top w:val="nil"/>
              <w:left w:val="nil"/>
              <w:bottom w:val="single" w:sz="8" w:space="0" w:color="auto"/>
              <w:right w:val="single" w:sz="8" w:space="0" w:color="auto"/>
            </w:tcBorders>
            <w:shd w:val="clear" w:color="auto" w:fill="FFC000"/>
            <w:vAlign w:val="center"/>
          </w:tcPr>
          <w:p w:rsidR="00FB1D09" w:rsidRDefault="00FB1D09" w:rsidP="00FB1D09">
            <w:pPr>
              <w:jc w:val="right"/>
              <w:rPr>
                <w:color w:val="000000"/>
                <w:sz w:val="20"/>
                <w:szCs w:val="20"/>
              </w:rPr>
            </w:pPr>
            <w:r>
              <w:rPr>
                <w:color w:val="000000"/>
                <w:sz w:val="20"/>
                <w:szCs w:val="20"/>
              </w:rPr>
              <w:t>-0.61%</w:t>
            </w:r>
          </w:p>
        </w:tc>
      </w:tr>
      <w:tr w:rsidR="00FB1D09" w:rsidRPr="00EB32C9" w:rsidTr="006F64BE">
        <w:trPr>
          <w:trHeight w:val="270"/>
        </w:trPr>
        <w:tc>
          <w:tcPr>
            <w:tcW w:w="3827" w:type="dxa"/>
            <w:tcBorders>
              <w:top w:val="nil"/>
              <w:left w:val="single" w:sz="8" w:space="0" w:color="auto"/>
              <w:bottom w:val="single" w:sz="8" w:space="0" w:color="auto"/>
              <w:right w:val="single" w:sz="8" w:space="0" w:color="auto"/>
            </w:tcBorders>
            <w:shd w:val="clear" w:color="auto" w:fill="auto"/>
            <w:vAlign w:val="center"/>
          </w:tcPr>
          <w:p w:rsidR="00FB1D09" w:rsidRPr="00EB32C9" w:rsidRDefault="00FB1D09" w:rsidP="00FB1D09">
            <w:pPr>
              <w:rPr>
                <w:color w:val="000000"/>
                <w:sz w:val="22"/>
                <w:szCs w:val="22"/>
                <w:lang w:eastAsia="en-GB"/>
              </w:rPr>
            </w:pPr>
            <w:r w:rsidRPr="00EB32C9">
              <w:rPr>
                <w:color w:val="000000"/>
                <w:sz w:val="22"/>
                <w:szCs w:val="22"/>
                <w:lang w:eastAsia="en-GB"/>
              </w:rPr>
              <w:t>General Supplies &amp; Services</w:t>
            </w:r>
          </w:p>
        </w:tc>
        <w:tc>
          <w:tcPr>
            <w:tcW w:w="1300" w:type="dxa"/>
            <w:tcBorders>
              <w:top w:val="nil"/>
              <w:left w:val="nil"/>
              <w:bottom w:val="single" w:sz="8" w:space="0" w:color="auto"/>
              <w:right w:val="single" w:sz="8" w:space="0" w:color="auto"/>
            </w:tcBorders>
            <w:shd w:val="clear" w:color="auto" w:fill="auto"/>
            <w:vAlign w:val="center"/>
          </w:tcPr>
          <w:p w:rsidR="00FB1D09" w:rsidRDefault="00FB1D09" w:rsidP="00FB1D09">
            <w:pPr>
              <w:jc w:val="right"/>
              <w:rPr>
                <w:sz w:val="20"/>
                <w:szCs w:val="20"/>
              </w:rPr>
            </w:pPr>
            <w:r>
              <w:rPr>
                <w:sz w:val="20"/>
                <w:szCs w:val="20"/>
              </w:rPr>
              <w:t>6,823</w:t>
            </w:r>
          </w:p>
        </w:tc>
        <w:tc>
          <w:tcPr>
            <w:tcW w:w="1276" w:type="dxa"/>
            <w:tcBorders>
              <w:top w:val="nil"/>
              <w:left w:val="nil"/>
              <w:bottom w:val="single" w:sz="8" w:space="0" w:color="auto"/>
              <w:right w:val="nil"/>
            </w:tcBorders>
            <w:shd w:val="clear" w:color="auto" w:fill="auto"/>
            <w:vAlign w:val="center"/>
          </w:tcPr>
          <w:p w:rsidR="00FB1D09" w:rsidRDefault="00FB1D09" w:rsidP="00FB1D09">
            <w:pPr>
              <w:jc w:val="right"/>
              <w:rPr>
                <w:sz w:val="20"/>
                <w:szCs w:val="20"/>
              </w:rPr>
            </w:pPr>
            <w:r>
              <w:rPr>
                <w:color w:val="FF0000"/>
                <w:sz w:val="20"/>
                <w:szCs w:val="20"/>
              </w:rPr>
              <w:t>(31)</w:t>
            </w:r>
          </w:p>
        </w:tc>
        <w:tc>
          <w:tcPr>
            <w:tcW w:w="1417" w:type="dxa"/>
            <w:tcBorders>
              <w:top w:val="nil"/>
              <w:left w:val="single" w:sz="4" w:space="0" w:color="auto"/>
              <w:bottom w:val="single" w:sz="8" w:space="0" w:color="auto"/>
              <w:right w:val="single" w:sz="4" w:space="0" w:color="auto"/>
            </w:tcBorders>
            <w:shd w:val="clear" w:color="auto" w:fill="auto"/>
            <w:vAlign w:val="center"/>
          </w:tcPr>
          <w:p w:rsidR="00FB1D09" w:rsidRDefault="00FB1D09" w:rsidP="00FB1D09">
            <w:pPr>
              <w:jc w:val="right"/>
              <w:rPr>
                <w:sz w:val="20"/>
                <w:szCs w:val="20"/>
              </w:rPr>
            </w:pPr>
            <w:r>
              <w:rPr>
                <w:sz w:val="20"/>
                <w:szCs w:val="20"/>
              </w:rPr>
              <w:t>276</w:t>
            </w:r>
          </w:p>
        </w:tc>
        <w:tc>
          <w:tcPr>
            <w:tcW w:w="1843" w:type="dxa"/>
            <w:tcBorders>
              <w:top w:val="nil"/>
              <w:left w:val="nil"/>
              <w:bottom w:val="single" w:sz="8" w:space="0" w:color="auto"/>
              <w:right w:val="single" w:sz="8" w:space="0" w:color="auto"/>
            </w:tcBorders>
            <w:shd w:val="clear" w:color="auto" w:fill="FF0000"/>
            <w:vAlign w:val="center"/>
          </w:tcPr>
          <w:p w:rsidR="00FB1D09" w:rsidRDefault="00FB1D09" w:rsidP="00FB1D09">
            <w:pPr>
              <w:jc w:val="right"/>
              <w:rPr>
                <w:color w:val="000000"/>
                <w:sz w:val="20"/>
                <w:szCs w:val="20"/>
              </w:rPr>
            </w:pPr>
            <w:r>
              <w:rPr>
                <w:color w:val="000000"/>
                <w:sz w:val="20"/>
                <w:szCs w:val="20"/>
              </w:rPr>
              <w:t>4.44%</w:t>
            </w:r>
          </w:p>
        </w:tc>
      </w:tr>
      <w:tr w:rsidR="00FB1D09" w:rsidRPr="00EB32C9" w:rsidTr="003C4364">
        <w:trPr>
          <w:trHeight w:val="270"/>
        </w:trPr>
        <w:tc>
          <w:tcPr>
            <w:tcW w:w="3827" w:type="dxa"/>
            <w:tcBorders>
              <w:top w:val="nil"/>
              <w:left w:val="single" w:sz="8" w:space="0" w:color="auto"/>
              <w:bottom w:val="single" w:sz="8" w:space="0" w:color="auto"/>
              <w:right w:val="single" w:sz="8" w:space="0" w:color="auto"/>
            </w:tcBorders>
            <w:shd w:val="clear" w:color="auto" w:fill="auto"/>
            <w:vAlign w:val="center"/>
          </w:tcPr>
          <w:p w:rsidR="00FB1D09" w:rsidRPr="00EB32C9" w:rsidRDefault="00FB1D09" w:rsidP="00FB1D09">
            <w:pPr>
              <w:rPr>
                <w:color w:val="000000"/>
                <w:sz w:val="22"/>
                <w:szCs w:val="22"/>
                <w:lang w:eastAsia="en-GB"/>
              </w:rPr>
            </w:pPr>
            <w:r w:rsidRPr="00EB32C9">
              <w:rPr>
                <w:color w:val="000000"/>
                <w:sz w:val="22"/>
                <w:szCs w:val="22"/>
                <w:lang w:eastAsia="en-GB"/>
              </w:rPr>
              <w:t>Establishment Expenses</w:t>
            </w:r>
          </w:p>
        </w:tc>
        <w:tc>
          <w:tcPr>
            <w:tcW w:w="1300" w:type="dxa"/>
            <w:tcBorders>
              <w:top w:val="nil"/>
              <w:left w:val="nil"/>
              <w:bottom w:val="single" w:sz="8" w:space="0" w:color="auto"/>
              <w:right w:val="single" w:sz="8" w:space="0" w:color="auto"/>
            </w:tcBorders>
            <w:shd w:val="clear" w:color="auto" w:fill="auto"/>
            <w:vAlign w:val="center"/>
          </w:tcPr>
          <w:p w:rsidR="00FB1D09" w:rsidRDefault="00FB1D09" w:rsidP="00FB1D09">
            <w:pPr>
              <w:jc w:val="right"/>
              <w:rPr>
                <w:sz w:val="20"/>
                <w:szCs w:val="20"/>
              </w:rPr>
            </w:pPr>
            <w:r>
              <w:rPr>
                <w:sz w:val="20"/>
                <w:szCs w:val="20"/>
              </w:rPr>
              <w:t>11,885</w:t>
            </w:r>
          </w:p>
        </w:tc>
        <w:tc>
          <w:tcPr>
            <w:tcW w:w="1276" w:type="dxa"/>
            <w:tcBorders>
              <w:top w:val="nil"/>
              <w:left w:val="nil"/>
              <w:bottom w:val="single" w:sz="8" w:space="0" w:color="auto"/>
              <w:right w:val="nil"/>
            </w:tcBorders>
            <w:shd w:val="clear" w:color="auto" w:fill="auto"/>
            <w:vAlign w:val="center"/>
          </w:tcPr>
          <w:p w:rsidR="00FB1D09" w:rsidRDefault="00FB1D09" w:rsidP="00FB1D09">
            <w:pPr>
              <w:jc w:val="right"/>
              <w:rPr>
                <w:sz w:val="20"/>
                <w:szCs w:val="20"/>
              </w:rPr>
            </w:pPr>
            <w:r>
              <w:rPr>
                <w:sz w:val="20"/>
                <w:szCs w:val="20"/>
              </w:rPr>
              <w:t>400</w:t>
            </w:r>
          </w:p>
        </w:tc>
        <w:tc>
          <w:tcPr>
            <w:tcW w:w="1417" w:type="dxa"/>
            <w:tcBorders>
              <w:top w:val="nil"/>
              <w:left w:val="single" w:sz="4" w:space="0" w:color="auto"/>
              <w:bottom w:val="single" w:sz="8" w:space="0" w:color="auto"/>
              <w:right w:val="single" w:sz="4" w:space="0" w:color="auto"/>
            </w:tcBorders>
            <w:shd w:val="clear" w:color="auto" w:fill="auto"/>
            <w:vAlign w:val="center"/>
          </w:tcPr>
          <w:p w:rsidR="00FB1D09" w:rsidRDefault="00FB1D09" w:rsidP="00FB1D09">
            <w:pPr>
              <w:jc w:val="right"/>
              <w:rPr>
                <w:sz w:val="20"/>
                <w:szCs w:val="20"/>
              </w:rPr>
            </w:pPr>
            <w:r>
              <w:rPr>
                <w:sz w:val="20"/>
                <w:szCs w:val="20"/>
              </w:rPr>
              <w:t>1,930</w:t>
            </w:r>
          </w:p>
        </w:tc>
        <w:tc>
          <w:tcPr>
            <w:tcW w:w="1843" w:type="dxa"/>
            <w:tcBorders>
              <w:top w:val="nil"/>
              <w:left w:val="nil"/>
              <w:bottom w:val="single" w:sz="8" w:space="0" w:color="auto"/>
              <w:right w:val="single" w:sz="8" w:space="0" w:color="auto"/>
            </w:tcBorders>
            <w:shd w:val="clear" w:color="auto" w:fill="FF0000"/>
            <w:vAlign w:val="center"/>
          </w:tcPr>
          <w:p w:rsidR="00FB1D09" w:rsidRDefault="00FB1D09" w:rsidP="00FB1D09">
            <w:pPr>
              <w:jc w:val="right"/>
              <w:rPr>
                <w:color w:val="000000"/>
                <w:sz w:val="20"/>
                <w:szCs w:val="20"/>
              </w:rPr>
            </w:pPr>
            <w:r>
              <w:rPr>
                <w:color w:val="000000"/>
                <w:sz w:val="20"/>
                <w:szCs w:val="20"/>
              </w:rPr>
              <w:t>17.86%</w:t>
            </w:r>
          </w:p>
        </w:tc>
      </w:tr>
      <w:tr w:rsidR="00FB1D09" w:rsidRPr="00EB32C9" w:rsidTr="003C4364">
        <w:trPr>
          <w:trHeight w:val="270"/>
        </w:trPr>
        <w:tc>
          <w:tcPr>
            <w:tcW w:w="3827" w:type="dxa"/>
            <w:tcBorders>
              <w:top w:val="nil"/>
              <w:left w:val="single" w:sz="8" w:space="0" w:color="auto"/>
              <w:bottom w:val="single" w:sz="8" w:space="0" w:color="auto"/>
              <w:right w:val="single" w:sz="8" w:space="0" w:color="auto"/>
            </w:tcBorders>
            <w:shd w:val="clear" w:color="auto" w:fill="auto"/>
            <w:vAlign w:val="center"/>
          </w:tcPr>
          <w:p w:rsidR="00FB1D09" w:rsidRPr="00EB32C9" w:rsidRDefault="00FB1D09" w:rsidP="00FB1D09">
            <w:pPr>
              <w:rPr>
                <w:color w:val="000000"/>
                <w:sz w:val="22"/>
                <w:szCs w:val="22"/>
                <w:lang w:eastAsia="en-GB"/>
              </w:rPr>
            </w:pPr>
            <w:r w:rsidRPr="00EB32C9">
              <w:rPr>
                <w:color w:val="000000"/>
                <w:sz w:val="22"/>
                <w:szCs w:val="22"/>
                <w:lang w:eastAsia="en-GB"/>
              </w:rPr>
              <w:t>Contract Staffing &amp; Consultancy</w:t>
            </w:r>
          </w:p>
        </w:tc>
        <w:tc>
          <w:tcPr>
            <w:tcW w:w="1300" w:type="dxa"/>
            <w:tcBorders>
              <w:top w:val="nil"/>
              <w:left w:val="nil"/>
              <w:bottom w:val="single" w:sz="8" w:space="0" w:color="auto"/>
              <w:right w:val="single" w:sz="8" w:space="0" w:color="auto"/>
            </w:tcBorders>
            <w:shd w:val="clear" w:color="auto" w:fill="auto"/>
            <w:vAlign w:val="center"/>
          </w:tcPr>
          <w:p w:rsidR="00FB1D09" w:rsidRDefault="00FB1D09" w:rsidP="00FB1D09">
            <w:pPr>
              <w:jc w:val="right"/>
              <w:rPr>
                <w:sz w:val="20"/>
                <w:szCs w:val="20"/>
              </w:rPr>
            </w:pPr>
            <w:r>
              <w:rPr>
                <w:sz w:val="20"/>
                <w:szCs w:val="20"/>
              </w:rPr>
              <w:t>225</w:t>
            </w:r>
          </w:p>
        </w:tc>
        <w:tc>
          <w:tcPr>
            <w:tcW w:w="1276" w:type="dxa"/>
            <w:tcBorders>
              <w:top w:val="nil"/>
              <w:left w:val="nil"/>
              <w:bottom w:val="single" w:sz="8" w:space="0" w:color="auto"/>
              <w:right w:val="nil"/>
            </w:tcBorders>
            <w:shd w:val="clear" w:color="auto" w:fill="auto"/>
            <w:vAlign w:val="center"/>
          </w:tcPr>
          <w:p w:rsidR="00FB1D09" w:rsidRDefault="00FB1D09" w:rsidP="00FB1D09">
            <w:pPr>
              <w:jc w:val="right"/>
              <w:rPr>
                <w:sz w:val="20"/>
                <w:szCs w:val="20"/>
              </w:rPr>
            </w:pPr>
            <w:r>
              <w:rPr>
                <w:sz w:val="20"/>
                <w:szCs w:val="20"/>
              </w:rPr>
              <w:t>36</w:t>
            </w:r>
          </w:p>
        </w:tc>
        <w:tc>
          <w:tcPr>
            <w:tcW w:w="1417" w:type="dxa"/>
            <w:tcBorders>
              <w:top w:val="nil"/>
              <w:left w:val="single" w:sz="4" w:space="0" w:color="auto"/>
              <w:bottom w:val="single" w:sz="8" w:space="0" w:color="auto"/>
              <w:right w:val="single" w:sz="4" w:space="0" w:color="auto"/>
            </w:tcBorders>
            <w:shd w:val="clear" w:color="auto" w:fill="auto"/>
            <w:vAlign w:val="center"/>
          </w:tcPr>
          <w:p w:rsidR="00FB1D09" w:rsidRDefault="00FB1D09" w:rsidP="00FB1D09">
            <w:pPr>
              <w:jc w:val="right"/>
              <w:rPr>
                <w:sz w:val="20"/>
                <w:szCs w:val="20"/>
              </w:rPr>
            </w:pPr>
            <w:r>
              <w:rPr>
                <w:sz w:val="20"/>
                <w:szCs w:val="20"/>
              </w:rPr>
              <w:t>167</w:t>
            </w:r>
          </w:p>
        </w:tc>
        <w:tc>
          <w:tcPr>
            <w:tcW w:w="1843" w:type="dxa"/>
            <w:tcBorders>
              <w:top w:val="nil"/>
              <w:left w:val="nil"/>
              <w:bottom w:val="single" w:sz="8" w:space="0" w:color="auto"/>
              <w:right w:val="single" w:sz="8" w:space="0" w:color="auto"/>
            </w:tcBorders>
            <w:shd w:val="clear" w:color="auto" w:fill="FF0000"/>
            <w:vAlign w:val="center"/>
          </w:tcPr>
          <w:p w:rsidR="00FB1D09" w:rsidRDefault="00FB1D09" w:rsidP="00FB1D09">
            <w:pPr>
              <w:jc w:val="right"/>
              <w:rPr>
                <w:color w:val="000000"/>
                <w:sz w:val="20"/>
                <w:szCs w:val="20"/>
              </w:rPr>
            </w:pPr>
            <w:r>
              <w:rPr>
                <w:color w:val="000000"/>
                <w:sz w:val="20"/>
                <w:szCs w:val="20"/>
              </w:rPr>
              <w:t>78.07%</w:t>
            </w:r>
          </w:p>
        </w:tc>
      </w:tr>
      <w:tr w:rsidR="00FB1D09" w:rsidRPr="00EB32C9" w:rsidTr="003C4364">
        <w:trPr>
          <w:trHeight w:val="270"/>
        </w:trPr>
        <w:tc>
          <w:tcPr>
            <w:tcW w:w="3827" w:type="dxa"/>
            <w:tcBorders>
              <w:top w:val="nil"/>
              <w:left w:val="single" w:sz="8" w:space="0" w:color="auto"/>
              <w:bottom w:val="single" w:sz="8" w:space="0" w:color="auto"/>
              <w:right w:val="single" w:sz="8" w:space="0" w:color="auto"/>
            </w:tcBorders>
            <w:shd w:val="clear" w:color="auto" w:fill="auto"/>
            <w:vAlign w:val="center"/>
          </w:tcPr>
          <w:p w:rsidR="00FB1D09" w:rsidRPr="00EB32C9" w:rsidRDefault="00FB1D09" w:rsidP="00FB1D09">
            <w:pPr>
              <w:rPr>
                <w:color w:val="000000"/>
                <w:sz w:val="22"/>
                <w:szCs w:val="22"/>
                <w:lang w:eastAsia="en-GB"/>
              </w:rPr>
            </w:pPr>
            <w:r w:rsidRPr="00EB32C9">
              <w:rPr>
                <w:color w:val="000000"/>
                <w:sz w:val="22"/>
                <w:szCs w:val="22"/>
                <w:lang w:eastAsia="en-GB"/>
              </w:rPr>
              <w:t xml:space="preserve">Misc Services </w:t>
            </w:r>
            <w:r>
              <w:rPr>
                <w:color w:val="000000"/>
                <w:sz w:val="22"/>
                <w:szCs w:val="22"/>
                <w:lang w:eastAsia="en-GB"/>
              </w:rPr>
              <w:t>–</w:t>
            </w:r>
            <w:r w:rsidRPr="00EB32C9">
              <w:rPr>
                <w:color w:val="000000"/>
                <w:sz w:val="22"/>
                <w:szCs w:val="22"/>
                <w:lang w:eastAsia="en-GB"/>
              </w:rPr>
              <w:t xml:space="preserve"> Other</w:t>
            </w:r>
          </w:p>
        </w:tc>
        <w:tc>
          <w:tcPr>
            <w:tcW w:w="1300" w:type="dxa"/>
            <w:tcBorders>
              <w:top w:val="nil"/>
              <w:left w:val="nil"/>
              <w:bottom w:val="single" w:sz="8" w:space="0" w:color="auto"/>
              <w:right w:val="single" w:sz="8" w:space="0" w:color="auto"/>
            </w:tcBorders>
            <w:shd w:val="clear" w:color="auto" w:fill="auto"/>
            <w:vAlign w:val="center"/>
          </w:tcPr>
          <w:p w:rsidR="00FB1D09" w:rsidRDefault="00FB1D09" w:rsidP="00FB1D09">
            <w:pPr>
              <w:jc w:val="right"/>
              <w:rPr>
                <w:sz w:val="20"/>
                <w:szCs w:val="20"/>
              </w:rPr>
            </w:pPr>
            <w:r>
              <w:rPr>
                <w:sz w:val="20"/>
                <w:szCs w:val="20"/>
              </w:rPr>
              <w:t>23,271</w:t>
            </w:r>
          </w:p>
        </w:tc>
        <w:tc>
          <w:tcPr>
            <w:tcW w:w="1276" w:type="dxa"/>
            <w:tcBorders>
              <w:top w:val="nil"/>
              <w:left w:val="nil"/>
              <w:bottom w:val="single" w:sz="8" w:space="0" w:color="auto"/>
              <w:right w:val="nil"/>
            </w:tcBorders>
            <w:shd w:val="clear" w:color="auto" w:fill="auto"/>
            <w:vAlign w:val="center"/>
          </w:tcPr>
          <w:p w:rsidR="00FB1D09" w:rsidRDefault="00FB1D09" w:rsidP="00FB1D09">
            <w:pPr>
              <w:jc w:val="right"/>
              <w:rPr>
                <w:sz w:val="20"/>
                <w:szCs w:val="20"/>
              </w:rPr>
            </w:pPr>
            <w:r>
              <w:rPr>
                <w:sz w:val="20"/>
                <w:szCs w:val="20"/>
              </w:rPr>
              <w:t>20</w:t>
            </w:r>
          </w:p>
        </w:tc>
        <w:tc>
          <w:tcPr>
            <w:tcW w:w="1417" w:type="dxa"/>
            <w:tcBorders>
              <w:top w:val="nil"/>
              <w:left w:val="single" w:sz="4" w:space="0" w:color="auto"/>
              <w:bottom w:val="single" w:sz="8" w:space="0" w:color="auto"/>
              <w:right w:val="single" w:sz="4" w:space="0" w:color="auto"/>
            </w:tcBorders>
            <w:shd w:val="clear" w:color="auto" w:fill="auto"/>
            <w:vAlign w:val="center"/>
          </w:tcPr>
          <w:p w:rsidR="00FB1D09" w:rsidRDefault="00FB1D09" w:rsidP="00FB1D09">
            <w:pPr>
              <w:jc w:val="right"/>
              <w:rPr>
                <w:sz w:val="20"/>
                <w:szCs w:val="20"/>
              </w:rPr>
            </w:pPr>
            <w:r>
              <w:rPr>
                <w:color w:val="FF0000"/>
                <w:sz w:val="20"/>
                <w:szCs w:val="20"/>
              </w:rPr>
              <w:t>(1,565)</w:t>
            </w:r>
          </w:p>
        </w:tc>
        <w:tc>
          <w:tcPr>
            <w:tcW w:w="1843" w:type="dxa"/>
            <w:tcBorders>
              <w:top w:val="nil"/>
              <w:left w:val="nil"/>
              <w:bottom w:val="single" w:sz="8" w:space="0" w:color="auto"/>
              <w:right w:val="single" w:sz="8" w:space="0" w:color="auto"/>
            </w:tcBorders>
            <w:shd w:val="clear" w:color="auto" w:fill="92D050"/>
            <w:vAlign w:val="center"/>
          </w:tcPr>
          <w:p w:rsidR="00FB1D09" w:rsidRDefault="00FB1D09" w:rsidP="00FB1D09">
            <w:pPr>
              <w:jc w:val="right"/>
              <w:rPr>
                <w:color w:val="000000"/>
                <w:sz w:val="20"/>
                <w:szCs w:val="20"/>
              </w:rPr>
            </w:pPr>
            <w:r>
              <w:rPr>
                <w:color w:val="000000"/>
                <w:sz w:val="20"/>
                <w:szCs w:val="20"/>
              </w:rPr>
              <w:t>-8.61%</w:t>
            </w:r>
          </w:p>
        </w:tc>
      </w:tr>
      <w:tr w:rsidR="00FB1D09" w:rsidRPr="00EB32C9" w:rsidTr="003C4364">
        <w:trPr>
          <w:trHeight w:val="270"/>
        </w:trPr>
        <w:tc>
          <w:tcPr>
            <w:tcW w:w="3827" w:type="dxa"/>
            <w:tcBorders>
              <w:top w:val="nil"/>
              <w:left w:val="single" w:sz="8" w:space="0" w:color="auto"/>
              <w:bottom w:val="single" w:sz="8" w:space="0" w:color="auto"/>
              <w:right w:val="single" w:sz="8" w:space="0" w:color="auto"/>
            </w:tcBorders>
            <w:shd w:val="clear" w:color="auto" w:fill="auto"/>
            <w:vAlign w:val="center"/>
          </w:tcPr>
          <w:p w:rsidR="00FB1D09" w:rsidRPr="00EB32C9" w:rsidRDefault="00FB1D09" w:rsidP="00FB1D09">
            <w:pPr>
              <w:rPr>
                <w:color w:val="000000"/>
                <w:sz w:val="22"/>
                <w:szCs w:val="22"/>
                <w:lang w:eastAsia="en-GB"/>
              </w:rPr>
            </w:pPr>
            <w:r w:rsidRPr="00EB32C9">
              <w:rPr>
                <w:color w:val="000000"/>
                <w:sz w:val="22"/>
                <w:szCs w:val="22"/>
                <w:lang w:eastAsia="en-GB"/>
              </w:rPr>
              <w:t>Premises &amp; Fixed Plant</w:t>
            </w:r>
          </w:p>
        </w:tc>
        <w:tc>
          <w:tcPr>
            <w:tcW w:w="1300" w:type="dxa"/>
            <w:tcBorders>
              <w:top w:val="nil"/>
              <w:left w:val="nil"/>
              <w:bottom w:val="single" w:sz="8" w:space="0" w:color="auto"/>
              <w:right w:val="single" w:sz="8" w:space="0" w:color="auto"/>
            </w:tcBorders>
            <w:shd w:val="clear" w:color="auto" w:fill="auto"/>
            <w:vAlign w:val="center"/>
          </w:tcPr>
          <w:p w:rsidR="00FB1D09" w:rsidRDefault="00FB1D09" w:rsidP="00FB1D09">
            <w:pPr>
              <w:jc w:val="right"/>
              <w:rPr>
                <w:sz w:val="20"/>
                <w:szCs w:val="20"/>
              </w:rPr>
            </w:pPr>
            <w:r>
              <w:rPr>
                <w:sz w:val="20"/>
                <w:szCs w:val="20"/>
              </w:rPr>
              <w:t>22,521</w:t>
            </w:r>
          </w:p>
        </w:tc>
        <w:tc>
          <w:tcPr>
            <w:tcW w:w="1276" w:type="dxa"/>
            <w:tcBorders>
              <w:top w:val="nil"/>
              <w:left w:val="nil"/>
              <w:bottom w:val="single" w:sz="8" w:space="0" w:color="auto"/>
              <w:right w:val="nil"/>
            </w:tcBorders>
            <w:shd w:val="clear" w:color="auto" w:fill="auto"/>
            <w:vAlign w:val="center"/>
          </w:tcPr>
          <w:p w:rsidR="00FB1D09" w:rsidRDefault="00FB1D09" w:rsidP="00FB1D09">
            <w:pPr>
              <w:jc w:val="right"/>
              <w:rPr>
                <w:sz w:val="20"/>
                <w:szCs w:val="20"/>
              </w:rPr>
            </w:pPr>
            <w:r>
              <w:rPr>
                <w:sz w:val="20"/>
                <w:szCs w:val="20"/>
              </w:rPr>
              <w:t>389</w:t>
            </w:r>
          </w:p>
        </w:tc>
        <w:tc>
          <w:tcPr>
            <w:tcW w:w="1417" w:type="dxa"/>
            <w:tcBorders>
              <w:top w:val="nil"/>
              <w:left w:val="single" w:sz="4" w:space="0" w:color="auto"/>
              <w:bottom w:val="single" w:sz="8" w:space="0" w:color="auto"/>
              <w:right w:val="single" w:sz="4" w:space="0" w:color="auto"/>
            </w:tcBorders>
            <w:shd w:val="clear" w:color="auto" w:fill="auto"/>
            <w:vAlign w:val="center"/>
          </w:tcPr>
          <w:p w:rsidR="00FB1D09" w:rsidRDefault="00FB1D09" w:rsidP="00FB1D09">
            <w:pPr>
              <w:jc w:val="right"/>
              <w:rPr>
                <w:sz w:val="20"/>
                <w:szCs w:val="20"/>
              </w:rPr>
            </w:pPr>
            <w:r>
              <w:rPr>
                <w:sz w:val="20"/>
                <w:szCs w:val="20"/>
              </w:rPr>
              <w:t>1,584</w:t>
            </w:r>
          </w:p>
        </w:tc>
        <w:tc>
          <w:tcPr>
            <w:tcW w:w="1843" w:type="dxa"/>
            <w:tcBorders>
              <w:top w:val="nil"/>
              <w:left w:val="nil"/>
              <w:bottom w:val="single" w:sz="8" w:space="0" w:color="auto"/>
              <w:right w:val="single" w:sz="8" w:space="0" w:color="auto"/>
            </w:tcBorders>
            <w:shd w:val="clear" w:color="auto" w:fill="FF0000"/>
            <w:vAlign w:val="center"/>
          </w:tcPr>
          <w:p w:rsidR="00FB1D09" w:rsidRDefault="00FB1D09" w:rsidP="00FB1D09">
            <w:pPr>
              <w:jc w:val="right"/>
              <w:rPr>
                <w:color w:val="000000"/>
                <w:sz w:val="20"/>
                <w:szCs w:val="20"/>
              </w:rPr>
            </w:pPr>
            <w:r>
              <w:rPr>
                <w:color w:val="000000"/>
                <w:sz w:val="20"/>
                <w:szCs w:val="20"/>
              </w:rPr>
              <w:t>7.58%</w:t>
            </w:r>
          </w:p>
        </w:tc>
      </w:tr>
      <w:tr w:rsidR="00FB1D09" w:rsidRPr="00EB32C9" w:rsidTr="003C4364">
        <w:trPr>
          <w:trHeight w:val="270"/>
        </w:trPr>
        <w:tc>
          <w:tcPr>
            <w:tcW w:w="3827" w:type="dxa"/>
            <w:tcBorders>
              <w:top w:val="nil"/>
              <w:left w:val="single" w:sz="8" w:space="0" w:color="auto"/>
              <w:bottom w:val="single" w:sz="8" w:space="0" w:color="auto"/>
              <w:right w:val="single" w:sz="8" w:space="0" w:color="auto"/>
            </w:tcBorders>
            <w:shd w:val="clear" w:color="auto" w:fill="auto"/>
            <w:vAlign w:val="center"/>
          </w:tcPr>
          <w:p w:rsidR="00FB1D09" w:rsidRPr="00EB32C9" w:rsidRDefault="00FB1D09" w:rsidP="00FB1D09">
            <w:pPr>
              <w:rPr>
                <w:color w:val="000000"/>
                <w:sz w:val="22"/>
                <w:szCs w:val="22"/>
                <w:lang w:eastAsia="en-GB"/>
              </w:rPr>
            </w:pPr>
          </w:p>
        </w:tc>
        <w:tc>
          <w:tcPr>
            <w:tcW w:w="1300" w:type="dxa"/>
            <w:tcBorders>
              <w:top w:val="nil"/>
              <w:left w:val="nil"/>
              <w:bottom w:val="single" w:sz="8" w:space="0" w:color="auto"/>
              <w:right w:val="single" w:sz="8" w:space="0" w:color="auto"/>
            </w:tcBorders>
            <w:shd w:val="clear" w:color="auto" w:fill="auto"/>
            <w:vAlign w:val="center"/>
          </w:tcPr>
          <w:p w:rsidR="00FB1D09" w:rsidRDefault="00FB1D09" w:rsidP="00FB1D09">
            <w:pPr>
              <w:jc w:val="right"/>
              <w:rPr>
                <w:sz w:val="20"/>
                <w:szCs w:val="20"/>
              </w:rPr>
            </w:pPr>
            <w:r>
              <w:rPr>
                <w:sz w:val="20"/>
                <w:szCs w:val="20"/>
              </w:rPr>
              <w:t> </w:t>
            </w:r>
          </w:p>
        </w:tc>
        <w:tc>
          <w:tcPr>
            <w:tcW w:w="1276" w:type="dxa"/>
            <w:tcBorders>
              <w:top w:val="nil"/>
              <w:left w:val="nil"/>
              <w:bottom w:val="single" w:sz="8" w:space="0" w:color="auto"/>
              <w:right w:val="nil"/>
            </w:tcBorders>
            <w:shd w:val="clear" w:color="auto" w:fill="auto"/>
            <w:vAlign w:val="center"/>
          </w:tcPr>
          <w:p w:rsidR="00FB1D09" w:rsidRDefault="00FB1D09" w:rsidP="00FB1D09">
            <w:pPr>
              <w:jc w:val="right"/>
              <w:rPr>
                <w:sz w:val="20"/>
                <w:szCs w:val="20"/>
              </w:rPr>
            </w:pPr>
            <w:r>
              <w:rPr>
                <w:sz w:val="20"/>
                <w:szCs w:val="20"/>
              </w:rPr>
              <w:t> </w:t>
            </w:r>
          </w:p>
        </w:tc>
        <w:tc>
          <w:tcPr>
            <w:tcW w:w="1417" w:type="dxa"/>
            <w:tcBorders>
              <w:top w:val="nil"/>
              <w:left w:val="single" w:sz="4" w:space="0" w:color="auto"/>
              <w:bottom w:val="single" w:sz="8" w:space="0" w:color="auto"/>
              <w:right w:val="single" w:sz="4" w:space="0" w:color="auto"/>
            </w:tcBorders>
            <w:shd w:val="clear" w:color="auto" w:fill="auto"/>
            <w:vAlign w:val="center"/>
          </w:tcPr>
          <w:p w:rsidR="00FB1D09" w:rsidRDefault="00FB1D09" w:rsidP="00FB1D09">
            <w:pPr>
              <w:jc w:val="right"/>
              <w:rPr>
                <w:sz w:val="20"/>
                <w:szCs w:val="20"/>
              </w:rPr>
            </w:pPr>
            <w:r>
              <w:rPr>
                <w:sz w:val="20"/>
                <w:szCs w:val="20"/>
              </w:rPr>
              <w:t> </w:t>
            </w:r>
          </w:p>
        </w:tc>
        <w:tc>
          <w:tcPr>
            <w:tcW w:w="1843" w:type="dxa"/>
            <w:tcBorders>
              <w:top w:val="nil"/>
              <w:left w:val="nil"/>
              <w:bottom w:val="single" w:sz="8" w:space="0" w:color="auto"/>
              <w:right w:val="single" w:sz="8" w:space="0" w:color="auto"/>
            </w:tcBorders>
            <w:shd w:val="clear" w:color="auto" w:fill="auto"/>
            <w:vAlign w:val="center"/>
          </w:tcPr>
          <w:p w:rsidR="00FB1D09" w:rsidRDefault="00FB1D09" w:rsidP="00FB1D09">
            <w:pPr>
              <w:jc w:val="right"/>
              <w:rPr>
                <w:color w:val="000000"/>
                <w:sz w:val="20"/>
                <w:szCs w:val="20"/>
              </w:rPr>
            </w:pPr>
            <w:r>
              <w:rPr>
                <w:color w:val="000000"/>
                <w:sz w:val="20"/>
                <w:szCs w:val="20"/>
              </w:rPr>
              <w:t> </w:t>
            </w:r>
          </w:p>
        </w:tc>
      </w:tr>
      <w:tr w:rsidR="00FB1D09" w:rsidRPr="00EB32C9" w:rsidTr="003C4364">
        <w:trPr>
          <w:trHeight w:val="270"/>
        </w:trPr>
        <w:tc>
          <w:tcPr>
            <w:tcW w:w="3827" w:type="dxa"/>
            <w:tcBorders>
              <w:top w:val="nil"/>
              <w:left w:val="single" w:sz="8" w:space="0" w:color="auto"/>
              <w:bottom w:val="single" w:sz="8" w:space="0" w:color="auto"/>
              <w:right w:val="single" w:sz="8" w:space="0" w:color="auto"/>
            </w:tcBorders>
            <w:shd w:val="clear" w:color="auto" w:fill="8DB3E2" w:themeFill="text2" w:themeFillTint="66"/>
            <w:vAlign w:val="center"/>
          </w:tcPr>
          <w:p w:rsidR="00FB1D09" w:rsidRPr="00EB32C9" w:rsidRDefault="00FB1D09" w:rsidP="00FB1D09">
            <w:pPr>
              <w:jc w:val="right"/>
              <w:rPr>
                <w:b/>
                <w:bCs/>
                <w:color w:val="000000"/>
                <w:sz w:val="22"/>
                <w:szCs w:val="22"/>
                <w:lang w:eastAsia="en-GB"/>
              </w:rPr>
            </w:pPr>
            <w:r w:rsidRPr="00EB32C9">
              <w:rPr>
                <w:b/>
                <w:bCs/>
                <w:color w:val="000000"/>
                <w:sz w:val="22"/>
                <w:szCs w:val="22"/>
                <w:lang w:eastAsia="en-GB"/>
              </w:rPr>
              <w:t xml:space="preserve">Total Traditional Non Pay </w:t>
            </w:r>
          </w:p>
        </w:tc>
        <w:tc>
          <w:tcPr>
            <w:tcW w:w="1300" w:type="dxa"/>
            <w:tcBorders>
              <w:top w:val="nil"/>
              <w:left w:val="nil"/>
              <w:bottom w:val="single" w:sz="8" w:space="0" w:color="auto"/>
              <w:right w:val="single" w:sz="8" w:space="0" w:color="auto"/>
            </w:tcBorders>
            <w:shd w:val="clear" w:color="auto" w:fill="8DB3E2" w:themeFill="text2" w:themeFillTint="66"/>
            <w:vAlign w:val="center"/>
          </w:tcPr>
          <w:p w:rsidR="00FB1D09" w:rsidRDefault="00FB1D09" w:rsidP="00FB1D09">
            <w:pPr>
              <w:jc w:val="right"/>
              <w:rPr>
                <w:b/>
                <w:bCs/>
                <w:sz w:val="20"/>
                <w:szCs w:val="20"/>
              </w:rPr>
            </w:pPr>
            <w:r>
              <w:rPr>
                <w:b/>
                <w:bCs/>
                <w:sz w:val="20"/>
                <w:szCs w:val="20"/>
              </w:rPr>
              <w:t>140,366</w:t>
            </w:r>
          </w:p>
        </w:tc>
        <w:tc>
          <w:tcPr>
            <w:tcW w:w="1276" w:type="dxa"/>
            <w:tcBorders>
              <w:top w:val="nil"/>
              <w:left w:val="nil"/>
              <w:bottom w:val="single" w:sz="8" w:space="0" w:color="auto"/>
              <w:right w:val="nil"/>
            </w:tcBorders>
            <w:shd w:val="clear" w:color="auto" w:fill="8DB3E2" w:themeFill="text2" w:themeFillTint="66"/>
            <w:vAlign w:val="center"/>
          </w:tcPr>
          <w:p w:rsidR="00FB1D09" w:rsidRDefault="00FB1D09" w:rsidP="00FB1D09">
            <w:pPr>
              <w:jc w:val="right"/>
              <w:rPr>
                <w:b/>
                <w:bCs/>
                <w:sz w:val="20"/>
                <w:szCs w:val="20"/>
              </w:rPr>
            </w:pPr>
            <w:r>
              <w:rPr>
                <w:b/>
                <w:bCs/>
                <w:sz w:val="20"/>
                <w:szCs w:val="20"/>
              </w:rPr>
              <w:t>765</w:t>
            </w:r>
          </w:p>
        </w:tc>
        <w:tc>
          <w:tcPr>
            <w:tcW w:w="1417" w:type="dxa"/>
            <w:tcBorders>
              <w:top w:val="nil"/>
              <w:left w:val="single" w:sz="4" w:space="0" w:color="auto"/>
              <w:bottom w:val="single" w:sz="8" w:space="0" w:color="auto"/>
              <w:right w:val="single" w:sz="4" w:space="0" w:color="auto"/>
            </w:tcBorders>
            <w:shd w:val="clear" w:color="auto" w:fill="8DB3E2" w:themeFill="text2" w:themeFillTint="66"/>
            <w:vAlign w:val="center"/>
          </w:tcPr>
          <w:p w:rsidR="00FB1D09" w:rsidRDefault="00FB1D09" w:rsidP="00FB1D09">
            <w:pPr>
              <w:jc w:val="right"/>
              <w:rPr>
                <w:b/>
                <w:bCs/>
                <w:sz w:val="20"/>
                <w:szCs w:val="20"/>
              </w:rPr>
            </w:pPr>
            <w:r>
              <w:rPr>
                <w:b/>
                <w:bCs/>
                <w:sz w:val="20"/>
                <w:szCs w:val="20"/>
              </w:rPr>
              <w:t>3,653</w:t>
            </w:r>
          </w:p>
        </w:tc>
        <w:tc>
          <w:tcPr>
            <w:tcW w:w="1843" w:type="dxa"/>
            <w:tcBorders>
              <w:top w:val="nil"/>
              <w:left w:val="nil"/>
              <w:bottom w:val="single" w:sz="8" w:space="0" w:color="auto"/>
              <w:right w:val="single" w:sz="8" w:space="0" w:color="auto"/>
            </w:tcBorders>
            <w:shd w:val="clear" w:color="auto" w:fill="8DB3E2" w:themeFill="text2" w:themeFillTint="66"/>
            <w:vAlign w:val="center"/>
          </w:tcPr>
          <w:p w:rsidR="00FB1D09" w:rsidRDefault="00FB1D09" w:rsidP="00FB1D09">
            <w:pPr>
              <w:jc w:val="right"/>
              <w:rPr>
                <w:b/>
                <w:bCs/>
                <w:color w:val="000000"/>
                <w:sz w:val="20"/>
                <w:szCs w:val="20"/>
              </w:rPr>
            </w:pPr>
            <w:r>
              <w:rPr>
                <w:b/>
                <w:bCs/>
                <w:color w:val="000000"/>
                <w:sz w:val="20"/>
                <w:szCs w:val="20"/>
              </w:rPr>
              <w:t>2.89%</w:t>
            </w:r>
          </w:p>
        </w:tc>
      </w:tr>
      <w:tr w:rsidR="00FB1D09" w:rsidRPr="00EB32C9" w:rsidTr="003C4364">
        <w:trPr>
          <w:trHeight w:val="270"/>
        </w:trPr>
        <w:tc>
          <w:tcPr>
            <w:tcW w:w="3827" w:type="dxa"/>
            <w:tcBorders>
              <w:top w:val="nil"/>
              <w:left w:val="single" w:sz="8" w:space="0" w:color="auto"/>
              <w:bottom w:val="single" w:sz="8" w:space="0" w:color="auto"/>
              <w:right w:val="single" w:sz="8" w:space="0" w:color="auto"/>
            </w:tcBorders>
            <w:shd w:val="clear" w:color="auto" w:fill="auto"/>
            <w:vAlign w:val="center"/>
          </w:tcPr>
          <w:p w:rsidR="00FB1D09" w:rsidRPr="00EB32C9" w:rsidRDefault="00FB1D09" w:rsidP="00FB1D09">
            <w:pPr>
              <w:jc w:val="both"/>
              <w:rPr>
                <w:color w:val="000000"/>
                <w:sz w:val="22"/>
                <w:szCs w:val="22"/>
                <w:lang w:eastAsia="en-GB"/>
              </w:rPr>
            </w:pPr>
            <w:r w:rsidRPr="00EB32C9">
              <w:rPr>
                <w:color w:val="000000"/>
                <w:sz w:val="22"/>
                <w:szCs w:val="22"/>
                <w:lang w:eastAsia="en-GB"/>
              </w:rPr>
              <w:t> </w:t>
            </w:r>
          </w:p>
        </w:tc>
        <w:tc>
          <w:tcPr>
            <w:tcW w:w="1300" w:type="dxa"/>
            <w:tcBorders>
              <w:top w:val="nil"/>
              <w:left w:val="nil"/>
              <w:bottom w:val="single" w:sz="8" w:space="0" w:color="auto"/>
              <w:right w:val="single" w:sz="8" w:space="0" w:color="auto"/>
            </w:tcBorders>
            <w:shd w:val="clear" w:color="auto" w:fill="auto"/>
            <w:vAlign w:val="center"/>
          </w:tcPr>
          <w:p w:rsidR="00FB1D09" w:rsidRDefault="00FB1D09" w:rsidP="00FB1D09">
            <w:pPr>
              <w:jc w:val="right"/>
              <w:rPr>
                <w:sz w:val="20"/>
                <w:szCs w:val="20"/>
              </w:rPr>
            </w:pPr>
            <w:r>
              <w:rPr>
                <w:sz w:val="20"/>
                <w:szCs w:val="20"/>
              </w:rPr>
              <w:t> </w:t>
            </w:r>
          </w:p>
        </w:tc>
        <w:tc>
          <w:tcPr>
            <w:tcW w:w="1276" w:type="dxa"/>
            <w:tcBorders>
              <w:top w:val="nil"/>
              <w:left w:val="nil"/>
              <w:bottom w:val="single" w:sz="8" w:space="0" w:color="auto"/>
              <w:right w:val="nil"/>
            </w:tcBorders>
            <w:shd w:val="clear" w:color="auto" w:fill="auto"/>
            <w:vAlign w:val="center"/>
          </w:tcPr>
          <w:p w:rsidR="00FB1D09" w:rsidRDefault="00FB1D09" w:rsidP="00FB1D09">
            <w:pPr>
              <w:jc w:val="right"/>
              <w:rPr>
                <w:sz w:val="20"/>
                <w:szCs w:val="20"/>
              </w:rPr>
            </w:pPr>
            <w:r>
              <w:rPr>
                <w:sz w:val="20"/>
                <w:szCs w:val="20"/>
              </w:rPr>
              <w:t> </w:t>
            </w:r>
          </w:p>
        </w:tc>
        <w:tc>
          <w:tcPr>
            <w:tcW w:w="1417" w:type="dxa"/>
            <w:tcBorders>
              <w:top w:val="nil"/>
              <w:left w:val="single" w:sz="4" w:space="0" w:color="auto"/>
              <w:bottom w:val="single" w:sz="8" w:space="0" w:color="auto"/>
              <w:right w:val="single" w:sz="4" w:space="0" w:color="auto"/>
            </w:tcBorders>
            <w:shd w:val="clear" w:color="auto" w:fill="auto"/>
            <w:vAlign w:val="center"/>
          </w:tcPr>
          <w:p w:rsidR="00FB1D09" w:rsidRDefault="00FB1D09" w:rsidP="00FB1D09">
            <w:pPr>
              <w:jc w:val="right"/>
              <w:rPr>
                <w:sz w:val="20"/>
                <w:szCs w:val="20"/>
              </w:rPr>
            </w:pPr>
            <w:r>
              <w:rPr>
                <w:sz w:val="20"/>
                <w:szCs w:val="20"/>
              </w:rPr>
              <w:t> </w:t>
            </w:r>
          </w:p>
        </w:tc>
        <w:tc>
          <w:tcPr>
            <w:tcW w:w="1843" w:type="dxa"/>
            <w:tcBorders>
              <w:top w:val="nil"/>
              <w:left w:val="nil"/>
              <w:bottom w:val="single" w:sz="8" w:space="0" w:color="auto"/>
              <w:right w:val="single" w:sz="8" w:space="0" w:color="auto"/>
            </w:tcBorders>
            <w:shd w:val="clear" w:color="auto" w:fill="auto"/>
            <w:vAlign w:val="center"/>
          </w:tcPr>
          <w:p w:rsidR="00FB1D09" w:rsidRDefault="00FB1D09" w:rsidP="00FB1D09">
            <w:pPr>
              <w:jc w:val="right"/>
              <w:rPr>
                <w:b/>
                <w:bCs/>
                <w:color w:val="000000"/>
                <w:sz w:val="20"/>
                <w:szCs w:val="20"/>
              </w:rPr>
            </w:pPr>
            <w:r>
              <w:rPr>
                <w:b/>
                <w:bCs/>
                <w:color w:val="000000"/>
                <w:sz w:val="20"/>
                <w:szCs w:val="20"/>
              </w:rPr>
              <w:t> </w:t>
            </w:r>
          </w:p>
        </w:tc>
      </w:tr>
      <w:tr w:rsidR="00FB1D09" w:rsidRPr="008075AF" w:rsidTr="003C4364">
        <w:trPr>
          <w:trHeight w:val="270"/>
        </w:trPr>
        <w:tc>
          <w:tcPr>
            <w:tcW w:w="3827" w:type="dxa"/>
            <w:tcBorders>
              <w:top w:val="nil"/>
              <w:left w:val="single" w:sz="8" w:space="0" w:color="auto"/>
              <w:bottom w:val="single" w:sz="8" w:space="0" w:color="auto"/>
              <w:right w:val="single" w:sz="8" w:space="0" w:color="auto"/>
            </w:tcBorders>
            <w:shd w:val="clear" w:color="auto" w:fill="8DB3E2" w:themeFill="text2" w:themeFillTint="66"/>
            <w:vAlign w:val="center"/>
          </w:tcPr>
          <w:p w:rsidR="00FB1D09" w:rsidRPr="00EB32C9" w:rsidRDefault="00FB1D09" w:rsidP="00FB1D09">
            <w:pPr>
              <w:jc w:val="right"/>
              <w:rPr>
                <w:b/>
                <w:bCs/>
                <w:color w:val="000000"/>
                <w:sz w:val="22"/>
                <w:szCs w:val="22"/>
                <w:lang w:eastAsia="en-GB"/>
              </w:rPr>
            </w:pPr>
            <w:r w:rsidRPr="00EB32C9">
              <w:rPr>
                <w:b/>
                <w:bCs/>
                <w:color w:val="000000"/>
                <w:sz w:val="22"/>
                <w:szCs w:val="22"/>
                <w:lang w:eastAsia="en-GB"/>
              </w:rPr>
              <w:t>GRAND TOTAL</w:t>
            </w:r>
          </w:p>
        </w:tc>
        <w:tc>
          <w:tcPr>
            <w:tcW w:w="1300" w:type="dxa"/>
            <w:tcBorders>
              <w:top w:val="nil"/>
              <w:left w:val="nil"/>
              <w:bottom w:val="single" w:sz="8" w:space="0" w:color="auto"/>
              <w:right w:val="single" w:sz="8" w:space="0" w:color="auto"/>
            </w:tcBorders>
            <w:shd w:val="clear" w:color="auto" w:fill="8DB3E2" w:themeFill="text2" w:themeFillTint="66"/>
            <w:vAlign w:val="center"/>
          </w:tcPr>
          <w:p w:rsidR="00FB1D09" w:rsidRDefault="00FB1D09" w:rsidP="00FB1D09">
            <w:pPr>
              <w:jc w:val="right"/>
              <w:rPr>
                <w:b/>
                <w:bCs/>
                <w:sz w:val="20"/>
                <w:szCs w:val="20"/>
              </w:rPr>
            </w:pPr>
            <w:r>
              <w:rPr>
                <w:b/>
                <w:bCs/>
                <w:sz w:val="20"/>
                <w:szCs w:val="20"/>
              </w:rPr>
              <w:t>626,430</w:t>
            </w:r>
          </w:p>
        </w:tc>
        <w:tc>
          <w:tcPr>
            <w:tcW w:w="1276" w:type="dxa"/>
            <w:tcBorders>
              <w:top w:val="nil"/>
              <w:left w:val="nil"/>
              <w:bottom w:val="single" w:sz="8" w:space="0" w:color="auto"/>
              <w:right w:val="nil"/>
            </w:tcBorders>
            <w:shd w:val="clear" w:color="auto" w:fill="8DB3E2" w:themeFill="text2" w:themeFillTint="66"/>
            <w:vAlign w:val="center"/>
          </w:tcPr>
          <w:p w:rsidR="00FB1D09" w:rsidRDefault="00FB1D09" w:rsidP="00FB1D09">
            <w:pPr>
              <w:jc w:val="right"/>
              <w:rPr>
                <w:b/>
                <w:bCs/>
                <w:sz w:val="20"/>
                <w:szCs w:val="20"/>
              </w:rPr>
            </w:pPr>
            <w:r>
              <w:rPr>
                <w:b/>
                <w:bCs/>
                <w:sz w:val="20"/>
                <w:szCs w:val="20"/>
              </w:rPr>
              <w:t>1,548</w:t>
            </w:r>
          </w:p>
        </w:tc>
        <w:tc>
          <w:tcPr>
            <w:tcW w:w="1417" w:type="dxa"/>
            <w:tcBorders>
              <w:top w:val="nil"/>
              <w:left w:val="single" w:sz="4" w:space="0" w:color="auto"/>
              <w:bottom w:val="single" w:sz="8" w:space="0" w:color="auto"/>
              <w:right w:val="single" w:sz="4" w:space="0" w:color="auto"/>
            </w:tcBorders>
            <w:shd w:val="clear" w:color="auto" w:fill="8DB3E2" w:themeFill="text2" w:themeFillTint="66"/>
            <w:vAlign w:val="center"/>
          </w:tcPr>
          <w:p w:rsidR="00FB1D09" w:rsidRDefault="00FB1D09" w:rsidP="00FB1D09">
            <w:pPr>
              <w:jc w:val="right"/>
              <w:rPr>
                <w:b/>
                <w:bCs/>
                <w:sz w:val="20"/>
                <w:szCs w:val="20"/>
              </w:rPr>
            </w:pPr>
            <w:r>
              <w:rPr>
                <w:b/>
                <w:bCs/>
                <w:sz w:val="20"/>
                <w:szCs w:val="20"/>
              </w:rPr>
              <w:t>5,073</w:t>
            </w:r>
          </w:p>
        </w:tc>
        <w:tc>
          <w:tcPr>
            <w:tcW w:w="1843" w:type="dxa"/>
            <w:tcBorders>
              <w:top w:val="nil"/>
              <w:left w:val="nil"/>
              <w:bottom w:val="single" w:sz="8" w:space="0" w:color="auto"/>
              <w:right w:val="single" w:sz="8" w:space="0" w:color="auto"/>
            </w:tcBorders>
            <w:shd w:val="clear" w:color="auto" w:fill="8DB3E2" w:themeFill="text2" w:themeFillTint="66"/>
            <w:vAlign w:val="center"/>
          </w:tcPr>
          <w:p w:rsidR="00FB1D09" w:rsidRDefault="00FB1D09" w:rsidP="00FB1D09">
            <w:pPr>
              <w:jc w:val="right"/>
              <w:rPr>
                <w:b/>
                <w:bCs/>
                <w:color w:val="000000"/>
                <w:sz w:val="20"/>
                <w:szCs w:val="20"/>
              </w:rPr>
            </w:pPr>
            <w:r>
              <w:rPr>
                <w:b/>
                <w:bCs/>
                <w:color w:val="000000"/>
                <w:sz w:val="20"/>
                <w:szCs w:val="20"/>
              </w:rPr>
              <w:t>0.89%</w:t>
            </w:r>
          </w:p>
        </w:tc>
      </w:tr>
    </w:tbl>
    <w:p w:rsidR="0054713E" w:rsidRPr="0093751E" w:rsidRDefault="0054713E" w:rsidP="0054713E">
      <w:pPr>
        <w:ind w:firstLine="720"/>
        <w:jc w:val="both"/>
        <w:rPr>
          <w:b/>
          <w:sz w:val="24"/>
        </w:rPr>
      </w:pPr>
      <w:r w:rsidRPr="0093751E">
        <w:rPr>
          <w:b/>
          <w:sz w:val="24"/>
        </w:rPr>
        <w:t xml:space="preserve">Performance by Division </w:t>
      </w:r>
    </w:p>
    <w:p w:rsidR="0054713E" w:rsidRPr="0093751E" w:rsidRDefault="0054713E" w:rsidP="0054713E">
      <w:pPr>
        <w:jc w:val="both"/>
        <w:rPr>
          <w:b/>
          <w:sz w:val="8"/>
          <w:szCs w:val="20"/>
          <w:u w:val="single"/>
        </w:rPr>
      </w:pPr>
    </w:p>
    <w:tbl>
      <w:tblPr>
        <w:tblW w:w="14718" w:type="dxa"/>
        <w:jc w:val="center"/>
        <w:tblLayout w:type="fixed"/>
        <w:tblLook w:val="04A0" w:firstRow="1" w:lastRow="0" w:firstColumn="1" w:lastColumn="0" w:noHBand="0" w:noVBand="1"/>
      </w:tblPr>
      <w:tblGrid>
        <w:gridCol w:w="3387"/>
        <w:gridCol w:w="1767"/>
        <w:gridCol w:w="1756"/>
        <w:gridCol w:w="2209"/>
        <w:gridCol w:w="1780"/>
        <w:gridCol w:w="3819"/>
      </w:tblGrid>
      <w:tr w:rsidR="0054713E" w:rsidRPr="0093751E" w:rsidTr="003C4364">
        <w:trPr>
          <w:trHeight w:val="273"/>
          <w:jc w:val="center"/>
        </w:trPr>
        <w:tc>
          <w:tcPr>
            <w:tcW w:w="3387" w:type="dxa"/>
            <w:vMerge w:val="restart"/>
            <w:tcBorders>
              <w:top w:val="single" w:sz="8" w:space="0" w:color="auto"/>
              <w:left w:val="single" w:sz="8" w:space="0" w:color="auto"/>
              <w:bottom w:val="nil"/>
              <w:right w:val="single" w:sz="8" w:space="0" w:color="auto"/>
            </w:tcBorders>
            <w:shd w:val="clear" w:color="auto" w:fill="auto"/>
            <w:hideMark/>
          </w:tcPr>
          <w:p w:rsidR="0054713E" w:rsidRPr="0093751E" w:rsidRDefault="0054713E" w:rsidP="003C4364">
            <w:pPr>
              <w:rPr>
                <w:b/>
                <w:bCs/>
                <w:color w:val="000000"/>
                <w:sz w:val="20"/>
                <w:szCs w:val="20"/>
                <w:lang w:eastAsia="en-GB"/>
              </w:rPr>
            </w:pPr>
          </w:p>
        </w:tc>
        <w:tc>
          <w:tcPr>
            <w:tcW w:w="1767" w:type="dxa"/>
            <w:vMerge w:val="restart"/>
            <w:tcBorders>
              <w:top w:val="single" w:sz="8" w:space="0" w:color="auto"/>
              <w:left w:val="nil"/>
              <w:right w:val="single" w:sz="8" w:space="0" w:color="auto"/>
            </w:tcBorders>
            <w:shd w:val="clear" w:color="auto" w:fill="auto"/>
            <w:vAlign w:val="center"/>
            <w:hideMark/>
          </w:tcPr>
          <w:p w:rsidR="0054713E" w:rsidRPr="0093751E" w:rsidRDefault="0054713E" w:rsidP="003C4364">
            <w:pPr>
              <w:jc w:val="center"/>
              <w:rPr>
                <w:b/>
                <w:bCs/>
                <w:color w:val="000000"/>
                <w:sz w:val="20"/>
                <w:szCs w:val="20"/>
                <w:lang w:eastAsia="en-GB"/>
              </w:rPr>
            </w:pPr>
            <w:r w:rsidRPr="0093751E">
              <w:rPr>
                <w:b/>
                <w:bCs/>
                <w:color w:val="000000"/>
                <w:sz w:val="20"/>
                <w:szCs w:val="20"/>
                <w:lang w:eastAsia="en-GB"/>
              </w:rPr>
              <w:t> </w:t>
            </w:r>
          </w:p>
          <w:p w:rsidR="0054713E" w:rsidRPr="0093751E" w:rsidRDefault="0054713E" w:rsidP="003C4364">
            <w:pPr>
              <w:jc w:val="center"/>
              <w:rPr>
                <w:b/>
                <w:bCs/>
                <w:color w:val="000000"/>
                <w:sz w:val="20"/>
                <w:szCs w:val="20"/>
                <w:lang w:eastAsia="en-GB"/>
              </w:rPr>
            </w:pPr>
            <w:r w:rsidRPr="0093751E">
              <w:rPr>
                <w:color w:val="000000"/>
                <w:sz w:val="20"/>
                <w:szCs w:val="20"/>
                <w:lang w:eastAsia="en-GB"/>
              </w:rPr>
              <w:t>Annual Budget</w:t>
            </w:r>
          </w:p>
        </w:tc>
        <w:tc>
          <w:tcPr>
            <w:tcW w:w="5745" w:type="dxa"/>
            <w:gridSpan w:val="3"/>
            <w:tcBorders>
              <w:top w:val="single" w:sz="8" w:space="0" w:color="auto"/>
              <w:left w:val="nil"/>
              <w:bottom w:val="single" w:sz="8" w:space="0" w:color="auto"/>
              <w:right w:val="single" w:sz="4" w:space="0" w:color="auto"/>
            </w:tcBorders>
            <w:shd w:val="clear" w:color="auto" w:fill="auto"/>
            <w:vAlign w:val="center"/>
            <w:hideMark/>
          </w:tcPr>
          <w:p w:rsidR="0054713E" w:rsidRPr="0093751E" w:rsidRDefault="0054713E" w:rsidP="003C4364">
            <w:pPr>
              <w:jc w:val="center"/>
              <w:rPr>
                <w:b/>
                <w:bCs/>
                <w:color w:val="000000"/>
                <w:sz w:val="20"/>
                <w:szCs w:val="20"/>
                <w:lang w:eastAsia="en-GB"/>
              </w:rPr>
            </w:pPr>
            <w:r w:rsidRPr="0093751E">
              <w:rPr>
                <w:b/>
                <w:bCs/>
                <w:color w:val="000000"/>
                <w:sz w:val="20"/>
                <w:szCs w:val="20"/>
                <w:lang w:eastAsia="en-GB"/>
              </w:rPr>
              <w:t>In Month</w:t>
            </w:r>
          </w:p>
        </w:tc>
        <w:tc>
          <w:tcPr>
            <w:tcW w:w="381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4713E" w:rsidRPr="0093751E" w:rsidRDefault="0054713E" w:rsidP="003C4364">
            <w:pPr>
              <w:jc w:val="center"/>
              <w:rPr>
                <w:b/>
                <w:bCs/>
                <w:color w:val="000000"/>
                <w:sz w:val="20"/>
                <w:szCs w:val="20"/>
                <w:lang w:eastAsia="en-GB"/>
              </w:rPr>
            </w:pPr>
            <w:r w:rsidRPr="0093751E">
              <w:rPr>
                <w:b/>
                <w:bCs/>
                <w:color w:val="000000"/>
                <w:sz w:val="20"/>
                <w:szCs w:val="20"/>
                <w:lang w:eastAsia="en-GB"/>
              </w:rPr>
              <w:t>Year to Date</w:t>
            </w:r>
          </w:p>
        </w:tc>
      </w:tr>
      <w:tr w:rsidR="0054713E" w:rsidRPr="0093751E" w:rsidTr="003C4364">
        <w:trPr>
          <w:trHeight w:val="273"/>
          <w:jc w:val="center"/>
        </w:trPr>
        <w:tc>
          <w:tcPr>
            <w:tcW w:w="3387" w:type="dxa"/>
            <w:vMerge/>
            <w:tcBorders>
              <w:top w:val="single" w:sz="8" w:space="0" w:color="auto"/>
              <w:left w:val="single" w:sz="8" w:space="0" w:color="auto"/>
              <w:bottom w:val="nil"/>
              <w:right w:val="single" w:sz="8" w:space="0" w:color="auto"/>
            </w:tcBorders>
            <w:shd w:val="clear" w:color="auto" w:fill="auto"/>
          </w:tcPr>
          <w:p w:rsidR="0054713E" w:rsidRPr="0093751E" w:rsidRDefault="0054713E" w:rsidP="003C4364">
            <w:pPr>
              <w:rPr>
                <w:b/>
                <w:bCs/>
                <w:color w:val="000000"/>
                <w:sz w:val="20"/>
                <w:szCs w:val="20"/>
                <w:lang w:eastAsia="en-GB"/>
              </w:rPr>
            </w:pPr>
          </w:p>
        </w:tc>
        <w:tc>
          <w:tcPr>
            <w:tcW w:w="1767" w:type="dxa"/>
            <w:vMerge/>
            <w:tcBorders>
              <w:left w:val="nil"/>
              <w:right w:val="single" w:sz="8" w:space="0" w:color="auto"/>
            </w:tcBorders>
            <w:shd w:val="clear" w:color="auto" w:fill="auto"/>
            <w:vAlign w:val="center"/>
          </w:tcPr>
          <w:p w:rsidR="0054713E" w:rsidRPr="0093751E" w:rsidRDefault="0054713E" w:rsidP="003C4364">
            <w:pPr>
              <w:jc w:val="center"/>
              <w:rPr>
                <w:b/>
                <w:bCs/>
                <w:color w:val="000000"/>
                <w:sz w:val="20"/>
                <w:szCs w:val="20"/>
                <w:lang w:eastAsia="en-GB"/>
              </w:rPr>
            </w:pPr>
          </w:p>
        </w:tc>
        <w:tc>
          <w:tcPr>
            <w:tcW w:w="5745" w:type="dxa"/>
            <w:gridSpan w:val="3"/>
            <w:tcBorders>
              <w:top w:val="single" w:sz="8" w:space="0" w:color="auto"/>
              <w:left w:val="nil"/>
              <w:bottom w:val="single" w:sz="8" w:space="0" w:color="auto"/>
              <w:right w:val="single" w:sz="4" w:space="0" w:color="auto"/>
            </w:tcBorders>
            <w:shd w:val="clear" w:color="auto" w:fill="auto"/>
            <w:vAlign w:val="center"/>
          </w:tcPr>
          <w:p w:rsidR="0054713E" w:rsidRPr="0093751E" w:rsidRDefault="0054713E" w:rsidP="003C4364">
            <w:pPr>
              <w:jc w:val="center"/>
              <w:rPr>
                <w:b/>
                <w:bCs/>
                <w:color w:val="000000"/>
                <w:sz w:val="20"/>
                <w:szCs w:val="20"/>
                <w:lang w:val="en-US"/>
              </w:rPr>
            </w:pPr>
            <w:r w:rsidRPr="0093751E">
              <w:rPr>
                <w:b/>
                <w:bCs/>
                <w:color w:val="000000"/>
                <w:sz w:val="20"/>
                <w:szCs w:val="20"/>
                <w:lang w:val="en-US"/>
              </w:rPr>
              <w:t>Over/(Under) Spend</w:t>
            </w:r>
          </w:p>
        </w:tc>
        <w:tc>
          <w:tcPr>
            <w:tcW w:w="3819" w:type="dxa"/>
            <w:tcBorders>
              <w:top w:val="single" w:sz="4" w:space="0" w:color="auto"/>
              <w:left w:val="single" w:sz="4" w:space="0" w:color="auto"/>
              <w:bottom w:val="single" w:sz="4" w:space="0" w:color="auto"/>
              <w:right w:val="single" w:sz="4" w:space="0" w:color="auto"/>
            </w:tcBorders>
            <w:shd w:val="clear" w:color="auto" w:fill="auto"/>
            <w:vAlign w:val="center"/>
          </w:tcPr>
          <w:p w:rsidR="0054713E" w:rsidRPr="0093751E" w:rsidRDefault="0054713E" w:rsidP="003C4364">
            <w:pPr>
              <w:jc w:val="center"/>
              <w:rPr>
                <w:b/>
                <w:bCs/>
                <w:color w:val="000000"/>
                <w:sz w:val="20"/>
                <w:szCs w:val="20"/>
                <w:lang w:val="en-US"/>
              </w:rPr>
            </w:pPr>
            <w:r w:rsidRPr="0093751E">
              <w:rPr>
                <w:b/>
                <w:bCs/>
                <w:color w:val="000000"/>
                <w:sz w:val="20"/>
                <w:szCs w:val="20"/>
                <w:lang w:val="en-US"/>
              </w:rPr>
              <w:t>Over/(Under) Spend</w:t>
            </w:r>
          </w:p>
        </w:tc>
      </w:tr>
      <w:tr w:rsidR="0054713E" w:rsidRPr="0093751E" w:rsidTr="003C4364">
        <w:trPr>
          <w:trHeight w:val="411"/>
          <w:jc w:val="center"/>
        </w:trPr>
        <w:tc>
          <w:tcPr>
            <w:tcW w:w="3387" w:type="dxa"/>
            <w:vMerge/>
            <w:tcBorders>
              <w:top w:val="single" w:sz="8" w:space="0" w:color="auto"/>
              <w:left w:val="single" w:sz="8" w:space="0" w:color="auto"/>
              <w:bottom w:val="nil"/>
              <w:right w:val="single" w:sz="8" w:space="0" w:color="auto"/>
            </w:tcBorders>
            <w:vAlign w:val="center"/>
            <w:hideMark/>
          </w:tcPr>
          <w:p w:rsidR="0054713E" w:rsidRPr="0093751E" w:rsidRDefault="0054713E" w:rsidP="003C4364">
            <w:pPr>
              <w:rPr>
                <w:b/>
                <w:bCs/>
                <w:color w:val="000000"/>
                <w:sz w:val="20"/>
                <w:szCs w:val="20"/>
                <w:lang w:eastAsia="en-GB"/>
              </w:rPr>
            </w:pPr>
          </w:p>
        </w:tc>
        <w:tc>
          <w:tcPr>
            <w:tcW w:w="1767" w:type="dxa"/>
            <w:vMerge/>
            <w:tcBorders>
              <w:left w:val="nil"/>
              <w:bottom w:val="single" w:sz="4" w:space="0" w:color="auto"/>
              <w:right w:val="single" w:sz="8" w:space="0" w:color="auto"/>
            </w:tcBorders>
            <w:shd w:val="clear" w:color="auto" w:fill="auto"/>
            <w:vAlign w:val="center"/>
            <w:hideMark/>
          </w:tcPr>
          <w:p w:rsidR="0054713E" w:rsidRPr="0093751E" w:rsidRDefault="0054713E" w:rsidP="003C4364">
            <w:pPr>
              <w:jc w:val="center"/>
              <w:rPr>
                <w:color w:val="000000"/>
                <w:sz w:val="20"/>
                <w:szCs w:val="20"/>
                <w:lang w:eastAsia="en-GB"/>
              </w:rPr>
            </w:pPr>
          </w:p>
        </w:tc>
        <w:tc>
          <w:tcPr>
            <w:tcW w:w="1756" w:type="dxa"/>
            <w:tcBorders>
              <w:top w:val="nil"/>
              <w:left w:val="nil"/>
              <w:bottom w:val="single" w:sz="4" w:space="0" w:color="auto"/>
              <w:right w:val="nil"/>
            </w:tcBorders>
            <w:shd w:val="clear" w:color="auto" w:fill="auto"/>
            <w:vAlign w:val="center"/>
            <w:hideMark/>
          </w:tcPr>
          <w:p w:rsidR="0054713E" w:rsidRPr="0093751E" w:rsidRDefault="0054713E" w:rsidP="003C4364">
            <w:pPr>
              <w:jc w:val="center"/>
              <w:rPr>
                <w:color w:val="000000"/>
                <w:sz w:val="20"/>
                <w:szCs w:val="20"/>
                <w:lang w:eastAsia="en-GB"/>
              </w:rPr>
            </w:pPr>
            <w:r w:rsidRPr="0093751E">
              <w:rPr>
                <w:color w:val="000000"/>
                <w:sz w:val="20"/>
                <w:szCs w:val="20"/>
                <w:lang w:eastAsia="en-GB"/>
              </w:rPr>
              <w:t>Last Month</w:t>
            </w:r>
          </w:p>
        </w:tc>
        <w:tc>
          <w:tcPr>
            <w:tcW w:w="220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4713E" w:rsidRPr="0093751E" w:rsidRDefault="0054713E" w:rsidP="003C4364">
            <w:pPr>
              <w:jc w:val="center"/>
              <w:rPr>
                <w:color w:val="000000"/>
                <w:sz w:val="20"/>
                <w:szCs w:val="20"/>
                <w:lang w:eastAsia="en-GB"/>
              </w:rPr>
            </w:pPr>
            <w:r w:rsidRPr="0093751E">
              <w:rPr>
                <w:color w:val="000000"/>
                <w:sz w:val="20"/>
                <w:szCs w:val="20"/>
                <w:lang w:eastAsia="en-GB"/>
              </w:rPr>
              <w:t>Current Month</w:t>
            </w:r>
          </w:p>
        </w:tc>
        <w:tc>
          <w:tcPr>
            <w:tcW w:w="17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4713E" w:rsidRPr="0093751E" w:rsidRDefault="0054713E" w:rsidP="003C4364">
            <w:pPr>
              <w:jc w:val="center"/>
              <w:rPr>
                <w:color w:val="000000"/>
                <w:sz w:val="20"/>
                <w:szCs w:val="20"/>
                <w:lang w:eastAsia="en-GB"/>
              </w:rPr>
            </w:pPr>
            <w:r w:rsidRPr="0093751E">
              <w:rPr>
                <w:color w:val="000000"/>
                <w:sz w:val="20"/>
                <w:szCs w:val="20"/>
                <w:lang w:eastAsia="en-GB"/>
              </w:rPr>
              <w:t xml:space="preserve">Change </w:t>
            </w:r>
          </w:p>
        </w:tc>
        <w:tc>
          <w:tcPr>
            <w:tcW w:w="381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4713E" w:rsidRPr="0093751E" w:rsidRDefault="0054713E" w:rsidP="003C4364">
            <w:pPr>
              <w:jc w:val="center"/>
              <w:rPr>
                <w:color w:val="000000"/>
                <w:sz w:val="20"/>
                <w:szCs w:val="20"/>
                <w:lang w:eastAsia="en-GB"/>
              </w:rPr>
            </w:pPr>
            <w:r w:rsidRPr="0093751E">
              <w:rPr>
                <w:color w:val="000000"/>
                <w:sz w:val="20"/>
                <w:szCs w:val="20"/>
                <w:lang w:eastAsia="en-GB"/>
              </w:rPr>
              <w:t>Current Month</w:t>
            </w:r>
          </w:p>
        </w:tc>
      </w:tr>
      <w:tr w:rsidR="0054713E" w:rsidRPr="0093751E" w:rsidTr="003C4364">
        <w:trPr>
          <w:trHeight w:val="273"/>
          <w:jc w:val="center"/>
        </w:trPr>
        <w:tc>
          <w:tcPr>
            <w:tcW w:w="3387" w:type="dxa"/>
            <w:tcBorders>
              <w:top w:val="nil"/>
              <w:left w:val="single" w:sz="8" w:space="0" w:color="auto"/>
              <w:bottom w:val="single" w:sz="8" w:space="0" w:color="auto"/>
              <w:right w:val="single" w:sz="4" w:space="0" w:color="auto"/>
            </w:tcBorders>
            <w:shd w:val="clear" w:color="auto" w:fill="auto"/>
            <w:vAlign w:val="center"/>
            <w:hideMark/>
          </w:tcPr>
          <w:p w:rsidR="0054713E" w:rsidRPr="0093751E" w:rsidRDefault="0054713E" w:rsidP="003C4364">
            <w:pPr>
              <w:jc w:val="center"/>
              <w:rPr>
                <w:color w:val="000000"/>
                <w:sz w:val="20"/>
                <w:szCs w:val="20"/>
                <w:lang w:eastAsia="en-GB"/>
              </w:rPr>
            </w:pPr>
            <w:r w:rsidRPr="0093751E">
              <w:rPr>
                <w:color w:val="000000"/>
                <w:sz w:val="20"/>
                <w:szCs w:val="20"/>
                <w:lang w:eastAsia="en-GB"/>
              </w:rPr>
              <w:t> </w:t>
            </w:r>
          </w:p>
        </w:tc>
        <w:tc>
          <w:tcPr>
            <w:tcW w:w="176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4713E" w:rsidRPr="0093751E" w:rsidRDefault="0054713E" w:rsidP="003C4364">
            <w:pPr>
              <w:jc w:val="center"/>
              <w:rPr>
                <w:color w:val="000000"/>
                <w:sz w:val="20"/>
                <w:szCs w:val="20"/>
                <w:lang w:eastAsia="en-GB"/>
              </w:rPr>
            </w:pPr>
            <w:r w:rsidRPr="0093751E">
              <w:rPr>
                <w:color w:val="000000"/>
                <w:sz w:val="20"/>
                <w:szCs w:val="20"/>
                <w:lang w:eastAsia="en-GB"/>
              </w:rPr>
              <w:t>£'000</w:t>
            </w:r>
          </w:p>
        </w:tc>
        <w:tc>
          <w:tcPr>
            <w:tcW w:w="1756" w:type="dxa"/>
            <w:tcBorders>
              <w:top w:val="single" w:sz="4" w:space="0" w:color="auto"/>
              <w:left w:val="single" w:sz="4" w:space="0" w:color="auto"/>
              <w:bottom w:val="single" w:sz="4" w:space="0" w:color="auto"/>
              <w:right w:val="nil"/>
            </w:tcBorders>
            <w:shd w:val="clear" w:color="auto" w:fill="auto"/>
            <w:vAlign w:val="center"/>
            <w:hideMark/>
          </w:tcPr>
          <w:p w:rsidR="0054713E" w:rsidRPr="0093751E" w:rsidRDefault="0054713E" w:rsidP="003C4364">
            <w:pPr>
              <w:jc w:val="center"/>
              <w:rPr>
                <w:color w:val="000000"/>
                <w:sz w:val="20"/>
                <w:szCs w:val="20"/>
                <w:lang w:eastAsia="en-GB"/>
              </w:rPr>
            </w:pPr>
            <w:r w:rsidRPr="0093751E">
              <w:rPr>
                <w:color w:val="000000"/>
                <w:sz w:val="20"/>
                <w:szCs w:val="20"/>
                <w:lang w:eastAsia="en-GB"/>
              </w:rPr>
              <w:t>£'000</w:t>
            </w:r>
          </w:p>
        </w:tc>
        <w:tc>
          <w:tcPr>
            <w:tcW w:w="220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4713E" w:rsidRPr="0093751E" w:rsidRDefault="0054713E" w:rsidP="003C4364">
            <w:pPr>
              <w:jc w:val="center"/>
              <w:rPr>
                <w:color w:val="000000"/>
                <w:sz w:val="20"/>
                <w:szCs w:val="20"/>
                <w:lang w:eastAsia="en-GB"/>
              </w:rPr>
            </w:pPr>
            <w:r w:rsidRPr="0093751E">
              <w:rPr>
                <w:color w:val="000000"/>
                <w:sz w:val="20"/>
                <w:szCs w:val="20"/>
                <w:lang w:eastAsia="en-GB"/>
              </w:rPr>
              <w:t>£'000</w:t>
            </w:r>
          </w:p>
        </w:tc>
        <w:tc>
          <w:tcPr>
            <w:tcW w:w="17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4713E" w:rsidRPr="0093751E" w:rsidRDefault="0054713E" w:rsidP="003C4364">
            <w:pPr>
              <w:jc w:val="center"/>
              <w:rPr>
                <w:color w:val="000000"/>
                <w:sz w:val="20"/>
                <w:szCs w:val="20"/>
                <w:lang w:eastAsia="en-GB"/>
              </w:rPr>
            </w:pPr>
            <w:r w:rsidRPr="0093751E">
              <w:rPr>
                <w:color w:val="000000"/>
                <w:sz w:val="20"/>
                <w:szCs w:val="20"/>
                <w:lang w:eastAsia="en-GB"/>
              </w:rPr>
              <w:t>£'000</w:t>
            </w:r>
          </w:p>
        </w:tc>
        <w:tc>
          <w:tcPr>
            <w:tcW w:w="381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4713E" w:rsidRPr="0093751E" w:rsidRDefault="0054713E" w:rsidP="003C4364">
            <w:pPr>
              <w:jc w:val="center"/>
              <w:rPr>
                <w:color w:val="000000"/>
                <w:sz w:val="20"/>
                <w:szCs w:val="20"/>
                <w:lang w:eastAsia="en-GB"/>
              </w:rPr>
            </w:pPr>
            <w:r w:rsidRPr="0093751E">
              <w:rPr>
                <w:color w:val="000000"/>
                <w:sz w:val="20"/>
                <w:szCs w:val="20"/>
                <w:lang w:eastAsia="en-GB"/>
              </w:rPr>
              <w:t>£'000</w:t>
            </w:r>
          </w:p>
        </w:tc>
      </w:tr>
      <w:tr w:rsidR="0054713E" w:rsidRPr="0093751E" w:rsidTr="003C4364">
        <w:trPr>
          <w:trHeight w:val="257"/>
          <w:jc w:val="center"/>
        </w:trPr>
        <w:tc>
          <w:tcPr>
            <w:tcW w:w="3387" w:type="dxa"/>
            <w:tcBorders>
              <w:top w:val="nil"/>
              <w:left w:val="single" w:sz="8" w:space="0" w:color="auto"/>
              <w:bottom w:val="single" w:sz="4" w:space="0" w:color="auto"/>
              <w:right w:val="single" w:sz="8" w:space="0" w:color="auto"/>
            </w:tcBorders>
            <w:shd w:val="clear" w:color="auto" w:fill="auto"/>
            <w:vAlign w:val="center"/>
            <w:hideMark/>
          </w:tcPr>
          <w:p w:rsidR="0054713E" w:rsidRPr="0093751E" w:rsidRDefault="0054713E" w:rsidP="003C4364">
            <w:pPr>
              <w:jc w:val="both"/>
              <w:rPr>
                <w:b/>
                <w:bCs/>
                <w:color w:val="000000"/>
                <w:sz w:val="20"/>
                <w:szCs w:val="20"/>
                <w:lang w:eastAsia="en-GB"/>
              </w:rPr>
            </w:pPr>
            <w:r w:rsidRPr="0093751E">
              <w:rPr>
                <w:b/>
                <w:bCs/>
                <w:color w:val="000000"/>
                <w:sz w:val="20"/>
                <w:szCs w:val="20"/>
                <w:lang w:eastAsia="en-GB"/>
              </w:rPr>
              <w:t>Chief Operating Officer:</w:t>
            </w:r>
          </w:p>
        </w:tc>
        <w:tc>
          <w:tcPr>
            <w:tcW w:w="1767" w:type="dxa"/>
            <w:tcBorders>
              <w:top w:val="single" w:sz="4" w:space="0" w:color="auto"/>
              <w:left w:val="nil"/>
              <w:bottom w:val="single" w:sz="4" w:space="0" w:color="auto"/>
              <w:right w:val="single" w:sz="8" w:space="0" w:color="auto"/>
            </w:tcBorders>
            <w:shd w:val="clear" w:color="auto" w:fill="auto"/>
            <w:vAlign w:val="center"/>
            <w:hideMark/>
          </w:tcPr>
          <w:p w:rsidR="0054713E" w:rsidRPr="0093751E" w:rsidRDefault="0054713E" w:rsidP="003C4364">
            <w:pPr>
              <w:jc w:val="right"/>
              <w:rPr>
                <w:b/>
                <w:bCs/>
                <w:color w:val="000000"/>
                <w:sz w:val="20"/>
                <w:szCs w:val="20"/>
                <w:lang w:eastAsia="en-GB"/>
              </w:rPr>
            </w:pPr>
            <w:r w:rsidRPr="0093751E">
              <w:rPr>
                <w:b/>
                <w:bCs/>
                <w:color w:val="000000"/>
                <w:sz w:val="20"/>
                <w:szCs w:val="20"/>
                <w:lang w:eastAsia="en-GB"/>
              </w:rPr>
              <w:t> </w:t>
            </w:r>
          </w:p>
        </w:tc>
        <w:tc>
          <w:tcPr>
            <w:tcW w:w="1756" w:type="dxa"/>
            <w:tcBorders>
              <w:top w:val="single" w:sz="4" w:space="0" w:color="auto"/>
              <w:left w:val="nil"/>
              <w:bottom w:val="single" w:sz="4" w:space="0" w:color="auto"/>
              <w:right w:val="nil"/>
            </w:tcBorders>
            <w:shd w:val="clear" w:color="auto" w:fill="auto"/>
            <w:vAlign w:val="center"/>
            <w:hideMark/>
          </w:tcPr>
          <w:p w:rsidR="0054713E" w:rsidRPr="0093751E" w:rsidRDefault="0054713E" w:rsidP="003C4364">
            <w:pPr>
              <w:jc w:val="right"/>
              <w:rPr>
                <w:b/>
                <w:bCs/>
                <w:color w:val="000000"/>
                <w:sz w:val="20"/>
                <w:szCs w:val="20"/>
                <w:lang w:eastAsia="en-GB"/>
              </w:rPr>
            </w:pPr>
            <w:r w:rsidRPr="0093751E">
              <w:rPr>
                <w:b/>
                <w:bCs/>
                <w:color w:val="000000"/>
                <w:sz w:val="20"/>
                <w:szCs w:val="20"/>
                <w:lang w:eastAsia="en-GB"/>
              </w:rPr>
              <w:t> </w:t>
            </w:r>
          </w:p>
        </w:tc>
        <w:tc>
          <w:tcPr>
            <w:tcW w:w="220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4713E" w:rsidRPr="0093751E" w:rsidRDefault="0054713E" w:rsidP="003C4364">
            <w:pPr>
              <w:jc w:val="right"/>
              <w:rPr>
                <w:b/>
                <w:bCs/>
                <w:color w:val="000000"/>
                <w:sz w:val="20"/>
                <w:szCs w:val="20"/>
                <w:lang w:eastAsia="en-GB"/>
              </w:rPr>
            </w:pPr>
            <w:r w:rsidRPr="0093751E">
              <w:rPr>
                <w:b/>
                <w:bCs/>
                <w:color w:val="000000"/>
                <w:sz w:val="20"/>
                <w:szCs w:val="20"/>
                <w:lang w:eastAsia="en-GB"/>
              </w:rPr>
              <w:t> </w:t>
            </w:r>
          </w:p>
        </w:tc>
        <w:tc>
          <w:tcPr>
            <w:tcW w:w="17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4713E" w:rsidRPr="0093751E" w:rsidRDefault="0054713E" w:rsidP="003C4364">
            <w:pPr>
              <w:jc w:val="right"/>
              <w:rPr>
                <w:b/>
                <w:bCs/>
                <w:color w:val="000000"/>
                <w:sz w:val="20"/>
                <w:szCs w:val="20"/>
                <w:lang w:eastAsia="en-GB"/>
              </w:rPr>
            </w:pPr>
            <w:r w:rsidRPr="0093751E">
              <w:rPr>
                <w:b/>
                <w:bCs/>
                <w:color w:val="000000"/>
                <w:sz w:val="20"/>
                <w:szCs w:val="20"/>
                <w:lang w:eastAsia="en-GB"/>
              </w:rPr>
              <w:t> </w:t>
            </w:r>
          </w:p>
        </w:tc>
        <w:tc>
          <w:tcPr>
            <w:tcW w:w="381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4713E" w:rsidRPr="0093751E" w:rsidRDefault="0054713E" w:rsidP="003C4364">
            <w:pPr>
              <w:jc w:val="right"/>
              <w:rPr>
                <w:b/>
                <w:bCs/>
                <w:color w:val="000000"/>
                <w:sz w:val="20"/>
                <w:szCs w:val="20"/>
                <w:lang w:eastAsia="en-GB"/>
              </w:rPr>
            </w:pPr>
            <w:r w:rsidRPr="0093751E">
              <w:rPr>
                <w:b/>
                <w:bCs/>
                <w:color w:val="000000"/>
                <w:sz w:val="20"/>
                <w:szCs w:val="20"/>
                <w:lang w:eastAsia="en-GB"/>
              </w:rPr>
              <w:t> </w:t>
            </w:r>
          </w:p>
        </w:tc>
      </w:tr>
      <w:tr w:rsidR="007F4B59" w:rsidRPr="0093751E" w:rsidTr="003C4364">
        <w:trPr>
          <w:trHeight w:val="257"/>
          <w:jc w:val="center"/>
        </w:trPr>
        <w:tc>
          <w:tcPr>
            <w:tcW w:w="3387" w:type="dxa"/>
            <w:tcBorders>
              <w:top w:val="nil"/>
              <w:left w:val="single" w:sz="8" w:space="0" w:color="auto"/>
              <w:bottom w:val="single" w:sz="4" w:space="0" w:color="auto"/>
              <w:right w:val="single" w:sz="8" w:space="0" w:color="auto"/>
            </w:tcBorders>
            <w:shd w:val="clear" w:color="auto" w:fill="auto"/>
            <w:vAlign w:val="center"/>
            <w:hideMark/>
          </w:tcPr>
          <w:p w:rsidR="007F4B59" w:rsidRPr="0093751E" w:rsidRDefault="007F4B59" w:rsidP="007F4B59">
            <w:pPr>
              <w:jc w:val="both"/>
              <w:rPr>
                <w:color w:val="000000"/>
                <w:sz w:val="20"/>
                <w:szCs w:val="20"/>
                <w:lang w:eastAsia="en-GB"/>
              </w:rPr>
            </w:pPr>
            <w:r w:rsidRPr="0093751E">
              <w:rPr>
                <w:color w:val="000000"/>
                <w:sz w:val="20"/>
                <w:szCs w:val="20"/>
                <w:lang w:eastAsia="en-GB"/>
              </w:rPr>
              <w:t>Unscheduled Care</w:t>
            </w:r>
          </w:p>
        </w:tc>
        <w:tc>
          <w:tcPr>
            <w:tcW w:w="1767" w:type="dxa"/>
            <w:tcBorders>
              <w:top w:val="nil"/>
              <w:left w:val="nil"/>
              <w:bottom w:val="single" w:sz="4" w:space="0" w:color="auto"/>
              <w:right w:val="single" w:sz="8" w:space="0" w:color="auto"/>
            </w:tcBorders>
            <w:shd w:val="clear" w:color="auto" w:fill="auto"/>
            <w:vAlign w:val="center"/>
            <w:hideMark/>
          </w:tcPr>
          <w:p w:rsidR="007F4B59" w:rsidRDefault="007F4B59" w:rsidP="007F4B59">
            <w:pPr>
              <w:jc w:val="right"/>
              <w:rPr>
                <w:sz w:val="20"/>
                <w:szCs w:val="20"/>
                <w:lang w:eastAsia="en-GB"/>
              </w:rPr>
            </w:pPr>
            <w:r>
              <w:rPr>
                <w:sz w:val="20"/>
                <w:szCs w:val="20"/>
              </w:rPr>
              <w:t>17,112</w:t>
            </w:r>
          </w:p>
        </w:tc>
        <w:tc>
          <w:tcPr>
            <w:tcW w:w="1756" w:type="dxa"/>
            <w:tcBorders>
              <w:top w:val="nil"/>
              <w:left w:val="nil"/>
              <w:bottom w:val="single" w:sz="4" w:space="0" w:color="auto"/>
              <w:right w:val="nil"/>
            </w:tcBorders>
            <w:shd w:val="clear" w:color="auto" w:fill="auto"/>
            <w:vAlign w:val="center"/>
            <w:hideMark/>
          </w:tcPr>
          <w:p w:rsidR="007F4B59" w:rsidRDefault="007F4B59" w:rsidP="007F4B59">
            <w:pPr>
              <w:jc w:val="right"/>
              <w:rPr>
                <w:sz w:val="20"/>
                <w:szCs w:val="20"/>
              </w:rPr>
            </w:pPr>
            <w:r>
              <w:rPr>
                <w:sz w:val="20"/>
                <w:szCs w:val="20"/>
              </w:rPr>
              <w:t>121</w:t>
            </w:r>
          </w:p>
        </w:tc>
        <w:tc>
          <w:tcPr>
            <w:tcW w:w="2209" w:type="dxa"/>
            <w:tcBorders>
              <w:top w:val="nil"/>
              <w:left w:val="single" w:sz="4" w:space="0" w:color="auto"/>
              <w:bottom w:val="single" w:sz="4" w:space="0" w:color="auto"/>
              <w:right w:val="single" w:sz="4" w:space="0" w:color="auto"/>
            </w:tcBorders>
            <w:shd w:val="clear" w:color="auto" w:fill="auto"/>
            <w:vAlign w:val="center"/>
            <w:hideMark/>
          </w:tcPr>
          <w:p w:rsidR="007F4B59" w:rsidRDefault="007F4B59" w:rsidP="007F4B59">
            <w:pPr>
              <w:jc w:val="right"/>
              <w:rPr>
                <w:sz w:val="20"/>
                <w:szCs w:val="20"/>
              </w:rPr>
            </w:pPr>
            <w:r>
              <w:rPr>
                <w:sz w:val="20"/>
                <w:szCs w:val="20"/>
              </w:rPr>
              <w:t>46</w:t>
            </w:r>
          </w:p>
        </w:tc>
        <w:tc>
          <w:tcPr>
            <w:tcW w:w="1780" w:type="dxa"/>
            <w:tcBorders>
              <w:top w:val="nil"/>
              <w:left w:val="nil"/>
              <w:bottom w:val="single" w:sz="4" w:space="0" w:color="auto"/>
              <w:right w:val="single" w:sz="8" w:space="0" w:color="auto"/>
            </w:tcBorders>
            <w:shd w:val="clear" w:color="auto" w:fill="auto"/>
            <w:vAlign w:val="center"/>
            <w:hideMark/>
          </w:tcPr>
          <w:p w:rsidR="007F4B59" w:rsidRDefault="007F4B59" w:rsidP="007F4B59">
            <w:pPr>
              <w:jc w:val="right"/>
              <w:rPr>
                <w:sz w:val="20"/>
                <w:szCs w:val="20"/>
              </w:rPr>
            </w:pPr>
            <w:r>
              <w:rPr>
                <w:color w:val="FF0000"/>
                <w:sz w:val="20"/>
                <w:szCs w:val="20"/>
              </w:rPr>
              <w:t>(75)</w:t>
            </w:r>
          </w:p>
        </w:tc>
        <w:tc>
          <w:tcPr>
            <w:tcW w:w="3819" w:type="dxa"/>
            <w:tcBorders>
              <w:top w:val="nil"/>
              <w:left w:val="single" w:sz="4" w:space="0" w:color="auto"/>
              <w:bottom w:val="single" w:sz="4" w:space="0" w:color="auto"/>
              <w:right w:val="single" w:sz="4" w:space="0" w:color="auto"/>
            </w:tcBorders>
            <w:shd w:val="clear" w:color="auto" w:fill="auto"/>
            <w:vAlign w:val="center"/>
            <w:hideMark/>
          </w:tcPr>
          <w:p w:rsidR="007F4B59" w:rsidRDefault="007F4B59" w:rsidP="007F4B59">
            <w:pPr>
              <w:jc w:val="right"/>
              <w:rPr>
                <w:sz w:val="20"/>
                <w:szCs w:val="20"/>
              </w:rPr>
            </w:pPr>
            <w:r>
              <w:rPr>
                <w:sz w:val="20"/>
                <w:szCs w:val="20"/>
              </w:rPr>
              <w:t>901</w:t>
            </w:r>
          </w:p>
        </w:tc>
      </w:tr>
      <w:tr w:rsidR="007F4B59" w:rsidRPr="0093751E" w:rsidTr="003C4364">
        <w:trPr>
          <w:trHeight w:val="257"/>
          <w:jc w:val="center"/>
        </w:trPr>
        <w:tc>
          <w:tcPr>
            <w:tcW w:w="3387" w:type="dxa"/>
            <w:tcBorders>
              <w:top w:val="nil"/>
              <w:left w:val="single" w:sz="8" w:space="0" w:color="auto"/>
              <w:bottom w:val="single" w:sz="4" w:space="0" w:color="auto"/>
              <w:right w:val="single" w:sz="8" w:space="0" w:color="auto"/>
            </w:tcBorders>
            <w:shd w:val="clear" w:color="auto" w:fill="auto"/>
            <w:vAlign w:val="center"/>
            <w:hideMark/>
          </w:tcPr>
          <w:p w:rsidR="007F4B59" w:rsidRPr="0093751E" w:rsidRDefault="007F4B59" w:rsidP="007F4B59">
            <w:pPr>
              <w:jc w:val="both"/>
              <w:rPr>
                <w:color w:val="000000"/>
                <w:sz w:val="20"/>
                <w:szCs w:val="20"/>
                <w:lang w:eastAsia="en-GB"/>
              </w:rPr>
            </w:pPr>
            <w:r w:rsidRPr="0093751E">
              <w:rPr>
                <w:color w:val="000000"/>
                <w:sz w:val="20"/>
                <w:szCs w:val="20"/>
                <w:lang w:eastAsia="en-GB"/>
              </w:rPr>
              <w:t>Planned Care</w:t>
            </w:r>
          </w:p>
        </w:tc>
        <w:tc>
          <w:tcPr>
            <w:tcW w:w="1767" w:type="dxa"/>
            <w:tcBorders>
              <w:top w:val="nil"/>
              <w:left w:val="nil"/>
              <w:bottom w:val="single" w:sz="4" w:space="0" w:color="auto"/>
              <w:right w:val="single" w:sz="8" w:space="0" w:color="auto"/>
            </w:tcBorders>
            <w:shd w:val="clear" w:color="auto" w:fill="auto"/>
            <w:vAlign w:val="center"/>
            <w:hideMark/>
          </w:tcPr>
          <w:p w:rsidR="007F4B59" w:rsidRDefault="007F4B59" w:rsidP="007F4B59">
            <w:pPr>
              <w:jc w:val="right"/>
              <w:rPr>
                <w:sz w:val="20"/>
                <w:szCs w:val="20"/>
              </w:rPr>
            </w:pPr>
            <w:r>
              <w:rPr>
                <w:sz w:val="20"/>
                <w:szCs w:val="20"/>
              </w:rPr>
              <w:t>24,809</w:t>
            </w:r>
          </w:p>
        </w:tc>
        <w:tc>
          <w:tcPr>
            <w:tcW w:w="1756" w:type="dxa"/>
            <w:tcBorders>
              <w:top w:val="nil"/>
              <w:left w:val="nil"/>
              <w:bottom w:val="single" w:sz="4" w:space="0" w:color="auto"/>
              <w:right w:val="nil"/>
            </w:tcBorders>
            <w:shd w:val="clear" w:color="auto" w:fill="auto"/>
            <w:vAlign w:val="center"/>
            <w:hideMark/>
          </w:tcPr>
          <w:p w:rsidR="007F4B59" w:rsidRDefault="007F4B59" w:rsidP="007F4B59">
            <w:pPr>
              <w:jc w:val="right"/>
              <w:rPr>
                <w:sz w:val="20"/>
                <w:szCs w:val="20"/>
              </w:rPr>
            </w:pPr>
            <w:r>
              <w:rPr>
                <w:sz w:val="20"/>
                <w:szCs w:val="20"/>
              </w:rPr>
              <w:t>25</w:t>
            </w:r>
          </w:p>
        </w:tc>
        <w:tc>
          <w:tcPr>
            <w:tcW w:w="2209" w:type="dxa"/>
            <w:tcBorders>
              <w:top w:val="nil"/>
              <w:left w:val="single" w:sz="4" w:space="0" w:color="auto"/>
              <w:bottom w:val="single" w:sz="4" w:space="0" w:color="auto"/>
              <w:right w:val="single" w:sz="4" w:space="0" w:color="auto"/>
            </w:tcBorders>
            <w:shd w:val="clear" w:color="auto" w:fill="auto"/>
            <w:vAlign w:val="center"/>
            <w:hideMark/>
          </w:tcPr>
          <w:p w:rsidR="007F4B59" w:rsidRDefault="007F4B59" w:rsidP="007F4B59">
            <w:pPr>
              <w:jc w:val="right"/>
              <w:rPr>
                <w:sz w:val="20"/>
                <w:szCs w:val="20"/>
              </w:rPr>
            </w:pPr>
            <w:r>
              <w:rPr>
                <w:color w:val="FF0000"/>
                <w:sz w:val="20"/>
                <w:szCs w:val="20"/>
              </w:rPr>
              <w:t>(151)</w:t>
            </w:r>
          </w:p>
        </w:tc>
        <w:tc>
          <w:tcPr>
            <w:tcW w:w="1780" w:type="dxa"/>
            <w:tcBorders>
              <w:top w:val="nil"/>
              <w:left w:val="nil"/>
              <w:bottom w:val="single" w:sz="4" w:space="0" w:color="auto"/>
              <w:right w:val="single" w:sz="8" w:space="0" w:color="auto"/>
            </w:tcBorders>
            <w:shd w:val="clear" w:color="auto" w:fill="auto"/>
            <w:vAlign w:val="center"/>
            <w:hideMark/>
          </w:tcPr>
          <w:p w:rsidR="007F4B59" w:rsidRDefault="007F4B59" w:rsidP="007F4B59">
            <w:pPr>
              <w:jc w:val="right"/>
              <w:rPr>
                <w:sz w:val="20"/>
                <w:szCs w:val="20"/>
              </w:rPr>
            </w:pPr>
            <w:r>
              <w:rPr>
                <w:color w:val="FF0000"/>
                <w:sz w:val="20"/>
                <w:szCs w:val="20"/>
              </w:rPr>
              <w:t>(176)</w:t>
            </w:r>
          </w:p>
        </w:tc>
        <w:tc>
          <w:tcPr>
            <w:tcW w:w="3819" w:type="dxa"/>
            <w:tcBorders>
              <w:top w:val="nil"/>
              <w:left w:val="single" w:sz="4" w:space="0" w:color="auto"/>
              <w:bottom w:val="single" w:sz="4" w:space="0" w:color="auto"/>
              <w:right w:val="single" w:sz="4" w:space="0" w:color="auto"/>
            </w:tcBorders>
            <w:shd w:val="clear" w:color="auto" w:fill="auto"/>
            <w:vAlign w:val="center"/>
            <w:hideMark/>
          </w:tcPr>
          <w:p w:rsidR="007F4B59" w:rsidRDefault="007F4B59" w:rsidP="007F4B59">
            <w:pPr>
              <w:jc w:val="right"/>
              <w:rPr>
                <w:sz w:val="20"/>
                <w:szCs w:val="20"/>
              </w:rPr>
            </w:pPr>
            <w:r>
              <w:rPr>
                <w:color w:val="FF0000"/>
                <w:sz w:val="20"/>
                <w:szCs w:val="20"/>
              </w:rPr>
              <w:t>(148)</w:t>
            </w:r>
          </w:p>
        </w:tc>
      </w:tr>
      <w:tr w:rsidR="007F4B59" w:rsidRPr="0093751E" w:rsidTr="003C4364">
        <w:trPr>
          <w:trHeight w:val="257"/>
          <w:jc w:val="center"/>
        </w:trPr>
        <w:tc>
          <w:tcPr>
            <w:tcW w:w="3387" w:type="dxa"/>
            <w:tcBorders>
              <w:top w:val="nil"/>
              <w:left w:val="single" w:sz="8" w:space="0" w:color="auto"/>
              <w:bottom w:val="single" w:sz="4" w:space="0" w:color="auto"/>
              <w:right w:val="single" w:sz="8" w:space="0" w:color="auto"/>
            </w:tcBorders>
            <w:shd w:val="clear" w:color="auto" w:fill="auto"/>
            <w:vAlign w:val="center"/>
          </w:tcPr>
          <w:p w:rsidR="007F4B59" w:rsidRPr="00680D90" w:rsidRDefault="007F4B59" w:rsidP="007F4B59">
            <w:pPr>
              <w:jc w:val="both"/>
              <w:rPr>
                <w:color w:val="000000"/>
                <w:sz w:val="20"/>
                <w:szCs w:val="20"/>
                <w:lang w:eastAsia="en-GB"/>
              </w:rPr>
            </w:pPr>
            <w:r w:rsidRPr="00680D90">
              <w:rPr>
                <w:color w:val="000000"/>
                <w:sz w:val="20"/>
                <w:szCs w:val="20"/>
                <w:lang w:eastAsia="en-GB"/>
              </w:rPr>
              <w:t>POW Delivery Unit</w:t>
            </w:r>
          </w:p>
        </w:tc>
        <w:tc>
          <w:tcPr>
            <w:tcW w:w="1767" w:type="dxa"/>
            <w:tcBorders>
              <w:top w:val="nil"/>
              <w:left w:val="nil"/>
              <w:bottom w:val="single" w:sz="4" w:space="0" w:color="auto"/>
              <w:right w:val="single" w:sz="8" w:space="0" w:color="auto"/>
            </w:tcBorders>
            <w:shd w:val="clear" w:color="auto" w:fill="auto"/>
            <w:vAlign w:val="center"/>
          </w:tcPr>
          <w:p w:rsidR="007F4B59" w:rsidRDefault="007F4B59" w:rsidP="007F4B59">
            <w:pPr>
              <w:jc w:val="right"/>
              <w:rPr>
                <w:sz w:val="20"/>
                <w:szCs w:val="20"/>
              </w:rPr>
            </w:pPr>
            <w:r>
              <w:rPr>
                <w:sz w:val="20"/>
                <w:szCs w:val="20"/>
              </w:rPr>
              <w:t>20,179</w:t>
            </w:r>
          </w:p>
        </w:tc>
        <w:tc>
          <w:tcPr>
            <w:tcW w:w="1756" w:type="dxa"/>
            <w:tcBorders>
              <w:top w:val="nil"/>
              <w:left w:val="nil"/>
              <w:bottom w:val="single" w:sz="4" w:space="0" w:color="auto"/>
              <w:right w:val="nil"/>
            </w:tcBorders>
            <w:shd w:val="clear" w:color="auto" w:fill="auto"/>
            <w:vAlign w:val="center"/>
          </w:tcPr>
          <w:p w:rsidR="007F4B59" w:rsidRDefault="007F4B59" w:rsidP="007F4B59">
            <w:pPr>
              <w:jc w:val="right"/>
              <w:rPr>
                <w:sz w:val="20"/>
                <w:szCs w:val="20"/>
              </w:rPr>
            </w:pPr>
            <w:r>
              <w:rPr>
                <w:color w:val="FF0000"/>
                <w:sz w:val="20"/>
                <w:szCs w:val="20"/>
              </w:rPr>
              <w:t>(251)</w:t>
            </w:r>
          </w:p>
        </w:tc>
        <w:tc>
          <w:tcPr>
            <w:tcW w:w="2209" w:type="dxa"/>
            <w:tcBorders>
              <w:top w:val="nil"/>
              <w:left w:val="single" w:sz="4" w:space="0" w:color="auto"/>
              <w:bottom w:val="single" w:sz="4" w:space="0" w:color="auto"/>
              <w:right w:val="single" w:sz="4" w:space="0" w:color="auto"/>
            </w:tcBorders>
            <w:shd w:val="clear" w:color="auto" w:fill="auto"/>
            <w:vAlign w:val="center"/>
          </w:tcPr>
          <w:p w:rsidR="007F4B59" w:rsidRDefault="007F4B59" w:rsidP="007F4B59">
            <w:pPr>
              <w:jc w:val="right"/>
              <w:rPr>
                <w:sz w:val="20"/>
                <w:szCs w:val="20"/>
              </w:rPr>
            </w:pPr>
            <w:r>
              <w:rPr>
                <w:sz w:val="20"/>
                <w:szCs w:val="20"/>
              </w:rPr>
              <w:t>100</w:t>
            </w:r>
          </w:p>
        </w:tc>
        <w:tc>
          <w:tcPr>
            <w:tcW w:w="1780" w:type="dxa"/>
            <w:tcBorders>
              <w:top w:val="nil"/>
              <w:left w:val="nil"/>
              <w:bottom w:val="single" w:sz="4" w:space="0" w:color="auto"/>
              <w:right w:val="single" w:sz="8" w:space="0" w:color="auto"/>
            </w:tcBorders>
            <w:shd w:val="clear" w:color="auto" w:fill="auto"/>
            <w:vAlign w:val="center"/>
          </w:tcPr>
          <w:p w:rsidR="007F4B59" w:rsidRDefault="007F4B59" w:rsidP="007F4B59">
            <w:pPr>
              <w:jc w:val="right"/>
              <w:rPr>
                <w:sz w:val="20"/>
                <w:szCs w:val="20"/>
              </w:rPr>
            </w:pPr>
            <w:r>
              <w:rPr>
                <w:sz w:val="20"/>
                <w:szCs w:val="20"/>
              </w:rPr>
              <w:t>351</w:t>
            </w:r>
          </w:p>
        </w:tc>
        <w:tc>
          <w:tcPr>
            <w:tcW w:w="3819" w:type="dxa"/>
            <w:tcBorders>
              <w:top w:val="nil"/>
              <w:left w:val="single" w:sz="4" w:space="0" w:color="auto"/>
              <w:bottom w:val="single" w:sz="4" w:space="0" w:color="auto"/>
              <w:right w:val="single" w:sz="4" w:space="0" w:color="auto"/>
            </w:tcBorders>
            <w:shd w:val="clear" w:color="auto" w:fill="auto"/>
            <w:vAlign w:val="center"/>
          </w:tcPr>
          <w:p w:rsidR="007F4B59" w:rsidRDefault="007F4B59" w:rsidP="007F4B59">
            <w:pPr>
              <w:jc w:val="right"/>
              <w:rPr>
                <w:sz w:val="20"/>
                <w:szCs w:val="20"/>
              </w:rPr>
            </w:pPr>
            <w:r>
              <w:rPr>
                <w:sz w:val="20"/>
                <w:szCs w:val="20"/>
              </w:rPr>
              <w:t>387</w:t>
            </w:r>
          </w:p>
        </w:tc>
      </w:tr>
      <w:tr w:rsidR="007F4B59" w:rsidRPr="0093751E" w:rsidTr="003C4364">
        <w:trPr>
          <w:trHeight w:val="257"/>
          <w:jc w:val="center"/>
        </w:trPr>
        <w:tc>
          <w:tcPr>
            <w:tcW w:w="3387" w:type="dxa"/>
            <w:tcBorders>
              <w:top w:val="nil"/>
              <w:left w:val="single" w:sz="8" w:space="0" w:color="auto"/>
              <w:bottom w:val="single" w:sz="4" w:space="0" w:color="auto"/>
              <w:right w:val="single" w:sz="8" w:space="0" w:color="auto"/>
            </w:tcBorders>
            <w:shd w:val="clear" w:color="auto" w:fill="auto"/>
            <w:vAlign w:val="center"/>
            <w:hideMark/>
          </w:tcPr>
          <w:p w:rsidR="007F4B59" w:rsidRPr="00680D90" w:rsidRDefault="007F4B59" w:rsidP="007F4B59">
            <w:pPr>
              <w:jc w:val="both"/>
              <w:rPr>
                <w:color w:val="000000"/>
                <w:sz w:val="20"/>
                <w:szCs w:val="20"/>
                <w:lang w:eastAsia="en-GB"/>
              </w:rPr>
            </w:pPr>
            <w:r w:rsidRPr="00680D90">
              <w:rPr>
                <w:color w:val="000000"/>
                <w:sz w:val="20"/>
                <w:szCs w:val="20"/>
                <w:lang w:eastAsia="en-GB"/>
              </w:rPr>
              <w:t xml:space="preserve">Clinical Support </w:t>
            </w:r>
          </w:p>
        </w:tc>
        <w:tc>
          <w:tcPr>
            <w:tcW w:w="1767" w:type="dxa"/>
            <w:tcBorders>
              <w:top w:val="nil"/>
              <w:left w:val="nil"/>
              <w:bottom w:val="single" w:sz="4" w:space="0" w:color="auto"/>
              <w:right w:val="single" w:sz="8" w:space="0" w:color="auto"/>
            </w:tcBorders>
            <w:shd w:val="clear" w:color="auto" w:fill="auto"/>
            <w:vAlign w:val="center"/>
            <w:hideMark/>
          </w:tcPr>
          <w:p w:rsidR="007F4B59" w:rsidRDefault="007F4B59" w:rsidP="007F4B59">
            <w:pPr>
              <w:jc w:val="right"/>
              <w:rPr>
                <w:sz w:val="20"/>
                <w:szCs w:val="20"/>
              </w:rPr>
            </w:pPr>
            <w:r>
              <w:rPr>
                <w:sz w:val="20"/>
                <w:szCs w:val="20"/>
              </w:rPr>
              <w:t>20,096</w:t>
            </w:r>
          </w:p>
        </w:tc>
        <w:tc>
          <w:tcPr>
            <w:tcW w:w="1756" w:type="dxa"/>
            <w:tcBorders>
              <w:top w:val="nil"/>
              <w:left w:val="nil"/>
              <w:bottom w:val="single" w:sz="4" w:space="0" w:color="auto"/>
              <w:right w:val="nil"/>
            </w:tcBorders>
            <w:shd w:val="clear" w:color="auto" w:fill="auto"/>
            <w:vAlign w:val="center"/>
            <w:hideMark/>
          </w:tcPr>
          <w:p w:rsidR="007F4B59" w:rsidRDefault="007F4B59" w:rsidP="007F4B59">
            <w:pPr>
              <w:jc w:val="right"/>
              <w:rPr>
                <w:sz w:val="20"/>
                <w:szCs w:val="20"/>
              </w:rPr>
            </w:pPr>
            <w:r>
              <w:rPr>
                <w:color w:val="FF0000"/>
                <w:sz w:val="20"/>
                <w:szCs w:val="20"/>
              </w:rPr>
              <w:t>(21)</w:t>
            </w:r>
          </w:p>
        </w:tc>
        <w:tc>
          <w:tcPr>
            <w:tcW w:w="2209" w:type="dxa"/>
            <w:tcBorders>
              <w:top w:val="nil"/>
              <w:left w:val="single" w:sz="4" w:space="0" w:color="auto"/>
              <w:bottom w:val="single" w:sz="4" w:space="0" w:color="auto"/>
              <w:right w:val="single" w:sz="4" w:space="0" w:color="auto"/>
            </w:tcBorders>
            <w:shd w:val="clear" w:color="auto" w:fill="auto"/>
            <w:vAlign w:val="center"/>
            <w:hideMark/>
          </w:tcPr>
          <w:p w:rsidR="007F4B59" w:rsidRDefault="007F4B59" w:rsidP="007F4B59">
            <w:pPr>
              <w:jc w:val="right"/>
              <w:rPr>
                <w:sz w:val="20"/>
                <w:szCs w:val="20"/>
              </w:rPr>
            </w:pPr>
            <w:r>
              <w:rPr>
                <w:sz w:val="20"/>
                <w:szCs w:val="20"/>
              </w:rPr>
              <w:t>36</w:t>
            </w:r>
          </w:p>
        </w:tc>
        <w:tc>
          <w:tcPr>
            <w:tcW w:w="1780" w:type="dxa"/>
            <w:tcBorders>
              <w:top w:val="nil"/>
              <w:left w:val="nil"/>
              <w:bottom w:val="single" w:sz="4" w:space="0" w:color="auto"/>
              <w:right w:val="single" w:sz="8" w:space="0" w:color="auto"/>
            </w:tcBorders>
            <w:shd w:val="clear" w:color="auto" w:fill="auto"/>
            <w:vAlign w:val="center"/>
            <w:hideMark/>
          </w:tcPr>
          <w:p w:rsidR="007F4B59" w:rsidRDefault="007F4B59" w:rsidP="007F4B59">
            <w:pPr>
              <w:jc w:val="right"/>
              <w:rPr>
                <w:sz w:val="20"/>
                <w:szCs w:val="20"/>
              </w:rPr>
            </w:pPr>
            <w:r>
              <w:rPr>
                <w:sz w:val="20"/>
                <w:szCs w:val="20"/>
              </w:rPr>
              <w:t>57</w:t>
            </w:r>
          </w:p>
        </w:tc>
        <w:tc>
          <w:tcPr>
            <w:tcW w:w="3819" w:type="dxa"/>
            <w:tcBorders>
              <w:top w:val="nil"/>
              <w:left w:val="single" w:sz="4" w:space="0" w:color="auto"/>
              <w:bottom w:val="single" w:sz="4" w:space="0" w:color="auto"/>
              <w:right w:val="single" w:sz="4" w:space="0" w:color="auto"/>
            </w:tcBorders>
            <w:shd w:val="clear" w:color="auto" w:fill="auto"/>
            <w:vAlign w:val="center"/>
            <w:hideMark/>
          </w:tcPr>
          <w:p w:rsidR="007F4B59" w:rsidRDefault="007F4B59" w:rsidP="007F4B59">
            <w:pPr>
              <w:jc w:val="right"/>
              <w:rPr>
                <w:sz w:val="20"/>
                <w:szCs w:val="20"/>
              </w:rPr>
            </w:pPr>
            <w:r>
              <w:rPr>
                <w:sz w:val="20"/>
                <w:szCs w:val="20"/>
              </w:rPr>
              <w:t>733</w:t>
            </w:r>
          </w:p>
        </w:tc>
      </w:tr>
      <w:tr w:rsidR="007F4B59" w:rsidRPr="0093751E" w:rsidTr="003C4364">
        <w:trPr>
          <w:trHeight w:val="273"/>
          <w:jc w:val="center"/>
        </w:trPr>
        <w:tc>
          <w:tcPr>
            <w:tcW w:w="3387" w:type="dxa"/>
            <w:tcBorders>
              <w:top w:val="nil"/>
              <w:left w:val="single" w:sz="8" w:space="0" w:color="auto"/>
              <w:bottom w:val="single" w:sz="8" w:space="0" w:color="auto"/>
              <w:right w:val="single" w:sz="8" w:space="0" w:color="auto"/>
            </w:tcBorders>
            <w:shd w:val="clear" w:color="auto" w:fill="auto"/>
            <w:vAlign w:val="center"/>
            <w:hideMark/>
          </w:tcPr>
          <w:p w:rsidR="007F4B59" w:rsidRPr="00680D90" w:rsidRDefault="007F4B59" w:rsidP="007F4B59">
            <w:pPr>
              <w:jc w:val="both"/>
              <w:rPr>
                <w:color w:val="000000"/>
                <w:sz w:val="20"/>
                <w:szCs w:val="20"/>
                <w:lang w:eastAsia="en-GB"/>
              </w:rPr>
            </w:pPr>
            <w:r w:rsidRPr="00680D90">
              <w:rPr>
                <w:color w:val="000000"/>
                <w:sz w:val="20"/>
                <w:szCs w:val="20"/>
                <w:lang w:eastAsia="en-GB"/>
              </w:rPr>
              <w:t xml:space="preserve">Facilities </w:t>
            </w:r>
          </w:p>
        </w:tc>
        <w:tc>
          <w:tcPr>
            <w:tcW w:w="1767" w:type="dxa"/>
            <w:tcBorders>
              <w:top w:val="nil"/>
              <w:left w:val="nil"/>
              <w:bottom w:val="single" w:sz="8" w:space="0" w:color="auto"/>
              <w:right w:val="single" w:sz="8" w:space="0" w:color="auto"/>
            </w:tcBorders>
            <w:shd w:val="clear" w:color="auto" w:fill="auto"/>
            <w:vAlign w:val="center"/>
            <w:hideMark/>
          </w:tcPr>
          <w:p w:rsidR="007F4B59" w:rsidRDefault="007F4B59" w:rsidP="007F4B59">
            <w:pPr>
              <w:jc w:val="right"/>
              <w:rPr>
                <w:sz w:val="20"/>
                <w:szCs w:val="20"/>
              </w:rPr>
            </w:pPr>
            <w:r>
              <w:rPr>
                <w:sz w:val="20"/>
                <w:szCs w:val="20"/>
              </w:rPr>
              <w:t>13,946</w:t>
            </w:r>
          </w:p>
        </w:tc>
        <w:tc>
          <w:tcPr>
            <w:tcW w:w="1756" w:type="dxa"/>
            <w:tcBorders>
              <w:top w:val="nil"/>
              <w:left w:val="nil"/>
              <w:bottom w:val="single" w:sz="8" w:space="0" w:color="auto"/>
              <w:right w:val="nil"/>
            </w:tcBorders>
            <w:shd w:val="clear" w:color="auto" w:fill="auto"/>
            <w:vAlign w:val="center"/>
            <w:hideMark/>
          </w:tcPr>
          <w:p w:rsidR="007F4B59" w:rsidRDefault="007F4B59" w:rsidP="007F4B59">
            <w:pPr>
              <w:jc w:val="right"/>
              <w:rPr>
                <w:sz w:val="20"/>
                <w:szCs w:val="20"/>
              </w:rPr>
            </w:pPr>
            <w:r>
              <w:rPr>
                <w:sz w:val="20"/>
                <w:szCs w:val="20"/>
              </w:rPr>
              <w:t>56</w:t>
            </w:r>
          </w:p>
        </w:tc>
        <w:tc>
          <w:tcPr>
            <w:tcW w:w="2209" w:type="dxa"/>
            <w:tcBorders>
              <w:top w:val="nil"/>
              <w:left w:val="single" w:sz="4" w:space="0" w:color="auto"/>
              <w:bottom w:val="single" w:sz="8" w:space="0" w:color="auto"/>
              <w:right w:val="single" w:sz="4" w:space="0" w:color="auto"/>
            </w:tcBorders>
            <w:shd w:val="clear" w:color="auto" w:fill="auto"/>
            <w:vAlign w:val="center"/>
            <w:hideMark/>
          </w:tcPr>
          <w:p w:rsidR="007F4B59" w:rsidRDefault="007F4B59" w:rsidP="007F4B59">
            <w:pPr>
              <w:jc w:val="right"/>
              <w:rPr>
                <w:sz w:val="20"/>
                <w:szCs w:val="20"/>
              </w:rPr>
            </w:pPr>
            <w:r>
              <w:rPr>
                <w:sz w:val="20"/>
                <w:szCs w:val="20"/>
              </w:rPr>
              <w:t>64</w:t>
            </w:r>
          </w:p>
        </w:tc>
        <w:tc>
          <w:tcPr>
            <w:tcW w:w="1780" w:type="dxa"/>
            <w:tcBorders>
              <w:top w:val="nil"/>
              <w:left w:val="nil"/>
              <w:bottom w:val="single" w:sz="8" w:space="0" w:color="auto"/>
              <w:right w:val="single" w:sz="8" w:space="0" w:color="auto"/>
            </w:tcBorders>
            <w:shd w:val="clear" w:color="auto" w:fill="auto"/>
            <w:vAlign w:val="center"/>
            <w:hideMark/>
          </w:tcPr>
          <w:p w:rsidR="007F4B59" w:rsidRDefault="007F4B59" w:rsidP="007F4B59">
            <w:pPr>
              <w:jc w:val="right"/>
              <w:rPr>
                <w:sz w:val="20"/>
                <w:szCs w:val="20"/>
              </w:rPr>
            </w:pPr>
            <w:r>
              <w:rPr>
                <w:sz w:val="20"/>
                <w:szCs w:val="20"/>
              </w:rPr>
              <w:t>8</w:t>
            </w:r>
          </w:p>
        </w:tc>
        <w:tc>
          <w:tcPr>
            <w:tcW w:w="3819" w:type="dxa"/>
            <w:tcBorders>
              <w:top w:val="nil"/>
              <w:left w:val="single" w:sz="4" w:space="0" w:color="auto"/>
              <w:bottom w:val="single" w:sz="8" w:space="0" w:color="auto"/>
              <w:right w:val="single" w:sz="4" w:space="0" w:color="auto"/>
            </w:tcBorders>
            <w:shd w:val="clear" w:color="auto" w:fill="auto"/>
            <w:vAlign w:val="center"/>
            <w:hideMark/>
          </w:tcPr>
          <w:p w:rsidR="007F4B59" w:rsidRDefault="007F4B59" w:rsidP="007F4B59">
            <w:pPr>
              <w:jc w:val="right"/>
              <w:rPr>
                <w:sz w:val="20"/>
                <w:szCs w:val="20"/>
              </w:rPr>
            </w:pPr>
            <w:r>
              <w:rPr>
                <w:sz w:val="20"/>
                <w:szCs w:val="20"/>
              </w:rPr>
              <w:t>764</w:t>
            </w:r>
          </w:p>
        </w:tc>
      </w:tr>
      <w:tr w:rsidR="007F4B59" w:rsidRPr="0093751E" w:rsidTr="003C4364">
        <w:trPr>
          <w:trHeight w:val="273"/>
          <w:jc w:val="center"/>
        </w:trPr>
        <w:tc>
          <w:tcPr>
            <w:tcW w:w="3387" w:type="dxa"/>
            <w:tcBorders>
              <w:top w:val="single" w:sz="8" w:space="0" w:color="auto"/>
              <w:left w:val="single" w:sz="8" w:space="0" w:color="auto"/>
              <w:bottom w:val="single" w:sz="8" w:space="0" w:color="auto"/>
              <w:right w:val="single" w:sz="8" w:space="0" w:color="auto"/>
            </w:tcBorders>
            <w:shd w:val="clear" w:color="000000" w:fill="8DB3E2" w:themeFill="text2" w:themeFillTint="66"/>
            <w:vAlign w:val="center"/>
            <w:hideMark/>
          </w:tcPr>
          <w:p w:rsidR="007F4B59" w:rsidRPr="00680D90" w:rsidRDefault="007F4B59" w:rsidP="007F4B59">
            <w:pPr>
              <w:jc w:val="right"/>
              <w:rPr>
                <w:b/>
                <w:bCs/>
                <w:color w:val="000000"/>
                <w:sz w:val="20"/>
                <w:szCs w:val="20"/>
                <w:lang w:eastAsia="en-GB"/>
              </w:rPr>
            </w:pPr>
            <w:r w:rsidRPr="00680D90">
              <w:rPr>
                <w:b/>
                <w:bCs/>
                <w:color w:val="000000"/>
                <w:sz w:val="20"/>
                <w:szCs w:val="20"/>
                <w:lang w:eastAsia="en-GB"/>
              </w:rPr>
              <w:t>Total COO</w:t>
            </w:r>
          </w:p>
        </w:tc>
        <w:tc>
          <w:tcPr>
            <w:tcW w:w="1767" w:type="dxa"/>
            <w:tcBorders>
              <w:top w:val="single" w:sz="8" w:space="0" w:color="auto"/>
              <w:left w:val="nil"/>
              <w:bottom w:val="single" w:sz="8" w:space="0" w:color="auto"/>
              <w:right w:val="single" w:sz="8" w:space="0" w:color="auto"/>
            </w:tcBorders>
            <w:shd w:val="clear" w:color="000000" w:fill="8DB3E2" w:themeFill="text2" w:themeFillTint="66"/>
            <w:vAlign w:val="center"/>
            <w:hideMark/>
          </w:tcPr>
          <w:p w:rsidR="007F4B59" w:rsidRDefault="007F4B59" w:rsidP="007F4B59">
            <w:pPr>
              <w:jc w:val="right"/>
              <w:rPr>
                <w:b/>
                <w:bCs/>
                <w:sz w:val="20"/>
                <w:szCs w:val="20"/>
              </w:rPr>
            </w:pPr>
            <w:r>
              <w:rPr>
                <w:b/>
                <w:bCs/>
                <w:sz w:val="20"/>
                <w:szCs w:val="20"/>
              </w:rPr>
              <w:t>96,143</w:t>
            </w:r>
          </w:p>
        </w:tc>
        <w:tc>
          <w:tcPr>
            <w:tcW w:w="1756" w:type="dxa"/>
            <w:tcBorders>
              <w:top w:val="single" w:sz="8" w:space="0" w:color="auto"/>
              <w:left w:val="nil"/>
              <w:bottom w:val="single" w:sz="8" w:space="0" w:color="auto"/>
              <w:right w:val="nil"/>
            </w:tcBorders>
            <w:shd w:val="clear" w:color="000000" w:fill="8DB3E2" w:themeFill="text2" w:themeFillTint="66"/>
            <w:vAlign w:val="center"/>
            <w:hideMark/>
          </w:tcPr>
          <w:p w:rsidR="007F4B59" w:rsidRDefault="007F4B59" w:rsidP="007F4B59">
            <w:pPr>
              <w:jc w:val="right"/>
              <w:rPr>
                <w:b/>
                <w:bCs/>
                <w:sz w:val="20"/>
                <w:szCs w:val="20"/>
              </w:rPr>
            </w:pPr>
            <w:r>
              <w:rPr>
                <w:b/>
                <w:bCs/>
                <w:color w:val="FF0000"/>
                <w:sz w:val="20"/>
                <w:szCs w:val="20"/>
              </w:rPr>
              <w:t>(70)</w:t>
            </w:r>
          </w:p>
        </w:tc>
        <w:tc>
          <w:tcPr>
            <w:tcW w:w="2209"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7F4B59" w:rsidRDefault="007F4B59" w:rsidP="007F4B59">
            <w:pPr>
              <w:jc w:val="right"/>
              <w:rPr>
                <w:b/>
                <w:bCs/>
                <w:sz w:val="20"/>
                <w:szCs w:val="20"/>
              </w:rPr>
            </w:pPr>
            <w:r>
              <w:rPr>
                <w:b/>
                <w:bCs/>
                <w:sz w:val="20"/>
                <w:szCs w:val="20"/>
              </w:rPr>
              <w:t>96</w:t>
            </w:r>
          </w:p>
        </w:tc>
        <w:tc>
          <w:tcPr>
            <w:tcW w:w="1780" w:type="dxa"/>
            <w:tcBorders>
              <w:top w:val="single" w:sz="8" w:space="0" w:color="auto"/>
              <w:left w:val="nil"/>
              <w:bottom w:val="single" w:sz="8" w:space="0" w:color="auto"/>
              <w:right w:val="single" w:sz="8" w:space="0" w:color="auto"/>
            </w:tcBorders>
            <w:shd w:val="clear" w:color="000000" w:fill="8DB3E2" w:themeFill="text2" w:themeFillTint="66"/>
            <w:vAlign w:val="center"/>
            <w:hideMark/>
          </w:tcPr>
          <w:p w:rsidR="007F4B59" w:rsidRDefault="007F4B59" w:rsidP="007F4B59">
            <w:pPr>
              <w:jc w:val="right"/>
              <w:rPr>
                <w:b/>
                <w:bCs/>
                <w:sz w:val="20"/>
                <w:szCs w:val="20"/>
              </w:rPr>
            </w:pPr>
            <w:r>
              <w:rPr>
                <w:b/>
                <w:bCs/>
                <w:sz w:val="20"/>
                <w:szCs w:val="20"/>
              </w:rPr>
              <w:t>166</w:t>
            </w:r>
          </w:p>
        </w:tc>
        <w:tc>
          <w:tcPr>
            <w:tcW w:w="3819"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7F4B59" w:rsidRDefault="007F4B59" w:rsidP="007F4B59">
            <w:pPr>
              <w:jc w:val="right"/>
              <w:rPr>
                <w:b/>
                <w:bCs/>
                <w:sz w:val="20"/>
                <w:szCs w:val="20"/>
              </w:rPr>
            </w:pPr>
            <w:r>
              <w:rPr>
                <w:b/>
                <w:bCs/>
                <w:sz w:val="20"/>
                <w:szCs w:val="20"/>
              </w:rPr>
              <w:t>2,638</w:t>
            </w:r>
          </w:p>
        </w:tc>
      </w:tr>
      <w:tr w:rsidR="007F4B59" w:rsidRPr="0093751E" w:rsidTr="003C4364">
        <w:trPr>
          <w:trHeight w:val="257"/>
          <w:jc w:val="center"/>
        </w:trPr>
        <w:tc>
          <w:tcPr>
            <w:tcW w:w="3387" w:type="dxa"/>
            <w:tcBorders>
              <w:top w:val="nil"/>
              <w:left w:val="single" w:sz="8" w:space="0" w:color="auto"/>
              <w:bottom w:val="single" w:sz="4" w:space="0" w:color="auto"/>
              <w:right w:val="single" w:sz="8" w:space="0" w:color="auto"/>
            </w:tcBorders>
            <w:shd w:val="clear" w:color="auto" w:fill="auto"/>
            <w:vAlign w:val="center"/>
            <w:hideMark/>
          </w:tcPr>
          <w:p w:rsidR="007F4B59" w:rsidRPr="00680D90" w:rsidRDefault="007F4B59" w:rsidP="007F4B59">
            <w:pPr>
              <w:jc w:val="both"/>
              <w:rPr>
                <w:b/>
                <w:bCs/>
                <w:color w:val="000000"/>
                <w:sz w:val="20"/>
                <w:szCs w:val="20"/>
                <w:lang w:eastAsia="en-GB"/>
              </w:rPr>
            </w:pPr>
            <w:r w:rsidRPr="00680D90">
              <w:rPr>
                <w:b/>
                <w:bCs/>
                <w:color w:val="000000"/>
                <w:sz w:val="20"/>
                <w:szCs w:val="20"/>
                <w:lang w:eastAsia="en-GB"/>
              </w:rPr>
              <w:t>PCMH:</w:t>
            </w:r>
          </w:p>
        </w:tc>
        <w:tc>
          <w:tcPr>
            <w:tcW w:w="1767" w:type="dxa"/>
            <w:tcBorders>
              <w:top w:val="nil"/>
              <w:left w:val="nil"/>
              <w:bottom w:val="single" w:sz="4" w:space="0" w:color="auto"/>
              <w:right w:val="single" w:sz="8" w:space="0" w:color="auto"/>
            </w:tcBorders>
            <w:shd w:val="clear" w:color="auto" w:fill="auto"/>
            <w:vAlign w:val="center"/>
            <w:hideMark/>
          </w:tcPr>
          <w:p w:rsidR="007F4B59" w:rsidRDefault="007F4B59" w:rsidP="007F4B59">
            <w:pPr>
              <w:jc w:val="right"/>
              <w:rPr>
                <w:b/>
                <w:bCs/>
                <w:sz w:val="20"/>
                <w:szCs w:val="20"/>
              </w:rPr>
            </w:pPr>
            <w:r>
              <w:rPr>
                <w:b/>
                <w:bCs/>
                <w:sz w:val="20"/>
                <w:szCs w:val="20"/>
              </w:rPr>
              <w:t> </w:t>
            </w:r>
          </w:p>
        </w:tc>
        <w:tc>
          <w:tcPr>
            <w:tcW w:w="1756" w:type="dxa"/>
            <w:tcBorders>
              <w:top w:val="nil"/>
              <w:left w:val="nil"/>
              <w:bottom w:val="single" w:sz="4" w:space="0" w:color="auto"/>
              <w:right w:val="nil"/>
            </w:tcBorders>
            <w:shd w:val="clear" w:color="auto" w:fill="auto"/>
            <w:vAlign w:val="center"/>
            <w:hideMark/>
          </w:tcPr>
          <w:p w:rsidR="007F4B59" w:rsidRDefault="007F4B59" w:rsidP="007F4B59">
            <w:pPr>
              <w:jc w:val="right"/>
              <w:rPr>
                <w:b/>
                <w:bCs/>
                <w:sz w:val="20"/>
                <w:szCs w:val="20"/>
              </w:rPr>
            </w:pPr>
            <w:r>
              <w:rPr>
                <w:b/>
                <w:bCs/>
                <w:sz w:val="20"/>
                <w:szCs w:val="20"/>
              </w:rPr>
              <w:t> </w:t>
            </w:r>
          </w:p>
        </w:tc>
        <w:tc>
          <w:tcPr>
            <w:tcW w:w="2209" w:type="dxa"/>
            <w:tcBorders>
              <w:top w:val="nil"/>
              <w:left w:val="single" w:sz="4" w:space="0" w:color="auto"/>
              <w:bottom w:val="single" w:sz="4" w:space="0" w:color="auto"/>
              <w:right w:val="single" w:sz="4" w:space="0" w:color="auto"/>
            </w:tcBorders>
            <w:shd w:val="clear" w:color="auto" w:fill="auto"/>
            <w:vAlign w:val="center"/>
            <w:hideMark/>
          </w:tcPr>
          <w:p w:rsidR="007F4B59" w:rsidRDefault="007F4B59" w:rsidP="007F4B59">
            <w:pPr>
              <w:jc w:val="right"/>
              <w:rPr>
                <w:b/>
                <w:bCs/>
                <w:sz w:val="20"/>
                <w:szCs w:val="20"/>
              </w:rPr>
            </w:pPr>
            <w:r>
              <w:rPr>
                <w:b/>
                <w:bCs/>
                <w:sz w:val="20"/>
                <w:szCs w:val="20"/>
              </w:rPr>
              <w:t> </w:t>
            </w:r>
          </w:p>
        </w:tc>
        <w:tc>
          <w:tcPr>
            <w:tcW w:w="1780" w:type="dxa"/>
            <w:tcBorders>
              <w:top w:val="nil"/>
              <w:left w:val="nil"/>
              <w:bottom w:val="single" w:sz="4" w:space="0" w:color="auto"/>
              <w:right w:val="single" w:sz="8" w:space="0" w:color="auto"/>
            </w:tcBorders>
            <w:shd w:val="clear" w:color="auto" w:fill="auto"/>
            <w:vAlign w:val="center"/>
            <w:hideMark/>
          </w:tcPr>
          <w:p w:rsidR="007F4B59" w:rsidRDefault="007F4B59" w:rsidP="007F4B59">
            <w:pPr>
              <w:jc w:val="right"/>
              <w:rPr>
                <w:b/>
                <w:bCs/>
                <w:sz w:val="20"/>
                <w:szCs w:val="20"/>
              </w:rPr>
            </w:pPr>
            <w:r>
              <w:rPr>
                <w:b/>
                <w:bCs/>
                <w:sz w:val="20"/>
                <w:szCs w:val="20"/>
              </w:rPr>
              <w:t> </w:t>
            </w:r>
          </w:p>
        </w:tc>
        <w:tc>
          <w:tcPr>
            <w:tcW w:w="3819" w:type="dxa"/>
            <w:tcBorders>
              <w:top w:val="nil"/>
              <w:left w:val="single" w:sz="4" w:space="0" w:color="auto"/>
              <w:bottom w:val="single" w:sz="4" w:space="0" w:color="auto"/>
              <w:right w:val="single" w:sz="4" w:space="0" w:color="auto"/>
            </w:tcBorders>
            <w:shd w:val="clear" w:color="auto" w:fill="auto"/>
            <w:vAlign w:val="center"/>
            <w:hideMark/>
          </w:tcPr>
          <w:p w:rsidR="007F4B59" w:rsidRDefault="007F4B59" w:rsidP="007F4B59">
            <w:pPr>
              <w:jc w:val="right"/>
              <w:rPr>
                <w:b/>
                <w:bCs/>
                <w:sz w:val="20"/>
                <w:szCs w:val="20"/>
              </w:rPr>
            </w:pPr>
            <w:r>
              <w:rPr>
                <w:b/>
                <w:bCs/>
                <w:sz w:val="20"/>
                <w:szCs w:val="20"/>
              </w:rPr>
              <w:t> </w:t>
            </w:r>
          </w:p>
        </w:tc>
      </w:tr>
      <w:tr w:rsidR="007F4B59" w:rsidRPr="0093751E" w:rsidTr="003C4364">
        <w:trPr>
          <w:trHeight w:val="257"/>
          <w:jc w:val="center"/>
        </w:trPr>
        <w:tc>
          <w:tcPr>
            <w:tcW w:w="3387" w:type="dxa"/>
            <w:tcBorders>
              <w:top w:val="nil"/>
              <w:left w:val="single" w:sz="8" w:space="0" w:color="auto"/>
              <w:bottom w:val="single" w:sz="4" w:space="0" w:color="auto"/>
              <w:right w:val="single" w:sz="8" w:space="0" w:color="auto"/>
            </w:tcBorders>
            <w:shd w:val="clear" w:color="auto" w:fill="auto"/>
            <w:vAlign w:val="center"/>
            <w:hideMark/>
          </w:tcPr>
          <w:p w:rsidR="007F4B59" w:rsidRPr="00680D90" w:rsidRDefault="007F4B59" w:rsidP="007F4B59">
            <w:pPr>
              <w:rPr>
                <w:color w:val="000000"/>
                <w:sz w:val="20"/>
                <w:szCs w:val="20"/>
                <w:lang w:eastAsia="en-GB"/>
              </w:rPr>
            </w:pPr>
            <w:r w:rsidRPr="00680D90">
              <w:rPr>
                <w:color w:val="000000"/>
                <w:sz w:val="20"/>
                <w:szCs w:val="20"/>
                <w:lang w:eastAsia="en-GB"/>
              </w:rPr>
              <w:t>Primary &amp; Community</w:t>
            </w:r>
          </w:p>
        </w:tc>
        <w:tc>
          <w:tcPr>
            <w:tcW w:w="1767" w:type="dxa"/>
            <w:tcBorders>
              <w:top w:val="nil"/>
              <w:left w:val="nil"/>
              <w:bottom w:val="single" w:sz="4" w:space="0" w:color="auto"/>
              <w:right w:val="single" w:sz="8" w:space="0" w:color="auto"/>
            </w:tcBorders>
            <w:shd w:val="clear" w:color="auto" w:fill="auto"/>
            <w:vAlign w:val="center"/>
            <w:hideMark/>
          </w:tcPr>
          <w:p w:rsidR="007F4B59" w:rsidRDefault="007F4B59" w:rsidP="007F4B59">
            <w:pPr>
              <w:jc w:val="right"/>
              <w:rPr>
                <w:sz w:val="20"/>
                <w:szCs w:val="20"/>
              </w:rPr>
            </w:pPr>
            <w:r>
              <w:rPr>
                <w:sz w:val="20"/>
                <w:szCs w:val="20"/>
              </w:rPr>
              <w:t>140,898</w:t>
            </w:r>
          </w:p>
        </w:tc>
        <w:tc>
          <w:tcPr>
            <w:tcW w:w="1756" w:type="dxa"/>
            <w:tcBorders>
              <w:top w:val="nil"/>
              <w:left w:val="nil"/>
              <w:bottom w:val="single" w:sz="4" w:space="0" w:color="auto"/>
              <w:right w:val="nil"/>
            </w:tcBorders>
            <w:shd w:val="clear" w:color="auto" w:fill="auto"/>
            <w:vAlign w:val="center"/>
            <w:hideMark/>
          </w:tcPr>
          <w:p w:rsidR="007F4B59" w:rsidRDefault="007F4B59" w:rsidP="007F4B59">
            <w:pPr>
              <w:jc w:val="right"/>
              <w:rPr>
                <w:sz w:val="20"/>
                <w:szCs w:val="20"/>
              </w:rPr>
            </w:pPr>
            <w:r>
              <w:rPr>
                <w:color w:val="FF0000"/>
                <w:sz w:val="20"/>
                <w:szCs w:val="20"/>
              </w:rPr>
              <w:t>(385)</w:t>
            </w:r>
          </w:p>
        </w:tc>
        <w:tc>
          <w:tcPr>
            <w:tcW w:w="2209" w:type="dxa"/>
            <w:tcBorders>
              <w:top w:val="nil"/>
              <w:left w:val="single" w:sz="4" w:space="0" w:color="auto"/>
              <w:bottom w:val="single" w:sz="4" w:space="0" w:color="auto"/>
              <w:right w:val="single" w:sz="4" w:space="0" w:color="auto"/>
            </w:tcBorders>
            <w:shd w:val="clear" w:color="auto" w:fill="auto"/>
            <w:vAlign w:val="center"/>
            <w:hideMark/>
          </w:tcPr>
          <w:p w:rsidR="007F4B59" w:rsidRDefault="007F4B59" w:rsidP="007F4B59">
            <w:pPr>
              <w:jc w:val="right"/>
              <w:rPr>
                <w:sz w:val="20"/>
                <w:szCs w:val="20"/>
              </w:rPr>
            </w:pPr>
            <w:r>
              <w:rPr>
                <w:sz w:val="20"/>
                <w:szCs w:val="20"/>
              </w:rPr>
              <w:t>606</w:t>
            </w:r>
          </w:p>
        </w:tc>
        <w:tc>
          <w:tcPr>
            <w:tcW w:w="1780" w:type="dxa"/>
            <w:tcBorders>
              <w:top w:val="nil"/>
              <w:left w:val="nil"/>
              <w:bottom w:val="single" w:sz="4" w:space="0" w:color="auto"/>
              <w:right w:val="single" w:sz="8" w:space="0" w:color="auto"/>
            </w:tcBorders>
            <w:shd w:val="clear" w:color="auto" w:fill="auto"/>
            <w:vAlign w:val="center"/>
            <w:hideMark/>
          </w:tcPr>
          <w:p w:rsidR="007F4B59" w:rsidRDefault="007F4B59" w:rsidP="007F4B59">
            <w:pPr>
              <w:jc w:val="right"/>
              <w:rPr>
                <w:sz w:val="20"/>
                <w:szCs w:val="20"/>
              </w:rPr>
            </w:pPr>
            <w:r>
              <w:rPr>
                <w:sz w:val="20"/>
                <w:szCs w:val="20"/>
              </w:rPr>
              <w:t>991</w:t>
            </w:r>
          </w:p>
        </w:tc>
        <w:tc>
          <w:tcPr>
            <w:tcW w:w="3819" w:type="dxa"/>
            <w:tcBorders>
              <w:top w:val="nil"/>
              <w:left w:val="single" w:sz="4" w:space="0" w:color="auto"/>
              <w:bottom w:val="single" w:sz="4" w:space="0" w:color="auto"/>
              <w:right w:val="single" w:sz="4" w:space="0" w:color="auto"/>
            </w:tcBorders>
            <w:shd w:val="clear" w:color="auto" w:fill="auto"/>
            <w:vAlign w:val="center"/>
            <w:hideMark/>
          </w:tcPr>
          <w:p w:rsidR="007F4B59" w:rsidRDefault="007F4B59" w:rsidP="007F4B59">
            <w:pPr>
              <w:jc w:val="right"/>
              <w:rPr>
                <w:sz w:val="20"/>
                <w:szCs w:val="20"/>
              </w:rPr>
            </w:pPr>
            <w:r>
              <w:rPr>
                <w:sz w:val="20"/>
                <w:szCs w:val="20"/>
              </w:rPr>
              <w:t>140</w:t>
            </w:r>
          </w:p>
        </w:tc>
      </w:tr>
      <w:tr w:rsidR="007F4B59" w:rsidRPr="0093751E" w:rsidTr="003C4364">
        <w:trPr>
          <w:trHeight w:val="257"/>
          <w:jc w:val="center"/>
        </w:trPr>
        <w:tc>
          <w:tcPr>
            <w:tcW w:w="3387" w:type="dxa"/>
            <w:tcBorders>
              <w:top w:val="nil"/>
              <w:left w:val="single" w:sz="8" w:space="0" w:color="auto"/>
              <w:bottom w:val="single" w:sz="4" w:space="0" w:color="auto"/>
              <w:right w:val="single" w:sz="8" w:space="0" w:color="auto"/>
            </w:tcBorders>
            <w:shd w:val="clear" w:color="auto" w:fill="auto"/>
            <w:vAlign w:val="center"/>
            <w:hideMark/>
          </w:tcPr>
          <w:p w:rsidR="007F4B59" w:rsidRPr="00680D90" w:rsidRDefault="007F4B59" w:rsidP="007F4B59">
            <w:pPr>
              <w:jc w:val="both"/>
              <w:rPr>
                <w:color w:val="000000"/>
                <w:sz w:val="20"/>
                <w:szCs w:val="20"/>
                <w:lang w:eastAsia="en-GB"/>
              </w:rPr>
            </w:pPr>
            <w:r w:rsidRPr="00680D90">
              <w:rPr>
                <w:color w:val="000000"/>
                <w:sz w:val="20"/>
                <w:szCs w:val="20"/>
                <w:lang w:eastAsia="en-GB"/>
              </w:rPr>
              <w:t>Mental Health</w:t>
            </w:r>
          </w:p>
        </w:tc>
        <w:tc>
          <w:tcPr>
            <w:tcW w:w="1767" w:type="dxa"/>
            <w:tcBorders>
              <w:top w:val="nil"/>
              <w:left w:val="nil"/>
              <w:bottom w:val="single" w:sz="4" w:space="0" w:color="auto"/>
              <w:right w:val="single" w:sz="8" w:space="0" w:color="auto"/>
            </w:tcBorders>
            <w:shd w:val="clear" w:color="auto" w:fill="auto"/>
            <w:vAlign w:val="center"/>
            <w:hideMark/>
          </w:tcPr>
          <w:p w:rsidR="007F4B59" w:rsidRDefault="007F4B59" w:rsidP="007F4B59">
            <w:pPr>
              <w:jc w:val="right"/>
              <w:rPr>
                <w:sz w:val="20"/>
                <w:szCs w:val="20"/>
              </w:rPr>
            </w:pPr>
            <w:r>
              <w:rPr>
                <w:sz w:val="20"/>
                <w:szCs w:val="20"/>
              </w:rPr>
              <w:t>37,283</w:t>
            </w:r>
          </w:p>
        </w:tc>
        <w:tc>
          <w:tcPr>
            <w:tcW w:w="1756" w:type="dxa"/>
            <w:tcBorders>
              <w:top w:val="nil"/>
              <w:left w:val="nil"/>
              <w:bottom w:val="single" w:sz="4" w:space="0" w:color="auto"/>
              <w:right w:val="nil"/>
            </w:tcBorders>
            <w:shd w:val="clear" w:color="auto" w:fill="auto"/>
            <w:vAlign w:val="center"/>
            <w:hideMark/>
          </w:tcPr>
          <w:p w:rsidR="007F4B59" w:rsidRDefault="007F4B59" w:rsidP="007F4B59">
            <w:pPr>
              <w:jc w:val="right"/>
              <w:rPr>
                <w:sz w:val="20"/>
                <w:szCs w:val="20"/>
              </w:rPr>
            </w:pPr>
            <w:r>
              <w:rPr>
                <w:sz w:val="20"/>
                <w:szCs w:val="20"/>
              </w:rPr>
              <w:t>78</w:t>
            </w:r>
          </w:p>
        </w:tc>
        <w:tc>
          <w:tcPr>
            <w:tcW w:w="2209" w:type="dxa"/>
            <w:tcBorders>
              <w:top w:val="nil"/>
              <w:left w:val="single" w:sz="4" w:space="0" w:color="auto"/>
              <w:bottom w:val="single" w:sz="4" w:space="0" w:color="auto"/>
              <w:right w:val="single" w:sz="4" w:space="0" w:color="auto"/>
            </w:tcBorders>
            <w:shd w:val="clear" w:color="auto" w:fill="auto"/>
            <w:vAlign w:val="center"/>
            <w:hideMark/>
          </w:tcPr>
          <w:p w:rsidR="007F4B59" w:rsidRDefault="007F4B59" w:rsidP="007F4B59">
            <w:pPr>
              <w:jc w:val="right"/>
              <w:rPr>
                <w:sz w:val="20"/>
                <w:szCs w:val="20"/>
              </w:rPr>
            </w:pPr>
            <w:r>
              <w:rPr>
                <w:color w:val="FF0000"/>
                <w:sz w:val="20"/>
                <w:szCs w:val="20"/>
              </w:rPr>
              <w:t>(69)</w:t>
            </w:r>
          </w:p>
        </w:tc>
        <w:tc>
          <w:tcPr>
            <w:tcW w:w="1780" w:type="dxa"/>
            <w:tcBorders>
              <w:top w:val="nil"/>
              <w:left w:val="nil"/>
              <w:bottom w:val="single" w:sz="4" w:space="0" w:color="auto"/>
              <w:right w:val="single" w:sz="8" w:space="0" w:color="auto"/>
            </w:tcBorders>
            <w:shd w:val="clear" w:color="auto" w:fill="auto"/>
            <w:vAlign w:val="center"/>
            <w:hideMark/>
          </w:tcPr>
          <w:p w:rsidR="007F4B59" w:rsidRDefault="007F4B59" w:rsidP="007F4B59">
            <w:pPr>
              <w:jc w:val="right"/>
              <w:rPr>
                <w:sz w:val="20"/>
                <w:szCs w:val="20"/>
              </w:rPr>
            </w:pPr>
            <w:r>
              <w:rPr>
                <w:color w:val="FF0000"/>
                <w:sz w:val="20"/>
                <w:szCs w:val="20"/>
              </w:rPr>
              <w:t>(147)</w:t>
            </w:r>
          </w:p>
        </w:tc>
        <w:tc>
          <w:tcPr>
            <w:tcW w:w="3819" w:type="dxa"/>
            <w:tcBorders>
              <w:top w:val="nil"/>
              <w:left w:val="single" w:sz="4" w:space="0" w:color="auto"/>
              <w:bottom w:val="single" w:sz="4" w:space="0" w:color="auto"/>
              <w:right w:val="single" w:sz="4" w:space="0" w:color="auto"/>
            </w:tcBorders>
            <w:shd w:val="clear" w:color="auto" w:fill="auto"/>
            <w:vAlign w:val="center"/>
            <w:hideMark/>
          </w:tcPr>
          <w:p w:rsidR="007F4B59" w:rsidRDefault="007F4B59" w:rsidP="007F4B59">
            <w:pPr>
              <w:jc w:val="right"/>
              <w:rPr>
                <w:sz w:val="20"/>
                <w:szCs w:val="20"/>
              </w:rPr>
            </w:pPr>
            <w:r>
              <w:rPr>
                <w:sz w:val="20"/>
                <w:szCs w:val="20"/>
              </w:rPr>
              <w:t>479</w:t>
            </w:r>
          </w:p>
        </w:tc>
      </w:tr>
      <w:tr w:rsidR="007F4B59" w:rsidRPr="0093751E" w:rsidTr="003C4364">
        <w:trPr>
          <w:trHeight w:val="273"/>
          <w:jc w:val="center"/>
        </w:trPr>
        <w:tc>
          <w:tcPr>
            <w:tcW w:w="3387" w:type="dxa"/>
            <w:tcBorders>
              <w:top w:val="nil"/>
              <w:left w:val="single" w:sz="8" w:space="0" w:color="auto"/>
              <w:bottom w:val="single" w:sz="8" w:space="0" w:color="auto"/>
              <w:right w:val="single" w:sz="8" w:space="0" w:color="auto"/>
            </w:tcBorders>
            <w:shd w:val="clear" w:color="auto" w:fill="auto"/>
            <w:vAlign w:val="center"/>
            <w:hideMark/>
          </w:tcPr>
          <w:p w:rsidR="007F4B59" w:rsidRPr="00680D90" w:rsidRDefault="007F4B59" w:rsidP="007F4B59">
            <w:pPr>
              <w:jc w:val="both"/>
              <w:rPr>
                <w:color w:val="000000"/>
                <w:sz w:val="20"/>
                <w:szCs w:val="20"/>
                <w:lang w:eastAsia="en-GB"/>
              </w:rPr>
            </w:pPr>
            <w:r w:rsidRPr="00680D90">
              <w:rPr>
                <w:color w:val="000000"/>
                <w:sz w:val="20"/>
                <w:szCs w:val="20"/>
                <w:lang w:eastAsia="en-GB"/>
              </w:rPr>
              <w:t>Medicines Management</w:t>
            </w:r>
          </w:p>
        </w:tc>
        <w:tc>
          <w:tcPr>
            <w:tcW w:w="1767" w:type="dxa"/>
            <w:tcBorders>
              <w:top w:val="nil"/>
              <w:left w:val="nil"/>
              <w:bottom w:val="single" w:sz="8" w:space="0" w:color="auto"/>
              <w:right w:val="single" w:sz="8" w:space="0" w:color="auto"/>
            </w:tcBorders>
            <w:shd w:val="clear" w:color="auto" w:fill="auto"/>
            <w:vAlign w:val="center"/>
            <w:hideMark/>
          </w:tcPr>
          <w:p w:rsidR="007F4B59" w:rsidRDefault="007F4B59" w:rsidP="007F4B59">
            <w:pPr>
              <w:jc w:val="right"/>
              <w:rPr>
                <w:sz w:val="20"/>
                <w:szCs w:val="20"/>
              </w:rPr>
            </w:pPr>
            <w:r>
              <w:rPr>
                <w:sz w:val="20"/>
                <w:szCs w:val="20"/>
              </w:rPr>
              <w:t>119,176</w:t>
            </w:r>
          </w:p>
        </w:tc>
        <w:tc>
          <w:tcPr>
            <w:tcW w:w="1756" w:type="dxa"/>
            <w:tcBorders>
              <w:top w:val="nil"/>
              <w:left w:val="nil"/>
              <w:bottom w:val="single" w:sz="8" w:space="0" w:color="auto"/>
              <w:right w:val="nil"/>
            </w:tcBorders>
            <w:shd w:val="clear" w:color="auto" w:fill="auto"/>
            <w:vAlign w:val="center"/>
            <w:hideMark/>
          </w:tcPr>
          <w:p w:rsidR="007F4B59" w:rsidRDefault="007F4B59" w:rsidP="007F4B59">
            <w:pPr>
              <w:jc w:val="right"/>
              <w:rPr>
                <w:sz w:val="20"/>
                <w:szCs w:val="20"/>
              </w:rPr>
            </w:pPr>
            <w:r>
              <w:rPr>
                <w:sz w:val="20"/>
                <w:szCs w:val="20"/>
              </w:rPr>
              <w:t>21</w:t>
            </w:r>
          </w:p>
        </w:tc>
        <w:tc>
          <w:tcPr>
            <w:tcW w:w="2209" w:type="dxa"/>
            <w:tcBorders>
              <w:top w:val="nil"/>
              <w:left w:val="single" w:sz="4" w:space="0" w:color="auto"/>
              <w:bottom w:val="single" w:sz="8" w:space="0" w:color="auto"/>
              <w:right w:val="single" w:sz="4" w:space="0" w:color="auto"/>
            </w:tcBorders>
            <w:shd w:val="clear" w:color="auto" w:fill="auto"/>
            <w:vAlign w:val="center"/>
            <w:hideMark/>
          </w:tcPr>
          <w:p w:rsidR="007F4B59" w:rsidRDefault="007F4B59" w:rsidP="007F4B59">
            <w:pPr>
              <w:jc w:val="right"/>
              <w:rPr>
                <w:sz w:val="20"/>
                <w:szCs w:val="20"/>
              </w:rPr>
            </w:pPr>
            <w:r>
              <w:rPr>
                <w:sz w:val="20"/>
                <w:szCs w:val="20"/>
              </w:rPr>
              <w:t>393</w:t>
            </w:r>
          </w:p>
        </w:tc>
        <w:tc>
          <w:tcPr>
            <w:tcW w:w="1780" w:type="dxa"/>
            <w:tcBorders>
              <w:top w:val="nil"/>
              <w:left w:val="nil"/>
              <w:bottom w:val="single" w:sz="8" w:space="0" w:color="auto"/>
              <w:right w:val="single" w:sz="8" w:space="0" w:color="auto"/>
            </w:tcBorders>
            <w:shd w:val="clear" w:color="auto" w:fill="auto"/>
            <w:vAlign w:val="center"/>
            <w:hideMark/>
          </w:tcPr>
          <w:p w:rsidR="007F4B59" w:rsidRDefault="007F4B59" w:rsidP="007F4B59">
            <w:pPr>
              <w:jc w:val="right"/>
              <w:rPr>
                <w:sz w:val="20"/>
                <w:szCs w:val="20"/>
              </w:rPr>
            </w:pPr>
            <w:r>
              <w:rPr>
                <w:sz w:val="20"/>
                <w:szCs w:val="20"/>
              </w:rPr>
              <w:t>372</w:t>
            </w:r>
          </w:p>
        </w:tc>
        <w:tc>
          <w:tcPr>
            <w:tcW w:w="3819" w:type="dxa"/>
            <w:tcBorders>
              <w:top w:val="nil"/>
              <w:left w:val="single" w:sz="4" w:space="0" w:color="auto"/>
              <w:bottom w:val="single" w:sz="8" w:space="0" w:color="auto"/>
              <w:right w:val="single" w:sz="4" w:space="0" w:color="auto"/>
            </w:tcBorders>
            <w:shd w:val="clear" w:color="auto" w:fill="auto"/>
            <w:vAlign w:val="center"/>
            <w:hideMark/>
          </w:tcPr>
          <w:p w:rsidR="007F4B59" w:rsidRDefault="007F4B59" w:rsidP="007F4B59">
            <w:pPr>
              <w:jc w:val="right"/>
              <w:rPr>
                <w:sz w:val="20"/>
                <w:szCs w:val="20"/>
              </w:rPr>
            </w:pPr>
            <w:r>
              <w:rPr>
                <w:sz w:val="20"/>
                <w:szCs w:val="20"/>
              </w:rPr>
              <w:t>2,092</w:t>
            </w:r>
          </w:p>
        </w:tc>
      </w:tr>
      <w:tr w:rsidR="007F4B59" w:rsidRPr="0093751E" w:rsidTr="003C4364">
        <w:trPr>
          <w:trHeight w:val="273"/>
          <w:jc w:val="center"/>
        </w:trPr>
        <w:tc>
          <w:tcPr>
            <w:tcW w:w="3387" w:type="dxa"/>
            <w:tcBorders>
              <w:top w:val="single" w:sz="8" w:space="0" w:color="auto"/>
              <w:left w:val="single" w:sz="8" w:space="0" w:color="auto"/>
              <w:bottom w:val="single" w:sz="8" w:space="0" w:color="auto"/>
              <w:right w:val="single" w:sz="8" w:space="0" w:color="auto"/>
            </w:tcBorders>
            <w:shd w:val="clear" w:color="000000" w:fill="8DB3E2" w:themeFill="text2" w:themeFillTint="66"/>
            <w:vAlign w:val="center"/>
            <w:hideMark/>
          </w:tcPr>
          <w:p w:rsidR="007F4B59" w:rsidRPr="00680D90" w:rsidRDefault="007F4B59" w:rsidP="007F4B59">
            <w:pPr>
              <w:jc w:val="right"/>
              <w:rPr>
                <w:b/>
                <w:bCs/>
                <w:color w:val="000000"/>
                <w:sz w:val="20"/>
                <w:szCs w:val="20"/>
                <w:lang w:eastAsia="en-GB"/>
              </w:rPr>
            </w:pPr>
            <w:r w:rsidRPr="00680D90">
              <w:rPr>
                <w:b/>
                <w:bCs/>
                <w:color w:val="000000"/>
                <w:sz w:val="20"/>
                <w:szCs w:val="20"/>
                <w:lang w:eastAsia="en-GB"/>
              </w:rPr>
              <w:t>Total PCMH</w:t>
            </w:r>
          </w:p>
        </w:tc>
        <w:tc>
          <w:tcPr>
            <w:tcW w:w="1767" w:type="dxa"/>
            <w:tcBorders>
              <w:top w:val="single" w:sz="8" w:space="0" w:color="auto"/>
              <w:left w:val="nil"/>
              <w:bottom w:val="single" w:sz="8" w:space="0" w:color="auto"/>
              <w:right w:val="single" w:sz="8" w:space="0" w:color="auto"/>
            </w:tcBorders>
            <w:shd w:val="clear" w:color="000000" w:fill="8DB3E2" w:themeFill="text2" w:themeFillTint="66"/>
            <w:vAlign w:val="center"/>
            <w:hideMark/>
          </w:tcPr>
          <w:p w:rsidR="007F4B59" w:rsidRDefault="007F4B59" w:rsidP="007F4B59">
            <w:pPr>
              <w:jc w:val="right"/>
              <w:rPr>
                <w:b/>
                <w:bCs/>
                <w:sz w:val="20"/>
                <w:szCs w:val="20"/>
              </w:rPr>
            </w:pPr>
            <w:r>
              <w:rPr>
                <w:b/>
                <w:bCs/>
                <w:sz w:val="20"/>
                <w:szCs w:val="20"/>
              </w:rPr>
              <w:t>297,357</w:t>
            </w:r>
          </w:p>
        </w:tc>
        <w:tc>
          <w:tcPr>
            <w:tcW w:w="1756" w:type="dxa"/>
            <w:tcBorders>
              <w:top w:val="single" w:sz="8" w:space="0" w:color="auto"/>
              <w:left w:val="nil"/>
              <w:bottom w:val="single" w:sz="8" w:space="0" w:color="auto"/>
              <w:right w:val="nil"/>
            </w:tcBorders>
            <w:shd w:val="clear" w:color="000000" w:fill="8DB3E2" w:themeFill="text2" w:themeFillTint="66"/>
            <w:vAlign w:val="center"/>
            <w:hideMark/>
          </w:tcPr>
          <w:p w:rsidR="007F4B59" w:rsidRDefault="007F4B59" w:rsidP="007F4B59">
            <w:pPr>
              <w:jc w:val="right"/>
              <w:rPr>
                <w:b/>
                <w:bCs/>
                <w:sz w:val="20"/>
                <w:szCs w:val="20"/>
              </w:rPr>
            </w:pPr>
            <w:r>
              <w:rPr>
                <w:b/>
                <w:bCs/>
                <w:color w:val="FF0000"/>
                <w:sz w:val="20"/>
                <w:szCs w:val="20"/>
              </w:rPr>
              <w:t>(286)</w:t>
            </w:r>
          </w:p>
        </w:tc>
        <w:tc>
          <w:tcPr>
            <w:tcW w:w="2209"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7F4B59" w:rsidRDefault="007F4B59" w:rsidP="007F4B59">
            <w:pPr>
              <w:jc w:val="right"/>
              <w:rPr>
                <w:b/>
                <w:bCs/>
                <w:sz w:val="20"/>
                <w:szCs w:val="20"/>
              </w:rPr>
            </w:pPr>
            <w:r>
              <w:rPr>
                <w:b/>
                <w:bCs/>
                <w:sz w:val="20"/>
                <w:szCs w:val="20"/>
              </w:rPr>
              <w:t>930</w:t>
            </w:r>
          </w:p>
        </w:tc>
        <w:tc>
          <w:tcPr>
            <w:tcW w:w="1780" w:type="dxa"/>
            <w:tcBorders>
              <w:top w:val="single" w:sz="8" w:space="0" w:color="auto"/>
              <w:left w:val="nil"/>
              <w:bottom w:val="single" w:sz="8" w:space="0" w:color="auto"/>
              <w:right w:val="single" w:sz="8" w:space="0" w:color="auto"/>
            </w:tcBorders>
            <w:shd w:val="clear" w:color="000000" w:fill="8DB3E2" w:themeFill="text2" w:themeFillTint="66"/>
            <w:vAlign w:val="center"/>
            <w:hideMark/>
          </w:tcPr>
          <w:p w:rsidR="007F4B59" w:rsidRDefault="007F4B59" w:rsidP="007F4B59">
            <w:pPr>
              <w:jc w:val="right"/>
              <w:rPr>
                <w:b/>
                <w:bCs/>
                <w:sz w:val="20"/>
                <w:szCs w:val="20"/>
              </w:rPr>
            </w:pPr>
            <w:r>
              <w:rPr>
                <w:b/>
                <w:bCs/>
                <w:sz w:val="20"/>
                <w:szCs w:val="20"/>
              </w:rPr>
              <w:t>1,216</w:t>
            </w:r>
          </w:p>
        </w:tc>
        <w:tc>
          <w:tcPr>
            <w:tcW w:w="3819"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7F4B59" w:rsidRDefault="007F4B59" w:rsidP="007F4B59">
            <w:pPr>
              <w:jc w:val="right"/>
              <w:rPr>
                <w:b/>
                <w:bCs/>
                <w:sz w:val="20"/>
                <w:szCs w:val="20"/>
              </w:rPr>
            </w:pPr>
            <w:r>
              <w:rPr>
                <w:b/>
                <w:bCs/>
                <w:sz w:val="20"/>
                <w:szCs w:val="20"/>
              </w:rPr>
              <w:t>2,711</w:t>
            </w:r>
          </w:p>
        </w:tc>
      </w:tr>
      <w:tr w:rsidR="007F4B59" w:rsidRPr="0093751E" w:rsidTr="003C4364">
        <w:trPr>
          <w:trHeight w:val="257"/>
          <w:jc w:val="center"/>
        </w:trPr>
        <w:tc>
          <w:tcPr>
            <w:tcW w:w="3387" w:type="dxa"/>
            <w:tcBorders>
              <w:top w:val="nil"/>
              <w:left w:val="single" w:sz="8" w:space="0" w:color="auto"/>
              <w:bottom w:val="single" w:sz="4" w:space="0" w:color="auto"/>
              <w:right w:val="single" w:sz="8" w:space="0" w:color="auto"/>
            </w:tcBorders>
            <w:shd w:val="clear" w:color="auto" w:fill="auto"/>
            <w:vAlign w:val="center"/>
            <w:hideMark/>
          </w:tcPr>
          <w:p w:rsidR="007F4B59" w:rsidRPr="00680D90" w:rsidRDefault="007F4B59" w:rsidP="007F4B59">
            <w:pPr>
              <w:jc w:val="both"/>
              <w:rPr>
                <w:color w:val="000000"/>
                <w:sz w:val="20"/>
                <w:szCs w:val="20"/>
                <w:lang w:eastAsia="en-GB"/>
              </w:rPr>
            </w:pPr>
            <w:r w:rsidRPr="00680D90">
              <w:rPr>
                <w:color w:val="000000"/>
                <w:sz w:val="20"/>
                <w:szCs w:val="20"/>
                <w:lang w:eastAsia="en-GB"/>
              </w:rPr>
              <w:t>Contracting &amp; Commissioning</w:t>
            </w:r>
          </w:p>
        </w:tc>
        <w:tc>
          <w:tcPr>
            <w:tcW w:w="1767" w:type="dxa"/>
            <w:tcBorders>
              <w:top w:val="nil"/>
              <w:left w:val="nil"/>
              <w:bottom w:val="single" w:sz="4" w:space="0" w:color="auto"/>
              <w:right w:val="single" w:sz="8" w:space="0" w:color="auto"/>
            </w:tcBorders>
            <w:shd w:val="clear" w:color="auto" w:fill="auto"/>
            <w:vAlign w:val="center"/>
            <w:hideMark/>
          </w:tcPr>
          <w:p w:rsidR="007F4B59" w:rsidRDefault="007F4B59" w:rsidP="007F4B59">
            <w:pPr>
              <w:jc w:val="right"/>
              <w:rPr>
                <w:sz w:val="20"/>
                <w:szCs w:val="20"/>
              </w:rPr>
            </w:pPr>
            <w:r>
              <w:rPr>
                <w:sz w:val="20"/>
                <w:szCs w:val="20"/>
              </w:rPr>
              <w:t>192,098</w:t>
            </w:r>
          </w:p>
        </w:tc>
        <w:tc>
          <w:tcPr>
            <w:tcW w:w="1756" w:type="dxa"/>
            <w:tcBorders>
              <w:top w:val="nil"/>
              <w:left w:val="nil"/>
              <w:bottom w:val="single" w:sz="4" w:space="0" w:color="auto"/>
              <w:right w:val="nil"/>
            </w:tcBorders>
            <w:shd w:val="clear" w:color="auto" w:fill="auto"/>
            <w:vAlign w:val="center"/>
            <w:hideMark/>
          </w:tcPr>
          <w:p w:rsidR="007F4B59" w:rsidRDefault="007F4B59" w:rsidP="007F4B59">
            <w:pPr>
              <w:jc w:val="right"/>
              <w:rPr>
                <w:sz w:val="20"/>
                <w:szCs w:val="20"/>
              </w:rPr>
            </w:pPr>
            <w:r>
              <w:rPr>
                <w:color w:val="FF0000"/>
                <w:sz w:val="20"/>
                <w:szCs w:val="20"/>
              </w:rPr>
              <w:t>(515)</w:t>
            </w:r>
          </w:p>
        </w:tc>
        <w:tc>
          <w:tcPr>
            <w:tcW w:w="2209" w:type="dxa"/>
            <w:tcBorders>
              <w:top w:val="nil"/>
              <w:left w:val="single" w:sz="4" w:space="0" w:color="auto"/>
              <w:bottom w:val="single" w:sz="4" w:space="0" w:color="auto"/>
              <w:right w:val="single" w:sz="4" w:space="0" w:color="auto"/>
            </w:tcBorders>
            <w:shd w:val="clear" w:color="auto" w:fill="auto"/>
            <w:vAlign w:val="center"/>
            <w:hideMark/>
          </w:tcPr>
          <w:p w:rsidR="007F4B59" w:rsidRDefault="007F4B59" w:rsidP="007F4B59">
            <w:pPr>
              <w:jc w:val="right"/>
              <w:rPr>
                <w:sz w:val="20"/>
                <w:szCs w:val="20"/>
              </w:rPr>
            </w:pPr>
            <w:r>
              <w:rPr>
                <w:sz w:val="20"/>
                <w:szCs w:val="20"/>
              </w:rPr>
              <w:t>385</w:t>
            </w:r>
          </w:p>
        </w:tc>
        <w:tc>
          <w:tcPr>
            <w:tcW w:w="1780" w:type="dxa"/>
            <w:tcBorders>
              <w:top w:val="nil"/>
              <w:left w:val="nil"/>
              <w:bottom w:val="single" w:sz="4" w:space="0" w:color="auto"/>
              <w:right w:val="single" w:sz="8" w:space="0" w:color="auto"/>
            </w:tcBorders>
            <w:shd w:val="clear" w:color="auto" w:fill="auto"/>
            <w:vAlign w:val="center"/>
            <w:hideMark/>
          </w:tcPr>
          <w:p w:rsidR="007F4B59" w:rsidRDefault="007F4B59" w:rsidP="007F4B59">
            <w:pPr>
              <w:jc w:val="right"/>
              <w:rPr>
                <w:sz w:val="20"/>
                <w:szCs w:val="20"/>
              </w:rPr>
            </w:pPr>
            <w:r>
              <w:rPr>
                <w:sz w:val="20"/>
                <w:szCs w:val="20"/>
              </w:rPr>
              <w:t>900</w:t>
            </w:r>
          </w:p>
        </w:tc>
        <w:tc>
          <w:tcPr>
            <w:tcW w:w="3819" w:type="dxa"/>
            <w:tcBorders>
              <w:top w:val="nil"/>
              <w:left w:val="single" w:sz="4" w:space="0" w:color="auto"/>
              <w:bottom w:val="single" w:sz="4" w:space="0" w:color="auto"/>
              <w:right w:val="single" w:sz="4" w:space="0" w:color="auto"/>
            </w:tcBorders>
            <w:shd w:val="clear" w:color="auto" w:fill="auto"/>
            <w:vAlign w:val="center"/>
            <w:hideMark/>
          </w:tcPr>
          <w:p w:rsidR="007F4B59" w:rsidRDefault="007F4B59" w:rsidP="007F4B59">
            <w:pPr>
              <w:jc w:val="right"/>
              <w:rPr>
                <w:sz w:val="20"/>
                <w:szCs w:val="20"/>
              </w:rPr>
            </w:pPr>
            <w:r>
              <w:rPr>
                <w:color w:val="FF0000"/>
                <w:sz w:val="20"/>
                <w:szCs w:val="20"/>
              </w:rPr>
              <w:t>(542)</w:t>
            </w:r>
          </w:p>
        </w:tc>
      </w:tr>
      <w:tr w:rsidR="007F4B59" w:rsidRPr="0093751E" w:rsidTr="003C4364">
        <w:trPr>
          <w:trHeight w:val="273"/>
          <w:jc w:val="center"/>
        </w:trPr>
        <w:tc>
          <w:tcPr>
            <w:tcW w:w="3387" w:type="dxa"/>
            <w:tcBorders>
              <w:top w:val="nil"/>
              <w:left w:val="single" w:sz="8" w:space="0" w:color="auto"/>
              <w:bottom w:val="single" w:sz="8" w:space="0" w:color="auto"/>
              <w:right w:val="single" w:sz="8" w:space="0" w:color="auto"/>
            </w:tcBorders>
            <w:shd w:val="clear" w:color="auto" w:fill="auto"/>
            <w:vAlign w:val="center"/>
            <w:hideMark/>
          </w:tcPr>
          <w:p w:rsidR="007F4B59" w:rsidRPr="00680D90" w:rsidRDefault="007F4B59" w:rsidP="007F4B59">
            <w:pPr>
              <w:jc w:val="both"/>
              <w:rPr>
                <w:color w:val="000000"/>
                <w:sz w:val="20"/>
                <w:szCs w:val="20"/>
                <w:lang w:eastAsia="en-GB"/>
              </w:rPr>
            </w:pPr>
            <w:r w:rsidRPr="00680D90">
              <w:rPr>
                <w:color w:val="000000"/>
                <w:sz w:val="20"/>
                <w:szCs w:val="20"/>
                <w:lang w:eastAsia="en-GB"/>
              </w:rPr>
              <w:t>Corporate Functions</w:t>
            </w:r>
          </w:p>
        </w:tc>
        <w:tc>
          <w:tcPr>
            <w:tcW w:w="1767" w:type="dxa"/>
            <w:tcBorders>
              <w:top w:val="nil"/>
              <w:left w:val="nil"/>
              <w:bottom w:val="single" w:sz="8" w:space="0" w:color="auto"/>
              <w:right w:val="single" w:sz="8" w:space="0" w:color="auto"/>
            </w:tcBorders>
            <w:shd w:val="clear" w:color="auto" w:fill="auto"/>
            <w:vAlign w:val="center"/>
            <w:hideMark/>
          </w:tcPr>
          <w:p w:rsidR="007F4B59" w:rsidRDefault="007F4B59" w:rsidP="007F4B59">
            <w:pPr>
              <w:jc w:val="right"/>
              <w:rPr>
                <w:sz w:val="20"/>
                <w:szCs w:val="20"/>
              </w:rPr>
            </w:pPr>
            <w:r>
              <w:rPr>
                <w:sz w:val="20"/>
                <w:szCs w:val="20"/>
              </w:rPr>
              <w:t>40,832</w:t>
            </w:r>
          </w:p>
        </w:tc>
        <w:tc>
          <w:tcPr>
            <w:tcW w:w="1756" w:type="dxa"/>
            <w:tcBorders>
              <w:top w:val="nil"/>
              <w:left w:val="nil"/>
              <w:bottom w:val="single" w:sz="8" w:space="0" w:color="auto"/>
              <w:right w:val="nil"/>
            </w:tcBorders>
            <w:shd w:val="clear" w:color="auto" w:fill="auto"/>
            <w:vAlign w:val="center"/>
            <w:hideMark/>
          </w:tcPr>
          <w:p w:rsidR="007F4B59" w:rsidRDefault="007F4B59" w:rsidP="007F4B59">
            <w:pPr>
              <w:jc w:val="right"/>
              <w:rPr>
                <w:sz w:val="20"/>
                <w:szCs w:val="20"/>
              </w:rPr>
            </w:pPr>
            <w:r>
              <w:rPr>
                <w:sz w:val="20"/>
                <w:szCs w:val="20"/>
              </w:rPr>
              <w:t>122</w:t>
            </w:r>
          </w:p>
        </w:tc>
        <w:tc>
          <w:tcPr>
            <w:tcW w:w="2209" w:type="dxa"/>
            <w:tcBorders>
              <w:top w:val="nil"/>
              <w:left w:val="single" w:sz="4" w:space="0" w:color="auto"/>
              <w:bottom w:val="single" w:sz="8" w:space="0" w:color="auto"/>
              <w:right w:val="single" w:sz="4" w:space="0" w:color="auto"/>
            </w:tcBorders>
            <w:shd w:val="clear" w:color="auto" w:fill="auto"/>
            <w:vAlign w:val="center"/>
            <w:hideMark/>
          </w:tcPr>
          <w:p w:rsidR="007F4B59" w:rsidRDefault="007F4B59" w:rsidP="007F4B59">
            <w:pPr>
              <w:jc w:val="right"/>
              <w:rPr>
                <w:sz w:val="20"/>
                <w:szCs w:val="20"/>
              </w:rPr>
            </w:pPr>
            <w:r>
              <w:rPr>
                <w:sz w:val="20"/>
                <w:szCs w:val="20"/>
              </w:rPr>
              <w:t>136</w:t>
            </w:r>
          </w:p>
        </w:tc>
        <w:tc>
          <w:tcPr>
            <w:tcW w:w="1780" w:type="dxa"/>
            <w:tcBorders>
              <w:top w:val="nil"/>
              <w:left w:val="nil"/>
              <w:bottom w:val="single" w:sz="8" w:space="0" w:color="auto"/>
              <w:right w:val="single" w:sz="8" w:space="0" w:color="auto"/>
            </w:tcBorders>
            <w:shd w:val="clear" w:color="auto" w:fill="auto"/>
            <w:vAlign w:val="center"/>
            <w:hideMark/>
          </w:tcPr>
          <w:p w:rsidR="007F4B59" w:rsidRDefault="007F4B59" w:rsidP="007F4B59">
            <w:pPr>
              <w:jc w:val="right"/>
              <w:rPr>
                <w:sz w:val="20"/>
                <w:szCs w:val="20"/>
              </w:rPr>
            </w:pPr>
            <w:r>
              <w:rPr>
                <w:sz w:val="20"/>
                <w:szCs w:val="20"/>
              </w:rPr>
              <w:t>14</w:t>
            </w:r>
          </w:p>
        </w:tc>
        <w:tc>
          <w:tcPr>
            <w:tcW w:w="3819" w:type="dxa"/>
            <w:tcBorders>
              <w:top w:val="nil"/>
              <w:left w:val="single" w:sz="4" w:space="0" w:color="auto"/>
              <w:bottom w:val="single" w:sz="8" w:space="0" w:color="auto"/>
              <w:right w:val="single" w:sz="4" w:space="0" w:color="auto"/>
            </w:tcBorders>
            <w:shd w:val="clear" w:color="auto" w:fill="auto"/>
            <w:vAlign w:val="center"/>
            <w:hideMark/>
          </w:tcPr>
          <w:p w:rsidR="007F4B59" w:rsidRDefault="007F4B59" w:rsidP="007F4B59">
            <w:pPr>
              <w:jc w:val="right"/>
              <w:rPr>
                <w:sz w:val="20"/>
                <w:szCs w:val="20"/>
              </w:rPr>
            </w:pPr>
            <w:r>
              <w:rPr>
                <w:sz w:val="20"/>
                <w:szCs w:val="20"/>
              </w:rPr>
              <w:t>266</w:t>
            </w:r>
          </w:p>
        </w:tc>
      </w:tr>
      <w:tr w:rsidR="007F4B59" w:rsidRPr="0093751E" w:rsidTr="003C4364">
        <w:trPr>
          <w:trHeight w:val="273"/>
          <w:jc w:val="center"/>
        </w:trPr>
        <w:tc>
          <w:tcPr>
            <w:tcW w:w="3387" w:type="dxa"/>
            <w:tcBorders>
              <w:top w:val="single" w:sz="8" w:space="0" w:color="auto"/>
              <w:left w:val="single" w:sz="8" w:space="0" w:color="auto"/>
              <w:bottom w:val="single" w:sz="8" w:space="0" w:color="auto"/>
              <w:right w:val="single" w:sz="8" w:space="0" w:color="auto"/>
            </w:tcBorders>
            <w:shd w:val="clear" w:color="000000" w:fill="8DB3E2" w:themeFill="text2" w:themeFillTint="66"/>
            <w:vAlign w:val="center"/>
            <w:hideMark/>
          </w:tcPr>
          <w:p w:rsidR="007F4B59" w:rsidRPr="0093751E" w:rsidRDefault="007F4B59" w:rsidP="007F4B59">
            <w:pPr>
              <w:jc w:val="right"/>
              <w:rPr>
                <w:b/>
                <w:bCs/>
                <w:color w:val="000000"/>
                <w:sz w:val="20"/>
                <w:szCs w:val="20"/>
                <w:lang w:eastAsia="en-GB"/>
              </w:rPr>
            </w:pPr>
            <w:r w:rsidRPr="0093751E">
              <w:rPr>
                <w:b/>
                <w:bCs/>
                <w:color w:val="000000"/>
                <w:sz w:val="20"/>
                <w:szCs w:val="20"/>
                <w:lang w:eastAsia="en-GB"/>
              </w:rPr>
              <w:t>GRAND TOTAL</w:t>
            </w:r>
          </w:p>
        </w:tc>
        <w:tc>
          <w:tcPr>
            <w:tcW w:w="1767" w:type="dxa"/>
            <w:tcBorders>
              <w:top w:val="single" w:sz="8" w:space="0" w:color="auto"/>
              <w:left w:val="nil"/>
              <w:bottom w:val="single" w:sz="8" w:space="0" w:color="auto"/>
              <w:right w:val="single" w:sz="8" w:space="0" w:color="auto"/>
            </w:tcBorders>
            <w:shd w:val="clear" w:color="000000" w:fill="8DB3E2" w:themeFill="text2" w:themeFillTint="66"/>
            <w:vAlign w:val="center"/>
            <w:hideMark/>
          </w:tcPr>
          <w:p w:rsidR="007F4B59" w:rsidRDefault="007F4B59" w:rsidP="007F4B59">
            <w:pPr>
              <w:jc w:val="right"/>
              <w:rPr>
                <w:b/>
                <w:bCs/>
                <w:sz w:val="20"/>
                <w:szCs w:val="20"/>
              </w:rPr>
            </w:pPr>
            <w:r>
              <w:rPr>
                <w:b/>
                <w:bCs/>
                <w:sz w:val="20"/>
                <w:szCs w:val="20"/>
              </w:rPr>
              <w:t>626,430</w:t>
            </w:r>
          </w:p>
        </w:tc>
        <w:tc>
          <w:tcPr>
            <w:tcW w:w="1756" w:type="dxa"/>
            <w:tcBorders>
              <w:top w:val="single" w:sz="8" w:space="0" w:color="auto"/>
              <w:left w:val="nil"/>
              <w:bottom w:val="single" w:sz="8" w:space="0" w:color="auto"/>
              <w:right w:val="nil"/>
            </w:tcBorders>
            <w:shd w:val="clear" w:color="000000" w:fill="8DB3E2" w:themeFill="text2" w:themeFillTint="66"/>
            <w:vAlign w:val="center"/>
            <w:hideMark/>
          </w:tcPr>
          <w:p w:rsidR="007F4B59" w:rsidRDefault="007F4B59" w:rsidP="007F4B59">
            <w:pPr>
              <w:jc w:val="right"/>
              <w:rPr>
                <w:b/>
                <w:bCs/>
                <w:sz w:val="20"/>
                <w:szCs w:val="20"/>
              </w:rPr>
            </w:pPr>
            <w:r>
              <w:rPr>
                <w:b/>
                <w:bCs/>
                <w:color w:val="FF0000"/>
                <w:sz w:val="20"/>
                <w:szCs w:val="20"/>
              </w:rPr>
              <w:t>(750)</w:t>
            </w:r>
          </w:p>
        </w:tc>
        <w:tc>
          <w:tcPr>
            <w:tcW w:w="2209"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7F4B59" w:rsidRDefault="007F4B59" w:rsidP="007F4B59">
            <w:pPr>
              <w:jc w:val="right"/>
              <w:rPr>
                <w:b/>
                <w:bCs/>
                <w:sz w:val="20"/>
                <w:szCs w:val="20"/>
              </w:rPr>
            </w:pPr>
            <w:r>
              <w:rPr>
                <w:b/>
                <w:bCs/>
                <w:sz w:val="20"/>
                <w:szCs w:val="20"/>
              </w:rPr>
              <w:t>1,547</w:t>
            </w:r>
          </w:p>
        </w:tc>
        <w:tc>
          <w:tcPr>
            <w:tcW w:w="1780" w:type="dxa"/>
            <w:tcBorders>
              <w:top w:val="single" w:sz="8" w:space="0" w:color="auto"/>
              <w:left w:val="nil"/>
              <w:bottom w:val="single" w:sz="8" w:space="0" w:color="auto"/>
              <w:right w:val="single" w:sz="8" w:space="0" w:color="auto"/>
            </w:tcBorders>
            <w:shd w:val="clear" w:color="000000" w:fill="8DB3E2" w:themeFill="text2" w:themeFillTint="66"/>
            <w:vAlign w:val="center"/>
            <w:hideMark/>
          </w:tcPr>
          <w:p w:rsidR="007F4B59" w:rsidRDefault="007F4B59" w:rsidP="007F4B59">
            <w:pPr>
              <w:jc w:val="right"/>
              <w:rPr>
                <w:b/>
                <w:bCs/>
                <w:sz w:val="20"/>
                <w:szCs w:val="20"/>
              </w:rPr>
            </w:pPr>
            <w:r>
              <w:rPr>
                <w:b/>
                <w:bCs/>
                <w:sz w:val="20"/>
                <w:szCs w:val="20"/>
              </w:rPr>
              <w:t>2,296</w:t>
            </w:r>
          </w:p>
        </w:tc>
        <w:tc>
          <w:tcPr>
            <w:tcW w:w="3819"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7F4B59" w:rsidRDefault="007F4B59" w:rsidP="007F4B59">
            <w:pPr>
              <w:jc w:val="right"/>
              <w:rPr>
                <w:b/>
                <w:bCs/>
                <w:sz w:val="20"/>
                <w:szCs w:val="20"/>
              </w:rPr>
            </w:pPr>
            <w:r>
              <w:rPr>
                <w:b/>
                <w:bCs/>
                <w:sz w:val="20"/>
                <w:szCs w:val="20"/>
              </w:rPr>
              <w:t>5,073</w:t>
            </w:r>
          </w:p>
        </w:tc>
      </w:tr>
    </w:tbl>
    <w:p w:rsidR="0054713E" w:rsidRDefault="0054713E" w:rsidP="0054713E">
      <w:pPr>
        <w:ind w:left="709"/>
        <w:jc w:val="both"/>
        <w:rPr>
          <w:rFonts w:cs="Tahoma"/>
          <w:b/>
          <w:bCs/>
          <w:sz w:val="20"/>
          <w:szCs w:val="20"/>
          <w:u w:val="single"/>
        </w:rPr>
      </w:pPr>
      <w:r w:rsidRPr="0093751E">
        <w:rPr>
          <w:noProof/>
          <w:lang w:eastAsia="en-GB"/>
        </w:rPr>
        <mc:AlternateContent>
          <mc:Choice Requires="wps">
            <w:drawing>
              <wp:anchor distT="0" distB="0" distL="114300" distR="114300" simplePos="0" relativeHeight="251803648" behindDoc="0" locked="0" layoutInCell="1" allowOverlap="1" wp14:anchorId="09A0377B" wp14:editId="627D25B3">
                <wp:simplePos x="0" y="0"/>
                <wp:positionH relativeFrom="column">
                  <wp:posOffset>274576</wp:posOffset>
                </wp:positionH>
                <wp:positionV relativeFrom="paragraph">
                  <wp:posOffset>73945</wp:posOffset>
                </wp:positionV>
                <wp:extent cx="9353550" cy="2146442"/>
                <wp:effectExtent l="0" t="0" r="19050" b="25400"/>
                <wp:wrapNone/>
                <wp:docPr id="22"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9353550" cy="2146442"/>
                        </a:xfrm>
                        <a:prstGeom prst="rect">
                          <a:avLst/>
                        </a:prstGeom>
                        <a:solidFill>
                          <a:srgbClr val="FFFFFF"/>
                        </a:solidFill>
                        <a:ln w="19050">
                          <a:solidFill>
                            <a:srgbClr val="8EB4E3"/>
                          </a:solidFill>
                          <a:miter lim="800000"/>
                          <a:headEnd/>
                          <a:tailEnd/>
                        </a:ln>
                      </wps:spPr>
                      <wps:txbx>
                        <w:txbxContent>
                          <w:p w:rsidR="00F66189" w:rsidRPr="00F43046" w:rsidRDefault="00F66189" w:rsidP="0054713E">
                            <w:pPr>
                              <w:rPr>
                                <w:b/>
                                <w:sz w:val="16"/>
                                <w:szCs w:val="16"/>
                              </w:rPr>
                            </w:pPr>
                            <w:r w:rsidRPr="00F43046">
                              <w:rPr>
                                <w:b/>
                                <w:sz w:val="16"/>
                                <w:szCs w:val="16"/>
                              </w:rPr>
                              <w:t xml:space="preserve">Key Issues: </w:t>
                            </w:r>
                          </w:p>
                          <w:p w:rsidR="00F66189" w:rsidRPr="00F43046" w:rsidRDefault="00F66189" w:rsidP="0039541E">
                            <w:pPr>
                              <w:rPr>
                                <w:sz w:val="16"/>
                                <w:szCs w:val="16"/>
                              </w:rPr>
                            </w:pPr>
                            <w:r w:rsidRPr="00F43046">
                              <w:rPr>
                                <w:sz w:val="16"/>
                                <w:szCs w:val="16"/>
                              </w:rPr>
                              <w:t xml:space="preserve">The most significant overspends within the M11 YTD Non pay overspend of £5.1m are as follows: </w:t>
                            </w:r>
                          </w:p>
                          <w:p w:rsidR="00F66189" w:rsidRPr="00F43046" w:rsidRDefault="00F66189" w:rsidP="007F4B59">
                            <w:pPr>
                              <w:pStyle w:val="ListParagraph"/>
                              <w:numPr>
                                <w:ilvl w:val="1"/>
                                <w:numId w:val="12"/>
                              </w:numPr>
                              <w:rPr>
                                <w:rFonts w:cs="Tahoma"/>
                                <w:bCs/>
                                <w:sz w:val="16"/>
                                <w:szCs w:val="16"/>
                              </w:rPr>
                            </w:pPr>
                            <w:r w:rsidRPr="00F43046">
                              <w:rPr>
                                <w:rFonts w:cs="Tahoma"/>
                                <w:bCs/>
                                <w:sz w:val="16"/>
                                <w:szCs w:val="16"/>
                              </w:rPr>
                              <w:t>Acute Medicine and A&amp;E £0.9m – Secondary care drugs £0.69m and M&amp;S Supplies £0.2m</w:t>
                            </w:r>
                          </w:p>
                          <w:p w:rsidR="00F66189" w:rsidRPr="00F43046" w:rsidRDefault="00F66189" w:rsidP="007F4B59">
                            <w:pPr>
                              <w:pStyle w:val="ListParagraph"/>
                              <w:numPr>
                                <w:ilvl w:val="1"/>
                                <w:numId w:val="12"/>
                              </w:numPr>
                              <w:rPr>
                                <w:rFonts w:cs="Tahoma"/>
                                <w:bCs/>
                                <w:sz w:val="16"/>
                                <w:szCs w:val="16"/>
                              </w:rPr>
                            </w:pPr>
                            <w:r w:rsidRPr="00F43046">
                              <w:rPr>
                                <w:rFonts w:cs="Tahoma"/>
                                <w:bCs/>
                                <w:sz w:val="16"/>
                                <w:szCs w:val="16"/>
                              </w:rPr>
                              <w:t>H&amp;N £0.2m – Secondary care drugs £0.14m</w:t>
                            </w:r>
                          </w:p>
                          <w:p w:rsidR="00F66189" w:rsidRPr="00F43046" w:rsidRDefault="00F66189" w:rsidP="007F4B59">
                            <w:pPr>
                              <w:pStyle w:val="ListParagraph"/>
                              <w:numPr>
                                <w:ilvl w:val="1"/>
                                <w:numId w:val="12"/>
                              </w:numPr>
                              <w:rPr>
                                <w:rFonts w:cs="Tahoma"/>
                                <w:bCs/>
                                <w:sz w:val="16"/>
                                <w:szCs w:val="16"/>
                              </w:rPr>
                            </w:pPr>
                            <w:r w:rsidRPr="00F43046">
                              <w:rPr>
                                <w:rFonts w:cs="Tahoma"/>
                                <w:bCs/>
                                <w:sz w:val="16"/>
                                <w:szCs w:val="16"/>
                              </w:rPr>
                              <w:t>POW Medicine £0.9m – Appliances £0.35m, M&amp;S supplies £0.32m and £0.2m Secondary care drugs</w:t>
                            </w:r>
                          </w:p>
                          <w:p w:rsidR="00F66189" w:rsidRPr="00F43046" w:rsidRDefault="00F66189" w:rsidP="007F4B59">
                            <w:pPr>
                              <w:pStyle w:val="ListParagraph"/>
                              <w:numPr>
                                <w:ilvl w:val="1"/>
                                <w:numId w:val="12"/>
                              </w:numPr>
                              <w:rPr>
                                <w:rFonts w:cs="Tahoma"/>
                                <w:bCs/>
                                <w:sz w:val="16"/>
                                <w:szCs w:val="16"/>
                              </w:rPr>
                            </w:pPr>
                            <w:r w:rsidRPr="00F43046">
                              <w:rPr>
                                <w:rFonts w:cs="Tahoma"/>
                                <w:bCs/>
                                <w:sz w:val="16"/>
                                <w:szCs w:val="16"/>
                              </w:rPr>
                              <w:t>Pathology £0.5m – M&amp;S £0.1m, Office Equipment/ICT £0.1m and SLAs £0.09m</w:t>
                            </w:r>
                          </w:p>
                          <w:p w:rsidR="00F66189" w:rsidRPr="00793158" w:rsidRDefault="00F66189" w:rsidP="007F4B59">
                            <w:pPr>
                              <w:pStyle w:val="ListParagraph"/>
                              <w:numPr>
                                <w:ilvl w:val="1"/>
                                <w:numId w:val="12"/>
                              </w:numPr>
                              <w:rPr>
                                <w:rFonts w:cs="Tahoma"/>
                                <w:bCs/>
                                <w:sz w:val="16"/>
                                <w:szCs w:val="16"/>
                              </w:rPr>
                            </w:pPr>
                            <w:r w:rsidRPr="00793158">
                              <w:rPr>
                                <w:rFonts w:cs="Tahoma"/>
                                <w:bCs/>
                                <w:sz w:val="16"/>
                                <w:szCs w:val="16"/>
                              </w:rPr>
                              <w:t>Radiology £0.3m- Reporting £0.26m</w:t>
                            </w:r>
                          </w:p>
                          <w:p w:rsidR="00F66189" w:rsidRPr="00793158" w:rsidRDefault="00F66189" w:rsidP="007F4B59">
                            <w:pPr>
                              <w:pStyle w:val="ListParagraph"/>
                              <w:numPr>
                                <w:ilvl w:val="1"/>
                                <w:numId w:val="12"/>
                              </w:numPr>
                              <w:rPr>
                                <w:rFonts w:cs="Tahoma"/>
                                <w:bCs/>
                                <w:sz w:val="16"/>
                                <w:szCs w:val="16"/>
                              </w:rPr>
                            </w:pPr>
                            <w:r w:rsidRPr="00793158">
                              <w:rPr>
                                <w:rFonts w:cs="Tahoma"/>
                                <w:bCs/>
                                <w:sz w:val="16"/>
                                <w:szCs w:val="16"/>
                              </w:rPr>
                              <w:t>Facilities £0.8m – Waste &amp;Transport £0.34m, Catering £0.16m, Building &amp; Engineering £0.09m Postage £0.06m, Laundry £0.04m</w:t>
                            </w:r>
                          </w:p>
                          <w:p w:rsidR="00F66189" w:rsidRPr="00793158" w:rsidRDefault="00F66189" w:rsidP="007F4B59">
                            <w:pPr>
                              <w:pStyle w:val="ListParagraph"/>
                              <w:numPr>
                                <w:ilvl w:val="1"/>
                                <w:numId w:val="12"/>
                              </w:numPr>
                              <w:rPr>
                                <w:rFonts w:cs="Tahoma"/>
                                <w:bCs/>
                                <w:sz w:val="16"/>
                                <w:szCs w:val="16"/>
                              </w:rPr>
                            </w:pPr>
                            <w:r w:rsidRPr="00793158">
                              <w:rPr>
                                <w:rFonts w:cs="Tahoma"/>
                                <w:bCs/>
                                <w:sz w:val="16"/>
                                <w:szCs w:val="16"/>
                              </w:rPr>
                              <w:t>Mental Health £0.5m – Continuing Healthcare £0.31m and Drugs £0.2m</w:t>
                            </w:r>
                          </w:p>
                          <w:p w:rsidR="00F66189" w:rsidRPr="00793158" w:rsidRDefault="00F66189" w:rsidP="007F4B59">
                            <w:pPr>
                              <w:pStyle w:val="ListParagraph"/>
                              <w:numPr>
                                <w:ilvl w:val="1"/>
                                <w:numId w:val="12"/>
                              </w:numPr>
                              <w:rPr>
                                <w:rFonts w:cs="Tahoma"/>
                                <w:bCs/>
                                <w:sz w:val="16"/>
                                <w:szCs w:val="16"/>
                              </w:rPr>
                            </w:pPr>
                            <w:r w:rsidRPr="00793158">
                              <w:rPr>
                                <w:rFonts w:cs="Tahoma"/>
                                <w:bCs/>
                                <w:sz w:val="16"/>
                                <w:szCs w:val="16"/>
                              </w:rPr>
                              <w:t>Medicines Mgt £2.1m – Primary Care Prescribing £1.7m, NICE £0.28m</w:t>
                            </w:r>
                          </w:p>
                          <w:p w:rsidR="00F66189" w:rsidRPr="00793158" w:rsidRDefault="00F66189" w:rsidP="007F4B59">
                            <w:pPr>
                              <w:pStyle w:val="ListParagraph"/>
                              <w:numPr>
                                <w:ilvl w:val="1"/>
                                <w:numId w:val="12"/>
                              </w:numPr>
                              <w:rPr>
                                <w:rFonts w:cs="Tahoma"/>
                                <w:bCs/>
                                <w:sz w:val="16"/>
                                <w:szCs w:val="16"/>
                              </w:rPr>
                            </w:pPr>
                            <w:r w:rsidRPr="00793158">
                              <w:rPr>
                                <w:rFonts w:cs="Tahoma"/>
                                <w:bCs/>
                                <w:sz w:val="16"/>
                                <w:szCs w:val="16"/>
                              </w:rPr>
                              <w:t xml:space="preserve">Estates £0.3m – B&amp;E £0.1m and Utilities £0.19m </w:t>
                            </w:r>
                          </w:p>
                          <w:p w:rsidR="00F66189" w:rsidRPr="00793158" w:rsidRDefault="00F66189" w:rsidP="00752FF7">
                            <w:pPr>
                              <w:rPr>
                                <w:rFonts w:cs="Tahoma"/>
                                <w:bCs/>
                                <w:sz w:val="16"/>
                                <w:szCs w:val="16"/>
                              </w:rPr>
                            </w:pPr>
                            <w:r w:rsidRPr="00793158">
                              <w:rPr>
                                <w:rFonts w:cs="Tahoma"/>
                                <w:bCs/>
                                <w:sz w:val="16"/>
                                <w:szCs w:val="16"/>
                              </w:rPr>
                              <w:t>The most significant movements between M10 and M11 are in the following areas:</w:t>
                            </w:r>
                          </w:p>
                          <w:p w:rsidR="00F66189" w:rsidRPr="00793158" w:rsidRDefault="00F66189" w:rsidP="007F4B59">
                            <w:pPr>
                              <w:pStyle w:val="ListParagraph"/>
                              <w:numPr>
                                <w:ilvl w:val="1"/>
                                <w:numId w:val="12"/>
                              </w:numPr>
                              <w:rPr>
                                <w:rFonts w:cs="Tahoma"/>
                                <w:bCs/>
                                <w:sz w:val="16"/>
                                <w:szCs w:val="16"/>
                              </w:rPr>
                            </w:pPr>
                            <w:r w:rsidRPr="00793158">
                              <w:rPr>
                                <w:rFonts w:cs="Tahoma"/>
                                <w:bCs/>
                                <w:sz w:val="16"/>
                                <w:szCs w:val="16"/>
                              </w:rPr>
                              <w:t>POW £0.35m- Correction in M10 for Surgical Supplies £0.4m, returning to normal levels in M11.</w:t>
                            </w:r>
                          </w:p>
                          <w:p w:rsidR="00F66189" w:rsidRPr="00793158" w:rsidRDefault="00F66189" w:rsidP="007F4B59">
                            <w:pPr>
                              <w:pStyle w:val="ListParagraph"/>
                              <w:numPr>
                                <w:ilvl w:val="1"/>
                                <w:numId w:val="12"/>
                              </w:numPr>
                              <w:rPr>
                                <w:rFonts w:cs="Tahoma"/>
                                <w:bCs/>
                                <w:sz w:val="16"/>
                                <w:szCs w:val="16"/>
                              </w:rPr>
                            </w:pPr>
                            <w:r w:rsidRPr="00793158">
                              <w:rPr>
                                <w:rFonts w:cs="Tahoma"/>
                                <w:bCs/>
                                <w:sz w:val="16"/>
                                <w:szCs w:val="16"/>
                              </w:rPr>
                              <w:t>Primary &amp; Community £1.0m - Vocational Dental Training £502k and SBUHB SLA £130k</w:t>
                            </w:r>
                          </w:p>
                          <w:p w:rsidR="00F66189" w:rsidRPr="00793158" w:rsidRDefault="00F66189" w:rsidP="007F4B59">
                            <w:pPr>
                              <w:pStyle w:val="ListParagraph"/>
                              <w:numPr>
                                <w:ilvl w:val="1"/>
                                <w:numId w:val="12"/>
                              </w:numPr>
                              <w:rPr>
                                <w:rFonts w:cs="Tahoma"/>
                                <w:bCs/>
                                <w:sz w:val="16"/>
                                <w:szCs w:val="16"/>
                              </w:rPr>
                            </w:pPr>
                            <w:r w:rsidRPr="00793158">
                              <w:rPr>
                                <w:rFonts w:cs="Tahoma"/>
                                <w:bCs/>
                                <w:sz w:val="16"/>
                                <w:szCs w:val="16"/>
                              </w:rPr>
                              <w:t>Medicines Mgt £0.37m- Prescribing £200k and Community Pharmacy Contract £140k</w:t>
                            </w:r>
                          </w:p>
                          <w:p w:rsidR="00F66189" w:rsidRPr="00793158" w:rsidRDefault="00F66189" w:rsidP="007F4B59">
                            <w:pPr>
                              <w:pStyle w:val="ListParagraph"/>
                              <w:numPr>
                                <w:ilvl w:val="1"/>
                                <w:numId w:val="12"/>
                              </w:numPr>
                              <w:rPr>
                                <w:rFonts w:cs="Tahoma"/>
                                <w:bCs/>
                                <w:sz w:val="16"/>
                                <w:szCs w:val="16"/>
                              </w:rPr>
                            </w:pPr>
                            <w:r w:rsidRPr="00793158">
                              <w:rPr>
                                <w:rFonts w:cs="Tahoma"/>
                                <w:bCs/>
                                <w:sz w:val="16"/>
                                <w:szCs w:val="16"/>
                              </w:rPr>
                              <w:t>Contracting £0.9m- Movement in WHSSC performance £0.6m and other LTA performance £0.3m</w:t>
                            </w:r>
                          </w:p>
                          <w:p w:rsidR="00F66189" w:rsidRPr="009336AC" w:rsidRDefault="00F66189" w:rsidP="00752FF7">
                            <w:pPr>
                              <w:jc w:val="both"/>
                              <w:rPr>
                                <w:rFonts w:cs="Tahoma"/>
                                <w:bCs/>
                                <w:sz w:val="24"/>
                                <w:szCs w:val="22"/>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9A0377B" id="Text Box 32" o:spid="_x0000_s1041" type="#_x0000_t202" style="position:absolute;left:0;text-align:left;margin-left:21.6pt;margin-top:5.8pt;width:736.5pt;height:169pt;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" strokecolor="#8eb4e3" strokeweight="1.5pt">
                <v:path arrowok="t"/>
                <v:textbox>
                  <w:txbxContent>
                    <w:p w:rsidR="00F66189" w:rsidRPr="00F43046" w:rsidRDefault="00F66189" w:rsidP="0054713E">
                      <w:pPr>
                        <w:rPr>
                          <w:b/>
                          <w:sz w:val="16"/>
                          <w:szCs w:val="16"/>
                        </w:rPr>
                      </w:pPr>
                      <w:r w:rsidRPr="00F43046">
                        <w:rPr>
                          <w:b/>
                          <w:sz w:val="16"/>
                          <w:szCs w:val="16"/>
                        </w:rPr>
                        <w:t xml:space="preserve">Key Issues: </w:t>
                      </w:r>
                    </w:p>
                    <w:p w:rsidR="00F66189" w:rsidRPr="00F43046" w:rsidRDefault="00F66189" w:rsidP="0039541E">
                      <w:pPr>
                        <w:rPr>
                          <w:sz w:val="16"/>
                          <w:szCs w:val="16"/>
                        </w:rPr>
                      </w:pPr>
                      <w:r w:rsidRPr="00F43046">
                        <w:rPr>
                          <w:sz w:val="16"/>
                          <w:szCs w:val="16"/>
                        </w:rPr>
                        <w:t xml:space="preserve">The most significant overspends within the M11 YTD Non pay overspend of £5.1m are as follows: </w:t>
                      </w:r>
                    </w:p>
                    <w:p w:rsidR="00F66189" w:rsidRPr="00F43046" w:rsidRDefault="00F66189" w:rsidP="007F4B59">
                      <w:pPr>
                        <w:pStyle w:val="ListParagraph"/>
                        <w:numPr>
                          <w:ilvl w:val="1"/>
                          <w:numId w:val="12"/>
                        </w:numPr>
                        <w:rPr>
                          <w:rFonts w:cs="Tahoma"/>
                          <w:bCs/>
                          <w:sz w:val="16"/>
                          <w:szCs w:val="16"/>
                        </w:rPr>
                      </w:pPr>
                      <w:r w:rsidRPr="00F43046">
                        <w:rPr>
                          <w:rFonts w:cs="Tahoma"/>
                          <w:bCs/>
                          <w:sz w:val="16"/>
                          <w:szCs w:val="16"/>
                        </w:rPr>
                        <w:t>Acute Medicine and A&amp;E £0.9m – Secondary care drugs £0.69m and M&amp;S Supplies £0.2m</w:t>
                      </w:r>
                    </w:p>
                    <w:p w:rsidR="00F66189" w:rsidRPr="00F43046" w:rsidRDefault="00F66189" w:rsidP="007F4B59">
                      <w:pPr>
                        <w:pStyle w:val="ListParagraph"/>
                        <w:numPr>
                          <w:ilvl w:val="1"/>
                          <w:numId w:val="12"/>
                        </w:numPr>
                        <w:rPr>
                          <w:rFonts w:cs="Tahoma"/>
                          <w:bCs/>
                          <w:sz w:val="16"/>
                          <w:szCs w:val="16"/>
                        </w:rPr>
                      </w:pPr>
                      <w:r w:rsidRPr="00F43046">
                        <w:rPr>
                          <w:rFonts w:cs="Tahoma"/>
                          <w:bCs/>
                          <w:sz w:val="16"/>
                          <w:szCs w:val="16"/>
                        </w:rPr>
                        <w:t>H&amp;N £0.2m – Secondary care drugs £0.14m</w:t>
                      </w:r>
                    </w:p>
                    <w:p w:rsidR="00F66189" w:rsidRPr="00F43046" w:rsidRDefault="00F66189" w:rsidP="007F4B59">
                      <w:pPr>
                        <w:pStyle w:val="ListParagraph"/>
                        <w:numPr>
                          <w:ilvl w:val="1"/>
                          <w:numId w:val="12"/>
                        </w:numPr>
                        <w:rPr>
                          <w:rFonts w:cs="Tahoma"/>
                          <w:bCs/>
                          <w:sz w:val="16"/>
                          <w:szCs w:val="16"/>
                        </w:rPr>
                      </w:pPr>
                      <w:r w:rsidRPr="00F43046">
                        <w:rPr>
                          <w:rFonts w:cs="Tahoma"/>
                          <w:bCs/>
                          <w:sz w:val="16"/>
                          <w:szCs w:val="16"/>
                        </w:rPr>
                        <w:t>POW Medicine £0.9m – Appliances £0.35m, M&amp;S supplies £0.32m and £0.2m Secondary care drugs</w:t>
                      </w:r>
                    </w:p>
                    <w:p w:rsidR="00F66189" w:rsidRPr="00F43046" w:rsidRDefault="00F66189" w:rsidP="007F4B59">
                      <w:pPr>
                        <w:pStyle w:val="ListParagraph"/>
                        <w:numPr>
                          <w:ilvl w:val="1"/>
                          <w:numId w:val="12"/>
                        </w:numPr>
                        <w:rPr>
                          <w:rFonts w:cs="Tahoma"/>
                          <w:bCs/>
                          <w:sz w:val="16"/>
                          <w:szCs w:val="16"/>
                        </w:rPr>
                      </w:pPr>
                      <w:r w:rsidRPr="00F43046">
                        <w:rPr>
                          <w:rFonts w:cs="Tahoma"/>
                          <w:bCs/>
                          <w:sz w:val="16"/>
                          <w:szCs w:val="16"/>
                        </w:rPr>
                        <w:t>Pathology £0.5m – M&amp;S £0.1m, Office Equipment/ICT £0.1m and SLAs £0.09m</w:t>
                      </w:r>
                    </w:p>
                    <w:p w:rsidR="00F66189" w:rsidRPr="00793158" w:rsidRDefault="00F66189" w:rsidP="007F4B59">
                      <w:pPr>
                        <w:pStyle w:val="ListParagraph"/>
                        <w:numPr>
                          <w:ilvl w:val="1"/>
                          <w:numId w:val="12"/>
                        </w:numPr>
                        <w:rPr>
                          <w:rFonts w:cs="Tahoma"/>
                          <w:bCs/>
                          <w:sz w:val="16"/>
                          <w:szCs w:val="16"/>
                        </w:rPr>
                      </w:pPr>
                      <w:r w:rsidRPr="00793158">
                        <w:rPr>
                          <w:rFonts w:cs="Tahoma"/>
                          <w:bCs/>
                          <w:sz w:val="16"/>
                          <w:szCs w:val="16"/>
                        </w:rPr>
                        <w:t>Radiology £0.3m- Reporting £0.26m</w:t>
                      </w:r>
                    </w:p>
                    <w:p w:rsidR="00F66189" w:rsidRPr="00793158" w:rsidRDefault="00F66189" w:rsidP="007F4B59">
                      <w:pPr>
                        <w:pStyle w:val="ListParagraph"/>
                        <w:numPr>
                          <w:ilvl w:val="1"/>
                          <w:numId w:val="12"/>
                        </w:numPr>
                        <w:rPr>
                          <w:rFonts w:cs="Tahoma"/>
                          <w:bCs/>
                          <w:sz w:val="16"/>
                          <w:szCs w:val="16"/>
                        </w:rPr>
                      </w:pPr>
                      <w:r w:rsidRPr="00793158">
                        <w:rPr>
                          <w:rFonts w:cs="Tahoma"/>
                          <w:bCs/>
                          <w:sz w:val="16"/>
                          <w:szCs w:val="16"/>
                        </w:rPr>
                        <w:t>Facilities £0.8m – Waste &amp;Transport £0.34m, Catering £0.16m, Building &amp; Engineering £0.09m Postage £0.06m, Laundry £0.04m</w:t>
                      </w:r>
                    </w:p>
                    <w:p w:rsidR="00F66189" w:rsidRPr="00793158" w:rsidRDefault="00F66189" w:rsidP="007F4B59">
                      <w:pPr>
                        <w:pStyle w:val="ListParagraph"/>
                        <w:numPr>
                          <w:ilvl w:val="1"/>
                          <w:numId w:val="12"/>
                        </w:numPr>
                        <w:rPr>
                          <w:rFonts w:cs="Tahoma"/>
                          <w:bCs/>
                          <w:sz w:val="16"/>
                          <w:szCs w:val="16"/>
                        </w:rPr>
                      </w:pPr>
                      <w:r w:rsidRPr="00793158">
                        <w:rPr>
                          <w:rFonts w:cs="Tahoma"/>
                          <w:bCs/>
                          <w:sz w:val="16"/>
                          <w:szCs w:val="16"/>
                        </w:rPr>
                        <w:t>Mental Health £0.5m – Continuing Healthcare £0.31m and Drugs £0.2m</w:t>
                      </w:r>
                    </w:p>
                    <w:p w:rsidR="00F66189" w:rsidRPr="00793158" w:rsidRDefault="00F66189" w:rsidP="007F4B59">
                      <w:pPr>
                        <w:pStyle w:val="ListParagraph"/>
                        <w:numPr>
                          <w:ilvl w:val="1"/>
                          <w:numId w:val="12"/>
                        </w:numPr>
                        <w:rPr>
                          <w:rFonts w:cs="Tahoma"/>
                          <w:bCs/>
                          <w:sz w:val="16"/>
                          <w:szCs w:val="16"/>
                        </w:rPr>
                      </w:pPr>
                      <w:r w:rsidRPr="00793158">
                        <w:rPr>
                          <w:rFonts w:cs="Tahoma"/>
                          <w:bCs/>
                          <w:sz w:val="16"/>
                          <w:szCs w:val="16"/>
                        </w:rPr>
                        <w:t>Medicines Mgt £2.1m – Primary Care Prescribing £1.7m, NICE £0.28m</w:t>
                      </w:r>
                    </w:p>
                    <w:p w:rsidR="00F66189" w:rsidRPr="00793158" w:rsidRDefault="00F66189" w:rsidP="007F4B59">
                      <w:pPr>
                        <w:pStyle w:val="ListParagraph"/>
                        <w:numPr>
                          <w:ilvl w:val="1"/>
                          <w:numId w:val="12"/>
                        </w:numPr>
                        <w:rPr>
                          <w:rFonts w:cs="Tahoma"/>
                          <w:bCs/>
                          <w:sz w:val="16"/>
                          <w:szCs w:val="16"/>
                        </w:rPr>
                      </w:pPr>
                      <w:r w:rsidRPr="00793158">
                        <w:rPr>
                          <w:rFonts w:cs="Tahoma"/>
                          <w:bCs/>
                          <w:sz w:val="16"/>
                          <w:szCs w:val="16"/>
                        </w:rPr>
                        <w:t xml:space="preserve">Estates £0.3m – B&amp;E £0.1m and Utilities £0.19m </w:t>
                      </w:r>
                    </w:p>
                    <w:p w:rsidR="00F66189" w:rsidRPr="00793158" w:rsidRDefault="00F66189" w:rsidP="00752FF7">
                      <w:pPr>
                        <w:rPr>
                          <w:rFonts w:cs="Tahoma"/>
                          <w:bCs/>
                          <w:sz w:val="16"/>
                          <w:szCs w:val="16"/>
                        </w:rPr>
                      </w:pPr>
                      <w:r w:rsidRPr="00793158">
                        <w:rPr>
                          <w:rFonts w:cs="Tahoma"/>
                          <w:bCs/>
                          <w:sz w:val="16"/>
                          <w:szCs w:val="16"/>
                        </w:rPr>
                        <w:t>The most significant movements between M10 and M11 are in the following areas:</w:t>
                      </w:r>
                    </w:p>
                    <w:p w:rsidR="00F66189" w:rsidRPr="00793158" w:rsidRDefault="00F66189" w:rsidP="007F4B59">
                      <w:pPr>
                        <w:pStyle w:val="ListParagraph"/>
                        <w:numPr>
                          <w:ilvl w:val="1"/>
                          <w:numId w:val="12"/>
                        </w:numPr>
                        <w:rPr>
                          <w:rFonts w:cs="Tahoma"/>
                          <w:bCs/>
                          <w:sz w:val="16"/>
                          <w:szCs w:val="16"/>
                        </w:rPr>
                      </w:pPr>
                      <w:r w:rsidRPr="00793158">
                        <w:rPr>
                          <w:rFonts w:cs="Tahoma"/>
                          <w:bCs/>
                          <w:sz w:val="16"/>
                          <w:szCs w:val="16"/>
                        </w:rPr>
                        <w:t>POW £0.35m- Correction in M10 for Surgical Supplies £0.4m, returning to normal levels in M11.</w:t>
                      </w:r>
                    </w:p>
                    <w:p w:rsidR="00F66189" w:rsidRPr="00793158" w:rsidRDefault="00F66189" w:rsidP="007F4B59">
                      <w:pPr>
                        <w:pStyle w:val="ListParagraph"/>
                        <w:numPr>
                          <w:ilvl w:val="1"/>
                          <w:numId w:val="12"/>
                        </w:numPr>
                        <w:rPr>
                          <w:rFonts w:cs="Tahoma"/>
                          <w:bCs/>
                          <w:sz w:val="16"/>
                          <w:szCs w:val="16"/>
                        </w:rPr>
                      </w:pPr>
                      <w:r w:rsidRPr="00793158">
                        <w:rPr>
                          <w:rFonts w:cs="Tahoma"/>
                          <w:bCs/>
                          <w:sz w:val="16"/>
                          <w:szCs w:val="16"/>
                        </w:rPr>
                        <w:t>Primary &amp; Community £1.0m - Vocational Dental Training £502k and SBUHB SLA £130k</w:t>
                      </w:r>
                    </w:p>
                    <w:p w:rsidR="00F66189" w:rsidRPr="00793158" w:rsidRDefault="00F66189" w:rsidP="007F4B59">
                      <w:pPr>
                        <w:pStyle w:val="ListParagraph"/>
                        <w:numPr>
                          <w:ilvl w:val="1"/>
                          <w:numId w:val="12"/>
                        </w:numPr>
                        <w:rPr>
                          <w:rFonts w:cs="Tahoma"/>
                          <w:bCs/>
                          <w:sz w:val="16"/>
                          <w:szCs w:val="16"/>
                        </w:rPr>
                      </w:pPr>
                      <w:r w:rsidRPr="00793158">
                        <w:rPr>
                          <w:rFonts w:cs="Tahoma"/>
                          <w:bCs/>
                          <w:sz w:val="16"/>
                          <w:szCs w:val="16"/>
                        </w:rPr>
                        <w:t>Medicines Mgt £0.37m- Prescribing £200k and Community Pharmacy Contract £140k</w:t>
                      </w:r>
                    </w:p>
                    <w:p w:rsidR="00F66189" w:rsidRPr="00793158" w:rsidRDefault="00F66189" w:rsidP="007F4B59">
                      <w:pPr>
                        <w:pStyle w:val="ListParagraph"/>
                        <w:numPr>
                          <w:ilvl w:val="1"/>
                          <w:numId w:val="12"/>
                        </w:numPr>
                        <w:rPr>
                          <w:rFonts w:cs="Tahoma"/>
                          <w:bCs/>
                          <w:sz w:val="16"/>
                          <w:szCs w:val="16"/>
                        </w:rPr>
                      </w:pPr>
                      <w:r w:rsidRPr="00793158">
                        <w:rPr>
                          <w:rFonts w:cs="Tahoma"/>
                          <w:bCs/>
                          <w:sz w:val="16"/>
                          <w:szCs w:val="16"/>
                        </w:rPr>
                        <w:t>Contracting £0.9m- Movement in WHSSC performance £0.6m and other LTA performance £0.3m</w:t>
                      </w:r>
                    </w:p>
                    <w:p w:rsidR="00F66189" w:rsidRPr="009336AC" w:rsidRDefault="00F66189" w:rsidP="00752FF7">
                      <w:pPr>
                        <w:jc w:val="both"/>
                        <w:rPr>
                          <w:rFonts w:cs="Tahoma"/>
                          <w:bCs/>
                          <w:sz w:val="24"/>
                          <w:szCs w:val="22"/>
                        </w:rPr>
                      </w:pPr>
                    </w:p>
                  </w:txbxContent>
                </v:textbox>
              </v:shape>
            </w:pict>
          </mc:Fallback>
        </mc:AlternateContent>
      </w:r>
    </w:p>
    <w:p w:rsidR="0054713E" w:rsidRPr="0093751E" w:rsidRDefault="0054713E" w:rsidP="0054713E">
      <w:pPr>
        <w:ind w:left="709"/>
        <w:jc w:val="both"/>
        <w:rPr>
          <w:rFonts w:cs="Tahoma"/>
          <w:b/>
          <w:bCs/>
          <w:sz w:val="20"/>
          <w:szCs w:val="20"/>
          <w:u w:val="single"/>
        </w:rPr>
      </w:pPr>
    </w:p>
    <w:p w:rsidR="0054713E" w:rsidRPr="0093751E" w:rsidRDefault="0054713E" w:rsidP="0054713E">
      <w:pPr>
        <w:ind w:left="709"/>
        <w:jc w:val="both"/>
        <w:rPr>
          <w:rFonts w:cs="Tahoma"/>
          <w:b/>
          <w:bCs/>
          <w:sz w:val="20"/>
          <w:szCs w:val="20"/>
          <w:u w:val="single"/>
        </w:rPr>
      </w:pPr>
    </w:p>
    <w:p w:rsidR="0054713E" w:rsidRPr="0093751E" w:rsidRDefault="0054713E" w:rsidP="0054713E">
      <w:pPr>
        <w:ind w:left="709"/>
        <w:jc w:val="both"/>
        <w:rPr>
          <w:rFonts w:cs="Tahoma"/>
          <w:b/>
          <w:bCs/>
          <w:sz w:val="20"/>
          <w:szCs w:val="20"/>
          <w:u w:val="single"/>
        </w:rPr>
      </w:pPr>
    </w:p>
    <w:p w:rsidR="0054713E" w:rsidRPr="0093751E" w:rsidRDefault="0054713E" w:rsidP="0054713E">
      <w:pPr>
        <w:ind w:left="709"/>
        <w:jc w:val="both"/>
        <w:rPr>
          <w:rFonts w:cs="Tahoma"/>
          <w:b/>
          <w:bCs/>
          <w:sz w:val="20"/>
          <w:szCs w:val="20"/>
          <w:u w:val="single"/>
        </w:rPr>
      </w:pPr>
    </w:p>
    <w:p w:rsidR="0054713E" w:rsidRPr="00A72850" w:rsidRDefault="0054713E" w:rsidP="0054713E">
      <w:pPr>
        <w:ind w:left="709"/>
        <w:jc w:val="both"/>
        <w:rPr>
          <w:rFonts w:cs="Tahoma"/>
          <w:b/>
          <w:bCs/>
          <w:sz w:val="20"/>
          <w:szCs w:val="20"/>
          <w:highlight w:val="yellow"/>
          <w:u w:val="single"/>
        </w:rPr>
      </w:pPr>
    </w:p>
    <w:p w:rsidR="0054713E" w:rsidRPr="00A72850" w:rsidRDefault="0054713E" w:rsidP="0054713E">
      <w:pPr>
        <w:ind w:left="709"/>
        <w:jc w:val="both"/>
        <w:rPr>
          <w:rFonts w:cs="Tahoma"/>
          <w:b/>
          <w:bCs/>
          <w:sz w:val="20"/>
          <w:szCs w:val="20"/>
          <w:highlight w:val="yellow"/>
          <w:u w:val="single"/>
        </w:rPr>
      </w:pPr>
    </w:p>
    <w:p w:rsidR="0054713E" w:rsidRPr="00A72850" w:rsidRDefault="0054713E" w:rsidP="0054713E">
      <w:pPr>
        <w:ind w:left="709"/>
        <w:jc w:val="both"/>
        <w:rPr>
          <w:rFonts w:cs="Tahoma"/>
          <w:b/>
          <w:bCs/>
          <w:sz w:val="20"/>
          <w:szCs w:val="20"/>
          <w:highlight w:val="yellow"/>
          <w:u w:val="single"/>
        </w:rPr>
      </w:pPr>
    </w:p>
    <w:p w:rsidR="0054713E" w:rsidRPr="00A72850" w:rsidRDefault="0054713E" w:rsidP="0054713E">
      <w:pPr>
        <w:ind w:left="709"/>
        <w:jc w:val="both"/>
        <w:rPr>
          <w:rFonts w:cs="Tahoma"/>
          <w:b/>
          <w:bCs/>
          <w:sz w:val="20"/>
          <w:szCs w:val="20"/>
          <w:highlight w:val="yellow"/>
          <w:u w:val="single"/>
        </w:rPr>
      </w:pPr>
    </w:p>
    <w:p w:rsidR="0054713E" w:rsidRPr="00A72850" w:rsidRDefault="0054713E" w:rsidP="0054713E">
      <w:pPr>
        <w:ind w:left="709"/>
        <w:jc w:val="both"/>
        <w:rPr>
          <w:rFonts w:cs="Tahoma"/>
          <w:b/>
          <w:bCs/>
          <w:sz w:val="20"/>
          <w:szCs w:val="20"/>
          <w:highlight w:val="yellow"/>
          <w:u w:val="single"/>
        </w:rPr>
      </w:pPr>
    </w:p>
    <w:p w:rsidR="0054713E" w:rsidRPr="00A72850" w:rsidRDefault="0054713E" w:rsidP="0054713E">
      <w:pPr>
        <w:ind w:left="709"/>
        <w:jc w:val="both"/>
        <w:rPr>
          <w:rFonts w:cs="Tahoma"/>
          <w:b/>
          <w:bCs/>
          <w:sz w:val="20"/>
          <w:szCs w:val="20"/>
          <w:highlight w:val="yellow"/>
          <w:u w:val="single"/>
        </w:rPr>
      </w:pPr>
    </w:p>
    <w:p w:rsidR="0054713E" w:rsidRPr="00A72850" w:rsidRDefault="0054713E" w:rsidP="0054713E">
      <w:pPr>
        <w:ind w:left="709"/>
        <w:jc w:val="both"/>
        <w:rPr>
          <w:rFonts w:cs="Tahoma"/>
          <w:b/>
          <w:bCs/>
          <w:sz w:val="20"/>
          <w:szCs w:val="20"/>
          <w:highlight w:val="yellow"/>
          <w:u w:val="single"/>
        </w:rPr>
      </w:pPr>
    </w:p>
    <w:p w:rsidR="0054713E" w:rsidRDefault="0054713E" w:rsidP="0054713E">
      <w:pPr>
        <w:ind w:firstLine="720"/>
        <w:rPr>
          <w:rFonts w:cs="Tahoma"/>
          <w:b/>
          <w:bCs/>
          <w:sz w:val="24"/>
          <w:highlight w:val="yellow"/>
        </w:rPr>
      </w:pPr>
    </w:p>
    <w:p w:rsidR="00E076B8" w:rsidRPr="00A72850" w:rsidRDefault="00E076B8" w:rsidP="0054713E">
      <w:pPr>
        <w:ind w:firstLine="720"/>
        <w:rPr>
          <w:rFonts w:cs="Tahoma"/>
          <w:b/>
          <w:bCs/>
          <w:sz w:val="24"/>
          <w:highlight w:val="yellow"/>
        </w:rPr>
      </w:pPr>
    </w:p>
    <w:p w:rsidR="0054713E" w:rsidRPr="00DC1793" w:rsidRDefault="0054713E" w:rsidP="006616E8">
      <w:pPr>
        <w:pStyle w:val="ListParagraph"/>
        <w:numPr>
          <w:ilvl w:val="1"/>
          <w:numId w:val="34"/>
        </w:numPr>
        <w:jc w:val="both"/>
        <w:rPr>
          <w:rFonts w:cs="Tahoma"/>
          <w:b/>
          <w:bCs/>
          <w:sz w:val="24"/>
        </w:rPr>
      </w:pPr>
      <w:r w:rsidRPr="00DC1793">
        <w:rPr>
          <w:rFonts w:cs="Tahoma"/>
          <w:b/>
          <w:bCs/>
          <w:sz w:val="24"/>
        </w:rPr>
        <w:t>Income</w:t>
      </w:r>
    </w:p>
    <w:p w:rsidR="0054713E" w:rsidRPr="00DC1793" w:rsidRDefault="0054713E" w:rsidP="0054713E">
      <w:pPr>
        <w:jc w:val="both"/>
        <w:rPr>
          <w:rFonts w:cs="Tahoma"/>
          <w:b/>
          <w:bCs/>
          <w:sz w:val="24"/>
        </w:rPr>
      </w:pPr>
    </w:p>
    <w:p w:rsidR="0054713E" w:rsidRPr="00DC1793" w:rsidRDefault="0054713E" w:rsidP="0054713E">
      <w:pPr>
        <w:ind w:firstLine="720"/>
        <w:jc w:val="both"/>
        <w:rPr>
          <w:rFonts w:cs="Tahoma"/>
          <w:b/>
          <w:bCs/>
          <w:sz w:val="24"/>
        </w:rPr>
      </w:pPr>
      <w:r w:rsidRPr="00DC1793">
        <w:rPr>
          <w:rFonts w:cs="Tahoma"/>
          <w:b/>
          <w:bCs/>
          <w:sz w:val="24"/>
        </w:rPr>
        <w:t>Performance by Income Category</w:t>
      </w:r>
    </w:p>
    <w:p w:rsidR="0054713E" w:rsidRPr="00DC1793" w:rsidRDefault="0054713E" w:rsidP="0054713E">
      <w:pPr>
        <w:jc w:val="both"/>
        <w:rPr>
          <w:rFonts w:cs="Tahoma"/>
          <w:b/>
          <w:bCs/>
          <w:sz w:val="20"/>
          <w:szCs w:val="20"/>
        </w:rPr>
      </w:pPr>
      <w:r w:rsidRPr="00DC1793">
        <w:rPr>
          <w:noProof/>
          <w:lang w:eastAsia="en-GB"/>
        </w:rPr>
        <mc:AlternateContent>
          <mc:Choice Requires="wps">
            <w:drawing>
              <wp:anchor distT="0" distB="0" distL="114300" distR="114300" simplePos="0" relativeHeight="251810816" behindDoc="0" locked="0" layoutInCell="1" allowOverlap="1" wp14:anchorId="761C30D2" wp14:editId="3289DE9A">
                <wp:simplePos x="0" y="0"/>
                <wp:positionH relativeFrom="column">
                  <wp:posOffset>7183755</wp:posOffset>
                </wp:positionH>
                <wp:positionV relativeFrom="paragraph">
                  <wp:posOffset>181610</wp:posOffset>
                </wp:positionV>
                <wp:extent cx="2534920" cy="4429125"/>
                <wp:effectExtent l="0" t="0" r="17780" b="28575"/>
                <wp:wrapNone/>
                <wp:docPr id="21"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534920" cy="4429125"/>
                        </a:xfrm>
                        <a:prstGeom prst="rect">
                          <a:avLst/>
                        </a:prstGeom>
                        <a:solidFill>
                          <a:srgbClr val="FFFFFF"/>
                        </a:solidFill>
                        <a:ln w="19050">
                          <a:solidFill>
                            <a:srgbClr val="8EB4E3"/>
                          </a:solidFill>
                          <a:miter lim="800000"/>
                          <a:headEnd/>
                          <a:tailEnd/>
                        </a:ln>
                      </wps:spPr>
                      <wps:txbx>
                        <w:txbxContent>
                          <w:p w:rsidR="00F66189" w:rsidRDefault="00F66189" w:rsidP="0054713E">
                            <w:pPr>
                              <w:rPr>
                                <w:b/>
                                <w:sz w:val="24"/>
                              </w:rPr>
                            </w:pPr>
                            <w:r w:rsidRPr="0005475C">
                              <w:rPr>
                                <w:b/>
                                <w:sz w:val="24"/>
                              </w:rPr>
                              <w:t>Key Issues</w:t>
                            </w:r>
                          </w:p>
                          <w:p w:rsidR="00F66189" w:rsidRPr="0005475C" w:rsidRDefault="00F66189" w:rsidP="0054713E">
                            <w:pPr>
                              <w:rPr>
                                <w:b/>
                                <w:sz w:val="24"/>
                              </w:rPr>
                            </w:pPr>
                          </w:p>
                          <w:p w:rsidR="00F66189" w:rsidRPr="00F5405E" w:rsidRDefault="00F66189" w:rsidP="0054713E">
                            <w:pPr>
                              <w:rPr>
                                <w:sz w:val="22"/>
                                <w:szCs w:val="22"/>
                              </w:rPr>
                            </w:pPr>
                            <w:r w:rsidRPr="00F5405E">
                              <w:rPr>
                                <w:sz w:val="22"/>
                                <w:szCs w:val="22"/>
                              </w:rPr>
                              <w:t>The most significant M</w:t>
                            </w:r>
                            <w:r>
                              <w:rPr>
                                <w:sz w:val="22"/>
                                <w:szCs w:val="22"/>
                              </w:rPr>
                              <w:t xml:space="preserve">11 YTD </w:t>
                            </w:r>
                            <w:r w:rsidRPr="00F5405E">
                              <w:rPr>
                                <w:sz w:val="22"/>
                                <w:szCs w:val="22"/>
                              </w:rPr>
                              <w:t>variances relate to:</w:t>
                            </w:r>
                          </w:p>
                          <w:p w:rsidR="00F66189" w:rsidRPr="00F5405E" w:rsidRDefault="00F66189" w:rsidP="0054713E">
                            <w:pPr>
                              <w:rPr>
                                <w:sz w:val="22"/>
                                <w:szCs w:val="22"/>
                              </w:rPr>
                            </w:pPr>
                          </w:p>
                          <w:p w:rsidR="00F66189" w:rsidRPr="00F5405E" w:rsidRDefault="00F66189" w:rsidP="006616E8">
                            <w:pPr>
                              <w:pStyle w:val="ListParagraph"/>
                              <w:numPr>
                                <w:ilvl w:val="0"/>
                                <w:numId w:val="20"/>
                              </w:numPr>
                              <w:rPr>
                                <w:sz w:val="22"/>
                                <w:szCs w:val="22"/>
                              </w:rPr>
                            </w:pPr>
                            <w:r>
                              <w:rPr>
                                <w:sz w:val="22"/>
                                <w:szCs w:val="22"/>
                              </w:rPr>
                              <w:t>Local Health Boards £1,261</w:t>
                            </w:r>
                            <w:r w:rsidRPr="00F5405E">
                              <w:rPr>
                                <w:sz w:val="22"/>
                                <w:szCs w:val="22"/>
                              </w:rPr>
                              <w:t>k:</w:t>
                            </w:r>
                          </w:p>
                          <w:p w:rsidR="00F66189" w:rsidRPr="00F5405E" w:rsidRDefault="00F66189" w:rsidP="006616E8">
                            <w:pPr>
                              <w:pStyle w:val="ListParagraph"/>
                              <w:numPr>
                                <w:ilvl w:val="1"/>
                                <w:numId w:val="20"/>
                              </w:numPr>
                              <w:ind w:left="1134"/>
                              <w:rPr>
                                <w:sz w:val="22"/>
                                <w:szCs w:val="22"/>
                              </w:rPr>
                            </w:pPr>
                            <w:r w:rsidRPr="00F5405E">
                              <w:rPr>
                                <w:sz w:val="22"/>
                                <w:szCs w:val="22"/>
                              </w:rPr>
                              <w:t>S</w:t>
                            </w:r>
                            <w:r>
                              <w:rPr>
                                <w:sz w:val="22"/>
                                <w:szCs w:val="22"/>
                              </w:rPr>
                              <w:t>wansea Bay LTA £827</w:t>
                            </w:r>
                            <w:r w:rsidRPr="00F5405E">
                              <w:rPr>
                                <w:sz w:val="22"/>
                                <w:szCs w:val="22"/>
                              </w:rPr>
                              <w:t>k</w:t>
                            </w:r>
                          </w:p>
                          <w:p w:rsidR="00F66189" w:rsidRPr="00F5405E" w:rsidRDefault="00F66189" w:rsidP="006616E8">
                            <w:pPr>
                              <w:pStyle w:val="ListParagraph"/>
                              <w:numPr>
                                <w:ilvl w:val="1"/>
                                <w:numId w:val="20"/>
                              </w:numPr>
                              <w:ind w:left="1134"/>
                              <w:rPr>
                                <w:sz w:val="22"/>
                                <w:szCs w:val="22"/>
                              </w:rPr>
                            </w:pPr>
                            <w:r w:rsidRPr="00F5405E">
                              <w:rPr>
                                <w:sz w:val="22"/>
                                <w:szCs w:val="22"/>
                              </w:rPr>
                              <w:t xml:space="preserve">C&amp;V UHB </w:t>
                            </w:r>
                            <w:r>
                              <w:rPr>
                                <w:sz w:val="22"/>
                                <w:szCs w:val="22"/>
                              </w:rPr>
                              <w:t>- POW Surgical Services SLA £450</w:t>
                            </w:r>
                            <w:r w:rsidRPr="00F5405E">
                              <w:rPr>
                                <w:sz w:val="22"/>
                                <w:szCs w:val="22"/>
                              </w:rPr>
                              <w:t>k</w:t>
                            </w:r>
                          </w:p>
                          <w:p w:rsidR="00F66189" w:rsidRPr="00F5405E" w:rsidRDefault="00F66189" w:rsidP="006616E8">
                            <w:pPr>
                              <w:pStyle w:val="ListParagraph"/>
                              <w:numPr>
                                <w:ilvl w:val="1"/>
                                <w:numId w:val="20"/>
                              </w:numPr>
                              <w:ind w:left="1134"/>
                              <w:rPr>
                                <w:sz w:val="22"/>
                                <w:szCs w:val="22"/>
                              </w:rPr>
                            </w:pPr>
                            <w:r>
                              <w:rPr>
                                <w:sz w:val="22"/>
                                <w:szCs w:val="22"/>
                              </w:rPr>
                              <w:t>AB LTA £700</w:t>
                            </w:r>
                            <w:r w:rsidRPr="00F5405E">
                              <w:rPr>
                                <w:sz w:val="22"/>
                                <w:szCs w:val="22"/>
                              </w:rPr>
                              <w:t>k</w:t>
                            </w:r>
                          </w:p>
                          <w:p w:rsidR="00F66189" w:rsidRPr="001A558F" w:rsidRDefault="00F66189" w:rsidP="0054713E">
                            <w:pPr>
                              <w:ind w:left="567" w:hanging="567"/>
                              <w:rPr>
                                <w:sz w:val="22"/>
                                <w:szCs w:val="22"/>
                              </w:rPr>
                            </w:pPr>
                          </w:p>
                          <w:p w:rsidR="00F66189" w:rsidRDefault="00F66189" w:rsidP="00A4750B">
                            <w:pPr>
                              <w:pStyle w:val="ListParagraph"/>
                              <w:numPr>
                                <w:ilvl w:val="0"/>
                                <w:numId w:val="20"/>
                              </w:numPr>
                              <w:rPr>
                                <w:sz w:val="22"/>
                                <w:szCs w:val="22"/>
                              </w:rPr>
                            </w:pPr>
                            <w:r>
                              <w:rPr>
                                <w:sz w:val="22"/>
                                <w:szCs w:val="22"/>
                              </w:rPr>
                              <w:t>Other (£599k):</w:t>
                            </w:r>
                          </w:p>
                          <w:p w:rsidR="00F66189" w:rsidRPr="00E01F90" w:rsidRDefault="00F66189" w:rsidP="00A4750B">
                            <w:pPr>
                              <w:pStyle w:val="ListParagraph"/>
                              <w:numPr>
                                <w:ilvl w:val="1"/>
                                <w:numId w:val="20"/>
                              </w:numPr>
                              <w:rPr>
                                <w:sz w:val="22"/>
                                <w:szCs w:val="22"/>
                              </w:rPr>
                            </w:pPr>
                            <w:r w:rsidRPr="00E01F90">
                              <w:rPr>
                                <w:sz w:val="22"/>
                                <w:szCs w:val="22"/>
                              </w:rPr>
                              <w:t>Local Authority Income £283k</w:t>
                            </w:r>
                          </w:p>
                          <w:p w:rsidR="00F66189" w:rsidRPr="00E01F90" w:rsidRDefault="00F66189" w:rsidP="00A4750B">
                            <w:pPr>
                              <w:pStyle w:val="ListParagraph"/>
                              <w:numPr>
                                <w:ilvl w:val="1"/>
                                <w:numId w:val="20"/>
                              </w:numPr>
                              <w:rPr>
                                <w:sz w:val="22"/>
                                <w:szCs w:val="22"/>
                              </w:rPr>
                            </w:pPr>
                            <w:r w:rsidRPr="00E01F90">
                              <w:rPr>
                                <w:sz w:val="22"/>
                                <w:szCs w:val="22"/>
                              </w:rPr>
                              <w:t>Non Contracted Income (English) £277k</w:t>
                            </w:r>
                          </w:p>
                          <w:p w:rsidR="00F66189" w:rsidRPr="00E01F90" w:rsidRDefault="00F66189" w:rsidP="00A4750B">
                            <w:pPr>
                              <w:pStyle w:val="ListParagraph"/>
                              <w:numPr>
                                <w:ilvl w:val="1"/>
                                <w:numId w:val="20"/>
                              </w:numPr>
                              <w:rPr>
                                <w:sz w:val="22"/>
                                <w:szCs w:val="22"/>
                              </w:rPr>
                            </w:pPr>
                            <w:r w:rsidRPr="00E01F90">
                              <w:rPr>
                                <w:sz w:val="22"/>
                                <w:szCs w:val="22"/>
                              </w:rPr>
                              <w:t>WHSSC Income £182k</w:t>
                            </w:r>
                          </w:p>
                          <w:p w:rsidR="00F66189" w:rsidRPr="00E01F90" w:rsidRDefault="00F66189" w:rsidP="00A4750B">
                            <w:pPr>
                              <w:pStyle w:val="ListParagraph"/>
                              <w:numPr>
                                <w:ilvl w:val="1"/>
                                <w:numId w:val="20"/>
                              </w:numPr>
                              <w:rPr>
                                <w:sz w:val="22"/>
                                <w:szCs w:val="22"/>
                              </w:rPr>
                            </w:pPr>
                            <w:r w:rsidRPr="00E01F90">
                              <w:rPr>
                                <w:sz w:val="22"/>
                                <w:szCs w:val="22"/>
                              </w:rPr>
                              <w:t>WG Income £(1,387k)</w:t>
                            </w:r>
                          </w:p>
                          <w:p w:rsidR="00F66189" w:rsidRPr="0035249C" w:rsidRDefault="00F66189" w:rsidP="0054713E">
                            <w:pPr>
                              <w:rPr>
                                <w:b/>
                                <w:sz w:val="24"/>
                                <w:u w:val="single"/>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61C30D2" id="Text Box 22" o:spid="_x0000_s1042" type="#_x0000_t202" style="position:absolute;left:0;text-align:left;margin-left:565.65pt;margin-top:14.3pt;width:199.6pt;height:348.75pt;z-index:251810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" strokecolor="#8eb4e3" strokeweight="1.5pt">
                <v:path arrowok="t"/>
                <v:textbox>
                  <w:txbxContent>
                    <w:p w:rsidR="00F66189" w:rsidRDefault="00F66189" w:rsidP="0054713E">
                      <w:pPr>
                        <w:rPr>
                          <w:b/>
                          <w:sz w:val="24"/>
                        </w:rPr>
                      </w:pPr>
                      <w:r w:rsidRPr="0005475C">
                        <w:rPr>
                          <w:b/>
                          <w:sz w:val="24"/>
                        </w:rPr>
                        <w:t>Key Issues</w:t>
                      </w:r>
                    </w:p>
                    <w:p w:rsidR="00F66189" w:rsidRPr="0005475C" w:rsidRDefault="00F66189" w:rsidP="0054713E">
                      <w:pPr>
                        <w:rPr>
                          <w:b/>
                          <w:sz w:val="24"/>
                        </w:rPr>
                      </w:pPr>
                    </w:p>
                    <w:p w:rsidR="00F66189" w:rsidRPr="00F5405E" w:rsidRDefault="00F66189" w:rsidP="0054713E">
                      <w:pPr>
                        <w:rPr>
                          <w:sz w:val="22"/>
                          <w:szCs w:val="22"/>
                        </w:rPr>
                      </w:pPr>
                      <w:r w:rsidRPr="00F5405E">
                        <w:rPr>
                          <w:sz w:val="22"/>
                          <w:szCs w:val="22"/>
                        </w:rPr>
                        <w:t>The most significant M</w:t>
                      </w:r>
                      <w:r>
                        <w:rPr>
                          <w:sz w:val="22"/>
                          <w:szCs w:val="22"/>
                        </w:rPr>
                        <w:t xml:space="preserve">11 YTD </w:t>
                      </w:r>
                      <w:r w:rsidRPr="00F5405E">
                        <w:rPr>
                          <w:sz w:val="22"/>
                          <w:szCs w:val="22"/>
                        </w:rPr>
                        <w:t>variances relate to:</w:t>
                      </w:r>
                    </w:p>
                    <w:p w:rsidR="00F66189" w:rsidRPr="00F5405E" w:rsidRDefault="00F66189" w:rsidP="0054713E">
                      <w:pPr>
                        <w:rPr>
                          <w:sz w:val="22"/>
                          <w:szCs w:val="22"/>
                        </w:rPr>
                      </w:pPr>
                    </w:p>
                    <w:p w:rsidR="00F66189" w:rsidRPr="00F5405E" w:rsidRDefault="00F66189" w:rsidP="006616E8">
                      <w:pPr>
                        <w:pStyle w:val="ListParagraph"/>
                        <w:numPr>
                          <w:ilvl w:val="0"/>
                          <w:numId w:val="20"/>
                        </w:numPr>
                        <w:rPr>
                          <w:sz w:val="22"/>
                          <w:szCs w:val="22"/>
                        </w:rPr>
                      </w:pPr>
                      <w:r>
                        <w:rPr>
                          <w:sz w:val="22"/>
                          <w:szCs w:val="22"/>
                        </w:rPr>
                        <w:t>Local Health Boards £1,261</w:t>
                      </w:r>
                      <w:r w:rsidRPr="00F5405E">
                        <w:rPr>
                          <w:sz w:val="22"/>
                          <w:szCs w:val="22"/>
                        </w:rPr>
                        <w:t>k:</w:t>
                      </w:r>
                    </w:p>
                    <w:p w:rsidR="00F66189" w:rsidRPr="00F5405E" w:rsidRDefault="00F66189" w:rsidP="006616E8">
                      <w:pPr>
                        <w:pStyle w:val="ListParagraph"/>
                        <w:numPr>
                          <w:ilvl w:val="1"/>
                          <w:numId w:val="20"/>
                        </w:numPr>
                        <w:ind w:left="1134"/>
                        <w:rPr>
                          <w:sz w:val="22"/>
                          <w:szCs w:val="22"/>
                        </w:rPr>
                      </w:pPr>
                      <w:r w:rsidRPr="00F5405E">
                        <w:rPr>
                          <w:sz w:val="22"/>
                          <w:szCs w:val="22"/>
                        </w:rPr>
                        <w:t>S</w:t>
                      </w:r>
                      <w:r>
                        <w:rPr>
                          <w:sz w:val="22"/>
                          <w:szCs w:val="22"/>
                        </w:rPr>
                        <w:t>wansea Bay LTA £827</w:t>
                      </w:r>
                      <w:r w:rsidRPr="00F5405E">
                        <w:rPr>
                          <w:sz w:val="22"/>
                          <w:szCs w:val="22"/>
                        </w:rPr>
                        <w:t>k</w:t>
                      </w:r>
                    </w:p>
                    <w:p w:rsidR="00F66189" w:rsidRPr="00F5405E" w:rsidRDefault="00F66189" w:rsidP="006616E8">
                      <w:pPr>
                        <w:pStyle w:val="ListParagraph"/>
                        <w:numPr>
                          <w:ilvl w:val="1"/>
                          <w:numId w:val="20"/>
                        </w:numPr>
                        <w:ind w:left="1134"/>
                        <w:rPr>
                          <w:sz w:val="22"/>
                          <w:szCs w:val="22"/>
                        </w:rPr>
                      </w:pPr>
                      <w:r w:rsidRPr="00F5405E">
                        <w:rPr>
                          <w:sz w:val="22"/>
                          <w:szCs w:val="22"/>
                        </w:rPr>
                        <w:t xml:space="preserve">C&amp;V UHB </w:t>
                      </w:r>
                      <w:r>
                        <w:rPr>
                          <w:sz w:val="22"/>
                          <w:szCs w:val="22"/>
                        </w:rPr>
                        <w:t>- POW Surgical Services SLA £450</w:t>
                      </w:r>
                      <w:r w:rsidRPr="00F5405E">
                        <w:rPr>
                          <w:sz w:val="22"/>
                          <w:szCs w:val="22"/>
                        </w:rPr>
                        <w:t>k</w:t>
                      </w:r>
                    </w:p>
                    <w:p w:rsidR="00F66189" w:rsidRPr="00F5405E" w:rsidRDefault="00F66189" w:rsidP="006616E8">
                      <w:pPr>
                        <w:pStyle w:val="ListParagraph"/>
                        <w:numPr>
                          <w:ilvl w:val="1"/>
                          <w:numId w:val="20"/>
                        </w:numPr>
                        <w:ind w:left="1134"/>
                        <w:rPr>
                          <w:sz w:val="22"/>
                          <w:szCs w:val="22"/>
                        </w:rPr>
                      </w:pPr>
                      <w:r>
                        <w:rPr>
                          <w:sz w:val="22"/>
                          <w:szCs w:val="22"/>
                        </w:rPr>
                        <w:t>AB LTA £700</w:t>
                      </w:r>
                      <w:r w:rsidRPr="00F5405E">
                        <w:rPr>
                          <w:sz w:val="22"/>
                          <w:szCs w:val="22"/>
                        </w:rPr>
                        <w:t>k</w:t>
                      </w:r>
                    </w:p>
                    <w:p w:rsidR="00F66189" w:rsidRPr="001A558F" w:rsidRDefault="00F66189" w:rsidP="0054713E">
                      <w:pPr>
                        <w:ind w:left="567" w:hanging="567"/>
                        <w:rPr>
                          <w:sz w:val="22"/>
                          <w:szCs w:val="22"/>
                        </w:rPr>
                      </w:pPr>
                    </w:p>
                    <w:p w:rsidR="00F66189" w:rsidRDefault="00F66189" w:rsidP="00A4750B">
                      <w:pPr>
                        <w:pStyle w:val="ListParagraph"/>
                        <w:numPr>
                          <w:ilvl w:val="0"/>
                          <w:numId w:val="20"/>
                        </w:numPr>
                        <w:rPr>
                          <w:sz w:val="22"/>
                          <w:szCs w:val="22"/>
                        </w:rPr>
                      </w:pPr>
                      <w:r>
                        <w:rPr>
                          <w:sz w:val="22"/>
                          <w:szCs w:val="22"/>
                        </w:rPr>
                        <w:t>Other (£599k):</w:t>
                      </w:r>
                    </w:p>
                    <w:p w:rsidR="00F66189" w:rsidRPr="00E01F90" w:rsidRDefault="00F66189" w:rsidP="00A4750B">
                      <w:pPr>
                        <w:pStyle w:val="ListParagraph"/>
                        <w:numPr>
                          <w:ilvl w:val="1"/>
                          <w:numId w:val="20"/>
                        </w:numPr>
                        <w:rPr>
                          <w:sz w:val="22"/>
                          <w:szCs w:val="22"/>
                        </w:rPr>
                      </w:pPr>
                      <w:r w:rsidRPr="00E01F90">
                        <w:rPr>
                          <w:sz w:val="22"/>
                          <w:szCs w:val="22"/>
                        </w:rPr>
                        <w:t>Local Authority Income £283k</w:t>
                      </w:r>
                    </w:p>
                    <w:p w:rsidR="00F66189" w:rsidRPr="00E01F90" w:rsidRDefault="00F66189" w:rsidP="00A4750B">
                      <w:pPr>
                        <w:pStyle w:val="ListParagraph"/>
                        <w:numPr>
                          <w:ilvl w:val="1"/>
                          <w:numId w:val="20"/>
                        </w:numPr>
                        <w:rPr>
                          <w:sz w:val="22"/>
                          <w:szCs w:val="22"/>
                        </w:rPr>
                      </w:pPr>
                      <w:r w:rsidRPr="00E01F90">
                        <w:rPr>
                          <w:sz w:val="22"/>
                          <w:szCs w:val="22"/>
                        </w:rPr>
                        <w:t>Non Contracted Income (English) £277k</w:t>
                      </w:r>
                    </w:p>
                    <w:p w:rsidR="00F66189" w:rsidRPr="00E01F90" w:rsidRDefault="00F66189" w:rsidP="00A4750B">
                      <w:pPr>
                        <w:pStyle w:val="ListParagraph"/>
                        <w:numPr>
                          <w:ilvl w:val="1"/>
                          <w:numId w:val="20"/>
                        </w:numPr>
                        <w:rPr>
                          <w:sz w:val="22"/>
                          <w:szCs w:val="22"/>
                        </w:rPr>
                      </w:pPr>
                      <w:r w:rsidRPr="00E01F90">
                        <w:rPr>
                          <w:sz w:val="22"/>
                          <w:szCs w:val="22"/>
                        </w:rPr>
                        <w:t>WHSSC Income £182k</w:t>
                      </w:r>
                    </w:p>
                    <w:p w:rsidR="00F66189" w:rsidRPr="00E01F90" w:rsidRDefault="00F66189" w:rsidP="00A4750B">
                      <w:pPr>
                        <w:pStyle w:val="ListParagraph"/>
                        <w:numPr>
                          <w:ilvl w:val="1"/>
                          <w:numId w:val="20"/>
                        </w:numPr>
                        <w:rPr>
                          <w:sz w:val="22"/>
                          <w:szCs w:val="22"/>
                        </w:rPr>
                      </w:pPr>
                      <w:r w:rsidRPr="00E01F90">
                        <w:rPr>
                          <w:sz w:val="22"/>
                          <w:szCs w:val="22"/>
                        </w:rPr>
                        <w:t>WG Income £(1,387k)</w:t>
                      </w:r>
                    </w:p>
                    <w:p w:rsidR="00F66189" w:rsidRPr="0035249C" w:rsidRDefault="00F66189" w:rsidP="0054713E">
                      <w:pPr>
                        <w:rPr>
                          <w:b/>
                          <w:sz w:val="24"/>
                          <w:u w:val="single"/>
                        </w:rPr>
                      </w:pPr>
                    </w:p>
                  </w:txbxContent>
                </v:textbox>
              </v:shape>
            </w:pict>
          </mc:Fallback>
        </mc:AlternateContent>
      </w:r>
    </w:p>
    <w:tbl>
      <w:tblPr>
        <w:tblW w:w="10348" w:type="dxa"/>
        <w:tblInd w:w="817" w:type="dxa"/>
        <w:tblLayout w:type="fixed"/>
        <w:tblLook w:val="04A0" w:firstRow="1" w:lastRow="0" w:firstColumn="1" w:lastColumn="0" w:noHBand="0" w:noVBand="1"/>
      </w:tblPr>
      <w:tblGrid>
        <w:gridCol w:w="4276"/>
        <w:gridCol w:w="1418"/>
        <w:gridCol w:w="1535"/>
        <w:gridCol w:w="1418"/>
        <w:gridCol w:w="1701"/>
      </w:tblGrid>
      <w:tr w:rsidR="0054713E" w:rsidRPr="00DC1793" w:rsidTr="003C4364">
        <w:trPr>
          <w:trHeight w:val="510"/>
        </w:trPr>
        <w:tc>
          <w:tcPr>
            <w:tcW w:w="4276" w:type="dxa"/>
            <w:tcBorders>
              <w:top w:val="single" w:sz="8" w:space="0" w:color="auto"/>
              <w:left w:val="single" w:sz="8" w:space="0" w:color="auto"/>
              <w:bottom w:val="nil"/>
              <w:right w:val="single" w:sz="8" w:space="0" w:color="auto"/>
            </w:tcBorders>
            <w:shd w:val="clear" w:color="auto" w:fill="auto"/>
            <w:hideMark/>
          </w:tcPr>
          <w:p w:rsidR="0054713E" w:rsidRPr="00DC1793" w:rsidRDefault="0054713E" w:rsidP="003C4364">
            <w:pPr>
              <w:rPr>
                <w:color w:val="000000"/>
                <w:sz w:val="20"/>
                <w:szCs w:val="20"/>
                <w:lang w:val="en-US"/>
              </w:rPr>
            </w:pPr>
            <w:r w:rsidRPr="00DC1793">
              <w:rPr>
                <w:color w:val="000000"/>
                <w:sz w:val="20"/>
                <w:szCs w:val="20"/>
                <w:lang w:val="en-US"/>
              </w:rPr>
              <w:t> </w:t>
            </w:r>
          </w:p>
        </w:tc>
        <w:tc>
          <w:tcPr>
            <w:tcW w:w="1418" w:type="dxa"/>
            <w:tcBorders>
              <w:top w:val="single" w:sz="8" w:space="0" w:color="auto"/>
              <w:left w:val="nil"/>
              <w:bottom w:val="nil"/>
              <w:right w:val="single" w:sz="8" w:space="0" w:color="auto"/>
            </w:tcBorders>
            <w:shd w:val="clear" w:color="auto" w:fill="auto"/>
            <w:hideMark/>
          </w:tcPr>
          <w:p w:rsidR="0054713E" w:rsidRPr="00DC1793" w:rsidRDefault="0054713E" w:rsidP="003C4364">
            <w:pPr>
              <w:jc w:val="center"/>
              <w:rPr>
                <w:b/>
                <w:bCs/>
                <w:color w:val="000000"/>
                <w:sz w:val="20"/>
                <w:szCs w:val="20"/>
                <w:lang w:val="en-US"/>
              </w:rPr>
            </w:pPr>
            <w:r w:rsidRPr="00DC1793">
              <w:rPr>
                <w:rFonts w:cs="Arial"/>
                <w:b/>
                <w:bCs/>
                <w:color w:val="000000"/>
                <w:sz w:val="20"/>
                <w:szCs w:val="20"/>
                <w:lang w:eastAsia="en-GB"/>
              </w:rPr>
              <w:t>Annual Budget</w:t>
            </w:r>
          </w:p>
        </w:tc>
        <w:tc>
          <w:tcPr>
            <w:tcW w:w="1535" w:type="dxa"/>
            <w:tcBorders>
              <w:top w:val="single" w:sz="8" w:space="0" w:color="auto"/>
              <w:left w:val="nil"/>
              <w:bottom w:val="nil"/>
              <w:right w:val="nil"/>
            </w:tcBorders>
            <w:shd w:val="clear" w:color="auto" w:fill="auto"/>
            <w:hideMark/>
          </w:tcPr>
          <w:p w:rsidR="0054713E" w:rsidRPr="00DC1793" w:rsidRDefault="0054713E" w:rsidP="003C4364">
            <w:pPr>
              <w:jc w:val="center"/>
              <w:rPr>
                <w:b/>
                <w:bCs/>
                <w:color w:val="000000"/>
                <w:sz w:val="20"/>
                <w:szCs w:val="20"/>
                <w:lang w:val="en-US"/>
              </w:rPr>
            </w:pPr>
            <w:r w:rsidRPr="00DC1793">
              <w:rPr>
                <w:rFonts w:cs="Arial"/>
                <w:b/>
                <w:bCs/>
                <w:color w:val="000000"/>
                <w:sz w:val="20"/>
                <w:szCs w:val="20"/>
                <w:lang w:eastAsia="en-GB"/>
              </w:rPr>
              <w:t>Current Month Variance</w:t>
            </w:r>
          </w:p>
        </w:tc>
        <w:tc>
          <w:tcPr>
            <w:tcW w:w="1418" w:type="dxa"/>
            <w:tcBorders>
              <w:top w:val="single" w:sz="8" w:space="0" w:color="auto"/>
              <w:left w:val="single" w:sz="4" w:space="0" w:color="auto"/>
              <w:bottom w:val="nil"/>
              <w:right w:val="single" w:sz="4" w:space="0" w:color="auto"/>
            </w:tcBorders>
            <w:shd w:val="clear" w:color="auto" w:fill="auto"/>
            <w:hideMark/>
          </w:tcPr>
          <w:p w:rsidR="0054713E" w:rsidRPr="00DC1793" w:rsidRDefault="0054713E" w:rsidP="003C4364">
            <w:pPr>
              <w:jc w:val="center"/>
              <w:rPr>
                <w:b/>
                <w:bCs/>
                <w:color w:val="000000"/>
                <w:sz w:val="20"/>
                <w:szCs w:val="20"/>
                <w:lang w:val="en-US"/>
              </w:rPr>
            </w:pPr>
            <w:r w:rsidRPr="00DC1793">
              <w:rPr>
                <w:rFonts w:cs="Arial"/>
                <w:b/>
                <w:bCs/>
                <w:color w:val="000000"/>
                <w:sz w:val="20"/>
                <w:szCs w:val="20"/>
                <w:lang w:eastAsia="en-GB"/>
              </w:rPr>
              <w:t>Year to Date Variance</w:t>
            </w:r>
          </w:p>
        </w:tc>
        <w:tc>
          <w:tcPr>
            <w:tcW w:w="1701" w:type="dxa"/>
            <w:tcBorders>
              <w:top w:val="single" w:sz="8" w:space="0" w:color="auto"/>
              <w:left w:val="nil"/>
              <w:bottom w:val="nil"/>
              <w:right w:val="single" w:sz="8" w:space="0" w:color="auto"/>
            </w:tcBorders>
            <w:shd w:val="clear" w:color="auto" w:fill="auto"/>
            <w:hideMark/>
          </w:tcPr>
          <w:p w:rsidR="0054713E" w:rsidRPr="00DC1793" w:rsidRDefault="0054713E" w:rsidP="003C4364">
            <w:pPr>
              <w:jc w:val="center"/>
              <w:rPr>
                <w:b/>
                <w:bCs/>
                <w:color w:val="000000"/>
                <w:sz w:val="20"/>
                <w:szCs w:val="20"/>
                <w:lang w:val="en-US"/>
              </w:rPr>
            </w:pPr>
            <w:r w:rsidRPr="00DC1793">
              <w:rPr>
                <w:rFonts w:cs="Arial"/>
                <w:b/>
                <w:bCs/>
                <w:color w:val="000000"/>
                <w:sz w:val="20"/>
                <w:szCs w:val="20"/>
                <w:lang w:eastAsia="en-GB"/>
              </w:rPr>
              <w:t>YTD Variance as % of YTD budget</w:t>
            </w:r>
          </w:p>
        </w:tc>
      </w:tr>
      <w:tr w:rsidR="0054713E" w:rsidRPr="00DC1793" w:rsidTr="003C4364">
        <w:trPr>
          <w:trHeight w:val="270"/>
        </w:trPr>
        <w:tc>
          <w:tcPr>
            <w:tcW w:w="4276" w:type="dxa"/>
            <w:tcBorders>
              <w:top w:val="nil"/>
              <w:left w:val="single" w:sz="8" w:space="0" w:color="auto"/>
              <w:bottom w:val="nil"/>
              <w:right w:val="single" w:sz="8" w:space="0" w:color="auto"/>
            </w:tcBorders>
            <w:shd w:val="clear" w:color="auto" w:fill="auto"/>
            <w:hideMark/>
          </w:tcPr>
          <w:p w:rsidR="0054713E" w:rsidRPr="00DC1793" w:rsidRDefault="0054713E" w:rsidP="003C4364">
            <w:pPr>
              <w:jc w:val="both"/>
              <w:rPr>
                <w:b/>
                <w:bCs/>
                <w:color w:val="000000"/>
                <w:sz w:val="20"/>
                <w:szCs w:val="20"/>
                <w:lang w:val="en-US"/>
              </w:rPr>
            </w:pPr>
            <w:r w:rsidRPr="00DC1793">
              <w:rPr>
                <w:rFonts w:cs="Arial"/>
                <w:b/>
                <w:bCs/>
                <w:color w:val="000000"/>
                <w:sz w:val="20"/>
                <w:szCs w:val="20"/>
                <w:lang w:eastAsia="en-GB"/>
              </w:rPr>
              <w:t> </w:t>
            </w:r>
          </w:p>
        </w:tc>
        <w:tc>
          <w:tcPr>
            <w:tcW w:w="1418" w:type="dxa"/>
            <w:tcBorders>
              <w:top w:val="nil"/>
              <w:left w:val="nil"/>
              <w:bottom w:val="nil"/>
              <w:right w:val="single" w:sz="8" w:space="0" w:color="auto"/>
            </w:tcBorders>
            <w:shd w:val="clear" w:color="auto" w:fill="auto"/>
            <w:hideMark/>
          </w:tcPr>
          <w:p w:rsidR="0054713E" w:rsidRPr="00DC1793" w:rsidRDefault="0054713E" w:rsidP="003C4364">
            <w:pPr>
              <w:jc w:val="center"/>
              <w:rPr>
                <w:b/>
                <w:bCs/>
                <w:color w:val="000000"/>
                <w:sz w:val="20"/>
                <w:szCs w:val="20"/>
                <w:lang w:val="en-US"/>
              </w:rPr>
            </w:pPr>
            <w:r w:rsidRPr="00DC1793">
              <w:rPr>
                <w:rFonts w:cs="Arial"/>
                <w:b/>
                <w:bCs/>
                <w:color w:val="000000"/>
                <w:sz w:val="20"/>
                <w:szCs w:val="20"/>
                <w:lang w:eastAsia="en-GB"/>
              </w:rPr>
              <w:t>£'000</w:t>
            </w:r>
          </w:p>
        </w:tc>
        <w:tc>
          <w:tcPr>
            <w:tcW w:w="1535" w:type="dxa"/>
            <w:tcBorders>
              <w:top w:val="nil"/>
              <w:left w:val="nil"/>
              <w:bottom w:val="nil"/>
              <w:right w:val="nil"/>
            </w:tcBorders>
            <w:shd w:val="clear" w:color="auto" w:fill="auto"/>
            <w:hideMark/>
          </w:tcPr>
          <w:p w:rsidR="0054713E" w:rsidRPr="00DC1793" w:rsidRDefault="0054713E" w:rsidP="003C4364">
            <w:pPr>
              <w:jc w:val="center"/>
              <w:rPr>
                <w:b/>
                <w:bCs/>
                <w:color w:val="000000"/>
                <w:sz w:val="20"/>
                <w:szCs w:val="20"/>
                <w:lang w:val="en-US"/>
              </w:rPr>
            </w:pPr>
            <w:r w:rsidRPr="00DC1793">
              <w:rPr>
                <w:rFonts w:cs="Arial"/>
                <w:b/>
                <w:bCs/>
                <w:color w:val="000000"/>
                <w:sz w:val="20"/>
                <w:szCs w:val="20"/>
                <w:lang w:eastAsia="en-GB"/>
              </w:rPr>
              <w:t>£'000</w:t>
            </w:r>
          </w:p>
        </w:tc>
        <w:tc>
          <w:tcPr>
            <w:tcW w:w="1418" w:type="dxa"/>
            <w:tcBorders>
              <w:top w:val="nil"/>
              <w:left w:val="single" w:sz="4" w:space="0" w:color="auto"/>
              <w:bottom w:val="nil"/>
              <w:right w:val="single" w:sz="4" w:space="0" w:color="auto"/>
            </w:tcBorders>
            <w:shd w:val="clear" w:color="auto" w:fill="auto"/>
            <w:hideMark/>
          </w:tcPr>
          <w:p w:rsidR="0054713E" w:rsidRPr="00DC1793" w:rsidRDefault="0054713E" w:rsidP="003C4364">
            <w:pPr>
              <w:jc w:val="center"/>
              <w:rPr>
                <w:b/>
                <w:bCs/>
                <w:color w:val="000000"/>
                <w:sz w:val="20"/>
                <w:szCs w:val="20"/>
                <w:lang w:val="en-US"/>
              </w:rPr>
            </w:pPr>
            <w:r w:rsidRPr="00DC1793">
              <w:rPr>
                <w:rFonts w:cs="Arial"/>
                <w:b/>
                <w:bCs/>
                <w:color w:val="000000"/>
                <w:sz w:val="20"/>
                <w:szCs w:val="20"/>
                <w:lang w:eastAsia="en-GB"/>
              </w:rPr>
              <w:t>£'000</w:t>
            </w:r>
          </w:p>
        </w:tc>
        <w:tc>
          <w:tcPr>
            <w:tcW w:w="1701" w:type="dxa"/>
            <w:tcBorders>
              <w:top w:val="nil"/>
              <w:left w:val="nil"/>
              <w:bottom w:val="nil"/>
              <w:right w:val="single" w:sz="8" w:space="0" w:color="auto"/>
            </w:tcBorders>
            <w:shd w:val="clear" w:color="auto" w:fill="auto"/>
            <w:hideMark/>
          </w:tcPr>
          <w:p w:rsidR="0054713E" w:rsidRPr="00DC1793" w:rsidRDefault="0054713E" w:rsidP="003C4364">
            <w:pPr>
              <w:jc w:val="center"/>
              <w:rPr>
                <w:b/>
                <w:bCs/>
                <w:color w:val="000000"/>
                <w:sz w:val="20"/>
                <w:szCs w:val="20"/>
                <w:lang w:val="en-US"/>
              </w:rPr>
            </w:pPr>
            <w:r w:rsidRPr="00DC1793">
              <w:rPr>
                <w:rFonts w:cs="Arial"/>
                <w:b/>
                <w:bCs/>
                <w:color w:val="000000"/>
                <w:sz w:val="20"/>
                <w:szCs w:val="20"/>
                <w:lang w:eastAsia="en-GB"/>
              </w:rPr>
              <w:t>%</w:t>
            </w:r>
          </w:p>
        </w:tc>
      </w:tr>
      <w:tr w:rsidR="0054713E" w:rsidRPr="00DC1793" w:rsidTr="003C4364">
        <w:trPr>
          <w:trHeight w:val="270"/>
        </w:trPr>
        <w:tc>
          <w:tcPr>
            <w:tcW w:w="4276" w:type="dxa"/>
            <w:tcBorders>
              <w:top w:val="nil"/>
              <w:left w:val="single" w:sz="8" w:space="0" w:color="auto"/>
              <w:bottom w:val="nil"/>
              <w:right w:val="single" w:sz="8" w:space="0" w:color="auto"/>
            </w:tcBorders>
            <w:shd w:val="clear" w:color="auto" w:fill="auto"/>
          </w:tcPr>
          <w:p w:rsidR="0054713E" w:rsidRPr="00DC1793" w:rsidRDefault="0054713E" w:rsidP="003C4364">
            <w:pPr>
              <w:jc w:val="both"/>
              <w:rPr>
                <w:rFonts w:cs="Arial"/>
                <w:b/>
                <w:bCs/>
                <w:color w:val="000000"/>
                <w:sz w:val="20"/>
                <w:szCs w:val="20"/>
                <w:lang w:eastAsia="en-GB"/>
              </w:rPr>
            </w:pPr>
          </w:p>
        </w:tc>
        <w:tc>
          <w:tcPr>
            <w:tcW w:w="1418" w:type="dxa"/>
            <w:tcBorders>
              <w:top w:val="nil"/>
              <w:left w:val="nil"/>
              <w:bottom w:val="nil"/>
              <w:right w:val="single" w:sz="8" w:space="0" w:color="auto"/>
            </w:tcBorders>
            <w:shd w:val="clear" w:color="auto" w:fill="auto"/>
          </w:tcPr>
          <w:p w:rsidR="0054713E" w:rsidRPr="00DC1793" w:rsidRDefault="0054713E" w:rsidP="003C4364">
            <w:pPr>
              <w:jc w:val="center"/>
              <w:rPr>
                <w:rFonts w:cs="Arial"/>
                <w:b/>
                <w:bCs/>
                <w:color w:val="000000"/>
                <w:sz w:val="20"/>
                <w:szCs w:val="20"/>
                <w:lang w:eastAsia="en-GB"/>
              </w:rPr>
            </w:pPr>
          </w:p>
        </w:tc>
        <w:tc>
          <w:tcPr>
            <w:tcW w:w="1535" w:type="dxa"/>
            <w:tcBorders>
              <w:top w:val="nil"/>
              <w:left w:val="nil"/>
              <w:bottom w:val="nil"/>
              <w:right w:val="nil"/>
            </w:tcBorders>
            <w:shd w:val="clear" w:color="auto" w:fill="auto"/>
          </w:tcPr>
          <w:p w:rsidR="0054713E" w:rsidRPr="00DC1793" w:rsidRDefault="0054713E" w:rsidP="003C4364">
            <w:pPr>
              <w:jc w:val="center"/>
              <w:rPr>
                <w:rFonts w:cs="Arial"/>
                <w:b/>
                <w:bCs/>
                <w:color w:val="000000"/>
                <w:sz w:val="20"/>
                <w:szCs w:val="20"/>
                <w:lang w:eastAsia="en-GB"/>
              </w:rPr>
            </w:pPr>
          </w:p>
        </w:tc>
        <w:tc>
          <w:tcPr>
            <w:tcW w:w="1418" w:type="dxa"/>
            <w:tcBorders>
              <w:top w:val="nil"/>
              <w:left w:val="single" w:sz="4" w:space="0" w:color="auto"/>
              <w:bottom w:val="nil"/>
              <w:right w:val="single" w:sz="4" w:space="0" w:color="auto"/>
            </w:tcBorders>
            <w:shd w:val="clear" w:color="auto" w:fill="auto"/>
          </w:tcPr>
          <w:p w:rsidR="0054713E" w:rsidRPr="00DC1793" w:rsidRDefault="0054713E" w:rsidP="003C4364">
            <w:pPr>
              <w:jc w:val="center"/>
              <w:rPr>
                <w:rFonts w:cs="Arial"/>
                <w:b/>
                <w:bCs/>
                <w:color w:val="000000"/>
                <w:sz w:val="20"/>
                <w:szCs w:val="20"/>
                <w:lang w:eastAsia="en-GB"/>
              </w:rPr>
            </w:pPr>
          </w:p>
        </w:tc>
        <w:tc>
          <w:tcPr>
            <w:tcW w:w="1701" w:type="dxa"/>
            <w:tcBorders>
              <w:top w:val="nil"/>
              <w:left w:val="nil"/>
              <w:bottom w:val="nil"/>
              <w:right w:val="single" w:sz="8" w:space="0" w:color="auto"/>
            </w:tcBorders>
            <w:shd w:val="clear" w:color="auto" w:fill="auto"/>
          </w:tcPr>
          <w:p w:rsidR="0054713E" w:rsidRPr="00DC1793" w:rsidRDefault="0054713E" w:rsidP="003C4364">
            <w:pPr>
              <w:jc w:val="center"/>
              <w:rPr>
                <w:rFonts w:cs="Arial"/>
                <w:b/>
                <w:bCs/>
                <w:color w:val="000000"/>
                <w:sz w:val="20"/>
                <w:szCs w:val="20"/>
                <w:lang w:eastAsia="en-GB"/>
              </w:rPr>
            </w:pPr>
          </w:p>
        </w:tc>
      </w:tr>
      <w:tr w:rsidR="0054713E" w:rsidRPr="00DC1793" w:rsidTr="003C4364">
        <w:trPr>
          <w:trHeight w:val="70"/>
        </w:trPr>
        <w:tc>
          <w:tcPr>
            <w:tcW w:w="4276" w:type="dxa"/>
            <w:tcBorders>
              <w:top w:val="nil"/>
              <w:left w:val="single" w:sz="8" w:space="0" w:color="auto"/>
              <w:bottom w:val="single" w:sz="8" w:space="0" w:color="auto"/>
              <w:right w:val="single" w:sz="8" w:space="0" w:color="auto"/>
            </w:tcBorders>
            <w:shd w:val="clear" w:color="auto" w:fill="auto"/>
          </w:tcPr>
          <w:p w:rsidR="0054713E" w:rsidRPr="00DC1793" w:rsidRDefault="0054713E" w:rsidP="003C4364">
            <w:pPr>
              <w:jc w:val="both"/>
              <w:rPr>
                <w:rFonts w:cs="Arial"/>
                <w:b/>
                <w:bCs/>
                <w:color w:val="000000"/>
                <w:sz w:val="20"/>
                <w:szCs w:val="20"/>
                <w:lang w:eastAsia="en-GB"/>
              </w:rPr>
            </w:pPr>
          </w:p>
        </w:tc>
        <w:tc>
          <w:tcPr>
            <w:tcW w:w="1418" w:type="dxa"/>
            <w:tcBorders>
              <w:top w:val="nil"/>
              <w:left w:val="nil"/>
              <w:bottom w:val="single" w:sz="8" w:space="0" w:color="auto"/>
              <w:right w:val="single" w:sz="8" w:space="0" w:color="auto"/>
            </w:tcBorders>
            <w:shd w:val="clear" w:color="auto" w:fill="auto"/>
          </w:tcPr>
          <w:p w:rsidR="0054713E" w:rsidRPr="00DC1793" w:rsidRDefault="0054713E" w:rsidP="003C4364">
            <w:pPr>
              <w:jc w:val="center"/>
              <w:rPr>
                <w:rFonts w:cs="Arial"/>
                <w:b/>
                <w:bCs/>
                <w:color w:val="000000"/>
                <w:sz w:val="20"/>
                <w:szCs w:val="20"/>
                <w:lang w:eastAsia="en-GB"/>
              </w:rPr>
            </w:pPr>
          </w:p>
        </w:tc>
        <w:tc>
          <w:tcPr>
            <w:tcW w:w="1535" w:type="dxa"/>
            <w:tcBorders>
              <w:top w:val="nil"/>
              <w:left w:val="nil"/>
              <w:bottom w:val="single" w:sz="8" w:space="0" w:color="auto"/>
              <w:right w:val="nil"/>
            </w:tcBorders>
            <w:shd w:val="clear" w:color="auto" w:fill="auto"/>
          </w:tcPr>
          <w:p w:rsidR="0054713E" w:rsidRPr="00DC1793" w:rsidRDefault="0054713E" w:rsidP="003C4364">
            <w:pPr>
              <w:jc w:val="center"/>
              <w:rPr>
                <w:rFonts w:cs="Arial"/>
                <w:b/>
                <w:bCs/>
                <w:color w:val="000000"/>
                <w:sz w:val="20"/>
                <w:szCs w:val="20"/>
                <w:lang w:eastAsia="en-GB"/>
              </w:rPr>
            </w:pPr>
          </w:p>
        </w:tc>
        <w:tc>
          <w:tcPr>
            <w:tcW w:w="1418" w:type="dxa"/>
            <w:tcBorders>
              <w:top w:val="nil"/>
              <w:left w:val="single" w:sz="4" w:space="0" w:color="auto"/>
              <w:bottom w:val="single" w:sz="8" w:space="0" w:color="auto"/>
              <w:right w:val="single" w:sz="4" w:space="0" w:color="auto"/>
            </w:tcBorders>
            <w:shd w:val="clear" w:color="auto" w:fill="auto"/>
          </w:tcPr>
          <w:p w:rsidR="0054713E" w:rsidRPr="00DC1793" w:rsidRDefault="0054713E" w:rsidP="003C4364">
            <w:pPr>
              <w:jc w:val="center"/>
              <w:rPr>
                <w:rFonts w:cs="Arial"/>
                <w:b/>
                <w:bCs/>
                <w:color w:val="000000"/>
                <w:sz w:val="20"/>
                <w:szCs w:val="20"/>
                <w:lang w:eastAsia="en-GB"/>
              </w:rPr>
            </w:pPr>
          </w:p>
        </w:tc>
        <w:tc>
          <w:tcPr>
            <w:tcW w:w="1701" w:type="dxa"/>
            <w:tcBorders>
              <w:top w:val="nil"/>
              <w:left w:val="nil"/>
              <w:bottom w:val="single" w:sz="8" w:space="0" w:color="auto"/>
              <w:right w:val="single" w:sz="8" w:space="0" w:color="auto"/>
            </w:tcBorders>
            <w:shd w:val="clear" w:color="auto" w:fill="auto"/>
          </w:tcPr>
          <w:p w:rsidR="0054713E" w:rsidRPr="00DC1793" w:rsidRDefault="0054713E" w:rsidP="003C4364">
            <w:pPr>
              <w:jc w:val="center"/>
              <w:rPr>
                <w:rFonts w:cs="Arial"/>
                <w:b/>
                <w:bCs/>
                <w:color w:val="000000"/>
                <w:sz w:val="20"/>
                <w:szCs w:val="20"/>
                <w:lang w:eastAsia="en-GB"/>
              </w:rPr>
            </w:pPr>
          </w:p>
        </w:tc>
      </w:tr>
      <w:tr w:rsidR="0054713E" w:rsidRPr="00DC1793" w:rsidTr="003C4364">
        <w:trPr>
          <w:trHeight w:val="270"/>
        </w:trPr>
        <w:tc>
          <w:tcPr>
            <w:tcW w:w="4276" w:type="dxa"/>
            <w:tcBorders>
              <w:top w:val="nil"/>
              <w:left w:val="single" w:sz="8" w:space="0" w:color="auto"/>
              <w:bottom w:val="single" w:sz="8" w:space="0" w:color="auto"/>
              <w:right w:val="single" w:sz="8" w:space="0" w:color="auto"/>
            </w:tcBorders>
            <w:shd w:val="clear" w:color="auto" w:fill="auto"/>
            <w:vAlign w:val="center"/>
          </w:tcPr>
          <w:p w:rsidR="0054713E" w:rsidRPr="00DC1793" w:rsidRDefault="0054713E" w:rsidP="003C4364">
            <w:pPr>
              <w:rPr>
                <w:b/>
                <w:bCs/>
                <w:color w:val="000000"/>
                <w:sz w:val="22"/>
                <w:szCs w:val="22"/>
                <w:lang w:eastAsia="en-GB"/>
              </w:rPr>
            </w:pPr>
            <w:r w:rsidRPr="00DC1793">
              <w:rPr>
                <w:b/>
                <w:bCs/>
                <w:color w:val="000000"/>
                <w:sz w:val="22"/>
                <w:szCs w:val="22"/>
                <w:lang w:eastAsia="en-GB"/>
              </w:rPr>
              <w:t>Income From Activities</w:t>
            </w:r>
          </w:p>
        </w:tc>
        <w:tc>
          <w:tcPr>
            <w:tcW w:w="1418" w:type="dxa"/>
            <w:tcBorders>
              <w:top w:val="nil"/>
              <w:left w:val="nil"/>
              <w:bottom w:val="single" w:sz="8" w:space="0" w:color="auto"/>
              <w:right w:val="single" w:sz="8" w:space="0" w:color="auto"/>
            </w:tcBorders>
            <w:shd w:val="clear" w:color="auto" w:fill="auto"/>
          </w:tcPr>
          <w:p w:rsidR="0054713E" w:rsidRPr="00DC1793" w:rsidRDefault="0054713E" w:rsidP="003C4364">
            <w:pPr>
              <w:jc w:val="center"/>
              <w:rPr>
                <w:rFonts w:cs="Arial"/>
                <w:b/>
                <w:bCs/>
                <w:color w:val="000000"/>
                <w:sz w:val="20"/>
                <w:szCs w:val="20"/>
                <w:lang w:eastAsia="en-GB"/>
              </w:rPr>
            </w:pPr>
          </w:p>
        </w:tc>
        <w:tc>
          <w:tcPr>
            <w:tcW w:w="1535" w:type="dxa"/>
            <w:tcBorders>
              <w:top w:val="nil"/>
              <w:left w:val="nil"/>
              <w:bottom w:val="single" w:sz="8" w:space="0" w:color="auto"/>
              <w:right w:val="nil"/>
            </w:tcBorders>
            <w:shd w:val="clear" w:color="auto" w:fill="auto"/>
          </w:tcPr>
          <w:p w:rsidR="0054713E" w:rsidRPr="00DC1793" w:rsidRDefault="0054713E" w:rsidP="003C4364">
            <w:pPr>
              <w:jc w:val="center"/>
              <w:rPr>
                <w:rFonts w:cs="Arial"/>
                <w:b/>
                <w:bCs/>
                <w:color w:val="000000"/>
                <w:sz w:val="20"/>
                <w:szCs w:val="20"/>
                <w:lang w:eastAsia="en-GB"/>
              </w:rPr>
            </w:pPr>
          </w:p>
        </w:tc>
        <w:tc>
          <w:tcPr>
            <w:tcW w:w="1418" w:type="dxa"/>
            <w:tcBorders>
              <w:top w:val="nil"/>
              <w:left w:val="single" w:sz="4" w:space="0" w:color="auto"/>
              <w:bottom w:val="single" w:sz="8" w:space="0" w:color="auto"/>
              <w:right w:val="single" w:sz="4" w:space="0" w:color="auto"/>
            </w:tcBorders>
            <w:shd w:val="clear" w:color="auto" w:fill="auto"/>
          </w:tcPr>
          <w:p w:rsidR="0054713E" w:rsidRPr="00DC1793" w:rsidRDefault="0054713E" w:rsidP="003C4364">
            <w:pPr>
              <w:jc w:val="center"/>
              <w:rPr>
                <w:rFonts w:cs="Arial"/>
                <w:b/>
                <w:bCs/>
                <w:color w:val="000000"/>
                <w:sz w:val="20"/>
                <w:szCs w:val="20"/>
                <w:lang w:eastAsia="en-GB"/>
              </w:rPr>
            </w:pPr>
          </w:p>
        </w:tc>
        <w:tc>
          <w:tcPr>
            <w:tcW w:w="1701" w:type="dxa"/>
            <w:tcBorders>
              <w:top w:val="nil"/>
              <w:left w:val="nil"/>
              <w:bottom w:val="single" w:sz="8" w:space="0" w:color="auto"/>
              <w:right w:val="single" w:sz="8" w:space="0" w:color="auto"/>
            </w:tcBorders>
            <w:shd w:val="clear" w:color="auto" w:fill="auto"/>
          </w:tcPr>
          <w:p w:rsidR="0054713E" w:rsidRPr="00DC1793" w:rsidRDefault="0054713E" w:rsidP="003C4364">
            <w:pPr>
              <w:jc w:val="center"/>
              <w:rPr>
                <w:rFonts w:cs="Arial"/>
                <w:b/>
                <w:bCs/>
                <w:color w:val="000000"/>
                <w:sz w:val="20"/>
                <w:szCs w:val="20"/>
                <w:lang w:eastAsia="en-GB"/>
              </w:rPr>
            </w:pPr>
          </w:p>
        </w:tc>
      </w:tr>
      <w:tr w:rsidR="007F4B59" w:rsidRPr="00DC1793" w:rsidTr="00752FF7">
        <w:trPr>
          <w:trHeight w:val="270"/>
        </w:trPr>
        <w:tc>
          <w:tcPr>
            <w:tcW w:w="4276" w:type="dxa"/>
            <w:tcBorders>
              <w:top w:val="nil"/>
              <w:left w:val="single" w:sz="8" w:space="0" w:color="auto"/>
              <w:bottom w:val="single" w:sz="8" w:space="0" w:color="auto"/>
              <w:right w:val="single" w:sz="8" w:space="0" w:color="auto"/>
            </w:tcBorders>
            <w:shd w:val="clear" w:color="auto" w:fill="auto"/>
            <w:vAlign w:val="center"/>
          </w:tcPr>
          <w:p w:rsidR="007F4B59" w:rsidRPr="00DC1793" w:rsidRDefault="007F4B59" w:rsidP="007F4B59">
            <w:pPr>
              <w:jc w:val="both"/>
              <w:rPr>
                <w:color w:val="000000"/>
                <w:sz w:val="22"/>
                <w:szCs w:val="22"/>
                <w:lang w:eastAsia="en-GB"/>
              </w:rPr>
            </w:pPr>
            <w:r w:rsidRPr="00DC1793">
              <w:rPr>
                <w:color w:val="000000"/>
                <w:sz w:val="22"/>
                <w:szCs w:val="22"/>
                <w:lang w:eastAsia="en-GB"/>
              </w:rPr>
              <w:t xml:space="preserve">Dental Income </w:t>
            </w:r>
          </w:p>
        </w:tc>
        <w:tc>
          <w:tcPr>
            <w:tcW w:w="1418" w:type="dxa"/>
            <w:tcBorders>
              <w:top w:val="nil"/>
              <w:left w:val="nil"/>
              <w:bottom w:val="single" w:sz="8" w:space="0" w:color="auto"/>
              <w:right w:val="single" w:sz="8" w:space="0" w:color="auto"/>
            </w:tcBorders>
            <w:shd w:val="clear" w:color="auto" w:fill="auto"/>
            <w:vAlign w:val="center"/>
          </w:tcPr>
          <w:p w:rsidR="007F4B59" w:rsidRDefault="007F4B59" w:rsidP="007F4B59">
            <w:pPr>
              <w:jc w:val="right"/>
              <w:rPr>
                <w:sz w:val="20"/>
                <w:szCs w:val="20"/>
                <w:lang w:eastAsia="en-GB"/>
              </w:rPr>
            </w:pPr>
            <w:r>
              <w:rPr>
                <w:color w:val="FF0000"/>
                <w:sz w:val="20"/>
                <w:szCs w:val="20"/>
              </w:rPr>
              <w:t>(6,209)</w:t>
            </w:r>
          </w:p>
        </w:tc>
        <w:tc>
          <w:tcPr>
            <w:tcW w:w="1535" w:type="dxa"/>
            <w:tcBorders>
              <w:top w:val="nil"/>
              <w:left w:val="nil"/>
              <w:bottom w:val="single" w:sz="8" w:space="0" w:color="auto"/>
              <w:right w:val="nil"/>
            </w:tcBorders>
            <w:shd w:val="clear" w:color="auto" w:fill="auto"/>
            <w:vAlign w:val="center"/>
          </w:tcPr>
          <w:p w:rsidR="007F4B59" w:rsidRDefault="007F4B59" w:rsidP="007F4B59">
            <w:pPr>
              <w:jc w:val="right"/>
              <w:rPr>
                <w:sz w:val="20"/>
                <w:szCs w:val="20"/>
              </w:rPr>
            </w:pPr>
            <w:r>
              <w:rPr>
                <w:color w:val="FF0000"/>
                <w:sz w:val="20"/>
                <w:szCs w:val="20"/>
              </w:rPr>
              <w:t>(18)</w:t>
            </w:r>
          </w:p>
        </w:tc>
        <w:tc>
          <w:tcPr>
            <w:tcW w:w="1418" w:type="dxa"/>
            <w:tcBorders>
              <w:top w:val="nil"/>
              <w:left w:val="single" w:sz="4" w:space="0" w:color="auto"/>
              <w:bottom w:val="single" w:sz="8" w:space="0" w:color="auto"/>
              <w:right w:val="single" w:sz="4" w:space="0" w:color="auto"/>
            </w:tcBorders>
            <w:shd w:val="clear" w:color="auto" w:fill="auto"/>
            <w:vAlign w:val="center"/>
          </w:tcPr>
          <w:p w:rsidR="007F4B59" w:rsidRDefault="007F4B59" w:rsidP="007F4B59">
            <w:pPr>
              <w:jc w:val="right"/>
              <w:rPr>
                <w:sz w:val="20"/>
                <w:szCs w:val="20"/>
              </w:rPr>
            </w:pPr>
            <w:r>
              <w:rPr>
                <w:sz w:val="20"/>
                <w:szCs w:val="20"/>
              </w:rPr>
              <w:t>182</w:t>
            </w:r>
          </w:p>
        </w:tc>
        <w:tc>
          <w:tcPr>
            <w:tcW w:w="1701" w:type="dxa"/>
            <w:tcBorders>
              <w:top w:val="nil"/>
              <w:left w:val="nil"/>
              <w:bottom w:val="single" w:sz="8" w:space="0" w:color="auto"/>
              <w:right w:val="single" w:sz="8" w:space="0" w:color="auto"/>
            </w:tcBorders>
            <w:shd w:val="clear" w:color="auto" w:fill="FF0000"/>
            <w:vAlign w:val="center"/>
          </w:tcPr>
          <w:p w:rsidR="007F4B59" w:rsidRDefault="007F4B59" w:rsidP="007F4B59">
            <w:pPr>
              <w:jc w:val="right"/>
              <w:rPr>
                <w:sz w:val="20"/>
                <w:szCs w:val="20"/>
              </w:rPr>
            </w:pPr>
            <w:r>
              <w:rPr>
                <w:sz w:val="20"/>
                <w:szCs w:val="20"/>
              </w:rPr>
              <w:t>3.20%</w:t>
            </w:r>
          </w:p>
        </w:tc>
      </w:tr>
      <w:tr w:rsidR="007F4B59" w:rsidRPr="00DC1793" w:rsidTr="009625A5">
        <w:trPr>
          <w:trHeight w:val="270"/>
        </w:trPr>
        <w:tc>
          <w:tcPr>
            <w:tcW w:w="4276" w:type="dxa"/>
            <w:tcBorders>
              <w:top w:val="nil"/>
              <w:left w:val="single" w:sz="8" w:space="0" w:color="auto"/>
              <w:bottom w:val="single" w:sz="8" w:space="0" w:color="auto"/>
              <w:right w:val="single" w:sz="8" w:space="0" w:color="auto"/>
            </w:tcBorders>
            <w:shd w:val="clear" w:color="auto" w:fill="auto"/>
            <w:vAlign w:val="center"/>
          </w:tcPr>
          <w:p w:rsidR="007F4B59" w:rsidRPr="00DC1793" w:rsidRDefault="007F4B59" w:rsidP="007F4B59">
            <w:pPr>
              <w:jc w:val="both"/>
              <w:rPr>
                <w:color w:val="000000"/>
                <w:sz w:val="22"/>
                <w:szCs w:val="22"/>
                <w:lang w:eastAsia="en-GB"/>
              </w:rPr>
            </w:pPr>
            <w:r w:rsidRPr="00DC1793">
              <w:rPr>
                <w:color w:val="000000"/>
                <w:sz w:val="22"/>
                <w:szCs w:val="22"/>
                <w:lang w:eastAsia="en-GB"/>
              </w:rPr>
              <w:t>Local Health Boards</w:t>
            </w:r>
          </w:p>
        </w:tc>
        <w:tc>
          <w:tcPr>
            <w:tcW w:w="1418" w:type="dxa"/>
            <w:tcBorders>
              <w:top w:val="nil"/>
              <w:left w:val="nil"/>
              <w:bottom w:val="single" w:sz="8" w:space="0" w:color="auto"/>
              <w:right w:val="single" w:sz="8" w:space="0" w:color="auto"/>
            </w:tcBorders>
            <w:shd w:val="clear" w:color="auto" w:fill="auto"/>
            <w:vAlign w:val="center"/>
          </w:tcPr>
          <w:p w:rsidR="007F4B59" w:rsidRDefault="007F4B59" w:rsidP="007F4B59">
            <w:pPr>
              <w:jc w:val="right"/>
              <w:rPr>
                <w:sz w:val="20"/>
                <w:szCs w:val="20"/>
              </w:rPr>
            </w:pPr>
            <w:r>
              <w:rPr>
                <w:color w:val="FF0000"/>
                <w:sz w:val="20"/>
                <w:szCs w:val="20"/>
              </w:rPr>
              <w:t>(76,432)</w:t>
            </w:r>
          </w:p>
        </w:tc>
        <w:tc>
          <w:tcPr>
            <w:tcW w:w="1535" w:type="dxa"/>
            <w:tcBorders>
              <w:top w:val="nil"/>
              <w:left w:val="nil"/>
              <w:bottom w:val="single" w:sz="8" w:space="0" w:color="auto"/>
              <w:right w:val="nil"/>
            </w:tcBorders>
            <w:shd w:val="clear" w:color="auto" w:fill="auto"/>
            <w:vAlign w:val="center"/>
          </w:tcPr>
          <w:p w:rsidR="007F4B59" w:rsidRDefault="007F4B59" w:rsidP="007F4B59">
            <w:pPr>
              <w:jc w:val="right"/>
              <w:rPr>
                <w:sz w:val="20"/>
                <w:szCs w:val="20"/>
              </w:rPr>
            </w:pPr>
            <w:r>
              <w:rPr>
                <w:color w:val="FF0000"/>
                <w:sz w:val="20"/>
                <w:szCs w:val="20"/>
              </w:rPr>
              <w:t>(662)</w:t>
            </w:r>
          </w:p>
        </w:tc>
        <w:tc>
          <w:tcPr>
            <w:tcW w:w="1418" w:type="dxa"/>
            <w:tcBorders>
              <w:top w:val="nil"/>
              <w:left w:val="single" w:sz="4" w:space="0" w:color="auto"/>
              <w:bottom w:val="single" w:sz="8" w:space="0" w:color="auto"/>
              <w:right w:val="single" w:sz="4" w:space="0" w:color="auto"/>
            </w:tcBorders>
            <w:shd w:val="clear" w:color="auto" w:fill="auto"/>
            <w:vAlign w:val="center"/>
          </w:tcPr>
          <w:p w:rsidR="007F4B59" w:rsidRDefault="007F4B59" w:rsidP="007F4B59">
            <w:pPr>
              <w:jc w:val="right"/>
              <w:rPr>
                <w:sz w:val="20"/>
                <w:szCs w:val="20"/>
              </w:rPr>
            </w:pPr>
            <w:r>
              <w:rPr>
                <w:sz w:val="20"/>
                <w:szCs w:val="20"/>
              </w:rPr>
              <w:t>1,261</w:t>
            </w:r>
          </w:p>
        </w:tc>
        <w:tc>
          <w:tcPr>
            <w:tcW w:w="1701" w:type="dxa"/>
            <w:tcBorders>
              <w:top w:val="nil"/>
              <w:left w:val="nil"/>
              <w:bottom w:val="single" w:sz="8" w:space="0" w:color="auto"/>
              <w:right w:val="single" w:sz="8" w:space="0" w:color="auto"/>
            </w:tcBorders>
            <w:shd w:val="clear" w:color="auto" w:fill="FF0000"/>
            <w:vAlign w:val="center"/>
          </w:tcPr>
          <w:p w:rsidR="007F4B59" w:rsidRDefault="007F4B59" w:rsidP="007F4B59">
            <w:pPr>
              <w:jc w:val="right"/>
              <w:rPr>
                <w:sz w:val="20"/>
                <w:szCs w:val="20"/>
              </w:rPr>
            </w:pPr>
            <w:r>
              <w:rPr>
                <w:sz w:val="20"/>
                <w:szCs w:val="20"/>
              </w:rPr>
              <w:t>1.80%</w:t>
            </w:r>
          </w:p>
        </w:tc>
      </w:tr>
      <w:tr w:rsidR="007F4B59" w:rsidRPr="00DC1793" w:rsidTr="00752FF7">
        <w:trPr>
          <w:trHeight w:val="270"/>
        </w:trPr>
        <w:tc>
          <w:tcPr>
            <w:tcW w:w="4276" w:type="dxa"/>
            <w:tcBorders>
              <w:top w:val="nil"/>
              <w:left w:val="single" w:sz="8" w:space="0" w:color="auto"/>
              <w:bottom w:val="single" w:sz="8" w:space="0" w:color="auto"/>
              <w:right w:val="single" w:sz="8" w:space="0" w:color="auto"/>
            </w:tcBorders>
            <w:shd w:val="clear" w:color="auto" w:fill="auto"/>
            <w:vAlign w:val="center"/>
          </w:tcPr>
          <w:p w:rsidR="007F4B59" w:rsidRPr="00DC1793" w:rsidRDefault="007F4B59" w:rsidP="007F4B59">
            <w:pPr>
              <w:rPr>
                <w:color w:val="000000"/>
                <w:sz w:val="22"/>
                <w:szCs w:val="22"/>
                <w:lang w:eastAsia="en-GB"/>
              </w:rPr>
            </w:pPr>
            <w:r w:rsidRPr="00DC1793">
              <w:rPr>
                <w:color w:val="000000"/>
                <w:sz w:val="22"/>
                <w:szCs w:val="22"/>
                <w:lang w:eastAsia="en-GB"/>
              </w:rPr>
              <w:t xml:space="preserve">Other </w:t>
            </w:r>
          </w:p>
        </w:tc>
        <w:tc>
          <w:tcPr>
            <w:tcW w:w="1418" w:type="dxa"/>
            <w:tcBorders>
              <w:top w:val="nil"/>
              <w:left w:val="nil"/>
              <w:bottom w:val="single" w:sz="8" w:space="0" w:color="auto"/>
              <w:right w:val="single" w:sz="8" w:space="0" w:color="auto"/>
            </w:tcBorders>
            <w:shd w:val="clear" w:color="auto" w:fill="auto"/>
            <w:vAlign w:val="center"/>
          </w:tcPr>
          <w:p w:rsidR="007F4B59" w:rsidRDefault="007F4B59" w:rsidP="007F4B59">
            <w:pPr>
              <w:jc w:val="right"/>
              <w:rPr>
                <w:sz w:val="20"/>
                <w:szCs w:val="20"/>
              </w:rPr>
            </w:pPr>
            <w:r>
              <w:rPr>
                <w:color w:val="FF0000"/>
                <w:sz w:val="20"/>
                <w:szCs w:val="20"/>
              </w:rPr>
              <w:t>(32,277)</w:t>
            </w:r>
          </w:p>
        </w:tc>
        <w:tc>
          <w:tcPr>
            <w:tcW w:w="1535" w:type="dxa"/>
            <w:tcBorders>
              <w:top w:val="nil"/>
              <w:left w:val="nil"/>
              <w:bottom w:val="single" w:sz="8" w:space="0" w:color="auto"/>
              <w:right w:val="nil"/>
            </w:tcBorders>
            <w:shd w:val="clear" w:color="auto" w:fill="auto"/>
            <w:vAlign w:val="center"/>
          </w:tcPr>
          <w:p w:rsidR="007F4B59" w:rsidRDefault="007F4B59" w:rsidP="007F4B59">
            <w:pPr>
              <w:jc w:val="right"/>
              <w:rPr>
                <w:sz w:val="20"/>
                <w:szCs w:val="20"/>
              </w:rPr>
            </w:pPr>
            <w:r>
              <w:rPr>
                <w:color w:val="FF0000"/>
                <w:sz w:val="20"/>
                <w:szCs w:val="20"/>
              </w:rPr>
              <w:t>(9)</w:t>
            </w:r>
          </w:p>
        </w:tc>
        <w:tc>
          <w:tcPr>
            <w:tcW w:w="1418" w:type="dxa"/>
            <w:tcBorders>
              <w:top w:val="nil"/>
              <w:left w:val="single" w:sz="4" w:space="0" w:color="auto"/>
              <w:bottom w:val="single" w:sz="8" w:space="0" w:color="auto"/>
              <w:right w:val="single" w:sz="4" w:space="0" w:color="auto"/>
            </w:tcBorders>
            <w:shd w:val="clear" w:color="auto" w:fill="auto"/>
            <w:vAlign w:val="center"/>
          </w:tcPr>
          <w:p w:rsidR="007F4B59" w:rsidRDefault="007F4B59" w:rsidP="007F4B59">
            <w:pPr>
              <w:jc w:val="right"/>
              <w:rPr>
                <w:sz w:val="20"/>
                <w:szCs w:val="20"/>
              </w:rPr>
            </w:pPr>
            <w:r>
              <w:rPr>
                <w:color w:val="FF0000"/>
                <w:sz w:val="20"/>
                <w:szCs w:val="20"/>
              </w:rPr>
              <w:t>(599)</w:t>
            </w:r>
          </w:p>
        </w:tc>
        <w:tc>
          <w:tcPr>
            <w:tcW w:w="1701" w:type="dxa"/>
            <w:tcBorders>
              <w:top w:val="nil"/>
              <w:left w:val="nil"/>
              <w:bottom w:val="single" w:sz="8" w:space="0" w:color="auto"/>
              <w:right w:val="single" w:sz="8" w:space="0" w:color="auto"/>
            </w:tcBorders>
            <w:shd w:val="clear" w:color="auto" w:fill="92D050"/>
            <w:vAlign w:val="center"/>
          </w:tcPr>
          <w:p w:rsidR="007F4B59" w:rsidRDefault="007F4B59" w:rsidP="007F4B59">
            <w:pPr>
              <w:jc w:val="right"/>
              <w:rPr>
                <w:sz w:val="20"/>
                <w:szCs w:val="20"/>
              </w:rPr>
            </w:pPr>
            <w:r>
              <w:rPr>
                <w:sz w:val="20"/>
                <w:szCs w:val="20"/>
              </w:rPr>
              <w:t>-2.01%</w:t>
            </w:r>
          </w:p>
        </w:tc>
      </w:tr>
      <w:tr w:rsidR="007F4B59" w:rsidRPr="00DC1793" w:rsidTr="003C4364">
        <w:trPr>
          <w:trHeight w:val="270"/>
        </w:trPr>
        <w:tc>
          <w:tcPr>
            <w:tcW w:w="4276" w:type="dxa"/>
            <w:tcBorders>
              <w:top w:val="nil"/>
              <w:left w:val="single" w:sz="8" w:space="0" w:color="auto"/>
              <w:bottom w:val="single" w:sz="8" w:space="0" w:color="auto"/>
              <w:right w:val="single" w:sz="8" w:space="0" w:color="auto"/>
            </w:tcBorders>
            <w:shd w:val="clear" w:color="auto" w:fill="8DB3E2" w:themeFill="text2" w:themeFillTint="66"/>
            <w:vAlign w:val="center"/>
          </w:tcPr>
          <w:p w:rsidR="007F4B59" w:rsidRPr="00DC1793" w:rsidRDefault="007F4B59" w:rsidP="007F4B59">
            <w:pPr>
              <w:jc w:val="right"/>
              <w:rPr>
                <w:b/>
                <w:bCs/>
                <w:color w:val="000000"/>
                <w:sz w:val="22"/>
                <w:szCs w:val="22"/>
                <w:lang w:eastAsia="en-GB"/>
              </w:rPr>
            </w:pPr>
            <w:r w:rsidRPr="00DC1793">
              <w:rPr>
                <w:b/>
                <w:bCs/>
                <w:color w:val="000000"/>
                <w:sz w:val="22"/>
                <w:szCs w:val="22"/>
                <w:lang w:eastAsia="en-GB"/>
              </w:rPr>
              <w:t>Total Income from Activities</w:t>
            </w:r>
          </w:p>
        </w:tc>
        <w:tc>
          <w:tcPr>
            <w:tcW w:w="1418" w:type="dxa"/>
            <w:tcBorders>
              <w:top w:val="nil"/>
              <w:left w:val="nil"/>
              <w:bottom w:val="single" w:sz="8" w:space="0" w:color="auto"/>
              <w:right w:val="single" w:sz="8" w:space="0" w:color="auto"/>
            </w:tcBorders>
            <w:shd w:val="clear" w:color="auto" w:fill="8DB3E2" w:themeFill="text2" w:themeFillTint="66"/>
            <w:vAlign w:val="center"/>
          </w:tcPr>
          <w:p w:rsidR="007F4B59" w:rsidRDefault="007F4B59" w:rsidP="007F4B59">
            <w:pPr>
              <w:jc w:val="right"/>
              <w:rPr>
                <w:b/>
                <w:bCs/>
                <w:sz w:val="20"/>
                <w:szCs w:val="20"/>
              </w:rPr>
            </w:pPr>
            <w:r>
              <w:rPr>
                <w:b/>
                <w:bCs/>
                <w:color w:val="FF0000"/>
                <w:sz w:val="20"/>
                <w:szCs w:val="20"/>
              </w:rPr>
              <w:t>(114,917)</w:t>
            </w:r>
          </w:p>
        </w:tc>
        <w:tc>
          <w:tcPr>
            <w:tcW w:w="1535" w:type="dxa"/>
            <w:tcBorders>
              <w:top w:val="nil"/>
              <w:left w:val="nil"/>
              <w:bottom w:val="single" w:sz="8" w:space="0" w:color="auto"/>
              <w:right w:val="nil"/>
            </w:tcBorders>
            <w:shd w:val="clear" w:color="auto" w:fill="8DB3E2" w:themeFill="text2" w:themeFillTint="66"/>
            <w:vAlign w:val="center"/>
          </w:tcPr>
          <w:p w:rsidR="007F4B59" w:rsidRDefault="007F4B59" w:rsidP="007F4B59">
            <w:pPr>
              <w:jc w:val="right"/>
              <w:rPr>
                <w:b/>
                <w:bCs/>
                <w:sz w:val="20"/>
                <w:szCs w:val="20"/>
              </w:rPr>
            </w:pPr>
            <w:r>
              <w:rPr>
                <w:b/>
                <w:bCs/>
                <w:color w:val="FF0000"/>
                <w:sz w:val="20"/>
                <w:szCs w:val="20"/>
              </w:rPr>
              <w:t>(690)</w:t>
            </w:r>
          </w:p>
        </w:tc>
        <w:tc>
          <w:tcPr>
            <w:tcW w:w="1418" w:type="dxa"/>
            <w:tcBorders>
              <w:top w:val="nil"/>
              <w:left w:val="single" w:sz="4" w:space="0" w:color="auto"/>
              <w:bottom w:val="single" w:sz="8" w:space="0" w:color="auto"/>
              <w:right w:val="single" w:sz="4" w:space="0" w:color="auto"/>
            </w:tcBorders>
            <w:shd w:val="clear" w:color="auto" w:fill="8DB3E2" w:themeFill="text2" w:themeFillTint="66"/>
            <w:vAlign w:val="center"/>
          </w:tcPr>
          <w:p w:rsidR="007F4B59" w:rsidRDefault="007F4B59" w:rsidP="007F4B59">
            <w:pPr>
              <w:jc w:val="right"/>
              <w:rPr>
                <w:b/>
                <w:bCs/>
                <w:sz w:val="20"/>
                <w:szCs w:val="20"/>
              </w:rPr>
            </w:pPr>
            <w:r>
              <w:rPr>
                <w:b/>
                <w:bCs/>
                <w:sz w:val="20"/>
                <w:szCs w:val="20"/>
              </w:rPr>
              <w:t>844</w:t>
            </w:r>
          </w:p>
        </w:tc>
        <w:tc>
          <w:tcPr>
            <w:tcW w:w="1701" w:type="dxa"/>
            <w:tcBorders>
              <w:top w:val="nil"/>
              <w:left w:val="nil"/>
              <w:bottom w:val="single" w:sz="8" w:space="0" w:color="auto"/>
              <w:right w:val="single" w:sz="8" w:space="0" w:color="auto"/>
            </w:tcBorders>
            <w:shd w:val="clear" w:color="auto" w:fill="8DB3E2" w:themeFill="text2" w:themeFillTint="66"/>
            <w:vAlign w:val="center"/>
          </w:tcPr>
          <w:p w:rsidR="007F4B59" w:rsidRDefault="007F4B59" w:rsidP="007F4B59">
            <w:pPr>
              <w:jc w:val="right"/>
              <w:rPr>
                <w:b/>
                <w:bCs/>
                <w:sz w:val="20"/>
                <w:szCs w:val="20"/>
              </w:rPr>
            </w:pPr>
            <w:r>
              <w:rPr>
                <w:b/>
                <w:bCs/>
                <w:sz w:val="20"/>
                <w:szCs w:val="20"/>
              </w:rPr>
              <w:t>0.80%</w:t>
            </w:r>
          </w:p>
        </w:tc>
      </w:tr>
      <w:tr w:rsidR="007F4B59" w:rsidRPr="00DC1793" w:rsidTr="003C4364">
        <w:trPr>
          <w:trHeight w:val="270"/>
        </w:trPr>
        <w:tc>
          <w:tcPr>
            <w:tcW w:w="4276" w:type="dxa"/>
            <w:tcBorders>
              <w:top w:val="nil"/>
              <w:left w:val="single" w:sz="8" w:space="0" w:color="auto"/>
              <w:bottom w:val="single" w:sz="8" w:space="0" w:color="auto"/>
              <w:right w:val="single" w:sz="8" w:space="0" w:color="auto"/>
            </w:tcBorders>
            <w:shd w:val="clear" w:color="auto" w:fill="auto"/>
            <w:vAlign w:val="center"/>
          </w:tcPr>
          <w:p w:rsidR="007F4B59" w:rsidRPr="00DC1793" w:rsidRDefault="007F4B59" w:rsidP="007F4B59">
            <w:pPr>
              <w:rPr>
                <w:b/>
                <w:bCs/>
                <w:color w:val="000000"/>
                <w:sz w:val="22"/>
                <w:szCs w:val="22"/>
                <w:lang w:eastAsia="en-GB"/>
              </w:rPr>
            </w:pPr>
            <w:r w:rsidRPr="00DC1793">
              <w:rPr>
                <w:b/>
                <w:bCs/>
                <w:color w:val="000000"/>
                <w:sz w:val="22"/>
                <w:szCs w:val="22"/>
                <w:lang w:eastAsia="en-GB"/>
              </w:rPr>
              <w:t>Other Operating Income</w:t>
            </w:r>
          </w:p>
        </w:tc>
        <w:tc>
          <w:tcPr>
            <w:tcW w:w="1418" w:type="dxa"/>
            <w:tcBorders>
              <w:top w:val="nil"/>
              <w:left w:val="nil"/>
              <w:bottom w:val="single" w:sz="8" w:space="0" w:color="auto"/>
              <w:right w:val="single" w:sz="8" w:space="0" w:color="auto"/>
            </w:tcBorders>
            <w:shd w:val="clear" w:color="auto" w:fill="auto"/>
            <w:vAlign w:val="center"/>
          </w:tcPr>
          <w:p w:rsidR="007F4B59" w:rsidRDefault="007F4B59" w:rsidP="007F4B59">
            <w:pPr>
              <w:jc w:val="right"/>
              <w:rPr>
                <w:sz w:val="20"/>
                <w:szCs w:val="20"/>
              </w:rPr>
            </w:pPr>
            <w:r>
              <w:rPr>
                <w:sz w:val="20"/>
                <w:szCs w:val="20"/>
              </w:rPr>
              <w:t> </w:t>
            </w:r>
          </w:p>
        </w:tc>
        <w:tc>
          <w:tcPr>
            <w:tcW w:w="1535" w:type="dxa"/>
            <w:tcBorders>
              <w:top w:val="nil"/>
              <w:left w:val="nil"/>
              <w:bottom w:val="single" w:sz="8" w:space="0" w:color="auto"/>
              <w:right w:val="nil"/>
            </w:tcBorders>
            <w:shd w:val="clear" w:color="auto" w:fill="auto"/>
            <w:vAlign w:val="center"/>
          </w:tcPr>
          <w:p w:rsidR="007F4B59" w:rsidRDefault="007F4B59" w:rsidP="007F4B59">
            <w:pPr>
              <w:jc w:val="right"/>
              <w:rPr>
                <w:sz w:val="20"/>
                <w:szCs w:val="20"/>
              </w:rPr>
            </w:pPr>
            <w:r>
              <w:rPr>
                <w:sz w:val="20"/>
                <w:szCs w:val="20"/>
              </w:rPr>
              <w:t>0</w:t>
            </w:r>
          </w:p>
        </w:tc>
        <w:tc>
          <w:tcPr>
            <w:tcW w:w="1418" w:type="dxa"/>
            <w:tcBorders>
              <w:top w:val="nil"/>
              <w:left w:val="single" w:sz="4" w:space="0" w:color="auto"/>
              <w:bottom w:val="single" w:sz="8" w:space="0" w:color="auto"/>
              <w:right w:val="single" w:sz="4" w:space="0" w:color="auto"/>
            </w:tcBorders>
            <w:shd w:val="clear" w:color="auto" w:fill="auto"/>
            <w:vAlign w:val="center"/>
          </w:tcPr>
          <w:p w:rsidR="007F4B59" w:rsidRDefault="007F4B59" w:rsidP="007F4B59">
            <w:pPr>
              <w:jc w:val="right"/>
              <w:rPr>
                <w:sz w:val="20"/>
                <w:szCs w:val="20"/>
              </w:rPr>
            </w:pPr>
            <w:r>
              <w:rPr>
                <w:sz w:val="20"/>
                <w:szCs w:val="20"/>
              </w:rPr>
              <w:t> </w:t>
            </w:r>
          </w:p>
        </w:tc>
        <w:tc>
          <w:tcPr>
            <w:tcW w:w="1701" w:type="dxa"/>
            <w:tcBorders>
              <w:top w:val="nil"/>
              <w:left w:val="nil"/>
              <w:bottom w:val="single" w:sz="8" w:space="0" w:color="auto"/>
              <w:right w:val="single" w:sz="8" w:space="0" w:color="auto"/>
            </w:tcBorders>
            <w:shd w:val="clear" w:color="auto" w:fill="auto"/>
            <w:vAlign w:val="center"/>
          </w:tcPr>
          <w:p w:rsidR="007F4B59" w:rsidRDefault="007F4B59" w:rsidP="007F4B59">
            <w:pPr>
              <w:jc w:val="right"/>
              <w:rPr>
                <w:sz w:val="20"/>
                <w:szCs w:val="20"/>
              </w:rPr>
            </w:pPr>
            <w:r>
              <w:rPr>
                <w:sz w:val="20"/>
                <w:szCs w:val="20"/>
              </w:rPr>
              <w:t> </w:t>
            </w:r>
          </w:p>
        </w:tc>
      </w:tr>
      <w:tr w:rsidR="007F4B59" w:rsidRPr="00DC1793" w:rsidTr="00752FF7">
        <w:trPr>
          <w:trHeight w:val="270"/>
        </w:trPr>
        <w:tc>
          <w:tcPr>
            <w:tcW w:w="4276" w:type="dxa"/>
            <w:tcBorders>
              <w:top w:val="nil"/>
              <w:left w:val="single" w:sz="8" w:space="0" w:color="auto"/>
              <w:bottom w:val="single" w:sz="8" w:space="0" w:color="auto"/>
              <w:right w:val="single" w:sz="8" w:space="0" w:color="auto"/>
            </w:tcBorders>
            <w:shd w:val="clear" w:color="auto" w:fill="auto"/>
            <w:vAlign w:val="center"/>
          </w:tcPr>
          <w:p w:rsidR="007F4B59" w:rsidRPr="00DC1793" w:rsidRDefault="007F4B59" w:rsidP="007F4B59">
            <w:pPr>
              <w:rPr>
                <w:color w:val="000000"/>
                <w:sz w:val="22"/>
                <w:szCs w:val="22"/>
                <w:lang w:eastAsia="en-GB"/>
              </w:rPr>
            </w:pPr>
            <w:r w:rsidRPr="00DC1793">
              <w:rPr>
                <w:color w:val="000000"/>
                <w:sz w:val="22"/>
                <w:szCs w:val="22"/>
                <w:lang w:eastAsia="en-GB"/>
              </w:rPr>
              <w:t xml:space="preserve">Accommodation &amp; Catering </w:t>
            </w:r>
          </w:p>
        </w:tc>
        <w:tc>
          <w:tcPr>
            <w:tcW w:w="1418" w:type="dxa"/>
            <w:tcBorders>
              <w:top w:val="nil"/>
              <w:left w:val="nil"/>
              <w:bottom w:val="single" w:sz="8" w:space="0" w:color="auto"/>
              <w:right w:val="single" w:sz="8" w:space="0" w:color="auto"/>
            </w:tcBorders>
            <w:shd w:val="clear" w:color="auto" w:fill="auto"/>
            <w:vAlign w:val="center"/>
          </w:tcPr>
          <w:p w:rsidR="007F4B59" w:rsidRDefault="007F4B59" w:rsidP="007F4B59">
            <w:pPr>
              <w:jc w:val="right"/>
              <w:rPr>
                <w:sz w:val="20"/>
                <w:szCs w:val="20"/>
              </w:rPr>
            </w:pPr>
            <w:r>
              <w:rPr>
                <w:color w:val="FF0000"/>
                <w:sz w:val="20"/>
                <w:szCs w:val="20"/>
              </w:rPr>
              <w:t>(3,785)</w:t>
            </w:r>
          </w:p>
        </w:tc>
        <w:tc>
          <w:tcPr>
            <w:tcW w:w="1535" w:type="dxa"/>
            <w:tcBorders>
              <w:top w:val="nil"/>
              <w:left w:val="nil"/>
              <w:bottom w:val="single" w:sz="8" w:space="0" w:color="auto"/>
              <w:right w:val="nil"/>
            </w:tcBorders>
            <w:shd w:val="clear" w:color="auto" w:fill="auto"/>
            <w:vAlign w:val="center"/>
          </w:tcPr>
          <w:p w:rsidR="007F4B59" w:rsidRDefault="007F4B59" w:rsidP="007F4B59">
            <w:pPr>
              <w:jc w:val="right"/>
              <w:rPr>
                <w:sz w:val="20"/>
                <w:szCs w:val="20"/>
              </w:rPr>
            </w:pPr>
            <w:r>
              <w:rPr>
                <w:color w:val="FF0000"/>
                <w:sz w:val="20"/>
                <w:szCs w:val="20"/>
              </w:rPr>
              <w:t>(8)</w:t>
            </w:r>
          </w:p>
        </w:tc>
        <w:tc>
          <w:tcPr>
            <w:tcW w:w="1418" w:type="dxa"/>
            <w:tcBorders>
              <w:top w:val="nil"/>
              <w:left w:val="single" w:sz="4" w:space="0" w:color="auto"/>
              <w:bottom w:val="single" w:sz="8" w:space="0" w:color="auto"/>
              <w:right w:val="single" w:sz="4" w:space="0" w:color="auto"/>
            </w:tcBorders>
            <w:shd w:val="clear" w:color="auto" w:fill="auto"/>
            <w:vAlign w:val="center"/>
          </w:tcPr>
          <w:p w:rsidR="007F4B59" w:rsidRDefault="007F4B59" w:rsidP="007F4B59">
            <w:pPr>
              <w:jc w:val="right"/>
              <w:rPr>
                <w:sz w:val="20"/>
                <w:szCs w:val="20"/>
              </w:rPr>
            </w:pPr>
            <w:r>
              <w:rPr>
                <w:sz w:val="20"/>
                <w:szCs w:val="20"/>
              </w:rPr>
              <w:t>109</w:t>
            </w:r>
          </w:p>
        </w:tc>
        <w:tc>
          <w:tcPr>
            <w:tcW w:w="1701" w:type="dxa"/>
            <w:tcBorders>
              <w:top w:val="nil"/>
              <w:left w:val="nil"/>
              <w:bottom w:val="single" w:sz="8" w:space="0" w:color="auto"/>
              <w:right w:val="single" w:sz="8" w:space="0" w:color="auto"/>
            </w:tcBorders>
            <w:shd w:val="clear" w:color="auto" w:fill="FF0000"/>
            <w:vAlign w:val="center"/>
          </w:tcPr>
          <w:p w:rsidR="007F4B59" w:rsidRDefault="007F4B59" w:rsidP="007F4B59">
            <w:pPr>
              <w:jc w:val="right"/>
              <w:rPr>
                <w:sz w:val="20"/>
                <w:szCs w:val="20"/>
              </w:rPr>
            </w:pPr>
            <w:r>
              <w:rPr>
                <w:sz w:val="20"/>
                <w:szCs w:val="20"/>
              </w:rPr>
              <w:t>3.17%</w:t>
            </w:r>
          </w:p>
        </w:tc>
      </w:tr>
      <w:tr w:rsidR="007F4B59" w:rsidRPr="00DC1793" w:rsidTr="00AB330F">
        <w:trPr>
          <w:trHeight w:val="270"/>
        </w:trPr>
        <w:tc>
          <w:tcPr>
            <w:tcW w:w="4276" w:type="dxa"/>
            <w:tcBorders>
              <w:top w:val="nil"/>
              <w:left w:val="single" w:sz="8" w:space="0" w:color="auto"/>
              <w:bottom w:val="single" w:sz="8" w:space="0" w:color="auto"/>
              <w:right w:val="single" w:sz="8" w:space="0" w:color="auto"/>
            </w:tcBorders>
            <w:shd w:val="clear" w:color="auto" w:fill="auto"/>
            <w:vAlign w:val="center"/>
          </w:tcPr>
          <w:p w:rsidR="007F4B59" w:rsidRPr="00DC1793" w:rsidRDefault="007F4B59" w:rsidP="007F4B59">
            <w:pPr>
              <w:rPr>
                <w:color w:val="000000"/>
                <w:sz w:val="22"/>
                <w:szCs w:val="22"/>
                <w:lang w:eastAsia="en-GB"/>
              </w:rPr>
            </w:pPr>
            <w:r w:rsidRPr="00DC1793">
              <w:rPr>
                <w:color w:val="000000"/>
                <w:sz w:val="22"/>
                <w:szCs w:val="22"/>
                <w:lang w:eastAsia="en-GB"/>
              </w:rPr>
              <w:t xml:space="preserve">Charitable &amp; Other Contributions </w:t>
            </w:r>
          </w:p>
        </w:tc>
        <w:tc>
          <w:tcPr>
            <w:tcW w:w="1418" w:type="dxa"/>
            <w:tcBorders>
              <w:top w:val="nil"/>
              <w:left w:val="nil"/>
              <w:bottom w:val="single" w:sz="8" w:space="0" w:color="auto"/>
              <w:right w:val="single" w:sz="8" w:space="0" w:color="auto"/>
            </w:tcBorders>
            <w:shd w:val="clear" w:color="auto" w:fill="auto"/>
            <w:vAlign w:val="center"/>
          </w:tcPr>
          <w:p w:rsidR="007F4B59" w:rsidRDefault="007F4B59" w:rsidP="007F4B59">
            <w:pPr>
              <w:jc w:val="right"/>
              <w:rPr>
                <w:sz w:val="20"/>
                <w:szCs w:val="20"/>
              </w:rPr>
            </w:pPr>
            <w:r>
              <w:rPr>
                <w:color w:val="FF0000"/>
                <w:sz w:val="20"/>
                <w:szCs w:val="20"/>
              </w:rPr>
              <w:t>(542)</w:t>
            </w:r>
          </w:p>
        </w:tc>
        <w:tc>
          <w:tcPr>
            <w:tcW w:w="1535" w:type="dxa"/>
            <w:tcBorders>
              <w:top w:val="nil"/>
              <w:left w:val="nil"/>
              <w:bottom w:val="single" w:sz="8" w:space="0" w:color="auto"/>
              <w:right w:val="nil"/>
            </w:tcBorders>
            <w:shd w:val="clear" w:color="auto" w:fill="auto"/>
            <w:vAlign w:val="center"/>
          </w:tcPr>
          <w:p w:rsidR="007F4B59" w:rsidRDefault="007F4B59" w:rsidP="007F4B59">
            <w:pPr>
              <w:jc w:val="right"/>
              <w:rPr>
                <w:sz w:val="20"/>
                <w:szCs w:val="20"/>
              </w:rPr>
            </w:pPr>
            <w:r>
              <w:rPr>
                <w:color w:val="FF0000"/>
                <w:sz w:val="20"/>
                <w:szCs w:val="20"/>
              </w:rPr>
              <w:t>(2)</w:t>
            </w:r>
          </w:p>
        </w:tc>
        <w:tc>
          <w:tcPr>
            <w:tcW w:w="1418" w:type="dxa"/>
            <w:tcBorders>
              <w:top w:val="nil"/>
              <w:left w:val="single" w:sz="4" w:space="0" w:color="auto"/>
              <w:bottom w:val="single" w:sz="8" w:space="0" w:color="auto"/>
              <w:right w:val="single" w:sz="4" w:space="0" w:color="auto"/>
            </w:tcBorders>
            <w:shd w:val="clear" w:color="auto" w:fill="auto"/>
            <w:vAlign w:val="center"/>
          </w:tcPr>
          <w:p w:rsidR="007F4B59" w:rsidRDefault="007F4B59" w:rsidP="007F4B59">
            <w:pPr>
              <w:jc w:val="right"/>
              <w:rPr>
                <w:sz w:val="20"/>
                <w:szCs w:val="20"/>
              </w:rPr>
            </w:pPr>
            <w:r>
              <w:rPr>
                <w:color w:val="FF0000"/>
                <w:sz w:val="20"/>
                <w:szCs w:val="20"/>
              </w:rPr>
              <w:t>(21)</w:t>
            </w:r>
          </w:p>
        </w:tc>
        <w:tc>
          <w:tcPr>
            <w:tcW w:w="1701" w:type="dxa"/>
            <w:tcBorders>
              <w:top w:val="nil"/>
              <w:left w:val="nil"/>
              <w:bottom w:val="single" w:sz="8" w:space="0" w:color="auto"/>
              <w:right w:val="single" w:sz="8" w:space="0" w:color="auto"/>
            </w:tcBorders>
            <w:shd w:val="clear" w:color="auto" w:fill="92D050"/>
            <w:vAlign w:val="center"/>
          </w:tcPr>
          <w:p w:rsidR="007F4B59" w:rsidRDefault="007F4B59" w:rsidP="007F4B59">
            <w:pPr>
              <w:jc w:val="right"/>
              <w:rPr>
                <w:sz w:val="20"/>
                <w:szCs w:val="20"/>
              </w:rPr>
            </w:pPr>
            <w:r>
              <w:rPr>
                <w:sz w:val="20"/>
                <w:szCs w:val="20"/>
              </w:rPr>
              <w:t>-4.18%</w:t>
            </w:r>
          </w:p>
        </w:tc>
      </w:tr>
      <w:tr w:rsidR="007F4B59" w:rsidRPr="00DC1793" w:rsidTr="003C4364">
        <w:trPr>
          <w:trHeight w:val="270"/>
        </w:trPr>
        <w:tc>
          <w:tcPr>
            <w:tcW w:w="4276" w:type="dxa"/>
            <w:tcBorders>
              <w:top w:val="nil"/>
              <w:left w:val="single" w:sz="8" w:space="0" w:color="auto"/>
              <w:bottom w:val="single" w:sz="8" w:space="0" w:color="auto"/>
              <w:right w:val="single" w:sz="8" w:space="0" w:color="auto"/>
            </w:tcBorders>
            <w:shd w:val="clear" w:color="auto" w:fill="auto"/>
            <w:vAlign w:val="center"/>
          </w:tcPr>
          <w:p w:rsidR="007F4B59" w:rsidRPr="00DC1793" w:rsidRDefault="007F4B59" w:rsidP="007F4B59">
            <w:pPr>
              <w:rPr>
                <w:color w:val="000000"/>
                <w:sz w:val="22"/>
                <w:szCs w:val="22"/>
                <w:lang w:eastAsia="en-GB"/>
              </w:rPr>
            </w:pPr>
            <w:r w:rsidRPr="00DC1793">
              <w:rPr>
                <w:color w:val="000000"/>
                <w:sz w:val="22"/>
                <w:szCs w:val="22"/>
                <w:lang w:eastAsia="en-GB"/>
              </w:rPr>
              <w:t xml:space="preserve">Education &amp; Training </w:t>
            </w:r>
          </w:p>
        </w:tc>
        <w:tc>
          <w:tcPr>
            <w:tcW w:w="1418" w:type="dxa"/>
            <w:tcBorders>
              <w:top w:val="nil"/>
              <w:left w:val="nil"/>
              <w:bottom w:val="single" w:sz="8" w:space="0" w:color="auto"/>
              <w:right w:val="single" w:sz="8" w:space="0" w:color="auto"/>
            </w:tcBorders>
            <w:shd w:val="clear" w:color="auto" w:fill="auto"/>
            <w:vAlign w:val="center"/>
          </w:tcPr>
          <w:p w:rsidR="007F4B59" w:rsidRDefault="007F4B59" w:rsidP="007F4B59">
            <w:pPr>
              <w:jc w:val="right"/>
              <w:rPr>
                <w:sz w:val="20"/>
                <w:szCs w:val="20"/>
              </w:rPr>
            </w:pPr>
            <w:r>
              <w:rPr>
                <w:color w:val="FF0000"/>
                <w:sz w:val="20"/>
                <w:szCs w:val="20"/>
              </w:rPr>
              <w:t>(16,227)</w:t>
            </w:r>
          </w:p>
        </w:tc>
        <w:tc>
          <w:tcPr>
            <w:tcW w:w="1535" w:type="dxa"/>
            <w:tcBorders>
              <w:top w:val="nil"/>
              <w:left w:val="nil"/>
              <w:bottom w:val="single" w:sz="8" w:space="0" w:color="auto"/>
              <w:right w:val="nil"/>
            </w:tcBorders>
            <w:shd w:val="clear" w:color="auto" w:fill="auto"/>
            <w:vAlign w:val="center"/>
          </w:tcPr>
          <w:p w:rsidR="007F4B59" w:rsidRDefault="007F4B59" w:rsidP="007F4B59">
            <w:pPr>
              <w:jc w:val="right"/>
              <w:rPr>
                <w:sz w:val="20"/>
                <w:szCs w:val="20"/>
              </w:rPr>
            </w:pPr>
            <w:r>
              <w:rPr>
                <w:color w:val="FF0000"/>
                <w:sz w:val="20"/>
                <w:szCs w:val="20"/>
              </w:rPr>
              <w:t>(2)</w:t>
            </w:r>
          </w:p>
        </w:tc>
        <w:tc>
          <w:tcPr>
            <w:tcW w:w="1418" w:type="dxa"/>
            <w:tcBorders>
              <w:top w:val="nil"/>
              <w:left w:val="single" w:sz="4" w:space="0" w:color="auto"/>
              <w:bottom w:val="single" w:sz="8" w:space="0" w:color="auto"/>
              <w:right w:val="single" w:sz="4" w:space="0" w:color="auto"/>
            </w:tcBorders>
            <w:shd w:val="clear" w:color="auto" w:fill="auto"/>
            <w:vAlign w:val="center"/>
          </w:tcPr>
          <w:p w:rsidR="007F4B59" w:rsidRDefault="007F4B59" w:rsidP="007F4B59">
            <w:pPr>
              <w:jc w:val="right"/>
              <w:rPr>
                <w:sz w:val="20"/>
                <w:szCs w:val="20"/>
              </w:rPr>
            </w:pPr>
            <w:r>
              <w:rPr>
                <w:color w:val="FF0000"/>
                <w:sz w:val="20"/>
                <w:szCs w:val="20"/>
              </w:rPr>
              <w:t>(195)</w:t>
            </w:r>
          </w:p>
        </w:tc>
        <w:tc>
          <w:tcPr>
            <w:tcW w:w="1701" w:type="dxa"/>
            <w:tcBorders>
              <w:top w:val="nil"/>
              <w:left w:val="nil"/>
              <w:bottom w:val="single" w:sz="8" w:space="0" w:color="auto"/>
              <w:right w:val="single" w:sz="8" w:space="0" w:color="auto"/>
            </w:tcBorders>
            <w:shd w:val="clear" w:color="auto" w:fill="92D050"/>
            <w:vAlign w:val="center"/>
          </w:tcPr>
          <w:p w:rsidR="007F4B59" w:rsidRDefault="007F4B59" w:rsidP="007F4B59">
            <w:pPr>
              <w:jc w:val="right"/>
              <w:rPr>
                <w:sz w:val="20"/>
                <w:szCs w:val="20"/>
              </w:rPr>
            </w:pPr>
            <w:r>
              <w:rPr>
                <w:sz w:val="20"/>
                <w:szCs w:val="20"/>
              </w:rPr>
              <w:t>-1.37%</w:t>
            </w:r>
          </w:p>
        </w:tc>
      </w:tr>
      <w:tr w:rsidR="007F4B59" w:rsidRPr="00DC1793" w:rsidTr="003C4364">
        <w:trPr>
          <w:trHeight w:val="270"/>
        </w:trPr>
        <w:tc>
          <w:tcPr>
            <w:tcW w:w="4276" w:type="dxa"/>
            <w:tcBorders>
              <w:top w:val="nil"/>
              <w:left w:val="single" w:sz="8" w:space="0" w:color="auto"/>
              <w:bottom w:val="single" w:sz="8" w:space="0" w:color="auto"/>
              <w:right w:val="single" w:sz="8" w:space="0" w:color="auto"/>
            </w:tcBorders>
            <w:shd w:val="clear" w:color="auto" w:fill="auto"/>
            <w:vAlign w:val="center"/>
          </w:tcPr>
          <w:p w:rsidR="007F4B59" w:rsidRPr="00DC1793" w:rsidRDefault="007F4B59" w:rsidP="007F4B59">
            <w:pPr>
              <w:rPr>
                <w:color w:val="000000"/>
                <w:sz w:val="22"/>
                <w:szCs w:val="22"/>
                <w:lang w:eastAsia="en-GB"/>
              </w:rPr>
            </w:pPr>
            <w:r w:rsidRPr="00DC1793">
              <w:rPr>
                <w:color w:val="000000"/>
                <w:sz w:val="22"/>
                <w:szCs w:val="22"/>
                <w:lang w:eastAsia="en-GB"/>
              </w:rPr>
              <w:t>Laundry, Pathology &amp; Payroll</w:t>
            </w:r>
          </w:p>
        </w:tc>
        <w:tc>
          <w:tcPr>
            <w:tcW w:w="1418" w:type="dxa"/>
            <w:tcBorders>
              <w:top w:val="nil"/>
              <w:left w:val="nil"/>
              <w:bottom w:val="single" w:sz="8" w:space="0" w:color="auto"/>
              <w:right w:val="single" w:sz="8" w:space="0" w:color="auto"/>
            </w:tcBorders>
            <w:shd w:val="clear" w:color="auto" w:fill="auto"/>
            <w:vAlign w:val="center"/>
          </w:tcPr>
          <w:p w:rsidR="007F4B59" w:rsidRDefault="007F4B59" w:rsidP="007F4B59">
            <w:pPr>
              <w:jc w:val="right"/>
              <w:rPr>
                <w:sz w:val="20"/>
                <w:szCs w:val="20"/>
              </w:rPr>
            </w:pPr>
            <w:r>
              <w:rPr>
                <w:color w:val="FF0000"/>
                <w:sz w:val="20"/>
                <w:szCs w:val="20"/>
              </w:rPr>
              <w:t>(583)</w:t>
            </w:r>
          </w:p>
        </w:tc>
        <w:tc>
          <w:tcPr>
            <w:tcW w:w="1535" w:type="dxa"/>
            <w:tcBorders>
              <w:top w:val="nil"/>
              <w:left w:val="nil"/>
              <w:bottom w:val="single" w:sz="8" w:space="0" w:color="auto"/>
              <w:right w:val="nil"/>
            </w:tcBorders>
            <w:shd w:val="clear" w:color="auto" w:fill="auto"/>
            <w:vAlign w:val="center"/>
          </w:tcPr>
          <w:p w:rsidR="007F4B59" w:rsidRDefault="007F4B59" w:rsidP="007F4B59">
            <w:pPr>
              <w:jc w:val="right"/>
              <w:rPr>
                <w:sz w:val="20"/>
                <w:szCs w:val="20"/>
              </w:rPr>
            </w:pPr>
            <w:r>
              <w:rPr>
                <w:color w:val="FF0000"/>
                <w:sz w:val="20"/>
                <w:szCs w:val="20"/>
              </w:rPr>
              <w:t>(30)</w:t>
            </w:r>
          </w:p>
        </w:tc>
        <w:tc>
          <w:tcPr>
            <w:tcW w:w="1418" w:type="dxa"/>
            <w:tcBorders>
              <w:top w:val="nil"/>
              <w:left w:val="single" w:sz="4" w:space="0" w:color="auto"/>
              <w:bottom w:val="single" w:sz="8" w:space="0" w:color="auto"/>
              <w:right w:val="single" w:sz="4" w:space="0" w:color="auto"/>
            </w:tcBorders>
            <w:shd w:val="clear" w:color="auto" w:fill="auto"/>
            <w:vAlign w:val="center"/>
          </w:tcPr>
          <w:p w:rsidR="007F4B59" w:rsidRDefault="007F4B59" w:rsidP="007F4B59">
            <w:pPr>
              <w:jc w:val="right"/>
              <w:rPr>
                <w:sz w:val="20"/>
                <w:szCs w:val="20"/>
              </w:rPr>
            </w:pPr>
            <w:r>
              <w:rPr>
                <w:color w:val="FF0000"/>
                <w:sz w:val="20"/>
                <w:szCs w:val="20"/>
              </w:rPr>
              <w:t>(36)</w:t>
            </w:r>
          </w:p>
        </w:tc>
        <w:tc>
          <w:tcPr>
            <w:tcW w:w="1701" w:type="dxa"/>
            <w:tcBorders>
              <w:top w:val="nil"/>
              <w:left w:val="nil"/>
              <w:bottom w:val="single" w:sz="8" w:space="0" w:color="auto"/>
              <w:right w:val="single" w:sz="8" w:space="0" w:color="auto"/>
            </w:tcBorders>
            <w:shd w:val="clear" w:color="auto" w:fill="92D050"/>
            <w:vAlign w:val="center"/>
          </w:tcPr>
          <w:p w:rsidR="007F4B59" w:rsidRDefault="007F4B59" w:rsidP="007F4B59">
            <w:pPr>
              <w:jc w:val="right"/>
              <w:rPr>
                <w:sz w:val="20"/>
                <w:szCs w:val="20"/>
              </w:rPr>
            </w:pPr>
            <w:r>
              <w:rPr>
                <w:sz w:val="20"/>
                <w:szCs w:val="20"/>
              </w:rPr>
              <w:t>-6.60%</w:t>
            </w:r>
          </w:p>
        </w:tc>
      </w:tr>
      <w:tr w:rsidR="007F4B59" w:rsidRPr="00DC1793" w:rsidTr="00752FF7">
        <w:trPr>
          <w:trHeight w:val="270"/>
        </w:trPr>
        <w:tc>
          <w:tcPr>
            <w:tcW w:w="4276" w:type="dxa"/>
            <w:tcBorders>
              <w:top w:val="nil"/>
              <w:left w:val="single" w:sz="8" w:space="0" w:color="auto"/>
              <w:bottom w:val="single" w:sz="8" w:space="0" w:color="auto"/>
              <w:right w:val="single" w:sz="8" w:space="0" w:color="auto"/>
            </w:tcBorders>
            <w:shd w:val="clear" w:color="auto" w:fill="auto"/>
            <w:vAlign w:val="center"/>
          </w:tcPr>
          <w:p w:rsidR="007F4B59" w:rsidRPr="00DC1793" w:rsidRDefault="007F4B59" w:rsidP="007F4B59">
            <w:pPr>
              <w:rPr>
                <w:color w:val="000000"/>
                <w:sz w:val="22"/>
                <w:szCs w:val="22"/>
                <w:lang w:eastAsia="en-GB"/>
              </w:rPr>
            </w:pPr>
            <w:r w:rsidRPr="00DC1793">
              <w:rPr>
                <w:color w:val="000000"/>
                <w:sz w:val="22"/>
                <w:szCs w:val="22"/>
                <w:lang w:eastAsia="en-GB"/>
              </w:rPr>
              <w:t xml:space="preserve">Mortuary Fees </w:t>
            </w:r>
          </w:p>
        </w:tc>
        <w:tc>
          <w:tcPr>
            <w:tcW w:w="1418" w:type="dxa"/>
            <w:tcBorders>
              <w:top w:val="nil"/>
              <w:left w:val="nil"/>
              <w:bottom w:val="single" w:sz="8" w:space="0" w:color="auto"/>
              <w:right w:val="single" w:sz="8" w:space="0" w:color="auto"/>
            </w:tcBorders>
            <w:shd w:val="clear" w:color="auto" w:fill="auto"/>
            <w:vAlign w:val="center"/>
          </w:tcPr>
          <w:p w:rsidR="007F4B59" w:rsidRDefault="007F4B59" w:rsidP="007F4B59">
            <w:pPr>
              <w:jc w:val="right"/>
              <w:rPr>
                <w:sz w:val="20"/>
                <w:szCs w:val="20"/>
              </w:rPr>
            </w:pPr>
            <w:r>
              <w:rPr>
                <w:color w:val="FF0000"/>
                <w:sz w:val="20"/>
                <w:szCs w:val="20"/>
              </w:rPr>
              <w:t>(299)</w:t>
            </w:r>
          </w:p>
        </w:tc>
        <w:tc>
          <w:tcPr>
            <w:tcW w:w="1535" w:type="dxa"/>
            <w:tcBorders>
              <w:top w:val="nil"/>
              <w:left w:val="nil"/>
              <w:bottom w:val="single" w:sz="8" w:space="0" w:color="auto"/>
              <w:right w:val="nil"/>
            </w:tcBorders>
            <w:shd w:val="clear" w:color="auto" w:fill="auto"/>
            <w:vAlign w:val="center"/>
          </w:tcPr>
          <w:p w:rsidR="007F4B59" w:rsidRDefault="007F4B59" w:rsidP="007F4B59">
            <w:pPr>
              <w:jc w:val="right"/>
              <w:rPr>
                <w:sz w:val="20"/>
                <w:szCs w:val="20"/>
              </w:rPr>
            </w:pPr>
            <w:r>
              <w:rPr>
                <w:color w:val="FF0000"/>
                <w:sz w:val="20"/>
                <w:szCs w:val="20"/>
              </w:rPr>
              <w:t>(32)</w:t>
            </w:r>
          </w:p>
        </w:tc>
        <w:tc>
          <w:tcPr>
            <w:tcW w:w="1418" w:type="dxa"/>
            <w:tcBorders>
              <w:top w:val="nil"/>
              <w:left w:val="single" w:sz="4" w:space="0" w:color="auto"/>
              <w:bottom w:val="single" w:sz="8" w:space="0" w:color="auto"/>
              <w:right w:val="single" w:sz="4" w:space="0" w:color="auto"/>
            </w:tcBorders>
            <w:shd w:val="clear" w:color="auto" w:fill="auto"/>
            <w:vAlign w:val="center"/>
          </w:tcPr>
          <w:p w:rsidR="007F4B59" w:rsidRDefault="007F4B59" w:rsidP="007F4B59">
            <w:pPr>
              <w:jc w:val="right"/>
              <w:rPr>
                <w:sz w:val="20"/>
                <w:szCs w:val="20"/>
              </w:rPr>
            </w:pPr>
            <w:r>
              <w:rPr>
                <w:color w:val="FF0000"/>
                <w:sz w:val="20"/>
                <w:szCs w:val="20"/>
              </w:rPr>
              <w:t>(54)</w:t>
            </w:r>
          </w:p>
        </w:tc>
        <w:tc>
          <w:tcPr>
            <w:tcW w:w="1701" w:type="dxa"/>
            <w:tcBorders>
              <w:top w:val="nil"/>
              <w:left w:val="nil"/>
              <w:bottom w:val="single" w:sz="8" w:space="0" w:color="auto"/>
              <w:right w:val="single" w:sz="8" w:space="0" w:color="auto"/>
            </w:tcBorders>
            <w:shd w:val="clear" w:color="auto" w:fill="92D050"/>
            <w:vAlign w:val="center"/>
          </w:tcPr>
          <w:p w:rsidR="007F4B59" w:rsidRDefault="007F4B59" w:rsidP="007F4B59">
            <w:pPr>
              <w:jc w:val="right"/>
              <w:rPr>
                <w:sz w:val="20"/>
                <w:szCs w:val="20"/>
              </w:rPr>
            </w:pPr>
            <w:r>
              <w:rPr>
                <w:sz w:val="20"/>
                <w:szCs w:val="20"/>
              </w:rPr>
              <w:t>-19.64%</w:t>
            </w:r>
          </w:p>
        </w:tc>
      </w:tr>
      <w:tr w:rsidR="007F4B59" w:rsidRPr="00DC1793" w:rsidTr="003C4364">
        <w:trPr>
          <w:trHeight w:val="270"/>
        </w:trPr>
        <w:tc>
          <w:tcPr>
            <w:tcW w:w="4276" w:type="dxa"/>
            <w:tcBorders>
              <w:top w:val="nil"/>
              <w:left w:val="single" w:sz="8" w:space="0" w:color="auto"/>
              <w:bottom w:val="single" w:sz="8" w:space="0" w:color="auto"/>
              <w:right w:val="single" w:sz="8" w:space="0" w:color="auto"/>
            </w:tcBorders>
            <w:shd w:val="clear" w:color="auto" w:fill="auto"/>
            <w:vAlign w:val="center"/>
          </w:tcPr>
          <w:p w:rsidR="007F4B59" w:rsidRPr="00DC1793" w:rsidRDefault="007F4B59" w:rsidP="007F4B59">
            <w:pPr>
              <w:rPr>
                <w:color w:val="000000"/>
                <w:sz w:val="22"/>
                <w:szCs w:val="22"/>
                <w:lang w:eastAsia="en-GB"/>
              </w:rPr>
            </w:pPr>
            <w:r w:rsidRPr="00DC1793">
              <w:rPr>
                <w:color w:val="000000"/>
                <w:sz w:val="22"/>
                <w:szCs w:val="22"/>
                <w:lang w:eastAsia="en-GB"/>
              </w:rPr>
              <w:t xml:space="preserve">Non Patient Care – Income Generation </w:t>
            </w:r>
          </w:p>
        </w:tc>
        <w:tc>
          <w:tcPr>
            <w:tcW w:w="1418" w:type="dxa"/>
            <w:tcBorders>
              <w:top w:val="nil"/>
              <w:left w:val="nil"/>
              <w:bottom w:val="single" w:sz="8" w:space="0" w:color="auto"/>
              <w:right w:val="single" w:sz="8" w:space="0" w:color="auto"/>
            </w:tcBorders>
            <w:shd w:val="clear" w:color="auto" w:fill="auto"/>
            <w:vAlign w:val="center"/>
          </w:tcPr>
          <w:p w:rsidR="007F4B59" w:rsidRDefault="007F4B59" w:rsidP="007F4B59">
            <w:pPr>
              <w:jc w:val="right"/>
              <w:rPr>
                <w:sz w:val="20"/>
                <w:szCs w:val="20"/>
              </w:rPr>
            </w:pPr>
            <w:r>
              <w:rPr>
                <w:color w:val="FF0000"/>
                <w:sz w:val="20"/>
                <w:szCs w:val="20"/>
              </w:rPr>
              <w:t>(695)</w:t>
            </w:r>
          </w:p>
        </w:tc>
        <w:tc>
          <w:tcPr>
            <w:tcW w:w="1535" w:type="dxa"/>
            <w:tcBorders>
              <w:top w:val="nil"/>
              <w:left w:val="nil"/>
              <w:bottom w:val="single" w:sz="8" w:space="0" w:color="auto"/>
              <w:right w:val="nil"/>
            </w:tcBorders>
            <w:shd w:val="clear" w:color="auto" w:fill="auto"/>
            <w:vAlign w:val="center"/>
          </w:tcPr>
          <w:p w:rsidR="007F4B59" w:rsidRDefault="007F4B59" w:rsidP="007F4B59">
            <w:pPr>
              <w:jc w:val="right"/>
              <w:rPr>
                <w:sz w:val="20"/>
                <w:szCs w:val="20"/>
              </w:rPr>
            </w:pPr>
            <w:r>
              <w:rPr>
                <w:sz w:val="20"/>
                <w:szCs w:val="20"/>
              </w:rPr>
              <w:t>12</w:t>
            </w:r>
          </w:p>
        </w:tc>
        <w:tc>
          <w:tcPr>
            <w:tcW w:w="1418" w:type="dxa"/>
            <w:tcBorders>
              <w:top w:val="nil"/>
              <w:left w:val="single" w:sz="4" w:space="0" w:color="auto"/>
              <w:bottom w:val="single" w:sz="8" w:space="0" w:color="auto"/>
              <w:right w:val="single" w:sz="4" w:space="0" w:color="auto"/>
            </w:tcBorders>
            <w:shd w:val="clear" w:color="auto" w:fill="auto"/>
            <w:vAlign w:val="center"/>
          </w:tcPr>
          <w:p w:rsidR="007F4B59" w:rsidRDefault="007F4B59" w:rsidP="007F4B59">
            <w:pPr>
              <w:jc w:val="right"/>
              <w:rPr>
                <w:sz w:val="20"/>
                <w:szCs w:val="20"/>
              </w:rPr>
            </w:pPr>
            <w:r>
              <w:rPr>
                <w:color w:val="FF0000"/>
                <w:sz w:val="20"/>
                <w:szCs w:val="20"/>
              </w:rPr>
              <w:t>(28)</w:t>
            </w:r>
          </w:p>
        </w:tc>
        <w:tc>
          <w:tcPr>
            <w:tcW w:w="1701" w:type="dxa"/>
            <w:tcBorders>
              <w:top w:val="nil"/>
              <w:left w:val="nil"/>
              <w:bottom w:val="single" w:sz="8" w:space="0" w:color="auto"/>
              <w:right w:val="single" w:sz="8" w:space="0" w:color="auto"/>
            </w:tcBorders>
            <w:shd w:val="clear" w:color="auto" w:fill="92D050"/>
            <w:vAlign w:val="center"/>
          </w:tcPr>
          <w:p w:rsidR="007F4B59" w:rsidRDefault="007F4B59" w:rsidP="007F4B59">
            <w:pPr>
              <w:jc w:val="right"/>
              <w:rPr>
                <w:sz w:val="20"/>
                <w:szCs w:val="20"/>
              </w:rPr>
            </w:pPr>
            <w:r>
              <w:rPr>
                <w:sz w:val="20"/>
                <w:szCs w:val="20"/>
              </w:rPr>
              <w:t>-4.42%</w:t>
            </w:r>
          </w:p>
        </w:tc>
      </w:tr>
      <w:tr w:rsidR="007F4B59" w:rsidRPr="00DC1793" w:rsidTr="007F4B59">
        <w:trPr>
          <w:trHeight w:val="270"/>
        </w:trPr>
        <w:tc>
          <w:tcPr>
            <w:tcW w:w="4276" w:type="dxa"/>
            <w:tcBorders>
              <w:top w:val="nil"/>
              <w:left w:val="single" w:sz="8" w:space="0" w:color="auto"/>
              <w:bottom w:val="single" w:sz="8" w:space="0" w:color="auto"/>
              <w:right w:val="single" w:sz="8" w:space="0" w:color="auto"/>
            </w:tcBorders>
            <w:shd w:val="clear" w:color="auto" w:fill="auto"/>
            <w:vAlign w:val="center"/>
          </w:tcPr>
          <w:p w:rsidR="007F4B59" w:rsidRPr="00DC1793" w:rsidRDefault="007F4B59" w:rsidP="007F4B59">
            <w:pPr>
              <w:rPr>
                <w:color w:val="000000"/>
                <w:sz w:val="22"/>
                <w:szCs w:val="22"/>
                <w:lang w:eastAsia="en-GB"/>
              </w:rPr>
            </w:pPr>
            <w:r w:rsidRPr="00DC1793">
              <w:rPr>
                <w:color w:val="000000"/>
                <w:sz w:val="22"/>
                <w:szCs w:val="22"/>
                <w:lang w:eastAsia="en-GB"/>
              </w:rPr>
              <w:t xml:space="preserve">Other Income </w:t>
            </w:r>
          </w:p>
        </w:tc>
        <w:tc>
          <w:tcPr>
            <w:tcW w:w="1418" w:type="dxa"/>
            <w:tcBorders>
              <w:top w:val="nil"/>
              <w:left w:val="nil"/>
              <w:bottom w:val="single" w:sz="8" w:space="0" w:color="auto"/>
              <w:right w:val="single" w:sz="8" w:space="0" w:color="auto"/>
            </w:tcBorders>
            <w:shd w:val="clear" w:color="auto" w:fill="auto"/>
            <w:vAlign w:val="center"/>
          </w:tcPr>
          <w:p w:rsidR="007F4B59" w:rsidRDefault="007F4B59" w:rsidP="007F4B59">
            <w:pPr>
              <w:jc w:val="right"/>
              <w:rPr>
                <w:sz w:val="20"/>
                <w:szCs w:val="20"/>
              </w:rPr>
            </w:pPr>
            <w:r>
              <w:rPr>
                <w:color w:val="FF0000"/>
                <w:sz w:val="20"/>
                <w:szCs w:val="20"/>
              </w:rPr>
              <w:t>(5,343)</w:t>
            </w:r>
          </w:p>
        </w:tc>
        <w:tc>
          <w:tcPr>
            <w:tcW w:w="1535" w:type="dxa"/>
            <w:tcBorders>
              <w:top w:val="nil"/>
              <w:left w:val="nil"/>
              <w:bottom w:val="single" w:sz="8" w:space="0" w:color="auto"/>
              <w:right w:val="nil"/>
            </w:tcBorders>
            <w:shd w:val="clear" w:color="auto" w:fill="auto"/>
            <w:vAlign w:val="center"/>
          </w:tcPr>
          <w:p w:rsidR="007F4B59" w:rsidRDefault="007F4B59" w:rsidP="007F4B59">
            <w:pPr>
              <w:jc w:val="right"/>
              <w:rPr>
                <w:sz w:val="20"/>
                <w:szCs w:val="20"/>
              </w:rPr>
            </w:pPr>
            <w:r>
              <w:rPr>
                <w:color w:val="FF0000"/>
                <w:sz w:val="20"/>
                <w:szCs w:val="20"/>
              </w:rPr>
              <w:t>(56)</w:t>
            </w:r>
          </w:p>
        </w:tc>
        <w:tc>
          <w:tcPr>
            <w:tcW w:w="1418" w:type="dxa"/>
            <w:tcBorders>
              <w:top w:val="nil"/>
              <w:left w:val="single" w:sz="4" w:space="0" w:color="auto"/>
              <w:bottom w:val="single" w:sz="8" w:space="0" w:color="auto"/>
              <w:right w:val="single" w:sz="4" w:space="0" w:color="auto"/>
            </w:tcBorders>
            <w:shd w:val="clear" w:color="auto" w:fill="auto"/>
            <w:vAlign w:val="center"/>
          </w:tcPr>
          <w:p w:rsidR="007F4B59" w:rsidRDefault="007F4B59" w:rsidP="007F4B59">
            <w:pPr>
              <w:jc w:val="right"/>
              <w:rPr>
                <w:sz w:val="20"/>
                <w:szCs w:val="20"/>
              </w:rPr>
            </w:pPr>
            <w:r>
              <w:rPr>
                <w:sz w:val="20"/>
                <w:szCs w:val="20"/>
              </w:rPr>
              <w:t>64</w:t>
            </w:r>
          </w:p>
        </w:tc>
        <w:tc>
          <w:tcPr>
            <w:tcW w:w="1701" w:type="dxa"/>
            <w:tcBorders>
              <w:top w:val="nil"/>
              <w:left w:val="nil"/>
              <w:bottom w:val="single" w:sz="8" w:space="0" w:color="auto"/>
              <w:right w:val="single" w:sz="8" w:space="0" w:color="auto"/>
            </w:tcBorders>
            <w:shd w:val="clear" w:color="auto" w:fill="FFC000"/>
            <w:vAlign w:val="center"/>
          </w:tcPr>
          <w:p w:rsidR="007F4B59" w:rsidRDefault="007F4B59" w:rsidP="007F4B59">
            <w:pPr>
              <w:jc w:val="right"/>
              <w:rPr>
                <w:sz w:val="20"/>
                <w:szCs w:val="20"/>
              </w:rPr>
            </w:pPr>
            <w:r>
              <w:rPr>
                <w:sz w:val="20"/>
                <w:szCs w:val="20"/>
              </w:rPr>
              <w:t>1.26%</w:t>
            </w:r>
          </w:p>
        </w:tc>
      </w:tr>
      <w:tr w:rsidR="007F4B59" w:rsidRPr="00DC1793" w:rsidTr="007F4B59">
        <w:trPr>
          <w:trHeight w:val="270"/>
        </w:trPr>
        <w:tc>
          <w:tcPr>
            <w:tcW w:w="4276" w:type="dxa"/>
            <w:tcBorders>
              <w:top w:val="nil"/>
              <w:left w:val="single" w:sz="8" w:space="0" w:color="auto"/>
              <w:bottom w:val="single" w:sz="8" w:space="0" w:color="auto"/>
              <w:right w:val="single" w:sz="8" w:space="0" w:color="auto"/>
            </w:tcBorders>
            <w:shd w:val="clear" w:color="auto" w:fill="auto"/>
            <w:vAlign w:val="center"/>
          </w:tcPr>
          <w:p w:rsidR="007F4B59" w:rsidRPr="00DC1793" w:rsidRDefault="007F4B59" w:rsidP="007F4B59">
            <w:pPr>
              <w:rPr>
                <w:color w:val="000000"/>
                <w:sz w:val="22"/>
                <w:szCs w:val="22"/>
                <w:lang w:eastAsia="en-GB"/>
              </w:rPr>
            </w:pPr>
            <w:r w:rsidRPr="00DC1793">
              <w:rPr>
                <w:color w:val="000000"/>
                <w:sz w:val="22"/>
                <w:szCs w:val="22"/>
                <w:lang w:eastAsia="en-GB"/>
              </w:rPr>
              <w:t>Staff Payments for use of Cars</w:t>
            </w:r>
          </w:p>
        </w:tc>
        <w:tc>
          <w:tcPr>
            <w:tcW w:w="1418" w:type="dxa"/>
            <w:tcBorders>
              <w:top w:val="nil"/>
              <w:left w:val="nil"/>
              <w:bottom w:val="single" w:sz="8" w:space="0" w:color="auto"/>
              <w:right w:val="single" w:sz="8" w:space="0" w:color="auto"/>
            </w:tcBorders>
            <w:shd w:val="clear" w:color="auto" w:fill="auto"/>
            <w:vAlign w:val="center"/>
          </w:tcPr>
          <w:p w:rsidR="007F4B59" w:rsidRDefault="007F4B59" w:rsidP="007F4B59">
            <w:pPr>
              <w:jc w:val="right"/>
              <w:rPr>
                <w:sz w:val="20"/>
                <w:szCs w:val="20"/>
              </w:rPr>
            </w:pPr>
            <w:r>
              <w:rPr>
                <w:color w:val="FF0000"/>
                <w:sz w:val="20"/>
                <w:szCs w:val="20"/>
              </w:rPr>
              <w:t>(284)</w:t>
            </w:r>
          </w:p>
        </w:tc>
        <w:tc>
          <w:tcPr>
            <w:tcW w:w="1535" w:type="dxa"/>
            <w:tcBorders>
              <w:top w:val="nil"/>
              <w:left w:val="nil"/>
              <w:bottom w:val="single" w:sz="8" w:space="0" w:color="auto"/>
              <w:right w:val="nil"/>
            </w:tcBorders>
            <w:shd w:val="clear" w:color="auto" w:fill="auto"/>
            <w:vAlign w:val="center"/>
          </w:tcPr>
          <w:p w:rsidR="007F4B59" w:rsidRDefault="007F4B59" w:rsidP="007F4B59">
            <w:pPr>
              <w:jc w:val="right"/>
              <w:rPr>
                <w:sz w:val="20"/>
                <w:szCs w:val="20"/>
              </w:rPr>
            </w:pPr>
            <w:r>
              <w:rPr>
                <w:sz w:val="20"/>
                <w:szCs w:val="20"/>
              </w:rPr>
              <w:t>1</w:t>
            </w:r>
          </w:p>
        </w:tc>
        <w:tc>
          <w:tcPr>
            <w:tcW w:w="1418" w:type="dxa"/>
            <w:tcBorders>
              <w:top w:val="nil"/>
              <w:left w:val="single" w:sz="4" w:space="0" w:color="auto"/>
              <w:bottom w:val="single" w:sz="8" w:space="0" w:color="auto"/>
              <w:right w:val="single" w:sz="4" w:space="0" w:color="auto"/>
            </w:tcBorders>
            <w:shd w:val="clear" w:color="auto" w:fill="auto"/>
            <w:vAlign w:val="center"/>
          </w:tcPr>
          <w:p w:rsidR="007F4B59" w:rsidRDefault="007F4B59" w:rsidP="007F4B59">
            <w:pPr>
              <w:jc w:val="right"/>
              <w:rPr>
                <w:sz w:val="20"/>
                <w:szCs w:val="20"/>
              </w:rPr>
            </w:pPr>
            <w:r>
              <w:rPr>
                <w:sz w:val="20"/>
                <w:szCs w:val="20"/>
              </w:rPr>
              <w:t>4</w:t>
            </w:r>
          </w:p>
        </w:tc>
        <w:tc>
          <w:tcPr>
            <w:tcW w:w="1701" w:type="dxa"/>
            <w:tcBorders>
              <w:top w:val="nil"/>
              <w:left w:val="nil"/>
              <w:bottom w:val="single" w:sz="8" w:space="0" w:color="auto"/>
              <w:right w:val="single" w:sz="8" w:space="0" w:color="auto"/>
            </w:tcBorders>
            <w:shd w:val="clear" w:color="auto" w:fill="FFC000"/>
            <w:vAlign w:val="center"/>
          </w:tcPr>
          <w:p w:rsidR="007F4B59" w:rsidRDefault="007F4B59" w:rsidP="007F4B59">
            <w:pPr>
              <w:jc w:val="right"/>
              <w:rPr>
                <w:sz w:val="20"/>
                <w:szCs w:val="20"/>
              </w:rPr>
            </w:pPr>
            <w:r>
              <w:rPr>
                <w:sz w:val="20"/>
                <w:szCs w:val="20"/>
              </w:rPr>
              <w:t>1.61%</w:t>
            </w:r>
          </w:p>
        </w:tc>
      </w:tr>
      <w:tr w:rsidR="007F4B59" w:rsidRPr="00DC1793" w:rsidTr="003C4364">
        <w:trPr>
          <w:trHeight w:val="270"/>
        </w:trPr>
        <w:tc>
          <w:tcPr>
            <w:tcW w:w="4276" w:type="dxa"/>
            <w:tcBorders>
              <w:top w:val="nil"/>
              <w:left w:val="single" w:sz="8" w:space="0" w:color="auto"/>
              <w:bottom w:val="single" w:sz="8" w:space="0" w:color="auto"/>
              <w:right w:val="single" w:sz="8" w:space="0" w:color="auto"/>
            </w:tcBorders>
            <w:shd w:val="clear" w:color="auto" w:fill="8DB3E2" w:themeFill="text2" w:themeFillTint="66"/>
            <w:vAlign w:val="center"/>
          </w:tcPr>
          <w:p w:rsidR="007F4B59" w:rsidRPr="00DC1793" w:rsidRDefault="007F4B59" w:rsidP="007F4B59">
            <w:pPr>
              <w:jc w:val="right"/>
              <w:rPr>
                <w:b/>
                <w:bCs/>
                <w:color w:val="000000"/>
                <w:sz w:val="22"/>
                <w:szCs w:val="22"/>
                <w:lang w:eastAsia="en-GB"/>
              </w:rPr>
            </w:pPr>
            <w:r w:rsidRPr="00DC1793">
              <w:rPr>
                <w:b/>
                <w:bCs/>
                <w:color w:val="000000"/>
                <w:sz w:val="22"/>
                <w:szCs w:val="22"/>
                <w:lang w:eastAsia="en-GB"/>
              </w:rPr>
              <w:t>Total Other Operating Income</w:t>
            </w:r>
          </w:p>
        </w:tc>
        <w:tc>
          <w:tcPr>
            <w:tcW w:w="1418" w:type="dxa"/>
            <w:tcBorders>
              <w:top w:val="nil"/>
              <w:left w:val="nil"/>
              <w:bottom w:val="single" w:sz="8" w:space="0" w:color="auto"/>
              <w:right w:val="single" w:sz="8" w:space="0" w:color="auto"/>
            </w:tcBorders>
            <w:shd w:val="clear" w:color="auto" w:fill="8DB3E2" w:themeFill="text2" w:themeFillTint="66"/>
            <w:vAlign w:val="center"/>
          </w:tcPr>
          <w:p w:rsidR="007F4B59" w:rsidRDefault="007F4B59" w:rsidP="007F4B59">
            <w:pPr>
              <w:jc w:val="right"/>
              <w:rPr>
                <w:b/>
                <w:bCs/>
                <w:sz w:val="20"/>
                <w:szCs w:val="20"/>
              </w:rPr>
            </w:pPr>
            <w:r>
              <w:rPr>
                <w:b/>
                <w:bCs/>
                <w:color w:val="FF0000"/>
                <w:sz w:val="20"/>
                <w:szCs w:val="20"/>
              </w:rPr>
              <w:t>(27,759)</w:t>
            </w:r>
          </w:p>
        </w:tc>
        <w:tc>
          <w:tcPr>
            <w:tcW w:w="1535" w:type="dxa"/>
            <w:tcBorders>
              <w:top w:val="nil"/>
              <w:left w:val="nil"/>
              <w:bottom w:val="single" w:sz="8" w:space="0" w:color="auto"/>
              <w:right w:val="nil"/>
            </w:tcBorders>
            <w:shd w:val="clear" w:color="auto" w:fill="8DB3E2" w:themeFill="text2" w:themeFillTint="66"/>
            <w:vAlign w:val="center"/>
          </w:tcPr>
          <w:p w:rsidR="007F4B59" w:rsidRDefault="007F4B59" w:rsidP="007F4B59">
            <w:pPr>
              <w:jc w:val="right"/>
              <w:rPr>
                <w:b/>
                <w:bCs/>
                <w:sz w:val="20"/>
                <w:szCs w:val="20"/>
              </w:rPr>
            </w:pPr>
            <w:r>
              <w:rPr>
                <w:b/>
                <w:bCs/>
                <w:color w:val="FF0000"/>
                <w:sz w:val="20"/>
                <w:szCs w:val="20"/>
              </w:rPr>
              <w:t>(116)</w:t>
            </w:r>
          </w:p>
        </w:tc>
        <w:tc>
          <w:tcPr>
            <w:tcW w:w="1418" w:type="dxa"/>
            <w:tcBorders>
              <w:top w:val="nil"/>
              <w:left w:val="single" w:sz="4" w:space="0" w:color="auto"/>
              <w:bottom w:val="single" w:sz="8" w:space="0" w:color="auto"/>
              <w:right w:val="single" w:sz="4" w:space="0" w:color="auto"/>
            </w:tcBorders>
            <w:shd w:val="clear" w:color="auto" w:fill="8DB3E2" w:themeFill="text2" w:themeFillTint="66"/>
            <w:vAlign w:val="center"/>
          </w:tcPr>
          <w:p w:rsidR="007F4B59" w:rsidRDefault="007F4B59" w:rsidP="007F4B59">
            <w:pPr>
              <w:jc w:val="right"/>
              <w:rPr>
                <w:b/>
                <w:bCs/>
                <w:sz w:val="20"/>
                <w:szCs w:val="20"/>
              </w:rPr>
            </w:pPr>
            <w:r>
              <w:rPr>
                <w:b/>
                <w:bCs/>
                <w:color w:val="FF0000"/>
                <w:sz w:val="20"/>
                <w:szCs w:val="20"/>
              </w:rPr>
              <w:t>(157)</w:t>
            </w:r>
          </w:p>
        </w:tc>
        <w:tc>
          <w:tcPr>
            <w:tcW w:w="1701" w:type="dxa"/>
            <w:tcBorders>
              <w:top w:val="nil"/>
              <w:left w:val="nil"/>
              <w:bottom w:val="single" w:sz="8" w:space="0" w:color="auto"/>
              <w:right w:val="single" w:sz="8" w:space="0" w:color="auto"/>
            </w:tcBorders>
            <w:shd w:val="clear" w:color="auto" w:fill="8DB3E2" w:themeFill="text2" w:themeFillTint="66"/>
            <w:vAlign w:val="center"/>
          </w:tcPr>
          <w:p w:rsidR="007F4B59" w:rsidRDefault="007F4B59" w:rsidP="007F4B59">
            <w:pPr>
              <w:jc w:val="right"/>
              <w:rPr>
                <w:b/>
                <w:bCs/>
                <w:sz w:val="20"/>
                <w:szCs w:val="20"/>
              </w:rPr>
            </w:pPr>
            <w:r>
              <w:rPr>
                <w:b/>
                <w:bCs/>
                <w:sz w:val="20"/>
                <w:szCs w:val="20"/>
              </w:rPr>
              <w:t>-0.63%</w:t>
            </w:r>
          </w:p>
        </w:tc>
      </w:tr>
      <w:tr w:rsidR="007F4B59" w:rsidRPr="00DC1793" w:rsidTr="003C4364">
        <w:trPr>
          <w:trHeight w:val="270"/>
        </w:trPr>
        <w:tc>
          <w:tcPr>
            <w:tcW w:w="4276" w:type="dxa"/>
            <w:tcBorders>
              <w:top w:val="nil"/>
              <w:left w:val="single" w:sz="8" w:space="0" w:color="auto"/>
              <w:bottom w:val="single" w:sz="8" w:space="0" w:color="auto"/>
              <w:right w:val="single" w:sz="8" w:space="0" w:color="auto"/>
            </w:tcBorders>
            <w:shd w:val="clear" w:color="auto" w:fill="auto"/>
            <w:vAlign w:val="center"/>
          </w:tcPr>
          <w:p w:rsidR="007F4B59" w:rsidRPr="00DC1793" w:rsidRDefault="007F4B59" w:rsidP="007F4B59">
            <w:pPr>
              <w:jc w:val="right"/>
              <w:rPr>
                <w:b/>
                <w:bCs/>
                <w:color w:val="000000"/>
                <w:sz w:val="22"/>
                <w:szCs w:val="22"/>
                <w:lang w:eastAsia="en-GB"/>
              </w:rPr>
            </w:pPr>
          </w:p>
        </w:tc>
        <w:tc>
          <w:tcPr>
            <w:tcW w:w="1418" w:type="dxa"/>
            <w:tcBorders>
              <w:top w:val="nil"/>
              <w:left w:val="nil"/>
              <w:bottom w:val="single" w:sz="8" w:space="0" w:color="auto"/>
              <w:right w:val="single" w:sz="8" w:space="0" w:color="auto"/>
            </w:tcBorders>
            <w:shd w:val="clear" w:color="auto" w:fill="auto"/>
            <w:vAlign w:val="center"/>
          </w:tcPr>
          <w:p w:rsidR="007F4B59" w:rsidRDefault="007F4B59" w:rsidP="007F4B59">
            <w:pPr>
              <w:jc w:val="right"/>
              <w:rPr>
                <w:b/>
                <w:bCs/>
                <w:sz w:val="20"/>
                <w:szCs w:val="20"/>
              </w:rPr>
            </w:pPr>
            <w:r>
              <w:rPr>
                <w:b/>
                <w:bCs/>
                <w:sz w:val="20"/>
                <w:szCs w:val="20"/>
              </w:rPr>
              <w:t> </w:t>
            </w:r>
          </w:p>
        </w:tc>
        <w:tc>
          <w:tcPr>
            <w:tcW w:w="1535" w:type="dxa"/>
            <w:tcBorders>
              <w:top w:val="nil"/>
              <w:left w:val="nil"/>
              <w:bottom w:val="single" w:sz="8" w:space="0" w:color="auto"/>
              <w:right w:val="nil"/>
            </w:tcBorders>
            <w:shd w:val="clear" w:color="auto" w:fill="auto"/>
            <w:vAlign w:val="center"/>
          </w:tcPr>
          <w:p w:rsidR="007F4B59" w:rsidRDefault="007F4B59" w:rsidP="007F4B59">
            <w:pPr>
              <w:jc w:val="right"/>
              <w:rPr>
                <w:b/>
                <w:bCs/>
                <w:sz w:val="20"/>
                <w:szCs w:val="20"/>
              </w:rPr>
            </w:pPr>
            <w:r>
              <w:rPr>
                <w:b/>
                <w:bCs/>
                <w:sz w:val="20"/>
                <w:szCs w:val="20"/>
              </w:rPr>
              <w:t> </w:t>
            </w:r>
          </w:p>
        </w:tc>
        <w:tc>
          <w:tcPr>
            <w:tcW w:w="1418" w:type="dxa"/>
            <w:tcBorders>
              <w:top w:val="nil"/>
              <w:left w:val="single" w:sz="4" w:space="0" w:color="auto"/>
              <w:bottom w:val="single" w:sz="8" w:space="0" w:color="auto"/>
              <w:right w:val="single" w:sz="4" w:space="0" w:color="auto"/>
            </w:tcBorders>
            <w:shd w:val="clear" w:color="auto" w:fill="auto"/>
            <w:vAlign w:val="center"/>
          </w:tcPr>
          <w:p w:rsidR="007F4B59" w:rsidRDefault="007F4B59" w:rsidP="007F4B59">
            <w:pPr>
              <w:jc w:val="right"/>
              <w:rPr>
                <w:b/>
                <w:bCs/>
                <w:sz w:val="20"/>
                <w:szCs w:val="20"/>
              </w:rPr>
            </w:pPr>
            <w:r>
              <w:rPr>
                <w:b/>
                <w:bCs/>
                <w:sz w:val="20"/>
                <w:szCs w:val="20"/>
              </w:rPr>
              <w:t> </w:t>
            </w:r>
          </w:p>
        </w:tc>
        <w:tc>
          <w:tcPr>
            <w:tcW w:w="1701" w:type="dxa"/>
            <w:tcBorders>
              <w:top w:val="nil"/>
              <w:left w:val="nil"/>
              <w:bottom w:val="single" w:sz="8" w:space="0" w:color="auto"/>
              <w:right w:val="single" w:sz="8" w:space="0" w:color="auto"/>
            </w:tcBorders>
            <w:shd w:val="clear" w:color="auto" w:fill="auto"/>
            <w:vAlign w:val="center"/>
          </w:tcPr>
          <w:p w:rsidR="007F4B59" w:rsidRDefault="007F4B59" w:rsidP="007F4B59">
            <w:pPr>
              <w:jc w:val="center"/>
              <w:rPr>
                <w:b/>
                <w:bCs/>
                <w:sz w:val="20"/>
                <w:szCs w:val="20"/>
              </w:rPr>
            </w:pPr>
            <w:r>
              <w:rPr>
                <w:b/>
                <w:bCs/>
                <w:sz w:val="20"/>
                <w:szCs w:val="20"/>
              </w:rPr>
              <w:t> </w:t>
            </w:r>
          </w:p>
        </w:tc>
      </w:tr>
      <w:tr w:rsidR="007F4B59" w:rsidRPr="00DC1793" w:rsidTr="003C4364">
        <w:trPr>
          <w:trHeight w:val="270"/>
        </w:trPr>
        <w:tc>
          <w:tcPr>
            <w:tcW w:w="4276" w:type="dxa"/>
            <w:tcBorders>
              <w:top w:val="nil"/>
              <w:left w:val="single" w:sz="8" w:space="0" w:color="auto"/>
              <w:bottom w:val="single" w:sz="8" w:space="0" w:color="auto"/>
              <w:right w:val="single" w:sz="8" w:space="0" w:color="auto"/>
            </w:tcBorders>
            <w:shd w:val="clear" w:color="auto" w:fill="8DB3E2" w:themeFill="text2" w:themeFillTint="66"/>
            <w:vAlign w:val="center"/>
          </w:tcPr>
          <w:p w:rsidR="007F4B59" w:rsidRPr="00DC1793" w:rsidRDefault="007F4B59" w:rsidP="007F4B59">
            <w:pPr>
              <w:jc w:val="right"/>
              <w:rPr>
                <w:b/>
                <w:bCs/>
                <w:color w:val="000000"/>
                <w:sz w:val="22"/>
                <w:szCs w:val="22"/>
                <w:lang w:eastAsia="en-GB"/>
              </w:rPr>
            </w:pPr>
            <w:r w:rsidRPr="00DC1793">
              <w:rPr>
                <w:b/>
                <w:bCs/>
                <w:color w:val="000000"/>
                <w:sz w:val="22"/>
                <w:szCs w:val="22"/>
                <w:lang w:eastAsia="en-GB"/>
              </w:rPr>
              <w:t>GRAND TOTAL</w:t>
            </w:r>
          </w:p>
        </w:tc>
        <w:tc>
          <w:tcPr>
            <w:tcW w:w="1418" w:type="dxa"/>
            <w:tcBorders>
              <w:top w:val="nil"/>
              <w:left w:val="nil"/>
              <w:bottom w:val="single" w:sz="8" w:space="0" w:color="auto"/>
              <w:right w:val="single" w:sz="8" w:space="0" w:color="auto"/>
            </w:tcBorders>
            <w:shd w:val="clear" w:color="auto" w:fill="8DB3E2" w:themeFill="text2" w:themeFillTint="66"/>
            <w:vAlign w:val="center"/>
          </w:tcPr>
          <w:p w:rsidR="007F4B59" w:rsidRDefault="007F4B59" w:rsidP="007F4B59">
            <w:pPr>
              <w:jc w:val="right"/>
              <w:rPr>
                <w:b/>
                <w:bCs/>
                <w:sz w:val="20"/>
                <w:szCs w:val="20"/>
              </w:rPr>
            </w:pPr>
            <w:r>
              <w:rPr>
                <w:b/>
                <w:bCs/>
                <w:color w:val="FF0000"/>
                <w:sz w:val="20"/>
                <w:szCs w:val="20"/>
              </w:rPr>
              <w:t>(142,677)</w:t>
            </w:r>
          </w:p>
        </w:tc>
        <w:tc>
          <w:tcPr>
            <w:tcW w:w="1535" w:type="dxa"/>
            <w:tcBorders>
              <w:top w:val="nil"/>
              <w:left w:val="nil"/>
              <w:bottom w:val="single" w:sz="8" w:space="0" w:color="auto"/>
              <w:right w:val="nil"/>
            </w:tcBorders>
            <w:shd w:val="clear" w:color="auto" w:fill="8DB3E2" w:themeFill="text2" w:themeFillTint="66"/>
            <w:vAlign w:val="center"/>
          </w:tcPr>
          <w:p w:rsidR="007F4B59" w:rsidRDefault="007F4B59" w:rsidP="007F4B59">
            <w:pPr>
              <w:jc w:val="right"/>
              <w:rPr>
                <w:b/>
                <w:bCs/>
                <w:sz w:val="20"/>
                <w:szCs w:val="20"/>
              </w:rPr>
            </w:pPr>
            <w:r>
              <w:rPr>
                <w:b/>
                <w:bCs/>
                <w:color w:val="FF0000"/>
                <w:sz w:val="20"/>
                <w:szCs w:val="20"/>
              </w:rPr>
              <w:t>(807)</w:t>
            </w:r>
          </w:p>
        </w:tc>
        <w:tc>
          <w:tcPr>
            <w:tcW w:w="1418" w:type="dxa"/>
            <w:tcBorders>
              <w:top w:val="nil"/>
              <w:left w:val="single" w:sz="4" w:space="0" w:color="auto"/>
              <w:bottom w:val="single" w:sz="8" w:space="0" w:color="auto"/>
              <w:right w:val="single" w:sz="4" w:space="0" w:color="auto"/>
            </w:tcBorders>
            <w:shd w:val="clear" w:color="auto" w:fill="8DB3E2" w:themeFill="text2" w:themeFillTint="66"/>
            <w:vAlign w:val="center"/>
          </w:tcPr>
          <w:p w:rsidR="007F4B59" w:rsidRDefault="007F4B59" w:rsidP="007F4B59">
            <w:pPr>
              <w:jc w:val="right"/>
              <w:rPr>
                <w:b/>
                <w:bCs/>
                <w:sz w:val="20"/>
                <w:szCs w:val="20"/>
              </w:rPr>
            </w:pPr>
            <w:r>
              <w:rPr>
                <w:b/>
                <w:bCs/>
                <w:sz w:val="20"/>
                <w:szCs w:val="20"/>
              </w:rPr>
              <w:t>686</w:t>
            </w:r>
          </w:p>
        </w:tc>
        <w:tc>
          <w:tcPr>
            <w:tcW w:w="1701" w:type="dxa"/>
            <w:tcBorders>
              <w:top w:val="nil"/>
              <w:left w:val="nil"/>
              <w:bottom w:val="single" w:sz="8" w:space="0" w:color="auto"/>
              <w:right w:val="single" w:sz="8" w:space="0" w:color="auto"/>
            </w:tcBorders>
            <w:shd w:val="clear" w:color="auto" w:fill="8DB3E2" w:themeFill="text2" w:themeFillTint="66"/>
            <w:vAlign w:val="center"/>
          </w:tcPr>
          <w:p w:rsidR="007F4B59" w:rsidRDefault="007F4B59" w:rsidP="007F4B59">
            <w:pPr>
              <w:jc w:val="right"/>
              <w:rPr>
                <w:b/>
                <w:bCs/>
                <w:sz w:val="20"/>
                <w:szCs w:val="20"/>
              </w:rPr>
            </w:pPr>
            <w:r>
              <w:rPr>
                <w:b/>
                <w:bCs/>
                <w:sz w:val="20"/>
                <w:szCs w:val="20"/>
              </w:rPr>
              <w:t>0.53%</w:t>
            </w:r>
          </w:p>
        </w:tc>
      </w:tr>
    </w:tbl>
    <w:p w:rsidR="0054713E" w:rsidRPr="00DC1793" w:rsidRDefault="0054713E" w:rsidP="0054713E">
      <w:pPr>
        <w:jc w:val="both"/>
        <w:rPr>
          <w:rFonts w:cs="Tahoma"/>
          <w:b/>
          <w:bCs/>
          <w:sz w:val="20"/>
          <w:szCs w:val="20"/>
        </w:rPr>
      </w:pPr>
    </w:p>
    <w:p w:rsidR="0054713E" w:rsidRPr="00DC1793" w:rsidRDefault="0054713E" w:rsidP="0054713E">
      <w:pPr>
        <w:jc w:val="both"/>
        <w:rPr>
          <w:rFonts w:cs="Tahoma"/>
          <w:b/>
          <w:bCs/>
          <w:sz w:val="20"/>
          <w:szCs w:val="20"/>
        </w:rPr>
      </w:pPr>
    </w:p>
    <w:p w:rsidR="0054713E" w:rsidRPr="00DC1793" w:rsidRDefault="0054713E" w:rsidP="0054713E">
      <w:pPr>
        <w:jc w:val="both"/>
        <w:rPr>
          <w:rFonts w:cs="Tahoma"/>
          <w:b/>
          <w:bCs/>
          <w:sz w:val="20"/>
          <w:szCs w:val="20"/>
        </w:rPr>
      </w:pPr>
    </w:p>
    <w:p w:rsidR="0054713E" w:rsidRPr="00DC1793" w:rsidRDefault="0054713E" w:rsidP="0054713E">
      <w:pPr>
        <w:rPr>
          <w:rFonts w:cs="Tahoma"/>
          <w:b/>
          <w:bCs/>
          <w:sz w:val="24"/>
        </w:rPr>
      </w:pPr>
      <w:r w:rsidRPr="00DC1793">
        <w:rPr>
          <w:rFonts w:cs="Tahoma"/>
          <w:b/>
          <w:bCs/>
          <w:sz w:val="24"/>
        </w:rPr>
        <w:br w:type="page"/>
      </w:r>
    </w:p>
    <w:p w:rsidR="0054713E" w:rsidRPr="00DC1793" w:rsidRDefault="0054713E" w:rsidP="0054713E">
      <w:pPr>
        <w:ind w:firstLine="720"/>
        <w:jc w:val="both"/>
        <w:rPr>
          <w:rFonts w:cs="Tahoma"/>
          <w:b/>
          <w:bCs/>
          <w:sz w:val="24"/>
        </w:rPr>
      </w:pPr>
      <w:r w:rsidRPr="00DC1793">
        <w:rPr>
          <w:rFonts w:cs="Tahoma"/>
          <w:b/>
          <w:bCs/>
          <w:sz w:val="24"/>
        </w:rPr>
        <w:t>Performance by Division</w:t>
      </w:r>
    </w:p>
    <w:p w:rsidR="0054713E" w:rsidRPr="00DC1793" w:rsidRDefault="0054713E" w:rsidP="0054713E">
      <w:pPr>
        <w:jc w:val="both"/>
        <w:rPr>
          <w:rFonts w:cs="Tahoma"/>
          <w:b/>
          <w:bCs/>
          <w:sz w:val="20"/>
          <w:szCs w:val="20"/>
        </w:rPr>
      </w:pPr>
    </w:p>
    <w:tbl>
      <w:tblPr>
        <w:tblW w:w="13598" w:type="dxa"/>
        <w:tblInd w:w="817" w:type="dxa"/>
        <w:tblLayout w:type="fixed"/>
        <w:tblLook w:val="04A0" w:firstRow="1" w:lastRow="0" w:firstColumn="1" w:lastColumn="0" w:noHBand="0" w:noVBand="1"/>
      </w:tblPr>
      <w:tblGrid>
        <w:gridCol w:w="4394"/>
        <w:gridCol w:w="1418"/>
        <w:gridCol w:w="1559"/>
        <w:gridCol w:w="1985"/>
        <w:gridCol w:w="1842"/>
        <w:gridCol w:w="2400"/>
      </w:tblGrid>
      <w:tr w:rsidR="0054713E" w:rsidRPr="00DC1793" w:rsidTr="003C4364">
        <w:trPr>
          <w:trHeight w:val="315"/>
        </w:trPr>
        <w:tc>
          <w:tcPr>
            <w:tcW w:w="4394" w:type="dxa"/>
            <w:vMerge w:val="restart"/>
            <w:tcBorders>
              <w:top w:val="single" w:sz="8" w:space="0" w:color="auto"/>
              <w:left w:val="single" w:sz="8" w:space="0" w:color="auto"/>
              <w:bottom w:val="nil"/>
              <w:right w:val="single" w:sz="4" w:space="0" w:color="auto"/>
            </w:tcBorders>
            <w:shd w:val="clear" w:color="auto" w:fill="auto"/>
            <w:hideMark/>
          </w:tcPr>
          <w:p w:rsidR="0054713E" w:rsidRPr="00DC1793" w:rsidRDefault="0054713E" w:rsidP="003C4364">
            <w:pPr>
              <w:rPr>
                <w:b/>
                <w:bCs/>
                <w:color w:val="000000"/>
                <w:sz w:val="20"/>
                <w:szCs w:val="20"/>
                <w:lang w:eastAsia="en-GB"/>
              </w:rPr>
            </w:pPr>
            <w:r w:rsidRPr="00DC1793">
              <w:rPr>
                <w:b/>
                <w:bCs/>
                <w:color w:val="000000"/>
                <w:sz w:val="20"/>
                <w:szCs w:val="20"/>
                <w:lang w:eastAsia="en-GB"/>
              </w:rPr>
              <w:t xml:space="preserve"> </w:t>
            </w:r>
          </w:p>
        </w:tc>
        <w:tc>
          <w:tcPr>
            <w:tcW w:w="141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54713E" w:rsidRPr="00DC1793" w:rsidRDefault="0054713E" w:rsidP="003C4364">
            <w:pPr>
              <w:jc w:val="center"/>
              <w:rPr>
                <w:b/>
                <w:bCs/>
                <w:color w:val="000000"/>
                <w:sz w:val="20"/>
                <w:szCs w:val="20"/>
                <w:lang w:eastAsia="en-GB"/>
              </w:rPr>
            </w:pPr>
            <w:r w:rsidRPr="00DC1793">
              <w:rPr>
                <w:b/>
                <w:bCs/>
                <w:color w:val="000000"/>
                <w:sz w:val="20"/>
                <w:szCs w:val="20"/>
                <w:lang w:eastAsia="en-GB"/>
              </w:rPr>
              <w:t> </w:t>
            </w:r>
          </w:p>
          <w:p w:rsidR="0054713E" w:rsidRPr="00DC1793" w:rsidRDefault="0054713E" w:rsidP="003C4364">
            <w:pPr>
              <w:jc w:val="center"/>
              <w:rPr>
                <w:b/>
                <w:bCs/>
                <w:color w:val="000000"/>
                <w:sz w:val="20"/>
                <w:szCs w:val="20"/>
                <w:lang w:eastAsia="en-GB"/>
              </w:rPr>
            </w:pPr>
            <w:r w:rsidRPr="00DC1793">
              <w:rPr>
                <w:color w:val="000000"/>
                <w:sz w:val="20"/>
                <w:szCs w:val="20"/>
                <w:lang w:eastAsia="en-GB"/>
              </w:rPr>
              <w:t>Annual Budget</w:t>
            </w:r>
          </w:p>
        </w:tc>
        <w:tc>
          <w:tcPr>
            <w:tcW w:w="5386" w:type="dxa"/>
            <w:gridSpan w:val="3"/>
            <w:tcBorders>
              <w:top w:val="single" w:sz="8" w:space="0" w:color="auto"/>
              <w:left w:val="single" w:sz="4" w:space="0" w:color="auto"/>
              <w:bottom w:val="single" w:sz="4" w:space="0" w:color="auto"/>
              <w:right w:val="single" w:sz="8" w:space="0" w:color="000000"/>
            </w:tcBorders>
            <w:shd w:val="clear" w:color="auto" w:fill="auto"/>
            <w:vAlign w:val="center"/>
            <w:hideMark/>
          </w:tcPr>
          <w:p w:rsidR="0054713E" w:rsidRPr="00DC1793" w:rsidRDefault="0054713E" w:rsidP="003C4364">
            <w:pPr>
              <w:jc w:val="center"/>
              <w:rPr>
                <w:b/>
                <w:bCs/>
                <w:color w:val="000000"/>
                <w:sz w:val="20"/>
                <w:szCs w:val="20"/>
                <w:lang w:eastAsia="en-GB"/>
              </w:rPr>
            </w:pPr>
            <w:r w:rsidRPr="00DC1793">
              <w:rPr>
                <w:b/>
                <w:bCs/>
                <w:color w:val="000000"/>
                <w:sz w:val="20"/>
                <w:szCs w:val="20"/>
                <w:lang w:eastAsia="en-GB"/>
              </w:rPr>
              <w:t>In Month</w:t>
            </w:r>
          </w:p>
        </w:tc>
        <w:tc>
          <w:tcPr>
            <w:tcW w:w="2400" w:type="dxa"/>
            <w:tcBorders>
              <w:top w:val="single" w:sz="8" w:space="0" w:color="auto"/>
              <w:left w:val="nil"/>
              <w:bottom w:val="single" w:sz="4" w:space="0" w:color="auto"/>
              <w:right w:val="single" w:sz="8" w:space="0" w:color="000000"/>
            </w:tcBorders>
            <w:shd w:val="clear" w:color="auto" w:fill="auto"/>
            <w:vAlign w:val="center"/>
            <w:hideMark/>
          </w:tcPr>
          <w:p w:rsidR="0054713E" w:rsidRPr="00DC1793" w:rsidRDefault="0054713E" w:rsidP="003C4364">
            <w:pPr>
              <w:jc w:val="center"/>
              <w:rPr>
                <w:b/>
                <w:bCs/>
                <w:color w:val="000000"/>
                <w:sz w:val="20"/>
                <w:szCs w:val="20"/>
                <w:lang w:eastAsia="en-GB"/>
              </w:rPr>
            </w:pPr>
            <w:r w:rsidRPr="00DC1793">
              <w:rPr>
                <w:b/>
                <w:bCs/>
                <w:color w:val="000000"/>
                <w:sz w:val="20"/>
                <w:szCs w:val="20"/>
                <w:lang w:eastAsia="en-GB"/>
              </w:rPr>
              <w:t>Year to Date</w:t>
            </w:r>
          </w:p>
        </w:tc>
      </w:tr>
      <w:tr w:rsidR="0054713E" w:rsidRPr="00DC1793" w:rsidTr="003C4364">
        <w:trPr>
          <w:trHeight w:val="235"/>
        </w:trPr>
        <w:tc>
          <w:tcPr>
            <w:tcW w:w="4394" w:type="dxa"/>
            <w:vMerge/>
            <w:tcBorders>
              <w:top w:val="single" w:sz="8" w:space="0" w:color="auto"/>
              <w:left w:val="single" w:sz="8" w:space="0" w:color="auto"/>
              <w:bottom w:val="nil"/>
              <w:right w:val="single" w:sz="4" w:space="0" w:color="auto"/>
            </w:tcBorders>
            <w:vAlign w:val="center"/>
          </w:tcPr>
          <w:p w:rsidR="0054713E" w:rsidRPr="00DC1793" w:rsidRDefault="0054713E" w:rsidP="003C4364">
            <w:pPr>
              <w:rPr>
                <w:b/>
                <w:bCs/>
                <w:color w:val="000000"/>
                <w:sz w:val="20"/>
                <w:szCs w:val="20"/>
                <w:lang w:eastAsia="en-GB"/>
              </w:rPr>
            </w:pPr>
          </w:p>
        </w:tc>
        <w:tc>
          <w:tcPr>
            <w:tcW w:w="1418" w:type="dxa"/>
            <w:vMerge/>
            <w:tcBorders>
              <w:left w:val="single" w:sz="4" w:space="0" w:color="auto"/>
              <w:bottom w:val="single" w:sz="4" w:space="0" w:color="auto"/>
              <w:right w:val="single" w:sz="4" w:space="0" w:color="auto"/>
            </w:tcBorders>
            <w:shd w:val="clear" w:color="auto" w:fill="auto"/>
            <w:vAlign w:val="center"/>
          </w:tcPr>
          <w:p w:rsidR="0054713E" w:rsidRPr="00DC1793" w:rsidRDefault="0054713E" w:rsidP="003C4364">
            <w:pPr>
              <w:jc w:val="center"/>
              <w:rPr>
                <w:color w:val="000000"/>
                <w:sz w:val="20"/>
                <w:szCs w:val="20"/>
                <w:lang w:eastAsia="en-GB"/>
              </w:rPr>
            </w:pPr>
          </w:p>
        </w:tc>
        <w:tc>
          <w:tcPr>
            <w:tcW w:w="5386" w:type="dxa"/>
            <w:gridSpan w:val="3"/>
            <w:tcBorders>
              <w:top w:val="single" w:sz="4" w:space="0" w:color="auto"/>
              <w:left w:val="single" w:sz="4" w:space="0" w:color="auto"/>
              <w:bottom w:val="single" w:sz="4" w:space="0" w:color="auto"/>
              <w:right w:val="single" w:sz="8" w:space="0" w:color="auto"/>
            </w:tcBorders>
            <w:shd w:val="clear" w:color="auto" w:fill="auto"/>
            <w:vAlign w:val="center"/>
          </w:tcPr>
          <w:p w:rsidR="0054713E" w:rsidRPr="00DC1793" w:rsidRDefault="0054713E" w:rsidP="003C4364">
            <w:pPr>
              <w:jc w:val="center"/>
              <w:rPr>
                <w:b/>
                <w:bCs/>
                <w:color w:val="000000"/>
                <w:sz w:val="20"/>
                <w:szCs w:val="20"/>
                <w:lang w:val="en-US"/>
              </w:rPr>
            </w:pPr>
            <w:r w:rsidRPr="00DC1793">
              <w:rPr>
                <w:b/>
                <w:bCs/>
                <w:color w:val="000000"/>
                <w:sz w:val="20"/>
                <w:szCs w:val="20"/>
                <w:lang w:val="en-US"/>
              </w:rPr>
              <w:t>Over/(Under) Spend</w:t>
            </w:r>
          </w:p>
        </w:tc>
        <w:tc>
          <w:tcPr>
            <w:tcW w:w="2400" w:type="dxa"/>
            <w:tcBorders>
              <w:top w:val="single" w:sz="4" w:space="0" w:color="auto"/>
              <w:left w:val="single" w:sz="4" w:space="0" w:color="auto"/>
              <w:bottom w:val="single" w:sz="4" w:space="0" w:color="auto"/>
              <w:right w:val="single" w:sz="4" w:space="0" w:color="auto"/>
            </w:tcBorders>
            <w:shd w:val="clear" w:color="auto" w:fill="auto"/>
            <w:vAlign w:val="center"/>
          </w:tcPr>
          <w:p w:rsidR="0054713E" w:rsidRPr="00DC1793" w:rsidRDefault="0054713E" w:rsidP="003C4364">
            <w:pPr>
              <w:jc w:val="center"/>
              <w:rPr>
                <w:b/>
                <w:bCs/>
                <w:color w:val="000000"/>
                <w:sz w:val="20"/>
                <w:szCs w:val="20"/>
                <w:lang w:val="en-US"/>
              </w:rPr>
            </w:pPr>
            <w:r w:rsidRPr="00DC1793">
              <w:rPr>
                <w:b/>
                <w:bCs/>
                <w:color w:val="000000"/>
                <w:sz w:val="20"/>
                <w:szCs w:val="20"/>
                <w:lang w:val="en-US"/>
              </w:rPr>
              <w:t>Over/(Under) Spend</w:t>
            </w:r>
          </w:p>
        </w:tc>
      </w:tr>
      <w:tr w:rsidR="0054713E" w:rsidRPr="00DC1793" w:rsidTr="003C4364">
        <w:trPr>
          <w:trHeight w:val="255"/>
        </w:trPr>
        <w:tc>
          <w:tcPr>
            <w:tcW w:w="4394" w:type="dxa"/>
            <w:vMerge/>
            <w:tcBorders>
              <w:top w:val="single" w:sz="8" w:space="0" w:color="auto"/>
              <w:left w:val="single" w:sz="8" w:space="0" w:color="auto"/>
              <w:bottom w:val="nil"/>
              <w:right w:val="single" w:sz="4" w:space="0" w:color="auto"/>
            </w:tcBorders>
            <w:vAlign w:val="center"/>
            <w:hideMark/>
          </w:tcPr>
          <w:p w:rsidR="0054713E" w:rsidRPr="00DC1793" w:rsidRDefault="0054713E" w:rsidP="003C4364">
            <w:pPr>
              <w:rPr>
                <w:b/>
                <w:bCs/>
                <w:color w:val="000000"/>
                <w:sz w:val="20"/>
                <w:szCs w:val="20"/>
                <w:lang w:eastAsia="en-GB"/>
              </w:rPr>
            </w:pPr>
          </w:p>
        </w:tc>
        <w:tc>
          <w:tcPr>
            <w:tcW w:w="1418" w:type="dxa"/>
            <w:vMerge/>
            <w:tcBorders>
              <w:left w:val="single" w:sz="4" w:space="0" w:color="auto"/>
              <w:bottom w:val="single" w:sz="4" w:space="0" w:color="auto"/>
              <w:right w:val="single" w:sz="4" w:space="0" w:color="auto"/>
            </w:tcBorders>
            <w:shd w:val="clear" w:color="auto" w:fill="auto"/>
            <w:vAlign w:val="center"/>
            <w:hideMark/>
          </w:tcPr>
          <w:p w:rsidR="0054713E" w:rsidRPr="00DC1793" w:rsidRDefault="0054713E" w:rsidP="003C4364">
            <w:pPr>
              <w:jc w:val="center"/>
              <w:rPr>
                <w:color w:val="000000"/>
                <w:sz w:val="20"/>
                <w:szCs w:val="20"/>
                <w:lang w:eastAsia="en-GB"/>
              </w:rPr>
            </w:pPr>
          </w:p>
        </w:tc>
        <w:tc>
          <w:tcPr>
            <w:tcW w:w="1559" w:type="dxa"/>
            <w:tcBorders>
              <w:top w:val="single" w:sz="4" w:space="0" w:color="auto"/>
              <w:left w:val="single" w:sz="4" w:space="0" w:color="auto"/>
              <w:bottom w:val="single" w:sz="4" w:space="0" w:color="auto"/>
              <w:right w:val="nil"/>
            </w:tcBorders>
            <w:shd w:val="clear" w:color="auto" w:fill="auto"/>
            <w:vAlign w:val="center"/>
            <w:hideMark/>
          </w:tcPr>
          <w:p w:rsidR="0054713E" w:rsidRPr="00DC1793" w:rsidRDefault="0054713E" w:rsidP="003C4364">
            <w:pPr>
              <w:jc w:val="center"/>
              <w:rPr>
                <w:color w:val="000000"/>
                <w:sz w:val="20"/>
                <w:szCs w:val="20"/>
                <w:lang w:eastAsia="en-GB"/>
              </w:rPr>
            </w:pPr>
            <w:r w:rsidRPr="00DC1793">
              <w:rPr>
                <w:color w:val="000000"/>
                <w:sz w:val="20"/>
                <w:szCs w:val="20"/>
                <w:lang w:eastAsia="en-GB"/>
              </w:rPr>
              <w:t>Last Month</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4713E" w:rsidRPr="00DC1793" w:rsidRDefault="0054713E" w:rsidP="003C4364">
            <w:pPr>
              <w:jc w:val="center"/>
              <w:rPr>
                <w:color w:val="000000"/>
                <w:sz w:val="20"/>
                <w:szCs w:val="20"/>
                <w:lang w:eastAsia="en-GB"/>
              </w:rPr>
            </w:pPr>
            <w:r w:rsidRPr="00DC1793">
              <w:rPr>
                <w:color w:val="000000"/>
                <w:sz w:val="20"/>
                <w:szCs w:val="20"/>
                <w:lang w:eastAsia="en-GB"/>
              </w:rPr>
              <w:t>Current Month</w:t>
            </w:r>
          </w:p>
        </w:tc>
        <w:tc>
          <w:tcPr>
            <w:tcW w:w="1842" w:type="dxa"/>
            <w:tcBorders>
              <w:top w:val="single" w:sz="4" w:space="0" w:color="auto"/>
              <w:left w:val="nil"/>
              <w:bottom w:val="single" w:sz="4" w:space="0" w:color="auto"/>
              <w:right w:val="single" w:sz="8" w:space="0" w:color="auto"/>
            </w:tcBorders>
            <w:shd w:val="clear" w:color="auto" w:fill="auto"/>
            <w:vAlign w:val="center"/>
            <w:hideMark/>
          </w:tcPr>
          <w:p w:rsidR="0054713E" w:rsidRPr="00DC1793" w:rsidRDefault="0054713E" w:rsidP="003C4364">
            <w:pPr>
              <w:jc w:val="center"/>
              <w:rPr>
                <w:color w:val="000000"/>
                <w:sz w:val="20"/>
                <w:szCs w:val="20"/>
                <w:lang w:eastAsia="en-GB"/>
              </w:rPr>
            </w:pPr>
            <w:r w:rsidRPr="00DC1793">
              <w:rPr>
                <w:color w:val="000000"/>
                <w:sz w:val="20"/>
                <w:szCs w:val="20"/>
                <w:lang w:eastAsia="en-GB"/>
              </w:rPr>
              <w:t>Change</w:t>
            </w:r>
          </w:p>
        </w:tc>
        <w:tc>
          <w:tcPr>
            <w:tcW w:w="24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4713E" w:rsidRPr="00DC1793" w:rsidRDefault="0054713E" w:rsidP="003C4364">
            <w:pPr>
              <w:jc w:val="center"/>
              <w:rPr>
                <w:color w:val="000000"/>
                <w:sz w:val="20"/>
                <w:szCs w:val="20"/>
                <w:lang w:eastAsia="en-GB"/>
              </w:rPr>
            </w:pPr>
            <w:r w:rsidRPr="00DC1793">
              <w:rPr>
                <w:color w:val="000000"/>
                <w:sz w:val="20"/>
                <w:szCs w:val="20"/>
                <w:lang w:eastAsia="en-GB"/>
              </w:rPr>
              <w:t>Current Month</w:t>
            </w:r>
          </w:p>
        </w:tc>
      </w:tr>
      <w:tr w:rsidR="0054713E" w:rsidRPr="00DC1793" w:rsidTr="003C4364">
        <w:trPr>
          <w:trHeight w:val="315"/>
        </w:trPr>
        <w:tc>
          <w:tcPr>
            <w:tcW w:w="4394" w:type="dxa"/>
            <w:tcBorders>
              <w:top w:val="nil"/>
              <w:left w:val="single" w:sz="8" w:space="0" w:color="auto"/>
              <w:bottom w:val="single" w:sz="8" w:space="0" w:color="auto"/>
              <w:right w:val="single" w:sz="8" w:space="0" w:color="auto"/>
            </w:tcBorders>
            <w:shd w:val="clear" w:color="auto" w:fill="auto"/>
            <w:vAlign w:val="center"/>
            <w:hideMark/>
          </w:tcPr>
          <w:p w:rsidR="0054713E" w:rsidRPr="00DC1793" w:rsidRDefault="0054713E" w:rsidP="003C4364">
            <w:pPr>
              <w:jc w:val="center"/>
              <w:rPr>
                <w:color w:val="000000"/>
                <w:sz w:val="20"/>
                <w:szCs w:val="20"/>
                <w:lang w:eastAsia="en-GB"/>
              </w:rPr>
            </w:pPr>
            <w:r w:rsidRPr="00DC1793">
              <w:rPr>
                <w:color w:val="000000"/>
                <w:sz w:val="20"/>
                <w:szCs w:val="20"/>
                <w:lang w:eastAsia="en-GB"/>
              </w:rPr>
              <w:t> </w:t>
            </w:r>
          </w:p>
        </w:tc>
        <w:tc>
          <w:tcPr>
            <w:tcW w:w="1418" w:type="dxa"/>
            <w:tcBorders>
              <w:top w:val="single" w:sz="4" w:space="0" w:color="auto"/>
              <w:left w:val="nil"/>
              <w:bottom w:val="single" w:sz="8" w:space="0" w:color="auto"/>
              <w:right w:val="single" w:sz="8" w:space="0" w:color="auto"/>
            </w:tcBorders>
            <w:shd w:val="clear" w:color="auto" w:fill="auto"/>
            <w:vAlign w:val="center"/>
            <w:hideMark/>
          </w:tcPr>
          <w:p w:rsidR="0054713E" w:rsidRPr="00DC1793" w:rsidRDefault="0054713E" w:rsidP="003C4364">
            <w:pPr>
              <w:jc w:val="center"/>
              <w:rPr>
                <w:color w:val="000000"/>
                <w:sz w:val="20"/>
                <w:szCs w:val="20"/>
                <w:lang w:eastAsia="en-GB"/>
              </w:rPr>
            </w:pPr>
            <w:r w:rsidRPr="00DC1793">
              <w:rPr>
                <w:color w:val="000000"/>
                <w:sz w:val="20"/>
                <w:szCs w:val="20"/>
                <w:lang w:eastAsia="en-GB"/>
              </w:rPr>
              <w:t>£'000</w:t>
            </w:r>
          </w:p>
        </w:tc>
        <w:tc>
          <w:tcPr>
            <w:tcW w:w="1559" w:type="dxa"/>
            <w:tcBorders>
              <w:top w:val="single" w:sz="4" w:space="0" w:color="auto"/>
              <w:left w:val="nil"/>
              <w:bottom w:val="single" w:sz="8" w:space="0" w:color="auto"/>
              <w:right w:val="nil"/>
            </w:tcBorders>
            <w:shd w:val="clear" w:color="auto" w:fill="auto"/>
            <w:vAlign w:val="center"/>
            <w:hideMark/>
          </w:tcPr>
          <w:p w:rsidR="0054713E" w:rsidRPr="00DC1793" w:rsidRDefault="0054713E" w:rsidP="003C4364">
            <w:pPr>
              <w:jc w:val="center"/>
              <w:rPr>
                <w:color w:val="000000"/>
                <w:sz w:val="20"/>
                <w:szCs w:val="20"/>
                <w:lang w:eastAsia="en-GB"/>
              </w:rPr>
            </w:pPr>
            <w:r w:rsidRPr="00DC1793">
              <w:rPr>
                <w:color w:val="000000"/>
                <w:sz w:val="20"/>
                <w:szCs w:val="20"/>
                <w:lang w:eastAsia="en-GB"/>
              </w:rPr>
              <w:t>£'000</w:t>
            </w:r>
          </w:p>
        </w:tc>
        <w:tc>
          <w:tcPr>
            <w:tcW w:w="1985" w:type="dxa"/>
            <w:tcBorders>
              <w:top w:val="single" w:sz="4" w:space="0" w:color="auto"/>
              <w:left w:val="single" w:sz="4" w:space="0" w:color="auto"/>
              <w:bottom w:val="single" w:sz="8" w:space="0" w:color="auto"/>
              <w:right w:val="single" w:sz="4" w:space="0" w:color="auto"/>
            </w:tcBorders>
            <w:shd w:val="clear" w:color="auto" w:fill="auto"/>
            <w:vAlign w:val="center"/>
            <w:hideMark/>
          </w:tcPr>
          <w:p w:rsidR="0054713E" w:rsidRPr="00DC1793" w:rsidRDefault="0054713E" w:rsidP="003C4364">
            <w:pPr>
              <w:jc w:val="center"/>
              <w:rPr>
                <w:color w:val="000000"/>
                <w:sz w:val="20"/>
                <w:szCs w:val="20"/>
                <w:lang w:eastAsia="en-GB"/>
              </w:rPr>
            </w:pPr>
            <w:r w:rsidRPr="00DC1793">
              <w:rPr>
                <w:color w:val="000000"/>
                <w:sz w:val="20"/>
                <w:szCs w:val="20"/>
                <w:lang w:eastAsia="en-GB"/>
              </w:rPr>
              <w:t>£'000</w:t>
            </w:r>
          </w:p>
        </w:tc>
        <w:tc>
          <w:tcPr>
            <w:tcW w:w="1842" w:type="dxa"/>
            <w:tcBorders>
              <w:top w:val="single" w:sz="4" w:space="0" w:color="auto"/>
              <w:left w:val="nil"/>
              <w:bottom w:val="single" w:sz="8" w:space="0" w:color="auto"/>
              <w:right w:val="single" w:sz="8" w:space="0" w:color="auto"/>
            </w:tcBorders>
            <w:shd w:val="clear" w:color="auto" w:fill="auto"/>
            <w:vAlign w:val="center"/>
            <w:hideMark/>
          </w:tcPr>
          <w:p w:rsidR="0054713E" w:rsidRPr="00DC1793" w:rsidRDefault="0054713E" w:rsidP="003C4364">
            <w:pPr>
              <w:jc w:val="center"/>
              <w:rPr>
                <w:color w:val="000000"/>
                <w:sz w:val="20"/>
                <w:szCs w:val="20"/>
                <w:lang w:eastAsia="en-GB"/>
              </w:rPr>
            </w:pPr>
            <w:r w:rsidRPr="00DC1793">
              <w:rPr>
                <w:color w:val="000000"/>
                <w:sz w:val="20"/>
                <w:szCs w:val="20"/>
                <w:lang w:eastAsia="en-GB"/>
              </w:rPr>
              <w:t>£'000</w:t>
            </w:r>
          </w:p>
        </w:tc>
        <w:tc>
          <w:tcPr>
            <w:tcW w:w="2400" w:type="dxa"/>
            <w:tcBorders>
              <w:top w:val="single" w:sz="4" w:space="0" w:color="auto"/>
              <w:left w:val="single" w:sz="4" w:space="0" w:color="auto"/>
              <w:bottom w:val="single" w:sz="8" w:space="0" w:color="auto"/>
              <w:right w:val="single" w:sz="4" w:space="0" w:color="auto"/>
            </w:tcBorders>
            <w:shd w:val="clear" w:color="auto" w:fill="auto"/>
            <w:vAlign w:val="center"/>
            <w:hideMark/>
          </w:tcPr>
          <w:p w:rsidR="0054713E" w:rsidRPr="00DC1793" w:rsidRDefault="0054713E" w:rsidP="003C4364">
            <w:pPr>
              <w:jc w:val="center"/>
              <w:rPr>
                <w:color w:val="000000"/>
                <w:sz w:val="20"/>
                <w:szCs w:val="20"/>
                <w:lang w:eastAsia="en-GB"/>
              </w:rPr>
            </w:pPr>
            <w:r w:rsidRPr="00DC1793">
              <w:rPr>
                <w:color w:val="000000"/>
                <w:sz w:val="20"/>
                <w:szCs w:val="20"/>
                <w:lang w:eastAsia="en-GB"/>
              </w:rPr>
              <w:t>£'000</w:t>
            </w:r>
          </w:p>
        </w:tc>
      </w:tr>
      <w:tr w:rsidR="0054713E" w:rsidRPr="00DC1793" w:rsidTr="003C4364">
        <w:trPr>
          <w:trHeight w:val="300"/>
        </w:trPr>
        <w:tc>
          <w:tcPr>
            <w:tcW w:w="4394" w:type="dxa"/>
            <w:tcBorders>
              <w:top w:val="nil"/>
              <w:left w:val="single" w:sz="8" w:space="0" w:color="auto"/>
              <w:bottom w:val="single" w:sz="4" w:space="0" w:color="auto"/>
              <w:right w:val="single" w:sz="8" w:space="0" w:color="auto"/>
            </w:tcBorders>
            <w:shd w:val="clear" w:color="auto" w:fill="auto"/>
            <w:vAlign w:val="center"/>
            <w:hideMark/>
          </w:tcPr>
          <w:p w:rsidR="0054713E" w:rsidRPr="00DC1793" w:rsidRDefault="0054713E" w:rsidP="003C4364">
            <w:pPr>
              <w:jc w:val="both"/>
              <w:rPr>
                <w:b/>
                <w:bCs/>
                <w:color w:val="000000"/>
                <w:sz w:val="20"/>
                <w:szCs w:val="20"/>
                <w:lang w:eastAsia="en-GB"/>
              </w:rPr>
            </w:pPr>
            <w:r w:rsidRPr="00DC1793">
              <w:rPr>
                <w:b/>
                <w:bCs/>
                <w:color w:val="000000"/>
                <w:sz w:val="20"/>
                <w:szCs w:val="20"/>
                <w:lang w:eastAsia="en-GB"/>
              </w:rPr>
              <w:t>Chief Operating Officer:</w:t>
            </w:r>
          </w:p>
        </w:tc>
        <w:tc>
          <w:tcPr>
            <w:tcW w:w="1418" w:type="dxa"/>
            <w:tcBorders>
              <w:top w:val="nil"/>
              <w:left w:val="nil"/>
              <w:bottom w:val="single" w:sz="4" w:space="0" w:color="auto"/>
              <w:right w:val="single" w:sz="8" w:space="0" w:color="auto"/>
            </w:tcBorders>
            <w:shd w:val="clear" w:color="auto" w:fill="auto"/>
            <w:vAlign w:val="center"/>
            <w:hideMark/>
          </w:tcPr>
          <w:p w:rsidR="0054713E" w:rsidRPr="00DC1793" w:rsidRDefault="0054713E" w:rsidP="003C4364">
            <w:pPr>
              <w:jc w:val="right"/>
              <w:rPr>
                <w:b/>
                <w:bCs/>
                <w:color w:val="000000"/>
                <w:sz w:val="20"/>
                <w:szCs w:val="20"/>
                <w:lang w:eastAsia="en-GB"/>
              </w:rPr>
            </w:pPr>
            <w:r w:rsidRPr="00DC1793">
              <w:rPr>
                <w:b/>
                <w:bCs/>
                <w:color w:val="000000"/>
                <w:sz w:val="20"/>
                <w:szCs w:val="20"/>
                <w:lang w:eastAsia="en-GB"/>
              </w:rPr>
              <w:t> </w:t>
            </w:r>
          </w:p>
        </w:tc>
        <w:tc>
          <w:tcPr>
            <w:tcW w:w="1559" w:type="dxa"/>
            <w:tcBorders>
              <w:top w:val="nil"/>
              <w:left w:val="nil"/>
              <w:bottom w:val="single" w:sz="4" w:space="0" w:color="auto"/>
              <w:right w:val="nil"/>
            </w:tcBorders>
            <w:shd w:val="clear" w:color="auto" w:fill="auto"/>
            <w:vAlign w:val="center"/>
            <w:hideMark/>
          </w:tcPr>
          <w:p w:rsidR="0054713E" w:rsidRPr="00DC1793" w:rsidRDefault="0054713E" w:rsidP="003C4364">
            <w:pPr>
              <w:jc w:val="right"/>
              <w:rPr>
                <w:b/>
                <w:bCs/>
                <w:color w:val="000000"/>
                <w:sz w:val="20"/>
                <w:szCs w:val="20"/>
                <w:lang w:eastAsia="en-GB"/>
              </w:rPr>
            </w:pPr>
            <w:r w:rsidRPr="00DC1793">
              <w:rPr>
                <w:b/>
                <w:bCs/>
                <w:color w:val="000000"/>
                <w:sz w:val="20"/>
                <w:szCs w:val="20"/>
                <w:lang w:eastAsia="en-GB"/>
              </w:rPr>
              <w:t> </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rsidR="0054713E" w:rsidRPr="00DC1793" w:rsidRDefault="0054713E" w:rsidP="003C4364">
            <w:pPr>
              <w:jc w:val="right"/>
              <w:rPr>
                <w:b/>
                <w:bCs/>
                <w:color w:val="000000"/>
                <w:sz w:val="20"/>
                <w:szCs w:val="20"/>
                <w:lang w:eastAsia="en-GB"/>
              </w:rPr>
            </w:pPr>
            <w:r w:rsidRPr="00DC1793">
              <w:rPr>
                <w:b/>
                <w:bCs/>
                <w:color w:val="000000"/>
                <w:sz w:val="20"/>
                <w:szCs w:val="20"/>
                <w:lang w:eastAsia="en-GB"/>
              </w:rPr>
              <w:t> </w:t>
            </w:r>
          </w:p>
        </w:tc>
        <w:tc>
          <w:tcPr>
            <w:tcW w:w="1842" w:type="dxa"/>
            <w:tcBorders>
              <w:top w:val="nil"/>
              <w:left w:val="nil"/>
              <w:bottom w:val="single" w:sz="4" w:space="0" w:color="auto"/>
              <w:right w:val="single" w:sz="8" w:space="0" w:color="auto"/>
            </w:tcBorders>
            <w:shd w:val="clear" w:color="auto" w:fill="auto"/>
            <w:vAlign w:val="center"/>
            <w:hideMark/>
          </w:tcPr>
          <w:p w:rsidR="0054713E" w:rsidRPr="00DC1793" w:rsidRDefault="0054713E" w:rsidP="003C4364">
            <w:pPr>
              <w:jc w:val="right"/>
              <w:rPr>
                <w:b/>
                <w:bCs/>
                <w:color w:val="000000"/>
                <w:sz w:val="20"/>
                <w:szCs w:val="20"/>
                <w:lang w:eastAsia="en-GB"/>
              </w:rPr>
            </w:pPr>
            <w:r w:rsidRPr="00DC1793">
              <w:rPr>
                <w:b/>
                <w:bCs/>
                <w:color w:val="000000"/>
                <w:sz w:val="20"/>
                <w:szCs w:val="20"/>
                <w:lang w:eastAsia="en-GB"/>
              </w:rPr>
              <w:t> </w:t>
            </w:r>
          </w:p>
        </w:tc>
        <w:tc>
          <w:tcPr>
            <w:tcW w:w="2400" w:type="dxa"/>
            <w:tcBorders>
              <w:top w:val="nil"/>
              <w:left w:val="single" w:sz="4" w:space="0" w:color="auto"/>
              <w:bottom w:val="single" w:sz="4" w:space="0" w:color="auto"/>
              <w:right w:val="single" w:sz="4" w:space="0" w:color="auto"/>
            </w:tcBorders>
            <w:shd w:val="clear" w:color="auto" w:fill="auto"/>
            <w:vAlign w:val="center"/>
            <w:hideMark/>
          </w:tcPr>
          <w:p w:rsidR="0054713E" w:rsidRPr="00DC1793" w:rsidRDefault="0054713E" w:rsidP="003C4364">
            <w:pPr>
              <w:jc w:val="right"/>
              <w:rPr>
                <w:b/>
                <w:bCs/>
                <w:color w:val="000000"/>
                <w:sz w:val="20"/>
                <w:szCs w:val="20"/>
                <w:lang w:eastAsia="en-GB"/>
              </w:rPr>
            </w:pPr>
            <w:r w:rsidRPr="00DC1793">
              <w:rPr>
                <w:b/>
                <w:bCs/>
                <w:color w:val="000000"/>
                <w:sz w:val="20"/>
                <w:szCs w:val="20"/>
                <w:lang w:eastAsia="en-GB"/>
              </w:rPr>
              <w:t> </w:t>
            </w:r>
          </w:p>
        </w:tc>
      </w:tr>
      <w:tr w:rsidR="006A1ADD" w:rsidRPr="00DC1793" w:rsidTr="003C4364">
        <w:trPr>
          <w:trHeight w:val="300"/>
        </w:trPr>
        <w:tc>
          <w:tcPr>
            <w:tcW w:w="4394" w:type="dxa"/>
            <w:tcBorders>
              <w:top w:val="nil"/>
              <w:left w:val="single" w:sz="8" w:space="0" w:color="auto"/>
              <w:bottom w:val="single" w:sz="4" w:space="0" w:color="auto"/>
              <w:right w:val="single" w:sz="8" w:space="0" w:color="auto"/>
            </w:tcBorders>
            <w:shd w:val="clear" w:color="auto" w:fill="auto"/>
            <w:vAlign w:val="center"/>
            <w:hideMark/>
          </w:tcPr>
          <w:p w:rsidR="006A1ADD" w:rsidRPr="00DC1793" w:rsidRDefault="006A1ADD" w:rsidP="006A1ADD">
            <w:pPr>
              <w:jc w:val="both"/>
              <w:rPr>
                <w:color w:val="000000"/>
                <w:sz w:val="20"/>
                <w:szCs w:val="20"/>
                <w:lang w:eastAsia="en-GB"/>
              </w:rPr>
            </w:pPr>
            <w:r w:rsidRPr="00DC1793">
              <w:rPr>
                <w:color w:val="000000"/>
                <w:sz w:val="20"/>
                <w:szCs w:val="20"/>
                <w:lang w:eastAsia="en-GB"/>
              </w:rPr>
              <w:t>Unscheduled Care</w:t>
            </w:r>
          </w:p>
        </w:tc>
        <w:tc>
          <w:tcPr>
            <w:tcW w:w="1418" w:type="dxa"/>
            <w:tcBorders>
              <w:top w:val="nil"/>
              <w:left w:val="nil"/>
              <w:bottom w:val="single" w:sz="4" w:space="0" w:color="auto"/>
              <w:right w:val="single" w:sz="8" w:space="0" w:color="auto"/>
            </w:tcBorders>
            <w:shd w:val="clear" w:color="auto" w:fill="auto"/>
            <w:vAlign w:val="center"/>
            <w:hideMark/>
          </w:tcPr>
          <w:p w:rsidR="006A1ADD" w:rsidRDefault="006A1ADD" w:rsidP="006A1ADD">
            <w:pPr>
              <w:jc w:val="right"/>
              <w:rPr>
                <w:sz w:val="20"/>
                <w:szCs w:val="20"/>
                <w:lang w:eastAsia="en-GB"/>
              </w:rPr>
            </w:pPr>
            <w:r>
              <w:rPr>
                <w:color w:val="FF0000"/>
                <w:sz w:val="20"/>
                <w:szCs w:val="20"/>
              </w:rPr>
              <w:t>(401)</w:t>
            </w:r>
          </w:p>
        </w:tc>
        <w:tc>
          <w:tcPr>
            <w:tcW w:w="1559" w:type="dxa"/>
            <w:tcBorders>
              <w:top w:val="nil"/>
              <w:left w:val="nil"/>
              <w:bottom w:val="single" w:sz="4" w:space="0" w:color="auto"/>
              <w:right w:val="nil"/>
            </w:tcBorders>
            <w:shd w:val="clear" w:color="auto" w:fill="auto"/>
            <w:vAlign w:val="center"/>
            <w:hideMark/>
          </w:tcPr>
          <w:p w:rsidR="006A1ADD" w:rsidRDefault="006A1ADD" w:rsidP="006A1ADD">
            <w:pPr>
              <w:jc w:val="right"/>
              <w:rPr>
                <w:sz w:val="20"/>
                <w:szCs w:val="20"/>
              </w:rPr>
            </w:pPr>
            <w:r>
              <w:rPr>
                <w:sz w:val="20"/>
                <w:szCs w:val="20"/>
              </w:rPr>
              <w:t>10</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rsidR="006A1ADD" w:rsidRDefault="006A1ADD" w:rsidP="006A1ADD">
            <w:pPr>
              <w:jc w:val="right"/>
              <w:rPr>
                <w:sz w:val="20"/>
                <w:szCs w:val="20"/>
              </w:rPr>
            </w:pPr>
            <w:r>
              <w:rPr>
                <w:sz w:val="20"/>
                <w:szCs w:val="20"/>
              </w:rPr>
              <w:t>6</w:t>
            </w:r>
          </w:p>
        </w:tc>
        <w:tc>
          <w:tcPr>
            <w:tcW w:w="1842" w:type="dxa"/>
            <w:tcBorders>
              <w:top w:val="nil"/>
              <w:left w:val="nil"/>
              <w:bottom w:val="single" w:sz="4" w:space="0" w:color="auto"/>
              <w:right w:val="single" w:sz="8" w:space="0" w:color="auto"/>
            </w:tcBorders>
            <w:shd w:val="clear" w:color="auto" w:fill="auto"/>
            <w:vAlign w:val="center"/>
            <w:hideMark/>
          </w:tcPr>
          <w:p w:rsidR="006A1ADD" w:rsidRDefault="006A1ADD" w:rsidP="006A1ADD">
            <w:pPr>
              <w:jc w:val="right"/>
              <w:rPr>
                <w:sz w:val="20"/>
                <w:szCs w:val="20"/>
              </w:rPr>
            </w:pPr>
            <w:r>
              <w:rPr>
                <w:color w:val="FF0000"/>
                <w:sz w:val="20"/>
                <w:szCs w:val="20"/>
              </w:rPr>
              <w:t>(4)</w:t>
            </w:r>
          </w:p>
        </w:tc>
        <w:tc>
          <w:tcPr>
            <w:tcW w:w="2400" w:type="dxa"/>
            <w:tcBorders>
              <w:top w:val="nil"/>
              <w:left w:val="single" w:sz="4" w:space="0" w:color="auto"/>
              <w:bottom w:val="single" w:sz="4" w:space="0" w:color="auto"/>
              <w:right w:val="single" w:sz="4" w:space="0" w:color="auto"/>
            </w:tcBorders>
            <w:shd w:val="clear" w:color="auto" w:fill="auto"/>
            <w:vAlign w:val="center"/>
            <w:hideMark/>
          </w:tcPr>
          <w:p w:rsidR="006A1ADD" w:rsidRDefault="006A1ADD" w:rsidP="006A1ADD">
            <w:pPr>
              <w:jc w:val="right"/>
              <w:rPr>
                <w:sz w:val="20"/>
                <w:szCs w:val="20"/>
              </w:rPr>
            </w:pPr>
            <w:r>
              <w:rPr>
                <w:color w:val="FF0000"/>
                <w:sz w:val="20"/>
                <w:szCs w:val="20"/>
              </w:rPr>
              <w:t>(10)</w:t>
            </w:r>
          </w:p>
        </w:tc>
      </w:tr>
      <w:tr w:rsidR="006A1ADD" w:rsidRPr="00DC1793" w:rsidTr="003C4364">
        <w:trPr>
          <w:trHeight w:val="300"/>
        </w:trPr>
        <w:tc>
          <w:tcPr>
            <w:tcW w:w="4394" w:type="dxa"/>
            <w:tcBorders>
              <w:top w:val="nil"/>
              <w:left w:val="single" w:sz="8" w:space="0" w:color="auto"/>
              <w:bottom w:val="single" w:sz="4" w:space="0" w:color="auto"/>
              <w:right w:val="single" w:sz="8" w:space="0" w:color="auto"/>
            </w:tcBorders>
            <w:shd w:val="clear" w:color="auto" w:fill="auto"/>
            <w:vAlign w:val="center"/>
            <w:hideMark/>
          </w:tcPr>
          <w:p w:rsidR="006A1ADD" w:rsidRPr="00DC1793" w:rsidRDefault="006A1ADD" w:rsidP="006A1ADD">
            <w:pPr>
              <w:jc w:val="both"/>
              <w:rPr>
                <w:color w:val="000000"/>
                <w:sz w:val="20"/>
                <w:szCs w:val="20"/>
                <w:lang w:eastAsia="en-GB"/>
              </w:rPr>
            </w:pPr>
            <w:r w:rsidRPr="00DC1793">
              <w:rPr>
                <w:color w:val="000000"/>
                <w:sz w:val="20"/>
                <w:szCs w:val="20"/>
                <w:lang w:eastAsia="en-GB"/>
              </w:rPr>
              <w:t>Planned Care</w:t>
            </w:r>
          </w:p>
        </w:tc>
        <w:tc>
          <w:tcPr>
            <w:tcW w:w="1418" w:type="dxa"/>
            <w:tcBorders>
              <w:top w:val="nil"/>
              <w:left w:val="nil"/>
              <w:bottom w:val="single" w:sz="4" w:space="0" w:color="auto"/>
              <w:right w:val="single" w:sz="8" w:space="0" w:color="auto"/>
            </w:tcBorders>
            <w:shd w:val="clear" w:color="auto" w:fill="auto"/>
            <w:vAlign w:val="center"/>
            <w:hideMark/>
          </w:tcPr>
          <w:p w:rsidR="006A1ADD" w:rsidRDefault="006A1ADD" w:rsidP="006A1ADD">
            <w:pPr>
              <w:jc w:val="right"/>
              <w:rPr>
                <w:sz w:val="20"/>
                <w:szCs w:val="20"/>
              </w:rPr>
            </w:pPr>
            <w:r>
              <w:rPr>
                <w:color w:val="FF0000"/>
                <w:sz w:val="20"/>
                <w:szCs w:val="20"/>
              </w:rPr>
              <w:t>(875)</w:t>
            </w:r>
          </w:p>
        </w:tc>
        <w:tc>
          <w:tcPr>
            <w:tcW w:w="1559" w:type="dxa"/>
            <w:tcBorders>
              <w:top w:val="nil"/>
              <w:left w:val="nil"/>
              <w:bottom w:val="single" w:sz="4" w:space="0" w:color="auto"/>
              <w:right w:val="nil"/>
            </w:tcBorders>
            <w:shd w:val="clear" w:color="auto" w:fill="auto"/>
            <w:vAlign w:val="center"/>
            <w:hideMark/>
          </w:tcPr>
          <w:p w:rsidR="006A1ADD" w:rsidRDefault="006A1ADD" w:rsidP="006A1ADD">
            <w:pPr>
              <w:jc w:val="right"/>
              <w:rPr>
                <w:sz w:val="20"/>
                <w:szCs w:val="20"/>
              </w:rPr>
            </w:pPr>
            <w:r>
              <w:rPr>
                <w:color w:val="FF0000"/>
                <w:sz w:val="20"/>
                <w:szCs w:val="20"/>
              </w:rPr>
              <w:t>(749)</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rsidR="006A1ADD" w:rsidRDefault="006A1ADD" w:rsidP="006A1ADD">
            <w:pPr>
              <w:jc w:val="right"/>
              <w:rPr>
                <w:sz w:val="20"/>
                <w:szCs w:val="20"/>
              </w:rPr>
            </w:pPr>
            <w:r>
              <w:rPr>
                <w:color w:val="FF0000"/>
                <w:sz w:val="20"/>
                <w:szCs w:val="20"/>
              </w:rPr>
              <w:t>(56)</w:t>
            </w:r>
          </w:p>
        </w:tc>
        <w:tc>
          <w:tcPr>
            <w:tcW w:w="1842" w:type="dxa"/>
            <w:tcBorders>
              <w:top w:val="nil"/>
              <w:left w:val="nil"/>
              <w:bottom w:val="single" w:sz="4" w:space="0" w:color="auto"/>
              <w:right w:val="single" w:sz="8" w:space="0" w:color="auto"/>
            </w:tcBorders>
            <w:shd w:val="clear" w:color="auto" w:fill="auto"/>
            <w:vAlign w:val="center"/>
            <w:hideMark/>
          </w:tcPr>
          <w:p w:rsidR="006A1ADD" w:rsidRDefault="006A1ADD" w:rsidP="006A1ADD">
            <w:pPr>
              <w:jc w:val="right"/>
              <w:rPr>
                <w:sz w:val="20"/>
                <w:szCs w:val="20"/>
              </w:rPr>
            </w:pPr>
            <w:r>
              <w:rPr>
                <w:sz w:val="20"/>
                <w:szCs w:val="20"/>
              </w:rPr>
              <w:t>693</w:t>
            </w:r>
          </w:p>
        </w:tc>
        <w:tc>
          <w:tcPr>
            <w:tcW w:w="2400" w:type="dxa"/>
            <w:tcBorders>
              <w:top w:val="nil"/>
              <w:left w:val="single" w:sz="4" w:space="0" w:color="auto"/>
              <w:bottom w:val="single" w:sz="4" w:space="0" w:color="auto"/>
              <w:right w:val="single" w:sz="4" w:space="0" w:color="auto"/>
            </w:tcBorders>
            <w:shd w:val="clear" w:color="auto" w:fill="auto"/>
            <w:vAlign w:val="center"/>
            <w:hideMark/>
          </w:tcPr>
          <w:p w:rsidR="006A1ADD" w:rsidRDefault="006A1ADD" w:rsidP="006A1ADD">
            <w:pPr>
              <w:jc w:val="right"/>
              <w:rPr>
                <w:sz w:val="20"/>
                <w:szCs w:val="20"/>
              </w:rPr>
            </w:pPr>
            <w:r>
              <w:rPr>
                <w:color w:val="FF0000"/>
                <w:sz w:val="20"/>
                <w:szCs w:val="20"/>
              </w:rPr>
              <w:t>(703)</w:t>
            </w:r>
          </w:p>
        </w:tc>
      </w:tr>
      <w:tr w:rsidR="006A1ADD" w:rsidRPr="00DC1793" w:rsidTr="003C4364">
        <w:trPr>
          <w:trHeight w:val="300"/>
        </w:trPr>
        <w:tc>
          <w:tcPr>
            <w:tcW w:w="4394" w:type="dxa"/>
            <w:tcBorders>
              <w:top w:val="nil"/>
              <w:left w:val="single" w:sz="8" w:space="0" w:color="auto"/>
              <w:bottom w:val="single" w:sz="4" w:space="0" w:color="auto"/>
              <w:right w:val="single" w:sz="8" w:space="0" w:color="auto"/>
            </w:tcBorders>
            <w:shd w:val="clear" w:color="auto" w:fill="auto"/>
            <w:vAlign w:val="center"/>
          </w:tcPr>
          <w:p w:rsidR="006A1ADD" w:rsidRPr="00DC1793" w:rsidRDefault="006A1ADD" w:rsidP="006A1ADD">
            <w:pPr>
              <w:jc w:val="both"/>
              <w:rPr>
                <w:color w:val="000000"/>
                <w:sz w:val="20"/>
                <w:szCs w:val="20"/>
                <w:lang w:eastAsia="en-GB"/>
              </w:rPr>
            </w:pPr>
            <w:r w:rsidRPr="00DC1793">
              <w:rPr>
                <w:color w:val="000000"/>
                <w:sz w:val="20"/>
                <w:szCs w:val="20"/>
                <w:lang w:eastAsia="en-GB"/>
              </w:rPr>
              <w:t>POW Delivery Unit</w:t>
            </w:r>
          </w:p>
        </w:tc>
        <w:tc>
          <w:tcPr>
            <w:tcW w:w="1418" w:type="dxa"/>
            <w:tcBorders>
              <w:top w:val="nil"/>
              <w:left w:val="nil"/>
              <w:bottom w:val="single" w:sz="4" w:space="0" w:color="auto"/>
              <w:right w:val="single" w:sz="8" w:space="0" w:color="auto"/>
            </w:tcBorders>
            <w:shd w:val="clear" w:color="auto" w:fill="auto"/>
            <w:vAlign w:val="center"/>
          </w:tcPr>
          <w:p w:rsidR="006A1ADD" w:rsidRDefault="006A1ADD" w:rsidP="006A1ADD">
            <w:pPr>
              <w:jc w:val="right"/>
              <w:rPr>
                <w:sz w:val="20"/>
                <w:szCs w:val="20"/>
              </w:rPr>
            </w:pPr>
            <w:r>
              <w:rPr>
                <w:color w:val="FF0000"/>
                <w:sz w:val="20"/>
                <w:szCs w:val="20"/>
              </w:rPr>
              <w:t>(6,754)</w:t>
            </w:r>
          </w:p>
        </w:tc>
        <w:tc>
          <w:tcPr>
            <w:tcW w:w="1559" w:type="dxa"/>
            <w:tcBorders>
              <w:top w:val="nil"/>
              <w:left w:val="nil"/>
              <w:bottom w:val="single" w:sz="4" w:space="0" w:color="auto"/>
              <w:right w:val="nil"/>
            </w:tcBorders>
            <w:shd w:val="clear" w:color="auto" w:fill="auto"/>
            <w:vAlign w:val="center"/>
          </w:tcPr>
          <w:p w:rsidR="006A1ADD" w:rsidRDefault="006A1ADD" w:rsidP="006A1ADD">
            <w:pPr>
              <w:jc w:val="right"/>
              <w:rPr>
                <w:sz w:val="20"/>
                <w:szCs w:val="20"/>
              </w:rPr>
            </w:pPr>
            <w:r>
              <w:rPr>
                <w:color w:val="FF0000"/>
                <w:sz w:val="20"/>
                <w:szCs w:val="20"/>
              </w:rPr>
              <w:t>(275)</w:t>
            </w:r>
          </w:p>
        </w:tc>
        <w:tc>
          <w:tcPr>
            <w:tcW w:w="1985" w:type="dxa"/>
            <w:tcBorders>
              <w:top w:val="nil"/>
              <w:left w:val="single" w:sz="4" w:space="0" w:color="auto"/>
              <w:bottom w:val="single" w:sz="4" w:space="0" w:color="auto"/>
              <w:right w:val="single" w:sz="4" w:space="0" w:color="auto"/>
            </w:tcBorders>
            <w:shd w:val="clear" w:color="auto" w:fill="auto"/>
            <w:vAlign w:val="center"/>
          </w:tcPr>
          <w:p w:rsidR="006A1ADD" w:rsidRDefault="006A1ADD" w:rsidP="006A1ADD">
            <w:pPr>
              <w:jc w:val="right"/>
              <w:rPr>
                <w:sz w:val="20"/>
                <w:szCs w:val="20"/>
              </w:rPr>
            </w:pPr>
            <w:r>
              <w:rPr>
                <w:color w:val="FF0000"/>
                <w:sz w:val="20"/>
                <w:szCs w:val="20"/>
              </w:rPr>
              <w:t>(93)</w:t>
            </w:r>
          </w:p>
        </w:tc>
        <w:tc>
          <w:tcPr>
            <w:tcW w:w="1842" w:type="dxa"/>
            <w:tcBorders>
              <w:top w:val="nil"/>
              <w:left w:val="nil"/>
              <w:bottom w:val="single" w:sz="4" w:space="0" w:color="auto"/>
              <w:right w:val="single" w:sz="8" w:space="0" w:color="auto"/>
            </w:tcBorders>
            <w:shd w:val="clear" w:color="auto" w:fill="auto"/>
            <w:vAlign w:val="center"/>
          </w:tcPr>
          <w:p w:rsidR="006A1ADD" w:rsidRDefault="006A1ADD" w:rsidP="006A1ADD">
            <w:pPr>
              <w:jc w:val="right"/>
              <w:rPr>
                <w:sz w:val="20"/>
                <w:szCs w:val="20"/>
              </w:rPr>
            </w:pPr>
            <w:r>
              <w:rPr>
                <w:sz w:val="20"/>
                <w:szCs w:val="20"/>
              </w:rPr>
              <w:t>182</w:t>
            </w:r>
          </w:p>
        </w:tc>
        <w:tc>
          <w:tcPr>
            <w:tcW w:w="2400" w:type="dxa"/>
            <w:tcBorders>
              <w:top w:val="nil"/>
              <w:left w:val="single" w:sz="4" w:space="0" w:color="auto"/>
              <w:bottom w:val="single" w:sz="4" w:space="0" w:color="auto"/>
              <w:right w:val="single" w:sz="4" w:space="0" w:color="auto"/>
            </w:tcBorders>
            <w:shd w:val="clear" w:color="auto" w:fill="auto"/>
            <w:vAlign w:val="center"/>
          </w:tcPr>
          <w:p w:rsidR="006A1ADD" w:rsidRDefault="006A1ADD" w:rsidP="006A1ADD">
            <w:pPr>
              <w:jc w:val="right"/>
              <w:rPr>
                <w:sz w:val="20"/>
                <w:szCs w:val="20"/>
              </w:rPr>
            </w:pPr>
            <w:r>
              <w:rPr>
                <w:sz w:val="20"/>
                <w:szCs w:val="20"/>
              </w:rPr>
              <w:t>89</w:t>
            </w:r>
          </w:p>
        </w:tc>
      </w:tr>
      <w:tr w:rsidR="006A1ADD" w:rsidRPr="00DC1793" w:rsidTr="003C4364">
        <w:trPr>
          <w:trHeight w:val="300"/>
        </w:trPr>
        <w:tc>
          <w:tcPr>
            <w:tcW w:w="4394" w:type="dxa"/>
            <w:tcBorders>
              <w:top w:val="nil"/>
              <w:left w:val="single" w:sz="8" w:space="0" w:color="auto"/>
              <w:bottom w:val="single" w:sz="4" w:space="0" w:color="auto"/>
              <w:right w:val="single" w:sz="8" w:space="0" w:color="auto"/>
            </w:tcBorders>
            <w:shd w:val="clear" w:color="auto" w:fill="auto"/>
            <w:vAlign w:val="center"/>
            <w:hideMark/>
          </w:tcPr>
          <w:p w:rsidR="006A1ADD" w:rsidRPr="00DC1793" w:rsidRDefault="006A1ADD" w:rsidP="006A1ADD">
            <w:pPr>
              <w:jc w:val="both"/>
              <w:rPr>
                <w:color w:val="000000"/>
                <w:sz w:val="20"/>
                <w:szCs w:val="20"/>
                <w:lang w:eastAsia="en-GB"/>
              </w:rPr>
            </w:pPr>
            <w:r w:rsidRPr="00DC1793">
              <w:rPr>
                <w:color w:val="000000"/>
                <w:sz w:val="20"/>
                <w:szCs w:val="20"/>
                <w:lang w:eastAsia="en-GB"/>
              </w:rPr>
              <w:t xml:space="preserve">Clinical Support </w:t>
            </w:r>
          </w:p>
        </w:tc>
        <w:tc>
          <w:tcPr>
            <w:tcW w:w="1418" w:type="dxa"/>
            <w:tcBorders>
              <w:top w:val="nil"/>
              <w:left w:val="nil"/>
              <w:bottom w:val="single" w:sz="4" w:space="0" w:color="auto"/>
              <w:right w:val="single" w:sz="8" w:space="0" w:color="auto"/>
            </w:tcBorders>
            <w:shd w:val="clear" w:color="auto" w:fill="auto"/>
            <w:vAlign w:val="center"/>
            <w:hideMark/>
          </w:tcPr>
          <w:p w:rsidR="006A1ADD" w:rsidRDefault="006A1ADD" w:rsidP="006A1ADD">
            <w:pPr>
              <w:jc w:val="right"/>
              <w:rPr>
                <w:sz w:val="20"/>
                <w:szCs w:val="20"/>
              </w:rPr>
            </w:pPr>
            <w:r>
              <w:rPr>
                <w:color w:val="FF0000"/>
                <w:sz w:val="20"/>
                <w:szCs w:val="20"/>
              </w:rPr>
              <w:t>(2,778)</w:t>
            </w:r>
          </w:p>
        </w:tc>
        <w:tc>
          <w:tcPr>
            <w:tcW w:w="1559" w:type="dxa"/>
            <w:tcBorders>
              <w:top w:val="nil"/>
              <w:left w:val="nil"/>
              <w:bottom w:val="single" w:sz="4" w:space="0" w:color="auto"/>
              <w:right w:val="nil"/>
            </w:tcBorders>
            <w:shd w:val="clear" w:color="auto" w:fill="auto"/>
            <w:vAlign w:val="center"/>
            <w:hideMark/>
          </w:tcPr>
          <w:p w:rsidR="006A1ADD" w:rsidRDefault="006A1ADD" w:rsidP="006A1ADD">
            <w:pPr>
              <w:jc w:val="right"/>
              <w:rPr>
                <w:sz w:val="20"/>
                <w:szCs w:val="20"/>
              </w:rPr>
            </w:pPr>
            <w:r>
              <w:rPr>
                <w:color w:val="FF0000"/>
                <w:sz w:val="20"/>
                <w:szCs w:val="20"/>
              </w:rPr>
              <w:t>(13)</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rsidR="006A1ADD" w:rsidRDefault="006A1ADD" w:rsidP="006A1ADD">
            <w:pPr>
              <w:jc w:val="right"/>
              <w:rPr>
                <w:sz w:val="20"/>
                <w:szCs w:val="20"/>
              </w:rPr>
            </w:pPr>
            <w:r>
              <w:rPr>
                <w:color w:val="FF0000"/>
                <w:sz w:val="20"/>
                <w:szCs w:val="20"/>
              </w:rPr>
              <w:t>(64)</w:t>
            </w:r>
          </w:p>
        </w:tc>
        <w:tc>
          <w:tcPr>
            <w:tcW w:w="1842" w:type="dxa"/>
            <w:tcBorders>
              <w:top w:val="nil"/>
              <w:left w:val="nil"/>
              <w:bottom w:val="single" w:sz="4" w:space="0" w:color="auto"/>
              <w:right w:val="single" w:sz="8" w:space="0" w:color="auto"/>
            </w:tcBorders>
            <w:shd w:val="clear" w:color="auto" w:fill="auto"/>
            <w:vAlign w:val="center"/>
            <w:hideMark/>
          </w:tcPr>
          <w:p w:rsidR="006A1ADD" w:rsidRDefault="006A1ADD" w:rsidP="006A1ADD">
            <w:pPr>
              <w:jc w:val="right"/>
              <w:rPr>
                <w:sz w:val="20"/>
                <w:szCs w:val="20"/>
              </w:rPr>
            </w:pPr>
            <w:r>
              <w:rPr>
                <w:color w:val="FF0000"/>
                <w:sz w:val="20"/>
                <w:szCs w:val="20"/>
              </w:rPr>
              <w:t>(51)</w:t>
            </w:r>
          </w:p>
        </w:tc>
        <w:tc>
          <w:tcPr>
            <w:tcW w:w="2400" w:type="dxa"/>
            <w:tcBorders>
              <w:top w:val="nil"/>
              <w:left w:val="single" w:sz="4" w:space="0" w:color="auto"/>
              <w:bottom w:val="single" w:sz="4" w:space="0" w:color="auto"/>
              <w:right w:val="single" w:sz="4" w:space="0" w:color="auto"/>
            </w:tcBorders>
            <w:shd w:val="clear" w:color="auto" w:fill="auto"/>
            <w:vAlign w:val="center"/>
            <w:hideMark/>
          </w:tcPr>
          <w:p w:rsidR="006A1ADD" w:rsidRDefault="006A1ADD" w:rsidP="006A1ADD">
            <w:pPr>
              <w:jc w:val="right"/>
              <w:rPr>
                <w:sz w:val="20"/>
                <w:szCs w:val="20"/>
              </w:rPr>
            </w:pPr>
            <w:r>
              <w:rPr>
                <w:color w:val="FF0000"/>
                <w:sz w:val="20"/>
                <w:szCs w:val="20"/>
              </w:rPr>
              <w:t>(73)</w:t>
            </w:r>
          </w:p>
        </w:tc>
      </w:tr>
      <w:tr w:rsidR="006A1ADD" w:rsidRPr="00DC1793" w:rsidTr="003C4364">
        <w:trPr>
          <w:trHeight w:val="315"/>
        </w:trPr>
        <w:tc>
          <w:tcPr>
            <w:tcW w:w="4394" w:type="dxa"/>
            <w:tcBorders>
              <w:top w:val="nil"/>
              <w:left w:val="single" w:sz="8" w:space="0" w:color="auto"/>
              <w:bottom w:val="single" w:sz="8" w:space="0" w:color="auto"/>
              <w:right w:val="single" w:sz="8" w:space="0" w:color="auto"/>
            </w:tcBorders>
            <w:shd w:val="clear" w:color="auto" w:fill="auto"/>
            <w:vAlign w:val="center"/>
            <w:hideMark/>
          </w:tcPr>
          <w:p w:rsidR="006A1ADD" w:rsidRPr="00DC1793" w:rsidRDefault="006A1ADD" w:rsidP="006A1ADD">
            <w:pPr>
              <w:jc w:val="both"/>
              <w:rPr>
                <w:color w:val="000000"/>
                <w:sz w:val="20"/>
                <w:szCs w:val="20"/>
                <w:lang w:eastAsia="en-GB"/>
              </w:rPr>
            </w:pPr>
            <w:r w:rsidRPr="00DC1793">
              <w:rPr>
                <w:color w:val="000000"/>
                <w:sz w:val="20"/>
                <w:szCs w:val="20"/>
                <w:lang w:eastAsia="en-GB"/>
              </w:rPr>
              <w:t xml:space="preserve">Facilities </w:t>
            </w:r>
          </w:p>
        </w:tc>
        <w:tc>
          <w:tcPr>
            <w:tcW w:w="1418" w:type="dxa"/>
            <w:tcBorders>
              <w:top w:val="nil"/>
              <w:left w:val="nil"/>
              <w:bottom w:val="single" w:sz="8" w:space="0" w:color="auto"/>
              <w:right w:val="single" w:sz="8" w:space="0" w:color="auto"/>
            </w:tcBorders>
            <w:shd w:val="clear" w:color="auto" w:fill="auto"/>
            <w:vAlign w:val="center"/>
            <w:hideMark/>
          </w:tcPr>
          <w:p w:rsidR="006A1ADD" w:rsidRDefault="006A1ADD" w:rsidP="006A1ADD">
            <w:pPr>
              <w:jc w:val="right"/>
              <w:rPr>
                <w:sz w:val="20"/>
                <w:szCs w:val="20"/>
              </w:rPr>
            </w:pPr>
            <w:r>
              <w:rPr>
                <w:color w:val="FF0000"/>
                <w:sz w:val="20"/>
                <w:szCs w:val="20"/>
              </w:rPr>
              <w:t>(4,227)</w:t>
            </w:r>
          </w:p>
        </w:tc>
        <w:tc>
          <w:tcPr>
            <w:tcW w:w="1559" w:type="dxa"/>
            <w:tcBorders>
              <w:top w:val="nil"/>
              <w:left w:val="nil"/>
              <w:bottom w:val="single" w:sz="8" w:space="0" w:color="auto"/>
              <w:right w:val="nil"/>
            </w:tcBorders>
            <w:shd w:val="clear" w:color="auto" w:fill="auto"/>
            <w:vAlign w:val="center"/>
            <w:hideMark/>
          </w:tcPr>
          <w:p w:rsidR="006A1ADD" w:rsidRDefault="006A1ADD" w:rsidP="006A1ADD">
            <w:pPr>
              <w:jc w:val="right"/>
              <w:rPr>
                <w:sz w:val="20"/>
                <w:szCs w:val="20"/>
              </w:rPr>
            </w:pPr>
            <w:r>
              <w:rPr>
                <w:color w:val="FF0000"/>
                <w:sz w:val="20"/>
                <w:szCs w:val="20"/>
              </w:rPr>
              <w:t>(9)</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rsidR="006A1ADD" w:rsidRDefault="006A1ADD" w:rsidP="006A1ADD">
            <w:pPr>
              <w:jc w:val="right"/>
              <w:rPr>
                <w:sz w:val="20"/>
                <w:szCs w:val="20"/>
              </w:rPr>
            </w:pPr>
            <w:r>
              <w:rPr>
                <w:color w:val="FF0000"/>
                <w:sz w:val="20"/>
                <w:szCs w:val="20"/>
              </w:rPr>
              <w:t>(19)</w:t>
            </w:r>
          </w:p>
        </w:tc>
        <w:tc>
          <w:tcPr>
            <w:tcW w:w="1842" w:type="dxa"/>
            <w:tcBorders>
              <w:top w:val="nil"/>
              <w:left w:val="nil"/>
              <w:bottom w:val="single" w:sz="8" w:space="0" w:color="auto"/>
              <w:right w:val="single" w:sz="8" w:space="0" w:color="auto"/>
            </w:tcBorders>
            <w:shd w:val="clear" w:color="auto" w:fill="auto"/>
            <w:vAlign w:val="center"/>
            <w:hideMark/>
          </w:tcPr>
          <w:p w:rsidR="006A1ADD" w:rsidRDefault="006A1ADD" w:rsidP="006A1ADD">
            <w:pPr>
              <w:jc w:val="right"/>
              <w:rPr>
                <w:sz w:val="20"/>
                <w:szCs w:val="20"/>
              </w:rPr>
            </w:pPr>
            <w:r>
              <w:rPr>
                <w:color w:val="FF0000"/>
                <w:sz w:val="20"/>
                <w:szCs w:val="20"/>
              </w:rPr>
              <w:t>(10)</w:t>
            </w:r>
          </w:p>
        </w:tc>
        <w:tc>
          <w:tcPr>
            <w:tcW w:w="2400" w:type="dxa"/>
            <w:tcBorders>
              <w:top w:val="nil"/>
              <w:left w:val="single" w:sz="4" w:space="0" w:color="auto"/>
              <w:bottom w:val="single" w:sz="8" w:space="0" w:color="auto"/>
              <w:right w:val="single" w:sz="4" w:space="0" w:color="auto"/>
            </w:tcBorders>
            <w:shd w:val="clear" w:color="auto" w:fill="auto"/>
            <w:vAlign w:val="center"/>
            <w:hideMark/>
          </w:tcPr>
          <w:p w:rsidR="006A1ADD" w:rsidRDefault="006A1ADD" w:rsidP="006A1ADD">
            <w:pPr>
              <w:jc w:val="right"/>
              <w:rPr>
                <w:sz w:val="20"/>
                <w:szCs w:val="20"/>
              </w:rPr>
            </w:pPr>
            <w:r>
              <w:rPr>
                <w:sz w:val="20"/>
                <w:szCs w:val="20"/>
              </w:rPr>
              <w:t>21</w:t>
            </w:r>
          </w:p>
        </w:tc>
      </w:tr>
      <w:tr w:rsidR="006A1ADD" w:rsidRPr="00DC1793" w:rsidTr="003C4364">
        <w:trPr>
          <w:trHeight w:val="315"/>
        </w:trPr>
        <w:tc>
          <w:tcPr>
            <w:tcW w:w="4394" w:type="dxa"/>
            <w:tcBorders>
              <w:top w:val="nil"/>
              <w:left w:val="single" w:sz="8" w:space="0" w:color="auto"/>
              <w:bottom w:val="single" w:sz="8" w:space="0" w:color="auto"/>
              <w:right w:val="single" w:sz="8" w:space="0" w:color="auto"/>
            </w:tcBorders>
            <w:shd w:val="clear" w:color="000000" w:fill="8DB3E2" w:themeFill="text2" w:themeFillTint="66"/>
            <w:vAlign w:val="center"/>
            <w:hideMark/>
          </w:tcPr>
          <w:p w:rsidR="006A1ADD" w:rsidRPr="00DC1793" w:rsidRDefault="006A1ADD" w:rsidP="006A1ADD">
            <w:pPr>
              <w:jc w:val="right"/>
              <w:rPr>
                <w:b/>
                <w:bCs/>
                <w:color w:val="000000"/>
                <w:sz w:val="20"/>
                <w:szCs w:val="20"/>
                <w:lang w:eastAsia="en-GB"/>
              </w:rPr>
            </w:pPr>
            <w:r w:rsidRPr="00DC1793">
              <w:rPr>
                <w:b/>
                <w:bCs/>
                <w:color w:val="000000"/>
                <w:sz w:val="20"/>
                <w:szCs w:val="20"/>
                <w:lang w:eastAsia="en-GB"/>
              </w:rPr>
              <w:t>Total COO</w:t>
            </w:r>
          </w:p>
        </w:tc>
        <w:tc>
          <w:tcPr>
            <w:tcW w:w="1418" w:type="dxa"/>
            <w:tcBorders>
              <w:top w:val="nil"/>
              <w:left w:val="nil"/>
              <w:bottom w:val="single" w:sz="8" w:space="0" w:color="auto"/>
              <w:right w:val="single" w:sz="8" w:space="0" w:color="auto"/>
            </w:tcBorders>
            <w:shd w:val="clear" w:color="000000" w:fill="8DB3E2" w:themeFill="text2" w:themeFillTint="66"/>
            <w:vAlign w:val="center"/>
            <w:hideMark/>
          </w:tcPr>
          <w:p w:rsidR="006A1ADD" w:rsidRDefault="006A1ADD" w:rsidP="006A1ADD">
            <w:pPr>
              <w:jc w:val="right"/>
              <w:rPr>
                <w:b/>
                <w:bCs/>
                <w:sz w:val="20"/>
                <w:szCs w:val="20"/>
              </w:rPr>
            </w:pPr>
            <w:r>
              <w:rPr>
                <w:b/>
                <w:bCs/>
                <w:color w:val="FF0000"/>
                <w:sz w:val="20"/>
                <w:szCs w:val="20"/>
              </w:rPr>
              <w:t>(15,035)</w:t>
            </w:r>
          </w:p>
        </w:tc>
        <w:tc>
          <w:tcPr>
            <w:tcW w:w="1559" w:type="dxa"/>
            <w:tcBorders>
              <w:top w:val="nil"/>
              <w:left w:val="nil"/>
              <w:bottom w:val="single" w:sz="8" w:space="0" w:color="auto"/>
              <w:right w:val="nil"/>
            </w:tcBorders>
            <w:shd w:val="clear" w:color="000000" w:fill="8DB3E2" w:themeFill="text2" w:themeFillTint="66"/>
            <w:vAlign w:val="center"/>
            <w:hideMark/>
          </w:tcPr>
          <w:p w:rsidR="006A1ADD" w:rsidRDefault="006A1ADD" w:rsidP="006A1ADD">
            <w:pPr>
              <w:jc w:val="right"/>
              <w:rPr>
                <w:b/>
                <w:bCs/>
                <w:sz w:val="20"/>
                <w:szCs w:val="20"/>
              </w:rPr>
            </w:pPr>
            <w:r>
              <w:rPr>
                <w:b/>
                <w:bCs/>
                <w:color w:val="FF0000"/>
                <w:sz w:val="20"/>
                <w:szCs w:val="20"/>
              </w:rPr>
              <w:t>(1,036)</w:t>
            </w:r>
          </w:p>
        </w:tc>
        <w:tc>
          <w:tcPr>
            <w:tcW w:w="1985" w:type="dxa"/>
            <w:tcBorders>
              <w:top w:val="nil"/>
              <w:left w:val="single" w:sz="4" w:space="0" w:color="auto"/>
              <w:bottom w:val="single" w:sz="8" w:space="0" w:color="auto"/>
              <w:right w:val="single" w:sz="4" w:space="0" w:color="auto"/>
            </w:tcBorders>
            <w:shd w:val="clear" w:color="000000" w:fill="8DB3E2" w:themeFill="text2" w:themeFillTint="66"/>
            <w:vAlign w:val="center"/>
            <w:hideMark/>
          </w:tcPr>
          <w:p w:rsidR="006A1ADD" w:rsidRDefault="006A1ADD" w:rsidP="006A1ADD">
            <w:pPr>
              <w:jc w:val="right"/>
              <w:rPr>
                <w:b/>
                <w:bCs/>
                <w:sz w:val="20"/>
                <w:szCs w:val="20"/>
              </w:rPr>
            </w:pPr>
            <w:r>
              <w:rPr>
                <w:b/>
                <w:bCs/>
                <w:color w:val="FF0000"/>
                <w:sz w:val="20"/>
                <w:szCs w:val="20"/>
              </w:rPr>
              <w:t>(226)</w:t>
            </w:r>
          </w:p>
        </w:tc>
        <w:tc>
          <w:tcPr>
            <w:tcW w:w="1842" w:type="dxa"/>
            <w:tcBorders>
              <w:top w:val="nil"/>
              <w:left w:val="nil"/>
              <w:bottom w:val="single" w:sz="8" w:space="0" w:color="auto"/>
              <w:right w:val="single" w:sz="8" w:space="0" w:color="auto"/>
            </w:tcBorders>
            <w:shd w:val="clear" w:color="000000" w:fill="8DB3E2" w:themeFill="text2" w:themeFillTint="66"/>
            <w:vAlign w:val="center"/>
            <w:hideMark/>
          </w:tcPr>
          <w:p w:rsidR="006A1ADD" w:rsidRDefault="006A1ADD" w:rsidP="006A1ADD">
            <w:pPr>
              <w:jc w:val="right"/>
              <w:rPr>
                <w:b/>
                <w:bCs/>
                <w:sz w:val="20"/>
                <w:szCs w:val="20"/>
              </w:rPr>
            </w:pPr>
            <w:r>
              <w:rPr>
                <w:b/>
                <w:bCs/>
                <w:sz w:val="20"/>
                <w:szCs w:val="20"/>
              </w:rPr>
              <w:t>810</w:t>
            </w:r>
          </w:p>
        </w:tc>
        <w:tc>
          <w:tcPr>
            <w:tcW w:w="2400" w:type="dxa"/>
            <w:tcBorders>
              <w:top w:val="nil"/>
              <w:left w:val="single" w:sz="4" w:space="0" w:color="auto"/>
              <w:bottom w:val="single" w:sz="8" w:space="0" w:color="auto"/>
              <w:right w:val="single" w:sz="4" w:space="0" w:color="auto"/>
            </w:tcBorders>
            <w:shd w:val="clear" w:color="000000" w:fill="8DB3E2" w:themeFill="text2" w:themeFillTint="66"/>
            <w:vAlign w:val="center"/>
            <w:hideMark/>
          </w:tcPr>
          <w:p w:rsidR="006A1ADD" w:rsidRDefault="006A1ADD" w:rsidP="006A1ADD">
            <w:pPr>
              <w:jc w:val="right"/>
              <w:rPr>
                <w:b/>
                <w:bCs/>
                <w:sz w:val="20"/>
                <w:szCs w:val="20"/>
              </w:rPr>
            </w:pPr>
            <w:r>
              <w:rPr>
                <w:b/>
                <w:bCs/>
                <w:color w:val="FF0000"/>
                <w:sz w:val="20"/>
                <w:szCs w:val="20"/>
              </w:rPr>
              <w:t>(676)</w:t>
            </w:r>
          </w:p>
        </w:tc>
      </w:tr>
      <w:tr w:rsidR="006A1ADD" w:rsidRPr="00DC1793" w:rsidTr="003C4364">
        <w:trPr>
          <w:trHeight w:val="300"/>
        </w:trPr>
        <w:tc>
          <w:tcPr>
            <w:tcW w:w="4394" w:type="dxa"/>
            <w:tcBorders>
              <w:top w:val="nil"/>
              <w:left w:val="single" w:sz="8" w:space="0" w:color="auto"/>
              <w:bottom w:val="single" w:sz="4" w:space="0" w:color="auto"/>
              <w:right w:val="single" w:sz="8" w:space="0" w:color="auto"/>
            </w:tcBorders>
            <w:shd w:val="clear" w:color="auto" w:fill="auto"/>
            <w:vAlign w:val="center"/>
            <w:hideMark/>
          </w:tcPr>
          <w:p w:rsidR="006A1ADD" w:rsidRPr="00DC1793" w:rsidRDefault="006A1ADD" w:rsidP="006A1ADD">
            <w:pPr>
              <w:jc w:val="both"/>
              <w:rPr>
                <w:b/>
                <w:bCs/>
                <w:color w:val="000000"/>
                <w:sz w:val="20"/>
                <w:szCs w:val="20"/>
                <w:lang w:eastAsia="en-GB"/>
              </w:rPr>
            </w:pPr>
            <w:r w:rsidRPr="00DC1793">
              <w:rPr>
                <w:b/>
                <w:bCs/>
                <w:color w:val="000000"/>
                <w:sz w:val="20"/>
                <w:szCs w:val="20"/>
                <w:lang w:eastAsia="en-GB"/>
              </w:rPr>
              <w:t>PCMH:</w:t>
            </w:r>
          </w:p>
        </w:tc>
        <w:tc>
          <w:tcPr>
            <w:tcW w:w="1418" w:type="dxa"/>
            <w:tcBorders>
              <w:top w:val="nil"/>
              <w:left w:val="nil"/>
              <w:bottom w:val="single" w:sz="4" w:space="0" w:color="auto"/>
              <w:right w:val="single" w:sz="8" w:space="0" w:color="auto"/>
            </w:tcBorders>
            <w:shd w:val="clear" w:color="auto" w:fill="auto"/>
            <w:vAlign w:val="center"/>
            <w:hideMark/>
          </w:tcPr>
          <w:p w:rsidR="006A1ADD" w:rsidRDefault="006A1ADD" w:rsidP="006A1ADD">
            <w:pPr>
              <w:jc w:val="right"/>
              <w:rPr>
                <w:b/>
                <w:bCs/>
                <w:sz w:val="20"/>
                <w:szCs w:val="20"/>
              </w:rPr>
            </w:pPr>
            <w:r>
              <w:rPr>
                <w:b/>
                <w:bCs/>
                <w:sz w:val="20"/>
                <w:szCs w:val="20"/>
              </w:rPr>
              <w:t> </w:t>
            </w:r>
          </w:p>
        </w:tc>
        <w:tc>
          <w:tcPr>
            <w:tcW w:w="1559" w:type="dxa"/>
            <w:tcBorders>
              <w:top w:val="nil"/>
              <w:left w:val="nil"/>
              <w:bottom w:val="single" w:sz="4" w:space="0" w:color="auto"/>
              <w:right w:val="nil"/>
            </w:tcBorders>
            <w:shd w:val="clear" w:color="auto" w:fill="auto"/>
            <w:vAlign w:val="center"/>
            <w:hideMark/>
          </w:tcPr>
          <w:p w:rsidR="006A1ADD" w:rsidRDefault="006A1ADD" w:rsidP="006A1ADD">
            <w:pPr>
              <w:jc w:val="right"/>
              <w:rPr>
                <w:b/>
                <w:bCs/>
                <w:sz w:val="20"/>
                <w:szCs w:val="20"/>
              </w:rPr>
            </w:pPr>
            <w:r>
              <w:rPr>
                <w:b/>
                <w:bCs/>
                <w:sz w:val="20"/>
                <w:szCs w:val="20"/>
              </w:rPr>
              <w:t> </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rsidR="006A1ADD" w:rsidRDefault="006A1ADD" w:rsidP="006A1ADD">
            <w:pPr>
              <w:jc w:val="right"/>
              <w:rPr>
                <w:b/>
                <w:bCs/>
                <w:sz w:val="20"/>
                <w:szCs w:val="20"/>
              </w:rPr>
            </w:pPr>
            <w:r>
              <w:rPr>
                <w:b/>
                <w:bCs/>
                <w:sz w:val="20"/>
                <w:szCs w:val="20"/>
              </w:rPr>
              <w:t> </w:t>
            </w:r>
          </w:p>
        </w:tc>
        <w:tc>
          <w:tcPr>
            <w:tcW w:w="1842" w:type="dxa"/>
            <w:tcBorders>
              <w:top w:val="nil"/>
              <w:left w:val="nil"/>
              <w:bottom w:val="single" w:sz="4" w:space="0" w:color="auto"/>
              <w:right w:val="single" w:sz="8" w:space="0" w:color="auto"/>
            </w:tcBorders>
            <w:shd w:val="clear" w:color="auto" w:fill="auto"/>
            <w:vAlign w:val="center"/>
            <w:hideMark/>
          </w:tcPr>
          <w:p w:rsidR="006A1ADD" w:rsidRDefault="006A1ADD" w:rsidP="006A1ADD">
            <w:pPr>
              <w:jc w:val="right"/>
              <w:rPr>
                <w:b/>
                <w:bCs/>
                <w:sz w:val="20"/>
                <w:szCs w:val="20"/>
              </w:rPr>
            </w:pPr>
            <w:r>
              <w:rPr>
                <w:b/>
                <w:bCs/>
                <w:sz w:val="20"/>
                <w:szCs w:val="20"/>
              </w:rPr>
              <w:t> </w:t>
            </w:r>
          </w:p>
        </w:tc>
        <w:tc>
          <w:tcPr>
            <w:tcW w:w="2400" w:type="dxa"/>
            <w:tcBorders>
              <w:top w:val="nil"/>
              <w:left w:val="single" w:sz="4" w:space="0" w:color="auto"/>
              <w:bottom w:val="single" w:sz="4" w:space="0" w:color="auto"/>
              <w:right w:val="single" w:sz="4" w:space="0" w:color="auto"/>
            </w:tcBorders>
            <w:shd w:val="clear" w:color="auto" w:fill="auto"/>
            <w:vAlign w:val="center"/>
            <w:hideMark/>
          </w:tcPr>
          <w:p w:rsidR="006A1ADD" w:rsidRDefault="006A1ADD" w:rsidP="006A1ADD">
            <w:pPr>
              <w:jc w:val="right"/>
              <w:rPr>
                <w:b/>
                <w:bCs/>
                <w:sz w:val="20"/>
                <w:szCs w:val="20"/>
              </w:rPr>
            </w:pPr>
            <w:r>
              <w:rPr>
                <w:b/>
                <w:bCs/>
                <w:sz w:val="20"/>
                <w:szCs w:val="20"/>
              </w:rPr>
              <w:t> </w:t>
            </w:r>
          </w:p>
        </w:tc>
      </w:tr>
      <w:tr w:rsidR="006A1ADD" w:rsidRPr="00DC1793" w:rsidTr="003C4364">
        <w:trPr>
          <w:trHeight w:val="300"/>
        </w:trPr>
        <w:tc>
          <w:tcPr>
            <w:tcW w:w="4394" w:type="dxa"/>
            <w:tcBorders>
              <w:top w:val="nil"/>
              <w:left w:val="single" w:sz="8" w:space="0" w:color="auto"/>
              <w:bottom w:val="single" w:sz="4" w:space="0" w:color="auto"/>
              <w:right w:val="single" w:sz="8" w:space="0" w:color="auto"/>
            </w:tcBorders>
            <w:shd w:val="clear" w:color="auto" w:fill="auto"/>
            <w:vAlign w:val="center"/>
            <w:hideMark/>
          </w:tcPr>
          <w:p w:rsidR="006A1ADD" w:rsidRPr="00DC1793" w:rsidRDefault="006A1ADD" w:rsidP="006A1ADD">
            <w:pPr>
              <w:rPr>
                <w:color w:val="000000"/>
                <w:sz w:val="20"/>
                <w:szCs w:val="20"/>
                <w:lang w:eastAsia="en-GB"/>
              </w:rPr>
            </w:pPr>
            <w:r w:rsidRPr="00DC1793">
              <w:rPr>
                <w:color w:val="000000"/>
                <w:sz w:val="20"/>
                <w:szCs w:val="20"/>
                <w:lang w:eastAsia="en-GB"/>
              </w:rPr>
              <w:t>Primary Care, Children &amp; Community</w:t>
            </w:r>
          </w:p>
        </w:tc>
        <w:tc>
          <w:tcPr>
            <w:tcW w:w="1418" w:type="dxa"/>
            <w:tcBorders>
              <w:top w:val="nil"/>
              <w:left w:val="nil"/>
              <w:bottom w:val="single" w:sz="4" w:space="0" w:color="auto"/>
              <w:right w:val="single" w:sz="8" w:space="0" w:color="auto"/>
            </w:tcBorders>
            <w:shd w:val="clear" w:color="auto" w:fill="auto"/>
            <w:vAlign w:val="center"/>
            <w:hideMark/>
          </w:tcPr>
          <w:p w:rsidR="006A1ADD" w:rsidRDefault="006A1ADD" w:rsidP="006A1ADD">
            <w:pPr>
              <w:jc w:val="right"/>
              <w:rPr>
                <w:sz w:val="20"/>
                <w:szCs w:val="20"/>
              </w:rPr>
            </w:pPr>
            <w:r>
              <w:rPr>
                <w:color w:val="FF0000"/>
                <w:sz w:val="20"/>
                <w:szCs w:val="20"/>
              </w:rPr>
              <w:t>(15,792)</w:t>
            </w:r>
          </w:p>
        </w:tc>
        <w:tc>
          <w:tcPr>
            <w:tcW w:w="1559" w:type="dxa"/>
            <w:tcBorders>
              <w:top w:val="nil"/>
              <w:left w:val="nil"/>
              <w:bottom w:val="single" w:sz="4" w:space="0" w:color="auto"/>
              <w:right w:val="nil"/>
            </w:tcBorders>
            <w:shd w:val="clear" w:color="auto" w:fill="auto"/>
            <w:vAlign w:val="center"/>
            <w:hideMark/>
          </w:tcPr>
          <w:p w:rsidR="006A1ADD" w:rsidRDefault="006A1ADD" w:rsidP="006A1ADD">
            <w:pPr>
              <w:jc w:val="right"/>
              <w:rPr>
                <w:sz w:val="20"/>
                <w:szCs w:val="20"/>
              </w:rPr>
            </w:pPr>
            <w:r>
              <w:rPr>
                <w:color w:val="FF0000"/>
                <w:sz w:val="20"/>
                <w:szCs w:val="20"/>
              </w:rPr>
              <w:t>(28)</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rsidR="006A1ADD" w:rsidRDefault="006A1ADD" w:rsidP="006A1ADD">
            <w:pPr>
              <w:jc w:val="right"/>
              <w:rPr>
                <w:sz w:val="20"/>
                <w:szCs w:val="20"/>
              </w:rPr>
            </w:pPr>
            <w:r>
              <w:rPr>
                <w:color w:val="FF0000"/>
                <w:sz w:val="20"/>
                <w:szCs w:val="20"/>
              </w:rPr>
              <w:t>(952)</w:t>
            </w:r>
          </w:p>
        </w:tc>
        <w:tc>
          <w:tcPr>
            <w:tcW w:w="1842" w:type="dxa"/>
            <w:tcBorders>
              <w:top w:val="nil"/>
              <w:left w:val="nil"/>
              <w:bottom w:val="single" w:sz="4" w:space="0" w:color="auto"/>
              <w:right w:val="single" w:sz="8" w:space="0" w:color="auto"/>
            </w:tcBorders>
            <w:shd w:val="clear" w:color="auto" w:fill="auto"/>
            <w:vAlign w:val="center"/>
            <w:hideMark/>
          </w:tcPr>
          <w:p w:rsidR="006A1ADD" w:rsidRDefault="006A1ADD" w:rsidP="006A1ADD">
            <w:pPr>
              <w:jc w:val="right"/>
              <w:rPr>
                <w:sz w:val="20"/>
                <w:szCs w:val="20"/>
              </w:rPr>
            </w:pPr>
            <w:r>
              <w:rPr>
                <w:color w:val="FF0000"/>
                <w:sz w:val="20"/>
                <w:szCs w:val="20"/>
              </w:rPr>
              <w:t>(924)</w:t>
            </w:r>
          </w:p>
        </w:tc>
        <w:tc>
          <w:tcPr>
            <w:tcW w:w="2400" w:type="dxa"/>
            <w:tcBorders>
              <w:top w:val="nil"/>
              <w:left w:val="single" w:sz="4" w:space="0" w:color="auto"/>
              <w:bottom w:val="single" w:sz="4" w:space="0" w:color="auto"/>
              <w:right w:val="single" w:sz="4" w:space="0" w:color="auto"/>
            </w:tcBorders>
            <w:shd w:val="clear" w:color="auto" w:fill="auto"/>
            <w:vAlign w:val="center"/>
            <w:hideMark/>
          </w:tcPr>
          <w:p w:rsidR="006A1ADD" w:rsidRDefault="006A1ADD" w:rsidP="006A1ADD">
            <w:pPr>
              <w:jc w:val="right"/>
              <w:rPr>
                <w:sz w:val="20"/>
                <w:szCs w:val="20"/>
              </w:rPr>
            </w:pPr>
            <w:r>
              <w:rPr>
                <w:color w:val="FF0000"/>
                <w:sz w:val="20"/>
                <w:szCs w:val="20"/>
              </w:rPr>
              <w:t>(395)</w:t>
            </w:r>
          </w:p>
        </w:tc>
      </w:tr>
      <w:tr w:rsidR="006A1ADD" w:rsidRPr="00F5405E" w:rsidTr="003C4364">
        <w:trPr>
          <w:trHeight w:val="300"/>
        </w:trPr>
        <w:tc>
          <w:tcPr>
            <w:tcW w:w="4394" w:type="dxa"/>
            <w:tcBorders>
              <w:top w:val="nil"/>
              <w:left w:val="single" w:sz="8" w:space="0" w:color="auto"/>
              <w:bottom w:val="single" w:sz="4" w:space="0" w:color="auto"/>
              <w:right w:val="single" w:sz="8" w:space="0" w:color="auto"/>
            </w:tcBorders>
            <w:shd w:val="clear" w:color="auto" w:fill="auto"/>
            <w:vAlign w:val="center"/>
            <w:hideMark/>
          </w:tcPr>
          <w:p w:rsidR="006A1ADD" w:rsidRPr="00F5405E" w:rsidRDefault="006A1ADD" w:rsidP="006A1ADD">
            <w:pPr>
              <w:jc w:val="both"/>
              <w:rPr>
                <w:color w:val="000000"/>
                <w:sz w:val="20"/>
                <w:szCs w:val="20"/>
                <w:lang w:eastAsia="en-GB"/>
              </w:rPr>
            </w:pPr>
            <w:r w:rsidRPr="00F5405E">
              <w:rPr>
                <w:color w:val="000000"/>
                <w:sz w:val="20"/>
                <w:szCs w:val="20"/>
                <w:lang w:eastAsia="en-GB"/>
              </w:rPr>
              <w:t>Mental Health</w:t>
            </w:r>
          </w:p>
        </w:tc>
        <w:tc>
          <w:tcPr>
            <w:tcW w:w="1418" w:type="dxa"/>
            <w:tcBorders>
              <w:top w:val="nil"/>
              <w:left w:val="nil"/>
              <w:bottom w:val="single" w:sz="4" w:space="0" w:color="auto"/>
              <w:right w:val="single" w:sz="8" w:space="0" w:color="auto"/>
            </w:tcBorders>
            <w:shd w:val="clear" w:color="auto" w:fill="auto"/>
            <w:vAlign w:val="center"/>
            <w:hideMark/>
          </w:tcPr>
          <w:p w:rsidR="006A1ADD" w:rsidRDefault="006A1ADD" w:rsidP="006A1ADD">
            <w:pPr>
              <w:jc w:val="right"/>
              <w:rPr>
                <w:sz w:val="20"/>
                <w:szCs w:val="20"/>
              </w:rPr>
            </w:pPr>
            <w:r>
              <w:rPr>
                <w:color w:val="FF0000"/>
                <w:sz w:val="20"/>
                <w:szCs w:val="20"/>
              </w:rPr>
              <w:t>(4,744)</w:t>
            </w:r>
          </w:p>
        </w:tc>
        <w:tc>
          <w:tcPr>
            <w:tcW w:w="1559" w:type="dxa"/>
            <w:tcBorders>
              <w:top w:val="nil"/>
              <w:left w:val="nil"/>
              <w:bottom w:val="single" w:sz="4" w:space="0" w:color="auto"/>
              <w:right w:val="nil"/>
            </w:tcBorders>
            <w:shd w:val="clear" w:color="auto" w:fill="auto"/>
            <w:vAlign w:val="center"/>
            <w:hideMark/>
          </w:tcPr>
          <w:p w:rsidR="006A1ADD" w:rsidRDefault="006A1ADD" w:rsidP="006A1ADD">
            <w:pPr>
              <w:jc w:val="right"/>
              <w:rPr>
                <w:sz w:val="20"/>
                <w:szCs w:val="20"/>
              </w:rPr>
            </w:pPr>
            <w:r>
              <w:rPr>
                <w:color w:val="FF0000"/>
                <w:sz w:val="20"/>
                <w:szCs w:val="20"/>
              </w:rPr>
              <w:t>(69)</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rsidR="006A1ADD" w:rsidRDefault="006A1ADD" w:rsidP="006A1ADD">
            <w:pPr>
              <w:jc w:val="right"/>
              <w:rPr>
                <w:sz w:val="20"/>
                <w:szCs w:val="20"/>
              </w:rPr>
            </w:pPr>
            <w:r>
              <w:rPr>
                <w:color w:val="FF0000"/>
                <w:sz w:val="20"/>
                <w:szCs w:val="20"/>
              </w:rPr>
              <w:t>(13)</w:t>
            </w:r>
          </w:p>
        </w:tc>
        <w:tc>
          <w:tcPr>
            <w:tcW w:w="1842" w:type="dxa"/>
            <w:tcBorders>
              <w:top w:val="nil"/>
              <w:left w:val="nil"/>
              <w:bottom w:val="single" w:sz="4" w:space="0" w:color="auto"/>
              <w:right w:val="single" w:sz="8" w:space="0" w:color="auto"/>
            </w:tcBorders>
            <w:shd w:val="clear" w:color="auto" w:fill="auto"/>
            <w:vAlign w:val="center"/>
            <w:hideMark/>
          </w:tcPr>
          <w:p w:rsidR="006A1ADD" w:rsidRDefault="006A1ADD" w:rsidP="006A1ADD">
            <w:pPr>
              <w:jc w:val="right"/>
              <w:rPr>
                <w:sz w:val="20"/>
                <w:szCs w:val="20"/>
              </w:rPr>
            </w:pPr>
            <w:r>
              <w:rPr>
                <w:sz w:val="20"/>
                <w:szCs w:val="20"/>
              </w:rPr>
              <w:t>56</w:t>
            </w:r>
          </w:p>
        </w:tc>
        <w:tc>
          <w:tcPr>
            <w:tcW w:w="2400" w:type="dxa"/>
            <w:tcBorders>
              <w:top w:val="nil"/>
              <w:left w:val="single" w:sz="4" w:space="0" w:color="auto"/>
              <w:bottom w:val="single" w:sz="4" w:space="0" w:color="auto"/>
              <w:right w:val="single" w:sz="4" w:space="0" w:color="auto"/>
            </w:tcBorders>
            <w:shd w:val="clear" w:color="auto" w:fill="auto"/>
            <w:vAlign w:val="center"/>
            <w:hideMark/>
          </w:tcPr>
          <w:p w:rsidR="006A1ADD" w:rsidRDefault="006A1ADD" w:rsidP="006A1ADD">
            <w:pPr>
              <w:jc w:val="right"/>
              <w:rPr>
                <w:sz w:val="20"/>
                <w:szCs w:val="20"/>
              </w:rPr>
            </w:pPr>
            <w:r>
              <w:rPr>
                <w:sz w:val="20"/>
                <w:szCs w:val="20"/>
              </w:rPr>
              <w:t>26</w:t>
            </w:r>
          </w:p>
        </w:tc>
      </w:tr>
      <w:tr w:rsidR="006A1ADD" w:rsidRPr="00DC1793" w:rsidTr="003C4364">
        <w:trPr>
          <w:trHeight w:val="315"/>
        </w:trPr>
        <w:tc>
          <w:tcPr>
            <w:tcW w:w="4394" w:type="dxa"/>
            <w:tcBorders>
              <w:top w:val="nil"/>
              <w:left w:val="single" w:sz="8" w:space="0" w:color="auto"/>
              <w:bottom w:val="single" w:sz="8" w:space="0" w:color="auto"/>
              <w:right w:val="single" w:sz="8" w:space="0" w:color="auto"/>
            </w:tcBorders>
            <w:shd w:val="clear" w:color="auto" w:fill="auto"/>
            <w:vAlign w:val="center"/>
            <w:hideMark/>
          </w:tcPr>
          <w:p w:rsidR="006A1ADD" w:rsidRPr="00DC1793" w:rsidRDefault="006A1ADD" w:rsidP="006A1ADD">
            <w:pPr>
              <w:jc w:val="both"/>
              <w:rPr>
                <w:color w:val="000000"/>
                <w:sz w:val="20"/>
                <w:szCs w:val="20"/>
                <w:lang w:eastAsia="en-GB"/>
              </w:rPr>
            </w:pPr>
            <w:r w:rsidRPr="00DC1793">
              <w:rPr>
                <w:color w:val="000000"/>
                <w:sz w:val="20"/>
                <w:szCs w:val="20"/>
                <w:lang w:eastAsia="en-GB"/>
              </w:rPr>
              <w:t>Medicines Management</w:t>
            </w:r>
          </w:p>
        </w:tc>
        <w:tc>
          <w:tcPr>
            <w:tcW w:w="1418" w:type="dxa"/>
            <w:tcBorders>
              <w:top w:val="nil"/>
              <w:left w:val="nil"/>
              <w:bottom w:val="single" w:sz="8" w:space="0" w:color="auto"/>
              <w:right w:val="single" w:sz="8" w:space="0" w:color="auto"/>
            </w:tcBorders>
            <w:shd w:val="clear" w:color="auto" w:fill="auto"/>
            <w:vAlign w:val="center"/>
            <w:hideMark/>
          </w:tcPr>
          <w:p w:rsidR="006A1ADD" w:rsidRDefault="006A1ADD" w:rsidP="006A1ADD">
            <w:pPr>
              <w:jc w:val="right"/>
              <w:rPr>
                <w:sz w:val="20"/>
                <w:szCs w:val="20"/>
              </w:rPr>
            </w:pPr>
            <w:r>
              <w:rPr>
                <w:color w:val="FF0000"/>
                <w:sz w:val="20"/>
                <w:szCs w:val="20"/>
              </w:rPr>
              <w:t>(6,548)</w:t>
            </w:r>
          </w:p>
        </w:tc>
        <w:tc>
          <w:tcPr>
            <w:tcW w:w="1559" w:type="dxa"/>
            <w:tcBorders>
              <w:top w:val="nil"/>
              <w:left w:val="nil"/>
              <w:bottom w:val="single" w:sz="8" w:space="0" w:color="auto"/>
              <w:right w:val="nil"/>
            </w:tcBorders>
            <w:shd w:val="clear" w:color="auto" w:fill="auto"/>
            <w:vAlign w:val="center"/>
            <w:hideMark/>
          </w:tcPr>
          <w:p w:rsidR="006A1ADD" w:rsidRDefault="006A1ADD" w:rsidP="006A1ADD">
            <w:pPr>
              <w:jc w:val="right"/>
              <w:rPr>
                <w:sz w:val="20"/>
                <w:szCs w:val="20"/>
              </w:rPr>
            </w:pPr>
            <w:r>
              <w:rPr>
                <w:sz w:val="20"/>
                <w:szCs w:val="20"/>
              </w:rPr>
              <w:t>65</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rsidR="006A1ADD" w:rsidRDefault="006A1ADD" w:rsidP="006A1ADD">
            <w:pPr>
              <w:jc w:val="right"/>
              <w:rPr>
                <w:sz w:val="20"/>
                <w:szCs w:val="20"/>
              </w:rPr>
            </w:pPr>
            <w:r>
              <w:rPr>
                <w:color w:val="FF0000"/>
                <w:sz w:val="20"/>
                <w:szCs w:val="20"/>
              </w:rPr>
              <w:t>(25)</w:t>
            </w:r>
          </w:p>
        </w:tc>
        <w:tc>
          <w:tcPr>
            <w:tcW w:w="1842" w:type="dxa"/>
            <w:tcBorders>
              <w:top w:val="nil"/>
              <w:left w:val="nil"/>
              <w:bottom w:val="single" w:sz="8" w:space="0" w:color="auto"/>
              <w:right w:val="single" w:sz="8" w:space="0" w:color="auto"/>
            </w:tcBorders>
            <w:shd w:val="clear" w:color="auto" w:fill="auto"/>
            <w:vAlign w:val="center"/>
            <w:hideMark/>
          </w:tcPr>
          <w:p w:rsidR="006A1ADD" w:rsidRDefault="006A1ADD" w:rsidP="006A1ADD">
            <w:pPr>
              <w:jc w:val="right"/>
              <w:rPr>
                <w:sz w:val="20"/>
                <w:szCs w:val="20"/>
              </w:rPr>
            </w:pPr>
            <w:r>
              <w:rPr>
                <w:color w:val="FF0000"/>
                <w:sz w:val="20"/>
                <w:szCs w:val="20"/>
              </w:rPr>
              <w:t>(90)</w:t>
            </w:r>
          </w:p>
        </w:tc>
        <w:tc>
          <w:tcPr>
            <w:tcW w:w="2400" w:type="dxa"/>
            <w:tcBorders>
              <w:top w:val="nil"/>
              <w:left w:val="single" w:sz="4" w:space="0" w:color="auto"/>
              <w:bottom w:val="single" w:sz="8" w:space="0" w:color="auto"/>
              <w:right w:val="single" w:sz="4" w:space="0" w:color="auto"/>
            </w:tcBorders>
            <w:shd w:val="clear" w:color="auto" w:fill="auto"/>
            <w:vAlign w:val="center"/>
            <w:hideMark/>
          </w:tcPr>
          <w:p w:rsidR="006A1ADD" w:rsidRDefault="006A1ADD" w:rsidP="006A1ADD">
            <w:pPr>
              <w:jc w:val="right"/>
              <w:rPr>
                <w:sz w:val="20"/>
                <w:szCs w:val="20"/>
              </w:rPr>
            </w:pPr>
            <w:r>
              <w:rPr>
                <w:color w:val="FF0000"/>
                <w:sz w:val="20"/>
                <w:szCs w:val="20"/>
              </w:rPr>
              <w:t>(118)</w:t>
            </w:r>
          </w:p>
        </w:tc>
      </w:tr>
      <w:tr w:rsidR="006A1ADD" w:rsidRPr="00DC1793" w:rsidTr="003C4364">
        <w:trPr>
          <w:trHeight w:val="315"/>
        </w:trPr>
        <w:tc>
          <w:tcPr>
            <w:tcW w:w="4394" w:type="dxa"/>
            <w:tcBorders>
              <w:top w:val="nil"/>
              <w:left w:val="single" w:sz="8" w:space="0" w:color="auto"/>
              <w:bottom w:val="single" w:sz="8" w:space="0" w:color="auto"/>
              <w:right w:val="single" w:sz="8" w:space="0" w:color="auto"/>
            </w:tcBorders>
            <w:shd w:val="clear" w:color="000000" w:fill="8DB3E2" w:themeFill="text2" w:themeFillTint="66"/>
            <w:vAlign w:val="center"/>
            <w:hideMark/>
          </w:tcPr>
          <w:p w:rsidR="006A1ADD" w:rsidRPr="00DC1793" w:rsidRDefault="006A1ADD" w:rsidP="006A1ADD">
            <w:pPr>
              <w:jc w:val="right"/>
              <w:rPr>
                <w:b/>
                <w:bCs/>
                <w:color w:val="000000"/>
                <w:sz w:val="20"/>
                <w:szCs w:val="20"/>
                <w:lang w:eastAsia="en-GB"/>
              </w:rPr>
            </w:pPr>
            <w:r w:rsidRPr="00DC1793">
              <w:rPr>
                <w:b/>
                <w:bCs/>
                <w:color w:val="000000"/>
                <w:sz w:val="20"/>
                <w:szCs w:val="20"/>
                <w:lang w:eastAsia="en-GB"/>
              </w:rPr>
              <w:t>Total PCMH</w:t>
            </w:r>
          </w:p>
        </w:tc>
        <w:tc>
          <w:tcPr>
            <w:tcW w:w="1418" w:type="dxa"/>
            <w:tcBorders>
              <w:top w:val="nil"/>
              <w:left w:val="nil"/>
              <w:bottom w:val="single" w:sz="8" w:space="0" w:color="auto"/>
              <w:right w:val="single" w:sz="8" w:space="0" w:color="auto"/>
            </w:tcBorders>
            <w:shd w:val="clear" w:color="000000" w:fill="8DB3E2" w:themeFill="text2" w:themeFillTint="66"/>
            <w:vAlign w:val="center"/>
            <w:hideMark/>
          </w:tcPr>
          <w:p w:rsidR="006A1ADD" w:rsidRDefault="006A1ADD" w:rsidP="006A1ADD">
            <w:pPr>
              <w:jc w:val="right"/>
              <w:rPr>
                <w:b/>
                <w:bCs/>
                <w:sz w:val="20"/>
                <w:szCs w:val="20"/>
              </w:rPr>
            </w:pPr>
            <w:r>
              <w:rPr>
                <w:b/>
                <w:bCs/>
                <w:color w:val="FF0000"/>
                <w:sz w:val="20"/>
                <w:szCs w:val="20"/>
              </w:rPr>
              <w:t>(27,084)</w:t>
            </w:r>
          </w:p>
        </w:tc>
        <w:tc>
          <w:tcPr>
            <w:tcW w:w="1559" w:type="dxa"/>
            <w:tcBorders>
              <w:top w:val="nil"/>
              <w:left w:val="nil"/>
              <w:bottom w:val="single" w:sz="8" w:space="0" w:color="auto"/>
              <w:right w:val="nil"/>
            </w:tcBorders>
            <w:shd w:val="clear" w:color="000000" w:fill="8DB3E2" w:themeFill="text2" w:themeFillTint="66"/>
            <w:vAlign w:val="center"/>
            <w:hideMark/>
          </w:tcPr>
          <w:p w:rsidR="006A1ADD" w:rsidRDefault="006A1ADD" w:rsidP="006A1ADD">
            <w:pPr>
              <w:jc w:val="right"/>
              <w:rPr>
                <w:b/>
                <w:bCs/>
                <w:sz w:val="20"/>
                <w:szCs w:val="20"/>
              </w:rPr>
            </w:pPr>
            <w:r>
              <w:rPr>
                <w:b/>
                <w:bCs/>
                <w:color w:val="FF0000"/>
                <w:sz w:val="20"/>
                <w:szCs w:val="20"/>
              </w:rPr>
              <w:t>(30)</w:t>
            </w:r>
          </w:p>
        </w:tc>
        <w:tc>
          <w:tcPr>
            <w:tcW w:w="1985" w:type="dxa"/>
            <w:tcBorders>
              <w:top w:val="nil"/>
              <w:left w:val="single" w:sz="4" w:space="0" w:color="auto"/>
              <w:bottom w:val="single" w:sz="8" w:space="0" w:color="auto"/>
              <w:right w:val="single" w:sz="4" w:space="0" w:color="auto"/>
            </w:tcBorders>
            <w:shd w:val="clear" w:color="000000" w:fill="8DB3E2" w:themeFill="text2" w:themeFillTint="66"/>
            <w:vAlign w:val="center"/>
            <w:hideMark/>
          </w:tcPr>
          <w:p w:rsidR="006A1ADD" w:rsidRDefault="006A1ADD" w:rsidP="006A1ADD">
            <w:pPr>
              <w:jc w:val="right"/>
              <w:rPr>
                <w:b/>
                <w:bCs/>
                <w:sz w:val="20"/>
                <w:szCs w:val="20"/>
              </w:rPr>
            </w:pPr>
            <w:r>
              <w:rPr>
                <w:b/>
                <w:bCs/>
                <w:color w:val="FF0000"/>
                <w:sz w:val="20"/>
                <w:szCs w:val="20"/>
              </w:rPr>
              <w:t>(990)</w:t>
            </w:r>
          </w:p>
        </w:tc>
        <w:tc>
          <w:tcPr>
            <w:tcW w:w="1842" w:type="dxa"/>
            <w:tcBorders>
              <w:top w:val="nil"/>
              <w:left w:val="nil"/>
              <w:bottom w:val="single" w:sz="8" w:space="0" w:color="auto"/>
              <w:right w:val="single" w:sz="8" w:space="0" w:color="auto"/>
            </w:tcBorders>
            <w:shd w:val="clear" w:color="000000" w:fill="8DB3E2" w:themeFill="text2" w:themeFillTint="66"/>
            <w:vAlign w:val="center"/>
            <w:hideMark/>
          </w:tcPr>
          <w:p w:rsidR="006A1ADD" w:rsidRDefault="006A1ADD" w:rsidP="006A1ADD">
            <w:pPr>
              <w:jc w:val="right"/>
              <w:rPr>
                <w:b/>
                <w:bCs/>
                <w:sz w:val="20"/>
                <w:szCs w:val="20"/>
              </w:rPr>
            </w:pPr>
            <w:r>
              <w:rPr>
                <w:b/>
                <w:bCs/>
                <w:color w:val="FF0000"/>
                <w:sz w:val="20"/>
                <w:szCs w:val="20"/>
              </w:rPr>
              <w:t>(957)</w:t>
            </w:r>
          </w:p>
        </w:tc>
        <w:tc>
          <w:tcPr>
            <w:tcW w:w="2400" w:type="dxa"/>
            <w:tcBorders>
              <w:top w:val="nil"/>
              <w:left w:val="single" w:sz="4" w:space="0" w:color="auto"/>
              <w:bottom w:val="single" w:sz="8" w:space="0" w:color="auto"/>
              <w:right w:val="single" w:sz="4" w:space="0" w:color="auto"/>
            </w:tcBorders>
            <w:shd w:val="clear" w:color="000000" w:fill="8DB3E2" w:themeFill="text2" w:themeFillTint="66"/>
            <w:vAlign w:val="center"/>
            <w:hideMark/>
          </w:tcPr>
          <w:p w:rsidR="006A1ADD" w:rsidRDefault="006A1ADD" w:rsidP="006A1ADD">
            <w:pPr>
              <w:jc w:val="right"/>
              <w:rPr>
                <w:b/>
                <w:bCs/>
                <w:sz w:val="20"/>
                <w:szCs w:val="20"/>
              </w:rPr>
            </w:pPr>
            <w:r>
              <w:rPr>
                <w:b/>
                <w:bCs/>
                <w:color w:val="FF0000"/>
                <w:sz w:val="20"/>
                <w:szCs w:val="20"/>
              </w:rPr>
              <w:t>(486)</w:t>
            </w:r>
          </w:p>
        </w:tc>
      </w:tr>
      <w:tr w:rsidR="006A1ADD" w:rsidRPr="00DC1793" w:rsidTr="003C4364">
        <w:trPr>
          <w:trHeight w:val="300"/>
        </w:trPr>
        <w:tc>
          <w:tcPr>
            <w:tcW w:w="4394"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6A1ADD" w:rsidRPr="00DC1793" w:rsidRDefault="006A1ADD" w:rsidP="006A1ADD">
            <w:pPr>
              <w:jc w:val="both"/>
              <w:rPr>
                <w:color w:val="000000"/>
                <w:sz w:val="20"/>
                <w:szCs w:val="20"/>
                <w:lang w:eastAsia="en-GB"/>
              </w:rPr>
            </w:pPr>
            <w:r w:rsidRPr="00DC1793">
              <w:rPr>
                <w:color w:val="000000"/>
                <w:sz w:val="20"/>
                <w:szCs w:val="20"/>
                <w:lang w:eastAsia="en-GB"/>
              </w:rPr>
              <w:t>Contracting &amp; Commissioning</w:t>
            </w:r>
          </w:p>
        </w:tc>
        <w:tc>
          <w:tcPr>
            <w:tcW w:w="1418" w:type="dxa"/>
            <w:tcBorders>
              <w:top w:val="single" w:sz="4" w:space="0" w:color="auto"/>
              <w:left w:val="nil"/>
              <w:bottom w:val="single" w:sz="4" w:space="0" w:color="auto"/>
              <w:right w:val="single" w:sz="8" w:space="0" w:color="auto"/>
            </w:tcBorders>
            <w:shd w:val="clear" w:color="auto" w:fill="auto"/>
            <w:vAlign w:val="center"/>
            <w:hideMark/>
          </w:tcPr>
          <w:p w:rsidR="006A1ADD" w:rsidRDefault="006A1ADD" w:rsidP="006A1ADD">
            <w:pPr>
              <w:jc w:val="right"/>
              <w:rPr>
                <w:sz w:val="20"/>
                <w:szCs w:val="20"/>
              </w:rPr>
            </w:pPr>
            <w:r>
              <w:rPr>
                <w:color w:val="FF0000"/>
                <w:sz w:val="20"/>
                <w:szCs w:val="20"/>
              </w:rPr>
              <w:t>(94,949)</w:t>
            </w:r>
          </w:p>
        </w:tc>
        <w:tc>
          <w:tcPr>
            <w:tcW w:w="1559" w:type="dxa"/>
            <w:tcBorders>
              <w:top w:val="single" w:sz="4" w:space="0" w:color="auto"/>
              <w:left w:val="nil"/>
              <w:bottom w:val="single" w:sz="4" w:space="0" w:color="auto"/>
              <w:right w:val="nil"/>
            </w:tcBorders>
            <w:shd w:val="clear" w:color="auto" w:fill="auto"/>
            <w:vAlign w:val="center"/>
            <w:hideMark/>
          </w:tcPr>
          <w:p w:rsidR="006A1ADD" w:rsidRDefault="006A1ADD" w:rsidP="006A1ADD">
            <w:pPr>
              <w:jc w:val="right"/>
              <w:rPr>
                <w:sz w:val="20"/>
                <w:szCs w:val="20"/>
              </w:rPr>
            </w:pPr>
            <w:r>
              <w:rPr>
                <w:sz w:val="20"/>
                <w:szCs w:val="20"/>
              </w:rPr>
              <w:t>440</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A1ADD" w:rsidRDefault="006A1ADD" w:rsidP="006A1ADD">
            <w:pPr>
              <w:jc w:val="right"/>
              <w:rPr>
                <w:sz w:val="20"/>
                <w:szCs w:val="20"/>
              </w:rPr>
            </w:pPr>
            <w:r>
              <w:rPr>
                <w:sz w:val="20"/>
                <w:szCs w:val="20"/>
              </w:rPr>
              <w:t>524</w:t>
            </w:r>
          </w:p>
        </w:tc>
        <w:tc>
          <w:tcPr>
            <w:tcW w:w="1842" w:type="dxa"/>
            <w:tcBorders>
              <w:top w:val="single" w:sz="4" w:space="0" w:color="auto"/>
              <w:left w:val="nil"/>
              <w:bottom w:val="single" w:sz="4" w:space="0" w:color="auto"/>
              <w:right w:val="single" w:sz="8" w:space="0" w:color="auto"/>
            </w:tcBorders>
            <w:shd w:val="clear" w:color="auto" w:fill="auto"/>
            <w:vAlign w:val="center"/>
            <w:hideMark/>
          </w:tcPr>
          <w:p w:rsidR="006A1ADD" w:rsidRDefault="006A1ADD" w:rsidP="006A1ADD">
            <w:pPr>
              <w:jc w:val="right"/>
              <w:rPr>
                <w:sz w:val="20"/>
                <w:szCs w:val="20"/>
              </w:rPr>
            </w:pPr>
            <w:r>
              <w:rPr>
                <w:sz w:val="20"/>
                <w:szCs w:val="20"/>
              </w:rPr>
              <w:t>84</w:t>
            </w:r>
          </w:p>
        </w:tc>
        <w:tc>
          <w:tcPr>
            <w:tcW w:w="24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A1ADD" w:rsidRDefault="006A1ADD" w:rsidP="006A1ADD">
            <w:pPr>
              <w:jc w:val="right"/>
              <w:rPr>
                <w:sz w:val="20"/>
                <w:szCs w:val="20"/>
              </w:rPr>
            </w:pPr>
            <w:r>
              <w:rPr>
                <w:sz w:val="20"/>
                <w:szCs w:val="20"/>
              </w:rPr>
              <w:t>2,114</w:t>
            </w:r>
          </w:p>
        </w:tc>
      </w:tr>
      <w:tr w:rsidR="006A1ADD" w:rsidRPr="00DC1793" w:rsidTr="003C4364">
        <w:trPr>
          <w:trHeight w:val="315"/>
        </w:trPr>
        <w:tc>
          <w:tcPr>
            <w:tcW w:w="4394" w:type="dxa"/>
            <w:tcBorders>
              <w:top w:val="nil"/>
              <w:left w:val="single" w:sz="8" w:space="0" w:color="auto"/>
              <w:bottom w:val="single" w:sz="8" w:space="0" w:color="auto"/>
              <w:right w:val="single" w:sz="8" w:space="0" w:color="auto"/>
            </w:tcBorders>
            <w:shd w:val="clear" w:color="auto" w:fill="auto"/>
            <w:vAlign w:val="center"/>
            <w:hideMark/>
          </w:tcPr>
          <w:p w:rsidR="006A1ADD" w:rsidRPr="00DC1793" w:rsidRDefault="006A1ADD" w:rsidP="006A1ADD">
            <w:pPr>
              <w:jc w:val="both"/>
              <w:rPr>
                <w:color w:val="000000"/>
                <w:sz w:val="20"/>
                <w:szCs w:val="20"/>
                <w:lang w:eastAsia="en-GB"/>
              </w:rPr>
            </w:pPr>
            <w:r w:rsidRPr="00DC1793">
              <w:rPr>
                <w:color w:val="000000"/>
                <w:sz w:val="20"/>
                <w:szCs w:val="20"/>
                <w:lang w:eastAsia="en-GB"/>
              </w:rPr>
              <w:t>Corporate Functions</w:t>
            </w:r>
          </w:p>
        </w:tc>
        <w:tc>
          <w:tcPr>
            <w:tcW w:w="1418" w:type="dxa"/>
            <w:tcBorders>
              <w:top w:val="nil"/>
              <w:left w:val="nil"/>
              <w:bottom w:val="single" w:sz="8" w:space="0" w:color="auto"/>
              <w:right w:val="single" w:sz="8" w:space="0" w:color="auto"/>
            </w:tcBorders>
            <w:shd w:val="clear" w:color="auto" w:fill="auto"/>
            <w:vAlign w:val="center"/>
            <w:hideMark/>
          </w:tcPr>
          <w:p w:rsidR="006A1ADD" w:rsidRDefault="006A1ADD" w:rsidP="006A1ADD">
            <w:pPr>
              <w:jc w:val="right"/>
              <w:rPr>
                <w:sz w:val="20"/>
                <w:szCs w:val="20"/>
              </w:rPr>
            </w:pPr>
            <w:r>
              <w:rPr>
                <w:color w:val="FF0000"/>
                <w:sz w:val="20"/>
                <w:szCs w:val="20"/>
              </w:rPr>
              <w:t>(5,617)</w:t>
            </w:r>
          </w:p>
        </w:tc>
        <w:tc>
          <w:tcPr>
            <w:tcW w:w="1559" w:type="dxa"/>
            <w:tcBorders>
              <w:top w:val="nil"/>
              <w:left w:val="nil"/>
              <w:bottom w:val="single" w:sz="8" w:space="0" w:color="auto"/>
              <w:right w:val="nil"/>
            </w:tcBorders>
            <w:shd w:val="clear" w:color="auto" w:fill="auto"/>
            <w:vAlign w:val="center"/>
            <w:hideMark/>
          </w:tcPr>
          <w:p w:rsidR="006A1ADD" w:rsidRDefault="006A1ADD" w:rsidP="006A1ADD">
            <w:pPr>
              <w:jc w:val="right"/>
              <w:rPr>
                <w:sz w:val="20"/>
                <w:szCs w:val="20"/>
              </w:rPr>
            </w:pPr>
            <w:r>
              <w:rPr>
                <w:color w:val="FF0000"/>
                <w:sz w:val="20"/>
                <w:szCs w:val="20"/>
              </w:rPr>
              <w:t>(79)</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rsidR="006A1ADD" w:rsidRDefault="006A1ADD" w:rsidP="006A1ADD">
            <w:pPr>
              <w:jc w:val="right"/>
              <w:rPr>
                <w:sz w:val="20"/>
                <w:szCs w:val="20"/>
              </w:rPr>
            </w:pPr>
            <w:r>
              <w:rPr>
                <w:color w:val="FF0000"/>
                <w:sz w:val="20"/>
                <w:szCs w:val="20"/>
              </w:rPr>
              <w:t>(114)</w:t>
            </w:r>
          </w:p>
        </w:tc>
        <w:tc>
          <w:tcPr>
            <w:tcW w:w="1842" w:type="dxa"/>
            <w:tcBorders>
              <w:top w:val="nil"/>
              <w:left w:val="nil"/>
              <w:bottom w:val="single" w:sz="8" w:space="0" w:color="auto"/>
              <w:right w:val="single" w:sz="8" w:space="0" w:color="auto"/>
            </w:tcBorders>
            <w:shd w:val="clear" w:color="auto" w:fill="auto"/>
            <w:vAlign w:val="center"/>
            <w:hideMark/>
          </w:tcPr>
          <w:p w:rsidR="006A1ADD" w:rsidRDefault="006A1ADD" w:rsidP="006A1ADD">
            <w:pPr>
              <w:jc w:val="right"/>
              <w:rPr>
                <w:sz w:val="20"/>
                <w:szCs w:val="20"/>
              </w:rPr>
            </w:pPr>
            <w:r>
              <w:rPr>
                <w:color w:val="FF0000"/>
                <w:sz w:val="20"/>
                <w:szCs w:val="20"/>
              </w:rPr>
              <w:t>(35)</w:t>
            </w:r>
          </w:p>
        </w:tc>
        <w:tc>
          <w:tcPr>
            <w:tcW w:w="2400" w:type="dxa"/>
            <w:tcBorders>
              <w:top w:val="nil"/>
              <w:left w:val="single" w:sz="4" w:space="0" w:color="auto"/>
              <w:bottom w:val="single" w:sz="8" w:space="0" w:color="auto"/>
              <w:right w:val="single" w:sz="4" w:space="0" w:color="auto"/>
            </w:tcBorders>
            <w:shd w:val="clear" w:color="auto" w:fill="auto"/>
            <w:vAlign w:val="center"/>
            <w:hideMark/>
          </w:tcPr>
          <w:p w:rsidR="006A1ADD" w:rsidRDefault="006A1ADD" w:rsidP="006A1ADD">
            <w:pPr>
              <w:jc w:val="right"/>
              <w:rPr>
                <w:sz w:val="20"/>
                <w:szCs w:val="20"/>
              </w:rPr>
            </w:pPr>
            <w:r>
              <w:rPr>
                <w:color w:val="FF0000"/>
                <w:sz w:val="20"/>
                <w:szCs w:val="20"/>
              </w:rPr>
              <w:t>(265)</w:t>
            </w:r>
          </w:p>
        </w:tc>
      </w:tr>
      <w:tr w:rsidR="006A1ADD" w:rsidRPr="00DC1793" w:rsidTr="003C4364">
        <w:trPr>
          <w:trHeight w:val="315"/>
        </w:trPr>
        <w:tc>
          <w:tcPr>
            <w:tcW w:w="4394" w:type="dxa"/>
            <w:tcBorders>
              <w:top w:val="nil"/>
              <w:left w:val="single" w:sz="8" w:space="0" w:color="auto"/>
              <w:bottom w:val="single" w:sz="8" w:space="0" w:color="auto"/>
              <w:right w:val="single" w:sz="8" w:space="0" w:color="auto"/>
            </w:tcBorders>
            <w:shd w:val="clear" w:color="000000" w:fill="8DB3E2" w:themeFill="text2" w:themeFillTint="66"/>
            <w:vAlign w:val="center"/>
            <w:hideMark/>
          </w:tcPr>
          <w:p w:rsidR="006A1ADD" w:rsidRPr="00DC1793" w:rsidRDefault="006A1ADD" w:rsidP="006A1ADD">
            <w:pPr>
              <w:jc w:val="right"/>
              <w:rPr>
                <w:b/>
                <w:bCs/>
                <w:color w:val="000000"/>
                <w:sz w:val="20"/>
                <w:szCs w:val="20"/>
                <w:lang w:eastAsia="en-GB"/>
              </w:rPr>
            </w:pPr>
            <w:r w:rsidRPr="00DC1793">
              <w:rPr>
                <w:b/>
                <w:bCs/>
                <w:color w:val="000000"/>
                <w:sz w:val="20"/>
                <w:szCs w:val="20"/>
                <w:lang w:eastAsia="en-GB"/>
              </w:rPr>
              <w:t>GRAND TOTAL</w:t>
            </w:r>
          </w:p>
        </w:tc>
        <w:tc>
          <w:tcPr>
            <w:tcW w:w="1418" w:type="dxa"/>
            <w:tcBorders>
              <w:top w:val="nil"/>
              <w:left w:val="nil"/>
              <w:bottom w:val="single" w:sz="8" w:space="0" w:color="auto"/>
              <w:right w:val="single" w:sz="8" w:space="0" w:color="auto"/>
            </w:tcBorders>
            <w:shd w:val="clear" w:color="000000" w:fill="8DB3E2" w:themeFill="text2" w:themeFillTint="66"/>
            <w:vAlign w:val="center"/>
            <w:hideMark/>
          </w:tcPr>
          <w:p w:rsidR="006A1ADD" w:rsidRDefault="006A1ADD" w:rsidP="006A1ADD">
            <w:pPr>
              <w:jc w:val="right"/>
              <w:rPr>
                <w:b/>
                <w:bCs/>
                <w:sz w:val="20"/>
                <w:szCs w:val="20"/>
              </w:rPr>
            </w:pPr>
            <w:r>
              <w:rPr>
                <w:b/>
                <w:bCs/>
                <w:color w:val="FF0000"/>
                <w:sz w:val="20"/>
                <w:szCs w:val="20"/>
              </w:rPr>
              <w:t>(142,685)</w:t>
            </w:r>
          </w:p>
        </w:tc>
        <w:tc>
          <w:tcPr>
            <w:tcW w:w="1559" w:type="dxa"/>
            <w:tcBorders>
              <w:top w:val="nil"/>
              <w:left w:val="nil"/>
              <w:bottom w:val="single" w:sz="8" w:space="0" w:color="auto"/>
              <w:right w:val="nil"/>
            </w:tcBorders>
            <w:shd w:val="clear" w:color="000000" w:fill="8DB3E2" w:themeFill="text2" w:themeFillTint="66"/>
            <w:vAlign w:val="center"/>
            <w:hideMark/>
          </w:tcPr>
          <w:p w:rsidR="006A1ADD" w:rsidRDefault="006A1ADD" w:rsidP="006A1ADD">
            <w:pPr>
              <w:jc w:val="right"/>
              <w:rPr>
                <w:b/>
                <w:bCs/>
                <w:sz w:val="20"/>
                <w:szCs w:val="20"/>
              </w:rPr>
            </w:pPr>
            <w:r>
              <w:rPr>
                <w:b/>
                <w:bCs/>
                <w:color w:val="FF0000"/>
                <w:sz w:val="20"/>
                <w:szCs w:val="20"/>
              </w:rPr>
              <w:t>(705)</w:t>
            </w:r>
          </w:p>
        </w:tc>
        <w:tc>
          <w:tcPr>
            <w:tcW w:w="1985" w:type="dxa"/>
            <w:tcBorders>
              <w:top w:val="nil"/>
              <w:left w:val="single" w:sz="4" w:space="0" w:color="auto"/>
              <w:bottom w:val="single" w:sz="8" w:space="0" w:color="auto"/>
              <w:right w:val="single" w:sz="4" w:space="0" w:color="auto"/>
            </w:tcBorders>
            <w:shd w:val="clear" w:color="000000" w:fill="8DB3E2" w:themeFill="text2" w:themeFillTint="66"/>
            <w:vAlign w:val="center"/>
            <w:hideMark/>
          </w:tcPr>
          <w:p w:rsidR="006A1ADD" w:rsidRDefault="006A1ADD" w:rsidP="006A1ADD">
            <w:pPr>
              <w:jc w:val="right"/>
              <w:rPr>
                <w:b/>
                <w:bCs/>
                <w:sz w:val="20"/>
                <w:szCs w:val="20"/>
              </w:rPr>
            </w:pPr>
            <w:r>
              <w:rPr>
                <w:b/>
                <w:bCs/>
                <w:color w:val="FF0000"/>
                <w:sz w:val="20"/>
                <w:szCs w:val="20"/>
              </w:rPr>
              <w:t>(807)</w:t>
            </w:r>
          </w:p>
        </w:tc>
        <w:tc>
          <w:tcPr>
            <w:tcW w:w="1842" w:type="dxa"/>
            <w:tcBorders>
              <w:top w:val="nil"/>
              <w:left w:val="nil"/>
              <w:bottom w:val="single" w:sz="8" w:space="0" w:color="auto"/>
              <w:right w:val="single" w:sz="8" w:space="0" w:color="auto"/>
            </w:tcBorders>
            <w:shd w:val="clear" w:color="000000" w:fill="8DB3E2" w:themeFill="text2" w:themeFillTint="66"/>
            <w:vAlign w:val="center"/>
            <w:hideMark/>
          </w:tcPr>
          <w:p w:rsidR="006A1ADD" w:rsidRDefault="006A1ADD" w:rsidP="006A1ADD">
            <w:pPr>
              <w:jc w:val="right"/>
              <w:rPr>
                <w:b/>
                <w:bCs/>
                <w:sz w:val="20"/>
                <w:szCs w:val="20"/>
              </w:rPr>
            </w:pPr>
            <w:r>
              <w:rPr>
                <w:b/>
                <w:bCs/>
                <w:color w:val="FF0000"/>
                <w:sz w:val="20"/>
                <w:szCs w:val="20"/>
              </w:rPr>
              <w:t>(99)</w:t>
            </w:r>
          </w:p>
        </w:tc>
        <w:tc>
          <w:tcPr>
            <w:tcW w:w="2400" w:type="dxa"/>
            <w:tcBorders>
              <w:top w:val="nil"/>
              <w:left w:val="single" w:sz="4" w:space="0" w:color="auto"/>
              <w:bottom w:val="single" w:sz="8" w:space="0" w:color="auto"/>
              <w:right w:val="single" w:sz="4" w:space="0" w:color="auto"/>
            </w:tcBorders>
            <w:shd w:val="clear" w:color="000000" w:fill="8DB3E2" w:themeFill="text2" w:themeFillTint="66"/>
            <w:vAlign w:val="center"/>
            <w:hideMark/>
          </w:tcPr>
          <w:p w:rsidR="006A1ADD" w:rsidRDefault="006A1ADD" w:rsidP="006A1ADD">
            <w:pPr>
              <w:jc w:val="right"/>
              <w:rPr>
                <w:b/>
                <w:bCs/>
                <w:sz w:val="20"/>
                <w:szCs w:val="20"/>
              </w:rPr>
            </w:pPr>
            <w:r>
              <w:rPr>
                <w:b/>
                <w:bCs/>
                <w:sz w:val="20"/>
                <w:szCs w:val="20"/>
              </w:rPr>
              <w:t>686</w:t>
            </w:r>
          </w:p>
        </w:tc>
      </w:tr>
    </w:tbl>
    <w:p w:rsidR="0054713E" w:rsidRPr="00DC1793" w:rsidRDefault="0054713E" w:rsidP="0054713E">
      <w:pPr>
        <w:jc w:val="both"/>
        <w:rPr>
          <w:rFonts w:cs="Tahoma"/>
          <w:b/>
          <w:bCs/>
          <w:sz w:val="20"/>
          <w:szCs w:val="20"/>
        </w:rPr>
      </w:pPr>
      <w:r w:rsidRPr="00DC1793">
        <w:rPr>
          <w:noProof/>
          <w:lang w:eastAsia="en-GB"/>
        </w:rPr>
        <mc:AlternateContent>
          <mc:Choice Requires="wps">
            <w:drawing>
              <wp:anchor distT="0" distB="0" distL="114300" distR="114300" simplePos="0" relativeHeight="251804672" behindDoc="0" locked="0" layoutInCell="1" allowOverlap="1" wp14:anchorId="6E2D8C97" wp14:editId="6477641B">
                <wp:simplePos x="0" y="0"/>
                <wp:positionH relativeFrom="column">
                  <wp:posOffset>530501</wp:posOffset>
                </wp:positionH>
                <wp:positionV relativeFrom="paragraph">
                  <wp:posOffset>66262</wp:posOffset>
                </wp:positionV>
                <wp:extent cx="8625840" cy="1598212"/>
                <wp:effectExtent l="0" t="0" r="22860" b="21590"/>
                <wp:wrapNone/>
                <wp:docPr id="20" name="Text 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8625840" cy="1598212"/>
                        </a:xfrm>
                        <a:prstGeom prst="rect">
                          <a:avLst/>
                        </a:prstGeom>
                        <a:solidFill>
                          <a:srgbClr val="FFFFFF"/>
                        </a:solidFill>
                        <a:ln w="19050">
                          <a:solidFill>
                            <a:srgbClr val="8EB4E3"/>
                          </a:solidFill>
                          <a:miter lim="800000"/>
                          <a:headEnd/>
                          <a:tailEnd/>
                        </a:ln>
                      </wps:spPr>
                      <wps:txbx>
                        <w:txbxContent>
                          <w:p w:rsidR="00F66189" w:rsidRPr="009C251F" w:rsidRDefault="00F66189" w:rsidP="009C251F">
                            <w:pPr>
                              <w:rPr>
                                <w:b/>
                                <w:sz w:val="18"/>
                                <w:szCs w:val="18"/>
                              </w:rPr>
                            </w:pPr>
                            <w:r w:rsidRPr="009C251F">
                              <w:rPr>
                                <w:b/>
                                <w:sz w:val="20"/>
                                <w:szCs w:val="20"/>
                              </w:rPr>
                              <w:t xml:space="preserve">Key </w:t>
                            </w:r>
                            <w:r w:rsidRPr="009C251F">
                              <w:rPr>
                                <w:b/>
                                <w:sz w:val="18"/>
                                <w:szCs w:val="18"/>
                              </w:rPr>
                              <w:t xml:space="preserve">Issues </w:t>
                            </w:r>
                          </w:p>
                          <w:p w:rsidR="00F66189" w:rsidRPr="009C251F" w:rsidRDefault="00F66189" w:rsidP="009C251F">
                            <w:pPr>
                              <w:rPr>
                                <w:rFonts w:cs="Tahoma"/>
                                <w:bCs/>
                                <w:sz w:val="18"/>
                                <w:szCs w:val="18"/>
                              </w:rPr>
                            </w:pPr>
                            <w:r w:rsidRPr="009C251F">
                              <w:rPr>
                                <w:rFonts w:cs="Tahoma"/>
                                <w:bCs/>
                                <w:sz w:val="18"/>
                                <w:szCs w:val="18"/>
                              </w:rPr>
                              <w:t xml:space="preserve">The most significant </w:t>
                            </w:r>
                            <w:r>
                              <w:rPr>
                                <w:rFonts w:cs="Tahoma"/>
                                <w:bCs/>
                                <w:sz w:val="18"/>
                                <w:szCs w:val="18"/>
                              </w:rPr>
                              <w:t xml:space="preserve">M11 YTD </w:t>
                            </w:r>
                            <w:r w:rsidRPr="009C251F">
                              <w:rPr>
                                <w:rFonts w:cs="Tahoma"/>
                                <w:bCs/>
                                <w:sz w:val="18"/>
                                <w:szCs w:val="18"/>
                              </w:rPr>
                              <w:t>overspends within the total Income overspend of £</w:t>
                            </w:r>
                            <w:r>
                              <w:rPr>
                                <w:rFonts w:cs="Tahoma"/>
                                <w:bCs/>
                                <w:sz w:val="18"/>
                                <w:szCs w:val="18"/>
                              </w:rPr>
                              <w:t xml:space="preserve">0.7m </w:t>
                            </w:r>
                            <w:r w:rsidRPr="009C251F">
                              <w:rPr>
                                <w:rFonts w:cs="Tahoma"/>
                                <w:bCs/>
                                <w:sz w:val="18"/>
                                <w:szCs w:val="18"/>
                              </w:rPr>
                              <w:t>are as follows:</w:t>
                            </w:r>
                          </w:p>
                          <w:p w:rsidR="00F66189" w:rsidRPr="006A1ADD" w:rsidRDefault="00F66189" w:rsidP="006A1ADD">
                            <w:pPr>
                              <w:pStyle w:val="ListParagraph"/>
                              <w:numPr>
                                <w:ilvl w:val="1"/>
                                <w:numId w:val="12"/>
                              </w:numPr>
                              <w:rPr>
                                <w:sz w:val="18"/>
                                <w:szCs w:val="18"/>
                              </w:rPr>
                            </w:pPr>
                            <w:r w:rsidRPr="006A1ADD">
                              <w:rPr>
                                <w:sz w:val="18"/>
                                <w:szCs w:val="18"/>
                              </w:rPr>
                              <w:t>POW Surgical services £0.5m- C&amp;V Surgical Services SLA £0.45m</w:t>
                            </w:r>
                          </w:p>
                          <w:p w:rsidR="00F66189" w:rsidRPr="006A1ADD" w:rsidRDefault="00F66189" w:rsidP="006A1ADD">
                            <w:pPr>
                              <w:pStyle w:val="ListParagraph"/>
                              <w:numPr>
                                <w:ilvl w:val="1"/>
                                <w:numId w:val="12"/>
                              </w:numPr>
                              <w:rPr>
                                <w:sz w:val="18"/>
                                <w:szCs w:val="18"/>
                              </w:rPr>
                            </w:pPr>
                            <w:r w:rsidRPr="006A1ADD">
                              <w:rPr>
                                <w:sz w:val="18"/>
                                <w:szCs w:val="18"/>
                              </w:rPr>
                              <w:t>CYP £0.2m – Flying Start Income from Local Authorities £0.2m</w:t>
                            </w:r>
                          </w:p>
                          <w:p w:rsidR="00F66189" w:rsidRPr="006A1ADD" w:rsidRDefault="00F66189" w:rsidP="006A1ADD">
                            <w:pPr>
                              <w:pStyle w:val="ListParagraph"/>
                              <w:numPr>
                                <w:ilvl w:val="1"/>
                                <w:numId w:val="12"/>
                              </w:numPr>
                              <w:rPr>
                                <w:sz w:val="18"/>
                                <w:szCs w:val="18"/>
                              </w:rPr>
                            </w:pPr>
                            <w:r w:rsidRPr="006A1ADD">
                              <w:rPr>
                                <w:sz w:val="18"/>
                                <w:szCs w:val="18"/>
                              </w:rPr>
                              <w:t>Contracting &amp; Commissioning £2.1m- ABUHB LTA under performance £0.7m, Swansea Bay LTA under performance £0.83m, Non Contracted Activity £0.28m, WHSSC LTA under performance £0.14m and Injury cost recovery £0.13m</w:t>
                            </w:r>
                          </w:p>
                          <w:p w:rsidR="00F66189" w:rsidRPr="00793158" w:rsidRDefault="00F66189" w:rsidP="0054713E">
                            <w:pPr>
                              <w:jc w:val="both"/>
                              <w:rPr>
                                <w:rFonts w:cs="Tahoma"/>
                                <w:bCs/>
                                <w:sz w:val="18"/>
                                <w:szCs w:val="18"/>
                              </w:rPr>
                            </w:pPr>
                            <w:r w:rsidRPr="00793158">
                              <w:rPr>
                                <w:rFonts w:cs="Tahoma"/>
                                <w:bCs/>
                                <w:sz w:val="18"/>
                                <w:szCs w:val="18"/>
                              </w:rPr>
                              <w:t>The most significant changes between M10 and M11 relate to:</w:t>
                            </w:r>
                          </w:p>
                          <w:p w:rsidR="00F66189" w:rsidRPr="00793158" w:rsidRDefault="00F66189" w:rsidP="00E01F90">
                            <w:pPr>
                              <w:pStyle w:val="ListParagraph"/>
                              <w:numPr>
                                <w:ilvl w:val="1"/>
                                <w:numId w:val="12"/>
                              </w:numPr>
                              <w:rPr>
                                <w:sz w:val="18"/>
                                <w:szCs w:val="18"/>
                              </w:rPr>
                            </w:pPr>
                            <w:r w:rsidRPr="00793158">
                              <w:rPr>
                                <w:sz w:val="18"/>
                                <w:szCs w:val="18"/>
                              </w:rPr>
                              <w:t>Planned care £0.69m – Recognition of Critical Care allocation in M10, returning to normal in M11.</w:t>
                            </w:r>
                          </w:p>
                          <w:p w:rsidR="00F66189" w:rsidRPr="00793158" w:rsidRDefault="00F66189" w:rsidP="00E01F90">
                            <w:pPr>
                              <w:pStyle w:val="ListParagraph"/>
                              <w:numPr>
                                <w:ilvl w:val="1"/>
                                <w:numId w:val="12"/>
                              </w:numPr>
                              <w:jc w:val="both"/>
                              <w:rPr>
                                <w:rFonts w:cs="Tahoma"/>
                                <w:bCs/>
                                <w:sz w:val="18"/>
                                <w:szCs w:val="18"/>
                              </w:rPr>
                            </w:pPr>
                            <w:r w:rsidRPr="00793158">
                              <w:rPr>
                                <w:sz w:val="18"/>
                                <w:szCs w:val="18"/>
                              </w:rPr>
                              <w:t>Primary care £(0.92m) -  Primary care funding received from Cardiff &amp; vale CDS (£493k) and ABHB (£171k), together with improved CAMHS Income(£295k) in M11</w:t>
                            </w:r>
                            <w:r w:rsidRPr="00793158">
                              <w:rPr>
                                <w:rFonts w:cs="Tahoma"/>
                                <w:bCs/>
                                <w:sz w:val="18"/>
                                <w:szCs w:val="18"/>
                              </w:rPr>
                              <w:t>.</w:t>
                            </w:r>
                          </w:p>
                          <w:p w:rsidR="00F66189" w:rsidRPr="007D4738" w:rsidRDefault="00F66189" w:rsidP="00A64981">
                            <w:pPr>
                              <w:pStyle w:val="ListParagraph"/>
                              <w:ind w:left="2160"/>
                              <w:rPr>
                                <w:rFonts w:cs="Tahoma"/>
                                <w:bCs/>
                                <w:sz w:val="20"/>
                                <w:szCs w:val="2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E2D8C97" id="Text Box 35" o:spid="_x0000_s1043" type="#_x0000_t202" style="position:absolute;left:0;text-align:left;margin-left:41.75pt;margin-top:5.2pt;width:679.2pt;height:125.85pt;z-index:25180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" strokecolor="#8eb4e3" strokeweight="1.5pt">
                <v:path arrowok="t"/>
                <v:textbox>
                  <w:txbxContent>
                    <w:p w:rsidR="00F66189" w:rsidRPr="009C251F" w:rsidRDefault="00F66189" w:rsidP="009C251F">
                      <w:pPr>
                        <w:rPr>
                          <w:b/>
                          <w:sz w:val="18"/>
                          <w:szCs w:val="18"/>
                        </w:rPr>
                      </w:pPr>
                      <w:r w:rsidRPr="009C251F">
                        <w:rPr>
                          <w:b/>
                          <w:sz w:val="20"/>
                          <w:szCs w:val="20"/>
                        </w:rPr>
                        <w:t xml:space="preserve">Key </w:t>
                      </w:r>
                      <w:r w:rsidRPr="009C251F">
                        <w:rPr>
                          <w:b/>
                          <w:sz w:val="18"/>
                          <w:szCs w:val="18"/>
                        </w:rPr>
                        <w:t xml:space="preserve">Issues </w:t>
                      </w:r>
                    </w:p>
                    <w:p w:rsidR="00F66189" w:rsidRPr="009C251F" w:rsidRDefault="00F66189" w:rsidP="009C251F">
                      <w:pPr>
                        <w:rPr>
                          <w:rFonts w:cs="Tahoma"/>
                          <w:bCs/>
                          <w:sz w:val="18"/>
                          <w:szCs w:val="18"/>
                        </w:rPr>
                      </w:pPr>
                      <w:r w:rsidRPr="009C251F">
                        <w:rPr>
                          <w:rFonts w:cs="Tahoma"/>
                          <w:bCs/>
                          <w:sz w:val="18"/>
                          <w:szCs w:val="18"/>
                        </w:rPr>
                        <w:t xml:space="preserve">The most significant </w:t>
                      </w:r>
                      <w:r>
                        <w:rPr>
                          <w:rFonts w:cs="Tahoma"/>
                          <w:bCs/>
                          <w:sz w:val="18"/>
                          <w:szCs w:val="18"/>
                        </w:rPr>
                        <w:t xml:space="preserve">M11 YTD </w:t>
                      </w:r>
                      <w:r w:rsidRPr="009C251F">
                        <w:rPr>
                          <w:rFonts w:cs="Tahoma"/>
                          <w:bCs/>
                          <w:sz w:val="18"/>
                          <w:szCs w:val="18"/>
                        </w:rPr>
                        <w:t>overspends within the total Income overspend of £</w:t>
                      </w:r>
                      <w:r>
                        <w:rPr>
                          <w:rFonts w:cs="Tahoma"/>
                          <w:bCs/>
                          <w:sz w:val="18"/>
                          <w:szCs w:val="18"/>
                        </w:rPr>
                        <w:t xml:space="preserve">0.7m </w:t>
                      </w:r>
                      <w:r w:rsidRPr="009C251F">
                        <w:rPr>
                          <w:rFonts w:cs="Tahoma"/>
                          <w:bCs/>
                          <w:sz w:val="18"/>
                          <w:szCs w:val="18"/>
                        </w:rPr>
                        <w:t>are as follows:</w:t>
                      </w:r>
                    </w:p>
                    <w:p w:rsidR="00F66189" w:rsidRPr="006A1ADD" w:rsidRDefault="00F66189" w:rsidP="006A1ADD">
                      <w:pPr>
                        <w:pStyle w:val="ListParagraph"/>
                        <w:numPr>
                          <w:ilvl w:val="1"/>
                          <w:numId w:val="12"/>
                        </w:numPr>
                        <w:rPr>
                          <w:sz w:val="18"/>
                          <w:szCs w:val="18"/>
                        </w:rPr>
                      </w:pPr>
                      <w:r w:rsidRPr="006A1ADD">
                        <w:rPr>
                          <w:sz w:val="18"/>
                          <w:szCs w:val="18"/>
                        </w:rPr>
                        <w:t>POW Surgical services £0.5m- C&amp;V Surgical Services SLA £0.45m</w:t>
                      </w:r>
                    </w:p>
                    <w:p w:rsidR="00F66189" w:rsidRPr="006A1ADD" w:rsidRDefault="00F66189" w:rsidP="006A1ADD">
                      <w:pPr>
                        <w:pStyle w:val="ListParagraph"/>
                        <w:numPr>
                          <w:ilvl w:val="1"/>
                          <w:numId w:val="12"/>
                        </w:numPr>
                        <w:rPr>
                          <w:sz w:val="18"/>
                          <w:szCs w:val="18"/>
                        </w:rPr>
                      </w:pPr>
                      <w:r w:rsidRPr="006A1ADD">
                        <w:rPr>
                          <w:sz w:val="18"/>
                          <w:szCs w:val="18"/>
                        </w:rPr>
                        <w:t>CYP £0.2m – Flying Start Income from Local Authorities £0.2m</w:t>
                      </w:r>
                    </w:p>
                    <w:p w:rsidR="00F66189" w:rsidRPr="006A1ADD" w:rsidRDefault="00F66189" w:rsidP="006A1ADD">
                      <w:pPr>
                        <w:pStyle w:val="ListParagraph"/>
                        <w:numPr>
                          <w:ilvl w:val="1"/>
                          <w:numId w:val="12"/>
                        </w:numPr>
                        <w:rPr>
                          <w:sz w:val="18"/>
                          <w:szCs w:val="18"/>
                        </w:rPr>
                      </w:pPr>
                      <w:r w:rsidRPr="006A1ADD">
                        <w:rPr>
                          <w:sz w:val="18"/>
                          <w:szCs w:val="18"/>
                        </w:rPr>
                        <w:t>Contracting &amp; Commissioning £2.1m- ABUHB LTA under performance £0.7m, Swansea Bay LTA under performance £0.83m, Non Contracted Activity £0.28m, WHSSC LTA under performance £0.14m and Injury cost recovery £0.13m</w:t>
                      </w:r>
                    </w:p>
                    <w:p w:rsidR="00F66189" w:rsidRPr="00793158" w:rsidRDefault="00F66189" w:rsidP="0054713E">
                      <w:pPr>
                        <w:jc w:val="both"/>
                        <w:rPr>
                          <w:rFonts w:cs="Tahoma"/>
                          <w:bCs/>
                          <w:sz w:val="18"/>
                          <w:szCs w:val="18"/>
                        </w:rPr>
                      </w:pPr>
                      <w:r w:rsidRPr="00793158">
                        <w:rPr>
                          <w:rFonts w:cs="Tahoma"/>
                          <w:bCs/>
                          <w:sz w:val="18"/>
                          <w:szCs w:val="18"/>
                        </w:rPr>
                        <w:t>The most significant changes between M10 and M11 relate to:</w:t>
                      </w:r>
                    </w:p>
                    <w:p w:rsidR="00F66189" w:rsidRPr="00793158" w:rsidRDefault="00F66189" w:rsidP="00E01F90">
                      <w:pPr>
                        <w:pStyle w:val="ListParagraph"/>
                        <w:numPr>
                          <w:ilvl w:val="1"/>
                          <w:numId w:val="12"/>
                        </w:numPr>
                        <w:rPr>
                          <w:sz w:val="18"/>
                          <w:szCs w:val="18"/>
                        </w:rPr>
                      </w:pPr>
                      <w:r w:rsidRPr="00793158">
                        <w:rPr>
                          <w:sz w:val="18"/>
                          <w:szCs w:val="18"/>
                        </w:rPr>
                        <w:t>Planned care £0.69m – Recognition of Critical Care allocation in M10, returning to normal in M11.</w:t>
                      </w:r>
                    </w:p>
                    <w:p w:rsidR="00F66189" w:rsidRPr="00793158" w:rsidRDefault="00F66189" w:rsidP="00E01F90">
                      <w:pPr>
                        <w:pStyle w:val="ListParagraph"/>
                        <w:numPr>
                          <w:ilvl w:val="1"/>
                          <w:numId w:val="12"/>
                        </w:numPr>
                        <w:jc w:val="both"/>
                        <w:rPr>
                          <w:rFonts w:cs="Tahoma"/>
                          <w:bCs/>
                          <w:sz w:val="18"/>
                          <w:szCs w:val="18"/>
                        </w:rPr>
                      </w:pPr>
                      <w:r w:rsidRPr="00793158">
                        <w:rPr>
                          <w:sz w:val="18"/>
                          <w:szCs w:val="18"/>
                        </w:rPr>
                        <w:t>Primary care £(0.92m) -  Primary care funding received from Cardiff &amp; vale CDS (£493k) and ABHB (£171k), together with improved CAMHS Income(£295k) in M11</w:t>
                      </w:r>
                      <w:r w:rsidRPr="00793158">
                        <w:rPr>
                          <w:rFonts w:cs="Tahoma"/>
                          <w:bCs/>
                          <w:sz w:val="18"/>
                          <w:szCs w:val="18"/>
                        </w:rPr>
                        <w:t>.</w:t>
                      </w:r>
                    </w:p>
                    <w:p w:rsidR="00F66189" w:rsidRPr="007D4738" w:rsidRDefault="00F66189" w:rsidP="00A64981">
                      <w:pPr>
                        <w:pStyle w:val="ListParagraph"/>
                        <w:ind w:left="2160"/>
                        <w:rPr>
                          <w:rFonts w:cs="Tahoma"/>
                          <w:bCs/>
                          <w:sz w:val="20"/>
                          <w:szCs w:val="20"/>
                        </w:rPr>
                      </w:pPr>
                    </w:p>
                  </w:txbxContent>
                </v:textbox>
              </v:shape>
            </w:pict>
          </mc:Fallback>
        </mc:AlternateContent>
      </w:r>
    </w:p>
    <w:p w:rsidR="0054713E" w:rsidRPr="00DC1793" w:rsidRDefault="0054713E" w:rsidP="0054713E">
      <w:pPr>
        <w:jc w:val="both"/>
        <w:rPr>
          <w:rFonts w:cs="Tahoma"/>
          <w:b/>
          <w:bCs/>
          <w:sz w:val="20"/>
          <w:szCs w:val="20"/>
        </w:rPr>
      </w:pPr>
    </w:p>
    <w:p w:rsidR="0054713E" w:rsidRPr="00DC1793" w:rsidRDefault="0054713E" w:rsidP="0054713E">
      <w:pPr>
        <w:jc w:val="both"/>
        <w:rPr>
          <w:rFonts w:cs="Tahoma"/>
          <w:b/>
          <w:bCs/>
          <w:sz w:val="20"/>
          <w:szCs w:val="20"/>
        </w:rPr>
      </w:pPr>
    </w:p>
    <w:p w:rsidR="0054713E" w:rsidRPr="00DC1793" w:rsidRDefault="0054713E" w:rsidP="0054713E">
      <w:pPr>
        <w:jc w:val="both"/>
        <w:rPr>
          <w:rFonts w:cs="Tahoma"/>
          <w:b/>
          <w:bCs/>
          <w:sz w:val="20"/>
          <w:szCs w:val="20"/>
        </w:rPr>
      </w:pPr>
    </w:p>
    <w:p w:rsidR="0054713E" w:rsidRPr="00DC1793" w:rsidRDefault="0054713E" w:rsidP="0054713E">
      <w:pPr>
        <w:jc w:val="both"/>
        <w:rPr>
          <w:rFonts w:cs="Tahoma"/>
          <w:b/>
          <w:bCs/>
          <w:sz w:val="24"/>
        </w:rPr>
      </w:pPr>
    </w:p>
    <w:p w:rsidR="0054713E" w:rsidRPr="00DC1793" w:rsidRDefault="0054713E" w:rsidP="0054713E">
      <w:pPr>
        <w:jc w:val="both"/>
        <w:rPr>
          <w:rFonts w:cs="Tahoma"/>
          <w:b/>
          <w:bCs/>
          <w:sz w:val="24"/>
        </w:rPr>
      </w:pPr>
    </w:p>
    <w:p w:rsidR="0054713E" w:rsidRPr="00DC1793" w:rsidRDefault="0054713E" w:rsidP="0054713E">
      <w:pPr>
        <w:jc w:val="both"/>
        <w:rPr>
          <w:rFonts w:cs="Tahoma"/>
          <w:b/>
          <w:bCs/>
          <w:sz w:val="24"/>
        </w:rPr>
      </w:pPr>
    </w:p>
    <w:p w:rsidR="0054713E" w:rsidRPr="00DC1793" w:rsidRDefault="0054713E" w:rsidP="0054713E">
      <w:pPr>
        <w:rPr>
          <w:rFonts w:cs="Tahoma"/>
          <w:b/>
          <w:bCs/>
          <w:sz w:val="24"/>
        </w:rPr>
      </w:pPr>
      <w:r w:rsidRPr="00DC1793">
        <w:rPr>
          <w:rFonts w:cs="Tahoma"/>
          <w:b/>
          <w:bCs/>
          <w:sz w:val="24"/>
        </w:rPr>
        <w:br w:type="page"/>
      </w:r>
    </w:p>
    <w:p w:rsidR="0054713E" w:rsidRPr="000F3A8B" w:rsidRDefault="0054713E" w:rsidP="006616E8">
      <w:pPr>
        <w:pStyle w:val="ListParagraph"/>
        <w:numPr>
          <w:ilvl w:val="1"/>
          <w:numId w:val="34"/>
        </w:numPr>
        <w:jc w:val="both"/>
        <w:rPr>
          <w:rFonts w:cs="Tahoma"/>
          <w:b/>
          <w:bCs/>
          <w:sz w:val="24"/>
        </w:rPr>
      </w:pPr>
      <w:r w:rsidRPr="000F3A8B">
        <w:rPr>
          <w:rFonts w:cs="Tahoma"/>
          <w:b/>
          <w:bCs/>
          <w:sz w:val="24"/>
        </w:rPr>
        <w:t>Savings Plan Performance</w:t>
      </w:r>
    </w:p>
    <w:p w:rsidR="0054713E" w:rsidRPr="000F3A8B" w:rsidRDefault="0054713E" w:rsidP="0054713E">
      <w:pPr>
        <w:ind w:left="360"/>
        <w:rPr>
          <w:rFonts w:cs="Tahoma"/>
          <w:sz w:val="24"/>
        </w:rPr>
      </w:pPr>
    </w:p>
    <w:tbl>
      <w:tblPr>
        <w:tblW w:w="14449" w:type="dxa"/>
        <w:jc w:val="center"/>
        <w:tblLayout w:type="fixed"/>
        <w:tblLook w:val="04A0" w:firstRow="1" w:lastRow="0" w:firstColumn="1" w:lastColumn="0" w:noHBand="0" w:noVBand="1"/>
      </w:tblPr>
      <w:tblGrid>
        <w:gridCol w:w="5944"/>
        <w:gridCol w:w="1559"/>
        <w:gridCol w:w="1594"/>
        <w:gridCol w:w="1595"/>
        <w:gridCol w:w="1595"/>
        <w:gridCol w:w="2162"/>
      </w:tblGrid>
      <w:tr w:rsidR="0054713E" w:rsidRPr="000F3A8B" w:rsidTr="003C4364">
        <w:trPr>
          <w:trHeight w:val="170"/>
          <w:jc w:val="center"/>
        </w:trPr>
        <w:tc>
          <w:tcPr>
            <w:tcW w:w="5944" w:type="dxa"/>
            <w:vMerge w:val="restart"/>
            <w:tcBorders>
              <w:top w:val="single" w:sz="8" w:space="0" w:color="auto"/>
              <w:left w:val="single" w:sz="8" w:space="0" w:color="auto"/>
              <w:bottom w:val="nil"/>
              <w:right w:val="single" w:sz="8" w:space="0" w:color="auto"/>
            </w:tcBorders>
            <w:vAlign w:val="center"/>
          </w:tcPr>
          <w:p w:rsidR="0054713E" w:rsidRPr="000F3A8B" w:rsidRDefault="0054713E" w:rsidP="003C4364">
            <w:pPr>
              <w:rPr>
                <w:b/>
                <w:bCs/>
                <w:color w:val="000000"/>
                <w:sz w:val="20"/>
                <w:szCs w:val="20"/>
                <w:lang w:eastAsia="en-GB"/>
              </w:rPr>
            </w:pPr>
          </w:p>
        </w:tc>
        <w:tc>
          <w:tcPr>
            <w:tcW w:w="1559" w:type="dxa"/>
            <w:vMerge w:val="restart"/>
            <w:tcBorders>
              <w:top w:val="single" w:sz="8" w:space="0" w:color="auto"/>
              <w:left w:val="nil"/>
              <w:right w:val="single" w:sz="8" w:space="0" w:color="auto"/>
            </w:tcBorders>
            <w:shd w:val="clear" w:color="auto" w:fill="auto"/>
            <w:vAlign w:val="center"/>
          </w:tcPr>
          <w:p w:rsidR="0054713E" w:rsidRPr="000F3A8B" w:rsidRDefault="0054713E" w:rsidP="003C4364">
            <w:pPr>
              <w:jc w:val="center"/>
              <w:rPr>
                <w:color w:val="000000"/>
                <w:sz w:val="20"/>
                <w:szCs w:val="20"/>
                <w:lang w:eastAsia="en-GB"/>
              </w:rPr>
            </w:pPr>
            <w:r w:rsidRPr="000F3A8B">
              <w:rPr>
                <w:color w:val="000000"/>
                <w:sz w:val="20"/>
                <w:szCs w:val="20"/>
                <w:lang w:eastAsia="en-GB"/>
              </w:rPr>
              <w:t>Annual Plan</w:t>
            </w:r>
          </w:p>
        </w:tc>
        <w:tc>
          <w:tcPr>
            <w:tcW w:w="6946" w:type="dxa"/>
            <w:gridSpan w:val="4"/>
            <w:tcBorders>
              <w:top w:val="single" w:sz="4" w:space="0" w:color="auto"/>
              <w:left w:val="single" w:sz="8" w:space="0" w:color="auto"/>
              <w:bottom w:val="single" w:sz="4" w:space="0" w:color="auto"/>
              <w:right w:val="single" w:sz="4" w:space="0" w:color="auto"/>
            </w:tcBorders>
            <w:shd w:val="clear" w:color="auto" w:fill="auto"/>
            <w:vAlign w:val="center"/>
          </w:tcPr>
          <w:p w:rsidR="0054713E" w:rsidRPr="000F3A8B" w:rsidRDefault="0054713E" w:rsidP="003C4364">
            <w:pPr>
              <w:jc w:val="center"/>
              <w:rPr>
                <w:b/>
                <w:bCs/>
                <w:color w:val="000000"/>
                <w:sz w:val="20"/>
                <w:szCs w:val="20"/>
                <w:lang w:val="en-US"/>
              </w:rPr>
            </w:pPr>
            <w:r w:rsidRPr="000F3A8B">
              <w:rPr>
                <w:b/>
                <w:bCs/>
                <w:color w:val="000000"/>
                <w:sz w:val="20"/>
                <w:szCs w:val="20"/>
                <w:lang w:val="en-US"/>
              </w:rPr>
              <w:t>Variance Against Plan</w:t>
            </w:r>
          </w:p>
        </w:tc>
      </w:tr>
      <w:tr w:rsidR="0054713E" w:rsidRPr="000F3A8B" w:rsidTr="003C4364">
        <w:trPr>
          <w:trHeight w:val="170"/>
          <w:jc w:val="center"/>
        </w:trPr>
        <w:tc>
          <w:tcPr>
            <w:tcW w:w="5944" w:type="dxa"/>
            <w:vMerge/>
            <w:tcBorders>
              <w:top w:val="single" w:sz="8" w:space="0" w:color="auto"/>
              <w:left w:val="single" w:sz="8" w:space="0" w:color="auto"/>
              <w:bottom w:val="nil"/>
              <w:right w:val="single" w:sz="8" w:space="0" w:color="auto"/>
            </w:tcBorders>
            <w:vAlign w:val="center"/>
            <w:hideMark/>
          </w:tcPr>
          <w:p w:rsidR="0054713E" w:rsidRPr="000F3A8B" w:rsidRDefault="0054713E" w:rsidP="003C4364">
            <w:pPr>
              <w:rPr>
                <w:b/>
                <w:bCs/>
                <w:color w:val="000000"/>
                <w:sz w:val="20"/>
                <w:szCs w:val="20"/>
                <w:lang w:eastAsia="en-GB"/>
              </w:rPr>
            </w:pPr>
          </w:p>
        </w:tc>
        <w:tc>
          <w:tcPr>
            <w:tcW w:w="1559" w:type="dxa"/>
            <w:vMerge/>
            <w:tcBorders>
              <w:left w:val="nil"/>
              <w:bottom w:val="nil"/>
              <w:right w:val="single" w:sz="8" w:space="0" w:color="auto"/>
            </w:tcBorders>
            <w:shd w:val="clear" w:color="auto" w:fill="auto"/>
            <w:vAlign w:val="center"/>
            <w:hideMark/>
          </w:tcPr>
          <w:p w:rsidR="0054713E" w:rsidRPr="000F3A8B" w:rsidRDefault="0054713E" w:rsidP="003C4364">
            <w:pPr>
              <w:jc w:val="center"/>
              <w:rPr>
                <w:color w:val="000000"/>
                <w:sz w:val="20"/>
                <w:szCs w:val="20"/>
                <w:lang w:eastAsia="en-GB"/>
              </w:rPr>
            </w:pPr>
          </w:p>
        </w:tc>
        <w:tc>
          <w:tcPr>
            <w:tcW w:w="1594" w:type="dxa"/>
            <w:tcBorders>
              <w:top w:val="single" w:sz="4" w:space="0" w:color="auto"/>
              <w:left w:val="nil"/>
              <w:bottom w:val="nil"/>
              <w:right w:val="nil"/>
            </w:tcBorders>
            <w:shd w:val="clear" w:color="auto" w:fill="auto"/>
            <w:vAlign w:val="center"/>
            <w:hideMark/>
          </w:tcPr>
          <w:p w:rsidR="0054713E" w:rsidRPr="000F3A8B" w:rsidRDefault="0054713E" w:rsidP="003C4364">
            <w:pPr>
              <w:jc w:val="center"/>
              <w:rPr>
                <w:color w:val="000000"/>
                <w:sz w:val="20"/>
                <w:szCs w:val="20"/>
                <w:lang w:eastAsia="en-GB"/>
              </w:rPr>
            </w:pPr>
            <w:r w:rsidRPr="000F3A8B">
              <w:rPr>
                <w:color w:val="000000"/>
                <w:sz w:val="20"/>
                <w:szCs w:val="20"/>
                <w:lang w:eastAsia="en-GB"/>
              </w:rPr>
              <w:t>Current Month</w:t>
            </w:r>
          </w:p>
        </w:tc>
        <w:tc>
          <w:tcPr>
            <w:tcW w:w="1595" w:type="dxa"/>
            <w:tcBorders>
              <w:top w:val="single" w:sz="4" w:space="0" w:color="auto"/>
              <w:left w:val="single" w:sz="4" w:space="0" w:color="auto"/>
              <w:bottom w:val="nil"/>
              <w:right w:val="single" w:sz="4" w:space="0" w:color="auto"/>
            </w:tcBorders>
            <w:shd w:val="clear" w:color="auto" w:fill="auto"/>
            <w:vAlign w:val="center"/>
            <w:hideMark/>
          </w:tcPr>
          <w:p w:rsidR="0054713E" w:rsidRPr="000F3A8B" w:rsidRDefault="0054713E" w:rsidP="003C4364">
            <w:pPr>
              <w:jc w:val="center"/>
              <w:rPr>
                <w:color w:val="000000"/>
                <w:sz w:val="20"/>
                <w:szCs w:val="20"/>
                <w:lang w:eastAsia="en-GB"/>
              </w:rPr>
            </w:pPr>
            <w:r w:rsidRPr="000F3A8B">
              <w:rPr>
                <w:color w:val="000000"/>
                <w:sz w:val="20"/>
                <w:szCs w:val="20"/>
                <w:lang w:eastAsia="en-GB"/>
              </w:rPr>
              <w:t>Year to Date</w:t>
            </w:r>
          </w:p>
        </w:tc>
        <w:tc>
          <w:tcPr>
            <w:tcW w:w="1595" w:type="dxa"/>
            <w:tcBorders>
              <w:top w:val="single" w:sz="4" w:space="0" w:color="auto"/>
              <w:left w:val="nil"/>
              <w:bottom w:val="nil"/>
              <w:right w:val="single" w:sz="8" w:space="0" w:color="auto"/>
            </w:tcBorders>
            <w:shd w:val="clear" w:color="auto" w:fill="auto"/>
            <w:vAlign w:val="center"/>
            <w:hideMark/>
          </w:tcPr>
          <w:p w:rsidR="0054713E" w:rsidRPr="000F3A8B" w:rsidRDefault="0054713E" w:rsidP="003C4364">
            <w:pPr>
              <w:jc w:val="center"/>
              <w:rPr>
                <w:color w:val="000000"/>
                <w:sz w:val="20"/>
                <w:szCs w:val="20"/>
                <w:lang w:eastAsia="en-GB"/>
              </w:rPr>
            </w:pPr>
            <w:r w:rsidRPr="000F3A8B">
              <w:rPr>
                <w:color w:val="000000"/>
                <w:sz w:val="20"/>
                <w:szCs w:val="20"/>
                <w:lang w:eastAsia="en-GB"/>
              </w:rPr>
              <w:t>Forecast</w:t>
            </w:r>
          </w:p>
        </w:tc>
        <w:tc>
          <w:tcPr>
            <w:tcW w:w="2162" w:type="dxa"/>
            <w:tcBorders>
              <w:top w:val="single" w:sz="4" w:space="0" w:color="auto"/>
              <w:left w:val="single" w:sz="4" w:space="0" w:color="auto"/>
              <w:bottom w:val="nil"/>
              <w:right w:val="single" w:sz="4" w:space="0" w:color="auto"/>
            </w:tcBorders>
            <w:shd w:val="clear" w:color="auto" w:fill="auto"/>
            <w:vAlign w:val="center"/>
            <w:hideMark/>
          </w:tcPr>
          <w:p w:rsidR="0054713E" w:rsidRPr="000F3A8B" w:rsidRDefault="0054713E" w:rsidP="003C4364">
            <w:pPr>
              <w:jc w:val="center"/>
              <w:rPr>
                <w:color w:val="000000"/>
                <w:sz w:val="20"/>
                <w:szCs w:val="20"/>
                <w:lang w:eastAsia="en-GB"/>
              </w:rPr>
            </w:pPr>
            <w:r w:rsidRPr="000F3A8B">
              <w:rPr>
                <w:color w:val="000000"/>
                <w:sz w:val="20"/>
                <w:szCs w:val="20"/>
                <w:lang w:eastAsia="en-GB"/>
              </w:rPr>
              <w:t>Recurrent Forecast</w:t>
            </w:r>
          </w:p>
        </w:tc>
      </w:tr>
      <w:tr w:rsidR="0054713E" w:rsidRPr="000F3A8B" w:rsidTr="003C4364">
        <w:trPr>
          <w:trHeight w:val="170"/>
          <w:jc w:val="center"/>
        </w:trPr>
        <w:tc>
          <w:tcPr>
            <w:tcW w:w="5944" w:type="dxa"/>
            <w:tcBorders>
              <w:top w:val="nil"/>
              <w:left w:val="single" w:sz="8" w:space="0" w:color="auto"/>
              <w:bottom w:val="single" w:sz="8" w:space="0" w:color="auto"/>
              <w:right w:val="single" w:sz="8" w:space="0" w:color="auto"/>
            </w:tcBorders>
            <w:shd w:val="clear" w:color="auto" w:fill="auto"/>
            <w:vAlign w:val="center"/>
            <w:hideMark/>
          </w:tcPr>
          <w:p w:rsidR="0054713E" w:rsidRPr="000F3A8B" w:rsidRDefault="0054713E" w:rsidP="003C4364">
            <w:pPr>
              <w:jc w:val="both"/>
              <w:rPr>
                <w:b/>
                <w:bCs/>
                <w:color w:val="000000"/>
                <w:sz w:val="20"/>
                <w:szCs w:val="20"/>
                <w:lang w:eastAsia="en-GB"/>
              </w:rPr>
            </w:pPr>
            <w:r w:rsidRPr="000F3A8B">
              <w:rPr>
                <w:b/>
                <w:bCs/>
                <w:color w:val="000000"/>
                <w:sz w:val="20"/>
                <w:szCs w:val="20"/>
                <w:lang w:eastAsia="en-GB"/>
              </w:rPr>
              <w:t> </w:t>
            </w:r>
          </w:p>
        </w:tc>
        <w:tc>
          <w:tcPr>
            <w:tcW w:w="1559" w:type="dxa"/>
            <w:tcBorders>
              <w:top w:val="nil"/>
              <w:left w:val="nil"/>
              <w:bottom w:val="single" w:sz="8" w:space="0" w:color="auto"/>
              <w:right w:val="single" w:sz="8" w:space="0" w:color="auto"/>
            </w:tcBorders>
            <w:shd w:val="clear" w:color="auto" w:fill="auto"/>
            <w:vAlign w:val="center"/>
            <w:hideMark/>
          </w:tcPr>
          <w:p w:rsidR="0054713E" w:rsidRPr="000F3A8B" w:rsidRDefault="0054713E" w:rsidP="003C4364">
            <w:pPr>
              <w:jc w:val="center"/>
              <w:rPr>
                <w:color w:val="000000"/>
                <w:sz w:val="20"/>
                <w:szCs w:val="20"/>
                <w:lang w:eastAsia="en-GB"/>
              </w:rPr>
            </w:pPr>
            <w:r w:rsidRPr="000F3A8B">
              <w:rPr>
                <w:color w:val="000000"/>
                <w:sz w:val="20"/>
                <w:szCs w:val="20"/>
                <w:lang w:eastAsia="en-GB"/>
              </w:rPr>
              <w:t>£'000</w:t>
            </w:r>
          </w:p>
        </w:tc>
        <w:tc>
          <w:tcPr>
            <w:tcW w:w="1594" w:type="dxa"/>
            <w:tcBorders>
              <w:top w:val="nil"/>
              <w:left w:val="nil"/>
              <w:bottom w:val="single" w:sz="8" w:space="0" w:color="auto"/>
              <w:right w:val="nil"/>
            </w:tcBorders>
            <w:shd w:val="clear" w:color="auto" w:fill="auto"/>
            <w:vAlign w:val="center"/>
            <w:hideMark/>
          </w:tcPr>
          <w:p w:rsidR="0054713E" w:rsidRPr="000F3A8B" w:rsidRDefault="0054713E" w:rsidP="003C4364">
            <w:pPr>
              <w:jc w:val="center"/>
              <w:rPr>
                <w:color w:val="000000"/>
                <w:sz w:val="20"/>
                <w:szCs w:val="20"/>
                <w:lang w:eastAsia="en-GB"/>
              </w:rPr>
            </w:pPr>
            <w:r w:rsidRPr="000F3A8B">
              <w:rPr>
                <w:color w:val="000000"/>
                <w:sz w:val="20"/>
                <w:szCs w:val="20"/>
                <w:lang w:eastAsia="en-GB"/>
              </w:rPr>
              <w:t>£'000</w:t>
            </w:r>
          </w:p>
        </w:tc>
        <w:tc>
          <w:tcPr>
            <w:tcW w:w="1595" w:type="dxa"/>
            <w:tcBorders>
              <w:top w:val="nil"/>
              <w:left w:val="single" w:sz="4" w:space="0" w:color="auto"/>
              <w:bottom w:val="single" w:sz="8" w:space="0" w:color="auto"/>
              <w:right w:val="single" w:sz="4" w:space="0" w:color="auto"/>
            </w:tcBorders>
            <w:shd w:val="clear" w:color="auto" w:fill="auto"/>
            <w:vAlign w:val="center"/>
            <w:hideMark/>
          </w:tcPr>
          <w:p w:rsidR="0054713E" w:rsidRPr="000F3A8B" w:rsidRDefault="0054713E" w:rsidP="003C4364">
            <w:pPr>
              <w:jc w:val="center"/>
              <w:rPr>
                <w:color w:val="000000"/>
                <w:sz w:val="20"/>
                <w:szCs w:val="20"/>
                <w:lang w:eastAsia="en-GB"/>
              </w:rPr>
            </w:pPr>
            <w:r w:rsidRPr="000F3A8B">
              <w:rPr>
                <w:color w:val="000000"/>
                <w:sz w:val="20"/>
                <w:szCs w:val="20"/>
                <w:lang w:eastAsia="en-GB"/>
              </w:rPr>
              <w:t>£'000</w:t>
            </w:r>
          </w:p>
        </w:tc>
        <w:tc>
          <w:tcPr>
            <w:tcW w:w="1595" w:type="dxa"/>
            <w:tcBorders>
              <w:top w:val="nil"/>
              <w:left w:val="nil"/>
              <w:bottom w:val="single" w:sz="8" w:space="0" w:color="auto"/>
              <w:right w:val="single" w:sz="8" w:space="0" w:color="auto"/>
            </w:tcBorders>
            <w:shd w:val="clear" w:color="auto" w:fill="auto"/>
            <w:vAlign w:val="center"/>
            <w:hideMark/>
          </w:tcPr>
          <w:p w:rsidR="0054713E" w:rsidRPr="000F3A8B" w:rsidRDefault="0054713E" w:rsidP="003C4364">
            <w:pPr>
              <w:jc w:val="center"/>
              <w:rPr>
                <w:color w:val="000000"/>
                <w:sz w:val="20"/>
                <w:szCs w:val="20"/>
                <w:lang w:eastAsia="en-GB"/>
              </w:rPr>
            </w:pPr>
            <w:r w:rsidRPr="000F3A8B">
              <w:rPr>
                <w:color w:val="000000"/>
                <w:sz w:val="20"/>
                <w:szCs w:val="20"/>
                <w:lang w:eastAsia="en-GB"/>
              </w:rPr>
              <w:t>£'000</w:t>
            </w:r>
          </w:p>
        </w:tc>
        <w:tc>
          <w:tcPr>
            <w:tcW w:w="2162" w:type="dxa"/>
            <w:tcBorders>
              <w:top w:val="nil"/>
              <w:left w:val="single" w:sz="4" w:space="0" w:color="auto"/>
              <w:bottom w:val="single" w:sz="8" w:space="0" w:color="auto"/>
              <w:right w:val="single" w:sz="4" w:space="0" w:color="auto"/>
            </w:tcBorders>
            <w:shd w:val="clear" w:color="auto" w:fill="auto"/>
            <w:vAlign w:val="center"/>
            <w:hideMark/>
          </w:tcPr>
          <w:p w:rsidR="0054713E" w:rsidRPr="000F3A8B" w:rsidRDefault="0054713E" w:rsidP="003C4364">
            <w:pPr>
              <w:jc w:val="center"/>
              <w:rPr>
                <w:color w:val="000000"/>
                <w:sz w:val="20"/>
                <w:szCs w:val="20"/>
                <w:lang w:eastAsia="en-GB"/>
              </w:rPr>
            </w:pPr>
            <w:r w:rsidRPr="000F3A8B">
              <w:rPr>
                <w:color w:val="000000"/>
                <w:sz w:val="20"/>
                <w:szCs w:val="20"/>
                <w:lang w:eastAsia="en-GB"/>
              </w:rPr>
              <w:t>£'000</w:t>
            </w:r>
          </w:p>
        </w:tc>
      </w:tr>
      <w:tr w:rsidR="0054713E" w:rsidRPr="000F3A8B" w:rsidTr="003C4364">
        <w:trPr>
          <w:trHeight w:val="170"/>
          <w:jc w:val="center"/>
        </w:trPr>
        <w:tc>
          <w:tcPr>
            <w:tcW w:w="5944" w:type="dxa"/>
            <w:tcBorders>
              <w:top w:val="nil"/>
              <w:left w:val="single" w:sz="8" w:space="0" w:color="auto"/>
              <w:bottom w:val="single" w:sz="4" w:space="0" w:color="auto"/>
              <w:right w:val="single" w:sz="8" w:space="0" w:color="auto"/>
            </w:tcBorders>
            <w:shd w:val="clear" w:color="auto" w:fill="auto"/>
            <w:vAlign w:val="center"/>
          </w:tcPr>
          <w:p w:rsidR="0054713E" w:rsidRPr="000F3A8B" w:rsidRDefault="0054713E" w:rsidP="003C4364">
            <w:pPr>
              <w:jc w:val="both"/>
              <w:rPr>
                <w:b/>
                <w:bCs/>
                <w:color w:val="000000"/>
                <w:sz w:val="20"/>
                <w:szCs w:val="20"/>
                <w:lang w:val="en-US"/>
              </w:rPr>
            </w:pPr>
            <w:r w:rsidRPr="000F3A8B">
              <w:rPr>
                <w:b/>
                <w:bCs/>
                <w:color w:val="000000"/>
                <w:sz w:val="20"/>
                <w:szCs w:val="20"/>
                <w:lang w:val="en-US"/>
              </w:rPr>
              <w:t>Chief Operating Officer:</w:t>
            </w:r>
          </w:p>
        </w:tc>
        <w:tc>
          <w:tcPr>
            <w:tcW w:w="1559" w:type="dxa"/>
            <w:tcBorders>
              <w:top w:val="nil"/>
              <w:left w:val="nil"/>
              <w:bottom w:val="single" w:sz="4" w:space="0" w:color="auto"/>
              <w:right w:val="single" w:sz="8" w:space="0" w:color="auto"/>
            </w:tcBorders>
            <w:shd w:val="clear" w:color="auto" w:fill="auto"/>
            <w:vAlign w:val="center"/>
          </w:tcPr>
          <w:p w:rsidR="0054713E" w:rsidRPr="000F3A8B" w:rsidRDefault="0054713E" w:rsidP="003C4364">
            <w:pPr>
              <w:jc w:val="right"/>
              <w:rPr>
                <w:color w:val="000000"/>
                <w:sz w:val="20"/>
                <w:szCs w:val="20"/>
              </w:rPr>
            </w:pPr>
          </w:p>
        </w:tc>
        <w:tc>
          <w:tcPr>
            <w:tcW w:w="1594" w:type="dxa"/>
            <w:tcBorders>
              <w:top w:val="nil"/>
              <w:left w:val="single" w:sz="4" w:space="0" w:color="auto"/>
              <w:bottom w:val="single" w:sz="4" w:space="0" w:color="auto"/>
              <w:right w:val="single" w:sz="4" w:space="0" w:color="auto"/>
            </w:tcBorders>
            <w:shd w:val="clear" w:color="auto" w:fill="auto"/>
            <w:vAlign w:val="center"/>
          </w:tcPr>
          <w:p w:rsidR="0054713E" w:rsidRPr="000F3A8B" w:rsidRDefault="0054713E" w:rsidP="003C4364">
            <w:pPr>
              <w:jc w:val="right"/>
              <w:rPr>
                <w:color w:val="000000"/>
                <w:sz w:val="20"/>
                <w:szCs w:val="20"/>
              </w:rPr>
            </w:pPr>
          </w:p>
        </w:tc>
        <w:tc>
          <w:tcPr>
            <w:tcW w:w="1595" w:type="dxa"/>
            <w:tcBorders>
              <w:top w:val="nil"/>
              <w:left w:val="single" w:sz="4" w:space="0" w:color="auto"/>
              <w:bottom w:val="single" w:sz="4" w:space="0" w:color="auto"/>
              <w:right w:val="single" w:sz="4" w:space="0" w:color="auto"/>
            </w:tcBorders>
            <w:shd w:val="clear" w:color="auto" w:fill="auto"/>
            <w:vAlign w:val="center"/>
          </w:tcPr>
          <w:p w:rsidR="0054713E" w:rsidRPr="000F3A8B" w:rsidRDefault="0054713E" w:rsidP="003C4364">
            <w:pPr>
              <w:jc w:val="right"/>
              <w:rPr>
                <w:color w:val="000000"/>
                <w:sz w:val="20"/>
                <w:szCs w:val="20"/>
              </w:rPr>
            </w:pPr>
          </w:p>
        </w:tc>
        <w:tc>
          <w:tcPr>
            <w:tcW w:w="1595" w:type="dxa"/>
            <w:tcBorders>
              <w:top w:val="nil"/>
              <w:left w:val="nil"/>
              <w:bottom w:val="single" w:sz="4" w:space="0" w:color="auto"/>
              <w:right w:val="single" w:sz="8" w:space="0" w:color="auto"/>
            </w:tcBorders>
            <w:shd w:val="clear" w:color="auto" w:fill="auto"/>
            <w:vAlign w:val="bottom"/>
          </w:tcPr>
          <w:p w:rsidR="0054713E" w:rsidRPr="000F3A8B" w:rsidRDefault="0054713E" w:rsidP="003C4364">
            <w:pPr>
              <w:jc w:val="right"/>
              <w:rPr>
                <w:color w:val="000000"/>
                <w:sz w:val="20"/>
                <w:szCs w:val="20"/>
              </w:rPr>
            </w:pPr>
          </w:p>
        </w:tc>
        <w:tc>
          <w:tcPr>
            <w:tcW w:w="2162" w:type="dxa"/>
            <w:tcBorders>
              <w:top w:val="nil"/>
              <w:left w:val="single" w:sz="4" w:space="0" w:color="auto"/>
              <w:bottom w:val="single" w:sz="4" w:space="0" w:color="auto"/>
              <w:right w:val="single" w:sz="4" w:space="0" w:color="auto"/>
            </w:tcBorders>
            <w:shd w:val="clear" w:color="auto" w:fill="auto"/>
            <w:vAlign w:val="bottom"/>
          </w:tcPr>
          <w:p w:rsidR="0054713E" w:rsidRPr="000F3A8B" w:rsidRDefault="0054713E" w:rsidP="003C4364">
            <w:pPr>
              <w:jc w:val="right"/>
              <w:rPr>
                <w:color w:val="000000"/>
                <w:sz w:val="20"/>
                <w:szCs w:val="20"/>
              </w:rPr>
            </w:pPr>
          </w:p>
        </w:tc>
      </w:tr>
      <w:tr w:rsidR="00AA5B22" w:rsidRPr="000F3A8B" w:rsidTr="003C4364">
        <w:trPr>
          <w:trHeight w:val="170"/>
          <w:jc w:val="center"/>
        </w:trPr>
        <w:tc>
          <w:tcPr>
            <w:tcW w:w="5944" w:type="dxa"/>
            <w:tcBorders>
              <w:top w:val="nil"/>
              <w:left w:val="single" w:sz="8" w:space="0" w:color="auto"/>
              <w:bottom w:val="single" w:sz="4" w:space="0" w:color="auto"/>
              <w:right w:val="single" w:sz="8" w:space="0" w:color="auto"/>
            </w:tcBorders>
            <w:shd w:val="clear" w:color="auto" w:fill="auto"/>
            <w:vAlign w:val="center"/>
          </w:tcPr>
          <w:p w:rsidR="00AA5B22" w:rsidRPr="000F3A8B" w:rsidRDefault="00AA5B22" w:rsidP="00AA5B22">
            <w:pPr>
              <w:jc w:val="both"/>
              <w:rPr>
                <w:color w:val="000000"/>
                <w:sz w:val="20"/>
                <w:szCs w:val="20"/>
                <w:lang w:val="en-US"/>
              </w:rPr>
            </w:pPr>
            <w:r w:rsidRPr="000F3A8B">
              <w:rPr>
                <w:color w:val="000000"/>
                <w:sz w:val="20"/>
                <w:szCs w:val="20"/>
                <w:lang w:val="en-US"/>
              </w:rPr>
              <w:t>Unscheduled Care</w:t>
            </w:r>
          </w:p>
        </w:tc>
        <w:tc>
          <w:tcPr>
            <w:tcW w:w="1559" w:type="dxa"/>
            <w:tcBorders>
              <w:top w:val="nil"/>
              <w:left w:val="nil"/>
              <w:bottom w:val="single" w:sz="4" w:space="0" w:color="auto"/>
              <w:right w:val="single" w:sz="8" w:space="0" w:color="auto"/>
            </w:tcBorders>
            <w:shd w:val="clear" w:color="auto" w:fill="auto"/>
            <w:vAlign w:val="center"/>
          </w:tcPr>
          <w:p w:rsidR="00AA5B22" w:rsidRDefault="00AA5B22" w:rsidP="00AA5B22">
            <w:pPr>
              <w:jc w:val="right"/>
              <w:rPr>
                <w:sz w:val="20"/>
                <w:szCs w:val="20"/>
                <w:lang w:eastAsia="en-GB"/>
              </w:rPr>
            </w:pPr>
            <w:r>
              <w:rPr>
                <w:sz w:val="20"/>
                <w:szCs w:val="20"/>
              </w:rPr>
              <w:t>1,243</w:t>
            </w:r>
          </w:p>
        </w:tc>
        <w:tc>
          <w:tcPr>
            <w:tcW w:w="1594" w:type="dxa"/>
            <w:tcBorders>
              <w:top w:val="nil"/>
              <w:left w:val="single" w:sz="4" w:space="0" w:color="auto"/>
              <w:bottom w:val="single" w:sz="4" w:space="0" w:color="auto"/>
              <w:right w:val="single" w:sz="4" w:space="0" w:color="auto"/>
            </w:tcBorders>
            <w:shd w:val="clear" w:color="auto" w:fill="auto"/>
            <w:vAlign w:val="center"/>
          </w:tcPr>
          <w:p w:rsidR="00AA5B22" w:rsidRDefault="00AA5B22" w:rsidP="00AA5B22">
            <w:pPr>
              <w:jc w:val="right"/>
              <w:rPr>
                <w:sz w:val="20"/>
                <w:szCs w:val="20"/>
              </w:rPr>
            </w:pPr>
            <w:r>
              <w:rPr>
                <w:sz w:val="20"/>
                <w:szCs w:val="20"/>
              </w:rPr>
              <w:t>33</w:t>
            </w:r>
          </w:p>
        </w:tc>
        <w:tc>
          <w:tcPr>
            <w:tcW w:w="1595" w:type="dxa"/>
            <w:tcBorders>
              <w:top w:val="nil"/>
              <w:left w:val="single" w:sz="4" w:space="0" w:color="auto"/>
              <w:bottom w:val="single" w:sz="4" w:space="0" w:color="auto"/>
              <w:right w:val="single" w:sz="4" w:space="0" w:color="auto"/>
            </w:tcBorders>
            <w:shd w:val="clear" w:color="auto" w:fill="auto"/>
            <w:vAlign w:val="center"/>
          </w:tcPr>
          <w:p w:rsidR="00AA5B22" w:rsidRDefault="00AA5B22" w:rsidP="00AA5B22">
            <w:pPr>
              <w:jc w:val="right"/>
              <w:rPr>
                <w:sz w:val="20"/>
                <w:szCs w:val="20"/>
              </w:rPr>
            </w:pPr>
            <w:r>
              <w:rPr>
                <w:sz w:val="20"/>
                <w:szCs w:val="20"/>
              </w:rPr>
              <w:t>292</w:t>
            </w:r>
          </w:p>
        </w:tc>
        <w:tc>
          <w:tcPr>
            <w:tcW w:w="1595" w:type="dxa"/>
            <w:tcBorders>
              <w:top w:val="nil"/>
              <w:left w:val="nil"/>
              <w:bottom w:val="single" w:sz="4" w:space="0" w:color="auto"/>
              <w:right w:val="single" w:sz="8" w:space="0" w:color="auto"/>
            </w:tcBorders>
            <w:shd w:val="clear" w:color="auto" w:fill="auto"/>
            <w:vAlign w:val="center"/>
          </w:tcPr>
          <w:p w:rsidR="00AA5B22" w:rsidRDefault="00AA5B22" w:rsidP="00AA5B22">
            <w:pPr>
              <w:jc w:val="right"/>
              <w:rPr>
                <w:sz w:val="20"/>
                <w:szCs w:val="20"/>
              </w:rPr>
            </w:pPr>
            <w:r>
              <w:rPr>
                <w:sz w:val="20"/>
                <w:szCs w:val="20"/>
              </w:rPr>
              <w:t>325</w:t>
            </w:r>
          </w:p>
        </w:tc>
        <w:tc>
          <w:tcPr>
            <w:tcW w:w="2162" w:type="dxa"/>
            <w:tcBorders>
              <w:top w:val="nil"/>
              <w:left w:val="single" w:sz="4" w:space="0" w:color="auto"/>
              <w:bottom w:val="single" w:sz="4" w:space="0" w:color="auto"/>
              <w:right w:val="single" w:sz="4" w:space="0" w:color="auto"/>
            </w:tcBorders>
            <w:shd w:val="clear" w:color="auto" w:fill="auto"/>
            <w:vAlign w:val="center"/>
          </w:tcPr>
          <w:p w:rsidR="00AA5B22" w:rsidRDefault="00AA5B22" w:rsidP="00AA5B22">
            <w:pPr>
              <w:jc w:val="right"/>
              <w:rPr>
                <w:sz w:val="20"/>
                <w:szCs w:val="20"/>
              </w:rPr>
            </w:pPr>
            <w:r>
              <w:rPr>
                <w:sz w:val="20"/>
                <w:szCs w:val="20"/>
              </w:rPr>
              <w:t>215</w:t>
            </w:r>
          </w:p>
        </w:tc>
      </w:tr>
      <w:tr w:rsidR="00AA5B22" w:rsidRPr="000F3A8B" w:rsidTr="003C4364">
        <w:trPr>
          <w:trHeight w:val="170"/>
          <w:jc w:val="center"/>
        </w:trPr>
        <w:tc>
          <w:tcPr>
            <w:tcW w:w="5944" w:type="dxa"/>
            <w:tcBorders>
              <w:top w:val="nil"/>
              <w:left w:val="single" w:sz="8" w:space="0" w:color="auto"/>
              <w:bottom w:val="single" w:sz="4" w:space="0" w:color="auto"/>
              <w:right w:val="single" w:sz="8" w:space="0" w:color="auto"/>
            </w:tcBorders>
            <w:shd w:val="clear" w:color="auto" w:fill="auto"/>
            <w:vAlign w:val="center"/>
          </w:tcPr>
          <w:p w:rsidR="00AA5B22" w:rsidRPr="000F3A8B" w:rsidRDefault="00AA5B22" w:rsidP="00AA5B22">
            <w:pPr>
              <w:jc w:val="both"/>
              <w:rPr>
                <w:color w:val="000000"/>
                <w:sz w:val="20"/>
                <w:szCs w:val="20"/>
                <w:lang w:val="en-US"/>
              </w:rPr>
            </w:pPr>
            <w:r w:rsidRPr="000F3A8B">
              <w:rPr>
                <w:color w:val="000000"/>
                <w:sz w:val="20"/>
                <w:szCs w:val="20"/>
                <w:lang w:val="en-US"/>
              </w:rPr>
              <w:t>Planned Care</w:t>
            </w:r>
          </w:p>
        </w:tc>
        <w:tc>
          <w:tcPr>
            <w:tcW w:w="1559" w:type="dxa"/>
            <w:tcBorders>
              <w:top w:val="nil"/>
              <w:left w:val="nil"/>
              <w:bottom w:val="single" w:sz="4" w:space="0" w:color="auto"/>
              <w:right w:val="single" w:sz="8" w:space="0" w:color="auto"/>
            </w:tcBorders>
            <w:shd w:val="clear" w:color="auto" w:fill="auto"/>
            <w:vAlign w:val="center"/>
          </w:tcPr>
          <w:p w:rsidR="00AA5B22" w:rsidRDefault="00AA5B22" w:rsidP="00AA5B22">
            <w:pPr>
              <w:jc w:val="right"/>
              <w:rPr>
                <w:sz w:val="20"/>
                <w:szCs w:val="20"/>
              </w:rPr>
            </w:pPr>
            <w:r>
              <w:rPr>
                <w:sz w:val="20"/>
                <w:szCs w:val="20"/>
              </w:rPr>
              <w:t>3,755</w:t>
            </w:r>
          </w:p>
        </w:tc>
        <w:tc>
          <w:tcPr>
            <w:tcW w:w="1594" w:type="dxa"/>
            <w:tcBorders>
              <w:top w:val="nil"/>
              <w:left w:val="single" w:sz="4" w:space="0" w:color="auto"/>
              <w:bottom w:val="single" w:sz="4" w:space="0" w:color="auto"/>
              <w:right w:val="single" w:sz="4" w:space="0" w:color="auto"/>
            </w:tcBorders>
            <w:shd w:val="clear" w:color="auto" w:fill="auto"/>
            <w:vAlign w:val="center"/>
          </w:tcPr>
          <w:p w:rsidR="00AA5B22" w:rsidRDefault="00AA5B22" w:rsidP="00AA5B22">
            <w:pPr>
              <w:jc w:val="right"/>
              <w:rPr>
                <w:sz w:val="20"/>
                <w:szCs w:val="20"/>
              </w:rPr>
            </w:pPr>
            <w:r>
              <w:rPr>
                <w:sz w:val="20"/>
                <w:szCs w:val="20"/>
              </w:rPr>
              <w:t>77</w:t>
            </w:r>
          </w:p>
        </w:tc>
        <w:tc>
          <w:tcPr>
            <w:tcW w:w="1595" w:type="dxa"/>
            <w:tcBorders>
              <w:top w:val="nil"/>
              <w:left w:val="single" w:sz="4" w:space="0" w:color="auto"/>
              <w:bottom w:val="single" w:sz="4" w:space="0" w:color="auto"/>
              <w:right w:val="single" w:sz="4" w:space="0" w:color="auto"/>
            </w:tcBorders>
            <w:shd w:val="clear" w:color="auto" w:fill="auto"/>
            <w:vAlign w:val="center"/>
          </w:tcPr>
          <w:p w:rsidR="00AA5B22" w:rsidRDefault="00AA5B22" w:rsidP="00AA5B22">
            <w:pPr>
              <w:jc w:val="right"/>
              <w:rPr>
                <w:sz w:val="20"/>
                <w:szCs w:val="20"/>
              </w:rPr>
            </w:pPr>
            <w:r>
              <w:rPr>
                <w:sz w:val="20"/>
                <w:szCs w:val="20"/>
              </w:rPr>
              <w:t>1,482</w:t>
            </w:r>
          </w:p>
        </w:tc>
        <w:tc>
          <w:tcPr>
            <w:tcW w:w="1595" w:type="dxa"/>
            <w:tcBorders>
              <w:top w:val="nil"/>
              <w:left w:val="nil"/>
              <w:bottom w:val="single" w:sz="4" w:space="0" w:color="auto"/>
              <w:right w:val="single" w:sz="8" w:space="0" w:color="auto"/>
            </w:tcBorders>
            <w:shd w:val="clear" w:color="auto" w:fill="auto"/>
            <w:vAlign w:val="center"/>
          </w:tcPr>
          <w:p w:rsidR="00AA5B22" w:rsidRDefault="00AA5B22" w:rsidP="00AA5B22">
            <w:pPr>
              <w:jc w:val="right"/>
              <w:rPr>
                <w:sz w:val="20"/>
                <w:szCs w:val="20"/>
              </w:rPr>
            </w:pPr>
            <w:r>
              <w:rPr>
                <w:sz w:val="20"/>
                <w:szCs w:val="20"/>
              </w:rPr>
              <w:t>1,674</w:t>
            </w:r>
          </w:p>
        </w:tc>
        <w:tc>
          <w:tcPr>
            <w:tcW w:w="2162" w:type="dxa"/>
            <w:tcBorders>
              <w:top w:val="nil"/>
              <w:left w:val="single" w:sz="4" w:space="0" w:color="auto"/>
              <w:bottom w:val="single" w:sz="4" w:space="0" w:color="auto"/>
              <w:right w:val="single" w:sz="4" w:space="0" w:color="auto"/>
            </w:tcBorders>
            <w:shd w:val="clear" w:color="auto" w:fill="auto"/>
            <w:vAlign w:val="center"/>
          </w:tcPr>
          <w:p w:rsidR="00AA5B22" w:rsidRDefault="00AA5B22" w:rsidP="00AA5B22">
            <w:pPr>
              <w:jc w:val="right"/>
              <w:rPr>
                <w:sz w:val="20"/>
                <w:szCs w:val="20"/>
              </w:rPr>
            </w:pPr>
            <w:r>
              <w:rPr>
                <w:sz w:val="20"/>
                <w:szCs w:val="20"/>
              </w:rPr>
              <w:t>1,902</w:t>
            </w:r>
          </w:p>
        </w:tc>
      </w:tr>
      <w:tr w:rsidR="00AA5B22" w:rsidRPr="000F3A8B" w:rsidTr="003C4364">
        <w:trPr>
          <w:trHeight w:val="170"/>
          <w:jc w:val="center"/>
        </w:trPr>
        <w:tc>
          <w:tcPr>
            <w:tcW w:w="5944" w:type="dxa"/>
            <w:tcBorders>
              <w:top w:val="nil"/>
              <w:left w:val="single" w:sz="8" w:space="0" w:color="auto"/>
              <w:bottom w:val="single" w:sz="4" w:space="0" w:color="auto"/>
              <w:right w:val="single" w:sz="8" w:space="0" w:color="auto"/>
            </w:tcBorders>
            <w:shd w:val="clear" w:color="auto" w:fill="auto"/>
            <w:vAlign w:val="center"/>
          </w:tcPr>
          <w:p w:rsidR="00AA5B22" w:rsidRPr="000F3A8B" w:rsidRDefault="00AA5B22" w:rsidP="00AA5B22">
            <w:pPr>
              <w:jc w:val="both"/>
              <w:rPr>
                <w:color w:val="000000"/>
                <w:sz w:val="20"/>
                <w:szCs w:val="20"/>
                <w:lang w:val="en-US"/>
              </w:rPr>
            </w:pPr>
            <w:r w:rsidRPr="000F3A8B">
              <w:rPr>
                <w:color w:val="000000"/>
                <w:sz w:val="20"/>
                <w:szCs w:val="20"/>
                <w:lang w:val="en-US"/>
              </w:rPr>
              <w:t>POW Delivery Unit</w:t>
            </w:r>
          </w:p>
        </w:tc>
        <w:tc>
          <w:tcPr>
            <w:tcW w:w="1559" w:type="dxa"/>
            <w:tcBorders>
              <w:top w:val="nil"/>
              <w:left w:val="nil"/>
              <w:bottom w:val="single" w:sz="4" w:space="0" w:color="auto"/>
              <w:right w:val="single" w:sz="8" w:space="0" w:color="auto"/>
            </w:tcBorders>
            <w:shd w:val="clear" w:color="auto" w:fill="auto"/>
            <w:vAlign w:val="center"/>
          </w:tcPr>
          <w:p w:rsidR="00AA5B22" w:rsidRDefault="00AA5B22" w:rsidP="00AA5B22">
            <w:pPr>
              <w:jc w:val="right"/>
              <w:rPr>
                <w:sz w:val="20"/>
                <w:szCs w:val="20"/>
              </w:rPr>
            </w:pPr>
            <w:r>
              <w:rPr>
                <w:sz w:val="20"/>
                <w:szCs w:val="20"/>
              </w:rPr>
              <w:t>3,051</w:t>
            </w:r>
          </w:p>
        </w:tc>
        <w:tc>
          <w:tcPr>
            <w:tcW w:w="1594" w:type="dxa"/>
            <w:tcBorders>
              <w:top w:val="nil"/>
              <w:left w:val="single" w:sz="4" w:space="0" w:color="auto"/>
              <w:bottom w:val="single" w:sz="4" w:space="0" w:color="auto"/>
              <w:right w:val="single" w:sz="4" w:space="0" w:color="auto"/>
            </w:tcBorders>
            <w:shd w:val="clear" w:color="auto" w:fill="auto"/>
            <w:vAlign w:val="center"/>
          </w:tcPr>
          <w:p w:rsidR="00AA5B22" w:rsidRDefault="00AA5B22" w:rsidP="00AA5B22">
            <w:pPr>
              <w:jc w:val="right"/>
              <w:rPr>
                <w:sz w:val="20"/>
                <w:szCs w:val="20"/>
              </w:rPr>
            </w:pPr>
            <w:r>
              <w:rPr>
                <w:sz w:val="20"/>
                <w:szCs w:val="20"/>
              </w:rPr>
              <w:t>197</w:t>
            </w:r>
          </w:p>
        </w:tc>
        <w:tc>
          <w:tcPr>
            <w:tcW w:w="1595" w:type="dxa"/>
            <w:tcBorders>
              <w:top w:val="nil"/>
              <w:left w:val="single" w:sz="4" w:space="0" w:color="auto"/>
              <w:bottom w:val="single" w:sz="4" w:space="0" w:color="auto"/>
              <w:right w:val="single" w:sz="4" w:space="0" w:color="auto"/>
            </w:tcBorders>
            <w:shd w:val="clear" w:color="auto" w:fill="auto"/>
            <w:vAlign w:val="center"/>
          </w:tcPr>
          <w:p w:rsidR="00AA5B22" w:rsidRDefault="00AA5B22" w:rsidP="00AA5B22">
            <w:pPr>
              <w:jc w:val="right"/>
              <w:rPr>
                <w:sz w:val="20"/>
                <w:szCs w:val="20"/>
              </w:rPr>
            </w:pPr>
            <w:r>
              <w:rPr>
                <w:sz w:val="20"/>
                <w:szCs w:val="20"/>
              </w:rPr>
              <w:t>1,988</w:t>
            </w:r>
          </w:p>
        </w:tc>
        <w:tc>
          <w:tcPr>
            <w:tcW w:w="1595" w:type="dxa"/>
            <w:tcBorders>
              <w:top w:val="nil"/>
              <w:left w:val="nil"/>
              <w:bottom w:val="single" w:sz="4" w:space="0" w:color="auto"/>
              <w:right w:val="single" w:sz="8" w:space="0" w:color="auto"/>
            </w:tcBorders>
            <w:shd w:val="clear" w:color="auto" w:fill="auto"/>
            <w:vAlign w:val="center"/>
          </w:tcPr>
          <w:p w:rsidR="00AA5B22" w:rsidRDefault="00AA5B22" w:rsidP="00AA5B22">
            <w:pPr>
              <w:jc w:val="right"/>
              <w:rPr>
                <w:sz w:val="20"/>
                <w:szCs w:val="20"/>
              </w:rPr>
            </w:pPr>
            <w:r>
              <w:rPr>
                <w:sz w:val="20"/>
                <w:szCs w:val="20"/>
              </w:rPr>
              <w:t>2,189</w:t>
            </w:r>
          </w:p>
        </w:tc>
        <w:tc>
          <w:tcPr>
            <w:tcW w:w="2162" w:type="dxa"/>
            <w:tcBorders>
              <w:top w:val="nil"/>
              <w:left w:val="single" w:sz="4" w:space="0" w:color="auto"/>
              <w:bottom w:val="single" w:sz="4" w:space="0" w:color="auto"/>
              <w:right w:val="single" w:sz="4" w:space="0" w:color="auto"/>
            </w:tcBorders>
            <w:shd w:val="clear" w:color="auto" w:fill="auto"/>
            <w:vAlign w:val="center"/>
          </w:tcPr>
          <w:p w:rsidR="00AA5B22" w:rsidRDefault="00AA5B22" w:rsidP="00AA5B22">
            <w:pPr>
              <w:jc w:val="right"/>
              <w:rPr>
                <w:sz w:val="20"/>
                <w:szCs w:val="20"/>
              </w:rPr>
            </w:pPr>
            <w:r>
              <w:rPr>
                <w:sz w:val="20"/>
                <w:szCs w:val="20"/>
              </w:rPr>
              <w:t>2,465</w:t>
            </w:r>
          </w:p>
        </w:tc>
      </w:tr>
      <w:tr w:rsidR="00AA5B22" w:rsidRPr="000F3A8B" w:rsidTr="003C4364">
        <w:trPr>
          <w:trHeight w:val="170"/>
          <w:jc w:val="center"/>
        </w:trPr>
        <w:tc>
          <w:tcPr>
            <w:tcW w:w="5944" w:type="dxa"/>
            <w:tcBorders>
              <w:top w:val="nil"/>
              <w:left w:val="single" w:sz="8" w:space="0" w:color="auto"/>
              <w:bottom w:val="single" w:sz="4" w:space="0" w:color="auto"/>
              <w:right w:val="single" w:sz="8" w:space="0" w:color="auto"/>
            </w:tcBorders>
            <w:shd w:val="clear" w:color="auto" w:fill="auto"/>
            <w:vAlign w:val="center"/>
          </w:tcPr>
          <w:p w:rsidR="00AA5B22" w:rsidRPr="000F3A8B" w:rsidRDefault="00AA5B22" w:rsidP="00AA5B22">
            <w:pPr>
              <w:jc w:val="both"/>
              <w:rPr>
                <w:color w:val="000000"/>
                <w:sz w:val="20"/>
                <w:szCs w:val="20"/>
                <w:lang w:val="en-US"/>
              </w:rPr>
            </w:pPr>
            <w:r w:rsidRPr="000F3A8B">
              <w:rPr>
                <w:color w:val="000000"/>
                <w:sz w:val="20"/>
                <w:szCs w:val="20"/>
                <w:lang w:val="en-US"/>
              </w:rPr>
              <w:t xml:space="preserve">Clinical Support </w:t>
            </w:r>
          </w:p>
        </w:tc>
        <w:tc>
          <w:tcPr>
            <w:tcW w:w="1559" w:type="dxa"/>
            <w:tcBorders>
              <w:top w:val="nil"/>
              <w:left w:val="nil"/>
              <w:bottom w:val="single" w:sz="4" w:space="0" w:color="auto"/>
              <w:right w:val="single" w:sz="8" w:space="0" w:color="auto"/>
            </w:tcBorders>
            <w:shd w:val="clear" w:color="auto" w:fill="auto"/>
            <w:vAlign w:val="center"/>
          </w:tcPr>
          <w:p w:rsidR="00AA5B22" w:rsidRDefault="00AA5B22" w:rsidP="00AA5B22">
            <w:pPr>
              <w:jc w:val="right"/>
              <w:rPr>
                <w:sz w:val="20"/>
                <w:szCs w:val="20"/>
              </w:rPr>
            </w:pPr>
            <w:r>
              <w:rPr>
                <w:sz w:val="20"/>
                <w:szCs w:val="20"/>
              </w:rPr>
              <w:t>894</w:t>
            </w:r>
          </w:p>
        </w:tc>
        <w:tc>
          <w:tcPr>
            <w:tcW w:w="1594" w:type="dxa"/>
            <w:tcBorders>
              <w:top w:val="nil"/>
              <w:left w:val="single" w:sz="4" w:space="0" w:color="auto"/>
              <w:bottom w:val="single" w:sz="4" w:space="0" w:color="auto"/>
              <w:right w:val="single" w:sz="4" w:space="0" w:color="auto"/>
            </w:tcBorders>
            <w:shd w:val="clear" w:color="auto" w:fill="auto"/>
            <w:vAlign w:val="center"/>
          </w:tcPr>
          <w:p w:rsidR="00AA5B22" w:rsidRDefault="00AA5B22" w:rsidP="00AA5B22">
            <w:pPr>
              <w:jc w:val="right"/>
              <w:rPr>
                <w:sz w:val="20"/>
                <w:szCs w:val="20"/>
              </w:rPr>
            </w:pPr>
            <w:r>
              <w:rPr>
                <w:color w:val="FF0000"/>
                <w:sz w:val="20"/>
                <w:szCs w:val="20"/>
              </w:rPr>
              <w:t>(60)</w:t>
            </w:r>
          </w:p>
        </w:tc>
        <w:tc>
          <w:tcPr>
            <w:tcW w:w="1595" w:type="dxa"/>
            <w:tcBorders>
              <w:top w:val="nil"/>
              <w:left w:val="single" w:sz="4" w:space="0" w:color="auto"/>
              <w:bottom w:val="single" w:sz="4" w:space="0" w:color="auto"/>
              <w:right w:val="single" w:sz="4" w:space="0" w:color="auto"/>
            </w:tcBorders>
            <w:shd w:val="clear" w:color="auto" w:fill="auto"/>
            <w:vAlign w:val="center"/>
          </w:tcPr>
          <w:p w:rsidR="00AA5B22" w:rsidRDefault="00AA5B22" w:rsidP="00AA5B22">
            <w:pPr>
              <w:jc w:val="right"/>
              <w:rPr>
                <w:sz w:val="20"/>
                <w:szCs w:val="20"/>
              </w:rPr>
            </w:pPr>
            <w:r>
              <w:rPr>
                <w:sz w:val="20"/>
                <w:szCs w:val="20"/>
              </w:rPr>
              <w:t>271</w:t>
            </w:r>
          </w:p>
        </w:tc>
        <w:tc>
          <w:tcPr>
            <w:tcW w:w="1595" w:type="dxa"/>
            <w:tcBorders>
              <w:top w:val="nil"/>
              <w:left w:val="nil"/>
              <w:bottom w:val="single" w:sz="4" w:space="0" w:color="auto"/>
              <w:right w:val="single" w:sz="8" w:space="0" w:color="auto"/>
            </w:tcBorders>
            <w:shd w:val="clear" w:color="auto" w:fill="auto"/>
            <w:vAlign w:val="center"/>
          </w:tcPr>
          <w:p w:rsidR="00AA5B22" w:rsidRDefault="00AA5B22" w:rsidP="00AA5B22">
            <w:pPr>
              <w:jc w:val="right"/>
              <w:rPr>
                <w:sz w:val="20"/>
                <w:szCs w:val="20"/>
              </w:rPr>
            </w:pPr>
            <w:r>
              <w:rPr>
                <w:sz w:val="20"/>
                <w:szCs w:val="20"/>
              </w:rPr>
              <w:t>387</w:t>
            </w:r>
          </w:p>
        </w:tc>
        <w:tc>
          <w:tcPr>
            <w:tcW w:w="2162" w:type="dxa"/>
            <w:tcBorders>
              <w:top w:val="nil"/>
              <w:left w:val="single" w:sz="4" w:space="0" w:color="auto"/>
              <w:bottom w:val="single" w:sz="4" w:space="0" w:color="auto"/>
              <w:right w:val="single" w:sz="4" w:space="0" w:color="auto"/>
            </w:tcBorders>
            <w:shd w:val="clear" w:color="auto" w:fill="auto"/>
            <w:vAlign w:val="center"/>
          </w:tcPr>
          <w:p w:rsidR="00AA5B22" w:rsidRDefault="00AA5B22" w:rsidP="00AA5B22">
            <w:pPr>
              <w:jc w:val="right"/>
              <w:rPr>
                <w:sz w:val="20"/>
                <w:szCs w:val="20"/>
              </w:rPr>
            </w:pPr>
            <w:r>
              <w:rPr>
                <w:sz w:val="20"/>
                <w:szCs w:val="20"/>
              </w:rPr>
              <w:t>504</w:t>
            </w:r>
          </w:p>
        </w:tc>
      </w:tr>
      <w:tr w:rsidR="00AA5B22" w:rsidRPr="000F3A8B" w:rsidTr="003C4364">
        <w:trPr>
          <w:trHeight w:val="170"/>
          <w:jc w:val="center"/>
        </w:trPr>
        <w:tc>
          <w:tcPr>
            <w:tcW w:w="5944" w:type="dxa"/>
            <w:tcBorders>
              <w:top w:val="nil"/>
              <w:left w:val="single" w:sz="8" w:space="0" w:color="auto"/>
              <w:bottom w:val="single" w:sz="4" w:space="0" w:color="auto"/>
              <w:right w:val="single" w:sz="8" w:space="0" w:color="auto"/>
            </w:tcBorders>
            <w:shd w:val="clear" w:color="auto" w:fill="auto"/>
            <w:vAlign w:val="center"/>
          </w:tcPr>
          <w:p w:rsidR="00AA5B22" w:rsidRPr="000F3A8B" w:rsidRDefault="00AA5B22" w:rsidP="00AA5B22">
            <w:pPr>
              <w:jc w:val="both"/>
              <w:rPr>
                <w:color w:val="000000"/>
                <w:sz w:val="20"/>
                <w:szCs w:val="20"/>
                <w:lang w:val="en-US"/>
              </w:rPr>
            </w:pPr>
            <w:r w:rsidRPr="000F3A8B">
              <w:rPr>
                <w:color w:val="000000"/>
                <w:sz w:val="20"/>
                <w:szCs w:val="20"/>
                <w:lang w:val="en-US"/>
              </w:rPr>
              <w:t xml:space="preserve">Facilities </w:t>
            </w:r>
          </w:p>
        </w:tc>
        <w:tc>
          <w:tcPr>
            <w:tcW w:w="1559" w:type="dxa"/>
            <w:tcBorders>
              <w:top w:val="nil"/>
              <w:left w:val="nil"/>
              <w:bottom w:val="single" w:sz="4" w:space="0" w:color="auto"/>
              <w:right w:val="single" w:sz="8" w:space="0" w:color="auto"/>
            </w:tcBorders>
            <w:shd w:val="clear" w:color="auto" w:fill="auto"/>
            <w:vAlign w:val="center"/>
          </w:tcPr>
          <w:p w:rsidR="00AA5B22" w:rsidRDefault="00AA5B22" w:rsidP="00AA5B22">
            <w:pPr>
              <w:jc w:val="right"/>
              <w:rPr>
                <w:sz w:val="20"/>
                <w:szCs w:val="20"/>
              </w:rPr>
            </w:pPr>
            <w:r>
              <w:rPr>
                <w:sz w:val="20"/>
                <w:szCs w:val="20"/>
              </w:rPr>
              <w:t>1,294</w:t>
            </w:r>
          </w:p>
        </w:tc>
        <w:tc>
          <w:tcPr>
            <w:tcW w:w="1594" w:type="dxa"/>
            <w:tcBorders>
              <w:top w:val="nil"/>
              <w:left w:val="single" w:sz="4" w:space="0" w:color="auto"/>
              <w:bottom w:val="single" w:sz="4" w:space="0" w:color="auto"/>
              <w:right w:val="single" w:sz="4" w:space="0" w:color="auto"/>
            </w:tcBorders>
            <w:shd w:val="clear" w:color="auto" w:fill="auto"/>
            <w:vAlign w:val="center"/>
          </w:tcPr>
          <w:p w:rsidR="00AA5B22" w:rsidRDefault="00AA5B22" w:rsidP="00AA5B22">
            <w:pPr>
              <w:jc w:val="right"/>
              <w:rPr>
                <w:sz w:val="20"/>
                <w:szCs w:val="20"/>
              </w:rPr>
            </w:pPr>
            <w:r>
              <w:rPr>
                <w:sz w:val="20"/>
                <w:szCs w:val="20"/>
              </w:rPr>
              <w:t>80</w:t>
            </w:r>
          </w:p>
        </w:tc>
        <w:tc>
          <w:tcPr>
            <w:tcW w:w="1595" w:type="dxa"/>
            <w:tcBorders>
              <w:top w:val="nil"/>
              <w:left w:val="single" w:sz="4" w:space="0" w:color="auto"/>
              <w:bottom w:val="single" w:sz="4" w:space="0" w:color="auto"/>
              <w:right w:val="single" w:sz="4" w:space="0" w:color="auto"/>
            </w:tcBorders>
            <w:shd w:val="clear" w:color="auto" w:fill="auto"/>
            <w:vAlign w:val="center"/>
          </w:tcPr>
          <w:p w:rsidR="00AA5B22" w:rsidRDefault="00AA5B22" w:rsidP="00AA5B22">
            <w:pPr>
              <w:jc w:val="right"/>
              <w:rPr>
                <w:sz w:val="20"/>
                <w:szCs w:val="20"/>
              </w:rPr>
            </w:pPr>
            <w:r>
              <w:rPr>
                <w:sz w:val="20"/>
                <w:szCs w:val="20"/>
              </w:rPr>
              <w:t>1,125</w:t>
            </w:r>
          </w:p>
        </w:tc>
        <w:tc>
          <w:tcPr>
            <w:tcW w:w="1595" w:type="dxa"/>
            <w:tcBorders>
              <w:top w:val="nil"/>
              <w:left w:val="nil"/>
              <w:bottom w:val="single" w:sz="4" w:space="0" w:color="auto"/>
              <w:right w:val="single" w:sz="8" w:space="0" w:color="auto"/>
            </w:tcBorders>
            <w:shd w:val="clear" w:color="auto" w:fill="auto"/>
            <w:vAlign w:val="center"/>
          </w:tcPr>
          <w:p w:rsidR="00AA5B22" w:rsidRDefault="00AA5B22" w:rsidP="00AA5B22">
            <w:pPr>
              <w:jc w:val="right"/>
              <w:rPr>
                <w:sz w:val="20"/>
                <w:szCs w:val="20"/>
              </w:rPr>
            </w:pPr>
            <w:r>
              <w:rPr>
                <w:sz w:val="20"/>
                <w:szCs w:val="20"/>
              </w:rPr>
              <w:t>1,193</w:t>
            </w:r>
          </w:p>
        </w:tc>
        <w:tc>
          <w:tcPr>
            <w:tcW w:w="2162" w:type="dxa"/>
            <w:tcBorders>
              <w:top w:val="nil"/>
              <w:left w:val="single" w:sz="4" w:space="0" w:color="auto"/>
              <w:bottom w:val="single" w:sz="4" w:space="0" w:color="auto"/>
              <w:right w:val="single" w:sz="4" w:space="0" w:color="auto"/>
            </w:tcBorders>
            <w:shd w:val="clear" w:color="auto" w:fill="auto"/>
            <w:vAlign w:val="center"/>
          </w:tcPr>
          <w:p w:rsidR="00AA5B22" w:rsidRDefault="00AA5B22" w:rsidP="00AA5B22">
            <w:pPr>
              <w:jc w:val="right"/>
              <w:rPr>
                <w:sz w:val="20"/>
                <w:szCs w:val="20"/>
              </w:rPr>
            </w:pPr>
            <w:r>
              <w:rPr>
                <w:sz w:val="20"/>
                <w:szCs w:val="20"/>
              </w:rPr>
              <w:t>1,058</w:t>
            </w:r>
          </w:p>
        </w:tc>
      </w:tr>
      <w:tr w:rsidR="00AA5B22" w:rsidRPr="000F3A8B" w:rsidTr="003C4364">
        <w:trPr>
          <w:trHeight w:val="170"/>
          <w:jc w:val="center"/>
        </w:trPr>
        <w:tc>
          <w:tcPr>
            <w:tcW w:w="5944" w:type="dxa"/>
            <w:tcBorders>
              <w:top w:val="nil"/>
              <w:left w:val="single" w:sz="8" w:space="0" w:color="auto"/>
              <w:bottom w:val="single" w:sz="4" w:space="0" w:color="auto"/>
              <w:right w:val="single" w:sz="8" w:space="0" w:color="auto"/>
            </w:tcBorders>
            <w:shd w:val="clear" w:color="auto" w:fill="8DB3E2" w:themeFill="text2" w:themeFillTint="66"/>
            <w:vAlign w:val="center"/>
          </w:tcPr>
          <w:p w:rsidR="00AA5B22" w:rsidRPr="000F3A8B" w:rsidRDefault="00AA5B22" w:rsidP="00AA5B22">
            <w:pPr>
              <w:jc w:val="right"/>
              <w:rPr>
                <w:b/>
                <w:bCs/>
                <w:color w:val="000000"/>
                <w:sz w:val="20"/>
                <w:szCs w:val="20"/>
                <w:lang w:eastAsia="en-GB"/>
              </w:rPr>
            </w:pPr>
            <w:r w:rsidRPr="000F3A8B">
              <w:rPr>
                <w:b/>
                <w:bCs/>
                <w:color w:val="000000"/>
                <w:sz w:val="20"/>
                <w:szCs w:val="20"/>
                <w:lang w:eastAsia="en-GB"/>
              </w:rPr>
              <w:t>Total COO</w:t>
            </w:r>
          </w:p>
        </w:tc>
        <w:tc>
          <w:tcPr>
            <w:tcW w:w="1559" w:type="dxa"/>
            <w:tcBorders>
              <w:top w:val="nil"/>
              <w:left w:val="nil"/>
              <w:bottom w:val="single" w:sz="4" w:space="0" w:color="auto"/>
              <w:right w:val="single" w:sz="8" w:space="0" w:color="auto"/>
            </w:tcBorders>
            <w:shd w:val="clear" w:color="auto" w:fill="8DB3E2" w:themeFill="text2" w:themeFillTint="66"/>
            <w:vAlign w:val="center"/>
          </w:tcPr>
          <w:p w:rsidR="00AA5B22" w:rsidRDefault="00AA5B22" w:rsidP="00AA5B22">
            <w:pPr>
              <w:jc w:val="right"/>
              <w:rPr>
                <w:b/>
                <w:bCs/>
                <w:sz w:val="20"/>
                <w:szCs w:val="20"/>
              </w:rPr>
            </w:pPr>
            <w:r>
              <w:rPr>
                <w:b/>
                <w:bCs/>
                <w:sz w:val="20"/>
                <w:szCs w:val="20"/>
              </w:rPr>
              <w:t>10,237</w:t>
            </w:r>
          </w:p>
        </w:tc>
        <w:tc>
          <w:tcPr>
            <w:tcW w:w="1594" w:type="dxa"/>
            <w:tcBorders>
              <w:top w:val="nil"/>
              <w:left w:val="single" w:sz="4" w:space="0" w:color="auto"/>
              <w:bottom w:val="single" w:sz="4" w:space="0" w:color="auto"/>
              <w:right w:val="single" w:sz="4" w:space="0" w:color="auto"/>
            </w:tcBorders>
            <w:shd w:val="clear" w:color="auto" w:fill="8DB3E2" w:themeFill="text2" w:themeFillTint="66"/>
            <w:vAlign w:val="center"/>
          </w:tcPr>
          <w:p w:rsidR="00AA5B22" w:rsidRDefault="00AA5B22" w:rsidP="00AA5B22">
            <w:pPr>
              <w:jc w:val="right"/>
              <w:rPr>
                <w:b/>
                <w:bCs/>
                <w:sz w:val="20"/>
                <w:szCs w:val="20"/>
              </w:rPr>
            </w:pPr>
            <w:r>
              <w:rPr>
                <w:b/>
                <w:bCs/>
                <w:sz w:val="20"/>
                <w:szCs w:val="20"/>
              </w:rPr>
              <w:t>327</w:t>
            </w:r>
          </w:p>
        </w:tc>
        <w:tc>
          <w:tcPr>
            <w:tcW w:w="1595" w:type="dxa"/>
            <w:tcBorders>
              <w:top w:val="nil"/>
              <w:left w:val="single" w:sz="4" w:space="0" w:color="auto"/>
              <w:bottom w:val="single" w:sz="4" w:space="0" w:color="auto"/>
              <w:right w:val="single" w:sz="4" w:space="0" w:color="auto"/>
            </w:tcBorders>
            <w:shd w:val="clear" w:color="auto" w:fill="8DB3E2" w:themeFill="text2" w:themeFillTint="66"/>
            <w:vAlign w:val="center"/>
          </w:tcPr>
          <w:p w:rsidR="00AA5B22" w:rsidRDefault="00AA5B22" w:rsidP="00AA5B22">
            <w:pPr>
              <w:jc w:val="right"/>
              <w:rPr>
                <w:b/>
                <w:bCs/>
                <w:sz w:val="20"/>
                <w:szCs w:val="20"/>
              </w:rPr>
            </w:pPr>
            <w:r>
              <w:rPr>
                <w:b/>
                <w:bCs/>
                <w:sz w:val="20"/>
                <w:szCs w:val="20"/>
              </w:rPr>
              <w:t>5,158</w:t>
            </w:r>
          </w:p>
        </w:tc>
        <w:tc>
          <w:tcPr>
            <w:tcW w:w="1595" w:type="dxa"/>
            <w:tcBorders>
              <w:top w:val="nil"/>
              <w:left w:val="nil"/>
              <w:bottom w:val="single" w:sz="4" w:space="0" w:color="auto"/>
              <w:right w:val="single" w:sz="8" w:space="0" w:color="auto"/>
            </w:tcBorders>
            <w:shd w:val="clear" w:color="auto" w:fill="8DB3E2" w:themeFill="text2" w:themeFillTint="66"/>
            <w:vAlign w:val="center"/>
          </w:tcPr>
          <w:p w:rsidR="00AA5B22" w:rsidRDefault="00AA5B22" w:rsidP="00AA5B22">
            <w:pPr>
              <w:jc w:val="right"/>
              <w:rPr>
                <w:b/>
                <w:bCs/>
                <w:sz w:val="20"/>
                <w:szCs w:val="20"/>
              </w:rPr>
            </w:pPr>
            <w:r>
              <w:rPr>
                <w:b/>
                <w:bCs/>
                <w:sz w:val="20"/>
                <w:szCs w:val="20"/>
              </w:rPr>
              <w:t>5,768</w:t>
            </w:r>
          </w:p>
        </w:tc>
        <w:tc>
          <w:tcPr>
            <w:tcW w:w="2162" w:type="dxa"/>
            <w:tcBorders>
              <w:top w:val="nil"/>
              <w:left w:val="single" w:sz="4" w:space="0" w:color="auto"/>
              <w:bottom w:val="single" w:sz="4" w:space="0" w:color="auto"/>
              <w:right w:val="single" w:sz="4" w:space="0" w:color="auto"/>
            </w:tcBorders>
            <w:shd w:val="clear" w:color="auto" w:fill="8DB3E2" w:themeFill="text2" w:themeFillTint="66"/>
            <w:vAlign w:val="center"/>
          </w:tcPr>
          <w:p w:rsidR="00AA5B22" w:rsidRDefault="00AA5B22" w:rsidP="00AA5B22">
            <w:pPr>
              <w:jc w:val="right"/>
              <w:rPr>
                <w:b/>
                <w:bCs/>
                <w:sz w:val="20"/>
                <w:szCs w:val="20"/>
              </w:rPr>
            </w:pPr>
            <w:r>
              <w:rPr>
                <w:b/>
                <w:bCs/>
                <w:sz w:val="20"/>
                <w:szCs w:val="20"/>
              </w:rPr>
              <w:t>6,144</w:t>
            </w:r>
          </w:p>
        </w:tc>
      </w:tr>
      <w:tr w:rsidR="00AA5B22" w:rsidRPr="000F3A8B" w:rsidTr="003C4364">
        <w:trPr>
          <w:trHeight w:val="170"/>
          <w:jc w:val="center"/>
        </w:trPr>
        <w:tc>
          <w:tcPr>
            <w:tcW w:w="5944" w:type="dxa"/>
            <w:tcBorders>
              <w:top w:val="nil"/>
              <w:left w:val="single" w:sz="8" w:space="0" w:color="auto"/>
              <w:bottom w:val="single" w:sz="4" w:space="0" w:color="auto"/>
              <w:right w:val="single" w:sz="8" w:space="0" w:color="auto"/>
            </w:tcBorders>
            <w:shd w:val="clear" w:color="auto" w:fill="auto"/>
            <w:vAlign w:val="center"/>
          </w:tcPr>
          <w:p w:rsidR="00AA5B22" w:rsidRPr="000F3A8B" w:rsidRDefault="00AA5B22" w:rsidP="00AA5B22">
            <w:pPr>
              <w:jc w:val="both"/>
              <w:rPr>
                <w:b/>
                <w:bCs/>
                <w:color w:val="000000"/>
                <w:sz w:val="20"/>
                <w:szCs w:val="20"/>
                <w:lang w:val="en-US"/>
              </w:rPr>
            </w:pPr>
            <w:r w:rsidRPr="000F3A8B">
              <w:rPr>
                <w:b/>
                <w:bCs/>
                <w:color w:val="000000"/>
                <w:sz w:val="20"/>
                <w:szCs w:val="20"/>
                <w:lang w:val="en-US"/>
              </w:rPr>
              <w:t>PCMH:</w:t>
            </w:r>
          </w:p>
        </w:tc>
        <w:tc>
          <w:tcPr>
            <w:tcW w:w="1559" w:type="dxa"/>
            <w:tcBorders>
              <w:top w:val="nil"/>
              <w:left w:val="nil"/>
              <w:bottom w:val="single" w:sz="4" w:space="0" w:color="auto"/>
              <w:right w:val="single" w:sz="8" w:space="0" w:color="auto"/>
            </w:tcBorders>
            <w:shd w:val="clear" w:color="auto" w:fill="auto"/>
            <w:vAlign w:val="center"/>
          </w:tcPr>
          <w:p w:rsidR="00AA5B22" w:rsidRDefault="00AA5B22" w:rsidP="00AA5B22">
            <w:pPr>
              <w:jc w:val="right"/>
              <w:rPr>
                <w:sz w:val="20"/>
                <w:szCs w:val="20"/>
              </w:rPr>
            </w:pPr>
            <w:r>
              <w:rPr>
                <w:sz w:val="20"/>
                <w:szCs w:val="20"/>
              </w:rPr>
              <w:t> </w:t>
            </w:r>
          </w:p>
        </w:tc>
        <w:tc>
          <w:tcPr>
            <w:tcW w:w="1594" w:type="dxa"/>
            <w:tcBorders>
              <w:top w:val="nil"/>
              <w:left w:val="single" w:sz="4" w:space="0" w:color="auto"/>
              <w:bottom w:val="single" w:sz="4" w:space="0" w:color="auto"/>
              <w:right w:val="single" w:sz="4" w:space="0" w:color="auto"/>
            </w:tcBorders>
            <w:shd w:val="clear" w:color="auto" w:fill="auto"/>
            <w:vAlign w:val="center"/>
          </w:tcPr>
          <w:p w:rsidR="00AA5B22" w:rsidRDefault="00AA5B22" w:rsidP="00AA5B22">
            <w:pPr>
              <w:jc w:val="right"/>
              <w:rPr>
                <w:sz w:val="20"/>
                <w:szCs w:val="20"/>
              </w:rPr>
            </w:pPr>
            <w:r>
              <w:rPr>
                <w:sz w:val="20"/>
                <w:szCs w:val="20"/>
              </w:rPr>
              <w:t> </w:t>
            </w:r>
          </w:p>
        </w:tc>
        <w:tc>
          <w:tcPr>
            <w:tcW w:w="1595" w:type="dxa"/>
            <w:tcBorders>
              <w:top w:val="nil"/>
              <w:left w:val="single" w:sz="4" w:space="0" w:color="auto"/>
              <w:bottom w:val="single" w:sz="4" w:space="0" w:color="auto"/>
              <w:right w:val="single" w:sz="4" w:space="0" w:color="auto"/>
            </w:tcBorders>
            <w:shd w:val="clear" w:color="auto" w:fill="auto"/>
            <w:vAlign w:val="center"/>
          </w:tcPr>
          <w:p w:rsidR="00AA5B22" w:rsidRDefault="00AA5B22" w:rsidP="00AA5B22">
            <w:pPr>
              <w:jc w:val="right"/>
              <w:rPr>
                <w:sz w:val="20"/>
                <w:szCs w:val="20"/>
              </w:rPr>
            </w:pPr>
            <w:r>
              <w:rPr>
                <w:sz w:val="20"/>
                <w:szCs w:val="20"/>
              </w:rPr>
              <w:t> </w:t>
            </w:r>
          </w:p>
        </w:tc>
        <w:tc>
          <w:tcPr>
            <w:tcW w:w="1595" w:type="dxa"/>
            <w:tcBorders>
              <w:top w:val="nil"/>
              <w:left w:val="nil"/>
              <w:bottom w:val="single" w:sz="4" w:space="0" w:color="auto"/>
              <w:right w:val="single" w:sz="8" w:space="0" w:color="auto"/>
            </w:tcBorders>
            <w:shd w:val="clear" w:color="auto" w:fill="auto"/>
            <w:vAlign w:val="center"/>
          </w:tcPr>
          <w:p w:rsidR="00AA5B22" w:rsidRDefault="00AA5B22" w:rsidP="00AA5B22">
            <w:pPr>
              <w:jc w:val="right"/>
              <w:rPr>
                <w:sz w:val="20"/>
                <w:szCs w:val="20"/>
              </w:rPr>
            </w:pPr>
            <w:r>
              <w:rPr>
                <w:sz w:val="20"/>
                <w:szCs w:val="20"/>
              </w:rPr>
              <w:t> </w:t>
            </w:r>
          </w:p>
        </w:tc>
        <w:tc>
          <w:tcPr>
            <w:tcW w:w="2162" w:type="dxa"/>
            <w:tcBorders>
              <w:top w:val="nil"/>
              <w:left w:val="single" w:sz="4" w:space="0" w:color="auto"/>
              <w:bottom w:val="single" w:sz="4" w:space="0" w:color="auto"/>
              <w:right w:val="single" w:sz="4" w:space="0" w:color="auto"/>
            </w:tcBorders>
            <w:shd w:val="clear" w:color="auto" w:fill="auto"/>
            <w:vAlign w:val="center"/>
          </w:tcPr>
          <w:p w:rsidR="00AA5B22" w:rsidRDefault="00AA5B22" w:rsidP="00AA5B22">
            <w:pPr>
              <w:jc w:val="right"/>
              <w:rPr>
                <w:sz w:val="20"/>
                <w:szCs w:val="20"/>
              </w:rPr>
            </w:pPr>
            <w:r>
              <w:rPr>
                <w:sz w:val="20"/>
                <w:szCs w:val="20"/>
              </w:rPr>
              <w:t> </w:t>
            </w:r>
          </w:p>
        </w:tc>
      </w:tr>
      <w:tr w:rsidR="00AA5B22" w:rsidRPr="000F3A8B" w:rsidTr="003C4364">
        <w:trPr>
          <w:trHeight w:val="170"/>
          <w:jc w:val="center"/>
        </w:trPr>
        <w:tc>
          <w:tcPr>
            <w:tcW w:w="5944" w:type="dxa"/>
            <w:tcBorders>
              <w:top w:val="nil"/>
              <w:left w:val="single" w:sz="8" w:space="0" w:color="auto"/>
              <w:bottom w:val="single" w:sz="4" w:space="0" w:color="auto"/>
              <w:right w:val="single" w:sz="8" w:space="0" w:color="auto"/>
            </w:tcBorders>
            <w:shd w:val="clear" w:color="auto" w:fill="auto"/>
            <w:vAlign w:val="center"/>
          </w:tcPr>
          <w:p w:rsidR="00AA5B22" w:rsidRPr="000F3A8B" w:rsidRDefault="00AA5B22" w:rsidP="00AA5B22">
            <w:pPr>
              <w:rPr>
                <w:color w:val="000000"/>
                <w:sz w:val="20"/>
                <w:szCs w:val="20"/>
                <w:lang w:val="en-US"/>
              </w:rPr>
            </w:pPr>
            <w:r w:rsidRPr="000F3A8B">
              <w:rPr>
                <w:color w:val="000000"/>
                <w:sz w:val="20"/>
                <w:szCs w:val="20"/>
                <w:lang w:val="en-US"/>
              </w:rPr>
              <w:t>Primary &amp; Community</w:t>
            </w:r>
          </w:p>
        </w:tc>
        <w:tc>
          <w:tcPr>
            <w:tcW w:w="1559" w:type="dxa"/>
            <w:tcBorders>
              <w:top w:val="nil"/>
              <w:left w:val="nil"/>
              <w:bottom w:val="single" w:sz="4" w:space="0" w:color="auto"/>
              <w:right w:val="single" w:sz="8" w:space="0" w:color="auto"/>
            </w:tcBorders>
            <w:shd w:val="clear" w:color="auto" w:fill="auto"/>
            <w:vAlign w:val="center"/>
          </w:tcPr>
          <w:p w:rsidR="00AA5B22" w:rsidRDefault="00AA5B22" w:rsidP="00AA5B22">
            <w:pPr>
              <w:jc w:val="right"/>
              <w:rPr>
                <w:sz w:val="20"/>
                <w:szCs w:val="20"/>
              </w:rPr>
            </w:pPr>
            <w:r>
              <w:rPr>
                <w:sz w:val="20"/>
                <w:szCs w:val="20"/>
              </w:rPr>
              <w:t>2,218</w:t>
            </w:r>
          </w:p>
        </w:tc>
        <w:tc>
          <w:tcPr>
            <w:tcW w:w="1594" w:type="dxa"/>
            <w:tcBorders>
              <w:top w:val="nil"/>
              <w:left w:val="single" w:sz="4" w:space="0" w:color="auto"/>
              <w:bottom w:val="single" w:sz="4" w:space="0" w:color="auto"/>
              <w:right w:val="single" w:sz="4" w:space="0" w:color="auto"/>
            </w:tcBorders>
            <w:shd w:val="clear" w:color="auto" w:fill="auto"/>
            <w:vAlign w:val="center"/>
          </w:tcPr>
          <w:p w:rsidR="00AA5B22" w:rsidRDefault="00AA5B22" w:rsidP="00AA5B22">
            <w:pPr>
              <w:jc w:val="right"/>
              <w:rPr>
                <w:sz w:val="20"/>
                <w:szCs w:val="20"/>
              </w:rPr>
            </w:pPr>
            <w:r>
              <w:rPr>
                <w:sz w:val="20"/>
                <w:szCs w:val="20"/>
              </w:rPr>
              <w:t>100</w:t>
            </w:r>
          </w:p>
        </w:tc>
        <w:tc>
          <w:tcPr>
            <w:tcW w:w="1595" w:type="dxa"/>
            <w:tcBorders>
              <w:top w:val="nil"/>
              <w:left w:val="single" w:sz="4" w:space="0" w:color="auto"/>
              <w:bottom w:val="single" w:sz="4" w:space="0" w:color="auto"/>
              <w:right w:val="single" w:sz="4" w:space="0" w:color="auto"/>
            </w:tcBorders>
            <w:shd w:val="clear" w:color="auto" w:fill="auto"/>
            <w:vAlign w:val="center"/>
          </w:tcPr>
          <w:p w:rsidR="00AA5B22" w:rsidRDefault="00AA5B22" w:rsidP="00AA5B22">
            <w:pPr>
              <w:jc w:val="right"/>
              <w:rPr>
                <w:sz w:val="20"/>
                <w:szCs w:val="20"/>
              </w:rPr>
            </w:pPr>
            <w:r>
              <w:rPr>
                <w:sz w:val="20"/>
                <w:szCs w:val="20"/>
              </w:rPr>
              <w:t>1,123</w:t>
            </w:r>
          </w:p>
        </w:tc>
        <w:tc>
          <w:tcPr>
            <w:tcW w:w="1595" w:type="dxa"/>
            <w:tcBorders>
              <w:top w:val="nil"/>
              <w:left w:val="nil"/>
              <w:bottom w:val="single" w:sz="4" w:space="0" w:color="auto"/>
              <w:right w:val="single" w:sz="8" w:space="0" w:color="auto"/>
            </w:tcBorders>
            <w:shd w:val="clear" w:color="auto" w:fill="auto"/>
            <w:vAlign w:val="center"/>
          </w:tcPr>
          <w:p w:rsidR="00AA5B22" w:rsidRDefault="00AA5B22" w:rsidP="00AA5B22">
            <w:pPr>
              <w:jc w:val="right"/>
              <w:rPr>
                <w:sz w:val="20"/>
                <w:szCs w:val="20"/>
              </w:rPr>
            </w:pPr>
            <w:r>
              <w:rPr>
                <w:sz w:val="20"/>
                <w:szCs w:val="20"/>
              </w:rPr>
              <w:t>1,049</w:t>
            </w:r>
          </w:p>
        </w:tc>
        <w:tc>
          <w:tcPr>
            <w:tcW w:w="2162" w:type="dxa"/>
            <w:tcBorders>
              <w:top w:val="nil"/>
              <w:left w:val="single" w:sz="4" w:space="0" w:color="auto"/>
              <w:bottom w:val="single" w:sz="4" w:space="0" w:color="auto"/>
              <w:right w:val="single" w:sz="4" w:space="0" w:color="auto"/>
            </w:tcBorders>
            <w:shd w:val="clear" w:color="auto" w:fill="auto"/>
            <w:vAlign w:val="center"/>
          </w:tcPr>
          <w:p w:rsidR="00AA5B22" w:rsidRDefault="00AA5B22" w:rsidP="00AA5B22">
            <w:pPr>
              <w:jc w:val="right"/>
              <w:rPr>
                <w:sz w:val="20"/>
                <w:szCs w:val="20"/>
              </w:rPr>
            </w:pPr>
            <w:r>
              <w:rPr>
                <w:sz w:val="20"/>
                <w:szCs w:val="20"/>
              </w:rPr>
              <w:t>1,340</w:t>
            </w:r>
          </w:p>
        </w:tc>
      </w:tr>
      <w:tr w:rsidR="00AA5B22" w:rsidRPr="000F3A8B" w:rsidTr="003C4364">
        <w:trPr>
          <w:trHeight w:val="170"/>
          <w:jc w:val="center"/>
        </w:trPr>
        <w:tc>
          <w:tcPr>
            <w:tcW w:w="5944" w:type="dxa"/>
            <w:tcBorders>
              <w:top w:val="nil"/>
              <w:left w:val="single" w:sz="8" w:space="0" w:color="auto"/>
              <w:bottom w:val="single" w:sz="4" w:space="0" w:color="auto"/>
              <w:right w:val="single" w:sz="8" w:space="0" w:color="auto"/>
            </w:tcBorders>
            <w:shd w:val="clear" w:color="auto" w:fill="auto"/>
            <w:vAlign w:val="center"/>
          </w:tcPr>
          <w:p w:rsidR="00AA5B22" w:rsidRPr="000F3A8B" w:rsidRDefault="00AA5B22" w:rsidP="00AA5B22">
            <w:pPr>
              <w:jc w:val="both"/>
              <w:rPr>
                <w:color w:val="000000"/>
                <w:sz w:val="20"/>
                <w:szCs w:val="20"/>
                <w:lang w:val="en-US"/>
              </w:rPr>
            </w:pPr>
            <w:r w:rsidRPr="000F3A8B">
              <w:rPr>
                <w:color w:val="000000"/>
                <w:sz w:val="20"/>
                <w:szCs w:val="20"/>
                <w:lang w:val="en-US"/>
              </w:rPr>
              <w:t>Mental Health</w:t>
            </w:r>
          </w:p>
        </w:tc>
        <w:tc>
          <w:tcPr>
            <w:tcW w:w="1559" w:type="dxa"/>
            <w:tcBorders>
              <w:top w:val="nil"/>
              <w:left w:val="nil"/>
              <w:bottom w:val="single" w:sz="4" w:space="0" w:color="auto"/>
              <w:right w:val="single" w:sz="8" w:space="0" w:color="auto"/>
            </w:tcBorders>
            <w:shd w:val="clear" w:color="auto" w:fill="auto"/>
            <w:vAlign w:val="center"/>
          </w:tcPr>
          <w:p w:rsidR="00AA5B22" w:rsidRDefault="00AA5B22" w:rsidP="00AA5B22">
            <w:pPr>
              <w:jc w:val="right"/>
              <w:rPr>
                <w:sz w:val="20"/>
                <w:szCs w:val="20"/>
              </w:rPr>
            </w:pPr>
            <w:r>
              <w:rPr>
                <w:sz w:val="20"/>
                <w:szCs w:val="20"/>
              </w:rPr>
              <w:t>2,477</w:t>
            </w:r>
          </w:p>
        </w:tc>
        <w:tc>
          <w:tcPr>
            <w:tcW w:w="1594" w:type="dxa"/>
            <w:tcBorders>
              <w:top w:val="nil"/>
              <w:left w:val="single" w:sz="4" w:space="0" w:color="auto"/>
              <w:bottom w:val="single" w:sz="4" w:space="0" w:color="auto"/>
              <w:right w:val="single" w:sz="4" w:space="0" w:color="auto"/>
            </w:tcBorders>
            <w:shd w:val="clear" w:color="auto" w:fill="auto"/>
            <w:vAlign w:val="center"/>
          </w:tcPr>
          <w:p w:rsidR="00AA5B22" w:rsidRDefault="00AA5B22" w:rsidP="00AA5B22">
            <w:pPr>
              <w:jc w:val="right"/>
              <w:rPr>
                <w:sz w:val="20"/>
                <w:szCs w:val="20"/>
              </w:rPr>
            </w:pPr>
            <w:r>
              <w:rPr>
                <w:sz w:val="20"/>
                <w:szCs w:val="20"/>
              </w:rPr>
              <w:t>82</w:t>
            </w:r>
          </w:p>
        </w:tc>
        <w:tc>
          <w:tcPr>
            <w:tcW w:w="1595" w:type="dxa"/>
            <w:tcBorders>
              <w:top w:val="nil"/>
              <w:left w:val="single" w:sz="4" w:space="0" w:color="auto"/>
              <w:bottom w:val="single" w:sz="4" w:space="0" w:color="auto"/>
              <w:right w:val="single" w:sz="4" w:space="0" w:color="auto"/>
            </w:tcBorders>
            <w:shd w:val="clear" w:color="auto" w:fill="auto"/>
            <w:vAlign w:val="center"/>
          </w:tcPr>
          <w:p w:rsidR="00AA5B22" w:rsidRDefault="00AA5B22" w:rsidP="00AA5B22">
            <w:pPr>
              <w:jc w:val="right"/>
              <w:rPr>
                <w:sz w:val="20"/>
                <w:szCs w:val="20"/>
              </w:rPr>
            </w:pPr>
            <w:r>
              <w:rPr>
                <w:sz w:val="20"/>
                <w:szCs w:val="20"/>
              </w:rPr>
              <w:t>120</w:t>
            </w:r>
          </w:p>
        </w:tc>
        <w:tc>
          <w:tcPr>
            <w:tcW w:w="1595" w:type="dxa"/>
            <w:tcBorders>
              <w:top w:val="nil"/>
              <w:left w:val="nil"/>
              <w:bottom w:val="single" w:sz="4" w:space="0" w:color="auto"/>
              <w:right w:val="single" w:sz="8" w:space="0" w:color="auto"/>
            </w:tcBorders>
            <w:shd w:val="clear" w:color="auto" w:fill="auto"/>
            <w:vAlign w:val="center"/>
          </w:tcPr>
          <w:p w:rsidR="00AA5B22" w:rsidRDefault="00AA5B22" w:rsidP="00AA5B22">
            <w:pPr>
              <w:jc w:val="right"/>
              <w:rPr>
                <w:sz w:val="20"/>
                <w:szCs w:val="20"/>
              </w:rPr>
            </w:pPr>
            <w:r>
              <w:rPr>
                <w:sz w:val="20"/>
                <w:szCs w:val="20"/>
              </w:rPr>
              <w:t>0</w:t>
            </w:r>
          </w:p>
        </w:tc>
        <w:tc>
          <w:tcPr>
            <w:tcW w:w="2162" w:type="dxa"/>
            <w:tcBorders>
              <w:top w:val="nil"/>
              <w:left w:val="single" w:sz="4" w:space="0" w:color="auto"/>
              <w:bottom w:val="single" w:sz="4" w:space="0" w:color="auto"/>
              <w:right w:val="single" w:sz="4" w:space="0" w:color="auto"/>
            </w:tcBorders>
            <w:shd w:val="clear" w:color="auto" w:fill="auto"/>
            <w:vAlign w:val="center"/>
          </w:tcPr>
          <w:p w:rsidR="00AA5B22" w:rsidRDefault="00AA5B22" w:rsidP="00AA5B22">
            <w:pPr>
              <w:jc w:val="right"/>
              <w:rPr>
                <w:sz w:val="20"/>
                <w:szCs w:val="20"/>
              </w:rPr>
            </w:pPr>
            <w:r>
              <w:rPr>
                <w:sz w:val="20"/>
                <w:szCs w:val="20"/>
              </w:rPr>
              <w:t>244</w:t>
            </w:r>
          </w:p>
        </w:tc>
      </w:tr>
      <w:tr w:rsidR="00AA5B22" w:rsidRPr="000F3A8B" w:rsidTr="003C4364">
        <w:trPr>
          <w:trHeight w:val="170"/>
          <w:jc w:val="center"/>
        </w:trPr>
        <w:tc>
          <w:tcPr>
            <w:tcW w:w="5944" w:type="dxa"/>
            <w:tcBorders>
              <w:top w:val="nil"/>
              <w:left w:val="single" w:sz="8" w:space="0" w:color="auto"/>
              <w:bottom w:val="single" w:sz="4" w:space="0" w:color="auto"/>
              <w:right w:val="single" w:sz="8" w:space="0" w:color="auto"/>
            </w:tcBorders>
            <w:shd w:val="clear" w:color="auto" w:fill="auto"/>
            <w:vAlign w:val="center"/>
          </w:tcPr>
          <w:p w:rsidR="00AA5B22" w:rsidRPr="000F3A8B" w:rsidRDefault="00AA5B22" w:rsidP="00AA5B22">
            <w:pPr>
              <w:jc w:val="both"/>
              <w:rPr>
                <w:color w:val="000000"/>
                <w:sz w:val="20"/>
                <w:szCs w:val="20"/>
                <w:lang w:val="en-US"/>
              </w:rPr>
            </w:pPr>
            <w:r w:rsidRPr="000F3A8B">
              <w:rPr>
                <w:color w:val="000000"/>
                <w:sz w:val="20"/>
                <w:szCs w:val="20"/>
                <w:lang w:val="en-US"/>
              </w:rPr>
              <w:t>Medicines Management</w:t>
            </w:r>
          </w:p>
        </w:tc>
        <w:tc>
          <w:tcPr>
            <w:tcW w:w="1559" w:type="dxa"/>
            <w:tcBorders>
              <w:top w:val="nil"/>
              <w:left w:val="nil"/>
              <w:bottom w:val="single" w:sz="4" w:space="0" w:color="auto"/>
              <w:right w:val="single" w:sz="8" w:space="0" w:color="auto"/>
            </w:tcBorders>
            <w:shd w:val="clear" w:color="auto" w:fill="auto"/>
            <w:vAlign w:val="center"/>
          </w:tcPr>
          <w:p w:rsidR="00AA5B22" w:rsidRDefault="00AA5B22" w:rsidP="00AA5B22">
            <w:pPr>
              <w:jc w:val="right"/>
              <w:rPr>
                <w:sz w:val="20"/>
                <w:szCs w:val="20"/>
              </w:rPr>
            </w:pPr>
            <w:r>
              <w:rPr>
                <w:sz w:val="20"/>
                <w:szCs w:val="20"/>
              </w:rPr>
              <w:t>225</w:t>
            </w:r>
          </w:p>
        </w:tc>
        <w:tc>
          <w:tcPr>
            <w:tcW w:w="1594" w:type="dxa"/>
            <w:tcBorders>
              <w:top w:val="nil"/>
              <w:left w:val="single" w:sz="4" w:space="0" w:color="auto"/>
              <w:bottom w:val="single" w:sz="4" w:space="0" w:color="auto"/>
              <w:right w:val="single" w:sz="4" w:space="0" w:color="auto"/>
            </w:tcBorders>
            <w:shd w:val="clear" w:color="auto" w:fill="auto"/>
            <w:vAlign w:val="center"/>
          </w:tcPr>
          <w:p w:rsidR="00AA5B22" w:rsidRDefault="00AA5B22" w:rsidP="00AA5B22">
            <w:pPr>
              <w:jc w:val="right"/>
              <w:rPr>
                <w:sz w:val="20"/>
                <w:szCs w:val="20"/>
              </w:rPr>
            </w:pPr>
            <w:r>
              <w:rPr>
                <w:color w:val="FF0000"/>
                <w:sz w:val="20"/>
                <w:szCs w:val="20"/>
              </w:rPr>
              <w:t>(0)</w:t>
            </w:r>
          </w:p>
        </w:tc>
        <w:tc>
          <w:tcPr>
            <w:tcW w:w="1595" w:type="dxa"/>
            <w:tcBorders>
              <w:top w:val="nil"/>
              <w:left w:val="single" w:sz="4" w:space="0" w:color="auto"/>
              <w:bottom w:val="single" w:sz="4" w:space="0" w:color="auto"/>
              <w:right w:val="single" w:sz="4" w:space="0" w:color="auto"/>
            </w:tcBorders>
            <w:shd w:val="clear" w:color="auto" w:fill="auto"/>
            <w:vAlign w:val="center"/>
          </w:tcPr>
          <w:p w:rsidR="00AA5B22" w:rsidRDefault="00AA5B22" w:rsidP="00AA5B22">
            <w:pPr>
              <w:jc w:val="right"/>
              <w:rPr>
                <w:sz w:val="20"/>
                <w:szCs w:val="20"/>
              </w:rPr>
            </w:pPr>
            <w:r>
              <w:rPr>
                <w:color w:val="FF0000"/>
                <w:sz w:val="20"/>
                <w:szCs w:val="20"/>
              </w:rPr>
              <w:t>(4)</w:t>
            </w:r>
          </w:p>
        </w:tc>
        <w:tc>
          <w:tcPr>
            <w:tcW w:w="1595" w:type="dxa"/>
            <w:tcBorders>
              <w:top w:val="nil"/>
              <w:left w:val="nil"/>
              <w:bottom w:val="single" w:sz="4" w:space="0" w:color="auto"/>
              <w:right w:val="single" w:sz="8" w:space="0" w:color="auto"/>
            </w:tcBorders>
            <w:shd w:val="clear" w:color="auto" w:fill="auto"/>
            <w:vAlign w:val="center"/>
          </w:tcPr>
          <w:p w:rsidR="00AA5B22" w:rsidRDefault="00AA5B22" w:rsidP="00AA5B22">
            <w:pPr>
              <w:jc w:val="right"/>
              <w:rPr>
                <w:sz w:val="20"/>
                <w:szCs w:val="20"/>
              </w:rPr>
            </w:pPr>
            <w:r>
              <w:rPr>
                <w:color w:val="FF0000"/>
                <w:sz w:val="20"/>
                <w:szCs w:val="20"/>
              </w:rPr>
              <w:t>(5)</w:t>
            </w:r>
          </w:p>
        </w:tc>
        <w:tc>
          <w:tcPr>
            <w:tcW w:w="2162" w:type="dxa"/>
            <w:tcBorders>
              <w:top w:val="nil"/>
              <w:left w:val="single" w:sz="4" w:space="0" w:color="auto"/>
              <w:bottom w:val="single" w:sz="4" w:space="0" w:color="auto"/>
              <w:right w:val="single" w:sz="4" w:space="0" w:color="auto"/>
            </w:tcBorders>
            <w:shd w:val="clear" w:color="auto" w:fill="auto"/>
            <w:vAlign w:val="center"/>
          </w:tcPr>
          <w:p w:rsidR="00AA5B22" w:rsidRDefault="00AA5B22" w:rsidP="00AA5B22">
            <w:pPr>
              <w:jc w:val="right"/>
              <w:rPr>
                <w:sz w:val="20"/>
                <w:szCs w:val="20"/>
              </w:rPr>
            </w:pPr>
            <w:r>
              <w:rPr>
                <w:sz w:val="20"/>
                <w:szCs w:val="20"/>
              </w:rPr>
              <w:t>0</w:t>
            </w:r>
          </w:p>
        </w:tc>
      </w:tr>
      <w:tr w:rsidR="00AA5B22" w:rsidRPr="000F3A8B" w:rsidTr="003C4364">
        <w:trPr>
          <w:trHeight w:val="170"/>
          <w:jc w:val="center"/>
        </w:trPr>
        <w:tc>
          <w:tcPr>
            <w:tcW w:w="5944" w:type="dxa"/>
            <w:tcBorders>
              <w:top w:val="nil"/>
              <w:left w:val="single" w:sz="8" w:space="0" w:color="auto"/>
              <w:bottom w:val="single" w:sz="4" w:space="0" w:color="auto"/>
              <w:right w:val="single" w:sz="8" w:space="0" w:color="auto"/>
            </w:tcBorders>
            <w:shd w:val="clear" w:color="auto" w:fill="8DB3E2" w:themeFill="text2" w:themeFillTint="66"/>
            <w:vAlign w:val="center"/>
          </w:tcPr>
          <w:p w:rsidR="00AA5B22" w:rsidRPr="000F3A8B" w:rsidRDefault="00AA5B22" w:rsidP="00AA5B22">
            <w:pPr>
              <w:jc w:val="right"/>
              <w:rPr>
                <w:b/>
                <w:bCs/>
                <w:color w:val="000000"/>
                <w:sz w:val="20"/>
                <w:szCs w:val="20"/>
                <w:lang w:val="en-US"/>
              </w:rPr>
            </w:pPr>
            <w:r w:rsidRPr="000F3A8B">
              <w:rPr>
                <w:b/>
                <w:bCs/>
                <w:color w:val="000000"/>
                <w:sz w:val="20"/>
                <w:szCs w:val="20"/>
                <w:lang w:eastAsia="en-GB"/>
              </w:rPr>
              <w:t>Total PCMH</w:t>
            </w:r>
          </w:p>
        </w:tc>
        <w:tc>
          <w:tcPr>
            <w:tcW w:w="1559" w:type="dxa"/>
            <w:tcBorders>
              <w:top w:val="nil"/>
              <w:left w:val="nil"/>
              <w:bottom w:val="single" w:sz="4" w:space="0" w:color="auto"/>
              <w:right w:val="single" w:sz="8" w:space="0" w:color="auto"/>
            </w:tcBorders>
            <w:shd w:val="clear" w:color="auto" w:fill="8DB3E2" w:themeFill="text2" w:themeFillTint="66"/>
            <w:vAlign w:val="center"/>
          </w:tcPr>
          <w:p w:rsidR="00AA5B22" w:rsidRDefault="00AA5B22" w:rsidP="00AA5B22">
            <w:pPr>
              <w:jc w:val="right"/>
              <w:rPr>
                <w:b/>
                <w:bCs/>
                <w:sz w:val="20"/>
                <w:szCs w:val="20"/>
              </w:rPr>
            </w:pPr>
            <w:r>
              <w:rPr>
                <w:b/>
                <w:bCs/>
                <w:sz w:val="20"/>
                <w:szCs w:val="20"/>
              </w:rPr>
              <w:t>4,920</w:t>
            </w:r>
          </w:p>
        </w:tc>
        <w:tc>
          <w:tcPr>
            <w:tcW w:w="1594" w:type="dxa"/>
            <w:tcBorders>
              <w:top w:val="nil"/>
              <w:left w:val="single" w:sz="4" w:space="0" w:color="auto"/>
              <w:bottom w:val="single" w:sz="4" w:space="0" w:color="auto"/>
              <w:right w:val="single" w:sz="4" w:space="0" w:color="auto"/>
            </w:tcBorders>
            <w:shd w:val="clear" w:color="auto" w:fill="8DB3E2" w:themeFill="text2" w:themeFillTint="66"/>
            <w:vAlign w:val="center"/>
          </w:tcPr>
          <w:p w:rsidR="00AA5B22" w:rsidRDefault="00AA5B22" w:rsidP="00AA5B22">
            <w:pPr>
              <w:jc w:val="right"/>
              <w:rPr>
                <w:b/>
                <w:bCs/>
                <w:sz w:val="20"/>
                <w:szCs w:val="20"/>
              </w:rPr>
            </w:pPr>
            <w:r>
              <w:rPr>
                <w:b/>
                <w:bCs/>
                <w:sz w:val="20"/>
                <w:szCs w:val="20"/>
              </w:rPr>
              <w:t>182</w:t>
            </w:r>
          </w:p>
        </w:tc>
        <w:tc>
          <w:tcPr>
            <w:tcW w:w="1595" w:type="dxa"/>
            <w:tcBorders>
              <w:top w:val="nil"/>
              <w:left w:val="single" w:sz="4" w:space="0" w:color="auto"/>
              <w:bottom w:val="single" w:sz="4" w:space="0" w:color="auto"/>
              <w:right w:val="single" w:sz="4" w:space="0" w:color="auto"/>
            </w:tcBorders>
            <w:shd w:val="clear" w:color="auto" w:fill="8DB3E2" w:themeFill="text2" w:themeFillTint="66"/>
            <w:vAlign w:val="center"/>
          </w:tcPr>
          <w:p w:rsidR="00AA5B22" w:rsidRDefault="00AA5B22" w:rsidP="00AA5B22">
            <w:pPr>
              <w:jc w:val="right"/>
              <w:rPr>
                <w:b/>
                <w:bCs/>
                <w:sz w:val="20"/>
                <w:szCs w:val="20"/>
              </w:rPr>
            </w:pPr>
            <w:r>
              <w:rPr>
                <w:b/>
                <w:bCs/>
                <w:sz w:val="20"/>
                <w:szCs w:val="20"/>
              </w:rPr>
              <w:t>1,239</w:t>
            </w:r>
          </w:p>
        </w:tc>
        <w:tc>
          <w:tcPr>
            <w:tcW w:w="1595" w:type="dxa"/>
            <w:tcBorders>
              <w:top w:val="nil"/>
              <w:left w:val="nil"/>
              <w:bottom w:val="single" w:sz="4" w:space="0" w:color="auto"/>
              <w:right w:val="single" w:sz="8" w:space="0" w:color="auto"/>
            </w:tcBorders>
            <w:shd w:val="clear" w:color="auto" w:fill="8DB3E2" w:themeFill="text2" w:themeFillTint="66"/>
            <w:vAlign w:val="center"/>
          </w:tcPr>
          <w:p w:rsidR="00AA5B22" w:rsidRDefault="00AA5B22" w:rsidP="00AA5B22">
            <w:pPr>
              <w:jc w:val="right"/>
              <w:rPr>
                <w:b/>
                <w:bCs/>
                <w:sz w:val="20"/>
                <w:szCs w:val="20"/>
              </w:rPr>
            </w:pPr>
            <w:r>
              <w:rPr>
                <w:b/>
                <w:bCs/>
                <w:sz w:val="20"/>
                <w:szCs w:val="20"/>
              </w:rPr>
              <w:t>1,044</w:t>
            </w:r>
          </w:p>
        </w:tc>
        <w:tc>
          <w:tcPr>
            <w:tcW w:w="2162" w:type="dxa"/>
            <w:tcBorders>
              <w:top w:val="nil"/>
              <w:left w:val="single" w:sz="4" w:space="0" w:color="auto"/>
              <w:bottom w:val="single" w:sz="4" w:space="0" w:color="auto"/>
              <w:right w:val="single" w:sz="4" w:space="0" w:color="auto"/>
            </w:tcBorders>
            <w:shd w:val="clear" w:color="auto" w:fill="8DB3E2" w:themeFill="text2" w:themeFillTint="66"/>
            <w:vAlign w:val="center"/>
          </w:tcPr>
          <w:p w:rsidR="00AA5B22" w:rsidRDefault="00AA5B22" w:rsidP="00AA5B22">
            <w:pPr>
              <w:jc w:val="right"/>
              <w:rPr>
                <w:b/>
                <w:bCs/>
                <w:sz w:val="20"/>
                <w:szCs w:val="20"/>
              </w:rPr>
            </w:pPr>
            <w:r>
              <w:rPr>
                <w:b/>
                <w:bCs/>
                <w:sz w:val="20"/>
                <w:szCs w:val="20"/>
              </w:rPr>
              <w:t>1,584</w:t>
            </w:r>
          </w:p>
        </w:tc>
      </w:tr>
      <w:tr w:rsidR="00AA5B22" w:rsidRPr="000F3A8B" w:rsidTr="003C4364">
        <w:trPr>
          <w:trHeight w:val="170"/>
          <w:jc w:val="center"/>
        </w:trPr>
        <w:tc>
          <w:tcPr>
            <w:tcW w:w="5944" w:type="dxa"/>
            <w:tcBorders>
              <w:top w:val="nil"/>
              <w:left w:val="single" w:sz="8" w:space="0" w:color="auto"/>
              <w:bottom w:val="single" w:sz="4" w:space="0" w:color="auto"/>
              <w:right w:val="single" w:sz="8" w:space="0" w:color="auto"/>
            </w:tcBorders>
            <w:shd w:val="clear" w:color="auto" w:fill="auto"/>
            <w:vAlign w:val="center"/>
          </w:tcPr>
          <w:p w:rsidR="00AA5B22" w:rsidRPr="000F3A8B" w:rsidRDefault="00AA5B22" w:rsidP="00AA5B22">
            <w:pPr>
              <w:jc w:val="both"/>
              <w:rPr>
                <w:color w:val="000000"/>
                <w:sz w:val="20"/>
                <w:szCs w:val="20"/>
                <w:lang w:val="en-US"/>
              </w:rPr>
            </w:pPr>
            <w:r w:rsidRPr="000F3A8B">
              <w:rPr>
                <w:color w:val="000000"/>
                <w:sz w:val="20"/>
                <w:szCs w:val="20"/>
                <w:lang w:val="en-US"/>
              </w:rPr>
              <w:t>Contracting &amp; Commissioning</w:t>
            </w:r>
          </w:p>
        </w:tc>
        <w:tc>
          <w:tcPr>
            <w:tcW w:w="1559" w:type="dxa"/>
            <w:tcBorders>
              <w:top w:val="nil"/>
              <w:left w:val="nil"/>
              <w:bottom w:val="single" w:sz="4" w:space="0" w:color="auto"/>
              <w:right w:val="single" w:sz="8" w:space="0" w:color="auto"/>
            </w:tcBorders>
            <w:shd w:val="clear" w:color="auto" w:fill="auto"/>
            <w:vAlign w:val="center"/>
          </w:tcPr>
          <w:p w:rsidR="00AA5B22" w:rsidRDefault="00AA5B22" w:rsidP="00AA5B22">
            <w:pPr>
              <w:jc w:val="right"/>
              <w:rPr>
                <w:sz w:val="20"/>
                <w:szCs w:val="20"/>
              </w:rPr>
            </w:pPr>
            <w:r>
              <w:rPr>
                <w:sz w:val="20"/>
                <w:szCs w:val="20"/>
              </w:rPr>
              <w:t>450</w:t>
            </w:r>
          </w:p>
        </w:tc>
        <w:tc>
          <w:tcPr>
            <w:tcW w:w="1594" w:type="dxa"/>
            <w:tcBorders>
              <w:top w:val="nil"/>
              <w:left w:val="single" w:sz="4" w:space="0" w:color="auto"/>
              <w:bottom w:val="single" w:sz="4" w:space="0" w:color="auto"/>
              <w:right w:val="single" w:sz="4" w:space="0" w:color="auto"/>
            </w:tcBorders>
            <w:shd w:val="clear" w:color="auto" w:fill="auto"/>
            <w:vAlign w:val="center"/>
          </w:tcPr>
          <w:p w:rsidR="00AA5B22" w:rsidRDefault="00AA5B22" w:rsidP="00AA5B22">
            <w:pPr>
              <w:jc w:val="right"/>
              <w:rPr>
                <w:sz w:val="20"/>
                <w:szCs w:val="20"/>
              </w:rPr>
            </w:pPr>
            <w:r>
              <w:rPr>
                <w:color w:val="FF0000"/>
                <w:sz w:val="20"/>
                <w:szCs w:val="20"/>
              </w:rPr>
              <w:t>(52)</w:t>
            </w:r>
          </w:p>
        </w:tc>
        <w:tc>
          <w:tcPr>
            <w:tcW w:w="1595" w:type="dxa"/>
            <w:tcBorders>
              <w:top w:val="nil"/>
              <w:left w:val="single" w:sz="4" w:space="0" w:color="auto"/>
              <w:bottom w:val="single" w:sz="4" w:space="0" w:color="auto"/>
              <w:right w:val="single" w:sz="4" w:space="0" w:color="auto"/>
            </w:tcBorders>
            <w:shd w:val="clear" w:color="auto" w:fill="auto"/>
            <w:vAlign w:val="center"/>
          </w:tcPr>
          <w:p w:rsidR="00AA5B22" w:rsidRDefault="00AA5B22" w:rsidP="00AA5B22">
            <w:pPr>
              <w:jc w:val="right"/>
              <w:rPr>
                <w:sz w:val="20"/>
                <w:szCs w:val="20"/>
              </w:rPr>
            </w:pPr>
            <w:r>
              <w:rPr>
                <w:color w:val="FF0000"/>
                <w:sz w:val="20"/>
                <w:szCs w:val="20"/>
              </w:rPr>
              <w:t>(270)</w:t>
            </w:r>
          </w:p>
        </w:tc>
        <w:tc>
          <w:tcPr>
            <w:tcW w:w="1595" w:type="dxa"/>
            <w:tcBorders>
              <w:top w:val="nil"/>
              <w:left w:val="nil"/>
              <w:bottom w:val="single" w:sz="4" w:space="0" w:color="auto"/>
              <w:right w:val="single" w:sz="8" w:space="0" w:color="auto"/>
            </w:tcBorders>
            <w:shd w:val="clear" w:color="auto" w:fill="auto"/>
            <w:vAlign w:val="center"/>
          </w:tcPr>
          <w:p w:rsidR="00AA5B22" w:rsidRDefault="00AA5B22" w:rsidP="00AA5B22">
            <w:pPr>
              <w:jc w:val="right"/>
              <w:rPr>
                <w:sz w:val="20"/>
                <w:szCs w:val="20"/>
              </w:rPr>
            </w:pPr>
            <w:r>
              <w:rPr>
                <w:color w:val="FF0000"/>
                <w:sz w:val="20"/>
                <w:szCs w:val="20"/>
              </w:rPr>
              <w:t>(300)</w:t>
            </w:r>
          </w:p>
        </w:tc>
        <w:tc>
          <w:tcPr>
            <w:tcW w:w="2162" w:type="dxa"/>
            <w:tcBorders>
              <w:top w:val="nil"/>
              <w:left w:val="single" w:sz="4" w:space="0" w:color="auto"/>
              <w:bottom w:val="single" w:sz="4" w:space="0" w:color="auto"/>
              <w:right w:val="single" w:sz="4" w:space="0" w:color="auto"/>
            </w:tcBorders>
            <w:shd w:val="clear" w:color="auto" w:fill="auto"/>
            <w:vAlign w:val="center"/>
          </w:tcPr>
          <w:p w:rsidR="00AA5B22" w:rsidRDefault="00AA5B22" w:rsidP="00AA5B22">
            <w:pPr>
              <w:jc w:val="right"/>
              <w:rPr>
                <w:sz w:val="20"/>
                <w:szCs w:val="20"/>
              </w:rPr>
            </w:pPr>
            <w:r>
              <w:rPr>
                <w:color w:val="FF0000"/>
                <w:sz w:val="20"/>
                <w:szCs w:val="20"/>
              </w:rPr>
              <w:t>(300)</w:t>
            </w:r>
          </w:p>
        </w:tc>
      </w:tr>
      <w:tr w:rsidR="00AA5B22" w:rsidRPr="000F3A8B" w:rsidTr="003C4364">
        <w:trPr>
          <w:trHeight w:val="170"/>
          <w:jc w:val="center"/>
        </w:trPr>
        <w:tc>
          <w:tcPr>
            <w:tcW w:w="5944" w:type="dxa"/>
            <w:tcBorders>
              <w:top w:val="nil"/>
              <w:left w:val="single" w:sz="8" w:space="0" w:color="auto"/>
              <w:bottom w:val="single" w:sz="4" w:space="0" w:color="auto"/>
              <w:right w:val="single" w:sz="8" w:space="0" w:color="auto"/>
            </w:tcBorders>
            <w:shd w:val="clear" w:color="auto" w:fill="auto"/>
            <w:vAlign w:val="center"/>
          </w:tcPr>
          <w:p w:rsidR="00AA5B22" w:rsidRPr="000F3A8B" w:rsidRDefault="00AA5B22" w:rsidP="00AA5B22">
            <w:pPr>
              <w:jc w:val="both"/>
              <w:rPr>
                <w:color w:val="000000"/>
                <w:sz w:val="20"/>
                <w:szCs w:val="20"/>
                <w:lang w:val="en-US"/>
              </w:rPr>
            </w:pPr>
            <w:r w:rsidRPr="000F3A8B">
              <w:rPr>
                <w:color w:val="000000"/>
                <w:sz w:val="20"/>
                <w:szCs w:val="20"/>
                <w:lang w:val="en-US"/>
              </w:rPr>
              <w:t>Corporate Functions</w:t>
            </w:r>
          </w:p>
        </w:tc>
        <w:tc>
          <w:tcPr>
            <w:tcW w:w="1559" w:type="dxa"/>
            <w:tcBorders>
              <w:top w:val="nil"/>
              <w:left w:val="nil"/>
              <w:bottom w:val="single" w:sz="4" w:space="0" w:color="auto"/>
              <w:right w:val="single" w:sz="8" w:space="0" w:color="auto"/>
            </w:tcBorders>
            <w:shd w:val="clear" w:color="auto" w:fill="auto"/>
            <w:vAlign w:val="center"/>
          </w:tcPr>
          <w:p w:rsidR="00AA5B22" w:rsidRDefault="00AA5B22" w:rsidP="00AA5B22">
            <w:pPr>
              <w:jc w:val="right"/>
              <w:rPr>
                <w:sz w:val="20"/>
                <w:szCs w:val="20"/>
              </w:rPr>
            </w:pPr>
            <w:r>
              <w:rPr>
                <w:sz w:val="20"/>
                <w:szCs w:val="20"/>
              </w:rPr>
              <w:t>821</w:t>
            </w:r>
          </w:p>
        </w:tc>
        <w:tc>
          <w:tcPr>
            <w:tcW w:w="1594" w:type="dxa"/>
            <w:tcBorders>
              <w:top w:val="nil"/>
              <w:left w:val="single" w:sz="4" w:space="0" w:color="auto"/>
              <w:bottom w:val="single" w:sz="4" w:space="0" w:color="auto"/>
              <w:right w:val="single" w:sz="4" w:space="0" w:color="auto"/>
            </w:tcBorders>
            <w:shd w:val="clear" w:color="auto" w:fill="auto"/>
            <w:vAlign w:val="center"/>
          </w:tcPr>
          <w:p w:rsidR="00AA5B22" w:rsidRDefault="00AA5B22" w:rsidP="00AA5B22">
            <w:pPr>
              <w:jc w:val="right"/>
              <w:rPr>
                <w:sz w:val="20"/>
                <w:szCs w:val="20"/>
              </w:rPr>
            </w:pPr>
            <w:r>
              <w:rPr>
                <w:color w:val="FF0000"/>
                <w:sz w:val="20"/>
                <w:szCs w:val="20"/>
              </w:rPr>
              <w:t>(192)</w:t>
            </w:r>
          </w:p>
        </w:tc>
        <w:tc>
          <w:tcPr>
            <w:tcW w:w="1595" w:type="dxa"/>
            <w:tcBorders>
              <w:top w:val="nil"/>
              <w:left w:val="single" w:sz="4" w:space="0" w:color="auto"/>
              <w:bottom w:val="single" w:sz="4" w:space="0" w:color="auto"/>
              <w:right w:val="single" w:sz="4" w:space="0" w:color="auto"/>
            </w:tcBorders>
            <w:shd w:val="clear" w:color="auto" w:fill="auto"/>
            <w:vAlign w:val="center"/>
          </w:tcPr>
          <w:p w:rsidR="00AA5B22" w:rsidRDefault="00AA5B22" w:rsidP="00AA5B22">
            <w:pPr>
              <w:jc w:val="right"/>
              <w:rPr>
                <w:sz w:val="20"/>
                <w:szCs w:val="20"/>
              </w:rPr>
            </w:pPr>
            <w:r>
              <w:rPr>
                <w:color w:val="FF0000"/>
                <w:sz w:val="20"/>
                <w:szCs w:val="20"/>
              </w:rPr>
              <w:t>(201)</w:t>
            </w:r>
          </w:p>
        </w:tc>
        <w:tc>
          <w:tcPr>
            <w:tcW w:w="1595" w:type="dxa"/>
            <w:tcBorders>
              <w:top w:val="nil"/>
              <w:left w:val="nil"/>
              <w:bottom w:val="single" w:sz="4" w:space="0" w:color="auto"/>
              <w:right w:val="single" w:sz="8" w:space="0" w:color="auto"/>
            </w:tcBorders>
            <w:shd w:val="clear" w:color="auto" w:fill="auto"/>
            <w:vAlign w:val="center"/>
          </w:tcPr>
          <w:p w:rsidR="00AA5B22" w:rsidRDefault="00AA5B22" w:rsidP="00AA5B22">
            <w:pPr>
              <w:jc w:val="right"/>
              <w:rPr>
                <w:sz w:val="20"/>
                <w:szCs w:val="20"/>
              </w:rPr>
            </w:pPr>
            <w:r>
              <w:rPr>
                <w:color w:val="FF0000"/>
                <w:sz w:val="20"/>
                <w:szCs w:val="20"/>
              </w:rPr>
              <w:t>(236)</w:t>
            </w:r>
          </w:p>
        </w:tc>
        <w:tc>
          <w:tcPr>
            <w:tcW w:w="2162" w:type="dxa"/>
            <w:tcBorders>
              <w:top w:val="nil"/>
              <w:left w:val="single" w:sz="4" w:space="0" w:color="auto"/>
              <w:bottom w:val="single" w:sz="4" w:space="0" w:color="auto"/>
              <w:right w:val="single" w:sz="4" w:space="0" w:color="auto"/>
            </w:tcBorders>
            <w:shd w:val="clear" w:color="auto" w:fill="auto"/>
            <w:vAlign w:val="center"/>
          </w:tcPr>
          <w:p w:rsidR="00AA5B22" w:rsidRDefault="00AA5B22" w:rsidP="00AA5B22">
            <w:pPr>
              <w:jc w:val="right"/>
              <w:rPr>
                <w:sz w:val="20"/>
                <w:szCs w:val="20"/>
              </w:rPr>
            </w:pPr>
            <w:r>
              <w:rPr>
                <w:color w:val="FF0000"/>
                <w:sz w:val="20"/>
                <w:szCs w:val="20"/>
              </w:rPr>
              <w:t>(189)</w:t>
            </w:r>
          </w:p>
        </w:tc>
      </w:tr>
      <w:tr w:rsidR="00AA5B22" w:rsidRPr="000F3A8B" w:rsidTr="003C4364">
        <w:trPr>
          <w:trHeight w:val="170"/>
          <w:jc w:val="center"/>
        </w:trPr>
        <w:tc>
          <w:tcPr>
            <w:tcW w:w="5944" w:type="dxa"/>
            <w:tcBorders>
              <w:top w:val="single" w:sz="8" w:space="0" w:color="auto"/>
              <w:left w:val="single" w:sz="8" w:space="0" w:color="auto"/>
              <w:bottom w:val="single" w:sz="8" w:space="0" w:color="auto"/>
              <w:right w:val="single" w:sz="8" w:space="0" w:color="auto"/>
            </w:tcBorders>
            <w:shd w:val="clear" w:color="000000" w:fill="8DB3E2" w:themeFill="text2" w:themeFillTint="66"/>
            <w:vAlign w:val="center"/>
            <w:hideMark/>
          </w:tcPr>
          <w:p w:rsidR="00AA5B22" w:rsidRPr="000F3A8B" w:rsidRDefault="00AA5B22" w:rsidP="00AA5B22">
            <w:pPr>
              <w:jc w:val="right"/>
              <w:rPr>
                <w:b/>
                <w:bCs/>
                <w:color w:val="000000"/>
                <w:sz w:val="20"/>
                <w:szCs w:val="20"/>
                <w:lang w:eastAsia="en-GB"/>
              </w:rPr>
            </w:pPr>
            <w:r w:rsidRPr="000F3A8B">
              <w:rPr>
                <w:b/>
                <w:bCs/>
                <w:color w:val="000000"/>
                <w:sz w:val="20"/>
                <w:szCs w:val="20"/>
                <w:lang w:eastAsia="en-GB"/>
              </w:rPr>
              <w:t xml:space="preserve">Total Delegated Budgets </w:t>
            </w:r>
          </w:p>
        </w:tc>
        <w:tc>
          <w:tcPr>
            <w:tcW w:w="1559" w:type="dxa"/>
            <w:tcBorders>
              <w:top w:val="single" w:sz="8" w:space="0" w:color="auto"/>
              <w:left w:val="nil"/>
              <w:bottom w:val="single" w:sz="8" w:space="0" w:color="auto"/>
              <w:right w:val="single" w:sz="8" w:space="0" w:color="auto"/>
            </w:tcBorders>
            <w:shd w:val="clear" w:color="000000" w:fill="8DB3E2" w:themeFill="text2" w:themeFillTint="66"/>
            <w:vAlign w:val="center"/>
          </w:tcPr>
          <w:p w:rsidR="00AA5B22" w:rsidRDefault="00AA5B22" w:rsidP="00AA5B22">
            <w:pPr>
              <w:jc w:val="right"/>
              <w:rPr>
                <w:b/>
                <w:bCs/>
                <w:sz w:val="20"/>
                <w:szCs w:val="20"/>
              </w:rPr>
            </w:pPr>
            <w:r>
              <w:rPr>
                <w:b/>
                <w:bCs/>
                <w:sz w:val="20"/>
                <w:szCs w:val="20"/>
              </w:rPr>
              <w:t>16,428</w:t>
            </w:r>
          </w:p>
        </w:tc>
        <w:tc>
          <w:tcPr>
            <w:tcW w:w="1594"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AA5B22" w:rsidRDefault="00AA5B22" w:rsidP="00AA5B22">
            <w:pPr>
              <w:jc w:val="right"/>
              <w:rPr>
                <w:b/>
                <w:bCs/>
                <w:sz w:val="20"/>
                <w:szCs w:val="20"/>
              </w:rPr>
            </w:pPr>
            <w:r>
              <w:rPr>
                <w:b/>
                <w:bCs/>
                <w:sz w:val="20"/>
                <w:szCs w:val="20"/>
              </w:rPr>
              <w:t>264</w:t>
            </w:r>
          </w:p>
        </w:tc>
        <w:tc>
          <w:tcPr>
            <w:tcW w:w="1595"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AA5B22" w:rsidRDefault="00AA5B22" w:rsidP="00AA5B22">
            <w:pPr>
              <w:jc w:val="right"/>
              <w:rPr>
                <w:b/>
                <w:bCs/>
                <w:sz w:val="20"/>
                <w:szCs w:val="20"/>
              </w:rPr>
            </w:pPr>
            <w:r>
              <w:rPr>
                <w:b/>
                <w:bCs/>
                <w:sz w:val="20"/>
                <w:szCs w:val="20"/>
              </w:rPr>
              <w:t>5,925</w:t>
            </w:r>
          </w:p>
        </w:tc>
        <w:tc>
          <w:tcPr>
            <w:tcW w:w="1595" w:type="dxa"/>
            <w:tcBorders>
              <w:top w:val="single" w:sz="8" w:space="0" w:color="auto"/>
              <w:left w:val="nil"/>
              <w:bottom w:val="single" w:sz="8" w:space="0" w:color="auto"/>
              <w:right w:val="single" w:sz="8" w:space="0" w:color="auto"/>
            </w:tcBorders>
            <w:shd w:val="clear" w:color="000000" w:fill="8DB3E2" w:themeFill="text2" w:themeFillTint="66"/>
            <w:vAlign w:val="center"/>
          </w:tcPr>
          <w:p w:rsidR="00AA5B22" w:rsidRDefault="00AA5B22" w:rsidP="00AA5B22">
            <w:pPr>
              <w:jc w:val="right"/>
              <w:rPr>
                <w:b/>
                <w:bCs/>
                <w:sz w:val="20"/>
                <w:szCs w:val="20"/>
              </w:rPr>
            </w:pPr>
            <w:r>
              <w:rPr>
                <w:b/>
                <w:bCs/>
                <w:sz w:val="20"/>
                <w:szCs w:val="20"/>
              </w:rPr>
              <w:t>6,276</w:t>
            </w:r>
          </w:p>
        </w:tc>
        <w:tc>
          <w:tcPr>
            <w:tcW w:w="2162" w:type="dxa"/>
            <w:tcBorders>
              <w:top w:val="single" w:sz="8" w:space="0" w:color="auto"/>
              <w:left w:val="single" w:sz="4" w:space="0" w:color="auto"/>
              <w:bottom w:val="single" w:sz="8" w:space="0" w:color="auto"/>
              <w:right w:val="single" w:sz="4" w:space="0" w:color="auto"/>
            </w:tcBorders>
            <w:shd w:val="clear" w:color="auto" w:fill="8DB3E2" w:themeFill="text2" w:themeFillTint="66"/>
            <w:vAlign w:val="center"/>
          </w:tcPr>
          <w:p w:rsidR="00AA5B22" w:rsidRDefault="00AA5B22" w:rsidP="00AA5B22">
            <w:pPr>
              <w:jc w:val="right"/>
              <w:rPr>
                <w:b/>
                <w:bCs/>
                <w:sz w:val="20"/>
                <w:szCs w:val="20"/>
              </w:rPr>
            </w:pPr>
            <w:r>
              <w:rPr>
                <w:b/>
                <w:bCs/>
                <w:sz w:val="20"/>
                <w:szCs w:val="20"/>
              </w:rPr>
              <w:t>7,238</w:t>
            </w:r>
          </w:p>
        </w:tc>
      </w:tr>
      <w:tr w:rsidR="00AA5B22" w:rsidRPr="000F3A8B" w:rsidTr="003C4364">
        <w:trPr>
          <w:trHeight w:val="170"/>
          <w:jc w:val="center"/>
        </w:trPr>
        <w:tc>
          <w:tcPr>
            <w:tcW w:w="5944" w:type="dxa"/>
            <w:tcBorders>
              <w:top w:val="single" w:sz="4" w:space="0" w:color="auto"/>
              <w:left w:val="single" w:sz="8" w:space="0" w:color="auto"/>
              <w:bottom w:val="single" w:sz="4" w:space="0" w:color="auto"/>
              <w:right w:val="single" w:sz="8" w:space="0" w:color="auto"/>
            </w:tcBorders>
            <w:shd w:val="clear" w:color="auto" w:fill="auto"/>
          </w:tcPr>
          <w:p w:rsidR="00AA5B22" w:rsidRPr="000F3A8B" w:rsidRDefault="00AA5B22" w:rsidP="00AA5B22">
            <w:pPr>
              <w:rPr>
                <w:sz w:val="20"/>
                <w:szCs w:val="20"/>
              </w:rPr>
            </w:pPr>
            <w:r w:rsidRPr="000F3A8B">
              <w:rPr>
                <w:bCs/>
                <w:color w:val="000000"/>
                <w:sz w:val="20"/>
                <w:szCs w:val="20"/>
                <w:lang w:eastAsia="en-GB"/>
              </w:rPr>
              <w:t>CCT to be allocated to Directorates</w:t>
            </w:r>
          </w:p>
        </w:tc>
        <w:tc>
          <w:tcPr>
            <w:tcW w:w="1559" w:type="dxa"/>
            <w:tcBorders>
              <w:top w:val="nil"/>
              <w:left w:val="nil"/>
              <w:bottom w:val="single" w:sz="4" w:space="0" w:color="auto"/>
              <w:right w:val="single" w:sz="8" w:space="0" w:color="auto"/>
            </w:tcBorders>
            <w:shd w:val="clear" w:color="auto" w:fill="auto"/>
            <w:vAlign w:val="center"/>
          </w:tcPr>
          <w:p w:rsidR="00AA5B22" w:rsidRDefault="00AA5B22" w:rsidP="00AA5B22">
            <w:pPr>
              <w:jc w:val="right"/>
              <w:rPr>
                <w:sz w:val="20"/>
                <w:szCs w:val="20"/>
              </w:rPr>
            </w:pPr>
            <w:r>
              <w:rPr>
                <w:sz w:val="20"/>
                <w:szCs w:val="20"/>
              </w:rPr>
              <w:t>600</w:t>
            </w:r>
          </w:p>
        </w:tc>
        <w:tc>
          <w:tcPr>
            <w:tcW w:w="1594" w:type="dxa"/>
            <w:tcBorders>
              <w:top w:val="nil"/>
              <w:left w:val="single" w:sz="4" w:space="0" w:color="auto"/>
              <w:bottom w:val="single" w:sz="4" w:space="0" w:color="auto"/>
              <w:right w:val="single" w:sz="4" w:space="0" w:color="auto"/>
            </w:tcBorders>
            <w:shd w:val="clear" w:color="auto" w:fill="auto"/>
            <w:vAlign w:val="center"/>
          </w:tcPr>
          <w:p w:rsidR="00AA5B22" w:rsidRDefault="00AA5B22" w:rsidP="00AA5B22">
            <w:pPr>
              <w:jc w:val="right"/>
              <w:rPr>
                <w:sz w:val="20"/>
                <w:szCs w:val="20"/>
              </w:rPr>
            </w:pPr>
            <w:r>
              <w:rPr>
                <w:sz w:val="20"/>
                <w:szCs w:val="20"/>
              </w:rPr>
              <w:t>50</w:t>
            </w:r>
          </w:p>
        </w:tc>
        <w:tc>
          <w:tcPr>
            <w:tcW w:w="1595" w:type="dxa"/>
            <w:tcBorders>
              <w:top w:val="nil"/>
              <w:left w:val="single" w:sz="4" w:space="0" w:color="auto"/>
              <w:bottom w:val="single" w:sz="4" w:space="0" w:color="auto"/>
              <w:right w:val="single" w:sz="4" w:space="0" w:color="auto"/>
            </w:tcBorders>
            <w:shd w:val="clear" w:color="auto" w:fill="auto"/>
            <w:vAlign w:val="center"/>
          </w:tcPr>
          <w:p w:rsidR="00AA5B22" w:rsidRDefault="00AA5B22" w:rsidP="00AA5B22">
            <w:pPr>
              <w:jc w:val="right"/>
              <w:rPr>
                <w:sz w:val="20"/>
                <w:szCs w:val="20"/>
              </w:rPr>
            </w:pPr>
            <w:r>
              <w:rPr>
                <w:sz w:val="20"/>
                <w:szCs w:val="20"/>
              </w:rPr>
              <w:t>550</w:t>
            </w:r>
          </w:p>
        </w:tc>
        <w:tc>
          <w:tcPr>
            <w:tcW w:w="1595" w:type="dxa"/>
            <w:tcBorders>
              <w:top w:val="nil"/>
              <w:left w:val="nil"/>
              <w:bottom w:val="single" w:sz="4" w:space="0" w:color="auto"/>
              <w:right w:val="single" w:sz="8" w:space="0" w:color="auto"/>
            </w:tcBorders>
            <w:shd w:val="clear" w:color="auto" w:fill="auto"/>
            <w:vAlign w:val="center"/>
          </w:tcPr>
          <w:p w:rsidR="00AA5B22" w:rsidRDefault="00AA5B22" w:rsidP="00AA5B22">
            <w:pPr>
              <w:jc w:val="right"/>
              <w:rPr>
                <w:sz w:val="20"/>
                <w:szCs w:val="20"/>
              </w:rPr>
            </w:pPr>
            <w:r>
              <w:rPr>
                <w:sz w:val="20"/>
                <w:szCs w:val="20"/>
              </w:rPr>
              <w:t>600</w:t>
            </w:r>
          </w:p>
        </w:tc>
        <w:tc>
          <w:tcPr>
            <w:tcW w:w="2162" w:type="dxa"/>
            <w:tcBorders>
              <w:top w:val="nil"/>
              <w:left w:val="single" w:sz="4" w:space="0" w:color="auto"/>
              <w:bottom w:val="single" w:sz="4" w:space="0" w:color="auto"/>
              <w:right w:val="single" w:sz="4" w:space="0" w:color="auto"/>
            </w:tcBorders>
            <w:shd w:val="clear" w:color="auto" w:fill="auto"/>
            <w:vAlign w:val="center"/>
          </w:tcPr>
          <w:p w:rsidR="00AA5B22" w:rsidRDefault="00AA5B22" w:rsidP="00AA5B22">
            <w:pPr>
              <w:jc w:val="right"/>
              <w:rPr>
                <w:sz w:val="20"/>
                <w:szCs w:val="20"/>
              </w:rPr>
            </w:pPr>
            <w:r>
              <w:rPr>
                <w:sz w:val="20"/>
                <w:szCs w:val="20"/>
              </w:rPr>
              <w:t>600</w:t>
            </w:r>
          </w:p>
        </w:tc>
      </w:tr>
      <w:tr w:rsidR="00AA5B22" w:rsidRPr="000F3A8B" w:rsidTr="00D00025">
        <w:trPr>
          <w:trHeight w:val="170"/>
          <w:jc w:val="center"/>
        </w:trPr>
        <w:tc>
          <w:tcPr>
            <w:tcW w:w="5944" w:type="dxa"/>
            <w:tcBorders>
              <w:top w:val="nil"/>
              <w:left w:val="single" w:sz="8" w:space="0" w:color="auto"/>
              <w:bottom w:val="single" w:sz="8" w:space="0" w:color="auto"/>
              <w:right w:val="single" w:sz="8" w:space="0" w:color="auto"/>
            </w:tcBorders>
            <w:shd w:val="clear" w:color="auto" w:fill="auto"/>
            <w:vAlign w:val="center"/>
          </w:tcPr>
          <w:p w:rsidR="00AA5B22" w:rsidRPr="00F5405E" w:rsidRDefault="00AA5B22" w:rsidP="00AA5B22">
            <w:pPr>
              <w:rPr>
                <w:bCs/>
                <w:color w:val="000000"/>
                <w:sz w:val="20"/>
                <w:szCs w:val="20"/>
                <w:lang w:eastAsia="en-GB"/>
              </w:rPr>
            </w:pPr>
            <w:r w:rsidRPr="00F5405E">
              <w:rPr>
                <w:bCs/>
                <w:color w:val="000000"/>
                <w:sz w:val="20"/>
                <w:szCs w:val="20"/>
                <w:lang w:eastAsia="en-GB"/>
              </w:rPr>
              <w:t>Other Savings</w:t>
            </w:r>
          </w:p>
        </w:tc>
        <w:tc>
          <w:tcPr>
            <w:tcW w:w="1559" w:type="dxa"/>
            <w:tcBorders>
              <w:top w:val="nil"/>
              <w:left w:val="nil"/>
              <w:bottom w:val="single" w:sz="8" w:space="0" w:color="auto"/>
              <w:right w:val="single" w:sz="8" w:space="0" w:color="auto"/>
            </w:tcBorders>
            <w:shd w:val="clear" w:color="auto" w:fill="auto"/>
            <w:vAlign w:val="center"/>
          </w:tcPr>
          <w:p w:rsidR="00AA5B22" w:rsidRDefault="00AA5B22" w:rsidP="00AA5B22">
            <w:pPr>
              <w:jc w:val="right"/>
              <w:rPr>
                <w:sz w:val="20"/>
                <w:szCs w:val="20"/>
              </w:rPr>
            </w:pPr>
            <w:r>
              <w:rPr>
                <w:sz w:val="20"/>
                <w:szCs w:val="20"/>
              </w:rPr>
              <w:t>0</w:t>
            </w:r>
          </w:p>
        </w:tc>
        <w:tc>
          <w:tcPr>
            <w:tcW w:w="1594" w:type="dxa"/>
            <w:tcBorders>
              <w:top w:val="nil"/>
              <w:left w:val="single" w:sz="4" w:space="0" w:color="auto"/>
              <w:bottom w:val="single" w:sz="8" w:space="0" w:color="auto"/>
              <w:right w:val="single" w:sz="4" w:space="0" w:color="auto"/>
            </w:tcBorders>
            <w:shd w:val="clear" w:color="auto" w:fill="auto"/>
            <w:vAlign w:val="center"/>
          </w:tcPr>
          <w:p w:rsidR="00AA5B22" w:rsidRDefault="00AA5B22" w:rsidP="00AA5B22">
            <w:pPr>
              <w:jc w:val="right"/>
              <w:rPr>
                <w:sz w:val="20"/>
                <w:szCs w:val="20"/>
              </w:rPr>
            </w:pPr>
            <w:r>
              <w:rPr>
                <w:sz w:val="20"/>
                <w:szCs w:val="20"/>
              </w:rPr>
              <w:t>0</w:t>
            </w:r>
          </w:p>
        </w:tc>
        <w:tc>
          <w:tcPr>
            <w:tcW w:w="1595" w:type="dxa"/>
            <w:tcBorders>
              <w:top w:val="nil"/>
              <w:left w:val="single" w:sz="4" w:space="0" w:color="auto"/>
              <w:bottom w:val="single" w:sz="8" w:space="0" w:color="auto"/>
              <w:right w:val="single" w:sz="4" w:space="0" w:color="auto"/>
            </w:tcBorders>
            <w:shd w:val="clear" w:color="auto" w:fill="auto"/>
            <w:vAlign w:val="center"/>
          </w:tcPr>
          <w:p w:rsidR="00AA5B22" w:rsidRDefault="00AA5B22" w:rsidP="00AA5B22">
            <w:pPr>
              <w:jc w:val="right"/>
              <w:rPr>
                <w:sz w:val="20"/>
                <w:szCs w:val="20"/>
              </w:rPr>
            </w:pPr>
            <w:r>
              <w:rPr>
                <w:sz w:val="20"/>
                <w:szCs w:val="20"/>
              </w:rPr>
              <w:t>0</w:t>
            </w:r>
          </w:p>
        </w:tc>
        <w:tc>
          <w:tcPr>
            <w:tcW w:w="1595" w:type="dxa"/>
            <w:tcBorders>
              <w:top w:val="nil"/>
              <w:left w:val="nil"/>
              <w:bottom w:val="single" w:sz="8" w:space="0" w:color="auto"/>
              <w:right w:val="single" w:sz="8" w:space="0" w:color="auto"/>
            </w:tcBorders>
            <w:shd w:val="clear" w:color="auto" w:fill="auto"/>
            <w:vAlign w:val="center"/>
          </w:tcPr>
          <w:p w:rsidR="00AA5B22" w:rsidRDefault="00AA5B22" w:rsidP="00AA5B22">
            <w:pPr>
              <w:jc w:val="right"/>
              <w:rPr>
                <w:sz w:val="20"/>
                <w:szCs w:val="20"/>
              </w:rPr>
            </w:pPr>
            <w:r>
              <w:rPr>
                <w:color w:val="FF0000"/>
                <w:sz w:val="20"/>
                <w:szCs w:val="20"/>
              </w:rPr>
              <w:t>(123)</w:t>
            </w:r>
          </w:p>
        </w:tc>
        <w:tc>
          <w:tcPr>
            <w:tcW w:w="2162" w:type="dxa"/>
            <w:tcBorders>
              <w:top w:val="single" w:sz="4" w:space="0" w:color="auto"/>
              <w:left w:val="single" w:sz="4" w:space="0" w:color="auto"/>
              <w:bottom w:val="single" w:sz="8" w:space="0" w:color="auto"/>
              <w:right w:val="single" w:sz="4" w:space="0" w:color="auto"/>
            </w:tcBorders>
            <w:shd w:val="clear" w:color="auto" w:fill="auto"/>
            <w:vAlign w:val="center"/>
          </w:tcPr>
          <w:p w:rsidR="00AA5B22" w:rsidRDefault="00AA5B22" w:rsidP="00AA5B22">
            <w:pPr>
              <w:jc w:val="right"/>
              <w:rPr>
                <w:sz w:val="20"/>
                <w:szCs w:val="20"/>
              </w:rPr>
            </w:pPr>
            <w:r>
              <w:rPr>
                <w:sz w:val="20"/>
                <w:szCs w:val="20"/>
              </w:rPr>
              <w:t>482</w:t>
            </w:r>
          </w:p>
        </w:tc>
      </w:tr>
      <w:tr w:rsidR="00AA5B22" w:rsidRPr="000F3A8B" w:rsidTr="003C4364">
        <w:trPr>
          <w:trHeight w:val="170"/>
          <w:jc w:val="center"/>
        </w:trPr>
        <w:tc>
          <w:tcPr>
            <w:tcW w:w="5944" w:type="dxa"/>
            <w:tcBorders>
              <w:top w:val="nil"/>
              <w:left w:val="single" w:sz="8" w:space="0" w:color="auto"/>
              <w:bottom w:val="single" w:sz="8" w:space="0" w:color="auto"/>
              <w:right w:val="single" w:sz="8" w:space="0" w:color="auto"/>
            </w:tcBorders>
            <w:shd w:val="clear" w:color="auto" w:fill="auto"/>
            <w:vAlign w:val="center"/>
            <w:hideMark/>
          </w:tcPr>
          <w:p w:rsidR="00AA5B22" w:rsidRPr="00F5405E" w:rsidRDefault="00AA5B22" w:rsidP="00AA5B22">
            <w:pPr>
              <w:rPr>
                <w:bCs/>
                <w:color w:val="000000"/>
                <w:sz w:val="20"/>
                <w:szCs w:val="20"/>
                <w:lang w:eastAsia="en-GB"/>
              </w:rPr>
            </w:pPr>
            <w:r w:rsidRPr="00F5405E">
              <w:rPr>
                <w:bCs/>
                <w:color w:val="000000"/>
                <w:sz w:val="20"/>
                <w:szCs w:val="20"/>
                <w:lang w:eastAsia="en-GB"/>
              </w:rPr>
              <w:t>Contingency against recurring savings targets</w:t>
            </w:r>
          </w:p>
        </w:tc>
        <w:tc>
          <w:tcPr>
            <w:tcW w:w="1559" w:type="dxa"/>
            <w:tcBorders>
              <w:top w:val="nil"/>
              <w:left w:val="nil"/>
              <w:bottom w:val="single" w:sz="8" w:space="0" w:color="auto"/>
              <w:right w:val="single" w:sz="8" w:space="0" w:color="auto"/>
            </w:tcBorders>
            <w:shd w:val="clear" w:color="auto" w:fill="auto"/>
            <w:vAlign w:val="center"/>
          </w:tcPr>
          <w:p w:rsidR="00AA5B22" w:rsidRDefault="00AA5B22" w:rsidP="00AA5B22">
            <w:pPr>
              <w:jc w:val="right"/>
              <w:rPr>
                <w:sz w:val="20"/>
                <w:szCs w:val="20"/>
              </w:rPr>
            </w:pPr>
            <w:r>
              <w:rPr>
                <w:color w:val="FF0000"/>
                <w:sz w:val="20"/>
                <w:szCs w:val="20"/>
              </w:rPr>
              <w:t>(7,028)</w:t>
            </w:r>
          </w:p>
        </w:tc>
        <w:tc>
          <w:tcPr>
            <w:tcW w:w="1594" w:type="dxa"/>
            <w:tcBorders>
              <w:top w:val="nil"/>
              <w:left w:val="single" w:sz="4" w:space="0" w:color="auto"/>
              <w:bottom w:val="single" w:sz="8" w:space="0" w:color="auto"/>
              <w:right w:val="single" w:sz="4" w:space="0" w:color="auto"/>
            </w:tcBorders>
            <w:shd w:val="clear" w:color="auto" w:fill="auto"/>
            <w:vAlign w:val="center"/>
          </w:tcPr>
          <w:p w:rsidR="00AA5B22" w:rsidRDefault="00AA5B22" w:rsidP="00AA5B22">
            <w:pPr>
              <w:jc w:val="right"/>
              <w:rPr>
                <w:sz w:val="20"/>
                <w:szCs w:val="20"/>
              </w:rPr>
            </w:pPr>
            <w:r>
              <w:rPr>
                <w:color w:val="FF0000"/>
                <w:sz w:val="20"/>
                <w:szCs w:val="20"/>
              </w:rPr>
              <w:t>(585)</w:t>
            </w:r>
          </w:p>
        </w:tc>
        <w:tc>
          <w:tcPr>
            <w:tcW w:w="1595" w:type="dxa"/>
            <w:tcBorders>
              <w:top w:val="nil"/>
              <w:left w:val="single" w:sz="4" w:space="0" w:color="auto"/>
              <w:bottom w:val="single" w:sz="8" w:space="0" w:color="auto"/>
              <w:right w:val="single" w:sz="4" w:space="0" w:color="auto"/>
            </w:tcBorders>
            <w:shd w:val="clear" w:color="auto" w:fill="auto"/>
            <w:vAlign w:val="center"/>
          </w:tcPr>
          <w:p w:rsidR="00AA5B22" w:rsidRDefault="00AA5B22" w:rsidP="00AA5B22">
            <w:pPr>
              <w:jc w:val="right"/>
              <w:rPr>
                <w:sz w:val="20"/>
                <w:szCs w:val="20"/>
              </w:rPr>
            </w:pPr>
            <w:r>
              <w:rPr>
                <w:color w:val="FF0000"/>
                <w:sz w:val="20"/>
                <w:szCs w:val="20"/>
              </w:rPr>
              <w:t>(6,442)</w:t>
            </w:r>
          </w:p>
        </w:tc>
        <w:tc>
          <w:tcPr>
            <w:tcW w:w="1595" w:type="dxa"/>
            <w:tcBorders>
              <w:top w:val="nil"/>
              <w:left w:val="nil"/>
              <w:bottom w:val="single" w:sz="8" w:space="0" w:color="auto"/>
              <w:right w:val="single" w:sz="8" w:space="0" w:color="auto"/>
            </w:tcBorders>
            <w:shd w:val="clear" w:color="auto" w:fill="auto"/>
            <w:vAlign w:val="center"/>
          </w:tcPr>
          <w:p w:rsidR="00AA5B22" w:rsidRDefault="00AA5B22" w:rsidP="00AA5B22">
            <w:pPr>
              <w:jc w:val="right"/>
              <w:rPr>
                <w:sz w:val="20"/>
                <w:szCs w:val="20"/>
              </w:rPr>
            </w:pPr>
            <w:r>
              <w:rPr>
                <w:color w:val="FF0000"/>
                <w:sz w:val="20"/>
                <w:szCs w:val="20"/>
              </w:rPr>
              <w:t>(7,028)</w:t>
            </w:r>
          </w:p>
        </w:tc>
        <w:tc>
          <w:tcPr>
            <w:tcW w:w="2162" w:type="dxa"/>
            <w:tcBorders>
              <w:top w:val="single" w:sz="4" w:space="0" w:color="auto"/>
              <w:left w:val="single" w:sz="4" w:space="0" w:color="auto"/>
              <w:bottom w:val="single" w:sz="8" w:space="0" w:color="auto"/>
              <w:right w:val="single" w:sz="4" w:space="0" w:color="auto"/>
            </w:tcBorders>
            <w:shd w:val="clear" w:color="auto" w:fill="auto"/>
            <w:vAlign w:val="center"/>
          </w:tcPr>
          <w:p w:rsidR="00AA5B22" w:rsidRDefault="00AA5B22" w:rsidP="00AA5B22">
            <w:pPr>
              <w:jc w:val="right"/>
              <w:rPr>
                <w:sz w:val="20"/>
                <w:szCs w:val="20"/>
              </w:rPr>
            </w:pPr>
            <w:r>
              <w:rPr>
                <w:color w:val="FF0000"/>
                <w:sz w:val="20"/>
                <w:szCs w:val="20"/>
              </w:rPr>
              <w:t>(5,228)</w:t>
            </w:r>
          </w:p>
        </w:tc>
      </w:tr>
      <w:tr w:rsidR="00AA5B22" w:rsidRPr="000F3A8B" w:rsidTr="003C4364">
        <w:trPr>
          <w:trHeight w:val="170"/>
          <w:jc w:val="center"/>
        </w:trPr>
        <w:tc>
          <w:tcPr>
            <w:tcW w:w="5944" w:type="dxa"/>
            <w:tcBorders>
              <w:top w:val="single" w:sz="8" w:space="0" w:color="auto"/>
              <w:left w:val="single" w:sz="8" w:space="0" w:color="auto"/>
              <w:bottom w:val="single" w:sz="8" w:space="0" w:color="auto"/>
              <w:right w:val="single" w:sz="8" w:space="0" w:color="auto"/>
            </w:tcBorders>
            <w:shd w:val="clear" w:color="000000" w:fill="8DB3E2" w:themeFill="text2" w:themeFillTint="66"/>
            <w:vAlign w:val="center"/>
            <w:hideMark/>
          </w:tcPr>
          <w:p w:rsidR="00AA5B22" w:rsidRPr="000F3A8B" w:rsidRDefault="00AA5B22" w:rsidP="00AA5B22">
            <w:pPr>
              <w:jc w:val="right"/>
              <w:rPr>
                <w:b/>
                <w:bCs/>
                <w:color w:val="000000"/>
                <w:sz w:val="20"/>
                <w:szCs w:val="20"/>
                <w:lang w:eastAsia="en-GB"/>
              </w:rPr>
            </w:pPr>
            <w:r w:rsidRPr="000F3A8B">
              <w:rPr>
                <w:b/>
                <w:bCs/>
                <w:color w:val="000000"/>
                <w:sz w:val="20"/>
                <w:szCs w:val="20"/>
                <w:lang w:eastAsia="en-GB"/>
              </w:rPr>
              <w:t xml:space="preserve">Total Non Delegated Budgets </w:t>
            </w:r>
          </w:p>
        </w:tc>
        <w:tc>
          <w:tcPr>
            <w:tcW w:w="1559" w:type="dxa"/>
            <w:tcBorders>
              <w:top w:val="single" w:sz="8" w:space="0" w:color="auto"/>
              <w:left w:val="nil"/>
              <w:bottom w:val="single" w:sz="8" w:space="0" w:color="auto"/>
              <w:right w:val="single" w:sz="8" w:space="0" w:color="auto"/>
            </w:tcBorders>
            <w:shd w:val="clear" w:color="000000" w:fill="8DB3E2" w:themeFill="text2" w:themeFillTint="66"/>
            <w:vAlign w:val="center"/>
          </w:tcPr>
          <w:p w:rsidR="00AA5B22" w:rsidRDefault="00AA5B22" w:rsidP="00AA5B22">
            <w:pPr>
              <w:jc w:val="right"/>
              <w:rPr>
                <w:b/>
                <w:bCs/>
                <w:sz w:val="20"/>
                <w:szCs w:val="20"/>
              </w:rPr>
            </w:pPr>
            <w:r>
              <w:rPr>
                <w:b/>
                <w:bCs/>
                <w:color w:val="FF0000"/>
                <w:sz w:val="20"/>
                <w:szCs w:val="20"/>
              </w:rPr>
              <w:t>(6,428)</w:t>
            </w:r>
          </w:p>
        </w:tc>
        <w:tc>
          <w:tcPr>
            <w:tcW w:w="1594"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AA5B22" w:rsidRDefault="00AA5B22" w:rsidP="00AA5B22">
            <w:pPr>
              <w:jc w:val="right"/>
              <w:rPr>
                <w:b/>
                <w:bCs/>
                <w:sz w:val="20"/>
                <w:szCs w:val="20"/>
              </w:rPr>
            </w:pPr>
            <w:r>
              <w:rPr>
                <w:b/>
                <w:bCs/>
                <w:color w:val="FF0000"/>
                <w:sz w:val="20"/>
                <w:szCs w:val="20"/>
              </w:rPr>
              <w:t>(535)</w:t>
            </w:r>
          </w:p>
        </w:tc>
        <w:tc>
          <w:tcPr>
            <w:tcW w:w="1595"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AA5B22" w:rsidRDefault="00AA5B22" w:rsidP="00AA5B22">
            <w:pPr>
              <w:jc w:val="right"/>
              <w:rPr>
                <w:b/>
                <w:bCs/>
                <w:sz w:val="20"/>
                <w:szCs w:val="20"/>
              </w:rPr>
            </w:pPr>
            <w:r>
              <w:rPr>
                <w:b/>
                <w:bCs/>
                <w:color w:val="FF0000"/>
                <w:sz w:val="20"/>
                <w:szCs w:val="20"/>
              </w:rPr>
              <w:t>(5,892)</w:t>
            </w:r>
          </w:p>
        </w:tc>
        <w:tc>
          <w:tcPr>
            <w:tcW w:w="1595" w:type="dxa"/>
            <w:tcBorders>
              <w:top w:val="single" w:sz="8" w:space="0" w:color="auto"/>
              <w:left w:val="nil"/>
              <w:bottom w:val="single" w:sz="8" w:space="0" w:color="auto"/>
              <w:right w:val="single" w:sz="8" w:space="0" w:color="auto"/>
            </w:tcBorders>
            <w:shd w:val="clear" w:color="000000" w:fill="8DB3E2" w:themeFill="text2" w:themeFillTint="66"/>
            <w:vAlign w:val="center"/>
          </w:tcPr>
          <w:p w:rsidR="00AA5B22" w:rsidRDefault="00AA5B22" w:rsidP="00AA5B22">
            <w:pPr>
              <w:jc w:val="right"/>
              <w:rPr>
                <w:b/>
                <w:bCs/>
                <w:sz w:val="20"/>
                <w:szCs w:val="20"/>
              </w:rPr>
            </w:pPr>
            <w:r>
              <w:rPr>
                <w:b/>
                <w:bCs/>
                <w:color w:val="FF0000"/>
                <w:sz w:val="20"/>
                <w:szCs w:val="20"/>
              </w:rPr>
              <w:t>(6,551)</w:t>
            </w:r>
          </w:p>
        </w:tc>
        <w:tc>
          <w:tcPr>
            <w:tcW w:w="2162" w:type="dxa"/>
            <w:tcBorders>
              <w:top w:val="single" w:sz="8" w:space="0" w:color="auto"/>
              <w:left w:val="single" w:sz="4" w:space="0" w:color="auto"/>
              <w:bottom w:val="single" w:sz="8" w:space="0" w:color="auto"/>
              <w:right w:val="single" w:sz="4" w:space="0" w:color="auto"/>
            </w:tcBorders>
            <w:shd w:val="clear" w:color="auto" w:fill="8DB3E2" w:themeFill="text2" w:themeFillTint="66"/>
            <w:vAlign w:val="center"/>
          </w:tcPr>
          <w:p w:rsidR="00AA5B22" w:rsidRDefault="00AA5B22" w:rsidP="00AA5B22">
            <w:pPr>
              <w:jc w:val="right"/>
              <w:rPr>
                <w:b/>
                <w:bCs/>
                <w:sz w:val="20"/>
                <w:szCs w:val="20"/>
              </w:rPr>
            </w:pPr>
            <w:r>
              <w:rPr>
                <w:b/>
                <w:bCs/>
                <w:color w:val="FF0000"/>
                <w:sz w:val="20"/>
                <w:szCs w:val="20"/>
              </w:rPr>
              <w:t>(4,146)</w:t>
            </w:r>
          </w:p>
        </w:tc>
      </w:tr>
      <w:tr w:rsidR="00AA5B22" w:rsidRPr="000F3A8B" w:rsidTr="003C4364">
        <w:trPr>
          <w:trHeight w:val="170"/>
          <w:jc w:val="center"/>
        </w:trPr>
        <w:tc>
          <w:tcPr>
            <w:tcW w:w="5944" w:type="dxa"/>
            <w:tcBorders>
              <w:top w:val="nil"/>
              <w:left w:val="single" w:sz="8" w:space="0" w:color="auto"/>
              <w:bottom w:val="single" w:sz="4" w:space="0" w:color="auto"/>
              <w:right w:val="single" w:sz="8" w:space="0" w:color="auto"/>
            </w:tcBorders>
            <w:shd w:val="clear" w:color="auto" w:fill="auto"/>
            <w:vAlign w:val="center"/>
          </w:tcPr>
          <w:p w:rsidR="00AA5B22" w:rsidRPr="000F3A8B" w:rsidRDefault="00AA5B22" w:rsidP="00AA5B22">
            <w:pPr>
              <w:jc w:val="both"/>
              <w:rPr>
                <w:color w:val="000000"/>
                <w:sz w:val="20"/>
                <w:szCs w:val="20"/>
                <w:lang w:val="en-US"/>
              </w:rPr>
            </w:pPr>
          </w:p>
        </w:tc>
        <w:tc>
          <w:tcPr>
            <w:tcW w:w="1559" w:type="dxa"/>
            <w:tcBorders>
              <w:top w:val="nil"/>
              <w:left w:val="nil"/>
              <w:bottom w:val="single" w:sz="4" w:space="0" w:color="auto"/>
              <w:right w:val="single" w:sz="8" w:space="0" w:color="auto"/>
            </w:tcBorders>
            <w:shd w:val="clear" w:color="auto" w:fill="auto"/>
            <w:vAlign w:val="center"/>
          </w:tcPr>
          <w:p w:rsidR="00AA5B22" w:rsidRDefault="00AA5B22" w:rsidP="00AA5B22">
            <w:pPr>
              <w:jc w:val="right"/>
              <w:rPr>
                <w:sz w:val="20"/>
                <w:szCs w:val="20"/>
              </w:rPr>
            </w:pPr>
            <w:r>
              <w:rPr>
                <w:sz w:val="20"/>
                <w:szCs w:val="20"/>
              </w:rPr>
              <w:t> </w:t>
            </w:r>
          </w:p>
        </w:tc>
        <w:tc>
          <w:tcPr>
            <w:tcW w:w="1594" w:type="dxa"/>
            <w:tcBorders>
              <w:top w:val="nil"/>
              <w:left w:val="single" w:sz="4" w:space="0" w:color="auto"/>
              <w:bottom w:val="single" w:sz="4" w:space="0" w:color="auto"/>
              <w:right w:val="single" w:sz="4" w:space="0" w:color="auto"/>
            </w:tcBorders>
            <w:shd w:val="clear" w:color="auto" w:fill="auto"/>
            <w:vAlign w:val="center"/>
          </w:tcPr>
          <w:p w:rsidR="00AA5B22" w:rsidRDefault="00AA5B22" w:rsidP="00AA5B22">
            <w:pPr>
              <w:jc w:val="right"/>
              <w:rPr>
                <w:sz w:val="20"/>
                <w:szCs w:val="20"/>
              </w:rPr>
            </w:pPr>
            <w:r>
              <w:rPr>
                <w:sz w:val="20"/>
                <w:szCs w:val="20"/>
              </w:rPr>
              <w:t> </w:t>
            </w:r>
          </w:p>
        </w:tc>
        <w:tc>
          <w:tcPr>
            <w:tcW w:w="1595" w:type="dxa"/>
            <w:tcBorders>
              <w:top w:val="nil"/>
              <w:left w:val="single" w:sz="4" w:space="0" w:color="auto"/>
              <w:bottom w:val="single" w:sz="4" w:space="0" w:color="auto"/>
              <w:right w:val="single" w:sz="4" w:space="0" w:color="auto"/>
            </w:tcBorders>
            <w:shd w:val="clear" w:color="auto" w:fill="auto"/>
            <w:vAlign w:val="center"/>
          </w:tcPr>
          <w:p w:rsidR="00AA5B22" w:rsidRDefault="00AA5B22" w:rsidP="00AA5B22">
            <w:pPr>
              <w:jc w:val="right"/>
              <w:rPr>
                <w:sz w:val="20"/>
                <w:szCs w:val="20"/>
              </w:rPr>
            </w:pPr>
            <w:r>
              <w:rPr>
                <w:sz w:val="20"/>
                <w:szCs w:val="20"/>
              </w:rPr>
              <w:t> </w:t>
            </w:r>
          </w:p>
        </w:tc>
        <w:tc>
          <w:tcPr>
            <w:tcW w:w="1595" w:type="dxa"/>
            <w:tcBorders>
              <w:top w:val="nil"/>
              <w:left w:val="nil"/>
              <w:bottom w:val="single" w:sz="4" w:space="0" w:color="auto"/>
              <w:right w:val="single" w:sz="8" w:space="0" w:color="auto"/>
            </w:tcBorders>
            <w:shd w:val="clear" w:color="auto" w:fill="auto"/>
            <w:vAlign w:val="center"/>
          </w:tcPr>
          <w:p w:rsidR="00AA5B22" w:rsidRDefault="00AA5B22" w:rsidP="00AA5B22">
            <w:pPr>
              <w:jc w:val="right"/>
              <w:rPr>
                <w:sz w:val="20"/>
                <w:szCs w:val="20"/>
              </w:rPr>
            </w:pPr>
            <w:r>
              <w:rPr>
                <w:sz w:val="20"/>
                <w:szCs w:val="20"/>
              </w:rPr>
              <w:t> </w:t>
            </w:r>
          </w:p>
        </w:tc>
        <w:tc>
          <w:tcPr>
            <w:tcW w:w="2162" w:type="dxa"/>
            <w:tcBorders>
              <w:top w:val="nil"/>
              <w:left w:val="single" w:sz="4" w:space="0" w:color="auto"/>
              <w:bottom w:val="single" w:sz="4" w:space="0" w:color="auto"/>
              <w:right w:val="single" w:sz="4" w:space="0" w:color="auto"/>
            </w:tcBorders>
            <w:shd w:val="clear" w:color="auto" w:fill="auto"/>
            <w:vAlign w:val="center"/>
          </w:tcPr>
          <w:p w:rsidR="00AA5B22" w:rsidRDefault="00AA5B22" w:rsidP="00AA5B22">
            <w:pPr>
              <w:jc w:val="right"/>
              <w:rPr>
                <w:sz w:val="20"/>
                <w:szCs w:val="20"/>
              </w:rPr>
            </w:pPr>
            <w:r>
              <w:rPr>
                <w:sz w:val="20"/>
                <w:szCs w:val="20"/>
              </w:rPr>
              <w:t> </w:t>
            </w:r>
          </w:p>
        </w:tc>
      </w:tr>
      <w:tr w:rsidR="00AA5B22" w:rsidRPr="000F3A8B" w:rsidTr="003C4364">
        <w:trPr>
          <w:trHeight w:val="170"/>
          <w:jc w:val="center"/>
        </w:trPr>
        <w:tc>
          <w:tcPr>
            <w:tcW w:w="5944" w:type="dxa"/>
            <w:tcBorders>
              <w:top w:val="single" w:sz="8" w:space="0" w:color="auto"/>
              <w:left w:val="single" w:sz="8" w:space="0" w:color="auto"/>
              <w:bottom w:val="single" w:sz="8" w:space="0" w:color="auto"/>
              <w:right w:val="single" w:sz="8" w:space="0" w:color="auto"/>
            </w:tcBorders>
            <w:shd w:val="clear" w:color="000000" w:fill="8DB3E2" w:themeFill="text2" w:themeFillTint="66"/>
            <w:vAlign w:val="center"/>
            <w:hideMark/>
          </w:tcPr>
          <w:p w:rsidR="00AA5B22" w:rsidRPr="000F3A8B" w:rsidRDefault="00AA5B22" w:rsidP="00AA5B22">
            <w:pPr>
              <w:jc w:val="right"/>
              <w:rPr>
                <w:b/>
                <w:bCs/>
                <w:color w:val="000000"/>
                <w:sz w:val="20"/>
                <w:szCs w:val="20"/>
                <w:lang w:eastAsia="en-GB"/>
              </w:rPr>
            </w:pPr>
            <w:r>
              <w:rPr>
                <w:b/>
                <w:bCs/>
                <w:color w:val="000000"/>
                <w:sz w:val="20"/>
                <w:szCs w:val="20"/>
                <w:lang w:eastAsia="en-GB"/>
              </w:rPr>
              <w:t>GRAND TOTAL M11</w:t>
            </w:r>
          </w:p>
        </w:tc>
        <w:tc>
          <w:tcPr>
            <w:tcW w:w="1559" w:type="dxa"/>
            <w:tcBorders>
              <w:top w:val="single" w:sz="8" w:space="0" w:color="auto"/>
              <w:left w:val="nil"/>
              <w:bottom w:val="single" w:sz="8" w:space="0" w:color="auto"/>
              <w:right w:val="single" w:sz="8" w:space="0" w:color="auto"/>
            </w:tcBorders>
            <w:shd w:val="clear" w:color="000000" w:fill="8DB3E2" w:themeFill="text2" w:themeFillTint="66"/>
            <w:vAlign w:val="center"/>
          </w:tcPr>
          <w:p w:rsidR="00AA5B22" w:rsidRDefault="00AA5B22" w:rsidP="00AA5B22">
            <w:pPr>
              <w:jc w:val="right"/>
              <w:rPr>
                <w:b/>
                <w:bCs/>
                <w:sz w:val="20"/>
                <w:szCs w:val="20"/>
              </w:rPr>
            </w:pPr>
            <w:r>
              <w:rPr>
                <w:b/>
                <w:bCs/>
                <w:sz w:val="20"/>
                <w:szCs w:val="20"/>
              </w:rPr>
              <w:t>10,000</w:t>
            </w:r>
          </w:p>
        </w:tc>
        <w:tc>
          <w:tcPr>
            <w:tcW w:w="1594"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AA5B22" w:rsidRDefault="00AA5B22" w:rsidP="00AA5B22">
            <w:pPr>
              <w:jc w:val="right"/>
              <w:rPr>
                <w:b/>
                <w:bCs/>
                <w:sz w:val="20"/>
                <w:szCs w:val="20"/>
              </w:rPr>
            </w:pPr>
            <w:r>
              <w:rPr>
                <w:b/>
                <w:bCs/>
                <w:color w:val="FF0000"/>
                <w:sz w:val="20"/>
                <w:szCs w:val="20"/>
              </w:rPr>
              <w:t>(271)</w:t>
            </w:r>
          </w:p>
        </w:tc>
        <w:tc>
          <w:tcPr>
            <w:tcW w:w="1595"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AA5B22" w:rsidRDefault="00AA5B22" w:rsidP="00AA5B22">
            <w:pPr>
              <w:jc w:val="right"/>
              <w:rPr>
                <w:b/>
                <w:bCs/>
                <w:sz w:val="20"/>
                <w:szCs w:val="20"/>
              </w:rPr>
            </w:pPr>
            <w:r>
              <w:rPr>
                <w:b/>
                <w:bCs/>
                <w:sz w:val="20"/>
                <w:szCs w:val="20"/>
              </w:rPr>
              <w:t>33</w:t>
            </w:r>
          </w:p>
        </w:tc>
        <w:tc>
          <w:tcPr>
            <w:tcW w:w="1595" w:type="dxa"/>
            <w:tcBorders>
              <w:top w:val="single" w:sz="8" w:space="0" w:color="auto"/>
              <w:left w:val="nil"/>
              <w:bottom w:val="single" w:sz="8" w:space="0" w:color="auto"/>
              <w:right w:val="single" w:sz="8" w:space="0" w:color="auto"/>
            </w:tcBorders>
            <w:shd w:val="clear" w:color="000000" w:fill="8DB3E2" w:themeFill="text2" w:themeFillTint="66"/>
            <w:vAlign w:val="center"/>
          </w:tcPr>
          <w:p w:rsidR="00AA5B22" w:rsidRDefault="00AA5B22" w:rsidP="00AA5B22">
            <w:pPr>
              <w:jc w:val="right"/>
              <w:rPr>
                <w:b/>
                <w:bCs/>
                <w:sz w:val="20"/>
                <w:szCs w:val="20"/>
              </w:rPr>
            </w:pPr>
            <w:r>
              <w:rPr>
                <w:b/>
                <w:bCs/>
                <w:color w:val="FF0000"/>
                <w:sz w:val="20"/>
                <w:szCs w:val="20"/>
              </w:rPr>
              <w:t>(275)</w:t>
            </w:r>
          </w:p>
        </w:tc>
        <w:tc>
          <w:tcPr>
            <w:tcW w:w="2162" w:type="dxa"/>
            <w:tcBorders>
              <w:top w:val="single" w:sz="8" w:space="0" w:color="auto"/>
              <w:left w:val="single" w:sz="4" w:space="0" w:color="auto"/>
              <w:bottom w:val="single" w:sz="8" w:space="0" w:color="auto"/>
              <w:right w:val="single" w:sz="4" w:space="0" w:color="auto"/>
            </w:tcBorders>
            <w:shd w:val="clear" w:color="auto" w:fill="8DB3E2" w:themeFill="text2" w:themeFillTint="66"/>
            <w:vAlign w:val="center"/>
          </w:tcPr>
          <w:p w:rsidR="00AA5B22" w:rsidRDefault="00AA5B22" w:rsidP="00AA5B22">
            <w:pPr>
              <w:jc w:val="right"/>
              <w:rPr>
                <w:b/>
                <w:bCs/>
                <w:sz w:val="20"/>
                <w:szCs w:val="20"/>
              </w:rPr>
            </w:pPr>
            <w:r>
              <w:rPr>
                <w:b/>
                <w:bCs/>
                <w:sz w:val="20"/>
                <w:szCs w:val="20"/>
              </w:rPr>
              <w:t>3,092</w:t>
            </w:r>
          </w:p>
        </w:tc>
      </w:tr>
    </w:tbl>
    <w:p w:rsidR="0054713E" w:rsidRPr="000F3A8B" w:rsidRDefault="00E076B8" w:rsidP="0054713E">
      <w:pPr>
        <w:ind w:right="394"/>
        <w:rPr>
          <w:b/>
          <w:sz w:val="22"/>
          <w:szCs w:val="22"/>
        </w:rPr>
      </w:pPr>
      <w:r w:rsidRPr="000F3A8B">
        <w:rPr>
          <w:noProof/>
          <w:lang w:eastAsia="en-GB"/>
        </w:rPr>
        <mc:AlternateContent>
          <mc:Choice Requires="wps">
            <w:drawing>
              <wp:anchor distT="0" distB="0" distL="114300" distR="114300" simplePos="0" relativeHeight="251812864" behindDoc="0" locked="0" layoutInCell="1" allowOverlap="1" wp14:anchorId="53484556" wp14:editId="1698D2CE">
                <wp:simplePos x="0" y="0"/>
                <wp:positionH relativeFrom="column">
                  <wp:posOffset>395330</wp:posOffset>
                </wp:positionH>
                <wp:positionV relativeFrom="paragraph">
                  <wp:posOffset>111650</wp:posOffset>
                </wp:positionV>
                <wp:extent cx="9183756" cy="1411834"/>
                <wp:effectExtent l="0" t="0" r="17780" b="17145"/>
                <wp:wrapNone/>
                <wp:docPr id="19"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9183756" cy="1411834"/>
                        </a:xfrm>
                        <a:prstGeom prst="rect">
                          <a:avLst/>
                        </a:prstGeom>
                        <a:solidFill>
                          <a:srgbClr val="FFFFFF"/>
                        </a:solidFill>
                        <a:ln w="19050">
                          <a:solidFill>
                            <a:srgbClr val="8EB4E3"/>
                          </a:solidFill>
                          <a:miter lim="800000"/>
                          <a:headEnd/>
                          <a:tailEnd/>
                        </a:ln>
                      </wps:spPr>
                      <wps:txbx>
                        <w:txbxContent>
                          <w:p w:rsidR="00F66189" w:rsidRPr="004212E7" w:rsidRDefault="00F66189" w:rsidP="0054713E">
                            <w:pPr>
                              <w:ind w:right="394"/>
                              <w:rPr>
                                <w:b/>
                                <w:sz w:val="22"/>
                                <w:szCs w:val="22"/>
                              </w:rPr>
                            </w:pPr>
                            <w:r w:rsidRPr="004212E7">
                              <w:rPr>
                                <w:b/>
                                <w:sz w:val="22"/>
                                <w:szCs w:val="22"/>
                              </w:rPr>
                              <w:t xml:space="preserve">Key Issues </w:t>
                            </w:r>
                          </w:p>
                          <w:p w:rsidR="00F66189" w:rsidRPr="00BD090E" w:rsidRDefault="00F66189" w:rsidP="00F5405E">
                            <w:pPr>
                              <w:pStyle w:val="ListParagraph"/>
                              <w:numPr>
                                <w:ilvl w:val="0"/>
                                <w:numId w:val="17"/>
                              </w:numPr>
                              <w:jc w:val="both"/>
                              <w:rPr>
                                <w:rFonts w:cs="Tahoma"/>
                                <w:bCs/>
                                <w:sz w:val="20"/>
                                <w:szCs w:val="20"/>
                              </w:rPr>
                            </w:pPr>
                            <w:r w:rsidRPr="00BD090E">
                              <w:rPr>
                                <w:rFonts w:cs="Tahoma"/>
                                <w:bCs/>
                                <w:sz w:val="20"/>
                                <w:szCs w:val="20"/>
                              </w:rPr>
                              <w:t xml:space="preserve">The Delegated savings </w:t>
                            </w:r>
                            <w:r>
                              <w:rPr>
                                <w:rFonts w:cs="Tahoma"/>
                                <w:bCs/>
                                <w:sz w:val="20"/>
                                <w:szCs w:val="20"/>
                              </w:rPr>
                              <w:t>target of £16.4m represents a M11 target of £15.2m. Only £9.3</w:t>
                            </w:r>
                            <w:r w:rsidRPr="00BD090E">
                              <w:rPr>
                                <w:rFonts w:cs="Tahoma"/>
                                <w:bCs/>
                                <w:sz w:val="20"/>
                                <w:szCs w:val="20"/>
                              </w:rPr>
                              <w:t xml:space="preserve">m of </w:t>
                            </w:r>
                            <w:r>
                              <w:rPr>
                                <w:rFonts w:cs="Tahoma"/>
                                <w:bCs/>
                                <w:sz w:val="20"/>
                                <w:szCs w:val="20"/>
                              </w:rPr>
                              <w:t>savings have been reported to M11</w:t>
                            </w:r>
                            <w:r w:rsidRPr="00BD090E">
                              <w:rPr>
                                <w:rFonts w:cs="Tahoma"/>
                                <w:bCs/>
                                <w:sz w:val="20"/>
                                <w:szCs w:val="20"/>
                              </w:rPr>
                              <w:t xml:space="preserve"> resulting in an adver</w:t>
                            </w:r>
                            <w:r>
                              <w:rPr>
                                <w:rFonts w:cs="Tahoma"/>
                                <w:bCs/>
                                <w:sz w:val="20"/>
                                <w:szCs w:val="20"/>
                              </w:rPr>
                              <w:t>se variance against plan of £5.9m. This variance reduces to breakeven</w:t>
                            </w:r>
                            <w:r w:rsidRPr="00BD090E">
                              <w:rPr>
                                <w:rFonts w:cs="Tahoma"/>
                                <w:bCs/>
                                <w:sz w:val="20"/>
                                <w:szCs w:val="20"/>
                              </w:rPr>
                              <w:t xml:space="preserve"> after allowing for the Savings contingency which is being released on a straight line basis.</w:t>
                            </w:r>
                          </w:p>
                          <w:p w:rsidR="00F66189" w:rsidRPr="00BD090E" w:rsidRDefault="00F66189" w:rsidP="00F5405E">
                            <w:pPr>
                              <w:pStyle w:val="ListParagraph"/>
                              <w:numPr>
                                <w:ilvl w:val="0"/>
                                <w:numId w:val="17"/>
                              </w:numPr>
                              <w:jc w:val="both"/>
                              <w:rPr>
                                <w:rFonts w:cs="Tahoma"/>
                                <w:bCs/>
                                <w:sz w:val="20"/>
                                <w:szCs w:val="20"/>
                              </w:rPr>
                            </w:pPr>
                            <w:r w:rsidRPr="00BD090E">
                              <w:rPr>
                                <w:rFonts w:cs="Tahoma"/>
                                <w:bCs/>
                                <w:sz w:val="20"/>
                                <w:szCs w:val="20"/>
                              </w:rPr>
                              <w:t>Forecast In yea</w:t>
                            </w:r>
                            <w:r>
                              <w:rPr>
                                <w:rFonts w:cs="Tahoma"/>
                                <w:bCs/>
                                <w:sz w:val="20"/>
                                <w:szCs w:val="20"/>
                              </w:rPr>
                              <w:t>r and recurrent savings as at M11 is £10.3m and £8.8</w:t>
                            </w:r>
                            <w:r w:rsidRPr="00BD090E">
                              <w:rPr>
                                <w:rFonts w:cs="Tahoma"/>
                                <w:bCs/>
                                <w:sz w:val="20"/>
                                <w:szCs w:val="20"/>
                              </w:rPr>
                              <w:t>m respectively, lea</w:t>
                            </w:r>
                            <w:r>
                              <w:rPr>
                                <w:rFonts w:cs="Tahoma"/>
                                <w:bCs/>
                                <w:sz w:val="20"/>
                                <w:szCs w:val="20"/>
                              </w:rPr>
                              <w:t>ving an over achievement of £0.3m in year and a shortfall of £3.0</w:t>
                            </w:r>
                            <w:r w:rsidRPr="00BD090E">
                              <w:rPr>
                                <w:rFonts w:cs="Tahoma"/>
                                <w:bCs/>
                                <w:sz w:val="20"/>
                                <w:szCs w:val="20"/>
                              </w:rPr>
                              <w:t xml:space="preserve">m recurrently.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3484556" id="Text Box 24" o:spid="_x0000_s1044" type="#_x0000_t202" style="position:absolute;margin-left:31.15pt;margin-top:8.8pt;width:723.15pt;height:111.15pt;z-index:251812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" strokecolor="#8eb4e3" strokeweight="1.5pt">
                <v:path arrowok="t"/>
                <v:textbox>
                  <w:txbxContent>
                    <w:p w:rsidR="00F66189" w:rsidRPr="004212E7" w:rsidRDefault="00F66189" w:rsidP="0054713E">
                      <w:pPr>
                        <w:ind w:right="394"/>
                        <w:rPr>
                          <w:b/>
                          <w:sz w:val="22"/>
                          <w:szCs w:val="22"/>
                        </w:rPr>
                      </w:pPr>
                      <w:r w:rsidRPr="004212E7">
                        <w:rPr>
                          <w:b/>
                          <w:sz w:val="22"/>
                          <w:szCs w:val="22"/>
                        </w:rPr>
                        <w:t xml:space="preserve">Key Issues </w:t>
                      </w:r>
                    </w:p>
                    <w:p w:rsidR="00F66189" w:rsidRPr="00BD090E" w:rsidRDefault="00F66189" w:rsidP="00F5405E">
                      <w:pPr>
                        <w:pStyle w:val="ListParagraph"/>
                        <w:numPr>
                          <w:ilvl w:val="0"/>
                          <w:numId w:val="17"/>
                        </w:numPr>
                        <w:jc w:val="both"/>
                        <w:rPr>
                          <w:rFonts w:cs="Tahoma"/>
                          <w:bCs/>
                          <w:sz w:val="20"/>
                          <w:szCs w:val="20"/>
                        </w:rPr>
                      </w:pPr>
                      <w:r w:rsidRPr="00BD090E">
                        <w:rPr>
                          <w:rFonts w:cs="Tahoma"/>
                          <w:bCs/>
                          <w:sz w:val="20"/>
                          <w:szCs w:val="20"/>
                        </w:rPr>
                        <w:t xml:space="preserve">The Delegated savings </w:t>
                      </w:r>
                      <w:r>
                        <w:rPr>
                          <w:rFonts w:cs="Tahoma"/>
                          <w:bCs/>
                          <w:sz w:val="20"/>
                          <w:szCs w:val="20"/>
                        </w:rPr>
                        <w:t>target of £16.4m represents a M11 target of £15.2m. Only £9.3</w:t>
                      </w:r>
                      <w:r w:rsidRPr="00BD090E">
                        <w:rPr>
                          <w:rFonts w:cs="Tahoma"/>
                          <w:bCs/>
                          <w:sz w:val="20"/>
                          <w:szCs w:val="20"/>
                        </w:rPr>
                        <w:t xml:space="preserve">m of </w:t>
                      </w:r>
                      <w:r>
                        <w:rPr>
                          <w:rFonts w:cs="Tahoma"/>
                          <w:bCs/>
                          <w:sz w:val="20"/>
                          <w:szCs w:val="20"/>
                        </w:rPr>
                        <w:t>savings have been reported to M11</w:t>
                      </w:r>
                      <w:r w:rsidRPr="00BD090E">
                        <w:rPr>
                          <w:rFonts w:cs="Tahoma"/>
                          <w:bCs/>
                          <w:sz w:val="20"/>
                          <w:szCs w:val="20"/>
                        </w:rPr>
                        <w:t xml:space="preserve"> resulting in an adver</w:t>
                      </w:r>
                      <w:r>
                        <w:rPr>
                          <w:rFonts w:cs="Tahoma"/>
                          <w:bCs/>
                          <w:sz w:val="20"/>
                          <w:szCs w:val="20"/>
                        </w:rPr>
                        <w:t>se variance against plan of £5.9m. This variance reduces to breakeven</w:t>
                      </w:r>
                      <w:r w:rsidRPr="00BD090E">
                        <w:rPr>
                          <w:rFonts w:cs="Tahoma"/>
                          <w:bCs/>
                          <w:sz w:val="20"/>
                          <w:szCs w:val="20"/>
                        </w:rPr>
                        <w:t xml:space="preserve"> after allowing for the Savings contingency which is being released on a straight line basis.</w:t>
                      </w:r>
                    </w:p>
                    <w:p w:rsidR="00F66189" w:rsidRPr="00BD090E" w:rsidRDefault="00F66189" w:rsidP="00F5405E">
                      <w:pPr>
                        <w:pStyle w:val="ListParagraph"/>
                        <w:numPr>
                          <w:ilvl w:val="0"/>
                          <w:numId w:val="17"/>
                        </w:numPr>
                        <w:jc w:val="both"/>
                        <w:rPr>
                          <w:rFonts w:cs="Tahoma"/>
                          <w:bCs/>
                          <w:sz w:val="20"/>
                          <w:szCs w:val="20"/>
                        </w:rPr>
                      </w:pPr>
                      <w:r w:rsidRPr="00BD090E">
                        <w:rPr>
                          <w:rFonts w:cs="Tahoma"/>
                          <w:bCs/>
                          <w:sz w:val="20"/>
                          <w:szCs w:val="20"/>
                        </w:rPr>
                        <w:t>Forecast In yea</w:t>
                      </w:r>
                      <w:r>
                        <w:rPr>
                          <w:rFonts w:cs="Tahoma"/>
                          <w:bCs/>
                          <w:sz w:val="20"/>
                          <w:szCs w:val="20"/>
                        </w:rPr>
                        <w:t>r and recurrent savings as at M11 is £10.3m and £8.8</w:t>
                      </w:r>
                      <w:r w:rsidRPr="00BD090E">
                        <w:rPr>
                          <w:rFonts w:cs="Tahoma"/>
                          <w:bCs/>
                          <w:sz w:val="20"/>
                          <w:szCs w:val="20"/>
                        </w:rPr>
                        <w:t>m respectively, lea</w:t>
                      </w:r>
                      <w:r>
                        <w:rPr>
                          <w:rFonts w:cs="Tahoma"/>
                          <w:bCs/>
                          <w:sz w:val="20"/>
                          <w:szCs w:val="20"/>
                        </w:rPr>
                        <w:t>ving an over achievement of £0.3m in year and a shortfall of £3.0</w:t>
                      </w:r>
                      <w:r w:rsidRPr="00BD090E">
                        <w:rPr>
                          <w:rFonts w:cs="Tahoma"/>
                          <w:bCs/>
                          <w:sz w:val="20"/>
                          <w:szCs w:val="20"/>
                        </w:rPr>
                        <w:t xml:space="preserve">m recurrently. </w:t>
                      </w:r>
                    </w:p>
                  </w:txbxContent>
                </v:textbox>
              </v:shape>
            </w:pict>
          </mc:Fallback>
        </mc:AlternateContent>
      </w:r>
    </w:p>
    <w:p w:rsidR="0054713E" w:rsidRPr="000F3A8B" w:rsidRDefault="0054713E" w:rsidP="0054713E">
      <w:pPr>
        <w:rPr>
          <w:b/>
          <w:sz w:val="24"/>
        </w:rPr>
      </w:pPr>
      <w:r w:rsidRPr="000F3A8B">
        <w:rPr>
          <w:b/>
          <w:sz w:val="24"/>
        </w:rPr>
        <w:tab/>
      </w:r>
      <w:r w:rsidRPr="000F3A8B">
        <w:rPr>
          <w:sz w:val="24"/>
        </w:rPr>
        <w:t xml:space="preserve"> </w:t>
      </w:r>
    </w:p>
    <w:p w:rsidR="0054713E" w:rsidRPr="000F3A8B" w:rsidRDefault="0054713E" w:rsidP="0054713E">
      <w:pPr>
        <w:ind w:left="709"/>
        <w:rPr>
          <w:b/>
          <w:sz w:val="24"/>
        </w:rPr>
      </w:pPr>
    </w:p>
    <w:p w:rsidR="0054713E" w:rsidRPr="000F3A8B" w:rsidRDefault="0054713E" w:rsidP="0054713E">
      <w:pPr>
        <w:ind w:left="709"/>
        <w:rPr>
          <w:b/>
          <w:sz w:val="24"/>
        </w:rPr>
      </w:pPr>
    </w:p>
    <w:p w:rsidR="0054713E" w:rsidRPr="000F3A8B" w:rsidRDefault="0054713E" w:rsidP="0054713E">
      <w:pPr>
        <w:ind w:left="709"/>
        <w:rPr>
          <w:sz w:val="24"/>
        </w:rPr>
      </w:pPr>
    </w:p>
    <w:p w:rsidR="0054713E" w:rsidRPr="000F3A8B" w:rsidRDefault="0054713E" w:rsidP="0054713E">
      <w:pPr>
        <w:rPr>
          <w:rFonts w:cs="Tahoma"/>
          <w:b/>
          <w:bCs/>
          <w:sz w:val="24"/>
        </w:rPr>
      </w:pPr>
      <w:r w:rsidRPr="000F3A8B">
        <w:rPr>
          <w:rFonts w:cs="Tahoma"/>
          <w:b/>
          <w:bCs/>
          <w:sz w:val="24"/>
        </w:rPr>
        <w:br w:type="page"/>
      </w:r>
    </w:p>
    <w:p w:rsidR="0054713E" w:rsidRPr="00D70E3F" w:rsidRDefault="0054713E" w:rsidP="006616E8">
      <w:pPr>
        <w:pStyle w:val="ListParagraph"/>
        <w:numPr>
          <w:ilvl w:val="1"/>
          <w:numId w:val="34"/>
        </w:numPr>
        <w:jc w:val="both"/>
        <w:rPr>
          <w:rFonts w:cs="Tahoma"/>
          <w:b/>
          <w:bCs/>
          <w:sz w:val="24"/>
        </w:rPr>
      </w:pPr>
      <w:r w:rsidRPr="00D70E3F">
        <w:rPr>
          <w:rFonts w:cs="Tahoma"/>
          <w:b/>
          <w:bCs/>
          <w:sz w:val="24"/>
        </w:rPr>
        <w:t xml:space="preserve">Non Delegated Budgets </w:t>
      </w:r>
    </w:p>
    <w:p w:rsidR="0054713E" w:rsidRPr="00D70E3F" w:rsidRDefault="0054713E" w:rsidP="0054713E">
      <w:pPr>
        <w:ind w:left="360"/>
        <w:rPr>
          <w:rFonts w:cs="Tahoma"/>
          <w:sz w:val="20"/>
          <w:szCs w:val="20"/>
        </w:rPr>
      </w:pPr>
    </w:p>
    <w:tbl>
      <w:tblPr>
        <w:tblW w:w="12687" w:type="dxa"/>
        <w:tblInd w:w="6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20"/>
        <w:gridCol w:w="1168"/>
        <w:gridCol w:w="1217"/>
        <w:gridCol w:w="1217"/>
        <w:gridCol w:w="1331"/>
        <w:gridCol w:w="1534"/>
      </w:tblGrid>
      <w:tr w:rsidR="0054713E" w:rsidRPr="00D70E3F" w:rsidTr="00542DDE">
        <w:trPr>
          <w:trHeight w:val="113"/>
        </w:trPr>
        <w:tc>
          <w:tcPr>
            <w:tcW w:w="6220" w:type="dxa"/>
            <w:shd w:val="clear" w:color="auto" w:fill="auto"/>
            <w:vAlign w:val="center"/>
            <w:hideMark/>
          </w:tcPr>
          <w:p w:rsidR="0054713E" w:rsidRPr="00D70E3F" w:rsidRDefault="0054713E" w:rsidP="003652AB">
            <w:pPr>
              <w:rPr>
                <w:b/>
                <w:bCs/>
                <w:color w:val="000000"/>
                <w:sz w:val="20"/>
                <w:szCs w:val="20"/>
                <w:lang w:eastAsia="en-GB"/>
              </w:rPr>
            </w:pPr>
            <w:r w:rsidRPr="00D70E3F">
              <w:rPr>
                <w:b/>
                <w:bCs/>
                <w:color w:val="000000"/>
                <w:sz w:val="20"/>
                <w:szCs w:val="20"/>
                <w:lang w:eastAsia="en-GB"/>
              </w:rPr>
              <w:t>Non Delegated Budgets and Reserves M</w:t>
            </w:r>
            <w:r w:rsidR="00526C5A">
              <w:rPr>
                <w:b/>
                <w:bCs/>
                <w:color w:val="000000"/>
                <w:sz w:val="20"/>
                <w:szCs w:val="20"/>
                <w:lang w:eastAsia="en-GB"/>
              </w:rPr>
              <w:t>11</w:t>
            </w:r>
          </w:p>
        </w:tc>
        <w:tc>
          <w:tcPr>
            <w:tcW w:w="1168" w:type="dxa"/>
            <w:shd w:val="clear" w:color="auto" w:fill="auto"/>
            <w:vAlign w:val="center"/>
            <w:hideMark/>
          </w:tcPr>
          <w:p w:rsidR="0054713E" w:rsidRPr="00542DDE" w:rsidRDefault="0054713E" w:rsidP="003C4364">
            <w:pPr>
              <w:jc w:val="center"/>
              <w:rPr>
                <w:bCs/>
                <w:color w:val="000000"/>
                <w:sz w:val="20"/>
                <w:szCs w:val="20"/>
                <w:lang w:eastAsia="en-GB"/>
              </w:rPr>
            </w:pPr>
            <w:r w:rsidRPr="00542DDE">
              <w:rPr>
                <w:bCs/>
                <w:color w:val="000000"/>
                <w:sz w:val="20"/>
                <w:szCs w:val="20"/>
                <w:lang w:eastAsia="en-GB"/>
              </w:rPr>
              <w:t>Current Budget</w:t>
            </w:r>
          </w:p>
        </w:tc>
        <w:tc>
          <w:tcPr>
            <w:tcW w:w="1217" w:type="dxa"/>
            <w:shd w:val="clear" w:color="auto" w:fill="auto"/>
            <w:vAlign w:val="center"/>
            <w:hideMark/>
          </w:tcPr>
          <w:p w:rsidR="0054713E" w:rsidRPr="00542DDE" w:rsidRDefault="0054713E" w:rsidP="003C4364">
            <w:pPr>
              <w:jc w:val="center"/>
              <w:rPr>
                <w:bCs/>
                <w:color w:val="000000"/>
                <w:sz w:val="20"/>
                <w:szCs w:val="20"/>
                <w:lang w:eastAsia="en-GB"/>
              </w:rPr>
            </w:pPr>
            <w:r w:rsidRPr="00542DDE">
              <w:rPr>
                <w:bCs/>
                <w:color w:val="000000"/>
                <w:sz w:val="20"/>
                <w:szCs w:val="20"/>
                <w:lang w:eastAsia="en-GB"/>
              </w:rPr>
              <w:t>Year to Date Variance</w:t>
            </w:r>
          </w:p>
        </w:tc>
        <w:tc>
          <w:tcPr>
            <w:tcW w:w="1217" w:type="dxa"/>
            <w:shd w:val="clear" w:color="auto" w:fill="auto"/>
            <w:vAlign w:val="center"/>
            <w:hideMark/>
          </w:tcPr>
          <w:p w:rsidR="0054713E" w:rsidRPr="00542DDE" w:rsidRDefault="0054713E" w:rsidP="003C4364">
            <w:pPr>
              <w:jc w:val="center"/>
              <w:rPr>
                <w:bCs/>
                <w:color w:val="000000"/>
                <w:sz w:val="20"/>
                <w:szCs w:val="20"/>
                <w:lang w:eastAsia="en-GB"/>
              </w:rPr>
            </w:pPr>
            <w:r w:rsidRPr="00542DDE">
              <w:rPr>
                <w:bCs/>
                <w:color w:val="000000"/>
                <w:sz w:val="20"/>
                <w:szCs w:val="20"/>
                <w:lang w:eastAsia="en-GB"/>
              </w:rPr>
              <w:t>Forecast In Year Variance</w:t>
            </w:r>
          </w:p>
        </w:tc>
        <w:tc>
          <w:tcPr>
            <w:tcW w:w="1331" w:type="dxa"/>
            <w:shd w:val="clear" w:color="auto" w:fill="auto"/>
            <w:vAlign w:val="center"/>
            <w:hideMark/>
          </w:tcPr>
          <w:p w:rsidR="0054713E" w:rsidRPr="00542DDE" w:rsidRDefault="0054713E" w:rsidP="003C4364">
            <w:pPr>
              <w:jc w:val="center"/>
              <w:rPr>
                <w:bCs/>
                <w:color w:val="000000"/>
                <w:sz w:val="20"/>
                <w:szCs w:val="20"/>
                <w:lang w:eastAsia="en-GB"/>
              </w:rPr>
            </w:pPr>
            <w:r w:rsidRPr="00542DDE">
              <w:rPr>
                <w:bCs/>
                <w:color w:val="000000"/>
                <w:sz w:val="20"/>
                <w:szCs w:val="20"/>
                <w:lang w:eastAsia="en-GB"/>
              </w:rPr>
              <w:t>Forecast Recurrent Variance</w:t>
            </w:r>
          </w:p>
        </w:tc>
        <w:tc>
          <w:tcPr>
            <w:tcW w:w="1534" w:type="dxa"/>
            <w:shd w:val="clear" w:color="auto" w:fill="auto"/>
            <w:noWrap/>
            <w:vAlign w:val="center"/>
            <w:hideMark/>
          </w:tcPr>
          <w:p w:rsidR="0054713E" w:rsidRPr="00542DDE" w:rsidRDefault="0054713E" w:rsidP="003C4364">
            <w:pPr>
              <w:jc w:val="center"/>
              <w:rPr>
                <w:bCs/>
                <w:color w:val="000000"/>
                <w:sz w:val="20"/>
                <w:szCs w:val="20"/>
                <w:lang w:eastAsia="en-GB"/>
              </w:rPr>
            </w:pPr>
            <w:r w:rsidRPr="00542DDE">
              <w:rPr>
                <w:bCs/>
                <w:color w:val="000000"/>
                <w:sz w:val="20"/>
                <w:szCs w:val="20"/>
                <w:lang w:eastAsia="en-GB"/>
              </w:rPr>
              <w:t>Note</w:t>
            </w:r>
          </w:p>
        </w:tc>
      </w:tr>
      <w:tr w:rsidR="0054713E" w:rsidRPr="00D70E3F" w:rsidTr="00542DDE">
        <w:trPr>
          <w:trHeight w:val="113"/>
        </w:trPr>
        <w:tc>
          <w:tcPr>
            <w:tcW w:w="6220" w:type="dxa"/>
            <w:shd w:val="clear" w:color="auto" w:fill="auto"/>
            <w:vAlign w:val="center"/>
            <w:hideMark/>
          </w:tcPr>
          <w:p w:rsidR="0054713E" w:rsidRPr="00D70E3F" w:rsidRDefault="0054713E" w:rsidP="003C4364">
            <w:pPr>
              <w:rPr>
                <w:b/>
                <w:bCs/>
                <w:color w:val="000000"/>
                <w:sz w:val="20"/>
                <w:szCs w:val="20"/>
                <w:lang w:eastAsia="en-GB"/>
              </w:rPr>
            </w:pPr>
            <w:r w:rsidRPr="00D70E3F">
              <w:rPr>
                <w:b/>
                <w:bCs/>
                <w:color w:val="000000"/>
                <w:sz w:val="20"/>
                <w:szCs w:val="20"/>
                <w:lang w:eastAsia="en-GB"/>
              </w:rPr>
              <w:t> </w:t>
            </w:r>
          </w:p>
        </w:tc>
        <w:tc>
          <w:tcPr>
            <w:tcW w:w="1168" w:type="dxa"/>
            <w:shd w:val="clear" w:color="auto" w:fill="auto"/>
            <w:noWrap/>
            <w:vAlign w:val="center"/>
            <w:hideMark/>
          </w:tcPr>
          <w:p w:rsidR="0054713E" w:rsidRPr="00D70E3F" w:rsidRDefault="0054713E" w:rsidP="003C4364">
            <w:pPr>
              <w:jc w:val="center"/>
              <w:rPr>
                <w:b/>
                <w:bCs/>
                <w:color w:val="000000"/>
                <w:sz w:val="20"/>
                <w:szCs w:val="20"/>
                <w:lang w:eastAsia="en-GB"/>
              </w:rPr>
            </w:pPr>
            <w:r w:rsidRPr="00D70E3F">
              <w:rPr>
                <w:b/>
                <w:bCs/>
                <w:color w:val="000000"/>
                <w:sz w:val="20"/>
                <w:szCs w:val="20"/>
                <w:lang w:eastAsia="en-GB"/>
              </w:rPr>
              <w:t>£’000</w:t>
            </w:r>
          </w:p>
        </w:tc>
        <w:tc>
          <w:tcPr>
            <w:tcW w:w="1217" w:type="dxa"/>
            <w:shd w:val="clear" w:color="auto" w:fill="auto"/>
            <w:noWrap/>
            <w:vAlign w:val="center"/>
            <w:hideMark/>
          </w:tcPr>
          <w:p w:rsidR="0054713E" w:rsidRPr="00D70E3F" w:rsidRDefault="0054713E" w:rsidP="003C4364">
            <w:pPr>
              <w:jc w:val="center"/>
              <w:rPr>
                <w:b/>
                <w:bCs/>
                <w:color w:val="000000"/>
                <w:sz w:val="20"/>
                <w:szCs w:val="20"/>
                <w:lang w:eastAsia="en-GB"/>
              </w:rPr>
            </w:pPr>
            <w:r w:rsidRPr="00D70E3F">
              <w:rPr>
                <w:b/>
                <w:bCs/>
                <w:color w:val="000000"/>
                <w:sz w:val="20"/>
                <w:szCs w:val="20"/>
                <w:lang w:eastAsia="en-GB"/>
              </w:rPr>
              <w:t>£’000</w:t>
            </w:r>
          </w:p>
        </w:tc>
        <w:tc>
          <w:tcPr>
            <w:tcW w:w="1217" w:type="dxa"/>
            <w:shd w:val="clear" w:color="auto" w:fill="auto"/>
            <w:noWrap/>
            <w:vAlign w:val="center"/>
            <w:hideMark/>
          </w:tcPr>
          <w:p w:rsidR="0054713E" w:rsidRPr="00D70E3F" w:rsidRDefault="0054713E" w:rsidP="003C4364">
            <w:pPr>
              <w:jc w:val="center"/>
              <w:rPr>
                <w:b/>
                <w:bCs/>
                <w:color w:val="000000"/>
                <w:sz w:val="20"/>
                <w:szCs w:val="20"/>
                <w:lang w:eastAsia="en-GB"/>
              </w:rPr>
            </w:pPr>
            <w:r w:rsidRPr="00D70E3F">
              <w:rPr>
                <w:b/>
                <w:bCs/>
                <w:color w:val="000000"/>
                <w:sz w:val="20"/>
                <w:szCs w:val="20"/>
                <w:lang w:eastAsia="en-GB"/>
              </w:rPr>
              <w:t>£’000</w:t>
            </w:r>
          </w:p>
        </w:tc>
        <w:tc>
          <w:tcPr>
            <w:tcW w:w="1331" w:type="dxa"/>
            <w:shd w:val="clear" w:color="auto" w:fill="auto"/>
            <w:noWrap/>
            <w:vAlign w:val="center"/>
            <w:hideMark/>
          </w:tcPr>
          <w:p w:rsidR="0054713E" w:rsidRPr="00D70E3F" w:rsidRDefault="0054713E" w:rsidP="003C4364">
            <w:pPr>
              <w:jc w:val="center"/>
              <w:rPr>
                <w:b/>
                <w:bCs/>
                <w:color w:val="000000"/>
                <w:sz w:val="20"/>
                <w:szCs w:val="20"/>
                <w:lang w:eastAsia="en-GB"/>
              </w:rPr>
            </w:pPr>
            <w:r w:rsidRPr="00D70E3F">
              <w:rPr>
                <w:b/>
                <w:bCs/>
                <w:color w:val="000000"/>
                <w:sz w:val="20"/>
                <w:szCs w:val="20"/>
                <w:lang w:eastAsia="en-GB"/>
              </w:rPr>
              <w:t>£’000</w:t>
            </w:r>
          </w:p>
        </w:tc>
        <w:tc>
          <w:tcPr>
            <w:tcW w:w="1534" w:type="dxa"/>
            <w:shd w:val="clear" w:color="auto" w:fill="auto"/>
            <w:noWrap/>
            <w:vAlign w:val="center"/>
            <w:hideMark/>
          </w:tcPr>
          <w:p w:rsidR="0054713E" w:rsidRPr="00D70E3F" w:rsidRDefault="0054713E" w:rsidP="003C4364">
            <w:pPr>
              <w:jc w:val="center"/>
              <w:rPr>
                <w:b/>
                <w:bCs/>
                <w:color w:val="000000"/>
                <w:sz w:val="20"/>
                <w:szCs w:val="20"/>
                <w:lang w:eastAsia="en-GB"/>
              </w:rPr>
            </w:pPr>
            <w:r w:rsidRPr="00D70E3F">
              <w:rPr>
                <w:b/>
                <w:bCs/>
                <w:color w:val="000000"/>
                <w:sz w:val="20"/>
                <w:szCs w:val="20"/>
                <w:lang w:eastAsia="en-GB"/>
              </w:rPr>
              <w:t> </w:t>
            </w:r>
          </w:p>
        </w:tc>
      </w:tr>
      <w:tr w:rsidR="0054713E" w:rsidRPr="00D70E3F" w:rsidTr="00542DDE">
        <w:trPr>
          <w:trHeight w:val="113"/>
        </w:trPr>
        <w:tc>
          <w:tcPr>
            <w:tcW w:w="6220" w:type="dxa"/>
            <w:shd w:val="clear" w:color="auto" w:fill="auto"/>
            <w:noWrap/>
            <w:vAlign w:val="center"/>
            <w:hideMark/>
          </w:tcPr>
          <w:p w:rsidR="0054713E" w:rsidRDefault="0054713E" w:rsidP="003C4364">
            <w:pPr>
              <w:rPr>
                <w:b/>
                <w:bCs/>
                <w:color w:val="000000"/>
                <w:sz w:val="20"/>
                <w:szCs w:val="20"/>
                <w:lang w:eastAsia="en-GB"/>
              </w:rPr>
            </w:pPr>
            <w:r>
              <w:rPr>
                <w:b/>
                <w:bCs/>
                <w:color w:val="000000"/>
                <w:sz w:val="20"/>
                <w:szCs w:val="20"/>
              </w:rPr>
              <w:t>Non Delegated Budgets:</w:t>
            </w:r>
          </w:p>
        </w:tc>
        <w:tc>
          <w:tcPr>
            <w:tcW w:w="1168" w:type="dxa"/>
            <w:shd w:val="clear" w:color="auto" w:fill="auto"/>
            <w:noWrap/>
            <w:vAlign w:val="center"/>
            <w:hideMark/>
          </w:tcPr>
          <w:p w:rsidR="0054713E" w:rsidRPr="00D70E3F" w:rsidRDefault="0054713E" w:rsidP="003C4364">
            <w:pPr>
              <w:rPr>
                <w:sz w:val="20"/>
                <w:szCs w:val="20"/>
              </w:rPr>
            </w:pPr>
            <w:r w:rsidRPr="00D70E3F">
              <w:rPr>
                <w:sz w:val="20"/>
                <w:szCs w:val="20"/>
              </w:rPr>
              <w:t> </w:t>
            </w:r>
          </w:p>
        </w:tc>
        <w:tc>
          <w:tcPr>
            <w:tcW w:w="1217" w:type="dxa"/>
            <w:shd w:val="clear" w:color="auto" w:fill="auto"/>
            <w:noWrap/>
            <w:vAlign w:val="center"/>
            <w:hideMark/>
          </w:tcPr>
          <w:p w:rsidR="0054713E" w:rsidRPr="00D70E3F" w:rsidRDefault="0054713E" w:rsidP="003C4364">
            <w:pPr>
              <w:rPr>
                <w:sz w:val="20"/>
                <w:szCs w:val="20"/>
              </w:rPr>
            </w:pPr>
            <w:r w:rsidRPr="00D70E3F">
              <w:rPr>
                <w:sz w:val="20"/>
                <w:szCs w:val="20"/>
              </w:rPr>
              <w:t> </w:t>
            </w:r>
          </w:p>
        </w:tc>
        <w:tc>
          <w:tcPr>
            <w:tcW w:w="1217" w:type="dxa"/>
            <w:shd w:val="clear" w:color="auto" w:fill="auto"/>
            <w:noWrap/>
            <w:vAlign w:val="center"/>
            <w:hideMark/>
          </w:tcPr>
          <w:p w:rsidR="0054713E" w:rsidRPr="00D70E3F" w:rsidRDefault="0054713E" w:rsidP="003C4364">
            <w:pPr>
              <w:rPr>
                <w:sz w:val="20"/>
                <w:szCs w:val="20"/>
              </w:rPr>
            </w:pPr>
            <w:r w:rsidRPr="00D70E3F">
              <w:rPr>
                <w:sz w:val="20"/>
                <w:szCs w:val="20"/>
              </w:rPr>
              <w:t> </w:t>
            </w:r>
          </w:p>
        </w:tc>
        <w:tc>
          <w:tcPr>
            <w:tcW w:w="1331" w:type="dxa"/>
            <w:shd w:val="clear" w:color="auto" w:fill="auto"/>
            <w:noWrap/>
            <w:vAlign w:val="center"/>
            <w:hideMark/>
          </w:tcPr>
          <w:p w:rsidR="0054713E" w:rsidRPr="00D70E3F" w:rsidRDefault="0054713E" w:rsidP="003C4364">
            <w:pPr>
              <w:rPr>
                <w:sz w:val="20"/>
                <w:szCs w:val="20"/>
              </w:rPr>
            </w:pPr>
            <w:r w:rsidRPr="00D70E3F">
              <w:rPr>
                <w:sz w:val="20"/>
                <w:szCs w:val="20"/>
              </w:rPr>
              <w:t> </w:t>
            </w:r>
          </w:p>
        </w:tc>
        <w:tc>
          <w:tcPr>
            <w:tcW w:w="1534" w:type="dxa"/>
            <w:shd w:val="clear" w:color="auto" w:fill="auto"/>
            <w:noWrap/>
            <w:vAlign w:val="center"/>
            <w:hideMark/>
          </w:tcPr>
          <w:p w:rsidR="0054713E" w:rsidRPr="00D70E3F" w:rsidRDefault="0054713E" w:rsidP="003C4364">
            <w:pPr>
              <w:jc w:val="center"/>
              <w:rPr>
                <w:b/>
                <w:bCs/>
                <w:color w:val="000000"/>
                <w:sz w:val="20"/>
                <w:szCs w:val="20"/>
              </w:rPr>
            </w:pPr>
            <w:r w:rsidRPr="00D70E3F">
              <w:rPr>
                <w:b/>
                <w:bCs/>
                <w:color w:val="000000"/>
                <w:sz w:val="20"/>
                <w:szCs w:val="20"/>
              </w:rPr>
              <w:t> </w:t>
            </w:r>
          </w:p>
        </w:tc>
      </w:tr>
      <w:tr w:rsidR="00526C5A" w:rsidRPr="00D70E3F" w:rsidTr="00542DDE">
        <w:trPr>
          <w:trHeight w:val="113"/>
        </w:trPr>
        <w:tc>
          <w:tcPr>
            <w:tcW w:w="6220" w:type="dxa"/>
            <w:shd w:val="clear" w:color="auto" w:fill="auto"/>
            <w:noWrap/>
            <w:vAlign w:val="center"/>
            <w:hideMark/>
          </w:tcPr>
          <w:p w:rsidR="00526C5A" w:rsidRDefault="00526C5A" w:rsidP="00526C5A">
            <w:pPr>
              <w:ind w:firstLineChars="200" w:firstLine="400"/>
              <w:rPr>
                <w:color w:val="000000"/>
                <w:sz w:val="20"/>
                <w:szCs w:val="20"/>
              </w:rPr>
            </w:pPr>
            <w:r>
              <w:rPr>
                <w:color w:val="000000"/>
                <w:sz w:val="20"/>
                <w:szCs w:val="20"/>
              </w:rPr>
              <w:t>Non Recurring Income &amp; Accountancy</w:t>
            </w:r>
            <w:r w:rsidR="009625A5">
              <w:rPr>
                <w:color w:val="000000"/>
                <w:sz w:val="20"/>
                <w:szCs w:val="20"/>
              </w:rPr>
              <w:t xml:space="preserve"> gains</w:t>
            </w:r>
          </w:p>
        </w:tc>
        <w:tc>
          <w:tcPr>
            <w:tcW w:w="1168" w:type="dxa"/>
            <w:shd w:val="clear" w:color="auto" w:fill="auto"/>
            <w:noWrap/>
            <w:vAlign w:val="center"/>
            <w:hideMark/>
          </w:tcPr>
          <w:p w:rsidR="00526C5A" w:rsidRDefault="00526C5A" w:rsidP="00526C5A">
            <w:pPr>
              <w:jc w:val="right"/>
              <w:rPr>
                <w:sz w:val="20"/>
                <w:szCs w:val="20"/>
                <w:lang w:eastAsia="en-GB"/>
              </w:rPr>
            </w:pPr>
            <w:r>
              <w:rPr>
                <w:color w:val="FF0000"/>
                <w:sz w:val="20"/>
                <w:szCs w:val="20"/>
              </w:rPr>
              <w:t>(500)</w:t>
            </w:r>
          </w:p>
        </w:tc>
        <w:tc>
          <w:tcPr>
            <w:tcW w:w="1217" w:type="dxa"/>
            <w:shd w:val="clear" w:color="auto" w:fill="auto"/>
            <w:noWrap/>
            <w:vAlign w:val="center"/>
            <w:hideMark/>
          </w:tcPr>
          <w:p w:rsidR="00526C5A" w:rsidRDefault="00526C5A" w:rsidP="00526C5A">
            <w:pPr>
              <w:jc w:val="right"/>
              <w:rPr>
                <w:sz w:val="20"/>
                <w:szCs w:val="20"/>
              </w:rPr>
            </w:pPr>
            <w:r>
              <w:rPr>
                <w:sz w:val="20"/>
                <w:szCs w:val="20"/>
              </w:rPr>
              <w:t>0</w:t>
            </w:r>
          </w:p>
        </w:tc>
        <w:tc>
          <w:tcPr>
            <w:tcW w:w="1217" w:type="dxa"/>
            <w:shd w:val="clear" w:color="auto" w:fill="auto"/>
            <w:noWrap/>
            <w:vAlign w:val="center"/>
            <w:hideMark/>
          </w:tcPr>
          <w:p w:rsidR="00526C5A" w:rsidRDefault="00526C5A" w:rsidP="00526C5A">
            <w:pPr>
              <w:jc w:val="right"/>
              <w:rPr>
                <w:sz w:val="20"/>
                <w:szCs w:val="20"/>
              </w:rPr>
            </w:pPr>
            <w:r>
              <w:rPr>
                <w:sz w:val="20"/>
                <w:szCs w:val="20"/>
              </w:rPr>
              <w:t>1,301</w:t>
            </w:r>
          </w:p>
        </w:tc>
        <w:tc>
          <w:tcPr>
            <w:tcW w:w="1331" w:type="dxa"/>
            <w:shd w:val="clear" w:color="auto" w:fill="auto"/>
            <w:vAlign w:val="center"/>
          </w:tcPr>
          <w:p w:rsidR="00526C5A" w:rsidRDefault="00526C5A" w:rsidP="00526C5A">
            <w:pPr>
              <w:jc w:val="right"/>
              <w:rPr>
                <w:sz w:val="20"/>
                <w:szCs w:val="20"/>
              </w:rPr>
            </w:pPr>
            <w:r>
              <w:rPr>
                <w:sz w:val="20"/>
                <w:szCs w:val="20"/>
              </w:rPr>
              <w:t>0</w:t>
            </w:r>
          </w:p>
        </w:tc>
        <w:tc>
          <w:tcPr>
            <w:tcW w:w="1534" w:type="dxa"/>
            <w:shd w:val="clear" w:color="auto" w:fill="auto"/>
            <w:noWrap/>
            <w:vAlign w:val="center"/>
          </w:tcPr>
          <w:p w:rsidR="00526C5A" w:rsidRPr="00D70E3F" w:rsidRDefault="00526C5A" w:rsidP="00526C5A">
            <w:pPr>
              <w:jc w:val="center"/>
              <w:rPr>
                <w:b/>
                <w:bCs/>
                <w:color w:val="000000"/>
                <w:sz w:val="20"/>
                <w:szCs w:val="20"/>
              </w:rPr>
            </w:pPr>
            <w:r>
              <w:rPr>
                <w:b/>
                <w:bCs/>
                <w:color w:val="000000"/>
                <w:sz w:val="20"/>
                <w:szCs w:val="20"/>
              </w:rPr>
              <w:t>A</w:t>
            </w:r>
          </w:p>
        </w:tc>
      </w:tr>
      <w:tr w:rsidR="00526C5A" w:rsidRPr="00D70E3F" w:rsidTr="00542DDE">
        <w:trPr>
          <w:trHeight w:val="113"/>
        </w:trPr>
        <w:tc>
          <w:tcPr>
            <w:tcW w:w="6220" w:type="dxa"/>
            <w:shd w:val="clear" w:color="auto" w:fill="auto"/>
            <w:noWrap/>
            <w:vAlign w:val="center"/>
            <w:hideMark/>
          </w:tcPr>
          <w:p w:rsidR="00526C5A" w:rsidRDefault="00526C5A" w:rsidP="00526C5A">
            <w:pPr>
              <w:ind w:firstLineChars="200" w:firstLine="400"/>
              <w:rPr>
                <w:color w:val="000000"/>
                <w:sz w:val="20"/>
                <w:szCs w:val="20"/>
              </w:rPr>
            </w:pPr>
            <w:r>
              <w:rPr>
                <w:color w:val="000000"/>
                <w:sz w:val="20"/>
                <w:szCs w:val="20"/>
              </w:rPr>
              <w:t>Savings Target to be allocated</w:t>
            </w:r>
          </w:p>
        </w:tc>
        <w:tc>
          <w:tcPr>
            <w:tcW w:w="1168" w:type="dxa"/>
            <w:shd w:val="clear" w:color="auto" w:fill="auto"/>
            <w:noWrap/>
            <w:vAlign w:val="center"/>
            <w:hideMark/>
          </w:tcPr>
          <w:p w:rsidR="00526C5A" w:rsidRDefault="00526C5A" w:rsidP="00526C5A">
            <w:pPr>
              <w:jc w:val="right"/>
              <w:rPr>
                <w:sz w:val="20"/>
                <w:szCs w:val="20"/>
              </w:rPr>
            </w:pPr>
            <w:r>
              <w:rPr>
                <w:color w:val="FF0000"/>
                <w:sz w:val="20"/>
                <w:szCs w:val="20"/>
              </w:rPr>
              <w:t>(600)</w:t>
            </w:r>
          </w:p>
        </w:tc>
        <w:tc>
          <w:tcPr>
            <w:tcW w:w="1217" w:type="dxa"/>
            <w:shd w:val="clear" w:color="auto" w:fill="auto"/>
            <w:noWrap/>
            <w:vAlign w:val="center"/>
            <w:hideMark/>
          </w:tcPr>
          <w:p w:rsidR="00526C5A" w:rsidRDefault="00526C5A" w:rsidP="00526C5A">
            <w:pPr>
              <w:jc w:val="right"/>
              <w:rPr>
                <w:sz w:val="20"/>
                <w:szCs w:val="20"/>
              </w:rPr>
            </w:pPr>
            <w:r>
              <w:rPr>
                <w:sz w:val="20"/>
                <w:szCs w:val="20"/>
              </w:rPr>
              <w:t>550</w:t>
            </w:r>
          </w:p>
        </w:tc>
        <w:tc>
          <w:tcPr>
            <w:tcW w:w="1217" w:type="dxa"/>
            <w:shd w:val="clear" w:color="auto" w:fill="auto"/>
            <w:noWrap/>
            <w:vAlign w:val="center"/>
            <w:hideMark/>
          </w:tcPr>
          <w:p w:rsidR="00526C5A" w:rsidRDefault="00526C5A" w:rsidP="00526C5A">
            <w:pPr>
              <w:jc w:val="right"/>
              <w:rPr>
                <w:sz w:val="20"/>
                <w:szCs w:val="20"/>
              </w:rPr>
            </w:pPr>
            <w:r>
              <w:rPr>
                <w:sz w:val="20"/>
                <w:szCs w:val="20"/>
              </w:rPr>
              <w:t>600</w:t>
            </w:r>
          </w:p>
        </w:tc>
        <w:tc>
          <w:tcPr>
            <w:tcW w:w="1331" w:type="dxa"/>
            <w:shd w:val="clear" w:color="auto" w:fill="auto"/>
            <w:vAlign w:val="center"/>
          </w:tcPr>
          <w:p w:rsidR="00526C5A" w:rsidRDefault="00526C5A" w:rsidP="00526C5A">
            <w:pPr>
              <w:jc w:val="right"/>
              <w:rPr>
                <w:sz w:val="20"/>
                <w:szCs w:val="20"/>
              </w:rPr>
            </w:pPr>
            <w:r>
              <w:rPr>
                <w:sz w:val="20"/>
                <w:szCs w:val="20"/>
              </w:rPr>
              <w:t>600</w:t>
            </w:r>
          </w:p>
        </w:tc>
        <w:tc>
          <w:tcPr>
            <w:tcW w:w="1534" w:type="dxa"/>
            <w:shd w:val="clear" w:color="auto" w:fill="auto"/>
            <w:noWrap/>
            <w:vAlign w:val="center"/>
          </w:tcPr>
          <w:p w:rsidR="00526C5A" w:rsidRPr="00D70E3F" w:rsidRDefault="00526C5A" w:rsidP="00526C5A">
            <w:pPr>
              <w:jc w:val="center"/>
              <w:rPr>
                <w:b/>
                <w:bCs/>
                <w:color w:val="000000"/>
                <w:sz w:val="20"/>
                <w:szCs w:val="20"/>
              </w:rPr>
            </w:pPr>
            <w:r>
              <w:rPr>
                <w:b/>
                <w:bCs/>
                <w:color w:val="000000"/>
                <w:sz w:val="20"/>
                <w:szCs w:val="20"/>
              </w:rPr>
              <w:t>B</w:t>
            </w:r>
          </w:p>
        </w:tc>
      </w:tr>
      <w:tr w:rsidR="00526C5A" w:rsidRPr="00D70E3F" w:rsidTr="00542DDE">
        <w:trPr>
          <w:trHeight w:val="113"/>
        </w:trPr>
        <w:tc>
          <w:tcPr>
            <w:tcW w:w="6220" w:type="dxa"/>
            <w:shd w:val="clear" w:color="auto" w:fill="auto"/>
            <w:noWrap/>
            <w:vAlign w:val="center"/>
            <w:hideMark/>
          </w:tcPr>
          <w:p w:rsidR="00526C5A" w:rsidRDefault="00526C5A" w:rsidP="00526C5A">
            <w:pPr>
              <w:ind w:firstLineChars="200" w:firstLine="400"/>
              <w:rPr>
                <w:color w:val="000000"/>
                <w:sz w:val="20"/>
                <w:szCs w:val="20"/>
              </w:rPr>
            </w:pPr>
            <w:r>
              <w:rPr>
                <w:color w:val="000000"/>
                <w:sz w:val="20"/>
                <w:szCs w:val="20"/>
              </w:rPr>
              <w:t>Capital Charges</w:t>
            </w:r>
          </w:p>
        </w:tc>
        <w:tc>
          <w:tcPr>
            <w:tcW w:w="1168" w:type="dxa"/>
            <w:shd w:val="clear" w:color="auto" w:fill="auto"/>
            <w:noWrap/>
            <w:vAlign w:val="center"/>
            <w:hideMark/>
          </w:tcPr>
          <w:p w:rsidR="00526C5A" w:rsidRDefault="00526C5A" w:rsidP="00526C5A">
            <w:pPr>
              <w:jc w:val="right"/>
              <w:rPr>
                <w:sz w:val="20"/>
                <w:szCs w:val="20"/>
              </w:rPr>
            </w:pPr>
            <w:r>
              <w:rPr>
                <w:sz w:val="20"/>
                <w:szCs w:val="20"/>
              </w:rPr>
              <w:t>20,779</w:t>
            </w:r>
          </w:p>
        </w:tc>
        <w:tc>
          <w:tcPr>
            <w:tcW w:w="1217" w:type="dxa"/>
            <w:shd w:val="clear" w:color="auto" w:fill="auto"/>
            <w:noWrap/>
            <w:vAlign w:val="center"/>
            <w:hideMark/>
          </w:tcPr>
          <w:p w:rsidR="00526C5A" w:rsidRDefault="00526C5A" w:rsidP="00526C5A">
            <w:pPr>
              <w:jc w:val="right"/>
              <w:rPr>
                <w:sz w:val="20"/>
                <w:szCs w:val="20"/>
              </w:rPr>
            </w:pPr>
            <w:r>
              <w:rPr>
                <w:sz w:val="20"/>
                <w:szCs w:val="20"/>
              </w:rPr>
              <w:t>0</w:t>
            </w:r>
          </w:p>
        </w:tc>
        <w:tc>
          <w:tcPr>
            <w:tcW w:w="1217" w:type="dxa"/>
            <w:shd w:val="clear" w:color="auto" w:fill="auto"/>
            <w:noWrap/>
            <w:vAlign w:val="center"/>
            <w:hideMark/>
          </w:tcPr>
          <w:p w:rsidR="00526C5A" w:rsidRDefault="00526C5A" w:rsidP="00526C5A">
            <w:pPr>
              <w:jc w:val="right"/>
              <w:rPr>
                <w:sz w:val="20"/>
                <w:szCs w:val="20"/>
              </w:rPr>
            </w:pPr>
            <w:r>
              <w:rPr>
                <w:sz w:val="20"/>
                <w:szCs w:val="20"/>
              </w:rPr>
              <w:t>0</w:t>
            </w:r>
          </w:p>
        </w:tc>
        <w:tc>
          <w:tcPr>
            <w:tcW w:w="1331" w:type="dxa"/>
            <w:shd w:val="clear" w:color="auto" w:fill="auto"/>
            <w:vAlign w:val="center"/>
          </w:tcPr>
          <w:p w:rsidR="00526C5A" w:rsidRDefault="00526C5A" w:rsidP="00526C5A">
            <w:pPr>
              <w:jc w:val="right"/>
              <w:rPr>
                <w:sz w:val="20"/>
                <w:szCs w:val="20"/>
              </w:rPr>
            </w:pPr>
            <w:r>
              <w:rPr>
                <w:sz w:val="20"/>
                <w:szCs w:val="20"/>
              </w:rPr>
              <w:t>0</w:t>
            </w:r>
          </w:p>
        </w:tc>
        <w:tc>
          <w:tcPr>
            <w:tcW w:w="1534" w:type="dxa"/>
            <w:shd w:val="clear" w:color="auto" w:fill="auto"/>
            <w:noWrap/>
            <w:vAlign w:val="center"/>
          </w:tcPr>
          <w:p w:rsidR="00526C5A" w:rsidRPr="00D70E3F" w:rsidRDefault="00526C5A" w:rsidP="00526C5A">
            <w:pPr>
              <w:rPr>
                <w:rFonts w:ascii="Times New Roman" w:hAnsi="Times New Roman"/>
                <w:color w:val="000000"/>
                <w:sz w:val="20"/>
                <w:szCs w:val="20"/>
              </w:rPr>
            </w:pPr>
          </w:p>
        </w:tc>
      </w:tr>
      <w:tr w:rsidR="00526C5A" w:rsidRPr="00D70E3F" w:rsidTr="00542DDE">
        <w:trPr>
          <w:trHeight w:val="113"/>
        </w:trPr>
        <w:tc>
          <w:tcPr>
            <w:tcW w:w="6220" w:type="dxa"/>
            <w:shd w:val="clear" w:color="auto" w:fill="auto"/>
            <w:noWrap/>
            <w:vAlign w:val="center"/>
            <w:hideMark/>
          </w:tcPr>
          <w:p w:rsidR="00526C5A" w:rsidRDefault="00526C5A" w:rsidP="00526C5A">
            <w:pPr>
              <w:ind w:firstLineChars="200" w:firstLine="400"/>
              <w:rPr>
                <w:color w:val="000000"/>
                <w:sz w:val="20"/>
                <w:szCs w:val="20"/>
              </w:rPr>
            </w:pPr>
            <w:r>
              <w:rPr>
                <w:color w:val="000000"/>
                <w:sz w:val="20"/>
                <w:szCs w:val="20"/>
              </w:rPr>
              <w:t>Other Non delegated Budgets</w:t>
            </w:r>
          </w:p>
        </w:tc>
        <w:tc>
          <w:tcPr>
            <w:tcW w:w="1168" w:type="dxa"/>
            <w:shd w:val="clear" w:color="auto" w:fill="auto"/>
            <w:noWrap/>
            <w:vAlign w:val="center"/>
            <w:hideMark/>
          </w:tcPr>
          <w:p w:rsidR="00526C5A" w:rsidRDefault="00526C5A" w:rsidP="00526C5A">
            <w:pPr>
              <w:jc w:val="right"/>
              <w:rPr>
                <w:sz w:val="20"/>
                <w:szCs w:val="20"/>
              </w:rPr>
            </w:pPr>
            <w:r>
              <w:rPr>
                <w:color w:val="FF0000"/>
                <w:sz w:val="20"/>
                <w:szCs w:val="20"/>
              </w:rPr>
              <w:t>(5,142)</w:t>
            </w:r>
          </w:p>
        </w:tc>
        <w:tc>
          <w:tcPr>
            <w:tcW w:w="1217" w:type="dxa"/>
            <w:shd w:val="clear" w:color="auto" w:fill="auto"/>
            <w:noWrap/>
            <w:vAlign w:val="center"/>
            <w:hideMark/>
          </w:tcPr>
          <w:p w:rsidR="00526C5A" w:rsidRDefault="00526C5A" w:rsidP="00526C5A">
            <w:pPr>
              <w:jc w:val="right"/>
              <w:rPr>
                <w:sz w:val="20"/>
                <w:szCs w:val="20"/>
              </w:rPr>
            </w:pPr>
            <w:r>
              <w:rPr>
                <w:sz w:val="20"/>
                <w:szCs w:val="20"/>
              </w:rPr>
              <w:t>4,332</w:t>
            </w:r>
          </w:p>
        </w:tc>
        <w:tc>
          <w:tcPr>
            <w:tcW w:w="1217" w:type="dxa"/>
            <w:shd w:val="clear" w:color="auto" w:fill="auto"/>
            <w:noWrap/>
            <w:vAlign w:val="center"/>
            <w:hideMark/>
          </w:tcPr>
          <w:p w:rsidR="00526C5A" w:rsidRDefault="00526C5A" w:rsidP="00526C5A">
            <w:pPr>
              <w:jc w:val="right"/>
              <w:rPr>
                <w:sz w:val="20"/>
                <w:szCs w:val="20"/>
              </w:rPr>
            </w:pPr>
            <w:r>
              <w:rPr>
                <w:sz w:val="20"/>
                <w:szCs w:val="20"/>
              </w:rPr>
              <w:t>1,915</w:t>
            </w:r>
          </w:p>
        </w:tc>
        <w:tc>
          <w:tcPr>
            <w:tcW w:w="1331" w:type="dxa"/>
            <w:shd w:val="clear" w:color="auto" w:fill="auto"/>
            <w:vAlign w:val="center"/>
          </w:tcPr>
          <w:p w:rsidR="00526C5A" w:rsidRDefault="00526C5A" w:rsidP="00526C5A">
            <w:pPr>
              <w:jc w:val="right"/>
              <w:rPr>
                <w:sz w:val="20"/>
                <w:szCs w:val="20"/>
              </w:rPr>
            </w:pPr>
            <w:r>
              <w:rPr>
                <w:sz w:val="20"/>
                <w:szCs w:val="20"/>
              </w:rPr>
              <w:t>698</w:t>
            </w:r>
          </w:p>
        </w:tc>
        <w:tc>
          <w:tcPr>
            <w:tcW w:w="1534" w:type="dxa"/>
            <w:shd w:val="clear" w:color="auto" w:fill="auto"/>
            <w:noWrap/>
            <w:vAlign w:val="center"/>
          </w:tcPr>
          <w:p w:rsidR="00526C5A" w:rsidRPr="00D70E3F" w:rsidRDefault="00526C5A" w:rsidP="00526C5A">
            <w:pPr>
              <w:jc w:val="center"/>
              <w:rPr>
                <w:b/>
                <w:bCs/>
                <w:color w:val="000000"/>
                <w:sz w:val="20"/>
                <w:szCs w:val="20"/>
              </w:rPr>
            </w:pPr>
          </w:p>
        </w:tc>
      </w:tr>
      <w:tr w:rsidR="00526C5A" w:rsidRPr="00D70E3F" w:rsidTr="00542DDE">
        <w:trPr>
          <w:trHeight w:val="113"/>
        </w:trPr>
        <w:tc>
          <w:tcPr>
            <w:tcW w:w="6220" w:type="dxa"/>
            <w:shd w:val="clear" w:color="auto" w:fill="auto"/>
            <w:noWrap/>
            <w:vAlign w:val="center"/>
            <w:hideMark/>
          </w:tcPr>
          <w:p w:rsidR="00526C5A" w:rsidRDefault="00526C5A" w:rsidP="00526C5A">
            <w:pPr>
              <w:rPr>
                <w:b/>
                <w:bCs/>
                <w:color w:val="000000"/>
                <w:sz w:val="20"/>
                <w:szCs w:val="20"/>
              </w:rPr>
            </w:pPr>
            <w:r>
              <w:rPr>
                <w:b/>
                <w:bCs/>
                <w:color w:val="000000"/>
                <w:sz w:val="20"/>
                <w:szCs w:val="20"/>
              </w:rPr>
              <w:t>Reserves and Contingencies</w:t>
            </w:r>
          </w:p>
        </w:tc>
        <w:tc>
          <w:tcPr>
            <w:tcW w:w="1168" w:type="dxa"/>
            <w:shd w:val="clear" w:color="auto" w:fill="auto"/>
            <w:noWrap/>
            <w:vAlign w:val="center"/>
            <w:hideMark/>
          </w:tcPr>
          <w:p w:rsidR="00526C5A" w:rsidRDefault="00526C5A" w:rsidP="00526C5A">
            <w:pPr>
              <w:jc w:val="right"/>
              <w:rPr>
                <w:sz w:val="20"/>
                <w:szCs w:val="20"/>
              </w:rPr>
            </w:pPr>
            <w:r>
              <w:rPr>
                <w:sz w:val="20"/>
                <w:szCs w:val="20"/>
              </w:rPr>
              <w:t> </w:t>
            </w:r>
          </w:p>
        </w:tc>
        <w:tc>
          <w:tcPr>
            <w:tcW w:w="1217" w:type="dxa"/>
            <w:shd w:val="clear" w:color="auto" w:fill="auto"/>
            <w:noWrap/>
            <w:vAlign w:val="center"/>
            <w:hideMark/>
          </w:tcPr>
          <w:p w:rsidR="00526C5A" w:rsidRDefault="00526C5A" w:rsidP="00526C5A">
            <w:pPr>
              <w:jc w:val="right"/>
              <w:rPr>
                <w:sz w:val="20"/>
                <w:szCs w:val="20"/>
              </w:rPr>
            </w:pPr>
            <w:r>
              <w:rPr>
                <w:sz w:val="20"/>
                <w:szCs w:val="20"/>
              </w:rPr>
              <w:t> </w:t>
            </w:r>
          </w:p>
        </w:tc>
        <w:tc>
          <w:tcPr>
            <w:tcW w:w="1217" w:type="dxa"/>
            <w:shd w:val="clear" w:color="auto" w:fill="auto"/>
            <w:noWrap/>
            <w:vAlign w:val="center"/>
            <w:hideMark/>
          </w:tcPr>
          <w:p w:rsidR="00526C5A" w:rsidRDefault="00526C5A" w:rsidP="00526C5A">
            <w:pPr>
              <w:jc w:val="right"/>
              <w:rPr>
                <w:sz w:val="20"/>
                <w:szCs w:val="20"/>
              </w:rPr>
            </w:pPr>
            <w:r>
              <w:rPr>
                <w:sz w:val="20"/>
                <w:szCs w:val="20"/>
              </w:rPr>
              <w:t> </w:t>
            </w:r>
          </w:p>
        </w:tc>
        <w:tc>
          <w:tcPr>
            <w:tcW w:w="1331" w:type="dxa"/>
            <w:shd w:val="clear" w:color="auto" w:fill="auto"/>
            <w:vAlign w:val="center"/>
          </w:tcPr>
          <w:p w:rsidR="00526C5A" w:rsidRDefault="00526C5A" w:rsidP="00526C5A">
            <w:pPr>
              <w:jc w:val="right"/>
              <w:rPr>
                <w:sz w:val="20"/>
                <w:szCs w:val="20"/>
              </w:rPr>
            </w:pPr>
            <w:r>
              <w:rPr>
                <w:sz w:val="20"/>
                <w:szCs w:val="20"/>
              </w:rPr>
              <w:t> </w:t>
            </w:r>
          </w:p>
        </w:tc>
        <w:tc>
          <w:tcPr>
            <w:tcW w:w="1534" w:type="dxa"/>
            <w:shd w:val="clear" w:color="auto" w:fill="auto"/>
            <w:noWrap/>
            <w:vAlign w:val="center"/>
          </w:tcPr>
          <w:p w:rsidR="00526C5A" w:rsidRPr="00D70E3F" w:rsidRDefault="00526C5A" w:rsidP="00526C5A">
            <w:pPr>
              <w:rPr>
                <w:b/>
                <w:bCs/>
                <w:color w:val="000000"/>
                <w:sz w:val="20"/>
                <w:szCs w:val="20"/>
              </w:rPr>
            </w:pPr>
          </w:p>
        </w:tc>
      </w:tr>
      <w:tr w:rsidR="00526C5A" w:rsidRPr="00D70E3F" w:rsidTr="00542DDE">
        <w:trPr>
          <w:trHeight w:val="113"/>
        </w:trPr>
        <w:tc>
          <w:tcPr>
            <w:tcW w:w="6220" w:type="dxa"/>
            <w:shd w:val="clear" w:color="auto" w:fill="auto"/>
            <w:noWrap/>
            <w:vAlign w:val="center"/>
            <w:hideMark/>
          </w:tcPr>
          <w:p w:rsidR="00526C5A" w:rsidRPr="00F5405E" w:rsidRDefault="00526C5A" w:rsidP="00526C5A">
            <w:pPr>
              <w:ind w:firstLineChars="200" w:firstLine="400"/>
              <w:rPr>
                <w:color w:val="000000"/>
                <w:sz w:val="20"/>
                <w:szCs w:val="20"/>
              </w:rPr>
            </w:pPr>
            <w:r w:rsidRPr="00F5405E">
              <w:rPr>
                <w:color w:val="000000"/>
                <w:sz w:val="20"/>
                <w:szCs w:val="20"/>
              </w:rPr>
              <w:t>Service Improvement - Transformation</w:t>
            </w:r>
          </w:p>
        </w:tc>
        <w:tc>
          <w:tcPr>
            <w:tcW w:w="1168" w:type="dxa"/>
            <w:shd w:val="clear" w:color="auto" w:fill="auto"/>
            <w:noWrap/>
            <w:vAlign w:val="center"/>
            <w:hideMark/>
          </w:tcPr>
          <w:p w:rsidR="00526C5A" w:rsidRDefault="00526C5A" w:rsidP="00526C5A">
            <w:pPr>
              <w:jc w:val="right"/>
              <w:rPr>
                <w:sz w:val="20"/>
                <w:szCs w:val="20"/>
              </w:rPr>
            </w:pPr>
            <w:r>
              <w:rPr>
                <w:sz w:val="20"/>
                <w:szCs w:val="20"/>
              </w:rPr>
              <w:t>2</w:t>
            </w:r>
          </w:p>
        </w:tc>
        <w:tc>
          <w:tcPr>
            <w:tcW w:w="1217" w:type="dxa"/>
            <w:shd w:val="clear" w:color="auto" w:fill="auto"/>
            <w:noWrap/>
            <w:vAlign w:val="center"/>
            <w:hideMark/>
          </w:tcPr>
          <w:p w:rsidR="00526C5A" w:rsidRDefault="00526C5A" w:rsidP="00526C5A">
            <w:pPr>
              <w:jc w:val="right"/>
              <w:rPr>
                <w:sz w:val="20"/>
                <w:szCs w:val="20"/>
              </w:rPr>
            </w:pPr>
            <w:r>
              <w:rPr>
                <w:sz w:val="20"/>
                <w:szCs w:val="20"/>
              </w:rPr>
              <w:t>0</w:t>
            </w:r>
          </w:p>
        </w:tc>
        <w:tc>
          <w:tcPr>
            <w:tcW w:w="1217" w:type="dxa"/>
            <w:shd w:val="clear" w:color="auto" w:fill="auto"/>
            <w:noWrap/>
            <w:vAlign w:val="center"/>
            <w:hideMark/>
          </w:tcPr>
          <w:p w:rsidR="00526C5A" w:rsidRDefault="00526C5A" w:rsidP="00526C5A">
            <w:pPr>
              <w:jc w:val="right"/>
              <w:rPr>
                <w:sz w:val="20"/>
                <w:szCs w:val="20"/>
              </w:rPr>
            </w:pPr>
            <w:r>
              <w:rPr>
                <w:sz w:val="20"/>
                <w:szCs w:val="20"/>
              </w:rPr>
              <w:t>0</w:t>
            </w:r>
          </w:p>
        </w:tc>
        <w:tc>
          <w:tcPr>
            <w:tcW w:w="1331" w:type="dxa"/>
            <w:shd w:val="clear" w:color="auto" w:fill="auto"/>
            <w:vAlign w:val="center"/>
          </w:tcPr>
          <w:p w:rsidR="00526C5A" w:rsidRDefault="00526C5A" w:rsidP="00526C5A">
            <w:pPr>
              <w:jc w:val="right"/>
              <w:rPr>
                <w:sz w:val="20"/>
                <w:szCs w:val="20"/>
              </w:rPr>
            </w:pPr>
            <w:r>
              <w:rPr>
                <w:sz w:val="20"/>
                <w:szCs w:val="20"/>
              </w:rPr>
              <w:t>0</w:t>
            </w:r>
          </w:p>
        </w:tc>
        <w:tc>
          <w:tcPr>
            <w:tcW w:w="1534" w:type="dxa"/>
            <w:shd w:val="clear" w:color="auto" w:fill="auto"/>
            <w:noWrap/>
            <w:vAlign w:val="center"/>
          </w:tcPr>
          <w:p w:rsidR="00526C5A" w:rsidRPr="00F5405E" w:rsidRDefault="00526C5A" w:rsidP="00526C5A">
            <w:pPr>
              <w:jc w:val="center"/>
              <w:rPr>
                <w:b/>
                <w:bCs/>
                <w:color w:val="000000"/>
                <w:sz w:val="20"/>
                <w:szCs w:val="20"/>
              </w:rPr>
            </w:pPr>
            <w:r w:rsidRPr="00F5405E">
              <w:rPr>
                <w:b/>
                <w:bCs/>
                <w:color w:val="000000"/>
                <w:sz w:val="20"/>
                <w:szCs w:val="20"/>
              </w:rPr>
              <w:t>C</w:t>
            </w:r>
          </w:p>
        </w:tc>
      </w:tr>
      <w:tr w:rsidR="00526C5A" w:rsidRPr="00D70E3F" w:rsidTr="00542DDE">
        <w:trPr>
          <w:trHeight w:val="113"/>
        </w:trPr>
        <w:tc>
          <w:tcPr>
            <w:tcW w:w="6220" w:type="dxa"/>
            <w:shd w:val="clear" w:color="auto" w:fill="auto"/>
            <w:noWrap/>
            <w:vAlign w:val="center"/>
            <w:hideMark/>
          </w:tcPr>
          <w:p w:rsidR="00526C5A" w:rsidRDefault="00526C5A" w:rsidP="00526C5A">
            <w:pPr>
              <w:ind w:firstLineChars="200" w:firstLine="400"/>
              <w:rPr>
                <w:color w:val="000000"/>
                <w:sz w:val="20"/>
                <w:szCs w:val="20"/>
              </w:rPr>
            </w:pPr>
            <w:r>
              <w:rPr>
                <w:color w:val="000000"/>
                <w:sz w:val="20"/>
                <w:szCs w:val="20"/>
              </w:rPr>
              <w:t>Service &amp; Demand Pressures -  RTT</w:t>
            </w:r>
          </w:p>
        </w:tc>
        <w:tc>
          <w:tcPr>
            <w:tcW w:w="1168" w:type="dxa"/>
            <w:shd w:val="clear" w:color="auto" w:fill="auto"/>
            <w:noWrap/>
            <w:vAlign w:val="center"/>
            <w:hideMark/>
          </w:tcPr>
          <w:p w:rsidR="00526C5A" w:rsidRDefault="00526C5A" w:rsidP="00526C5A">
            <w:pPr>
              <w:jc w:val="right"/>
              <w:rPr>
                <w:sz w:val="20"/>
                <w:szCs w:val="20"/>
              </w:rPr>
            </w:pPr>
            <w:r>
              <w:rPr>
                <w:sz w:val="20"/>
                <w:szCs w:val="20"/>
              </w:rPr>
              <w:t>320</w:t>
            </w:r>
          </w:p>
        </w:tc>
        <w:tc>
          <w:tcPr>
            <w:tcW w:w="1217" w:type="dxa"/>
            <w:shd w:val="clear" w:color="auto" w:fill="auto"/>
            <w:noWrap/>
            <w:vAlign w:val="center"/>
            <w:hideMark/>
          </w:tcPr>
          <w:p w:rsidR="00526C5A" w:rsidRDefault="00526C5A" w:rsidP="00526C5A">
            <w:pPr>
              <w:jc w:val="right"/>
              <w:rPr>
                <w:sz w:val="20"/>
                <w:szCs w:val="20"/>
              </w:rPr>
            </w:pPr>
            <w:r>
              <w:rPr>
                <w:color w:val="FF0000"/>
                <w:sz w:val="20"/>
                <w:szCs w:val="20"/>
              </w:rPr>
              <w:t>(294)</w:t>
            </w:r>
          </w:p>
        </w:tc>
        <w:tc>
          <w:tcPr>
            <w:tcW w:w="1217" w:type="dxa"/>
            <w:shd w:val="clear" w:color="auto" w:fill="auto"/>
            <w:noWrap/>
            <w:vAlign w:val="center"/>
            <w:hideMark/>
          </w:tcPr>
          <w:p w:rsidR="00526C5A" w:rsidRDefault="00526C5A" w:rsidP="00526C5A">
            <w:pPr>
              <w:jc w:val="right"/>
              <w:rPr>
                <w:sz w:val="20"/>
                <w:szCs w:val="20"/>
              </w:rPr>
            </w:pPr>
            <w:r>
              <w:rPr>
                <w:color w:val="FF0000"/>
                <w:sz w:val="20"/>
                <w:szCs w:val="20"/>
              </w:rPr>
              <w:t>(321)</w:t>
            </w:r>
          </w:p>
        </w:tc>
        <w:tc>
          <w:tcPr>
            <w:tcW w:w="1331" w:type="dxa"/>
            <w:shd w:val="clear" w:color="auto" w:fill="auto"/>
            <w:vAlign w:val="center"/>
          </w:tcPr>
          <w:p w:rsidR="00526C5A" w:rsidRDefault="00526C5A" w:rsidP="00526C5A">
            <w:pPr>
              <w:jc w:val="right"/>
              <w:rPr>
                <w:sz w:val="20"/>
                <w:szCs w:val="20"/>
              </w:rPr>
            </w:pPr>
            <w:r>
              <w:rPr>
                <w:color w:val="FF0000"/>
                <w:sz w:val="20"/>
                <w:szCs w:val="20"/>
              </w:rPr>
              <w:t>(216)</w:t>
            </w:r>
          </w:p>
        </w:tc>
        <w:tc>
          <w:tcPr>
            <w:tcW w:w="1534" w:type="dxa"/>
            <w:shd w:val="clear" w:color="auto" w:fill="auto"/>
            <w:noWrap/>
            <w:vAlign w:val="center"/>
          </w:tcPr>
          <w:p w:rsidR="00526C5A" w:rsidRPr="00D70E3F" w:rsidRDefault="00526C5A" w:rsidP="00526C5A">
            <w:pPr>
              <w:jc w:val="center"/>
              <w:rPr>
                <w:b/>
                <w:bCs/>
                <w:color w:val="000000"/>
                <w:sz w:val="20"/>
                <w:szCs w:val="20"/>
              </w:rPr>
            </w:pPr>
            <w:r>
              <w:rPr>
                <w:b/>
                <w:bCs/>
                <w:color w:val="000000"/>
                <w:sz w:val="20"/>
                <w:szCs w:val="20"/>
              </w:rPr>
              <w:t>D</w:t>
            </w:r>
          </w:p>
        </w:tc>
      </w:tr>
      <w:tr w:rsidR="00526C5A" w:rsidRPr="00D70E3F" w:rsidTr="00542DDE">
        <w:trPr>
          <w:trHeight w:val="113"/>
        </w:trPr>
        <w:tc>
          <w:tcPr>
            <w:tcW w:w="6220" w:type="dxa"/>
            <w:shd w:val="clear" w:color="auto" w:fill="auto"/>
            <w:noWrap/>
            <w:vAlign w:val="center"/>
          </w:tcPr>
          <w:p w:rsidR="00526C5A" w:rsidRDefault="00526C5A" w:rsidP="00526C5A">
            <w:pPr>
              <w:ind w:firstLineChars="200" w:firstLine="400"/>
              <w:rPr>
                <w:color w:val="000000"/>
                <w:sz w:val="20"/>
                <w:szCs w:val="20"/>
              </w:rPr>
            </w:pPr>
            <w:r>
              <w:rPr>
                <w:color w:val="000000"/>
                <w:sz w:val="20"/>
                <w:szCs w:val="20"/>
              </w:rPr>
              <w:t>Savings Contingency</w:t>
            </w:r>
          </w:p>
        </w:tc>
        <w:tc>
          <w:tcPr>
            <w:tcW w:w="1168" w:type="dxa"/>
            <w:shd w:val="clear" w:color="auto" w:fill="auto"/>
            <w:noWrap/>
            <w:vAlign w:val="center"/>
          </w:tcPr>
          <w:p w:rsidR="00526C5A" w:rsidRDefault="00526C5A" w:rsidP="00526C5A">
            <w:pPr>
              <w:jc w:val="right"/>
              <w:rPr>
                <w:sz w:val="20"/>
                <w:szCs w:val="20"/>
              </w:rPr>
            </w:pPr>
            <w:r>
              <w:rPr>
                <w:sz w:val="20"/>
                <w:szCs w:val="20"/>
              </w:rPr>
              <w:t>7,027</w:t>
            </w:r>
          </w:p>
        </w:tc>
        <w:tc>
          <w:tcPr>
            <w:tcW w:w="1217" w:type="dxa"/>
            <w:shd w:val="clear" w:color="auto" w:fill="auto"/>
            <w:noWrap/>
            <w:vAlign w:val="center"/>
          </w:tcPr>
          <w:p w:rsidR="00526C5A" w:rsidRDefault="00526C5A" w:rsidP="00526C5A">
            <w:pPr>
              <w:jc w:val="right"/>
              <w:rPr>
                <w:sz w:val="20"/>
                <w:szCs w:val="20"/>
              </w:rPr>
            </w:pPr>
            <w:r>
              <w:rPr>
                <w:color w:val="FF0000"/>
                <w:sz w:val="20"/>
                <w:szCs w:val="20"/>
              </w:rPr>
              <w:t>(6,441)</w:t>
            </w:r>
          </w:p>
        </w:tc>
        <w:tc>
          <w:tcPr>
            <w:tcW w:w="1217" w:type="dxa"/>
            <w:shd w:val="clear" w:color="auto" w:fill="auto"/>
            <w:noWrap/>
            <w:vAlign w:val="center"/>
          </w:tcPr>
          <w:p w:rsidR="00526C5A" w:rsidRDefault="00526C5A" w:rsidP="00526C5A">
            <w:pPr>
              <w:jc w:val="right"/>
              <w:rPr>
                <w:sz w:val="20"/>
                <w:szCs w:val="20"/>
              </w:rPr>
            </w:pPr>
            <w:r>
              <w:rPr>
                <w:color w:val="FF0000"/>
                <w:sz w:val="20"/>
                <w:szCs w:val="20"/>
              </w:rPr>
              <w:t>(7,027)</w:t>
            </w:r>
          </w:p>
        </w:tc>
        <w:tc>
          <w:tcPr>
            <w:tcW w:w="1331" w:type="dxa"/>
            <w:shd w:val="clear" w:color="auto" w:fill="auto"/>
            <w:vAlign w:val="center"/>
          </w:tcPr>
          <w:p w:rsidR="00526C5A" w:rsidRDefault="00526C5A" w:rsidP="00526C5A">
            <w:pPr>
              <w:jc w:val="right"/>
              <w:rPr>
                <w:sz w:val="20"/>
                <w:szCs w:val="20"/>
              </w:rPr>
            </w:pPr>
            <w:r>
              <w:rPr>
                <w:color w:val="FF0000"/>
                <w:sz w:val="20"/>
                <w:szCs w:val="20"/>
              </w:rPr>
              <w:t>(5,227)</w:t>
            </w:r>
          </w:p>
        </w:tc>
        <w:tc>
          <w:tcPr>
            <w:tcW w:w="1534" w:type="dxa"/>
            <w:shd w:val="clear" w:color="auto" w:fill="auto"/>
            <w:noWrap/>
            <w:vAlign w:val="center"/>
          </w:tcPr>
          <w:p w:rsidR="00526C5A" w:rsidRPr="00D70E3F" w:rsidRDefault="00526C5A" w:rsidP="00526C5A">
            <w:pPr>
              <w:jc w:val="center"/>
              <w:rPr>
                <w:b/>
                <w:bCs/>
                <w:color w:val="000000"/>
                <w:sz w:val="20"/>
                <w:szCs w:val="20"/>
              </w:rPr>
            </w:pPr>
          </w:p>
        </w:tc>
      </w:tr>
      <w:tr w:rsidR="00526C5A" w:rsidRPr="00D70E3F" w:rsidTr="00542DDE">
        <w:trPr>
          <w:trHeight w:val="113"/>
        </w:trPr>
        <w:tc>
          <w:tcPr>
            <w:tcW w:w="6220" w:type="dxa"/>
            <w:shd w:val="clear" w:color="auto" w:fill="auto"/>
            <w:noWrap/>
            <w:vAlign w:val="center"/>
            <w:hideMark/>
          </w:tcPr>
          <w:p w:rsidR="00526C5A" w:rsidRDefault="00526C5A" w:rsidP="00526C5A">
            <w:pPr>
              <w:ind w:firstLineChars="200" w:firstLine="400"/>
              <w:rPr>
                <w:color w:val="000000"/>
                <w:sz w:val="20"/>
                <w:szCs w:val="20"/>
              </w:rPr>
            </w:pPr>
            <w:r>
              <w:rPr>
                <w:color w:val="000000"/>
                <w:sz w:val="20"/>
                <w:szCs w:val="20"/>
              </w:rPr>
              <w:t>Other Reserves &amp; Contingencies</w:t>
            </w:r>
          </w:p>
        </w:tc>
        <w:tc>
          <w:tcPr>
            <w:tcW w:w="1168" w:type="dxa"/>
            <w:shd w:val="clear" w:color="auto" w:fill="auto"/>
            <w:noWrap/>
            <w:vAlign w:val="center"/>
            <w:hideMark/>
          </w:tcPr>
          <w:p w:rsidR="00526C5A" w:rsidRDefault="00526C5A" w:rsidP="00526C5A">
            <w:pPr>
              <w:jc w:val="right"/>
              <w:rPr>
                <w:sz w:val="20"/>
                <w:szCs w:val="20"/>
              </w:rPr>
            </w:pPr>
            <w:r>
              <w:rPr>
                <w:sz w:val="20"/>
                <w:szCs w:val="20"/>
              </w:rPr>
              <w:t>19,668</w:t>
            </w:r>
          </w:p>
        </w:tc>
        <w:tc>
          <w:tcPr>
            <w:tcW w:w="1217" w:type="dxa"/>
            <w:shd w:val="clear" w:color="auto" w:fill="auto"/>
            <w:noWrap/>
            <w:vAlign w:val="center"/>
            <w:hideMark/>
          </w:tcPr>
          <w:p w:rsidR="00526C5A" w:rsidRDefault="00526C5A" w:rsidP="00526C5A">
            <w:pPr>
              <w:jc w:val="right"/>
              <w:rPr>
                <w:sz w:val="20"/>
                <w:szCs w:val="20"/>
              </w:rPr>
            </w:pPr>
            <w:r>
              <w:rPr>
                <w:color w:val="FF0000"/>
                <w:sz w:val="20"/>
                <w:szCs w:val="20"/>
              </w:rPr>
              <w:t>(15,289)</w:t>
            </w:r>
          </w:p>
        </w:tc>
        <w:tc>
          <w:tcPr>
            <w:tcW w:w="1217" w:type="dxa"/>
            <w:shd w:val="clear" w:color="auto" w:fill="auto"/>
            <w:noWrap/>
            <w:vAlign w:val="center"/>
            <w:hideMark/>
          </w:tcPr>
          <w:p w:rsidR="00526C5A" w:rsidRDefault="00526C5A" w:rsidP="00526C5A">
            <w:pPr>
              <w:jc w:val="right"/>
              <w:rPr>
                <w:sz w:val="20"/>
                <w:szCs w:val="20"/>
              </w:rPr>
            </w:pPr>
            <w:r>
              <w:rPr>
                <w:color w:val="FF0000"/>
                <w:sz w:val="20"/>
                <w:szCs w:val="20"/>
              </w:rPr>
              <w:t>(16,679)</w:t>
            </w:r>
          </w:p>
        </w:tc>
        <w:tc>
          <w:tcPr>
            <w:tcW w:w="1331" w:type="dxa"/>
            <w:shd w:val="clear" w:color="auto" w:fill="auto"/>
            <w:vAlign w:val="center"/>
          </w:tcPr>
          <w:p w:rsidR="00526C5A" w:rsidRDefault="00526C5A" w:rsidP="00526C5A">
            <w:pPr>
              <w:jc w:val="right"/>
              <w:rPr>
                <w:sz w:val="20"/>
                <w:szCs w:val="20"/>
              </w:rPr>
            </w:pPr>
            <w:r>
              <w:rPr>
                <w:color w:val="FF0000"/>
                <w:sz w:val="20"/>
                <w:szCs w:val="20"/>
              </w:rPr>
              <w:t>(12,830)</w:t>
            </w:r>
          </w:p>
        </w:tc>
        <w:tc>
          <w:tcPr>
            <w:tcW w:w="1534" w:type="dxa"/>
            <w:shd w:val="clear" w:color="auto" w:fill="auto"/>
            <w:noWrap/>
            <w:vAlign w:val="center"/>
          </w:tcPr>
          <w:p w:rsidR="00526C5A" w:rsidRPr="00D70E3F" w:rsidRDefault="00526C5A" w:rsidP="00526C5A">
            <w:pPr>
              <w:jc w:val="center"/>
              <w:rPr>
                <w:b/>
                <w:bCs/>
                <w:color w:val="000000"/>
                <w:sz w:val="20"/>
                <w:szCs w:val="20"/>
              </w:rPr>
            </w:pPr>
          </w:p>
        </w:tc>
      </w:tr>
      <w:tr w:rsidR="00526C5A" w:rsidRPr="00D70E3F" w:rsidTr="00542DDE">
        <w:trPr>
          <w:trHeight w:val="419"/>
        </w:trPr>
        <w:tc>
          <w:tcPr>
            <w:tcW w:w="6220" w:type="dxa"/>
            <w:shd w:val="clear" w:color="auto" w:fill="8DB3E2" w:themeFill="text2" w:themeFillTint="66"/>
            <w:vAlign w:val="center"/>
            <w:hideMark/>
          </w:tcPr>
          <w:p w:rsidR="00526C5A" w:rsidRPr="00D70E3F" w:rsidRDefault="00526C5A" w:rsidP="00526C5A">
            <w:pPr>
              <w:jc w:val="right"/>
              <w:rPr>
                <w:b/>
                <w:bCs/>
                <w:color w:val="000000"/>
                <w:sz w:val="20"/>
                <w:szCs w:val="20"/>
              </w:rPr>
            </w:pPr>
            <w:r w:rsidRPr="00D70E3F">
              <w:rPr>
                <w:b/>
                <w:bCs/>
                <w:color w:val="000000"/>
                <w:sz w:val="20"/>
                <w:szCs w:val="20"/>
              </w:rPr>
              <w:t xml:space="preserve">TOTAL </w:t>
            </w:r>
          </w:p>
        </w:tc>
        <w:tc>
          <w:tcPr>
            <w:tcW w:w="1168" w:type="dxa"/>
            <w:shd w:val="clear" w:color="auto" w:fill="8DB3E2" w:themeFill="text2" w:themeFillTint="66"/>
            <w:noWrap/>
            <w:vAlign w:val="center"/>
          </w:tcPr>
          <w:p w:rsidR="00526C5A" w:rsidRDefault="00526C5A" w:rsidP="00526C5A">
            <w:pPr>
              <w:jc w:val="right"/>
              <w:rPr>
                <w:b/>
                <w:bCs/>
                <w:sz w:val="20"/>
                <w:szCs w:val="20"/>
              </w:rPr>
            </w:pPr>
            <w:r>
              <w:rPr>
                <w:b/>
                <w:bCs/>
                <w:sz w:val="20"/>
                <w:szCs w:val="20"/>
              </w:rPr>
              <w:t>41,554</w:t>
            </w:r>
          </w:p>
        </w:tc>
        <w:tc>
          <w:tcPr>
            <w:tcW w:w="1217" w:type="dxa"/>
            <w:shd w:val="clear" w:color="auto" w:fill="8DB3E2" w:themeFill="text2" w:themeFillTint="66"/>
            <w:noWrap/>
            <w:vAlign w:val="center"/>
            <w:hideMark/>
          </w:tcPr>
          <w:p w:rsidR="00526C5A" w:rsidRDefault="00526C5A" w:rsidP="00526C5A">
            <w:pPr>
              <w:jc w:val="right"/>
              <w:rPr>
                <w:b/>
                <w:bCs/>
                <w:sz w:val="20"/>
                <w:szCs w:val="20"/>
              </w:rPr>
            </w:pPr>
            <w:r>
              <w:rPr>
                <w:b/>
                <w:bCs/>
                <w:color w:val="FF0000"/>
                <w:sz w:val="20"/>
                <w:szCs w:val="20"/>
              </w:rPr>
              <w:t>(17,143)</w:t>
            </w:r>
          </w:p>
        </w:tc>
        <w:tc>
          <w:tcPr>
            <w:tcW w:w="1217" w:type="dxa"/>
            <w:shd w:val="clear" w:color="auto" w:fill="8DB3E2" w:themeFill="text2" w:themeFillTint="66"/>
            <w:noWrap/>
            <w:vAlign w:val="center"/>
            <w:hideMark/>
          </w:tcPr>
          <w:p w:rsidR="00526C5A" w:rsidRDefault="00526C5A" w:rsidP="00526C5A">
            <w:pPr>
              <w:jc w:val="right"/>
              <w:rPr>
                <w:b/>
                <w:bCs/>
                <w:sz w:val="20"/>
                <w:szCs w:val="20"/>
              </w:rPr>
            </w:pPr>
            <w:r>
              <w:rPr>
                <w:b/>
                <w:bCs/>
                <w:color w:val="FF0000"/>
                <w:sz w:val="20"/>
                <w:szCs w:val="20"/>
              </w:rPr>
              <w:t>(20,211)</w:t>
            </w:r>
          </w:p>
        </w:tc>
        <w:tc>
          <w:tcPr>
            <w:tcW w:w="1331" w:type="dxa"/>
            <w:shd w:val="clear" w:color="auto" w:fill="8DB3E2" w:themeFill="text2" w:themeFillTint="66"/>
            <w:noWrap/>
            <w:vAlign w:val="center"/>
            <w:hideMark/>
          </w:tcPr>
          <w:p w:rsidR="00526C5A" w:rsidRDefault="00526C5A" w:rsidP="00526C5A">
            <w:pPr>
              <w:jc w:val="right"/>
              <w:rPr>
                <w:b/>
                <w:bCs/>
                <w:sz w:val="20"/>
                <w:szCs w:val="20"/>
              </w:rPr>
            </w:pPr>
            <w:r>
              <w:rPr>
                <w:b/>
                <w:bCs/>
                <w:color w:val="FF0000"/>
                <w:sz w:val="20"/>
                <w:szCs w:val="20"/>
              </w:rPr>
              <w:t>(16,975)</w:t>
            </w:r>
          </w:p>
        </w:tc>
        <w:tc>
          <w:tcPr>
            <w:tcW w:w="1534" w:type="dxa"/>
            <w:shd w:val="clear" w:color="auto" w:fill="8DB3E2" w:themeFill="text2" w:themeFillTint="66"/>
            <w:noWrap/>
            <w:vAlign w:val="center"/>
          </w:tcPr>
          <w:p w:rsidR="00526C5A" w:rsidRPr="00D70E3F" w:rsidRDefault="00526C5A" w:rsidP="00526C5A">
            <w:pPr>
              <w:jc w:val="center"/>
              <w:rPr>
                <w:b/>
                <w:bCs/>
                <w:color w:val="000000"/>
                <w:sz w:val="16"/>
                <w:szCs w:val="16"/>
              </w:rPr>
            </w:pPr>
          </w:p>
        </w:tc>
      </w:tr>
    </w:tbl>
    <w:p w:rsidR="0054713E" w:rsidRPr="00F5405E" w:rsidRDefault="0054713E" w:rsidP="0054713E">
      <w:pPr>
        <w:pStyle w:val="ListParagraph"/>
        <w:jc w:val="both"/>
        <w:rPr>
          <w:rFonts w:cs="Tahoma"/>
          <w:b/>
          <w:bCs/>
          <w:sz w:val="16"/>
          <w:szCs w:val="16"/>
        </w:rPr>
      </w:pPr>
    </w:p>
    <w:p w:rsidR="0054713E" w:rsidRPr="00573FF8" w:rsidRDefault="0054713E" w:rsidP="0054713E">
      <w:pPr>
        <w:pStyle w:val="ListParagraph"/>
        <w:numPr>
          <w:ilvl w:val="0"/>
          <w:numId w:val="1"/>
        </w:numPr>
        <w:ind w:hanging="720"/>
        <w:jc w:val="both"/>
        <w:rPr>
          <w:rFonts w:cs="Tahoma"/>
          <w:b/>
          <w:bCs/>
          <w:sz w:val="24"/>
        </w:rPr>
      </w:pPr>
      <w:r w:rsidRPr="00573FF8">
        <w:rPr>
          <w:rFonts w:cs="Tahoma"/>
          <w:b/>
          <w:bCs/>
          <w:sz w:val="24"/>
        </w:rPr>
        <w:t xml:space="preserve">Note A – Non Recurring Income Target  </w:t>
      </w:r>
    </w:p>
    <w:p w:rsidR="0054713E" w:rsidRPr="00573FF8" w:rsidRDefault="009625A5" w:rsidP="0054713E">
      <w:pPr>
        <w:ind w:left="709"/>
        <w:jc w:val="both"/>
        <w:rPr>
          <w:rFonts w:cs="Tahoma"/>
          <w:bCs/>
          <w:sz w:val="24"/>
        </w:rPr>
      </w:pPr>
      <w:r w:rsidRPr="00E01F90">
        <w:rPr>
          <w:sz w:val="24"/>
        </w:rPr>
        <w:t>The revised financial plan</w:t>
      </w:r>
      <w:r w:rsidR="0054713E" w:rsidRPr="00E01F90">
        <w:rPr>
          <w:sz w:val="24"/>
        </w:rPr>
        <w:t xml:space="preserve"> increased the non-recurring income target for 2019/20 from £2.7m to £4.5m</w:t>
      </w:r>
      <w:r w:rsidRPr="00E01F90">
        <w:rPr>
          <w:sz w:val="24"/>
        </w:rPr>
        <w:t xml:space="preserve">. </w:t>
      </w:r>
      <w:r w:rsidR="00485413" w:rsidRPr="00E01F90">
        <w:rPr>
          <w:sz w:val="24"/>
        </w:rPr>
        <w:t xml:space="preserve"> </w:t>
      </w:r>
      <w:r w:rsidR="00E01F90" w:rsidRPr="00E01F90">
        <w:rPr>
          <w:sz w:val="24"/>
        </w:rPr>
        <w:t>The latest forecast is showing a shortfall of £1.3m against the £4.5m target.</w:t>
      </w:r>
      <w:r w:rsidR="0054713E" w:rsidRPr="00573FF8">
        <w:rPr>
          <w:sz w:val="24"/>
        </w:rPr>
        <w:t xml:space="preserve"> </w:t>
      </w:r>
    </w:p>
    <w:p w:rsidR="0054713E" w:rsidRPr="00F5405E" w:rsidRDefault="0054713E" w:rsidP="0054713E">
      <w:pPr>
        <w:pStyle w:val="ListParagraph"/>
        <w:jc w:val="both"/>
        <w:rPr>
          <w:rFonts w:cs="Tahoma"/>
          <w:b/>
          <w:bCs/>
          <w:sz w:val="16"/>
          <w:szCs w:val="16"/>
          <w:highlight w:val="yellow"/>
        </w:rPr>
      </w:pPr>
    </w:p>
    <w:p w:rsidR="0054713E" w:rsidRPr="00573FF8" w:rsidRDefault="0054713E" w:rsidP="0054713E">
      <w:pPr>
        <w:pStyle w:val="ListParagraph"/>
        <w:numPr>
          <w:ilvl w:val="0"/>
          <w:numId w:val="1"/>
        </w:numPr>
        <w:ind w:hanging="720"/>
        <w:jc w:val="both"/>
        <w:rPr>
          <w:rFonts w:cs="Tahoma"/>
          <w:b/>
          <w:bCs/>
          <w:sz w:val="24"/>
        </w:rPr>
      </w:pPr>
      <w:r w:rsidRPr="00573FF8">
        <w:rPr>
          <w:rFonts w:cs="Tahoma"/>
          <w:b/>
          <w:bCs/>
          <w:sz w:val="24"/>
        </w:rPr>
        <w:t>Note B – Savings Target to be allocated</w:t>
      </w:r>
    </w:p>
    <w:p w:rsidR="0054713E" w:rsidRPr="00573FF8" w:rsidRDefault="0054713E" w:rsidP="0054713E">
      <w:pPr>
        <w:ind w:left="709"/>
        <w:jc w:val="both"/>
        <w:rPr>
          <w:sz w:val="24"/>
        </w:rPr>
      </w:pPr>
      <w:r w:rsidRPr="00573FF8">
        <w:rPr>
          <w:sz w:val="24"/>
        </w:rPr>
        <w:t xml:space="preserve">The financial plan </w:t>
      </w:r>
      <w:r w:rsidR="003C4364" w:rsidRPr="00573FF8">
        <w:rPr>
          <w:sz w:val="24"/>
        </w:rPr>
        <w:t>included a £0.6m savings target for Unscheduled care beds</w:t>
      </w:r>
      <w:r w:rsidR="00485413">
        <w:rPr>
          <w:sz w:val="24"/>
        </w:rPr>
        <w:t xml:space="preserve"> which will not be delivered in 19/20</w:t>
      </w:r>
      <w:r w:rsidR="003C4364" w:rsidRPr="00573FF8">
        <w:rPr>
          <w:sz w:val="24"/>
        </w:rPr>
        <w:t xml:space="preserve">. </w:t>
      </w:r>
    </w:p>
    <w:p w:rsidR="0054713E" w:rsidRPr="00F5405E" w:rsidRDefault="0054713E" w:rsidP="0054713E">
      <w:pPr>
        <w:pStyle w:val="ListParagraph"/>
        <w:jc w:val="both"/>
        <w:rPr>
          <w:rFonts w:cs="Tahoma"/>
          <w:bCs/>
          <w:sz w:val="16"/>
          <w:szCs w:val="16"/>
          <w:highlight w:val="yellow"/>
        </w:rPr>
      </w:pPr>
    </w:p>
    <w:p w:rsidR="0054713E" w:rsidRPr="00573FF8" w:rsidRDefault="0054713E" w:rsidP="0054713E">
      <w:pPr>
        <w:pStyle w:val="ListParagraph"/>
        <w:numPr>
          <w:ilvl w:val="0"/>
          <w:numId w:val="1"/>
        </w:numPr>
        <w:ind w:hanging="720"/>
        <w:jc w:val="both"/>
        <w:rPr>
          <w:rFonts w:cs="Tahoma"/>
          <w:b/>
          <w:bCs/>
          <w:sz w:val="24"/>
        </w:rPr>
      </w:pPr>
      <w:r w:rsidRPr="00573FF8">
        <w:rPr>
          <w:rFonts w:cs="Tahoma"/>
          <w:b/>
          <w:bCs/>
          <w:sz w:val="24"/>
        </w:rPr>
        <w:t>Note C - Service Improvement – Transformation</w:t>
      </w:r>
    </w:p>
    <w:p w:rsidR="0054713E" w:rsidRDefault="00F5405E" w:rsidP="0054713E">
      <w:pPr>
        <w:ind w:left="720"/>
        <w:jc w:val="both"/>
        <w:rPr>
          <w:sz w:val="24"/>
        </w:rPr>
      </w:pPr>
      <w:r w:rsidRPr="0046144B">
        <w:rPr>
          <w:sz w:val="24"/>
        </w:rPr>
        <w:t>The approved allocation for Transformation funding in 19/20 was</w:t>
      </w:r>
      <w:r w:rsidR="0004233E">
        <w:rPr>
          <w:sz w:val="24"/>
        </w:rPr>
        <w:t xml:space="preserve"> £10.6m. As at M</w:t>
      </w:r>
      <w:r w:rsidR="00526C5A">
        <w:rPr>
          <w:sz w:val="24"/>
        </w:rPr>
        <w:t>11</w:t>
      </w:r>
      <w:r w:rsidRPr="0046144B">
        <w:rPr>
          <w:sz w:val="24"/>
        </w:rPr>
        <w:t>, the late</w:t>
      </w:r>
      <w:r w:rsidR="00526C5A">
        <w:rPr>
          <w:sz w:val="24"/>
        </w:rPr>
        <w:t>st forecast out-turn spend is £6.2</w:t>
      </w:r>
      <w:r w:rsidRPr="0046144B">
        <w:rPr>
          <w:sz w:val="24"/>
        </w:rPr>
        <w:t xml:space="preserve">m and we have revised our assumed allocation to this level. </w:t>
      </w:r>
      <w:r w:rsidR="0004233E">
        <w:rPr>
          <w:sz w:val="24"/>
        </w:rPr>
        <w:t>The full forecast expenditure budget has been allo</w:t>
      </w:r>
      <w:r w:rsidR="00B9501A">
        <w:rPr>
          <w:sz w:val="24"/>
        </w:rPr>
        <w:t>cated to delegated budgets</w:t>
      </w:r>
      <w:r w:rsidR="0004233E">
        <w:rPr>
          <w:sz w:val="24"/>
        </w:rPr>
        <w:t xml:space="preserve">.  </w:t>
      </w:r>
    </w:p>
    <w:p w:rsidR="00F5405E" w:rsidRPr="00F5405E" w:rsidRDefault="00F5405E" w:rsidP="00F5405E">
      <w:pPr>
        <w:jc w:val="both"/>
        <w:rPr>
          <w:rFonts w:cs="Tahoma"/>
          <w:bCs/>
          <w:sz w:val="16"/>
          <w:szCs w:val="16"/>
          <w:highlight w:val="yellow"/>
        </w:rPr>
      </w:pPr>
    </w:p>
    <w:p w:rsidR="0054713E" w:rsidRPr="00CF29D1" w:rsidRDefault="0054713E" w:rsidP="0054713E">
      <w:pPr>
        <w:pStyle w:val="ListParagraph"/>
        <w:numPr>
          <w:ilvl w:val="0"/>
          <w:numId w:val="1"/>
        </w:numPr>
        <w:ind w:hanging="720"/>
        <w:jc w:val="both"/>
        <w:rPr>
          <w:rFonts w:cs="Tahoma"/>
          <w:b/>
          <w:bCs/>
          <w:sz w:val="24"/>
        </w:rPr>
      </w:pPr>
      <w:r w:rsidRPr="00CF29D1">
        <w:rPr>
          <w:rFonts w:cs="Tahoma"/>
          <w:b/>
          <w:bCs/>
          <w:sz w:val="24"/>
        </w:rPr>
        <w:t>Note D - Service &amp; Demand Pressures - RTT</w:t>
      </w:r>
    </w:p>
    <w:p w:rsidR="003E595F" w:rsidRPr="00CF29D1" w:rsidRDefault="0054713E" w:rsidP="0054713E">
      <w:pPr>
        <w:ind w:left="720"/>
        <w:jc w:val="both"/>
        <w:rPr>
          <w:rFonts w:cs="Tahoma"/>
          <w:bCs/>
          <w:sz w:val="24"/>
        </w:rPr>
      </w:pPr>
      <w:r w:rsidRPr="00CF29D1">
        <w:rPr>
          <w:rFonts w:cs="Tahoma"/>
          <w:bCs/>
          <w:sz w:val="24"/>
        </w:rPr>
        <w:t>The updated financial plan for 2019/20 included a budget of £</w:t>
      </w:r>
      <w:r w:rsidR="00CF29D1" w:rsidRPr="00CF29D1">
        <w:rPr>
          <w:rFonts w:cs="Tahoma"/>
          <w:bCs/>
          <w:sz w:val="24"/>
        </w:rPr>
        <w:t>3.6</w:t>
      </w:r>
      <w:r w:rsidRPr="00CF29D1">
        <w:rPr>
          <w:rFonts w:cs="Tahoma"/>
          <w:bCs/>
          <w:sz w:val="24"/>
        </w:rPr>
        <w:t>m to sustain RTT Performance, a</w:t>
      </w:r>
      <w:r w:rsidRPr="00CF29D1">
        <w:rPr>
          <w:sz w:val="24"/>
        </w:rPr>
        <w:t xml:space="preserve"> further </w:t>
      </w:r>
      <w:r w:rsidRPr="00CF29D1">
        <w:rPr>
          <w:rFonts w:cs="Tahoma"/>
          <w:bCs/>
          <w:sz w:val="24"/>
        </w:rPr>
        <w:t>£7</w:t>
      </w:r>
      <w:r w:rsidR="00192497" w:rsidRPr="00CF29D1">
        <w:rPr>
          <w:rFonts w:cs="Tahoma"/>
          <w:bCs/>
          <w:sz w:val="24"/>
        </w:rPr>
        <w:t>.5</w:t>
      </w:r>
      <w:r w:rsidRPr="00CF29D1">
        <w:rPr>
          <w:rFonts w:cs="Tahoma"/>
          <w:bCs/>
          <w:sz w:val="24"/>
        </w:rPr>
        <w:t>m of non</w:t>
      </w:r>
      <w:r w:rsidR="003E595F" w:rsidRPr="00CF29D1">
        <w:rPr>
          <w:rFonts w:cs="Tahoma"/>
          <w:bCs/>
          <w:sz w:val="24"/>
        </w:rPr>
        <w:t>-</w:t>
      </w:r>
    </w:p>
    <w:p w:rsidR="0054713E" w:rsidRPr="009D69F4" w:rsidRDefault="0054713E" w:rsidP="0054713E">
      <w:pPr>
        <w:ind w:left="720"/>
        <w:jc w:val="both"/>
        <w:rPr>
          <w:rFonts w:cs="Tahoma"/>
          <w:bCs/>
          <w:sz w:val="24"/>
        </w:rPr>
      </w:pPr>
      <w:r w:rsidRPr="00CF29D1">
        <w:rPr>
          <w:rFonts w:cs="Tahoma"/>
          <w:bCs/>
          <w:sz w:val="24"/>
        </w:rPr>
        <w:t>recurring funding has been provided by WG, to give a total plan</w:t>
      </w:r>
      <w:r w:rsidR="00192497" w:rsidRPr="00CF29D1">
        <w:rPr>
          <w:rFonts w:cs="Tahoma"/>
          <w:bCs/>
          <w:sz w:val="24"/>
        </w:rPr>
        <w:t xml:space="preserve"> of £11.</w:t>
      </w:r>
      <w:r w:rsidR="00CF29D1" w:rsidRPr="00CF29D1">
        <w:rPr>
          <w:rFonts w:cs="Tahoma"/>
          <w:bCs/>
          <w:sz w:val="24"/>
        </w:rPr>
        <w:t>1</w:t>
      </w:r>
      <w:r w:rsidR="00526C5A">
        <w:rPr>
          <w:rFonts w:cs="Tahoma"/>
          <w:bCs/>
          <w:sz w:val="24"/>
        </w:rPr>
        <w:t>m in 2019/20. As at M11</w:t>
      </w:r>
      <w:r w:rsidR="00192497" w:rsidRPr="00CF29D1">
        <w:rPr>
          <w:rFonts w:cs="Tahoma"/>
          <w:bCs/>
          <w:sz w:val="24"/>
        </w:rPr>
        <w:t xml:space="preserve"> £1</w:t>
      </w:r>
      <w:r w:rsidR="0004233E">
        <w:rPr>
          <w:rFonts w:cs="Tahoma"/>
          <w:bCs/>
          <w:sz w:val="24"/>
        </w:rPr>
        <w:t>0.8</w:t>
      </w:r>
      <w:r w:rsidRPr="00CF29D1">
        <w:rPr>
          <w:rFonts w:cs="Tahoma"/>
          <w:bCs/>
          <w:sz w:val="24"/>
        </w:rPr>
        <w:t xml:space="preserve">m has been allocated to </w:t>
      </w:r>
      <w:r w:rsidRPr="00CF29D1">
        <w:rPr>
          <w:sz w:val="24"/>
        </w:rPr>
        <w:t xml:space="preserve">directorates </w:t>
      </w:r>
      <w:r w:rsidR="003E595F" w:rsidRPr="00CF29D1">
        <w:rPr>
          <w:rFonts w:cs="Tahoma"/>
          <w:bCs/>
          <w:sz w:val="24"/>
        </w:rPr>
        <w:t>leaving</w:t>
      </w:r>
      <w:r w:rsidR="0004233E">
        <w:rPr>
          <w:rFonts w:cs="Tahoma"/>
          <w:bCs/>
          <w:sz w:val="24"/>
        </w:rPr>
        <w:t xml:space="preserve"> a balance of £0.3</w:t>
      </w:r>
      <w:r w:rsidR="003E595F" w:rsidRPr="00CF29D1">
        <w:rPr>
          <w:rFonts w:cs="Tahoma"/>
          <w:bCs/>
          <w:sz w:val="24"/>
        </w:rPr>
        <w:t>m.</w:t>
      </w:r>
    </w:p>
    <w:p w:rsidR="0054713E" w:rsidRPr="009D69F4" w:rsidRDefault="0054713E" w:rsidP="0054713E">
      <w:pPr>
        <w:jc w:val="both"/>
        <w:rPr>
          <w:rFonts w:cs="Tahoma"/>
          <w:bCs/>
          <w:sz w:val="24"/>
        </w:rPr>
      </w:pPr>
    </w:p>
    <w:p w:rsidR="0054713E" w:rsidRPr="003619B7" w:rsidRDefault="0054713E" w:rsidP="006616E8">
      <w:pPr>
        <w:pStyle w:val="ListParagraph"/>
        <w:numPr>
          <w:ilvl w:val="1"/>
          <w:numId w:val="34"/>
        </w:numPr>
        <w:jc w:val="both"/>
        <w:rPr>
          <w:rFonts w:cs="Tahoma"/>
          <w:b/>
          <w:bCs/>
          <w:sz w:val="24"/>
        </w:rPr>
      </w:pPr>
      <w:r w:rsidRPr="003619B7">
        <w:rPr>
          <w:rFonts w:cs="Tahoma"/>
          <w:b/>
          <w:bCs/>
          <w:sz w:val="24"/>
        </w:rPr>
        <w:t>Welsh Government Allocations</w:t>
      </w:r>
    </w:p>
    <w:p w:rsidR="0054713E" w:rsidRPr="003619B7" w:rsidRDefault="0054713E" w:rsidP="0054713E">
      <w:pPr>
        <w:ind w:left="709"/>
        <w:jc w:val="both"/>
        <w:rPr>
          <w:rFonts w:cs="Tahoma"/>
          <w:bCs/>
          <w:sz w:val="24"/>
        </w:rPr>
      </w:pPr>
    </w:p>
    <w:p w:rsidR="0054713E" w:rsidRPr="003619B7" w:rsidRDefault="0054713E" w:rsidP="0054713E">
      <w:pPr>
        <w:ind w:firstLine="720"/>
        <w:jc w:val="both"/>
        <w:rPr>
          <w:rFonts w:cs="Tahoma"/>
          <w:bCs/>
          <w:sz w:val="24"/>
        </w:rPr>
      </w:pPr>
      <w:r w:rsidRPr="003619B7">
        <w:rPr>
          <w:rFonts w:cs="Tahoma"/>
          <w:bCs/>
          <w:sz w:val="24"/>
        </w:rPr>
        <w:t>The table below shows the Health Board’s current Welsh Government allocation position:</w:t>
      </w:r>
    </w:p>
    <w:p w:rsidR="0054713E" w:rsidRPr="003619B7" w:rsidRDefault="0054713E" w:rsidP="0054713E">
      <w:pPr>
        <w:ind w:left="709"/>
        <w:jc w:val="both"/>
        <w:rPr>
          <w:rFonts w:cs="Tahoma"/>
          <w:bCs/>
          <w:sz w:val="20"/>
          <w:szCs w:val="20"/>
        </w:rPr>
      </w:pPr>
    </w:p>
    <w:tbl>
      <w:tblPr>
        <w:tblW w:w="14549" w:type="dxa"/>
        <w:tblInd w:w="817" w:type="dxa"/>
        <w:tblLook w:val="04A0" w:firstRow="1" w:lastRow="0" w:firstColumn="1" w:lastColumn="0" w:noHBand="0" w:noVBand="1"/>
      </w:tblPr>
      <w:tblGrid>
        <w:gridCol w:w="4804"/>
        <w:gridCol w:w="1949"/>
        <w:gridCol w:w="1949"/>
        <w:gridCol w:w="1949"/>
        <w:gridCol w:w="1949"/>
        <w:gridCol w:w="1949"/>
      </w:tblGrid>
      <w:tr w:rsidR="0054713E" w:rsidRPr="003619B7" w:rsidTr="003C4364">
        <w:trPr>
          <w:trHeight w:val="545"/>
        </w:trPr>
        <w:tc>
          <w:tcPr>
            <w:tcW w:w="4804" w:type="dxa"/>
            <w:tcBorders>
              <w:top w:val="single" w:sz="8" w:space="0" w:color="auto"/>
              <w:left w:val="single" w:sz="8" w:space="0" w:color="auto"/>
              <w:bottom w:val="nil"/>
              <w:right w:val="single" w:sz="4" w:space="0" w:color="auto"/>
            </w:tcBorders>
            <w:vAlign w:val="center"/>
            <w:hideMark/>
          </w:tcPr>
          <w:p w:rsidR="0054713E" w:rsidRPr="003619B7" w:rsidRDefault="0054713E" w:rsidP="003C4364">
            <w:pPr>
              <w:ind w:left="-850"/>
              <w:rPr>
                <w:b/>
                <w:bCs/>
                <w:color w:val="000000"/>
                <w:sz w:val="24"/>
                <w:lang w:val="en-US"/>
              </w:rPr>
            </w:pPr>
          </w:p>
        </w:tc>
        <w:tc>
          <w:tcPr>
            <w:tcW w:w="1949" w:type="dxa"/>
            <w:tcBorders>
              <w:top w:val="single" w:sz="4" w:space="0" w:color="auto"/>
              <w:left w:val="single" w:sz="4" w:space="0" w:color="auto"/>
              <w:bottom w:val="nil"/>
              <w:right w:val="single" w:sz="4" w:space="0" w:color="auto"/>
            </w:tcBorders>
            <w:shd w:val="clear" w:color="auto" w:fill="auto"/>
            <w:vAlign w:val="center"/>
            <w:hideMark/>
          </w:tcPr>
          <w:p w:rsidR="0054713E" w:rsidRPr="003619B7" w:rsidRDefault="0054713E" w:rsidP="003C4364">
            <w:pPr>
              <w:jc w:val="center"/>
              <w:rPr>
                <w:color w:val="000000"/>
                <w:sz w:val="24"/>
                <w:lang w:val="en-US"/>
              </w:rPr>
            </w:pPr>
            <w:r w:rsidRPr="003619B7">
              <w:rPr>
                <w:color w:val="000000"/>
                <w:sz w:val="24"/>
                <w:lang w:val="en-US"/>
              </w:rPr>
              <w:t>Annual Budget</w:t>
            </w:r>
          </w:p>
        </w:tc>
        <w:tc>
          <w:tcPr>
            <w:tcW w:w="1949" w:type="dxa"/>
            <w:tcBorders>
              <w:top w:val="single" w:sz="4" w:space="0" w:color="auto"/>
              <w:left w:val="nil"/>
              <w:bottom w:val="nil"/>
              <w:right w:val="single" w:sz="4" w:space="0" w:color="auto"/>
            </w:tcBorders>
            <w:shd w:val="clear" w:color="auto" w:fill="auto"/>
            <w:vAlign w:val="center"/>
          </w:tcPr>
          <w:p w:rsidR="0054713E" w:rsidRPr="003619B7" w:rsidRDefault="0054713E" w:rsidP="003C4364">
            <w:pPr>
              <w:jc w:val="center"/>
              <w:rPr>
                <w:color w:val="000000"/>
                <w:sz w:val="24"/>
                <w:lang w:val="en-US"/>
              </w:rPr>
            </w:pPr>
            <w:r w:rsidRPr="003619B7">
              <w:rPr>
                <w:color w:val="000000"/>
                <w:sz w:val="24"/>
                <w:lang w:val="en-US"/>
              </w:rPr>
              <w:t>Healthcare &amp; Hospital Services</w:t>
            </w:r>
          </w:p>
        </w:tc>
        <w:tc>
          <w:tcPr>
            <w:tcW w:w="1949" w:type="dxa"/>
            <w:tcBorders>
              <w:top w:val="single" w:sz="4" w:space="0" w:color="auto"/>
              <w:left w:val="nil"/>
              <w:bottom w:val="nil"/>
              <w:right w:val="single" w:sz="4" w:space="0" w:color="auto"/>
            </w:tcBorders>
            <w:shd w:val="clear" w:color="auto" w:fill="auto"/>
            <w:vAlign w:val="center"/>
          </w:tcPr>
          <w:p w:rsidR="0054713E" w:rsidRPr="003619B7" w:rsidRDefault="0054713E" w:rsidP="003C4364">
            <w:pPr>
              <w:jc w:val="center"/>
              <w:rPr>
                <w:color w:val="000000"/>
                <w:sz w:val="24"/>
                <w:lang w:val="en-US"/>
              </w:rPr>
            </w:pPr>
            <w:r w:rsidRPr="003619B7">
              <w:rPr>
                <w:color w:val="000000"/>
                <w:sz w:val="24"/>
                <w:lang w:val="en-US"/>
              </w:rPr>
              <w:t>Community Pharmacy</w:t>
            </w:r>
          </w:p>
        </w:tc>
        <w:tc>
          <w:tcPr>
            <w:tcW w:w="1949" w:type="dxa"/>
            <w:tcBorders>
              <w:top w:val="single" w:sz="4" w:space="0" w:color="auto"/>
              <w:left w:val="nil"/>
              <w:bottom w:val="nil"/>
              <w:right w:val="single" w:sz="4" w:space="0" w:color="auto"/>
            </w:tcBorders>
            <w:shd w:val="clear" w:color="auto" w:fill="auto"/>
            <w:vAlign w:val="center"/>
          </w:tcPr>
          <w:p w:rsidR="0054713E" w:rsidRPr="003619B7" w:rsidRDefault="0054713E" w:rsidP="003C4364">
            <w:pPr>
              <w:jc w:val="center"/>
              <w:rPr>
                <w:color w:val="000000"/>
                <w:sz w:val="24"/>
                <w:lang w:val="en-US"/>
              </w:rPr>
            </w:pPr>
            <w:r w:rsidRPr="003619B7">
              <w:rPr>
                <w:color w:val="000000"/>
                <w:sz w:val="24"/>
                <w:lang w:val="en-US"/>
              </w:rPr>
              <w:t>Dental</w:t>
            </w:r>
          </w:p>
        </w:tc>
        <w:tc>
          <w:tcPr>
            <w:tcW w:w="1949" w:type="dxa"/>
            <w:tcBorders>
              <w:top w:val="single" w:sz="4" w:space="0" w:color="auto"/>
              <w:left w:val="nil"/>
              <w:bottom w:val="nil"/>
              <w:right w:val="single" w:sz="4" w:space="0" w:color="auto"/>
            </w:tcBorders>
            <w:shd w:val="clear" w:color="auto" w:fill="auto"/>
            <w:vAlign w:val="center"/>
          </w:tcPr>
          <w:p w:rsidR="0054713E" w:rsidRPr="003619B7" w:rsidRDefault="0054713E" w:rsidP="003C4364">
            <w:pPr>
              <w:jc w:val="center"/>
              <w:rPr>
                <w:color w:val="000000"/>
                <w:sz w:val="24"/>
                <w:lang w:val="en-US"/>
              </w:rPr>
            </w:pPr>
            <w:r w:rsidRPr="003619B7">
              <w:rPr>
                <w:color w:val="000000"/>
                <w:sz w:val="24"/>
                <w:lang w:val="en-US"/>
              </w:rPr>
              <w:t>General Medical Services</w:t>
            </w:r>
          </w:p>
        </w:tc>
      </w:tr>
      <w:tr w:rsidR="0054713E" w:rsidRPr="003619B7" w:rsidTr="003C4364">
        <w:trPr>
          <w:trHeight w:val="289"/>
        </w:trPr>
        <w:tc>
          <w:tcPr>
            <w:tcW w:w="4804" w:type="dxa"/>
            <w:tcBorders>
              <w:top w:val="nil"/>
              <w:left w:val="single" w:sz="8" w:space="0" w:color="auto"/>
              <w:bottom w:val="single" w:sz="8" w:space="0" w:color="auto"/>
              <w:right w:val="single" w:sz="4" w:space="0" w:color="auto"/>
            </w:tcBorders>
            <w:shd w:val="clear" w:color="auto" w:fill="auto"/>
            <w:vAlign w:val="center"/>
            <w:hideMark/>
          </w:tcPr>
          <w:p w:rsidR="0054713E" w:rsidRPr="003619B7" w:rsidRDefault="0054713E" w:rsidP="003C4364">
            <w:pPr>
              <w:jc w:val="center"/>
              <w:rPr>
                <w:color w:val="000000"/>
                <w:sz w:val="24"/>
                <w:lang w:val="en-US"/>
              </w:rPr>
            </w:pPr>
            <w:r w:rsidRPr="003619B7">
              <w:rPr>
                <w:color w:val="000000"/>
                <w:sz w:val="24"/>
                <w:lang w:val="en-US"/>
              </w:rPr>
              <w:t> </w:t>
            </w:r>
          </w:p>
        </w:tc>
        <w:tc>
          <w:tcPr>
            <w:tcW w:w="1949" w:type="dxa"/>
            <w:tcBorders>
              <w:top w:val="nil"/>
              <w:left w:val="single" w:sz="4" w:space="0" w:color="auto"/>
              <w:bottom w:val="single" w:sz="4" w:space="0" w:color="auto"/>
              <w:right w:val="single" w:sz="4" w:space="0" w:color="auto"/>
            </w:tcBorders>
            <w:shd w:val="clear" w:color="auto" w:fill="auto"/>
            <w:vAlign w:val="center"/>
            <w:hideMark/>
          </w:tcPr>
          <w:p w:rsidR="0054713E" w:rsidRPr="003619B7" w:rsidRDefault="0054713E" w:rsidP="003C4364">
            <w:pPr>
              <w:jc w:val="center"/>
              <w:rPr>
                <w:color w:val="000000"/>
                <w:sz w:val="24"/>
                <w:lang w:val="en-US"/>
              </w:rPr>
            </w:pPr>
            <w:r w:rsidRPr="003619B7">
              <w:rPr>
                <w:color w:val="000000"/>
                <w:sz w:val="24"/>
                <w:lang w:val="en-US"/>
              </w:rPr>
              <w:t>£'000</w:t>
            </w:r>
          </w:p>
        </w:tc>
        <w:tc>
          <w:tcPr>
            <w:tcW w:w="1949" w:type="dxa"/>
            <w:tcBorders>
              <w:top w:val="nil"/>
              <w:left w:val="nil"/>
              <w:bottom w:val="single" w:sz="4" w:space="0" w:color="auto"/>
              <w:right w:val="single" w:sz="4" w:space="0" w:color="auto"/>
            </w:tcBorders>
            <w:shd w:val="clear" w:color="auto" w:fill="auto"/>
            <w:vAlign w:val="center"/>
          </w:tcPr>
          <w:p w:rsidR="0054713E" w:rsidRPr="003619B7" w:rsidRDefault="0054713E" w:rsidP="003C4364">
            <w:pPr>
              <w:jc w:val="center"/>
              <w:rPr>
                <w:color w:val="000000"/>
                <w:sz w:val="24"/>
                <w:lang w:val="en-US"/>
              </w:rPr>
            </w:pPr>
            <w:r w:rsidRPr="003619B7">
              <w:rPr>
                <w:color w:val="000000"/>
                <w:sz w:val="24"/>
                <w:lang w:val="en-US"/>
              </w:rPr>
              <w:t>£'000</w:t>
            </w:r>
          </w:p>
        </w:tc>
        <w:tc>
          <w:tcPr>
            <w:tcW w:w="1949" w:type="dxa"/>
            <w:tcBorders>
              <w:top w:val="nil"/>
              <w:left w:val="nil"/>
              <w:bottom w:val="single" w:sz="4" w:space="0" w:color="auto"/>
              <w:right w:val="single" w:sz="4" w:space="0" w:color="auto"/>
            </w:tcBorders>
            <w:shd w:val="clear" w:color="auto" w:fill="auto"/>
            <w:vAlign w:val="center"/>
          </w:tcPr>
          <w:p w:rsidR="0054713E" w:rsidRPr="003619B7" w:rsidRDefault="0054713E" w:rsidP="003C4364">
            <w:pPr>
              <w:jc w:val="center"/>
              <w:rPr>
                <w:color w:val="000000"/>
                <w:sz w:val="24"/>
                <w:lang w:val="en-US"/>
              </w:rPr>
            </w:pPr>
            <w:r w:rsidRPr="003619B7">
              <w:rPr>
                <w:color w:val="000000"/>
                <w:sz w:val="24"/>
                <w:lang w:val="en-US"/>
              </w:rPr>
              <w:t>£'000</w:t>
            </w:r>
          </w:p>
        </w:tc>
        <w:tc>
          <w:tcPr>
            <w:tcW w:w="1949" w:type="dxa"/>
            <w:tcBorders>
              <w:top w:val="nil"/>
              <w:left w:val="nil"/>
              <w:bottom w:val="single" w:sz="4" w:space="0" w:color="auto"/>
              <w:right w:val="single" w:sz="4" w:space="0" w:color="auto"/>
            </w:tcBorders>
            <w:shd w:val="clear" w:color="auto" w:fill="auto"/>
            <w:vAlign w:val="center"/>
          </w:tcPr>
          <w:p w:rsidR="0054713E" w:rsidRPr="003619B7" w:rsidRDefault="0054713E" w:rsidP="003C4364">
            <w:pPr>
              <w:jc w:val="center"/>
              <w:rPr>
                <w:color w:val="000000"/>
                <w:sz w:val="24"/>
                <w:lang w:val="en-US"/>
              </w:rPr>
            </w:pPr>
            <w:r w:rsidRPr="003619B7">
              <w:rPr>
                <w:color w:val="000000"/>
                <w:sz w:val="24"/>
                <w:lang w:val="en-US"/>
              </w:rPr>
              <w:t>£'000</w:t>
            </w:r>
          </w:p>
        </w:tc>
        <w:tc>
          <w:tcPr>
            <w:tcW w:w="1949" w:type="dxa"/>
            <w:tcBorders>
              <w:top w:val="nil"/>
              <w:left w:val="nil"/>
              <w:bottom w:val="single" w:sz="4" w:space="0" w:color="auto"/>
              <w:right w:val="single" w:sz="4" w:space="0" w:color="auto"/>
            </w:tcBorders>
            <w:shd w:val="clear" w:color="auto" w:fill="auto"/>
            <w:vAlign w:val="center"/>
          </w:tcPr>
          <w:p w:rsidR="0054713E" w:rsidRPr="003619B7" w:rsidRDefault="0054713E" w:rsidP="003C4364">
            <w:pPr>
              <w:jc w:val="center"/>
              <w:rPr>
                <w:color w:val="000000"/>
                <w:sz w:val="24"/>
                <w:lang w:val="en-US"/>
              </w:rPr>
            </w:pPr>
            <w:r w:rsidRPr="003619B7">
              <w:rPr>
                <w:color w:val="000000"/>
                <w:sz w:val="24"/>
                <w:lang w:val="en-US"/>
              </w:rPr>
              <w:t>£'000</w:t>
            </w:r>
          </w:p>
        </w:tc>
      </w:tr>
      <w:tr w:rsidR="00526C5A" w:rsidRPr="003619B7" w:rsidTr="003C4364">
        <w:trPr>
          <w:trHeight w:val="272"/>
        </w:trPr>
        <w:tc>
          <w:tcPr>
            <w:tcW w:w="4804" w:type="dxa"/>
            <w:tcBorders>
              <w:top w:val="nil"/>
              <w:left w:val="single" w:sz="8" w:space="0" w:color="auto"/>
              <w:bottom w:val="single" w:sz="4" w:space="0" w:color="auto"/>
              <w:right w:val="single" w:sz="8" w:space="0" w:color="auto"/>
            </w:tcBorders>
            <w:shd w:val="clear" w:color="auto" w:fill="auto"/>
            <w:vAlign w:val="center"/>
            <w:hideMark/>
          </w:tcPr>
          <w:p w:rsidR="00526C5A" w:rsidRPr="003619B7" w:rsidRDefault="00526C5A" w:rsidP="00526C5A">
            <w:pPr>
              <w:rPr>
                <w:color w:val="000000"/>
                <w:sz w:val="24"/>
                <w:lang w:val="en-US"/>
              </w:rPr>
            </w:pPr>
            <w:r w:rsidRPr="003619B7">
              <w:rPr>
                <w:color w:val="000000"/>
                <w:sz w:val="24"/>
                <w:lang w:val="en-US"/>
              </w:rPr>
              <w:t>Confirmed Allocations</w:t>
            </w:r>
          </w:p>
        </w:tc>
        <w:tc>
          <w:tcPr>
            <w:tcW w:w="1949" w:type="dxa"/>
            <w:tcBorders>
              <w:top w:val="single" w:sz="4" w:space="0" w:color="auto"/>
              <w:left w:val="nil"/>
              <w:bottom w:val="single" w:sz="4" w:space="0" w:color="auto"/>
              <w:right w:val="single" w:sz="4" w:space="0" w:color="auto"/>
            </w:tcBorders>
            <w:shd w:val="clear" w:color="auto" w:fill="auto"/>
            <w:vAlign w:val="center"/>
            <w:hideMark/>
          </w:tcPr>
          <w:p w:rsidR="00526C5A" w:rsidRDefault="00526C5A" w:rsidP="00526C5A">
            <w:pPr>
              <w:jc w:val="right"/>
              <w:rPr>
                <w:sz w:val="20"/>
                <w:szCs w:val="20"/>
                <w:lang w:eastAsia="en-GB"/>
              </w:rPr>
            </w:pPr>
            <w:r>
              <w:rPr>
                <w:sz w:val="20"/>
                <w:szCs w:val="20"/>
              </w:rPr>
              <w:t>1,041,013</w:t>
            </w:r>
          </w:p>
        </w:tc>
        <w:tc>
          <w:tcPr>
            <w:tcW w:w="1949" w:type="dxa"/>
            <w:tcBorders>
              <w:top w:val="single" w:sz="4" w:space="0" w:color="auto"/>
              <w:left w:val="single" w:sz="4" w:space="0" w:color="auto"/>
              <w:bottom w:val="single" w:sz="4" w:space="0" w:color="auto"/>
              <w:right w:val="single" w:sz="4" w:space="0" w:color="auto"/>
            </w:tcBorders>
            <w:vAlign w:val="center"/>
          </w:tcPr>
          <w:p w:rsidR="00526C5A" w:rsidRDefault="00526C5A" w:rsidP="00526C5A">
            <w:pPr>
              <w:jc w:val="right"/>
              <w:rPr>
                <w:sz w:val="20"/>
                <w:szCs w:val="20"/>
              </w:rPr>
            </w:pPr>
            <w:r>
              <w:rPr>
                <w:sz w:val="20"/>
                <w:szCs w:val="20"/>
              </w:rPr>
              <w:t>913,414</w:t>
            </w:r>
          </w:p>
        </w:tc>
        <w:tc>
          <w:tcPr>
            <w:tcW w:w="1949" w:type="dxa"/>
            <w:tcBorders>
              <w:top w:val="single" w:sz="4" w:space="0" w:color="auto"/>
              <w:left w:val="single" w:sz="4" w:space="0" w:color="auto"/>
              <w:bottom w:val="single" w:sz="4" w:space="0" w:color="auto"/>
              <w:right w:val="single" w:sz="4" w:space="0" w:color="auto"/>
            </w:tcBorders>
            <w:vAlign w:val="center"/>
          </w:tcPr>
          <w:p w:rsidR="00526C5A" w:rsidRDefault="00526C5A" w:rsidP="00526C5A">
            <w:pPr>
              <w:jc w:val="right"/>
              <w:rPr>
                <w:sz w:val="20"/>
                <w:szCs w:val="20"/>
              </w:rPr>
            </w:pPr>
            <w:r>
              <w:rPr>
                <w:sz w:val="20"/>
                <w:szCs w:val="20"/>
              </w:rPr>
              <w:t>27,313</w:t>
            </w:r>
          </w:p>
        </w:tc>
        <w:tc>
          <w:tcPr>
            <w:tcW w:w="1949" w:type="dxa"/>
            <w:tcBorders>
              <w:top w:val="single" w:sz="4" w:space="0" w:color="auto"/>
              <w:left w:val="single" w:sz="4" w:space="0" w:color="auto"/>
              <w:bottom w:val="single" w:sz="4" w:space="0" w:color="auto"/>
              <w:right w:val="single" w:sz="4" w:space="0" w:color="auto"/>
            </w:tcBorders>
            <w:vAlign w:val="center"/>
          </w:tcPr>
          <w:p w:rsidR="00526C5A" w:rsidRDefault="00526C5A" w:rsidP="00526C5A">
            <w:pPr>
              <w:jc w:val="right"/>
              <w:rPr>
                <w:sz w:val="20"/>
                <w:szCs w:val="20"/>
              </w:rPr>
            </w:pPr>
            <w:r>
              <w:rPr>
                <w:sz w:val="20"/>
                <w:szCs w:val="20"/>
              </w:rPr>
              <w:t>21,809</w:t>
            </w:r>
          </w:p>
        </w:tc>
        <w:tc>
          <w:tcPr>
            <w:tcW w:w="1949" w:type="dxa"/>
            <w:tcBorders>
              <w:top w:val="single" w:sz="4" w:space="0" w:color="auto"/>
              <w:left w:val="single" w:sz="4" w:space="0" w:color="auto"/>
              <w:bottom w:val="single" w:sz="4" w:space="0" w:color="auto"/>
              <w:right w:val="single" w:sz="4" w:space="0" w:color="auto"/>
            </w:tcBorders>
            <w:vAlign w:val="center"/>
          </w:tcPr>
          <w:p w:rsidR="00526C5A" w:rsidRDefault="00526C5A" w:rsidP="00526C5A">
            <w:pPr>
              <w:jc w:val="right"/>
              <w:rPr>
                <w:sz w:val="20"/>
                <w:szCs w:val="20"/>
              </w:rPr>
            </w:pPr>
            <w:r>
              <w:rPr>
                <w:sz w:val="20"/>
                <w:szCs w:val="20"/>
              </w:rPr>
              <w:t>78,477</w:t>
            </w:r>
          </w:p>
        </w:tc>
      </w:tr>
      <w:tr w:rsidR="00526C5A" w:rsidRPr="003619B7" w:rsidTr="003C4364">
        <w:trPr>
          <w:trHeight w:val="289"/>
        </w:trPr>
        <w:tc>
          <w:tcPr>
            <w:tcW w:w="4804" w:type="dxa"/>
            <w:tcBorders>
              <w:top w:val="nil"/>
              <w:left w:val="single" w:sz="8" w:space="0" w:color="auto"/>
              <w:bottom w:val="single" w:sz="8" w:space="0" w:color="auto"/>
              <w:right w:val="single" w:sz="8" w:space="0" w:color="auto"/>
            </w:tcBorders>
            <w:shd w:val="clear" w:color="auto" w:fill="auto"/>
            <w:vAlign w:val="center"/>
            <w:hideMark/>
          </w:tcPr>
          <w:p w:rsidR="00526C5A" w:rsidRPr="003619B7" w:rsidRDefault="00526C5A" w:rsidP="00526C5A">
            <w:pPr>
              <w:rPr>
                <w:color w:val="000000"/>
                <w:sz w:val="24"/>
                <w:lang w:val="en-US"/>
              </w:rPr>
            </w:pPr>
            <w:r w:rsidRPr="003619B7">
              <w:rPr>
                <w:color w:val="000000"/>
                <w:sz w:val="24"/>
                <w:lang w:val="en-US"/>
              </w:rPr>
              <w:t>Unconfirmed Allocations</w:t>
            </w:r>
          </w:p>
        </w:tc>
        <w:tc>
          <w:tcPr>
            <w:tcW w:w="1949" w:type="dxa"/>
            <w:tcBorders>
              <w:top w:val="nil"/>
              <w:left w:val="nil"/>
              <w:bottom w:val="single" w:sz="8" w:space="0" w:color="auto"/>
              <w:right w:val="single" w:sz="4" w:space="0" w:color="auto"/>
            </w:tcBorders>
            <w:shd w:val="clear" w:color="auto" w:fill="auto"/>
            <w:vAlign w:val="center"/>
            <w:hideMark/>
          </w:tcPr>
          <w:p w:rsidR="00526C5A" w:rsidRDefault="00526C5A" w:rsidP="00526C5A">
            <w:pPr>
              <w:jc w:val="right"/>
              <w:rPr>
                <w:sz w:val="20"/>
                <w:szCs w:val="20"/>
              </w:rPr>
            </w:pPr>
            <w:r>
              <w:rPr>
                <w:sz w:val="20"/>
                <w:szCs w:val="20"/>
              </w:rPr>
              <w:t>642</w:t>
            </w:r>
          </w:p>
        </w:tc>
        <w:tc>
          <w:tcPr>
            <w:tcW w:w="1949" w:type="dxa"/>
            <w:tcBorders>
              <w:top w:val="nil"/>
              <w:left w:val="single" w:sz="4" w:space="0" w:color="auto"/>
              <w:bottom w:val="single" w:sz="8" w:space="0" w:color="auto"/>
              <w:right w:val="single" w:sz="4" w:space="0" w:color="auto"/>
            </w:tcBorders>
            <w:vAlign w:val="center"/>
          </w:tcPr>
          <w:p w:rsidR="00526C5A" w:rsidRDefault="00526C5A" w:rsidP="00526C5A">
            <w:pPr>
              <w:jc w:val="right"/>
              <w:rPr>
                <w:sz w:val="20"/>
                <w:szCs w:val="20"/>
              </w:rPr>
            </w:pPr>
            <w:r>
              <w:rPr>
                <w:sz w:val="20"/>
                <w:szCs w:val="20"/>
              </w:rPr>
              <w:t>642</w:t>
            </w:r>
          </w:p>
        </w:tc>
        <w:tc>
          <w:tcPr>
            <w:tcW w:w="1949" w:type="dxa"/>
            <w:tcBorders>
              <w:top w:val="single" w:sz="8" w:space="0" w:color="auto"/>
              <w:left w:val="single" w:sz="4" w:space="0" w:color="auto"/>
              <w:bottom w:val="single" w:sz="8" w:space="0" w:color="auto"/>
              <w:right w:val="single" w:sz="4" w:space="0" w:color="auto"/>
            </w:tcBorders>
            <w:shd w:val="clear" w:color="auto" w:fill="auto"/>
            <w:vAlign w:val="center"/>
          </w:tcPr>
          <w:p w:rsidR="00526C5A" w:rsidRDefault="00526C5A" w:rsidP="00526C5A">
            <w:pPr>
              <w:jc w:val="right"/>
              <w:rPr>
                <w:sz w:val="20"/>
                <w:szCs w:val="20"/>
              </w:rPr>
            </w:pPr>
            <w:r>
              <w:rPr>
                <w:sz w:val="20"/>
                <w:szCs w:val="20"/>
              </w:rPr>
              <w:t>0</w:t>
            </w:r>
          </w:p>
        </w:tc>
        <w:tc>
          <w:tcPr>
            <w:tcW w:w="1949" w:type="dxa"/>
            <w:tcBorders>
              <w:top w:val="single" w:sz="8" w:space="0" w:color="auto"/>
              <w:left w:val="nil"/>
              <w:bottom w:val="single" w:sz="8" w:space="0" w:color="auto"/>
              <w:right w:val="single" w:sz="4" w:space="0" w:color="auto"/>
            </w:tcBorders>
            <w:shd w:val="clear" w:color="auto" w:fill="auto"/>
            <w:vAlign w:val="center"/>
          </w:tcPr>
          <w:p w:rsidR="00526C5A" w:rsidRDefault="00526C5A" w:rsidP="00526C5A">
            <w:pPr>
              <w:jc w:val="right"/>
              <w:rPr>
                <w:sz w:val="20"/>
                <w:szCs w:val="20"/>
              </w:rPr>
            </w:pPr>
            <w:r>
              <w:rPr>
                <w:sz w:val="20"/>
                <w:szCs w:val="20"/>
              </w:rPr>
              <w:t>0</w:t>
            </w:r>
          </w:p>
        </w:tc>
        <w:tc>
          <w:tcPr>
            <w:tcW w:w="1949" w:type="dxa"/>
            <w:tcBorders>
              <w:top w:val="single" w:sz="8" w:space="0" w:color="auto"/>
              <w:left w:val="nil"/>
              <w:bottom w:val="single" w:sz="8" w:space="0" w:color="auto"/>
              <w:right w:val="single" w:sz="4" w:space="0" w:color="auto"/>
            </w:tcBorders>
            <w:shd w:val="clear" w:color="auto" w:fill="auto"/>
            <w:vAlign w:val="center"/>
          </w:tcPr>
          <w:p w:rsidR="00526C5A" w:rsidRDefault="00526C5A" w:rsidP="00526C5A">
            <w:pPr>
              <w:jc w:val="right"/>
              <w:rPr>
                <w:sz w:val="20"/>
                <w:szCs w:val="20"/>
              </w:rPr>
            </w:pPr>
            <w:r>
              <w:rPr>
                <w:sz w:val="20"/>
                <w:szCs w:val="20"/>
              </w:rPr>
              <w:t>0</w:t>
            </w:r>
          </w:p>
        </w:tc>
      </w:tr>
      <w:tr w:rsidR="00526C5A" w:rsidRPr="00A72850" w:rsidTr="003C4364">
        <w:trPr>
          <w:trHeight w:val="289"/>
        </w:trPr>
        <w:tc>
          <w:tcPr>
            <w:tcW w:w="4804" w:type="dxa"/>
            <w:tcBorders>
              <w:top w:val="single" w:sz="8" w:space="0" w:color="auto"/>
              <w:left w:val="single" w:sz="8" w:space="0" w:color="auto"/>
              <w:bottom w:val="single" w:sz="8" w:space="0" w:color="auto"/>
              <w:right w:val="single" w:sz="8" w:space="0" w:color="auto"/>
            </w:tcBorders>
            <w:shd w:val="clear" w:color="000000" w:fill="8DB3E2" w:themeFill="text2" w:themeFillTint="66"/>
            <w:vAlign w:val="center"/>
            <w:hideMark/>
          </w:tcPr>
          <w:p w:rsidR="00526C5A" w:rsidRPr="003619B7" w:rsidRDefault="00526C5A" w:rsidP="00526C5A">
            <w:pPr>
              <w:jc w:val="right"/>
              <w:rPr>
                <w:b/>
                <w:bCs/>
                <w:color w:val="000000"/>
                <w:sz w:val="24"/>
                <w:lang w:val="en-US"/>
              </w:rPr>
            </w:pPr>
            <w:r w:rsidRPr="003619B7">
              <w:rPr>
                <w:b/>
                <w:bCs/>
                <w:color w:val="000000"/>
                <w:sz w:val="24"/>
                <w:lang w:val="en-US"/>
              </w:rPr>
              <w:t>TOTAL Allocations</w:t>
            </w:r>
          </w:p>
        </w:tc>
        <w:tc>
          <w:tcPr>
            <w:tcW w:w="1949" w:type="dxa"/>
            <w:tcBorders>
              <w:top w:val="single" w:sz="8" w:space="0" w:color="auto"/>
              <w:left w:val="nil"/>
              <w:bottom w:val="single" w:sz="8" w:space="0" w:color="auto"/>
              <w:right w:val="single" w:sz="4" w:space="0" w:color="auto"/>
            </w:tcBorders>
            <w:shd w:val="clear" w:color="000000" w:fill="8DB3E2" w:themeFill="text2" w:themeFillTint="66"/>
            <w:vAlign w:val="center"/>
            <w:hideMark/>
          </w:tcPr>
          <w:p w:rsidR="00526C5A" w:rsidRDefault="00526C5A" w:rsidP="00526C5A">
            <w:pPr>
              <w:jc w:val="right"/>
              <w:rPr>
                <w:b/>
                <w:bCs/>
                <w:sz w:val="20"/>
                <w:szCs w:val="20"/>
              </w:rPr>
            </w:pPr>
            <w:r>
              <w:rPr>
                <w:b/>
                <w:bCs/>
                <w:sz w:val="20"/>
                <w:szCs w:val="20"/>
              </w:rPr>
              <w:t>1,041,655</w:t>
            </w:r>
          </w:p>
        </w:tc>
        <w:tc>
          <w:tcPr>
            <w:tcW w:w="1949"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tcPr>
          <w:p w:rsidR="00526C5A" w:rsidRDefault="00526C5A" w:rsidP="00526C5A">
            <w:pPr>
              <w:jc w:val="right"/>
              <w:rPr>
                <w:b/>
                <w:bCs/>
                <w:sz w:val="20"/>
                <w:szCs w:val="20"/>
              </w:rPr>
            </w:pPr>
            <w:r>
              <w:rPr>
                <w:b/>
                <w:bCs/>
                <w:sz w:val="20"/>
                <w:szCs w:val="20"/>
              </w:rPr>
              <w:t>914,056</w:t>
            </w:r>
          </w:p>
        </w:tc>
        <w:tc>
          <w:tcPr>
            <w:tcW w:w="1949"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tcPr>
          <w:p w:rsidR="00526C5A" w:rsidRDefault="00526C5A" w:rsidP="00526C5A">
            <w:pPr>
              <w:jc w:val="right"/>
              <w:rPr>
                <w:b/>
                <w:bCs/>
                <w:sz w:val="20"/>
                <w:szCs w:val="20"/>
              </w:rPr>
            </w:pPr>
            <w:r>
              <w:rPr>
                <w:b/>
                <w:bCs/>
                <w:sz w:val="20"/>
                <w:szCs w:val="20"/>
              </w:rPr>
              <w:t>27,313</w:t>
            </w:r>
          </w:p>
        </w:tc>
        <w:tc>
          <w:tcPr>
            <w:tcW w:w="1949"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tcPr>
          <w:p w:rsidR="00526C5A" w:rsidRDefault="00526C5A" w:rsidP="00526C5A">
            <w:pPr>
              <w:jc w:val="right"/>
              <w:rPr>
                <w:b/>
                <w:bCs/>
                <w:sz w:val="20"/>
                <w:szCs w:val="20"/>
              </w:rPr>
            </w:pPr>
            <w:r>
              <w:rPr>
                <w:b/>
                <w:bCs/>
                <w:sz w:val="20"/>
                <w:szCs w:val="20"/>
              </w:rPr>
              <w:t>21,809</w:t>
            </w:r>
          </w:p>
        </w:tc>
        <w:tc>
          <w:tcPr>
            <w:tcW w:w="1949"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tcPr>
          <w:p w:rsidR="00526C5A" w:rsidRDefault="00526C5A" w:rsidP="00526C5A">
            <w:pPr>
              <w:jc w:val="right"/>
              <w:rPr>
                <w:b/>
                <w:bCs/>
                <w:sz w:val="20"/>
                <w:szCs w:val="20"/>
              </w:rPr>
            </w:pPr>
            <w:r>
              <w:rPr>
                <w:b/>
                <w:bCs/>
                <w:sz w:val="20"/>
                <w:szCs w:val="20"/>
              </w:rPr>
              <w:t>78,477</w:t>
            </w:r>
          </w:p>
        </w:tc>
      </w:tr>
    </w:tbl>
    <w:p w:rsidR="0054713E" w:rsidRPr="00A72850" w:rsidRDefault="0054713E" w:rsidP="0054713E">
      <w:pPr>
        <w:ind w:left="709"/>
        <w:jc w:val="both"/>
        <w:rPr>
          <w:rFonts w:cs="Tahoma"/>
          <w:bCs/>
          <w:sz w:val="20"/>
          <w:szCs w:val="20"/>
          <w:highlight w:val="yellow"/>
        </w:rPr>
      </w:pPr>
    </w:p>
    <w:p w:rsidR="0054713E" w:rsidRPr="00A72850" w:rsidRDefault="0054713E" w:rsidP="0054713E">
      <w:pPr>
        <w:ind w:left="709"/>
        <w:jc w:val="both"/>
        <w:rPr>
          <w:rFonts w:cs="Tahoma"/>
          <w:bCs/>
          <w:sz w:val="20"/>
          <w:szCs w:val="20"/>
          <w:highlight w:val="yellow"/>
        </w:rPr>
      </w:pPr>
    </w:p>
    <w:p w:rsidR="0054713E" w:rsidRPr="00A72850" w:rsidRDefault="0054713E" w:rsidP="0054713E">
      <w:pPr>
        <w:ind w:left="709"/>
        <w:jc w:val="both"/>
        <w:rPr>
          <w:rFonts w:cs="Tahoma"/>
          <w:bCs/>
          <w:sz w:val="20"/>
          <w:szCs w:val="20"/>
          <w:highlight w:val="yellow"/>
        </w:rPr>
      </w:pPr>
      <w:r w:rsidRPr="00A72850">
        <w:rPr>
          <w:noProof/>
          <w:highlight w:val="yellow"/>
          <w:lang w:eastAsia="en-GB"/>
        </w:rPr>
        <mc:AlternateContent>
          <mc:Choice Requires="wps">
            <w:drawing>
              <wp:anchor distT="0" distB="0" distL="114300" distR="114300" simplePos="0" relativeHeight="251805696" behindDoc="0" locked="0" layoutInCell="1" allowOverlap="1" wp14:anchorId="7FDBE526" wp14:editId="31F2EB7A">
                <wp:simplePos x="0" y="0"/>
                <wp:positionH relativeFrom="column">
                  <wp:posOffset>514350</wp:posOffset>
                </wp:positionH>
                <wp:positionV relativeFrom="paragraph">
                  <wp:posOffset>24130</wp:posOffset>
                </wp:positionV>
                <wp:extent cx="9220200" cy="2822575"/>
                <wp:effectExtent l="0" t="0" r="19050" b="15875"/>
                <wp:wrapNone/>
                <wp:docPr id="14"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9220200" cy="2822575"/>
                        </a:xfrm>
                        <a:prstGeom prst="rect">
                          <a:avLst/>
                        </a:prstGeom>
                        <a:solidFill>
                          <a:srgbClr val="FFFFFF"/>
                        </a:solidFill>
                        <a:ln w="19050">
                          <a:solidFill>
                            <a:srgbClr val="8EB4E3"/>
                          </a:solidFill>
                          <a:miter lim="800000"/>
                          <a:headEnd/>
                          <a:tailEnd/>
                        </a:ln>
                      </wps:spPr>
                      <wps:txbx>
                        <w:txbxContent>
                          <w:p w:rsidR="00F66189" w:rsidRDefault="00F66189" w:rsidP="0054713E">
                            <w:pPr>
                              <w:ind w:right="394"/>
                              <w:rPr>
                                <w:b/>
                                <w:sz w:val="24"/>
                              </w:rPr>
                            </w:pPr>
                            <w:r w:rsidRPr="00CB2B6E">
                              <w:rPr>
                                <w:b/>
                                <w:sz w:val="24"/>
                              </w:rPr>
                              <w:t xml:space="preserve">Key Issues   </w:t>
                            </w:r>
                          </w:p>
                          <w:p w:rsidR="00F66189" w:rsidRPr="00CB2B6E" w:rsidRDefault="00F66189" w:rsidP="0054713E">
                            <w:pPr>
                              <w:ind w:right="394"/>
                              <w:rPr>
                                <w:b/>
                                <w:sz w:val="24"/>
                              </w:rPr>
                            </w:pPr>
                          </w:p>
                          <w:p w:rsidR="00F66189" w:rsidRPr="007E447F" w:rsidRDefault="00F66189" w:rsidP="0054713E">
                            <w:pPr>
                              <w:jc w:val="both"/>
                              <w:rPr>
                                <w:sz w:val="24"/>
                              </w:rPr>
                            </w:pPr>
                            <w:r w:rsidRPr="007E447F">
                              <w:rPr>
                                <w:sz w:val="24"/>
                              </w:rPr>
                              <w:t>The most significant anticipated allocations include:</w:t>
                            </w:r>
                          </w:p>
                          <w:p w:rsidR="00F66189" w:rsidRPr="007E447F" w:rsidRDefault="00F66189" w:rsidP="0054713E">
                            <w:pPr>
                              <w:rPr>
                                <w:sz w:val="16"/>
                                <w:szCs w:val="16"/>
                              </w:rPr>
                            </w:pPr>
                          </w:p>
                          <w:p w:rsidR="00F66189" w:rsidRPr="00D351BF" w:rsidRDefault="00F66189" w:rsidP="006616E8">
                            <w:pPr>
                              <w:pStyle w:val="ListParagraph"/>
                              <w:numPr>
                                <w:ilvl w:val="0"/>
                                <w:numId w:val="18"/>
                              </w:numPr>
                              <w:rPr>
                                <w:sz w:val="24"/>
                              </w:rPr>
                            </w:pPr>
                            <w:r>
                              <w:rPr>
                                <w:sz w:val="24"/>
                              </w:rPr>
                              <w:t>Transformation Funding - £3.2</w:t>
                            </w:r>
                            <w:r w:rsidRPr="00D351BF">
                              <w:rPr>
                                <w:sz w:val="24"/>
                              </w:rPr>
                              <w:t>m</w:t>
                            </w:r>
                          </w:p>
                          <w:p w:rsidR="00F66189" w:rsidRDefault="00F66189" w:rsidP="006616E8">
                            <w:pPr>
                              <w:pStyle w:val="ListParagraph"/>
                              <w:numPr>
                                <w:ilvl w:val="0"/>
                                <w:numId w:val="18"/>
                              </w:numPr>
                              <w:rPr>
                                <w:sz w:val="24"/>
                              </w:rPr>
                            </w:pPr>
                            <w:r w:rsidRPr="00D351BF">
                              <w:rPr>
                                <w:sz w:val="24"/>
                              </w:rPr>
                              <w:t>Depreciation and</w:t>
                            </w:r>
                            <w:r>
                              <w:rPr>
                                <w:sz w:val="24"/>
                              </w:rPr>
                              <w:t xml:space="preserve"> Impairments – reduction of £2.5</w:t>
                            </w:r>
                            <w:r w:rsidRPr="00D351BF">
                              <w:rPr>
                                <w:sz w:val="24"/>
                              </w:rPr>
                              <w:t>m</w:t>
                            </w:r>
                          </w:p>
                          <w:p w:rsidR="00F66189" w:rsidRPr="00D351BF" w:rsidRDefault="00F66189" w:rsidP="006616E8">
                            <w:pPr>
                              <w:pStyle w:val="ListParagraph"/>
                              <w:numPr>
                                <w:ilvl w:val="0"/>
                                <w:numId w:val="18"/>
                              </w:numPr>
                              <w:rPr>
                                <w:sz w:val="24"/>
                              </w:rPr>
                            </w:pPr>
                            <w:r>
                              <w:rPr>
                                <w:sz w:val="24"/>
                              </w:rPr>
                              <w:t>CHC AME Net adjustment – reduction of £0.2m</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FDBE526" id="Text Box 39" o:spid="_x0000_s1045" type="#_x0000_t202" style="position:absolute;left:0;text-align:left;margin-left:40.5pt;margin-top:1.9pt;width:726pt;height:222.25pt;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" strokecolor="#8eb4e3" strokeweight="1.5pt">
                <v:path arrowok="t"/>
                <v:textbox>
                  <w:txbxContent>
                    <w:p w:rsidR="00F66189" w:rsidRDefault="00F66189" w:rsidP="0054713E">
                      <w:pPr>
                        <w:ind w:right="394"/>
                        <w:rPr>
                          <w:b/>
                          <w:sz w:val="24"/>
                        </w:rPr>
                      </w:pPr>
                      <w:r w:rsidRPr="00CB2B6E">
                        <w:rPr>
                          <w:b/>
                          <w:sz w:val="24"/>
                        </w:rPr>
                        <w:t xml:space="preserve">Key Issues   </w:t>
                      </w:r>
                    </w:p>
                    <w:p w:rsidR="00F66189" w:rsidRPr="00CB2B6E" w:rsidRDefault="00F66189" w:rsidP="0054713E">
                      <w:pPr>
                        <w:ind w:right="394"/>
                        <w:rPr>
                          <w:b/>
                          <w:sz w:val="24"/>
                        </w:rPr>
                      </w:pPr>
                    </w:p>
                    <w:p w:rsidR="00F66189" w:rsidRPr="007E447F" w:rsidRDefault="00F66189" w:rsidP="0054713E">
                      <w:pPr>
                        <w:jc w:val="both"/>
                        <w:rPr>
                          <w:sz w:val="24"/>
                        </w:rPr>
                      </w:pPr>
                      <w:r w:rsidRPr="007E447F">
                        <w:rPr>
                          <w:sz w:val="24"/>
                        </w:rPr>
                        <w:t>The most significant anticipated allocations include:</w:t>
                      </w:r>
                    </w:p>
                    <w:p w:rsidR="00F66189" w:rsidRPr="007E447F" w:rsidRDefault="00F66189" w:rsidP="0054713E">
                      <w:pPr>
                        <w:rPr>
                          <w:sz w:val="16"/>
                          <w:szCs w:val="16"/>
                        </w:rPr>
                      </w:pPr>
                    </w:p>
                    <w:p w:rsidR="00F66189" w:rsidRPr="00D351BF" w:rsidRDefault="00F66189" w:rsidP="006616E8">
                      <w:pPr>
                        <w:pStyle w:val="ListParagraph"/>
                        <w:numPr>
                          <w:ilvl w:val="0"/>
                          <w:numId w:val="18"/>
                        </w:numPr>
                        <w:rPr>
                          <w:sz w:val="24"/>
                        </w:rPr>
                      </w:pPr>
                      <w:r>
                        <w:rPr>
                          <w:sz w:val="24"/>
                        </w:rPr>
                        <w:t>Transformation Funding - £3.2</w:t>
                      </w:r>
                      <w:r w:rsidRPr="00D351BF">
                        <w:rPr>
                          <w:sz w:val="24"/>
                        </w:rPr>
                        <w:t>m</w:t>
                      </w:r>
                    </w:p>
                    <w:p w:rsidR="00F66189" w:rsidRDefault="00F66189" w:rsidP="006616E8">
                      <w:pPr>
                        <w:pStyle w:val="ListParagraph"/>
                        <w:numPr>
                          <w:ilvl w:val="0"/>
                          <w:numId w:val="18"/>
                        </w:numPr>
                        <w:rPr>
                          <w:sz w:val="24"/>
                        </w:rPr>
                      </w:pPr>
                      <w:r w:rsidRPr="00D351BF">
                        <w:rPr>
                          <w:sz w:val="24"/>
                        </w:rPr>
                        <w:t>Depreciation and</w:t>
                      </w:r>
                      <w:r>
                        <w:rPr>
                          <w:sz w:val="24"/>
                        </w:rPr>
                        <w:t xml:space="preserve"> Impairments – reduction of £2.5</w:t>
                      </w:r>
                      <w:r w:rsidRPr="00D351BF">
                        <w:rPr>
                          <w:sz w:val="24"/>
                        </w:rPr>
                        <w:t>m</w:t>
                      </w:r>
                    </w:p>
                    <w:p w:rsidR="00F66189" w:rsidRPr="00D351BF" w:rsidRDefault="00F66189" w:rsidP="006616E8">
                      <w:pPr>
                        <w:pStyle w:val="ListParagraph"/>
                        <w:numPr>
                          <w:ilvl w:val="0"/>
                          <w:numId w:val="18"/>
                        </w:numPr>
                        <w:rPr>
                          <w:sz w:val="24"/>
                        </w:rPr>
                      </w:pPr>
                      <w:r>
                        <w:rPr>
                          <w:sz w:val="24"/>
                        </w:rPr>
                        <w:t>CHC AME Net adjustment – reduction of £0.2m</w:t>
                      </w:r>
                    </w:p>
                  </w:txbxContent>
                </v:textbox>
              </v:shape>
            </w:pict>
          </mc:Fallback>
        </mc:AlternateContent>
      </w:r>
    </w:p>
    <w:p w:rsidR="0054713E" w:rsidRPr="00A72850" w:rsidRDefault="0054713E" w:rsidP="0054713E">
      <w:pPr>
        <w:ind w:left="709"/>
        <w:jc w:val="both"/>
        <w:rPr>
          <w:rFonts w:cs="Tahoma"/>
          <w:bCs/>
          <w:sz w:val="20"/>
          <w:szCs w:val="20"/>
          <w:highlight w:val="yellow"/>
        </w:rPr>
      </w:pPr>
    </w:p>
    <w:p w:rsidR="0054713E" w:rsidRPr="00A72850" w:rsidRDefault="0054713E" w:rsidP="0054713E">
      <w:pPr>
        <w:pStyle w:val="ListParagraph"/>
        <w:jc w:val="both"/>
        <w:rPr>
          <w:rFonts w:cs="Tahoma"/>
          <w:b/>
          <w:bCs/>
          <w:sz w:val="20"/>
          <w:szCs w:val="20"/>
          <w:highlight w:val="yellow"/>
        </w:rPr>
      </w:pPr>
    </w:p>
    <w:p w:rsidR="0054713E" w:rsidRPr="00A72850" w:rsidRDefault="0054713E" w:rsidP="0054713E">
      <w:pPr>
        <w:pStyle w:val="ListParagraph"/>
        <w:jc w:val="both"/>
        <w:rPr>
          <w:rFonts w:cs="Tahoma"/>
          <w:b/>
          <w:bCs/>
          <w:sz w:val="20"/>
          <w:szCs w:val="20"/>
          <w:highlight w:val="yellow"/>
        </w:rPr>
      </w:pPr>
    </w:p>
    <w:p w:rsidR="0054713E" w:rsidRPr="00A72850" w:rsidRDefault="0054713E" w:rsidP="0054713E">
      <w:pPr>
        <w:pStyle w:val="ListParagraph"/>
        <w:jc w:val="both"/>
        <w:rPr>
          <w:rFonts w:cs="Tahoma"/>
          <w:b/>
          <w:bCs/>
          <w:sz w:val="20"/>
          <w:szCs w:val="20"/>
          <w:highlight w:val="yellow"/>
        </w:rPr>
      </w:pPr>
    </w:p>
    <w:p w:rsidR="0054713E" w:rsidRPr="00A72850" w:rsidRDefault="0054713E" w:rsidP="0054713E">
      <w:pPr>
        <w:pStyle w:val="ListParagraph"/>
        <w:jc w:val="both"/>
        <w:rPr>
          <w:rFonts w:cs="Tahoma"/>
          <w:b/>
          <w:bCs/>
          <w:sz w:val="20"/>
          <w:szCs w:val="20"/>
          <w:highlight w:val="yellow"/>
        </w:rPr>
      </w:pPr>
    </w:p>
    <w:p w:rsidR="0054713E" w:rsidRPr="00A72850" w:rsidRDefault="0054713E" w:rsidP="0054713E">
      <w:pPr>
        <w:pStyle w:val="ListParagraph"/>
        <w:jc w:val="both"/>
        <w:rPr>
          <w:rFonts w:cs="Tahoma"/>
          <w:b/>
          <w:bCs/>
          <w:sz w:val="20"/>
          <w:szCs w:val="20"/>
          <w:highlight w:val="yellow"/>
        </w:rPr>
      </w:pPr>
    </w:p>
    <w:p w:rsidR="0054713E" w:rsidRPr="00A72850" w:rsidRDefault="0054713E" w:rsidP="0054713E">
      <w:pPr>
        <w:pStyle w:val="ListParagraph"/>
        <w:jc w:val="both"/>
        <w:rPr>
          <w:rFonts w:cs="Tahoma"/>
          <w:b/>
          <w:bCs/>
          <w:sz w:val="20"/>
          <w:szCs w:val="20"/>
          <w:highlight w:val="yellow"/>
        </w:rPr>
      </w:pPr>
    </w:p>
    <w:p w:rsidR="0054713E" w:rsidRPr="00A72850" w:rsidRDefault="0054713E" w:rsidP="0054713E">
      <w:pPr>
        <w:pStyle w:val="ListParagraph"/>
        <w:jc w:val="both"/>
        <w:rPr>
          <w:rFonts w:cs="Tahoma"/>
          <w:b/>
          <w:bCs/>
          <w:sz w:val="20"/>
          <w:szCs w:val="20"/>
          <w:highlight w:val="yellow"/>
        </w:rPr>
      </w:pPr>
    </w:p>
    <w:p w:rsidR="0054713E" w:rsidRPr="00A72850" w:rsidRDefault="0054713E" w:rsidP="0054713E">
      <w:pPr>
        <w:pStyle w:val="ListParagraph"/>
        <w:jc w:val="both"/>
        <w:rPr>
          <w:rFonts w:cs="Tahoma"/>
          <w:b/>
          <w:bCs/>
          <w:sz w:val="20"/>
          <w:szCs w:val="20"/>
          <w:highlight w:val="yellow"/>
        </w:rPr>
      </w:pPr>
    </w:p>
    <w:p w:rsidR="0054713E" w:rsidRPr="00A72850" w:rsidRDefault="0054713E" w:rsidP="0054713E">
      <w:pPr>
        <w:pStyle w:val="ListParagraph"/>
        <w:jc w:val="both"/>
        <w:rPr>
          <w:rFonts w:cs="Tahoma"/>
          <w:b/>
          <w:bCs/>
          <w:sz w:val="20"/>
          <w:szCs w:val="20"/>
          <w:highlight w:val="yellow"/>
        </w:rPr>
      </w:pPr>
    </w:p>
    <w:p w:rsidR="0054713E" w:rsidRPr="00A72850" w:rsidRDefault="0054713E" w:rsidP="0054713E">
      <w:pPr>
        <w:pStyle w:val="ListParagraph"/>
        <w:jc w:val="both"/>
        <w:rPr>
          <w:rFonts w:cs="Tahoma"/>
          <w:b/>
          <w:bCs/>
          <w:sz w:val="20"/>
          <w:szCs w:val="20"/>
          <w:highlight w:val="yellow"/>
        </w:rPr>
      </w:pPr>
    </w:p>
    <w:p w:rsidR="0054713E" w:rsidRPr="00A72850" w:rsidRDefault="0054713E" w:rsidP="0054713E">
      <w:pPr>
        <w:pStyle w:val="ListParagraph"/>
        <w:jc w:val="both"/>
        <w:rPr>
          <w:rFonts w:cs="Tahoma"/>
          <w:b/>
          <w:bCs/>
          <w:sz w:val="20"/>
          <w:szCs w:val="20"/>
          <w:highlight w:val="yellow"/>
        </w:rPr>
      </w:pPr>
    </w:p>
    <w:p w:rsidR="0054713E" w:rsidRPr="00A72850" w:rsidRDefault="0054713E" w:rsidP="0054713E">
      <w:pPr>
        <w:pStyle w:val="ListParagraph"/>
        <w:jc w:val="both"/>
        <w:rPr>
          <w:rFonts w:cs="Tahoma"/>
          <w:b/>
          <w:bCs/>
          <w:sz w:val="20"/>
          <w:szCs w:val="20"/>
          <w:highlight w:val="yellow"/>
        </w:rPr>
      </w:pPr>
    </w:p>
    <w:p w:rsidR="0054713E" w:rsidRPr="00A72850" w:rsidRDefault="0054713E" w:rsidP="0054713E">
      <w:pPr>
        <w:pStyle w:val="ListParagraph"/>
        <w:jc w:val="both"/>
        <w:rPr>
          <w:rFonts w:cs="Tahoma"/>
          <w:b/>
          <w:bCs/>
          <w:sz w:val="20"/>
          <w:szCs w:val="20"/>
          <w:highlight w:val="yellow"/>
        </w:rPr>
      </w:pPr>
    </w:p>
    <w:p w:rsidR="0054713E" w:rsidRPr="00A72850" w:rsidRDefault="0054713E" w:rsidP="0054713E">
      <w:pPr>
        <w:pStyle w:val="ListParagraph"/>
        <w:jc w:val="both"/>
        <w:rPr>
          <w:rFonts w:cs="Tahoma"/>
          <w:b/>
          <w:bCs/>
          <w:sz w:val="20"/>
          <w:szCs w:val="20"/>
          <w:highlight w:val="yellow"/>
        </w:rPr>
      </w:pPr>
    </w:p>
    <w:p w:rsidR="0054713E" w:rsidRPr="00A72850" w:rsidRDefault="0054713E" w:rsidP="0054713E">
      <w:pPr>
        <w:pStyle w:val="ListParagraph"/>
        <w:jc w:val="both"/>
        <w:rPr>
          <w:rFonts w:cs="Tahoma"/>
          <w:b/>
          <w:bCs/>
          <w:sz w:val="20"/>
          <w:szCs w:val="20"/>
          <w:highlight w:val="yellow"/>
        </w:rPr>
      </w:pPr>
      <w:r w:rsidRPr="00A72850">
        <w:rPr>
          <w:rFonts w:cs="Tahoma"/>
          <w:b/>
          <w:bCs/>
          <w:sz w:val="20"/>
          <w:szCs w:val="20"/>
          <w:highlight w:val="yellow"/>
        </w:rPr>
        <w:br w:type="page"/>
      </w:r>
    </w:p>
    <w:p w:rsidR="0054713E" w:rsidRPr="00A72850" w:rsidRDefault="0054713E" w:rsidP="0054713E">
      <w:pPr>
        <w:pStyle w:val="ListParagraph"/>
        <w:jc w:val="both"/>
        <w:rPr>
          <w:rFonts w:cs="Tahoma"/>
          <w:b/>
          <w:bCs/>
          <w:sz w:val="24"/>
          <w:highlight w:val="yellow"/>
        </w:rPr>
      </w:pPr>
    </w:p>
    <w:p w:rsidR="0054713E" w:rsidRPr="00C1496E" w:rsidRDefault="0054713E" w:rsidP="006616E8">
      <w:pPr>
        <w:pStyle w:val="ListParagraph"/>
        <w:numPr>
          <w:ilvl w:val="1"/>
          <w:numId w:val="34"/>
        </w:numPr>
        <w:jc w:val="both"/>
        <w:rPr>
          <w:rFonts w:cs="Tahoma"/>
          <w:b/>
          <w:bCs/>
          <w:sz w:val="24"/>
        </w:rPr>
      </w:pPr>
      <w:r w:rsidRPr="00C1496E">
        <w:rPr>
          <w:rFonts w:cs="Tahoma"/>
          <w:b/>
          <w:bCs/>
          <w:sz w:val="24"/>
        </w:rPr>
        <w:t>Performance against Capital Resource Limit</w:t>
      </w:r>
    </w:p>
    <w:p w:rsidR="0054713E" w:rsidRPr="00C1496E" w:rsidRDefault="0054713E" w:rsidP="0054713E">
      <w:pPr>
        <w:rPr>
          <w:rFonts w:cs="Tahoma"/>
          <w:b/>
          <w:bCs/>
          <w:sz w:val="24"/>
        </w:rPr>
      </w:pPr>
    </w:p>
    <w:p w:rsidR="0054713E" w:rsidRPr="00C1496E" w:rsidRDefault="0054713E" w:rsidP="0054713E">
      <w:pPr>
        <w:ind w:left="709"/>
        <w:rPr>
          <w:rFonts w:cs="Tahoma"/>
          <w:bCs/>
          <w:sz w:val="24"/>
        </w:rPr>
      </w:pPr>
      <w:r w:rsidRPr="00C1496E">
        <w:rPr>
          <w:rFonts w:cs="Tahoma"/>
          <w:bCs/>
          <w:sz w:val="24"/>
        </w:rPr>
        <w:t xml:space="preserve">The actual cumulative capital spend and forecast cumulative capital spend is detailed in the graph below: </w:t>
      </w:r>
    </w:p>
    <w:p w:rsidR="0054713E" w:rsidRPr="00C1496E" w:rsidRDefault="0054713E" w:rsidP="0054713E">
      <w:pPr>
        <w:pStyle w:val="ListParagraph"/>
        <w:jc w:val="both"/>
        <w:rPr>
          <w:rFonts w:cs="Tahoma"/>
          <w:b/>
          <w:bCs/>
          <w:sz w:val="24"/>
        </w:rPr>
      </w:pPr>
    </w:p>
    <w:p w:rsidR="0054713E" w:rsidRPr="00C1496E" w:rsidRDefault="00526C5A" w:rsidP="0054713E">
      <w:pPr>
        <w:pStyle w:val="ListParagraph"/>
        <w:jc w:val="both"/>
        <w:rPr>
          <w:rFonts w:cs="Tahoma"/>
          <w:b/>
          <w:bCs/>
          <w:sz w:val="24"/>
        </w:rPr>
      </w:pPr>
      <w:r>
        <w:rPr>
          <w:noProof/>
          <w:lang w:eastAsia="en-GB"/>
        </w:rPr>
        <w:drawing>
          <wp:inline distT="0" distB="0" distL="0" distR="0" wp14:anchorId="2F6E8EBA" wp14:editId="555D9D09">
            <wp:extent cx="5172075" cy="4048125"/>
            <wp:effectExtent l="0" t="0" r="9525" b="9525"/>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r w:rsidR="0054713E" w:rsidRPr="00C1496E">
        <w:rPr>
          <w:noProof/>
          <w:lang w:eastAsia="en-GB"/>
        </w:rPr>
        <mc:AlternateContent>
          <mc:Choice Requires="wps">
            <w:drawing>
              <wp:anchor distT="0" distB="0" distL="114300" distR="114300" simplePos="0" relativeHeight="251815936" behindDoc="0" locked="0" layoutInCell="1" allowOverlap="1" wp14:anchorId="389AA18D" wp14:editId="1F34821B">
                <wp:simplePos x="0" y="0"/>
                <wp:positionH relativeFrom="column">
                  <wp:posOffset>5945505</wp:posOffset>
                </wp:positionH>
                <wp:positionV relativeFrom="paragraph">
                  <wp:posOffset>12065</wp:posOffset>
                </wp:positionV>
                <wp:extent cx="3267075" cy="4048125"/>
                <wp:effectExtent l="0" t="0" r="28575" b="28575"/>
                <wp:wrapNone/>
                <wp:docPr id="24"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267075" cy="4048125"/>
                        </a:xfrm>
                        <a:prstGeom prst="rect">
                          <a:avLst/>
                        </a:prstGeom>
                        <a:solidFill>
                          <a:srgbClr val="FFFFFF"/>
                        </a:solidFill>
                        <a:ln w="19050">
                          <a:solidFill>
                            <a:srgbClr val="8EB4E3"/>
                          </a:solidFill>
                          <a:miter lim="800000"/>
                          <a:headEnd/>
                          <a:tailEnd/>
                        </a:ln>
                      </wps:spPr>
                      <wps:txbx>
                        <w:txbxContent>
                          <w:p w:rsidR="00F66189" w:rsidRPr="00113BCC" w:rsidRDefault="00F66189" w:rsidP="0054713E">
                            <w:pPr>
                              <w:rPr>
                                <w:b/>
                                <w:sz w:val="24"/>
                              </w:rPr>
                            </w:pPr>
                            <w:r w:rsidRPr="00113BCC">
                              <w:rPr>
                                <w:b/>
                                <w:sz w:val="24"/>
                              </w:rPr>
                              <w:t>Key Issues</w:t>
                            </w:r>
                          </w:p>
                          <w:p w:rsidR="00F66189" w:rsidRPr="00113BCC" w:rsidRDefault="00F66189" w:rsidP="0054713E">
                            <w:pPr>
                              <w:pStyle w:val="ListParagraph"/>
                              <w:ind w:left="426" w:hanging="426"/>
                              <w:rPr>
                                <w:sz w:val="24"/>
                              </w:rPr>
                            </w:pPr>
                          </w:p>
                          <w:p w:rsidR="00F66189" w:rsidRDefault="00F66189" w:rsidP="006616E8">
                            <w:pPr>
                              <w:pStyle w:val="ListParagraph"/>
                              <w:numPr>
                                <w:ilvl w:val="0"/>
                                <w:numId w:val="15"/>
                              </w:numPr>
                              <w:rPr>
                                <w:sz w:val="24"/>
                              </w:rPr>
                            </w:pPr>
                            <w:r w:rsidRPr="0029558F">
                              <w:rPr>
                                <w:sz w:val="24"/>
                              </w:rPr>
                              <w:t xml:space="preserve">The current </w:t>
                            </w:r>
                            <w:r>
                              <w:rPr>
                                <w:sz w:val="24"/>
                              </w:rPr>
                              <w:t>Capital Resource Limit of £38.6</w:t>
                            </w:r>
                            <w:r w:rsidRPr="0029558F">
                              <w:rPr>
                                <w:sz w:val="24"/>
                              </w:rPr>
                              <w:t xml:space="preserve">m was </w:t>
                            </w:r>
                            <w:r>
                              <w:rPr>
                                <w:sz w:val="24"/>
                              </w:rPr>
                              <w:t>issued on 5</w:t>
                            </w:r>
                            <w:r w:rsidRPr="00B9501A">
                              <w:rPr>
                                <w:sz w:val="24"/>
                                <w:vertAlign w:val="superscript"/>
                              </w:rPr>
                              <w:t>th</w:t>
                            </w:r>
                            <w:r>
                              <w:rPr>
                                <w:sz w:val="24"/>
                              </w:rPr>
                              <w:t xml:space="preserve"> March 2020.</w:t>
                            </w:r>
                          </w:p>
                          <w:p w:rsidR="00F66189" w:rsidRDefault="00F66189" w:rsidP="009D6556">
                            <w:pPr>
                              <w:pStyle w:val="ListParagraph"/>
                              <w:rPr>
                                <w:sz w:val="24"/>
                              </w:rPr>
                            </w:pPr>
                          </w:p>
                          <w:p w:rsidR="00F66189" w:rsidRPr="0029558F" w:rsidRDefault="00F66189" w:rsidP="006616E8">
                            <w:pPr>
                              <w:pStyle w:val="ListParagraph"/>
                              <w:numPr>
                                <w:ilvl w:val="0"/>
                                <w:numId w:val="15"/>
                              </w:numPr>
                              <w:rPr>
                                <w:sz w:val="24"/>
                              </w:rPr>
                            </w:pPr>
                            <w:r w:rsidRPr="0029558F">
                              <w:rPr>
                                <w:sz w:val="24"/>
                              </w:rPr>
                              <w:t>This is supplemented by £1.8m of donated funds</w:t>
                            </w:r>
                            <w:r>
                              <w:rPr>
                                <w:sz w:val="24"/>
                              </w:rPr>
                              <w:t xml:space="preserve"> </w:t>
                            </w:r>
                            <w:r w:rsidRPr="0029558F">
                              <w:rPr>
                                <w:sz w:val="24"/>
                              </w:rPr>
                              <w:t>givi</w:t>
                            </w:r>
                            <w:r>
                              <w:rPr>
                                <w:sz w:val="24"/>
                              </w:rPr>
                              <w:t>ng an overall programme of £40.4</w:t>
                            </w:r>
                            <w:r w:rsidRPr="0029558F">
                              <w:rPr>
                                <w:sz w:val="24"/>
                              </w:rPr>
                              <w:t>m.</w:t>
                            </w:r>
                          </w:p>
                          <w:p w:rsidR="00F66189" w:rsidRPr="0029558F" w:rsidRDefault="00F66189" w:rsidP="0054713E">
                            <w:pPr>
                              <w:rPr>
                                <w:sz w:val="24"/>
                              </w:rPr>
                            </w:pPr>
                          </w:p>
                          <w:p w:rsidR="00F66189" w:rsidRPr="0029558F" w:rsidRDefault="00F66189" w:rsidP="006616E8">
                            <w:pPr>
                              <w:pStyle w:val="ListParagraph"/>
                              <w:numPr>
                                <w:ilvl w:val="0"/>
                                <w:numId w:val="15"/>
                              </w:numPr>
                              <w:rPr>
                                <w:sz w:val="24"/>
                              </w:rPr>
                            </w:pPr>
                            <w:r>
                              <w:rPr>
                                <w:sz w:val="24"/>
                              </w:rPr>
                              <w:t>Expenditure to date is £28.1</w:t>
                            </w:r>
                            <w:r w:rsidRPr="0029558F">
                              <w:rPr>
                                <w:sz w:val="24"/>
                              </w:rPr>
                              <w:t>m.</w:t>
                            </w:r>
                          </w:p>
                          <w:p w:rsidR="00F66189" w:rsidRPr="0029558F" w:rsidRDefault="00F66189" w:rsidP="0054713E">
                            <w:pPr>
                              <w:rPr>
                                <w:sz w:val="24"/>
                              </w:rPr>
                            </w:pPr>
                          </w:p>
                          <w:p w:rsidR="00F66189" w:rsidRPr="0029558F" w:rsidRDefault="00F66189" w:rsidP="006616E8">
                            <w:pPr>
                              <w:pStyle w:val="ListParagraph"/>
                              <w:numPr>
                                <w:ilvl w:val="0"/>
                                <w:numId w:val="15"/>
                              </w:numPr>
                              <w:rPr>
                                <w:sz w:val="24"/>
                              </w:rPr>
                            </w:pPr>
                            <w:r w:rsidRPr="0029558F">
                              <w:rPr>
                                <w:sz w:val="24"/>
                              </w:rPr>
                              <w:t>The current forecast capital position is a breakeven position.</w:t>
                            </w:r>
                          </w:p>
                          <w:p w:rsidR="00F66189" w:rsidRPr="009762AE" w:rsidRDefault="00F66189" w:rsidP="0054713E">
                            <w:pPr>
                              <w:pStyle w:val="ListParagraph"/>
                              <w:rPr>
                                <w:sz w:val="24"/>
                              </w:rPr>
                            </w:pPr>
                          </w:p>
                          <w:p w:rsidR="00F66189" w:rsidRPr="009762AE" w:rsidRDefault="00F66189" w:rsidP="0054713E">
                            <w:pPr>
                              <w:pStyle w:val="ListParagraph"/>
                              <w:rPr>
                                <w:sz w:val="24"/>
                                <w:highlight w:val="yellow"/>
                              </w:rPr>
                            </w:pPr>
                          </w:p>
                          <w:p w:rsidR="00F66189" w:rsidRPr="00E850E8" w:rsidRDefault="00F66189" w:rsidP="0054713E">
                            <w:pPr>
                              <w:rPr>
                                <w:sz w:val="20"/>
                                <w:szCs w:val="20"/>
                              </w:rPr>
                            </w:pPr>
                          </w:p>
                          <w:p w:rsidR="00F66189" w:rsidRPr="00427F62" w:rsidRDefault="00F66189" w:rsidP="0054713E">
                            <w:pPr>
                              <w:rPr>
                                <w:sz w:val="20"/>
                                <w:szCs w:val="20"/>
                              </w:rPr>
                            </w:pPr>
                          </w:p>
                          <w:p w:rsidR="00F66189" w:rsidRPr="00427F62" w:rsidRDefault="00F66189" w:rsidP="0054713E">
                            <w:pPr>
                              <w:rPr>
                                <w:sz w:val="20"/>
                                <w:szCs w:val="2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89AA18D" id="_x0000_s1046" type="#_x0000_t202" style="position:absolute;left:0;text-align:left;margin-left:468.15pt;margin-top:.95pt;width:257.25pt;height:318.75pt;z-index:251815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" strokecolor="#8eb4e3" strokeweight="1.5pt">
                <v:path arrowok="t"/>
                <v:textbox>
                  <w:txbxContent>
                    <w:p w:rsidR="00F66189" w:rsidRPr="00113BCC" w:rsidRDefault="00F66189" w:rsidP="0054713E">
                      <w:pPr>
                        <w:rPr>
                          <w:b/>
                          <w:sz w:val="24"/>
                        </w:rPr>
                      </w:pPr>
                      <w:r w:rsidRPr="00113BCC">
                        <w:rPr>
                          <w:b/>
                          <w:sz w:val="24"/>
                        </w:rPr>
                        <w:t>Key Issues</w:t>
                      </w:r>
                    </w:p>
                    <w:p w:rsidR="00F66189" w:rsidRPr="00113BCC" w:rsidRDefault="00F66189" w:rsidP="0054713E">
                      <w:pPr>
                        <w:pStyle w:val="ListParagraph"/>
                        <w:ind w:left="426" w:hanging="426"/>
                        <w:rPr>
                          <w:sz w:val="24"/>
                        </w:rPr>
                      </w:pPr>
                    </w:p>
                    <w:p w:rsidR="00F66189" w:rsidRDefault="00F66189" w:rsidP="006616E8">
                      <w:pPr>
                        <w:pStyle w:val="ListParagraph"/>
                        <w:numPr>
                          <w:ilvl w:val="0"/>
                          <w:numId w:val="15"/>
                        </w:numPr>
                        <w:rPr>
                          <w:sz w:val="24"/>
                        </w:rPr>
                      </w:pPr>
                      <w:r w:rsidRPr="0029558F">
                        <w:rPr>
                          <w:sz w:val="24"/>
                        </w:rPr>
                        <w:t xml:space="preserve">The current </w:t>
                      </w:r>
                      <w:r>
                        <w:rPr>
                          <w:sz w:val="24"/>
                        </w:rPr>
                        <w:t>Capital Resource Limit of £38.6</w:t>
                      </w:r>
                      <w:r w:rsidRPr="0029558F">
                        <w:rPr>
                          <w:sz w:val="24"/>
                        </w:rPr>
                        <w:t xml:space="preserve">m was </w:t>
                      </w:r>
                      <w:r>
                        <w:rPr>
                          <w:sz w:val="24"/>
                        </w:rPr>
                        <w:t>issued on 5</w:t>
                      </w:r>
                      <w:r w:rsidRPr="00B9501A">
                        <w:rPr>
                          <w:sz w:val="24"/>
                          <w:vertAlign w:val="superscript"/>
                        </w:rPr>
                        <w:t>th</w:t>
                      </w:r>
                      <w:r>
                        <w:rPr>
                          <w:sz w:val="24"/>
                        </w:rPr>
                        <w:t xml:space="preserve"> March 2020.</w:t>
                      </w:r>
                    </w:p>
                    <w:p w:rsidR="00F66189" w:rsidRDefault="00F66189" w:rsidP="009D6556">
                      <w:pPr>
                        <w:pStyle w:val="ListParagraph"/>
                        <w:rPr>
                          <w:sz w:val="24"/>
                        </w:rPr>
                      </w:pPr>
                    </w:p>
                    <w:p w:rsidR="00F66189" w:rsidRPr="0029558F" w:rsidRDefault="00F66189" w:rsidP="006616E8">
                      <w:pPr>
                        <w:pStyle w:val="ListParagraph"/>
                        <w:numPr>
                          <w:ilvl w:val="0"/>
                          <w:numId w:val="15"/>
                        </w:numPr>
                        <w:rPr>
                          <w:sz w:val="24"/>
                        </w:rPr>
                      </w:pPr>
                      <w:r w:rsidRPr="0029558F">
                        <w:rPr>
                          <w:sz w:val="24"/>
                        </w:rPr>
                        <w:t>This is supplemented by £1.8m of donated funds</w:t>
                      </w:r>
                      <w:r>
                        <w:rPr>
                          <w:sz w:val="24"/>
                        </w:rPr>
                        <w:t xml:space="preserve"> </w:t>
                      </w:r>
                      <w:r w:rsidRPr="0029558F">
                        <w:rPr>
                          <w:sz w:val="24"/>
                        </w:rPr>
                        <w:t>givi</w:t>
                      </w:r>
                      <w:r>
                        <w:rPr>
                          <w:sz w:val="24"/>
                        </w:rPr>
                        <w:t>ng an overall programme of £40.4</w:t>
                      </w:r>
                      <w:r w:rsidRPr="0029558F">
                        <w:rPr>
                          <w:sz w:val="24"/>
                        </w:rPr>
                        <w:t>m.</w:t>
                      </w:r>
                    </w:p>
                    <w:p w:rsidR="00F66189" w:rsidRPr="0029558F" w:rsidRDefault="00F66189" w:rsidP="0054713E">
                      <w:pPr>
                        <w:rPr>
                          <w:sz w:val="24"/>
                        </w:rPr>
                      </w:pPr>
                    </w:p>
                    <w:p w:rsidR="00F66189" w:rsidRPr="0029558F" w:rsidRDefault="00F66189" w:rsidP="006616E8">
                      <w:pPr>
                        <w:pStyle w:val="ListParagraph"/>
                        <w:numPr>
                          <w:ilvl w:val="0"/>
                          <w:numId w:val="15"/>
                        </w:numPr>
                        <w:rPr>
                          <w:sz w:val="24"/>
                        </w:rPr>
                      </w:pPr>
                      <w:r>
                        <w:rPr>
                          <w:sz w:val="24"/>
                        </w:rPr>
                        <w:t>Expenditure to date is £28.1</w:t>
                      </w:r>
                      <w:r w:rsidRPr="0029558F">
                        <w:rPr>
                          <w:sz w:val="24"/>
                        </w:rPr>
                        <w:t>m.</w:t>
                      </w:r>
                    </w:p>
                    <w:p w:rsidR="00F66189" w:rsidRPr="0029558F" w:rsidRDefault="00F66189" w:rsidP="0054713E">
                      <w:pPr>
                        <w:rPr>
                          <w:sz w:val="24"/>
                        </w:rPr>
                      </w:pPr>
                    </w:p>
                    <w:p w:rsidR="00F66189" w:rsidRPr="0029558F" w:rsidRDefault="00F66189" w:rsidP="006616E8">
                      <w:pPr>
                        <w:pStyle w:val="ListParagraph"/>
                        <w:numPr>
                          <w:ilvl w:val="0"/>
                          <w:numId w:val="15"/>
                        </w:numPr>
                        <w:rPr>
                          <w:sz w:val="24"/>
                        </w:rPr>
                      </w:pPr>
                      <w:r w:rsidRPr="0029558F">
                        <w:rPr>
                          <w:sz w:val="24"/>
                        </w:rPr>
                        <w:t>The current forecast capital position is a breakeven position.</w:t>
                      </w:r>
                    </w:p>
                    <w:p w:rsidR="00F66189" w:rsidRPr="009762AE" w:rsidRDefault="00F66189" w:rsidP="0054713E">
                      <w:pPr>
                        <w:pStyle w:val="ListParagraph"/>
                        <w:rPr>
                          <w:sz w:val="24"/>
                        </w:rPr>
                      </w:pPr>
                    </w:p>
                    <w:p w:rsidR="00F66189" w:rsidRPr="009762AE" w:rsidRDefault="00F66189" w:rsidP="0054713E">
                      <w:pPr>
                        <w:pStyle w:val="ListParagraph"/>
                        <w:rPr>
                          <w:sz w:val="24"/>
                          <w:highlight w:val="yellow"/>
                        </w:rPr>
                      </w:pPr>
                    </w:p>
                    <w:p w:rsidR="00F66189" w:rsidRPr="00E850E8" w:rsidRDefault="00F66189" w:rsidP="0054713E">
                      <w:pPr>
                        <w:rPr>
                          <w:sz w:val="20"/>
                          <w:szCs w:val="20"/>
                        </w:rPr>
                      </w:pPr>
                    </w:p>
                    <w:p w:rsidR="00F66189" w:rsidRPr="00427F62" w:rsidRDefault="00F66189" w:rsidP="0054713E">
                      <w:pPr>
                        <w:rPr>
                          <w:sz w:val="20"/>
                          <w:szCs w:val="20"/>
                        </w:rPr>
                      </w:pPr>
                    </w:p>
                    <w:p w:rsidR="00F66189" w:rsidRPr="00427F62" w:rsidRDefault="00F66189" w:rsidP="0054713E">
                      <w:pPr>
                        <w:rPr>
                          <w:sz w:val="20"/>
                          <w:szCs w:val="20"/>
                        </w:rPr>
                      </w:pPr>
                    </w:p>
                  </w:txbxContent>
                </v:textbox>
              </v:shape>
            </w:pict>
          </mc:Fallback>
        </mc:AlternateContent>
      </w:r>
    </w:p>
    <w:p w:rsidR="0054713E" w:rsidRPr="00C1496E" w:rsidRDefault="0054713E" w:rsidP="0054713E">
      <w:pPr>
        <w:rPr>
          <w:rFonts w:cs="Tahoma"/>
          <w:b/>
          <w:bCs/>
          <w:sz w:val="24"/>
        </w:rPr>
      </w:pPr>
    </w:p>
    <w:p w:rsidR="0054713E" w:rsidRPr="00A72850" w:rsidRDefault="0054713E" w:rsidP="0054713E">
      <w:pPr>
        <w:rPr>
          <w:rFonts w:cs="Tahoma"/>
          <w:b/>
          <w:bCs/>
          <w:sz w:val="24"/>
          <w:highlight w:val="yellow"/>
        </w:rPr>
      </w:pPr>
      <w:r w:rsidRPr="00A72850">
        <w:rPr>
          <w:rFonts w:cs="Tahoma"/>
          <w:b/>
          <w:bCs/>
          <w:sz w:val="24"/>
          <w:highlight w:val="yellow"/>
        </w:rPr>
        <w:br w:type="page"/>
      </w:r>
    </w:p>
    <w:p w:rsidR="0054713E" w:rsidRPr="00C1496E" w:rsidRDefault="0054713E" w:rsidP="006616E8">
      <w:pPr>
        <w:pStyle w:val="ListParagraph"/>
        <w:numPr>
          <w:ilvl w:val="1"/>
          <w:numId w:val="34"/>
        </w:numPr>
        <w:jc w:val="both"/>
        <w:rPr>
          <w:rFonts w:cs="Tahoma"/>
          <w:b/>
          <w:bCs/>
          <w:sz w:val="24"/>
        </w:rPr>
      </w:pPr>
      <w:r w:rsidRPr="00C1496E">
        <w:rPr>
          <w:rFonts w:cs="Tahoma"/>
          <w:b/>
          <w:bCs/>
          <w:sz w:val="24"/>
        </w:rPr>
        <w:t>Public Sector Payment Performance</w:t>
      </w:r>
    </w:p>
    <w:p w:rsidR="0054713E" w:rsidRPr="00C1496E" w:rsidRDefault="0054713E" w:rsidP="0054713E">
      <w:pPr>
        <w:jc w:val="both"/>
        <w:rPr>
          <w:rFonts w:cs="Tahoma"/>
          <w:b/>
          <w:bCs/>
          <w:sz w:val="24"/>
        </w:rPr>
      </w:pPr>
    </w:p>
    <w:p w:rsidR="0054713E" w:rsidRPr="00C1496E" w:rsidRDefault="0054713E" w:rsidP="0054713E">
      <w:pPr>
        <w:pStyle w:val="ListParagraph"/>
        <w:jc w:val="both"/>
        <w:rPr>
          <w:rFonts w:cs="Tahoma"/>
          <w:bCs/>
          <w:sz w:val="24"/>
        </w:rPr>
      </w:pPr>
      <w:r w:rsidRPr="00C1496E">
        <w:rPr>
          <w:rFonts w:cs="Tahoma"/>
          <w:bCs/>
          <w:sz w:val="24"/>
        </w:rPr>
        <w:t>The Health Board’s monthly performance against the 95% public sector payment target is detailed in the graph below:</w:t>
      </w:r>
    </w:p>
    <w:p w:rsidR="0054713E" w:rsidRPr="00C1496E" w:rsidRDefault="00701793" w:rsidP="0054713E">
      <w:pPr>
        <w:pStyle w:val="ListParagraph"/>
        <w:jc w:val="both"/>
        <w:rPr>
          <w:rFonts w:cs="Tahoma"/>
          <w:bCs/>
          <w:sz w:val="24"/>
        </w:rPr>
      </w:pPr>
      <w:r w:rsidRPr="00C1496E">
        <w:rPr>
          <w:noProof/>
          <w:lang w:eastAsia="en-GB"/>
        </w:rPr>
        <mc:AlternateContent>
          <mc:Choice Requires="wps">
            <w:drawing>
              <wp:anchor distT="0" distB="0" distL="114300" distR="114300" simplePos="0" relativeHeight="251816960" behindDoc="0" locked="0" layoutInCell="1" allowOverlap="1" wp14:anchorId="3C6FFE28" wp14:editId="2F760EC9">
                <wp:simplePos x="0" y="0"/>
                <wp:positionH relativeFrom="column">
                  <wp:posOffset>5937388</wp:posOffset>
                </wp:positionH>
                <wp:positionV relativeFrom="paragraph">
                  <wp:posOffset>184399</wp:posOffset>
                </wp:positionV>
                <wp:extent cx="3298825" cy="4152900"/>
                <wp:effectExtent l="0" t="0" r="15875" b="19050"/>
                <wp:wrapNone/>
                <wp:docPr id="40"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298825" cy="4152900"/>
                        </a:xfrm>
                        <a:prstGeom prst="rect">
                          <a:avLst/>
                        </a:prstGeom>
                        <a:solidFill>
                          <a:srgbClr val="FFFFFF"/>
                        </a:solidFill>
                        <a:ln w="19050">
                          <a:solidFill>
                            <a:srgbClr val="8EB4E3"/>
                          </a:solidFill>
                          <a:miter lim="800000"/>
                          <a:headEnd/>
                          <a:tailEnd/>
                        </a:ln>
                      </wps:spPr>
                      <wps:txbx>
                        <w:txbxContent>
                          <w:p w:rsidR="00F66189" w:rsidRPr="00180C4C" w:rsidRDefault="00F66189" w:rsidP="0054713E">
                            <w:pPr>
                              <w:rPr>
                                <w:b/>
                                <w:sz w:val="24"/>
                              </w:rPr>
                            </w:pPr>
                            <w:r w:rsidRPr="00180C4C">
                              <w:rPr>
                                <w:b/>
                                <w:sz w:val="24"/>
                              </w:rPr>
                              <w:t>Key Issues:</w:t>
                            </w:r>
                          </w:p>
                          <w:p w:rsidR="00F66189" w:rsidRPr="00180C4C" w:rsidRDefault="00F66189" w:rsidP="0054713E">
                            <w:pPr>
                              <w:rPr>
                                <w:b/>
                                <w:sz w:val="24"/>
                              </w:rPr>
                            </w:pPr>
                          </w:p>
                          <w:p w:rsidR="00F66189" w:rsidRPr="00D4258C" w:rsidRDefault="00F66189" w:rsidP="006616E8">
                            <w:pPr>
                              <w:pStyle w:val="ListParagraph"/>
                              <w:numPr>
                                <w:ilvl w:val="0"/>
                                <w:numId w:val="21"/>
                              </w:numPr>
                              <w:rPr>
                                <w:sz w:val="24"/>
                              </w:rPr>
                            </w:pPr>
                            <w:r w:rsidRPr="00D4258C">
                              <w:rPr>
                                <w:sz w:val="24"/>
                              </w:rPr>
                              <w:t>In M11, 89.3% of the number of non NHS invoices were paid within 30 days.</w:t>
                            </w:r>
                          </w:p>
                          <w:p w:rsidR="00F66189" w:rsidRPr="00D4258C" w:rsidRDefault="00F66189" w:rsidP="0054713E">
                            <w:pPr>
                              <w:pStyle w:val="ListParagraph"/>
                              <w:ind w:left="1080"/>
                              <w:rPr>
                                <w:sz w:val="24"/>
                              </w:rPr>
                            </w:pPr>
                          </w:p>
                          <w:p w:rsidR="00F66189" w:rsidRPr="00D4258C" w:rsidRDefault="00F66189" w:rsidP="006616E8">
                            <w:pPr>
                              <w:pStyle w:val="ListParagraph"/>
                              <w:numPr>
                                <w:ilvl w:val="0"/>
                                <w:numId w:val="21"/>
                              </w:numPr>
                              <w:rPr>
                                <w:sz w:val="24"/>
                              </w:rPr>
                            </w:pPr>
                            <w:r w:rsidRPr="00D4258C">
                              <w:rPr>
                                <w:sz w:val="24"/>
                              </w:rPr>
                              <w:t xml:space="preserve">The M11 YTD position is 95.3%. </w:t>
                            </w:r>
                          </w:p>
                          <w:p w:rsidR="00F66189" w:rsidRPr="00D4258C" w:rsidRDefault="00F66189" w:rsidP="0054713E">
                            <w:pPr>
                              <w:pStyle w:val="ListParagraph"/>
                              <w:rPr>
                                <w:sz w:val="24"/>
                              </w:rPr>
                            </w:pPr>
                          </w:p>
                          <w:p w:rsidR="00F66189" w:rsidRPr="00D4258C" w:rsidRDefault="00F66189" w:rsidP="006616E8">
                            <w:pPr>
                              <w:pStyle w:val="ListParagraph"/>
                              <w:numPr>
                                <w:ilvl w:val="0"/>
                                <w:numId w:val="21"/>
                              </w:numPr>
                              <w:rPr>
                                <w:sz w:val="24"/>
                              </w:rPr>
                            </w:pPr>
                            <w:r w:rsidRPr="00D4258C">
                              <w:rPr>
                                <w:sz w:val="24"/>
                              </w:rPr>
                              <w:t>The forecast position is to achieve the 95% target for the year.</w:t>
                            </w:r>
                          </w:p>
                          <w:p w:rsidR="00F66189" w:rsidRPr="00D4258C" w:rsidRDefault="00F66189" w:rsidP="00E01F90">
                            <w:pPr>
                              <w:pStyle w:val="ListParagraph"/>
                              <w:rPr>
                                <w:sz w:val="24"/>
                              </w:rPr>
                            </w:pPr>
                          </w:p>
                          <w:p w:rsidR="00F66189" w:rsidRPr="00D4258C" w:rsidRDefault="00F66189" w:rsidP="006616E8">
                            <w:pPr>
                              <w:pStyle w:val="ListParagraph"/>
                              <w:numPr>
                                <w:ilvl w:val="0"/>
                                <w:numId w:val="21"/>
                              </w:numPr>
                              <w:rPr>
                                <w:sz w:val="24"/>
                              </w:rPr>
                            </w:pPr>
                            <w:r w:rsidRPr="00D4258C">
                              <w:rPr>
                                <w:sz w:val="24"/>
                              </w:rPr>
                              <w:t>Further work is being undertaken to understand the reasons for the recent deteriorations in M10 and M11.</w:t>
                            </w:r>
                          </w:p>
                          <w:p w:rsidR="00F66189" w:rsidRPr="009762AE" w:rsidRDefault="00F66189" w:rsidP="0054713E">
                            <w:pPr>
                              <w:rPr>
                                <w:sz w:val="24"/>
                              </w:rPr>
                            </w:pPr>
                          </w:p>
                          <w:p w:rsidR="00F66189" w:rsidRPr="009762AE" w:rsidRDefault="00F66189" w:rsidP="0054713E">
                            <w:pPr>
                              <w:ind w:left="360"/>
                              <w:rPr>
                                <w:sz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C6FFE28" id="Text Box 29" o:spid="_x0000_s1047" type="#_x0000_t202" style="position:absolute;left:0;text-align:left;margin-left:467.5pt;margin-top:14.5pt;width:259.75pt;height:327pt;z-index:251816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" strokecolor="#8eb4e3" strokeweight="1.5pt">
                <v:path arrowok="t"/>
                <v:textbox>
                  <w:txbxContent>
                    <w:p w:rsidR="00F66189" w:rsidRPr="00180C4C" w:rsidRDefault="00F66189" w:rsidP="0054713E">
                      <w:pPr>
                        <w:rPr>
                          <w:b/>
                          <w:sz w:val="24"/>
                        </w:rPr>
                      </w:pPr>
                      <w:r w:rsidRPr="00180C4C">
                        <w:rPr>
                          <w:b/>
                          <w:sz w:val="24"/>
                        </w:rPr>
                        <w:t>Key Issues:</w:t>
                      </w:r>
                    </w:p>
                    <w:p w:rsidR="00F66189" w:rsidRPr="00180C4C" w:rsidRDefault="00F66189" w:rsidP="0054713E">
                      <w:pPr>
                        <w:rPr>
                          <w:b/>
                          <w:sz w:val="24"/>
                        </w:rPr>
                      </w:pPr>
                    </w:p>
                    <w:p w:rsidR="00F66189" w:rsidRPr="00D4258C" w:rsidRDefault="00F66189" w:rsidP="006616E8">
                      <w:pPr>
                        <w:pStyle w:val="ListParagraph"/>
                        <w:numPr>
                          <w:ilvl w:val="0"/>
                          <w:numId w:val="21"/>
                        </w:numPr>
                        <w:rPr>
                          <w:sz w:val="24"/>
                        </w:rPr>
                      </w:pPr>
                      <w:r w:rsidRPr="00D4258C">
                        <w:rPr>
                          <w:sz w:val="24"/>
                        </w:rPr>
                        <w:t>In M11, 89.3% of the number of non NHS invoices were paid within 30 days.</w:t>
                      </w:r>
                    </w:p>
                    <w:p w:rsidR="00F66189" w:rsidRPr="00D4258C" w:rsidRDefault="00F66189" w:rsidP="0054713E">
                      <w:pPr>
                        <w:pStyle w:val="ListParagraph"/>
                        <w:ind w:left="1080"/>
                        <w:rPr>
                          <w:sz w:val="24"/>
                        </w:rPr>
                      </w:pPr>
                    </w:p>
                    <w:p w:rsidR="00F66189" w:rsidRPr="00D4258C" w:rsidRDefault="00F66189" w:rsidP="006616E8">
                      <w:pPr>
                        <w:pStyle w:val="ListParagraph"/>
                        <w:numPr>
                          <w:ilvl w:val="0"/>
                          <w:numId w:val="21"/>
                        </w:numPr>
                        <w:rPr>
                          <w:sz w:val="24"/>
                        </w:rPr>
                      </w:pPr>
                      <w:r w:rsidRPr="00D4258C">
                        <w:rPr>
                          <w:sz w:val="24"/>
                        </w:rPr>
                        <w:t xml:space="preserve">The M11 YTD position is 95.3%. </w:t>
                      </w:r>
                    </w:p>
                    <w:p w:rsidR="00F66189" w:rsidRPr="00D4258C" w:rsidRDefault="00F66189" w:rsidP="0054713E">
                      <w:pPr>
                        <w:pStyle w:val="ListParagraph"/>
                        <w:rPr>
                          <w:sz w:val="24"/>
                        </w:rPr>
                      </w:pPr>
                    </w:p>
                    <w:p w:rsidR="00F66189" w:rsidRPr="00D4258C" w:rsidRDefault="00F66189" w:rsidP="006616E8">
                      <w:pPr>
                        <w:pStyle w:val="ListParagraph"/>
                        <w:numPr>
                          <w:ilvl w:val="0"/>
                          <w:numId w:val="21"/>
                        </w:numPr>
                        <w:rPr>
                          <w:sz w:val="24"/>
                        </w:rPr>
                      </w:pPr>
                      <w:r w:rsidRPr="00D4258C">
                        <w:rPr>
                          <w:sz w:val="24"/>
                        </w:rPr>
                        <w:t>The forecast position is to achieve the 95% target for the year.</w:t>
                      </w:r>
                    </w:p>
                    <w:p w:rsidR="00F66189" w:rsidRPr="00D4258C" w:rsidRDefault="00F66189" w:rsidP="00E01F90">
                      <w:pPr>
                        <w:pStyle w:val="ListParagraph"/>
                        <w:rPr>
                          <w:sz w:val="24"/>
                        </w:rPr>
                      </w:pPr>
                    </w:p>
                    <w:p w:rsidR="00F66189" w:rsidRPr="00D4258C" w:rsidRDefault="00F66189" w:rsidP="006616E8">
                      <w:pPr>
                        <w:pStyle w:val="ListParagraph"/>
                        <w:numPr>
                          <w:ilvl w:val="0"/>
                          <w:numId w:val="21"/>
                        </w:numPr>
                        <w:rPr>
                          <w:sz w:val="24"/>
                        </w:rPr>
                      </w:pPr>
                      <w:r w:rsidRPr="00D4258C">
                        <w:rPr>
                          <w:sz w:val="24"/>
                        </w:rPr>
                        <w:t>Further work is being undertaken to understand the reasons for the recent deteriorations in M10 and M11.</w:t>
                      </w:r>
                    </w:p>
                    <w:p w:rsidR="00F66189" w:rsidRPr="009762AE" w:rsidRDefault="00F66189" w:rsidP="0054713E">
                      <w:pPr>
                        <w:rPr>
                          <w:sz w:val="24"/>
                        </w:rPr>
                      </w:pPr>
                    </w:p>
                    <w:p w:rsidR="00F66189" w:rsidRPr="009762AE" w:rsidRDefault="00F66189" w:rsidP="0054713E">
                      <w:pPr>
                        <w:ind w:left="360"/>
                        <w:rPr>
                          <w:sz w:val="24"/>
                        </w:rPr>
                      </w:pPr>
                    </w:p>
                  </w:txbxContent>
                </v:textbox>
              </v:shape>
            </w:pict>
          </mc:Fallback>
        </mc:AlternateContent>
      </w:r>
    </w:p>
    <w:p w:rsidR="0054713E" w:rsidRPr="00C1496E" w:rsidRDefault="00177ED3" w:rsidP="0054713E">
      <w:pPr>
        <w:pStyle w:val="ListParagraph"/>
        <w:jc w:val="both"/>
        <w:rPr>
          <w:rFonts w:cs="Tahoma"/>
          <w:bCs/>
          <w:sz w:val="24"/>
        </w:rPr>
      </w:pPr>
      <w:r>
        <w:rPr>
          <w:noProof/>
          <w:lang w:eastAsia="en-GB"/>
        </w:rPr>
        <w:drawing>
          <wp:inline distT="0" distB="0" distL="0" distR="0" wp14:anchorId="025C9C86" wp14:editId="7085801A">
            <wp:extent cx="5287618" cy="4152900"/>
            <wp:effectExtent l="0" t="0" r="8890"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54713E" w:rsidRPr="00C1496E" w:rsidRDefault="0054713E" w:rsidP="0054713E">
      <w:pPr>
        <w:jc w:val="both"/>
        <w:rPr>
          <w:rFonts w:cs="Tahoma"/>
          <w:b/>
          <w:bCs/>
          <w:sz w:val="24"/>
        </w:rPr>
      </w:pPr>
    </w:p>
    <w:p w:rsidR="0054713E" w:rsidRPr="00A72850" w:rsidRDefault="0054713E" w:rsidP="0054713E">
      <w:pPr>
        <w:rPr>
          <w:rFonts w:cs="Tahoma"/>
          <w:b/>
          <w:bCs/>
          <w:sz w:val="24"/>
          <w:highlight w:val="yellow"/>
        </w:rPr>
      </w:pPr>
      <w:r w:rsidRPr="00C1496E">
        <w:rPr>
          <w:rFonts w:cs="Tahoma"/>
          <w:b/>
          <w:bCs/>
          <w:sz w:val="24"/>
        </w:rPr>
        <w:br w:type="page"/>
      </w:r>
    </w:p>
    <w:p w:rsidR="0054713E" w:rsidRPr="00C1496E" w:rsidRDefault="0054713E" w:rsidP="006616E8">
      <w:pPr>
        <w:pStyle w:val="ListParagraph"/>
        <w:numPr>
          <w:ilvl w:val="1"/>
          <w:numId w:val="34"/>
        </w:numPr>
        <w:jc w:val="both"/>
        <w:rPr>
          <w:rFonts w:cs="Tahoma"/>
          <w:b/>
          <w:bCs/>
          <w:sz w:val="24"/>
        </w:rPr>
      </w:pPr>
      <w:r w:rsidRPr="00C1496E">
        <w:rPr>
          <w:rFonts w:cs="Tahoma"/>
          <w:b/>
          <w:bCs/>
          <w:sz w:val="24"/>
        </w:rPr>
        <w:t>Balance Sheet</w:t>
      </w:r>
    </w:p>
    <w:p w:rsidR="0054713E" w:rsidRPr="00C1496E" w:rsidRDefault="0054713E" w:rsidP="0054713E">
      <w:pPr>
        <w:jc w:val="both"/>
        <w:rPr>
          <w:rFonts w:cs="Tahoma"/>
          <w:b/>
          <w:bCs/>
          <w:sz w:val="24"/>
        </w:rPr>
      </w:pPr>
    </w:p>
    <w:p w:rsidR="0054713E" w:rsidRPr="00C1496E" w:rsidRDefault="00177ED3" w:rsidP="0054713E">
      <w:pPr>
        <w:ind w:left="709"/>
        <w:jc w:val="both"/>
        <w:rPr>
          <w:rFonts w:cs="Tahoma"/>
          <w:sz w:val="24"/>
        </w:rPr>
      </w:pPr>
      <w:r>
        <w:rPr>
          <w:rFonts w:cs="Tahoma"/>
          <w:sz w:val="24"/>
        </w:rPr>
        <w:t>The M11</w:t>
      </w:r>
      <w:r w:rsidR="0054713E" w:rsidRPr="00C1496E">
        <w:rPr>
          <w:rFonts w:cs="Tahoma"/>
          <w:sz w:val="24"/>
        </w:rPr>
        <w:t xml:space="preserve"> balance sheet is detailed below. </w:t>
      </w:r>
    </w:p>
    <w:p w:rsidR="0054713E" w:rsidRPr="00C1496E" w:rsidRDefault="0054713E" w:rsidP="0054713E">
      <w:pPr>
        <w:ind w:left="709"/>
        <w:jc w:val="both"/>
        <w:rPr>
          <w:rFonts w:cs="Tahoma"/>
          <w:sz w:val="24"/>
        </w:rPr>
      </w:pPr>
      <w:r w:rsidRPr="00C1496E">
        <w:rPr>
          <w:noProof/>
          <w:lang w:eastAsia="en-GB"/>
        </w:rPr>
        <mc:AlternateContent>
          <mc:Choice Requires="wps">
            <w:drawing>
              <wp:anchor distT="0" distB="0" distL="114300" distR="114300" simplePos="0" relativeHeight="251814912" behindDoc="0" locked="0" layoutInCell="1" allowOverlap="1" wp14:anchorId="5981E147" wp14:editId="66AC5681">
                <wp:simplePos x="0" y="0"/>
                <wp:positionH relativeFrom="page">
                  <wp:posOffset>7513983</wp:posOffset>
                </wp:positionH>
                <wp:positionV relativeFrom="paragraph">
                  <wp:posOffset>168496</wp:posOffset>
                </wp:positionV>
                <wp:extent cx="2200578" cy="4524292"/>
                <wp:effectExtent l="0" t="0" r="28575" b="10160"/>
                <wp:wrapNone/>
                <wp:docPr id="38"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200578" cy="4524292"/>
                        </a:xfrm>
                        <a:prstGeom prst="rect">
                          <a:avLst/>
                        </a:prstGeom>
                        <a:solidFill>
                          <a:srgbClr val="FFFFFF"/>
                        </a:solidFill>
                        <a:ln w="19050">
                          <a:solidFill>
                            <a:srgbClr val="8EB4E3"/>
                          </a:solidFill>
                          <a:miter lim="800000"/>
                          <a:headEnd/>
                          <a:tailEnd/>
                        </a:ln>
                      </wps:spPr>
                      <wps:txbx>
                        <w:txbxContent>
                          <w:p w:rsidR="00F66189" w:rsidRDefault="00F66189" w:rsidP="0054713E">
                            <w:pPr>
                              <w:pStyle w:val="ListParagraph"/>
                              <w:ind w:left="0"/>
                              <w:rPr>
                                <w:rFonts w:cs="Tahoma"/>
                                <w:b/>
                                <w:sz w:val="24"/>
                              </w:rPr>
                            </w:pPr>
                            <w:r w:rsidRPr="000C1AD0">
                              <w:rPr>
                                <w:rFonts w:cs="Tahoma"/>
                                <w:b/>
                                <w:sz w:val="24"/>
                              </w:rPr>
                              <w:t>Key Issue</w:t>
                            </w:r>
                            <w:r>
                              <w:rPr>
                                <w:rFonts w:cs="Tahoma"/>
                                <w:b/>
                                <w:sz w:val="24"/>
                              </w:rPr>
                              <w:t>s</w:t>
                            </w:r>
                          </w:p>
                          <w:p w:rsidR="00F66189" w:rsidRDefault="00F66189" w:rsidP="0054713E">
                            <w:pPr>
                              <w:pStyle w:val="ListParagraph"/>
                              <w:ind w:left="0"/>
                              <w:rPr>
                                <w:rFonts w:cs="Tahoma"/>
                                <w:b/>
                                <w:sz w:val="24"/>
                              </w:rPr>
                            </w:pPr>
                          </w:p>
                          <w:p w:rsidR="00F66189" w:rsidRPr="00D4258C" w:rsidRDefault="00F66189" w:rsidP="006616E8">
                            <w:pPr>
                              <w:pStyle w:val="ListParagraph"/>
                              <w:numPr>
                                <w:ilvl w:val="0"/>
                                <w:numId w:val="8"/>
                              </w:numPr>
                              <w:rPr>
                                <w:sz w:val="24"/>
                              </w:rPr>
                            </w:pPr>
                            <w:r w:rsidRPr="00D4258C">
                              <w:rPr>
                                <w:sz w:val="24"/>
                              </w:rPr>
                              <w:t xml:space="preserve">The closing Balance Sheet at M10 was £307m. </w:t>
                            </w:r>
                          </w:p>
                          <w:p w:rsidR="00F66189" w:rsidRPr="00D4258C" w:rsidRDefault="00F66189" w:rsidP="006616E8">
                            <w:pPr>
                              <w:pStyle w:val="ListParagraph"/>
                              <w:numPr>
                                <w:ilvl w:val="0"/>
                                <w:numId w:val="8"/>
                              </w:numPr>
                              <w:rPr>
                                <w:sz w:val="24"/>
                              </w:rPr>
                            </w:pPr>
                            <w:r w:rsidRPr="00D4258C">
                              <w:rPr>
                                <w:sz w:val="24"/>
                              </w:rPr>
                              <w:t>The significant increase in M11 relates to the impact of the  Bridgend boundary change.</w:t>
                            </w:r>
                          </w:p>
                          <w:p w:rsidR="00F66189" w:rsidRDefault="00F66189" w:rsidP="0054713E">
                            <w:pPr>
                              <w:pStyle w:val="ListParagraph"/>
                              <w:ind w:left="426"/>
                              <w:rPr>
                                <w:sz w:val="24"/>
                              </w:rPr>
                            </w:pPr>
                          </w:p>
                          <w:p w:rsidR="00F66189" w:rsidRPr="004E4184" w:rsidRDefault="00F66189" w:rsidP="0054713E">
                            <w:pPr>
                              <w:pStyle w:val="ListParagraph"/>
                              <w:ind w:left="426"/>
                              <w:rPr>
                                <w:sz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981E147" id="Text Box 19" o:spid="_x0000_s1048" type="#_x0000_t202" style="position:absolute;left:0;text-align:left;margin-left:591.65pt;margin-top:13.25pt;width:173.25pt;height:356.25pt;z-index:2518149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" strokecolor="#8eb4e3" strokeweight="1.5pt">
                <v:path arrowok="t"/>
                <v:textbox>
                  <w:txbxContent>
                    <w:p w:rsidR="00F66189" w:rsidRDefault="00F66189" w:rsidP="0054713E">
                      <w:pPr>
                        <w:pStyle w:val="ListParagraph"/>
                        <w:ind w:left="0"/>
                        <w:rPr>
                          <w:rFonts w:cs="Tahoma"/>
                          <w:b/>
                          <w:sz w:val="24"/>
                        </w:rPr>
                      </w:pPr>
                      <w:r w:rsidRPr="000C1AD0">
                        <w:rPr>
                          <w:rFonts w:cs="Tahoma"/>
                          <w:b/>
                          <w:sz w:val="24"/>
                        </w:rPr>
                        <w:t>Key Issue</w:t>
                      </w:r>
                      <w:r>
                        <w:rPr>
                          <w:rFonts w:cs="Tahoma"/>
                          <w:b/>
                          <w:sz w:val="24"/>
                        </w:rPr>
                        <w:t>s</w:t>
                      </w:r>
                    </w:p>
                    <w:p w:rsidR="00F66189" w:rsidRDefault="00F66189" w:rsidP="0054713E">
                      <w:pPr>
                        <w:pStyle w:val="ListParagraph"/>
                        <w:ind w:left="0"/>
                        <w:rPr>
                          <w:rFonts w:cs="Tahoma"/>
                          <w:b/>
                          <w:sz w:val="24"/>
                        </w:rPr>
                      </w:pPr>
                    </w:p>
                    <w:p w:rsidR="00F66189" w:rsidRPr="00D4258C" w:rsidRDefault="00F66189" w:rsidP="006616E8">
                      <w:pPr>
                        <w:pStyle w:val="ListParagraph"/>
                        <w:numPr>
                          <w:ilvl w:val="0"/>
                          <w:numId w:val="8"/>
                        </w:numPr>
                        <w:rPr>
                          <w:sz w:val="24"/>
                        </w:rPr>
                      </w:pPr>
                      <w:r w:rsidRPr="00D4258C">
                        <w:rPr>
                          <w:sz w:val="24"/>
                        </w:rPr>
                        <w:t xml:space="preserve">The closing Balance Sheet at M10 was £307m. </w:t>
                      </w:r>
                    </w:p>
                    <w:p w:rsidR="00F66189" w:rsidRPr="00D4258C" w:rsidRDefault="00F66189" w:rsidP="006616E8">
                      <w:pPr>
                        <w:pStyle w:val="ListParagraph"/>
                        <w:numPr>
                          <w:ilvl w:val="0"/>
                          <w:numId w:val="8"/>
                        </w:numPr>
                        <w:rPr>
                          <w:sz w:val="24"/>
                        </w:rPr>
                      </w:pPr>
                      <w:r w:rsidRPr="00D4258C">
                        <w:rPr>
                          <w:sz w:val="24"/>
                        </w:rPr>
                        <w:t>The significant increase in M11 relates to the impact of the  Bridgend boundary change.</w:t>
                      </w:r>
                    </w:p>
                    <w:p w:rsidR="00F66189" w:rsidRDefault="00F66189" w:rsidP="0054713E">
                      <w:pPr>
                        <w:pStyle w:val="ListParagraph"/>
                        <w:ind w:left="426"/>
                        <w:rPr>
                          <w:sz w:val="24"/>
                        </w:rPr>
                      </w:pPr>
                    </w:p>
                    <w:p w:rsidR="00F66189" w:rsidRPr="004E4184" w:rsidRDefault="00F66189" w:rsidP="0054713E">
                      <w:pPr>
                        <w:pStyle w:val="ListParagraph"/>
                        <w:ind w:left="426"/>
                        <w:rPr>
                          <w:sz w:val="24"/>
                        </w:rPr>
                      </w:pPr>
                    </w:p>
                  </w:txbxContent>
                </v:textbox>
                <w10:wrap anchorx="page"/>
              </v:shape>
            </w:pict>
          </mc:Fallback>
        </mc:AlternateContent>
      </w:r>
    </w:p>
    <w:tbl>
      <w:tblPr>
        <w:tblW w:w="10520" w:type="dxa"/>
        <w:tblInd w:w="602" w:type="dxa"/>
        <w:tblLook w:val="04A0" w:firstRow="1" w:lastRow="0" w:firstColumn="1" w:lastColumn="0" w:noHBand="0" w:noVBand="1"/>
      </w:tblPr>
      <w:tblGrid>
        <w:gridCol w:w="3740"/>
        <w:gridCol w:w="2380"/>
        <w:gridCol w:w="2280"/>
        <w:gridCol w:w="2120"/>
      </w:tblGrid>
      <w:tr w:rsidR="0054713E" w:rsidRPr="00C1496E" w:rsidTr="00E076B8">
        <w:trPr>
          <w:trHeight w:val="255"/>
        </w:trPr>
        <w:tc>
          <w:tcPr>
            <w:tcW w:w="3740" w:type="dxa"/>
            <w:tcBorders>
              <w:top w:val="single" w:sz="8" w:space="0" w:color="auto"/>
              <w:left w:val="single" w:sz="8" w:space="0" w:color="auto"/>
              <w:bottom w:val="nil"/>
              <w:right w:val="single" w:sz="8" w:space="0" w:color="auto"/>
            </w:tcBorders>
            <w:shd w:val="clear" w:color="auto" w:fill="auto"/>
            <w:noWrap/>
            <w:vAlign w:val="bottom"/>
            <w:hideMark/>
          </w:tcPr>
          <w:p w:rsidR="0054713E" w:rsidRPr="00C1496E" w:rsidRDefault="0054713E" w:rsidP="003C4364">
            <w:pPr>
              <w:rPr>
                <w:b/>
                <w:bCs/>
                <w:color w:val="000000"/>
                <w:sz w:val="20"/>
                <w:szCs w:val="20"/>
                <w:lang w:eastAsia="en-GB"/>
              </w:rPr>
            </w:pPr>
            <w:r w:rsidRPr="00C1496E">
              <w:rPr>
                <w:b/>
                <w:bCs/>
                <w:color w:val="000000"/>
                <w:sz w:val="20"/>
                <w:szCs w:val="20"/>
                <w:lang w:eastAsia="en-GB"/>
              </w:rPr>
              <w:t>Balance Sheet</w:t>
            </w:r>
          </w:p>
        </w:tc>
        <w:tc>
          <w:tcPr>
            <w:tcW w:w="2380" w:type="dxa"/>
            <w:tcBorders>
              <w:top w:val="single" w:sz="8" w:space="0" w:color="auto"/>
              <w:left w:val="nil"/>
              <w:bottom w:val="nil"/>
              <w:right w:val="nil"/>
            </w:tcBorders>
            <w:shd w:val="clear" w:color="auto" w:fill="auto"/>
            <w:noWrap/>
            <w:vAlign w:val="bottom"/>
            <w:hideMark/>
          </w:tcPr>
          <w:p w:rsidR="0054713E" w:rsidRPr="00C1496E" w:rsidRDefault="0054713E" w:rsidP="003C4364">
            <w:pPr>
              <w:jc w:val="center"/>
              <w:rPr>
                <w:b/>
                <w:bCs/>
                <w:color w:val="000000"/>
                <w:sz w:val="20"/>
                <w:szCs w:val="20"/>
                <w:lang w:eastAsia="en-GB"/>
              </w:rPr>
            </w:pPr>
            <w:r w:rsidRPr="00C1496E">
              <w:rPr>
                <w:b/>
                <w:bCs/>
                <w:color w:val="000000"/>
                <w:sz w:val="20"/>
                <w:szCs w:val="20"/>
                <w:lang w:eastAsia="en-GB"/>
              </w:rPr>
              <w:t xml:space="preserve">Opening Balance </w:t>
            </w:r>
          </w:p>
        </w:tc>
        <w:tc>
          <w:tcPr>
            <w:tcW w:w="2280" w:type="dxa"/>
            <w:tcBorders>
              <w:top w:val="single" w:sz="8" w:space="0" w:color="auto"/>
              <w:left w:val="single" w:sz="4" w:space="0" w:color="auto"/>
              <w:bottom w:val="nil"/>
              <w:right w:val="single" w:sz="4" w:space="0" w:color="auto"/>
            </w:tcBorders>
            <w:shd w:val="clear" w:color="auto" w:fill="auto"/>
            <w:noWrap/>
            <w:vAlign w:val="bottom"/>
            <w:hideMark/>
          </w:tcPr>
          <w:p w:rsidR="0054713E" w:rsidRPr="00C1496E" w:rsidRDefault="0054713E" w:rsidP="003C4364">
            <w:pPr>
              <w:jc w:val="center"/>
              <w:rPr>
                <w:b/>
                <w:bCs/>
                <w:color w:val="000000"/>
                <w:sz w:val="20"/>
                <w:szCs w:val="20"/>
                <w:lang w:eastAsia="en-GB"/>
              </w:rPr>
            </w:pPr>
            <w:r w:rsidRPr="00C1496E">
              <w:rPr>
                <w:b/>
                <w:bCs/>
                <w:color w:val="000000"/>
                <w:sz w:val="20"/>
                <w:szCs w:val="20"/>
                <w:lang w:eastAsia="en-GB"/>
              </w:rPr>
              <w:t>Closing Balance</w:t>
            </w:r>
          </w:p>
        </w:tc>
        <w:tc>
          <w:tcPr>
            <w:tcW w:w="2120" w:type="dxa"/>
            <w:tcBorders>
              <w:top w:val="single" w:sz="8" w:space="0" w:color="auto"/>
              <w:left w:val="nil"/>
              <w:bottom w:val="nil"/>
              <w:right w:val="single" w:sz="8" w:space="0" w:color="auto"/>
            </w:tcBorders>
            <w:shd w:val="clear" w:color="auto" w:fill="auto"/>
            <w:noWrap/>
            <w:vAlign w:val="bottom"/>
            <w:hideMark/>
          </w:tcPr>
          <w:p w:rsidR="0054713E" w:rsidRPr="00C1496E" w:rsidRDefault="0054713E" w:rsidP="003C4364">
            <w:pPr>
              <w:jc w:val="center"/>
              <w:rPr>
                <w:b/>
                <w:bCs/>
                <w:color w:val="000000"/>
                <w:sz w:val="20"/>
                <w:szCs w:val="20"/>
                <w:lang w:eastAsia="en-GB"/>
              </w:rPr>
            </w:pPr>
            <w:r w:rsidRPr="00C1496E">
              <w:rPr>
                <w:b/>
                <w:bCs/>
                <w:color w:val="000000"/>
                <w:sz w:val="20"/>
                <w:szCs w:val="20"/>
                <w:lang w:eastAsia="en-GB"/>
              </w:rPr>
              <w:t>Forecast Closing</w:t>
            </w:r>
          </w:p>
        </w:tc>
      </w:tr>
      <w:tr w:rsidR="0054713E" w:rsidRPr="00C1496E" w:rsidTr="00E076B8">
        <w:trPr>
          <w:trHeight w:val="255"/>
        </w:trPr>
        <w:tc>
          <w:tcPr>
            <w:tcW w:w="3740" w:type="dxa"/>
            <w:tcBorders>
              <w:top w:val="nil"/>
              <w:left w:val="single" w:sz="8" w:space="0" w:color="auto"/>
              <w:bottom w:val="nil"/>
              <w:right w:val="single" w:sz="8" w:space="0" w:color="auto"/>
            </w:tcBorders>
            <w:shd w:val="clear" w:color="auto" w:fill="auto"/>
            <w:noWrap/>
            <w:vAlign w:val="bottom"/>
            <w:hideMark/>
          </w:tcPr>
          <w:p w:rsidR="0054713E" w:rsidRPr="00C1496E" w:rsidRDefault="0054713E" w:rsidP="003C4364">
            <w:pPr>
              <w:rPr>
                <w:b/>
                <w:bCs/>
                <w:color w:val="000000"/>
                <w:sz w:val="20"/>
                <w:szCs w:val="20"/>
                <w:lang w:eastAsia="en-GB"/>
              </w:rPr>
            </w:pPr>
            <w:r w:rsidRPr="00C1496E">
              <w:rPr>
                <w:b/>
                <w:bCs/>
                <w:color w:val="000000"/>
                <w:sz w:val="20"/>
                <w:szCs w:val="20"/>
                <w:lang w:eastAsia="en-GB"/>
              </w:rPr>
              <w:t> </w:t>
            </w:r>
          </w:p>
        </w:tc>
        <w:tc>
          <w:tcPr>
            <w:tcW w:w="2380" w:type="dxa"/>
            <w:tcBorders>
              <w:top w:val="nil"/>
              <w:left w:val="nil"/>
              <w:bottom w:val="nil"/>
              <w:right w:val="nil"/>
            </w:tcBorders>
            <w:shd w:val="clear" w:color="auto" w:fill="auto"/>
            <w:noWrap/>
            <w:vAlign w:val="bottom"/>
            <w:hideMark/>
          </w:tcPr>
          <w:p w:rsidR="0054713E" w:rsidRPr="00C1496E" w:rsidRDefault="0054713E" w:rsidP="003C4364">
            <w:pPr>
              <w:jc w:val="center"/>
              <w:rPr>
                <w:b/>
                <w:bCs/>
                <w:color w:val="000000"/>
                <w:sz w:val="20"/>
                <w:szCs w:val="20"/>
                <w:lang w:eastAsia="en-GB"/>
              </w:rPr>
            </w:pPr>
            <w:r w:rsidRPr="00C1496E">
              <w:rPr>
                <w:b/>
                <w:bCs/>
                <w:color w:val="000000"/>
                <w:sz w:val="20"/>
                <w:szCs w:val="20"/>
                <w:lang w:eastAsia="en-GB"/>
              </w:rPr>
              <w:t>(01/04/2019)</w:t>
            </w:r>
          </w:p>
        </w:tc>
        <w:tc>
          <w:tcPr>
            <w:tcW w:w="2280" w:type="dxa"/>
            <w:tcBorders>
              <w:top w:val="nil"/>
              <w:left w:val="single" w:sz="4" w:space="0" w:color="auto"/>
              <w:bottom w:val="nil"/>
              <w:right w:val="single" w:sz="4" w:space="0" w:color="auto"/>
            </w:tcBorders>
            <w:shd w:val="clear" w:color="auto" w:fill="auto"/>
            <w:noWrap/>
            <w:vAlign w:val="bottom"/>
            <w:hideMark/>
          </w:tcPr>
          <w:p w:rsidR="0054713E" w:rsidRPr="00C1496E" w:rsidRDefault="00B9501A" w:rsidP="003C4364">
            <w:pPr>
              <w:jc w:val="center"/>
              <w:rPr>
                <w:b/>
                <w:bCs/>
                <w:color w:val="000000"/>
                <w:sz w:val="20"/>
                <w:szCs w:val="20"/>
                <w:lang w:eastAsia="en-GB"/>
              </w:rPr>
            </w:pPr>
            <w:r>
              <w:rPr>
                <w:b/>
                <w:bCs/>
                <w:color w:val="000000"/>
                <w:sz w:val="20"/>
                <w:szCs w:val="20"/>
                <w:lang w:eastAsia="en-GB"/>
              </w:rPr>
              <w:t>as at M1</w:t>
            </w:r>
            <w:r w:rsidR="00177ED3">
              <w:rPr>
                <w:b/>
                <w:bCs/>
                <w:color w:val="000000"/>
                <w:sz w:val="20"/>
                <w:szCs w:val="20"/>
                <w:lang w:eastAsia="en-GB"/>
              </w:rPr>
              <w:t>1</w:t>
            </w:r>
          </w:p>
        </w:tc>
        <w:tc>
          <w:tcPr>
            <w:tcW w:w="2120" w:type="dxa"/>
            <w:tcBorders>
              <w:top w:val="nil"/>
              <w:left w:val="nil"/>
              <w:bottom w:val="nil"/>
              <w:right w:val="single" w:sz="8" w:space="0" w:color="auto"/>
            </w:tcBorders>
            <w:shd w:val="clear" w:color="auto" w:fill="auto"/>
            <w:noWrap/>
            <w:vAlign w:val="bottom"/>
            <w:hideMark/>
          </w:tcPr>
          <w:p w:rsidR="0054713E" w:rsidRPr="00C1496E" w:rsidRDefault="0054713E" w:rsidP="003C4364">
            <w:pPr>
              <w:jc w:val="center"/>
              <w:rPr>
                <w:b/>
                <w:bCs/>
                <w:color w:val="000000"/>
                <w:sz w:val="20"/>
                <w:szCs w:val="20"/>
                <w:lang w:eastAsia="en-GB"/>
              </w:rPr>
            </w:pPr>
            <w:r w:rsidRPr="00C1496E">
              <w:rPr>
                <w:b/>
                <w:bCs/>
                <w:color w:val="000000"/>
                <w:sz w:val="20"/>
                <w:szCs w:val="20"/>
                <w:lang w:eastAsia="en-GB"/>
              </w:rPr>
              <w:t>Balance M12</w:t>
            </w:r>
          </w:p>
        </w:tc>
      </w:tr>
      <w:tr w:rsidR="0054713E" w:rsidRPr="00C1496E" w:rsidTr="00E076B8">
        <w:trPr>
          <w:trHeight w:val="270"/>
        </w:trPr>
        <w:tc>
          <w:tcPr>
            <w:tcW w:w="3740" w:type="dxa"/>
            <w:tcBorders>
              <w:top w:val="nil"/>
              <w:left w:val="single" w:sz="8" w:space="0" w:color="auto"/>
              <w:bottom w:val="single" w:sz="8" w:space="0" w:color="auto"/>
              <w:right w:val="single" w:sz="8" w:space="0" w:color="auto"/>
            </w:tcBorders>
            <w:shd w:val="clear" w:color="auto" w:fill="auto"/>
            <w:noWrap/>
            <w:vAlign w:val="bottom"/>
            <w:hideMark/>
          </w:tcPr>
          <w:p w:rsidR="0054713E" w:rsidRPr="00C1496E" w:rsidRDefault="0054713E" w:rsidP="003C4364">
            <w:pPr>
              <w:rPr>
                <w:color w:val="000000"/>
                <w:sz w:val="20"/>
                <w:szCs w:val="20"/>
                <w:lang w:eastAsia="en-GB"/>
              </w:rPr>
            </w:pPr>
            <w:r w:rsidRPr="00C1496E">
              <w:rPr>
                <w:color w:val="000000"/>
                <w:sz w:val="20"/>
                <w:szCs w:val="20"/>
                <w:lang w:eastAsia="en-GB"/>
              </w:rPr>
              <w:t> </w:t>
            </w:r>
          </w:p>
        </w:tc>
        <w:tc>
          <w:tcPr>
            <w:tcW w:w="2380" w:type="dxa"/>
            <w:tcBorders>
              <w:top w:val="nil"/>
              <w:left w:val="nil"/>
              <w:bottom w:val="single" w:sz="8" w:space="0" w:color="auto"/>
              <w:right w:val="nil"/>
            </w:tcBorders>
            <w:shd w:val="clear" w:color="auto" w:fill="auto"/>
            <w:vAlign w:val="center"/>
            <w:hideMark/>
          </w:tcPr>
          <w:p w:rsidR="0054713E" w:rsidRPr="00C1496E" w:rsidRDefault="0054713E" w:rsidP="003C4364">
            <w:pPr>
              <w:jc w:val="center"/>
              <w:rPr>
                <w:b/>
                <w:bCs/>
                <w:color w:val="000000"/>
                <w:sz w:val="20"/>
                <w:szCs w:val="20"/>
                <w:lang w:eastAsia="en-GB"/>
              </w:rPr>
            </w:pPr>
            <w:r w:rsidRPr="00C1496E">
              <w:rPr>
                <w:b/>
                <w:bCs/>
                <w:color w:val="000000"/>
                <w:sz w:val="20"/>
                <w:szCs w:val="20"/>
                <w:lang w:eastAsia="en-GB"/>
              </w:rPr>
              <w:t>£’000</w:t>
            </w:r>
          </w:p>
        </w:tc>
        <w:tc>
          <w:tcPr>
            <w:tcW w:w="2280" w:type="dxa"/>
            <w:tcBorders>
              <w:top w:val="nil"/>
              <w:left w:val="single" w:sz="4" w:space="0" w:color="auto"/>
              <w:bottom w:val="single" w:sz="8" w:space="0" w:color="auto"/>
              <w:right w:val="single" w:sz="4" w:space="0" w:color="auto"/>
            </w:tcBorders>
            <w:shd w:val="clear" w:color="auto" w:fill="auto"/>
            <w:vAlign w:val="center"/>
            <w:hideMark/>
          </w:tcPr>
          <w:p w:rsidR="0054713E" w:rsidRPr="00C1496E" w:rsidRDefault="0054713E" w:rsidP="003C4364">
            <w:pPr>
              <w:jc w:val="center"/>
              <w:rPr>
                <w:b/>
                <w:bCs/>
                <w:color w:val="000000"/>
                <w:sz w:val="20"/>
                <w:szCs w:val="20"/>
                <w:lang w:eastAsia="en-GB"/>
              </w:rPr>
            </w:pPr>
            <w:r w:rsidRPr="00C1496E">
              <w:rPr>
                <w:b/>
                <w:bCs/>
                <w:color w:val="000000"/>
                <w:sz w:val="20"/>
                <w:szCs w:val="20"/>
                <w:lang w:eastAsia="en-GB"/>
              </w:rPr>
              <w:t>£’000</w:t>
            </w:r>
          </w:p>
        </w:tc>
        <w:tc>
          <w:tcPr>
            <w:tcW w:w="2120" w:type="dxa"/>
            <w:tcBorders>
              <w:top w:val="nil"/>
              <w:left w:val="nil"/>
              <w:bottom w:val="single" w:sz="8" w:space="0" w:color="auto"/>
              <w:right w:val="single" w:sz="8" w:space="0" w:color="auto"/>
            </w:tcBorders>
            <w:shd w:val="clear" w:color="auto" w:fill="auto"/>
            <w:vAlign w:val="center"/>
            <w:hideMark/>
          </w:tcPr>
          <w:p w:rsidR="0054713E" w:rsidRPr="00C1496E" w:rsidRDefault="0054713E" w:rsidP="003C4364">
            <w:pPr>
              <w:jc w:val="center"/>
              <w:rPr>
                <w:b/>
                <w:bCs/>
                <w:color w:val="000000"/>
                <w:sz w:val="20"/>
                <w:szCs w:val="20"/>
                <w:lang w:eastAsia="en-GB"/>
              </w:rPr>
            </w:pPr>
            <w:r w:rsidRPr="00C1496E">
              <w:rPr>
                <w:b/>
                <w:bCs/>
                <w:color w:val="000000"/>
                <w:sz w:val="20"/>
                <w:szCs w:val="20"/>
                <w:lang w:eastAsia="en-GB"/>
              </w:rPr>
              <w:t>£’000</w:t>
            </w:r>
          </w:p>
        </w:tc>
      </w:tr>
      <w:tr w:rsidR="0054713E" w:rsidRPr="00C1496E" w:rsidTr="00E076B8">
        <w:trPr>
          <w:trHeight w:val="255"/>
        </w:trPr>
        <w:tc>
          <w:tcPr>
            <w:tcW w:w="3740" w:type="dxa"/>
            <w:tcBorders>
              <w:top w:val="nil"/>
              <w:left w:val="single" w:sz="8" w:space="0" w:color="auto"/>
              <w:bottom w:val="nil"/>
              <w:right w:val="nil"/>
            </w:tcBorders>
            <w:shd w:val="clear" w:color="auto" w:fill="auto"/>
            <w:noWrap/>
            <w:vAlign w:val="bottom"/>
            <w:hideMark/>
          </w:tcPr>
          <w:p w:rsidR="0054713E" w:rsidRPr="00C1496E" w:rsidRDefault="0054713E" w:rsidP="003C4364">
            <w:pPr>
              <w:rPr>
                <w:b/>
                <w:bCs/>
                <w:color w:val="000000"/>
                <w:sz w:val="20"/>
                <w:szCs w:val="20"/>
                <w:lang w:eastAsia="en-GB"/>
              </w:rPr>
            </w:pPr>
            <w:r w:rsidRPr="00C1496E">
              <w:rPr>
                <w:b/>
                <w:bCs/>
                <w:color w:val="000000"/>
                <w:sz w:val="20"/>
                <w:szCs w:val="20"/>
                <w:lang w:eastAsia="en-GB"/>
              </w:rPr>
              <w:t>Non Current Assets</w:t>
            </w:r>
          </w:p>
        </w:tc>
        <w:tc>
          <w:tcPr>
            <w:tcW w:w="2380" w:type="dxa"/>
            <w:tcBorders>
              <w:top w:val="nil"/>
              <w:left w:val="single" w:sz="8" w:space="0" w:color="auto"/>
              <w:bottom w:val="nil"/>
              <w:right w:val="nil"/>
            </w:tcBorders>
            <w:shd w:val="clear" w:color="auto" w:fill="auto"/>
            <w:noWrap/>
            <w:vAlign w:val="bottom"/>
            <w:hideMark/>
          </w:tcPr>
          <w:p w:rsidR="0054713E" w:rsidRPr="00C1496E" w:rsidRDefault="0054713E" w:rsidP="003C4364">
            <w:pPr>
              <w:rPr>
                <w:color w:val="000000"/>
                <w:sz w:val="20"/>
                <w:szCs w:val="20"/>
                <w:lang w:eastAsia="en-GB"/>
              </w:rPr>
            </w:pPr>
            <w:r w:rsidRPr="00C1496E">
              <w:rPr>
                <w:color w:val="000000"/>
                <w:sz w:val="20"/>
                <w:szCs w:val="20"/>
                <w:lang w:eastAsia="en-GB"/>
              </w:rPr>
              <w:t> </w:t>
            </w:r>
          </w:p>
        </w:tc>
        <w:tc>
          <w:tcPr>
            <w:tcW w:w="2280" w:type="dxa"/>
            <w:tcBorders>
              <w:top w:val="nil"/>
              <w:left w:val="single" w:sz="4" w:space="0" w:color="auto"/>
              <w:bottom w:val="nil"/>
              <w:right w:val="single" w:sz="4" w:space="0" w:color="auto"/>
            </w:tcBorders>
            <w:shd w:val="clear" w:color="auto" w:fill="auto"/>
            <w:noWrap/>
            <w:vAlign w:val="bottom"/>
            <w:hideMark/>
          </w:tcPr>
          <w:p w:rsidR="0054713E" w:rsidRPr="00C1496E" w:rsidRDefault="0054713E" w:rsidP="003C4364">
            <w:pPr>
              <w:rPr>
                <w:color w:val="000000"/>
                <w:sz w:val="20"/>
                <w:szCs w:val="20"/>
                <w:lang w:eastAsia="en-GB"/>
              </w:rPr>
            </w:pPr>
            <w:r w:rsidRPr="00C1496E">
              <w:rPr>
                <w:color w:val="000000"/>
                <w:sz w:val="20"/>
                <w:szCs w:val="20"/>
                <w:lang w:eastAsia="en-GB"/>
              </w:rPr>
              <w:t> </w:t>
            </w:r>
          </w:p>
        </w:tc>
        <w:tc>
          <w:tcPr>
            <w:tcW w:w="2120" w:type="dxa"/>
            <w:tcBorders>
              <w:top w:val="nil"/>
              <w:left w:val="nil"/>
              <w:bottom w:val="nil"/>
              <w:right w:val="single" w:sz="8" w:space="0" w:color="auto"/>
            </w:tcBorders>
            <w:shd w:val="clear" w:color="auto" w:fill="auto"/>
            <w:noWrap/>
            <w:vAlign w:val="bottom"/>
            <w:hideMark/>
          </w:tcPr>
          <w:p w:rsidR="0054713E" w:rsidRPr="00C1496E" w:rsidRDefault="0054713E" w:rsidP="003C4364">
            <w:pPr>
              <w:rPr>
                <w:color w:val="000000"/>
                <w:sz w:val="20"/>
                <w:szCs w:val="20"/>
                <w:lang w:eastAsia="en-GB"/>
              </w:rPr>
            </w:pPr>
            <w:r w:rsidRPr="00C1496E">
              <w:rPr>
                <w:color w:val="000000"/>
                <w:sz w:val="20"/>
                <w:szCs w:val="20"/>
                <w:lang w:eastAsia="en-GB"/>
              </w:rPr>
              <w:t> </w:t>
            </w:r>
          </w:p>
        </w:tc>
      </w:tr>
      <w:tr w:rsidR="00177ED3" w:rsidRPr="00C1496E" w:rsidTr="00E076B8">
        <w:trPr>
          <w:trHeight w:val="255"/>
        </w:trPr>
        <w:tc>
          <w:tcPr>
            <w:tcW w:w="3740" w:type="dxa"/>
            <w:tcBorders>
              <w:top w:val="nil"/>
              <w:left w:val="single" w:sz="8" w:space="0" w:color="auto"/>
              <w:bottom w:val="nil"/>
              <w:right w:val="nil"/>
            </w:tcBorders>
            <w:shd w:val="clear" w:color="auto" w:fill="auto"/>
            <w:noWrap/>
            <w:vAlign w:val="bottom"/>
            <w:hideMark/>
          </w:tcPr>
          <w:p w:rsidR="00177ED3" w:rsidRPr="00C1496E" w:rsidRDefault="00177ED3" w:rsidP="00177ED3">
            <w:pPr>
              <w:rPr>
                <w:color w:val="000000"/>
                <w:sz w:val="20"/>
                <w:szCs w:val="20"/>
                <w:lang w:eastAsia="en-GB"/>
              </w:rPr>
            </w:pPr>
            <w:r w:rsidRPr="00C1496E">
              <w:rPr>
                <w:color w:val="000000"/>
                <w:sz w:val="20"/>
                <w:szCs w:val="20"/>
                <w:lang w:eastAsia="en-GB"/>
              </w:rPr>
              <w:t>Property, Plant &amp; Equipment</w:t>
            </w:r>
          </w:p>
        </w:tc>
        <w:tc>
          <w:tcPr>
            <w:tcW w:w="2380" w:type="dxa"/>
            <w:tcBorders>
              <w:top w:val="nil"/>
              <w:left w:val="single" w:sz="8" w:space="0" w:color="auto"/>
              <w:bottom w:val="nil"/>
              <w:right w:val="nil"/>
            </w:tcBorders>
            <w:shd w:val="clear" w:color="auto" w:fill="auto"/>
            <w:noWrap/>
            <w:vAlign w:val="bottom"/>
            <w:hideMark/>
          </w:tcPr>
          <w:p w:rsidR="00177ED3" w:rsidRDefault="00177ED3" w:rsidP="00177ED3">
            <w:pPr>
              <w:jc w:val="right"/>
              <w:rPr>
                <w:color w:val="000000"/>
                <w:sz w:val="20"/>
                <w:szCs w:val="20"/>
                <w:lang w:eastAsia="en-GB"/>
              </w:rPr>
            </w:pPr>
            <w:r>
              <w:rPr>
                <w:color w:val="000000"/>
                <w:sz w:val="20"/>
                <w:szCs w:val="20"/>
              </w:rPr>
              <w:t>363,772</w:t>
            </w:r>
          </w:p>
        </w:tc>
        <w:tc>
          <w:tcPr>
            <w:tcW w:w="2280" w:type="dxa"/>
            <w:tcBorders>
              <w:top w:val="nil"/>
              <w:left w:val="single" w:sz="4" w:space="0" w:color="auto"/>
              <w:bottom w:val="nil"/>
              <w:right w:val="single" w:sz="4" w:space="0" w:color="auto"/>
            </w:tcBorders>
            <w:shd w:val="clear" w:color="auto" w:fill="auto"/>
            <w:noWrap/>
            <w:vAlign w:val="bottom"/>
            <w:hideMark/>
          </w:tcPr>
          <w:p w:rsidR="00177ED3" w:rsidRDefault="00177ED3" w:rsidP="00177ED3">
            <w:pPr>
              <w:jc w:val="right"/>
              <w:rPr>
                <w:color w:val="000000"/>
                <w:sz w:val="20"/>
                <w:szCs w:val="20"/>
              </w:rPr>
            </w:pPr>
            <w:r>
              <w:rPr>
                <w:color w:val="000000"/>
                <w:sz w:val="20"/>
                <w:szCs w:val="20"/>
              </w:rPr>
              <w:t>527,825</w:t>
            </w:r>
          </w:p>
        </w:tc>
        <w:tc>
          <w:tcPr>
            <w:tcW w:w="2120" w:type="dxa"/>
            <w:tcBorders>
              <w:top w:val="nil"/>
              <w:left w:val="single" w:sz="8" w:space="0" w:color="auto"/>
              <w:bottom w:val="nil"/>
              <w:right w:val="single" w:sz="8" w:space="0" w:color="auto"/>
            </w:tcBorders>
            <w:shd w:val="clear" w:color="auto" w:fill="auto"/>
            <w:noWrap/>
            <w:vAlign w:val="bottom"/>
            <w:hideMark/>
          </w:tcPr>
          <w:p w:rsidR="00177ED3" w:rsidRDefault="00177ED3" w:rsidP="00177ED3">
            <w:pPr>
              <w:jc w:val="right"/>
              <w:rPr>
                <w:color w:val="000000"/>
                <w:sz w:val="20"/>
                <w:szCs w:val="20"/>
              </w:rPr>
            </w:pPr>
            <w:r>
              <w:rPr>
                <w:color w:val="000000"/>
                <w:sz w:val="20"/>
                <w:szCs w:val="20"/>
              </w:rPr>
              <w:t>514,113</w:t>
            </w:r>
          </w:p>
        </w:tc>
      </w:tr>
      <w:tr w:rsidR="00177ED3" w:rsidRPr="00C1496E" w:rsidTr="00E076B8">
        <w:trPr>
          <w:trHeight w:val="255"/>
        </w:trPr>
        <w:tc>
          <w:tcPr>
            <w:tcW w:w="3740" w:type="dxa"/>
            <w:tcBorders>
              <w:top w:val="nil"/>
              <w:left w:val="single" w:sz="8" w:space="0" w:color="auto"/>
              <w:bottom w:val="nil"/>
              <w:right w:val="nil"/>
            </w:tcBorders>
            <w:shd w:val="clear" w:color="auto" w:fill="auto"/>
            <w:noWrap/>
            <w:vAlign w:val="bottom"/>
            <w:hideMark/>
          </w:tcPr>
          <w:p w:rsidR="00177ED3" w:rsidRPr="00C1496E" w:rsidRDefault="00177ED3" w:rsidP="00177ED3">
            <w:pPr>
              <w:rPr>
                <w:color w:val="000000"/>
                <w:sz w:val="20"/>
                <w:szCs w:val="20"/>
                <w:lang w:eastAsia="en-GB"/>
              </w:rPr>
            </w:pPr>
            <w:r w:rsidRPr="00C1496E">
              <w:rPr>
                <w:color w:val="000000"/>
                <w:sz w:val="20"/>
                <w:szCs w:val="20"/>
                <w:lang w:eastAsia="en-GB"/>
              </w:rPr>
              <w:t>Intangible Assets</w:t>
            </w:r>
          </w:p>
        </w:tc>
        <w:tc>
          <w:tcPr>
            <w:tcW w:w="2380" w:type="dxa"/>
            <w:tcBorders>
              <w:top w:val="nil"/>
              <w:left w:val="single" w:sz="8" w:space="0" w:color="auto"/>
              <w:bottom w:val="nil"/>
              <w:right w:val="nil"/>
            </w:tcBorders>
            <w:shd w:val="clear" w:color="auto" w:fill="auto"/>
            <w:noWrap/>
            <w:vAlign w:val="bottom"/>
            <w:hideMark/>
          </w:tcPr>
          <w:p w:rsidR="00177ED3" w:rsidRDefault="00177ED3" w:rsidP="00177ED3">
            <w:pPr>
              <w:jc w:val="right"/>
              <w:rPr>
                <w:color w:val="000000"/>
                <w:sz w:val="20"/>
                <w:szCs w:val="20"/>
              </w:rPr>
            </w:pPr>
            <w:r>
              <w:rPr>
                <w:color w:val="000000"/>
                <w:sz w:val="20"/>
                <w:szCs w:val="20"/>
              </w:rPr>
              <w:t>913</w:t>
            </w:r>
          </w:p>
        </w:tc>
        <w:tc>
          <w:tcPr>
            <w:tcW w:w="2280" w:type="dxa"/>
            <w:tcBorders>
              <w:top w:val="nil"/>
              <w:left w:val="single" w:sz="4" w:space="0" w:color="auto"/>
              <w:bottom w:val="nil"/>
              <w:right w:val="single" w:sz="4" w:space="0" w:color="auto"/>
            </w:tcBorders>
            <w:shd w:val="clear" w:color="auto" w:fill="auto"/>
            <w:noWrap/>
            <w:vAlign w:val="bottom"/>
            <w:hideMark/>
          </w:tcPr>
          <w:p w:rsidR="00177ED3" w:rsidRDefault="00177ED3" w:rsidP="00177ED3">
            <w:pPr>
              <w:jc w:val="right"/>
              <w:rPr>
                <w:color w:val="000000"/>
                <w:sz w:val="20"/>
                <w:szCs w:val="20"/>
              </w:rPr>
            </w:pPr>
            <w:r>
              <w:rPr>
                <w:color w:val="000000"/>
                <w:sz w:val="20"/>
                <w:szCs w:val="20"/>
              </w:rPr>
              <w:t>913</w:t>
            </w:r>
          </w:p>
        </w:tc>
        <w:tc>
          <w:tcPr>
            <w:tcW w:w="2120" w:type="dxa"/>
            <w:tcBorders>
              <w:top w:val="nil"/>
              <w:left w:val="single" w:sz="8" w:space="0" w:color="auto"/>
              <w:bottom w:val="nil"/>
              <w:right w:val="single" w:sz="8" w:space="0" w:color="auto"/>
            </w:tcBorders>
            <w:shd w:val="clear" w:color="auto" w:fill="auto"/>
            <w:noWrap/>
            <w:vAlign w:val="bottom"/>
            <w:hideMark/>
          </w:tcPr>
          <w:p w:rsidR="00177ED3" w:rsidRDefault="00177ED3" w:rsidP="00177ED3">
            <w:pPr>
              <w:jc w:val="right"/>
              <w:rPr>
                <w:color w:val="000000"/>
                <w:sz w:val="20"/>
                <w:szCs w:val="20"/>
              </w:rPr>
            </w:pPr>
            <w:r>
              <w:rPr>
                <w:color w:val="000000"/>
                <w:sz w:val="20"/>
                <w:szCs w:val="20"/>
              </w:rPr>
              <w:t>913</w:t>
            </w:r>
          </w:p>
        </w:tc>
      </w:tr>
      <w:tr w:rsidR="00177ED3" w:rsidRPr="00C1496E" w:rsidTr="00E076B8">
        <w:trPr>
          <w:trHeight w:val="270"/>
        </w:trPr>
        <w:tc>
          <w:tcPr>
            <w:tcW w:w="3740" w:type="dxa"/>
            <w:tcBorders>
              <w:top w:val="nil"/>
              <w:left w:val="single" w:sz="8" w:space="0" w:color="auto"/>
              <w:bottom w:val="nil"/>
              <w:right w:val="nil"/>
            </w:tcBorders>
            <w:shd w:val="clear" w:color="auto" w:fill="auto"/>
            <w:noWrap/>
            <w:vAlign w:val="bottom"/>
            <w:hideMark/>
          </w:tcPr>
          <w:p w:rsidR="00177ED3" w:rsidRPr="00C1496E" w:rsidRDefault="00177ED3" w:rsidP="00177ED3">
            <w:pPr>
              <w:rPr>
                <w:color w:val="000000"/>
                <w:sz w:val="20"/>
                <w:szCs w:val="20"/>
                <w:lang w:eastAsia="en-GB"/>
              </w:rPr>
            </w:pPr>
            <w:r w:rsidRPr="00C1496E">
              <w:rPr>
                <w:color w:val="000000"/>
                <w:sz w:val="20"/>
                <w:szCs w:val="20"/>
                <w:lang w:eastAsia="en-GB"/>
              </w:rPr>
              <w:t>Trade and Other Receivables</w:t>
            </w:r>
          </w:p>
        </w:tc>
        <w:tc>
          <w:tcPr>
            <w:tcW w:w="2380" w:type="dxa"/>
            <w:tcBorders>
              <w:top w:val="nil"/>
              <w:left w:val="single" w:sz="8" w:space="0" w:color="auto"/>
              <w:bottom w:val="nil"/>
              <w:right w:val="nil"/>
            </w:tcBorders>
            <w:shd w:val="clear" w:color="auto" w:fill="auto"/>
            <w:noWrap/>
            <w:vAlign w:val="bottom"/>
            <w:hideMark/>
          </w:tcPr>
          <w:p w:rsidR="00177ED3" w:rsidRDefault="00177ED3" w:rsidP="00177ED3">
            <w:pPr>
              <w:jc w:val="right"/>
              <w:rPr>
                <w:color w:val="000000"/>
                <w:sz w:val="20"/>
                <w:szCs w:val="20"/>
              </w:rPr>
            </w:pPr>
            <w:r>
              <w:rPr>
                <w:color w:val="000000"/>
                <w:sz w:val="20"/>
                <w:szCs w:val="20"/>
              </w:rPr>
              <w:t>38,734</w:t>
            </w:r>
          </w:p>
        </w:tc>
        <w:tc>
          <w:tcPr>
            <w:tcW w:w="2280" w:type="dxa"/>
            <w:tcBorders>
              <w:top w:val="nil"/>
              <w:left w:val="single" w:sz="4" w:space="0" w:color="auto"/>
              <w:bottom w:val="nil"/>
              <w:right w:val="single" w:sz="4" w:space="0" w:color="auto"/>
            </w:tcBorders>
            <w:shd w:val="clear" w:color="auto" w:fill="auto"/>
            <w:noWrap/>
            <w:vAlign w:val="bottom"/>
            <w:hideMark/>
          </w:tcPr>
          <w:p w:rsidR="00177ED3" w:rsidRDefault="00177ED3" w:rsidP="00177ED3">
            <w:pPr>
              <w:jc w:val="right"/>
              <w:rPr>
                <w:color w:val="000000"/>
                <w:sz w:val="20"/>
                <w:szCs w:val="20"/>
              </w:rPr>
            </w:pPr>
            <w:r>
              <w:rPr>
                <w:color w:val="000000"/>
                <w:sz w:val="20"/>
                <w:szCs w:val="20"/>
              </w:rPr>
              <w:t>38,734</w:t>
            </w:r>
          </w:p>
        </w:tc>
        <w:tc>
          <w:tcPr>
            <w:tcW w:w="2120" w:type="dxa"/>
            <w:tcBorders>
              <w:top w:val="nil"/>
              <w:left w:val="single" w:sz="8" w:space="0" w:color="auto"/>
              <w:bottom w:val="nil"/>
              <w:right w:val="single" w:sz="8" w:space="0" w:color="auto"/>
            </w:tcBorders>
            <w:shd w:val="clear" w:color="auto" w:fill="auto"/>
            <w:noWrap/>
            <w:vAlign w:val="bottom"/>
            <w:hideMark/>
          </w:tcPr>
          <w:p w:rsidR="00177ED3" w:rsidRDefault="00177ED3" w:rsidP="00177ED3">
            <w:pPr>
              <w:jc w:val="right"/>
              <w:rPr>
                <w:color w:val="000000"/>
                <w:sz w:val="20"/>
                <w:szCs w:val="20"/>
              </w:rPr>
            </w:pPr>
            <w:r>
              <w:rPr>
                <w:color w:val="000000"/>
                <w:sz w:val="20"/>
                <w:szCs w:val="20"/>
              </w:rPr>
              <w:t>38,734</w:t>
            </w:r>
          </w:p>
        </w:tc>
      </w:tr>
      <w:tr w:rsidR="00177ED3" w:rsidRPr="00C1496E" w:rsidTr="00E076B8">
        <w:trPr>
          <w:trHeight w:val="270"/>
        </w:trPr>
        <w:tc>
          <w:tcPr>
            <w:tcW w:w="3740" w:type="dxa"/>
            <w:tcBorders>
              <w:top w:val="single" w:sz="8" w:space="0" w:color="auto"/>
              <w:left w:val="single" w:sz="8" w:space="0" w:color="auto"/>
              <w:bottom w:val="single" w:sz="8" w:space="0" w:color="auto"/>
              <w:right w:val="nil"/>
            </w:tcBorders>
            <w:shd w:val="clear" w:color="000000" w:fill="D9D9D9"/>
            <w:noWrap/>
            <w:vAlign w:val="bottom"/>
            <w:hideMark/>
          </w:tcPr>
          <w:p w:rsidR="00177ED3" w:rsidRPr="00C1496E" w:rsidRDefault="00177ED3" w:rsidP="00177ED3">
            <w:pPr>
              <w:rPr>
                <w:b/>
                <w:bCs/>
                <w:color w:val="000000"/>
                <w:sz w:val="20"/>
                <w:szCs w:val="20"/>
                <w:lang w:eastAsia="en-GB"/>
              </w:rPr>
            </w:pPr>
            <w:r w:rsidRPr="00C1496E">
              <w:rPr>
                <w:b/>
                <w:bCs/>
                <w:color w:val="000000"/>
                <w:sz w:val="20"/>
                <w:szCs w:val="20"/>
                <w:lang w:eastAsia="en-GB"/>
              </w:rPr>
              <w:t>Total Non-Current Assets</w:t>
            </w:r>
          </w:p>
        </w:tc>
        <w:tc>
          <w:tcPr>
            <w:tcW w:w="2380" w:type="dxa"/>
            <w:tcBorders>
              <w:top w:val="single" w:sz="8" w:space="0" w:color="auto"/>
              <w:left w:val="single" w:sz="8" w:space="0" w:color="auto"/>
              <w:bottom w:val="single" w:sz="8" w:space="0" w:color="auto"/>
              <w:right w:val="nil"/>
            </w:tcBorders>
            <w:shd w:val="clear" w:color="000000" w:fill="D9D9D9"/>
            <w:noWrap/>
            <w:vAlign w:val="bottom"/>
            <w:hideMark/>
          </w:tcPr>
          <w:p w:rsidR="00177ED3" w:rsidRDefault="00177ED3" w:rsidP="00177ED3">
            <w:pPr>
              <w:jc w:val="right"/>
              <w:rPr>
                <w:b/>
                <w:bCs/>
                <w:color w:val="000000"/>
                <w:sz w:val="20"/>
                <w:szCs w:val="20"/>
              </w:rPr>
            </w:pPr>
            <w:r>
              <w:rPr>
                <w:b/>
                <w:bCs/>
                <w:color w:val="000000"/>
                <w:sz w:val="20"/>
                <w:szCs w:val="20"/>
              </w:rPr>
              <w:t>403,419</w:t>
            </w:r>
          </w:p>
        </w:tc>
        <w:tc>
          <w:tcPr>
            <w:tcW w:w="2280" w:type="dxa"/>
            <w:tcBorders>
              <w:top w:val="single" w:sz="8" w:space="0" w:color="auto"/>
              <w:left w:val="single" w:sz="4" w:space="0" w:color="auto"/>
              <w:bottom w:val="single" w:sz="8" w:space="0" w:color="auto"/>
              <w:right w:val="single" w:sz="4" w:space="0" w:color="auto"/>
            </w:tcBorders>
            <w:shd w:val="clear" w:color="000000" w:fill="D9D9D9"/>
            <w:noWrap/>
            <w:vAlign w:val="bottom"/>
            <w:hideMark/>
          </w:tcPr>
          <w:p w:rsidR="00177ED3" w:rsidRDefault="00177ED3" w:rsidP="00177ED3">
            <w:pPr>
              <w:jc w:val="right"/>
              <w:rPr>
                <w:b/>
                <w:bCs/>
                <w:color w:val="000000"/>
                <w:sz w:val="20"/>
                <w:szCs w:val="20"/>
              </w:rPr>
            </w:pPr>
            <w:r>
              <w:rPr>
                <w:b/>
                <w:bCs/>
                <w:color w:val="000000"/>
                <w:sz w:val="20"/>
                <w:szCs w:val="20"/>
              </w:rPr>
              <w:t>567,472</w:t>
            </w:r>
          </w:p>
        </w:tc>
        <w:tc>
          <w:tcPr>
            <w:tcW w:w="2120" w:type="dxa"/>
            <w:tcBorders>
              <w:top w:val="single" w:sz="8" w:space="0" w:color="auto"/>
              <w:left w:val="nil"/>
              <w:bottom w:val="single" w:sz="8" w:space="0" w:color="auto"/>
              <w:right w:val="single" w:sz="8" w:space="0" w:color="auto"/>
            </w:tcBorders>
            <w:shd w:val="clear" w:color="000000" w:fill="D9D9D9"/>
            <w:noWrap/>
            <w:vAlign w:val="bottom"/>
            <w:hideMark/>
          </w:tcPr>
          <w:p w:rsidR="00177ED3" w:rsidRDefault="00177ED3" w:rsidP="00177ED3">
            <w:pPr>
              <w:jc w:val="right"/>
              <w:rPr>
                <w:b/>
                <w:bCs/>
                <w:color w:val="000000"/>
                <w:sz w:val="20"/>
                <w:szCs w:val="20"/>
              </w:rPr>
            </w:pPr>
            <w:r>
              <w:rPr>
                <w:b/>
                <w:bCs/>
                <w:color w:val="000000"/>
                <w:sz w:val="20"/>
                <w:szCs w:val="20"/>
              </w:rPr>
              <w:t>553,760</w:t>
            </w:r>
          </w:p>
        </w:tc>
      </w:tr>
      <w:tr w:rsidR="00177ED3" w:rsidRPr="00C1496E" w:rsidTr="00E076B8">
        <w:trPr>
          <w:trHeight w:val="255"/>
        </w:trPr>
        <w:tc>
          <w:tcPr>
            <w:tcW w:w="3740" w:type="dxa"/>
            <w:tcBorders>
              <w:top w:val="nil"/>
              <w:left w:val="single" w:sz="8" w:space="0" w:color="auto"/>
              <w:bottom w:val="nil"/>
              <w:right w:val="nil"/>
            </w:tcBorders>
            <w:shd w:val="clear" w:color="auto" w:fill="auto"/>
            <w:noWrap/>
            <w:vAlign w:val="bottom"/>
            <w:hideMark/>
          </w:tcPr>
          <w:p w:rsidR="00177ED3" w:rsidRPr="00C1496E" w:rsidRDefault="00177ED3" w:rsidP="00177ED3">
            <w:pPr>
              <w:rPr>
                <w:b/>
                <w:bCs/>
                <w:color w:val="000000"/>
                <w:sz w:val="20"/>
                <w:szCs w:val="20"/>
                <w:lang w:eastAsia="en-GB"/>
              </w:rPr>
            </w:pPr>
            <w:r w:rsidRPr="00C1496E">
              <w:rPr>
                <w:b/>
                <w:bCs/>
                <w:color w:val="000000"/>
                <w:sz w:val="20"/>
                <w:szCs w:val="20"/>
                <w:lang w:eastAsia="en-GB"/>
              </w:rPr>
              <w:t>Current Assets</w:t>
            </w:r>
          </w:p>
        </w:tc>
        <w:tc>
          <w:tcPr>
            <w:tcW w:w="2380" w:type="dxa"/>
            <w:tcBorders>
              <w:top w:val="nil"/>
              <w:left w:val="single" w:sz="8" w:space="0" w:color="auto"/>
              <w:bottom w:val="nil"/>
              <w:right w:val="nil"/>
            </w:tcBorders>
            <w:shd w:val="clear" w:color="auto" w:fill="auto"/>
            <w:noWrap/>
            <w:vAlign w:val="bottom"/>
            <w:hideMark/>
          </w:tcPr>
          <w:p w:rsidR="00177ED3" w:rsidRDefault="00177ED3" w:rsidP="00177ED3">
            <w:pPr>
              <w:rPr>
                <w:color w:val="000000"/>
                <w:sz w:val="20"/>
                <w:szCs w:val="20"/>
              </w:rPr>
            </w:pPr>
            <w:r>
              <w:rPr>
                <w:color w:val="000000"/>
                <w:sz w:val="20"/>
                <w:szCs w:val="20"/>
              </w:rPr>
              <w:t> </w:t>
            </w:r>
          </w:p>
        </w:tc>
        <w:tc>
          <w:tcPr>
            <w:tcW w:w="2280" w:type="dxa"/>
            <w:tcBorders>
              <w:top w:val="nil"/>
              <w:left w:val="single" w:sz="4" w:space="0" w:color="auto"/>
              <w:bottom w:val="nil"/>
              <w:right w:val="single" w:sz="4" w:space="0" w:color="auto"/>
            </w:tcBorders>
            <w:shd w:val="clear" w:color="auto" w:fill="auto"/>
            <w:noWrap/>
            <w:vAlign w:val="bottom"/>
            <w:hideMark/>
          </w:tcPr>
          <w:p w:rsidR="00177ED3" w:rsidRDefault="00177ED3" w:rsidP="00177ED3">
            <w:pPr>
              <w:rPr>
                <w:color w:val="000000"/>
                <w:sz w:val="20"/>
                <w:szCs w:val="20"/>
              </w:rPr>
            </w:pPr>
            <w:r>
              <w:rPr>
                <w:color w:val="000000"/>
                <w:sz w:val="20"/>
                <w:szCs w:val="20"/>
              </w:rPr>
              <w:t> </w:t>
            </w:r>
          </w:p>
        </w:tc>
        <w:tc>
          <w:tcPr>
            <w:tcW w:w="2120" w:type="dxa"/>
            <w:tcBorders>
              <w:top w:val="nil"/>
              <w:left w:val="nil"/>
              <w:bottom w:val="nil"/>
              <w:right w:val="single" w:sz="8" w:space="0" w:color="auto"/>
            </w:tcBorders>
            <w:shd w:val="clear" w:color="auto" w:fill="auto"/>
            <w:noWrap/>
            <w:vAlign w:val="bottom"/>
            <w:hideMark/>
          </w:tcPr>
          <w:p w:rsidR="00177ED3" w:rsidRDefault="00177ED3" w:rsidP="00177ED3">
            <w:pPr>
              <w:rPr>
                <w:color w:val="000000"/>
                <w:sz w:val="20"/>
                <w:szCs w:val="20"/>
              </w:rPr>
            </w:pPr>
            <w:r>
              <w:rPr>
                <w:color w:val="000000"/>
                <w:sz w:val="20"/>
                <w:szCs w:val="20"/>
              </w:rPr>
              <w:t> </w:t>
            </w:r>
          </w:p>
        </w:tc>
      </w:tr>
      <w:tr w:rsidR="00177ED3" w:rsidRPr="00C1496E" w:rsidTr="00E076B8">
        <w:trPr>
          <w:trHeight w:val="255"/>
        </w:trPr>
        <w:tc>
          <w:tcPr>
            <w:tcW w:w="3740" w:type="dxa"/>
            <w:tcBorders>
              <w:top w:val="nil"/>
              <w:left w:val="single" w:sz="8" w:space="0" w:color="auto"/>
              <w:bottom w:val="nil"/>
              <w:right w:val="nil"/>
            </w:tcBorders>
            <w:shd w:val="clear" w:color="auto" w:fill="auto"/>
            <w:noWrap/>
            <w:vAlign w:val="bottom"/>
            <w:hideMark/>
          </w:tcPr>
          <w:p w:rsidR="00177ED3" w:rsidRPr="00C1496E" w:rsidRDefault="00177ED3" w:rsidP="00177ED3">
            <w:pPr>
              <w:rPr>
                <w:color w:val="000000"/>
                <w:sz w:val="20"/>
                <w:szCs w:val="20"/>
                <w:lang w:eastAsia="en-GB"/>
              </w:rPr>
            </w:pPr>
            <w:r w:rsidRPr="00C1496E">
              <w:rPr>
                <w:color w:val="000000"/>
                <w:sz w:val="20"/>
                <w:szCs w:val="20"/>
                <w:lang w:eastAsia="en-GB"/>
              </w:rPr>
              <w:t>Inventories</w:t>
            </w:r>
          </w:p>
        </w:tc>
        <w:tc>
          <w:tcPr>
            <w:tcW w:w="2380" w:type="dxa"/>
            <w:tcBorders>
              <w:top w:val="nil"/>
              <w:left w:val="single" w:sz="8" w:space="0" w:color="auto"/>
              <w:bottom w:val="nil"/>
              <w:right w:val="nil"/>
            </w:tcBorders>
            <w:shd w:val="clear" w:color="auto" w:fill="auto"/>
            <w:noWrap/>
            <w:vAlign w:val="bottom"/>
            <w:hideMark/>
          </w:tcPr>
          <w:p w:rsidR="00177ED3" w:rsidRDefault="00177ED3" w:rsidP="00177ED3">
            <w:pPr>
              <w:jc w:val="right"/>
              <w:rPr>
                <w:color w:val="000000"/>
                <w:sz w:val="20"/>
                <w:szCs w:val="20"/>
              </w:rPr>
            </w:pPr>
            <w:r>
              <w:rPr>
                <w:color w:val="000000"/>
                <w:sz w:val="20"/>
                <w:szCs w:val="20"/>
              </w:rPr>
              <w:t>4,291</w:t>
            </w:r>
          </w:p>
        </w:tc>
        <w:tc>
          <w:tcPr>
            <w:tcW w:w="2280" w:type="dxa"/>
            <w:tcBorders>
              <w:top w:val="nil"/>
              <w:left w:val="single" w:sz="4" w:space="0" w:color="auto"/>
              <w:bottom w:val="nil"/>
              <w:right w:val="single" w:sz="4" w:space="0" w:color="auto"/>
            </w:tcBorders>
            <w:shd w:val="clear" w:color="auto" w:fill="auto"/>
            <w:noWrap/>
            <w:vAlign w:val="bottom"/>
            <w:hideMark/>
          </w:tcPr>
          <w:p w:rsidR="00177ED3" w:rsidRDefault="00177ED3" w:rsidP="00177ED3">
            <w:pPr>
              <w:jc w:val="right"/>
              <w:rPr>
                <w:color w:val="000000"/>
                <w:sz w:val="20"/>
                <w:szCs w:val="20"/>
              </w:rPr>
            </w:pPr>
            <w:r>
              <w:rPr>
                <w:color w:val="000000"/>
                <w:sz w:val="20"/>
                <w:szCs w:val="20"/>
              </w:rPr>
              <w:t>6,026</w:t>
            </w:r>
          </w:p>
        </w:tc>
        <w:tc>
          <w:tcPr>
            <w:tcW w:w="2120" w:type="dxa"/>
            <w:tcBorders>
              <w:top w:val="nil"/>
              <w:left w:val="single" w:sz="8" w:space="0" w:color="auto"/>
              <w:bottom w:val="nil"/>
              <w:right w:val="single" w:sz="8" w:space="0" w:color="auto"/>
            </w:tcBorders>
            <w:shd w:val="clear" w:color="auto" w:fill="auto"/>
            <w:noWrap/>
            <w:vAlign w:val="bottom"/>
            <w:hideMark/>
          </w:tcPr>
          <w:p w:rsidR="00177ED3" w:rsidRDefault="00177ED3" w:rsidP="00177ED3">
            <w:pPr>
              <w:jc w:val="right"/>
              <w:rPr>
                <w:color w:val="000000"/>
                <w:sz w:val="20"/>
                <w:szCs w:val="20"/>
              </w:rPr>
            </w:pPr>
            <w:r>
              <w:rPr>
                <w:color w:val="000000"/>
                <w:sz w:val="20"/>
                <w:szCs w:val="20"/>
              </w:rPr>
              <w:t>6,007</w:t>
            </w:r>
          </w:p>
        </w:tc>
      </w:tr>
      <w:tr w:rsidR="00177ED3" w:rsidRPr="00C1496E" w:rsidTr="00E076B8">
        <w:trPr>
          <w:trHeight w:val="255"/>
        </w:trPr>
        <w:tc>
          <w:tcPr>
            <w:tcW w:w="3740" w:type="dxa"/>
            <w:tcBorders>
              <w:top w:val="nil"/>
              <w:left w:val="single" w:sz="8" w:space="0" w:color="auto"/>
              <w:bottom w:val="nil"/>
              <w:right w:val="nil"/>
            </w:tcBorders>
            <w:shd w:val="clear" w:color="auto" w:fill="auto"/>
            <w:noWrap/>
            <w:vAlign w:val="bottom"/>
            <w:hideMark/>
          </w:tcPr>
          <w:p w:rsidR="00177ED3" w:rsidRPr="00C1496E" w:rsidRDefault="00177ED3" w:rsidP="00177ED3">
            <w:pPr>
              <w:rPr>
                <w:color w:val="000000"/>
                <w:sz w:val="20"/>
                <w:szCs w:val="20"/>
                <w:lang w:eastAsia="en-GB"/>
              </w:rPr>
            </w:pPr>
            <w:r w:rsidRPr="00C1496E">
              <w:rPr>
                <w:color w:val="000000"/>
                <w:sz w:val="20"/>
                <w:szCs w:val="20"/>
                <w:lang w:eastAsia="en-GB"/>
              </w:rPr>
              <w:t>Trade and Other Receivables</w:t>
            </w:r>
          </w:p>
        </w:tc>
        <w:tc>
          <w:tcPr>
            <w:tcW w:w="2380" w:type="dxa"/>
            <w:tcBorders>
              <w:top w:val="nil"/>
              <w:left w:val="single" w:sz="8" w:space="0" w:color="auto"/>
              <w:bottom w:val="nil"/>
              <w:right w:val="nil"/>
            </w:tcBorders>
            <w:shd w:val="clear" w:color="auto" w:fill="auto"/>
            <w:noWrap/>
            <w:vAlign w:val="bottom"/>
            <w:hideMark/>
          </w:tcPr>
          <w:p w:rsidR="00177ED3" w:rsidRDefault="00177ED3" w:rsidP="00177ED3">
            <w:pPr>
              <w:jc w:val="right"/>
              <w:rPr>
                <w:color w:val="000000"/>
                <w:sz w:val="20"/>
                <w:szCs w:val="20"/>
              </w:rPr>
            </w:pPr>
            <w:r>
              <w:rPr>
                <w:color w:val="000000"/>
                <w:sz w:val="20"/>
                <w:szCs w:val="20"/>
              </w:rPr>
              <w:t>84,183</w:t>
            </w:r>
          </w:p>
        </w:tc>
        <w:tc>
          <w:tcPr>
            <w:tcW w:w="2280" w:type="dxa"/>
            <w:tcBorders>
              <w:top w:val="nil"/>
              <w:left w:val="single" w:sz="4" w:space="0" w:color="auto"/>
              <w:bottom w:val="nil"/>
              <w:right w:val="single" w:sz="4" w:space="0" w:color="auto"/>
            </w:tcBorders>
            <w:shd w:val="clear" w:color="auto" w:fill="auto"/>
            <w:noWrap/>
            <w:vAlign w:val="bottom"/>
            <w:hideMark/>
          </w:tcPr>
          <w:p w:rsidR="00177ED3" w:rsidRDefault="00177ED3" w:rsidP="00177ED3">
            <w:pPr>
              <w:jc w:val="right"/>
              <w:rPr>
                <w:color w:val="000000"/>
                <w:sz w:val="20"/>
                <w:szCs w:val="20"/>
              </w:rPr>
            </w:pPr>
            <w:r>
              <w:rPr>
                <w:color w:val="000000"/>
                <w:sz w:val="20"/>
                <w:szCs w:val="20"/>
              </w:rPr>
              <w:t>140,450</w:t>
            </w:r>
          </w:p>
        </w:tc>
        <w:tc>
          <w:tcPr>
            <w:tcW w:w="2120" w:type="dxa"/>
            <w:tcBorders>
              <w:top w:val="nil"/>
              <w:left w:val="single" w:sz="8" w:space="0" w:color="auto"/>
              <w:bottom w:val="nil"/>
              <w:right w:val="single" w:sz="8" w:space="0" w:color="auto"/>
            </w:tcBorders>
            <w:shd w:val="clear" w:color="auto" w:fill="auto"/>
            <w:noWrap/>
            <w:vAlign w:val="bottom"/>
            <w:hideMark/>
          </w:tcPr>
          <w:p w:rsidR="00177ED3" w:rsidRDefault="00177ED3" w:rsidP="00177ED3">
            <w:pPr>
              <w:jc w:val="right"/>
              <w:rPr>
                <w:color w:val="000000"/>
                <w:sz w:val="20"/>
                <w:szCs w:val="20"/>
              </w:rPr>
            </w:pPr>
            <w:r>
              <w:rPr>
                <w:color w:val="000000"/>
                <w:sz w:val="20"/>
                <w:szCs w:val="20"/>
              </w:rPr>
              <w:t>88,426</w:t>
            </w:r>
          </w:p>
        </w:tc>
      </w:tr>
      <w:tr w:rsidR="00177ED3" w:rsidRPr="00C1496E" w:rsidTr="00E076B8">
        <w:trPr>
          <w:trHeight w:val="270"/>
        </w:trPr>
        <w:tc>
          <w:tcPr>
            <w:tcW w:w="3740" w:type="dxa"/>
            <w:tcBorders>
              <w:top w:val="nil"/>
              <w:left w:val="single" w:sz="8" w:space="0" w:color="auto"/>
              <w:bottom w:val="nil"/>
              <w:right w:val="nil"/>
            </w:tcBorders>
            <w:shd w:val="clear" w:color="auto" w:fill="auto"/>
            <w:noWrap/>
            <w:vAlign w:val="bottom"/>
            <w:hideMark/>
          </w:tcPr>
          <w:p w:rsidR="00177ED3" w:rsidRPr="00C1496E" w:rsidRDefault="00177ED3" w:rsidP="00177ED3">
            <w:pPr>
              <w:rPr>
                <w:color w:val="000000"/>
                <w:sz w:val="20"/>
                <w:szCs w:val="20"/>
                <w:lang w:eastAsia="en-GB"/>
              </w:rPr>
            </w:pPr>
            <w:r w:rsidRPr="00C1496E">
              <w:rPr>
                <w:color w:val="000000"/>
                <w:sz w:val="20"/>
                <w:szCs w:val="20"/>
                <w:lang w:eastAsia="en-GB"/>
              </w:rPr>
              <w:t>Cash and Cash Equivalents</w:t>
            </w:r>
          </w:p>
        </w:tc>
        <w:tc>
          <w:tcPr>
            <w:tcW w:w="2380" w:type="dxa"/>
            <w:tcBorders>
              <w:top w:val="nil"/>
              <w:left w:val="single" w:sz="8" w:space="0" w:color="auto"/>
              <w:bottom w:val="nil"/>
              <w:right w:val="nil"/>
            </w:tcBorders>
            <w:shd w:val="clear" w:color="auto" w:fill="auto"/>
            <w:noWrap/>
            <w:vAlign w:val="bottom"/>
            <w:hideMark/>
          </w:tcPr>
          <w:p w:rsidR="00177ED3" w:rsidRDefault="00177ED3" w:rsidP="00177ED3">
            <w:pPr>
              <w:jc w:val="right"/>
              <w:rPr>
                <w:color w:val="000000"/>
                <w:sz w:val="20"/>
                <w:szCs w:val="20"/>
              </w:rPr>
            </w:pPr>
            <w:r>
              <w:rPr>
                <w:color w:val="000000"/>
                <w:sz w:val="20"/>
                <w:szCs w:val="20"/>
              </w:rPr>
              <w:t>316</w:t>
            </w:r>
          </w:p>
        </w:tc>
        <w:tc>
          <w:tcPr>
            <w:tcW w:w="2280" w:type="dxa"/>
            <w:tcBorders>
              <w:top w:val="nil"/>
              <w:left w:val="single" w:sz="4" w:space="0" w:color="auto"/>
              <w:bottom w:val="nil"/>
              <w:right w:val="single" w:sz="4" w:space="0" w:color="auto"/>
            </w:tcBorders>
            <w:shd w:val="clear" w:color="auto" w:fill="auto"/>
            <w:noWrap/>
            <w:vAlign w:val="bottom"/>
            <w:hideMark/>
          </w:tcPr>
          <w:p w:rsidR="00177ED3" w:rsidRDefault="00177ED3" w:rsidP="00177ED3">
            <w:pPr>
              <w:jc w:val="right"/>
              <w:rPr>
                <w:color w:val="000000"/>
                <w:sz w:val="20"/>
                <w:szCs w:val="20"/>
              </w:rPr>
            </w:pPr>
            <w:r>
              <w:rPr>
                <w:color w:val="000000"/>
                <w:sz w:val="20"/>
                <w:szCs w:val="20"/>
              </w:rPr>
              <w:t>771</w:t>
            </w:r>
          </w:p>
        </w:tc>
        <w:tc>
          <w:tcPr>
            <w:tcW w:w="2120" w:type="dxa"/>
            <w:tcBorders>
              <w:top w:val="nil"/>
              <w:left w:val="single" w:sz="8" w:space="0" w:color="auto"/>
              <w:bottom w:val="nil"/>
              <w:right w:val="single" w:sz="8" w:space="0" w:color="auto"/>
            </w:tcBorders>
            <w:shd w:val="clear" w:color="auto" w:fill="auto"/>
            <w:noWrap/>
            <w:vAlign w:val="bottom"/>
            <w:hideMark/>
          </w:tcPr>
          <w:p w:rsidR="00177ED3" w:rsidRDefault="00177ED3" w:rsidP="00177ED3">
            <w:pPr>
              <w:jc w:val="right"/>
              <w:rPr>
                <w:color w:val="000000"/>
                <w:sz w:val="20"/>
                <w:szCs w:val="20"/>
              </w:rPr>
            </w:pPr>
            <w:r>
              <w:rPr>
                <w:color w:val="000000"/>
                <w:sz w:val="20"/>
                <w:szCs w:val="20"/>
              </w:rPr>
              <w:t>158</w:t>
            </w:r>
          </w:p>
        </w:tc>
      </w:tr>
      <w:tr w:rsidR="00177ED3" w:rsidRPr="00C1496E" w:rsidTr="00E076B8">
        <w:trPr>
          <w:trHeight w:val="270"/>
        </w:trPr>
        <w:tc>
          <w:tcPr>
            <w:tcW w:w="3740" w:type="dxa"/>
            <w:tcBorders>
              <w:top w:val="single" w:sz="8" w:space="0" w:color="auto"/>
              <w:left w:val="single" w:sz="8" w:space="0" w:color="auto"/>
              <w:bottom w:val="single" w:sz="8" w:space="0" w:color="auto"/>
              <w:right w:val="nil"/>
            </w:tcBorders>
            <w:shd w:val="clear" w:color="000000" w:fill="D9D9D9"/>
            <w:noWrap/>
            <w:vAlign w:val="bottom"/>
            <w:hideMark/>
          </w:tcPr>
          <w:p w:rsidR="00177ED3" w:rsidRPr="00C1496E" w:rsidRDefault="00177ED3" w:rsidP="00177ED3">
            <w:pPr>
              <w:rPr>
                <w:b/>
                <w:bCs/>
                <w:color w:val="000000"/>
                <w:sz w:val="20"/>
                <w:szCs w:val="20"/>
                <w:lang w:eastAsia="en-GB"/>
              </w:rPr>
            </w:pPr>
            <w:r w:rsidRPr="00C1496E">
              <w:rPr>
                <w:b/>
                <w:bCs/>
                <w:color w:val="000000"/>
                <w:sz w:val="20"/>
                <w:szCs w:val="20"/>
                <w:lang w:eastAsia="en-GB"/>
              </w:rPr>
              <w:t>Total Current Assets</w:t>
            </w:r>
          </w:p>
        </w:tc>
        <w:tc>
          <w:tcPr>
            <w:tcW w:w="2380" w:type="dxa"/>
            <w:tcBorders>
              <w:top w:val="single" w:sz="8" w:space="0" w:color="auto"/>
              <w:left w:val="single" w:sz="8" w:space="0" w:color="auto"/>
              <w:bottom w:val="single" w:sz="8" w:space="0" w:color="auto"/>
              <w:right w:val="nil"/>
            </w:tcBorders>
            <w:shd w:val="clear" w:color="000000" w:fill="D9D9D9"/>
            <w:noWrap/>
            <w:vAlign w:val="bottom"/>
            <w:hideMark/>
          </w:tcPr>
          <w:p w:rsidR="00177ED3" w:rsidRDefault="00177ED3" w:rsidP="00177ED3">
            <w:pPr>
              <w:jc w:val="right"/>
              <w:rPr>
                <w:b/>
                <w:bCs/>
                <w:color w:val="000000"/>
                <w:sz w:val="20"/>
                <w:szCs w:val="20"/>
              </w:rPr>
            </w:pPr>
            <w:r>
              <w:rPr>
                <w:b/>
                <w:bCs/>
                <w:color w:val="000000"/>
                <w:sz w:val="20"/>
                <w:szCs w:val="20"/>
              </w:rPr>
              <w:t>88,790</w:t>
            </w:r>
          </w:p>
        </w:tc>
        <w:tc>
          <w:tcPr>
            <w:tcW w:w="2280" w:type="dxa"/>
            <w:tcBorders>
              <w:top w:val="single" w:sz="8" w:space="0" w:color="auto"/>
              <w:left w:val="single" w:sz="4" w:space="0" w:color="auto"/>
              <w:bottom w:val="single" w:sz="8" w:space="0" w:color="auto"/>
              <w:right w:val="single" w:sz="4" w:space="0" w:color="auto"/>
            </w:tcBorders>
            <w:shd w:val="clear" w:color="000000" w:fill="D9D9D9"/>
            <w:noWrap/>
            <w:vAlign w:val="bottom"/>
            <w:hideMark/>
          </w:tcPr>
          <w:p w:rsidR="00177ED3" w:rsidRDefault="00177ED3" w:rsidP="00177ED3">
            <w:pPr>
              <w:jc w:val="right"/>
              <w:rPr>
                <w:b/>
                <w:bCs/>
                <w:color w:val="000000"/>
                <w:sz w:val="20"/>
                <w:szCs w:val="20"/>
              </w:rPr>
            </w:pPr>
            <w:r>
              <w:rPr>
                <w:b/>
                <w:bCs/>
                <w:color w:val="000000"/>
                <w:sz w:val="20"/>
                <w:szCs w:val="20"/>
              </w:rPr>
              <w:t>147,247</w:t>
            </w:r>
          </w:p>
        </w:tc>
        <w:tc>
          <w:tcPr>
            <w:tcW w:w="2120" w:type="dxa"/>
            <w:tcBorders>
              <w:top w:val="single" w:sz="8" w:space="0" w:color="auto"/>
              <w:left w:val="nil"/>
              <w:bottom w:val="single" w:sz="8" w:space="0" w:color="auto"/>
              <w:right w:val="single" w:sz="8" w:space="0" w:color="auto"/>
            </w:tcBorders>
            <w:shd w:val="clear" w:color="000000" w:fill="D9D9D9"/>
            <w:noWrap/>
            <w:vAlign w:val="bottom"/>
            <w:hideMark/>
          </w:tcPr>
          <w:p w:rsidR="00177ED3" w:rsidRDefault="00177ED3" w:rsidP="00177ED3">
            <w:pPr>
              <w:jc w:val="right"/>
              <w:rPr>
                <w:b/>
                <w:bCs/>
                <w:color w:val="000000"/>
                <w:sz w:val="20"/>
                <w:szCs w:val="20"/>
              </w:rPr>
            </w:pPr>
            <w:r>
              <w:rPr>
                <w:b/>
                <w:bCs/>
                <w:color w:val="000000"/>
                <w:sz w:val="20"/>
                <w:szCs w:val="20"/>
              </w:rPr>
              <w:t>94,591</w:t>
            </w:r>
          </w:p>
        </w:tc>
      </w:tr>
      <w:tr w:rsidR="00177ED3" w:rsidRPr="00C1496E" w:rsidTr="00E076B8">
        <w:trPr>
          <w:trHeight w:val="255"/>
        </w:trPr>
        <w:tc>
          <w:tcPr>
            <w:tcW w:w="3740" w:type="dxa"/>
            <w:tcBorders>
              <w:top w:val="nil"/>
              <w:left w:val="single" w:sz="8" w:space="0" w:color="auto"/>
              <w:bottom w:val="nil"/>
              <w:right w:val="nil"/>
            </w:tcBorders>
            <w:shd w:val="clear" w:color="auto" w:fill="auto"/>
            <w:noWrap/>
            <w:vAlign w:val="bottom"/>
            <w:hideMark/>
          </w:tcPr>
          <w:p w:rsidR="00177ED3" w:rsidRPr="00C1496E" w:rsidRDefault="00177ED3" w:rsidP="00177ED3">
            <w:pPr>
              <w:rPr>
                <w:b/>
                <w:bCs/>
                <w:color w:val="000000"/>
                <w:sz w:val="20"/>
                <w:szCs w:val="20"/>
                <w:lang w:eastAsia="en-GB"/>
              </w:rPr>
            </w:pPr>
            <w:r w:rsidRPr="00C1496E">
              <w:rPr>
                <w:b/>
                <w:bCs/>
                <w:color w:val="000000"/>
                <w:sz w:val="20"/>
                <w:szCs w:val="20"/>
                <w:lang w:eastAsia="en-GB"/>
              </w:rPr>
              <w:t>Current Liabilities</w:t>
            </w:r>
          </w:p>
        </w:tc>
        <w:tc>
          <w:tcPr>
            <w:tcW w:w="2380" w:type="dxa"/>
            <w:tcBorders>
              <w:top w:val="nil"/>
              <w:left w:val="single" w:sz="8" w:space="0" w:color="auto"/>
              <w:bottom w:val="nil"/>
              <w:right w:val="nil"/>
            </w:tcBorders>
            <w:shd w:val="clear" w:color="auto" w:fill="auto"/>
            <w:noWrap/>
            <w:vAlign w:val="bottom"/>
            <w:hideMark/>
          </w:tcPr>
          <w:p w:rsidR="00177ED3" w:rsidRDefault="00177ED3" w:rsidP="00177ED3">
            <w:pPr>
              <w:rPr>
                <w:color w:val="000000"/>
                <w:sz w:val="20"/>
                <w:szCs w:val="20"/>
              </w:rPr>
            </w:pPr>
            <w:r>
              <w:rPr>
                <w:color w:val="000000"/>
                <w:sz w:val="20"/>
                <w:szCs w:val="20"/>
              </w:rPr>
              <w:t> </w:t>
            </w:r>
          </w:p>
        </w:tc>
        <w:tc>
          <w:tcPr>
            <w:tcW w:w="2280" w:type="dxa"/>
            <w:tcBorders>
              <w:top w:val="nil"/>
              <w:left w:val="single" w:sz="4" w:space="0" w:color="auto"/>
              <w:bottom w:val="nil"/>
              <w:right w:val="single" w:sz="4" w:space="0" w:color="auto"/>
            </w:tcBorders>
            <w:shd w:val="clear" w:color="auto" w:fill="auto"/>
            <w:noWrap/>
            <w:vAlign w:val="bottom"/>
            <w:hideMark/>
          </w:tcPr>
          <w:p w:rsidR="00177ED3" w:rsidRDefault="00177ED3" w:rsidP="00177ED3">
            <w:pPr>
              <w:rPr>
                <w:color w:val="000000"/>
                <w:sz w:val="20"/>
                <w:szCs w:val="20"/>
              </w:rPr>
            </w:pPr>
            <w:r>
              <w:rPr>
                <w:color w:val="000000"/>
                <w:sz w:val="20"/>
                <w:szCs w:val="20"/>
              </w:rPr>
              <w:t> </w:t>
            </w:r>
          </w:p>
        </w:tc>
        <w:tc>
          <w:tcPr>
            <w:tcW w:w="2120" w:type="dxa"/>
            <w:tcBorders>
              <w:top w:val="nil"/>
              <w:left w:val="nil"/>
              <w:bottom w:val="nil"/>
              <w:right w:val="single" w:sz="8" w:space="0" w:color="auto"/>
            </w:tcBorders>
            <w:shd w:val="clear" w:color="auto" w:fill="auto"/>
            <w:noWrap/>
            <w:vAlign w:val="bottom"/>
            <w:hideMark/>
          </w:tcPr>
          <w:p w:rsidR="00177ED3" w:rsidRDefault="00177ED3" w:rsidP="00177ED3">
            <w:pPr>
              <w:rPr>
                <w:color w:val="000000"/>
                <w:sz w:val="20"/>
                <w:szCs w:val="20"/>
              </w:rPr>
            </w:pPr>
            <w:r>
              <w:rPr>
                <w:color w:val="000000"/>
                <w:sz w:val="20"/>
                <w:szCs w:val="20"/>
              </w:rPr>
              <w:t> </w:t>
            </w:r>
          </w:p>
        </w:tc>
      </w:tr>
      <w:tr w:rsidR="00177ED3" w:rsidRPr="00C1496E" w:rsidTr="00E076B8">
        <w:trPr>
          <w:trHeight w:val="255"/>
        </w:trPr>
        <w:tc>
          <w:tcPr>
            <w:tcW w:w="3740" w:type="dxa"/>
            <w:tcBorders>
              <w:top w:val="nil"/>
              <w:left w:val="single" w:sz="8" w:space="0" w:color="auto"/>
              <w:bottom w:val="nil"/>
              <w:right w:val="nil"/>
            </w:tcBorders>
            <w:shd w:val="clear" w:color="auto" w:fill="auto"/>
            <w:noWrap/>
            <w:vAlign w:val="bottom"/>
            <w:hideMark/>
          </w:tcPr>
          <w:p w:rsidR="00177ED3" w:rsidRPr="00C1496E" w:rsidRDefault="00177ED3" w:rsidP="00177ED3">
            <w:pPr>
              <w:rPr>
                <w:color w:val="000000"/>
                <w:sz w:val="20"/>
                <w:szCs w:val="20"/>
                <w:lang w:eastAsia="en-GB"/>
              </w:rPr>
            </w:pPr>
            <w:r w:rsidRPr="00C1496E">
              <w:rPr>
                <w:color w:val="000000"/>
                <w:sz w:val="20"/>
                <w:szCs w:val="20"/>
                <w:lang w:eastAsia="en-GB"/>
              </w:rPr>
              <w:t>Trade and Other Payables</w:t>
            </w:r>
          </w:p>
        </w:tc>
        <w:tc>
          <w:tcPr>
            <w:tcW w:w="2380" w:type="dxa"/>
            <w:tcBorders>
              <w:top w:val="nil"/>
              <w:left w:val="single" w:sz="8" w:space="0" w:color="auto"/>
              <w:bottom w:val="nil"/>
              <w:right w:val="nil"/>
            </w:tcBorders>
            <w:shd w:val="clear" w:color="auto" w:fill="auto"/>
            <w:noWrap/>
            <w:vAlign w:val="bottom"/>
            <w:hideMark/>
          </w:tcPr>
          <w:p w:rsidR="00177ED3" w:rsidRDefault="00177ED3" w:rsidP="00177ED3">
            <w:pPr>
              <w:jc w:val="right"/>
              <w:rPr>
                <w:color w:val="000000"/>
                <w:sz w:val="20"/>
                <w:szCs w:val="20"/>
              </w:rPr>
            </w:pPr>
            <w:r>
              <w:rPr>
                <w:color w:val="000000"/>
                <w:sz w:val="20"/>
                <w:szCs w:val="20"/>
              </w:rPr>
              <w:t>96,500</w:t>
            </w:r>
          </w:p>
        </w:tc>
        <w:tc>
          <w:tcPr>
            <w:tcW w:w="2280" w:type="dxa"/>
            <w:tcBorders>
              <w:top w:val="nil"/>
              <w:left w:val="single" w:sz="4" w:space="0" w:color="auto"/>
              <w:bottom w:val="nil"/>
              <w:right w:val="single" w:sz="4" w:space="0" w:color="auto"/>
            </w:tcBorders>
            <w:shd w:val="clear" w:color="auto" w:fill="auto"/>
            <w:noWrap/>
            <w:vAlign w:val="bottom"/>
            <w:hideMark/>
          </w:tcPr>
          <w:p w:rsidR="00177ED3" w:rsidRDefault="00177ED3" w:rsidP="00177ED3">
            <w:pPr>
              <w:jc w:val="right"/>
              <w:rPr>
                <w:color w:val="000000"/>
                <w:sz w:val="20"/>
                <w:szCs w:val="20"/>
              </w:rPr>
            </w:pPr>
            <w:r>
              <w:rPr>
                <w:color w:val="000000"/>
                <w:sz w:val="20"/>
                <w:szCs w:val="20"/>
              </w:rPr>
              <w:t>143,728</w:t>
            </w:r>
          </w:p>
        </w:tc>
        <w:tc>
          <w:tcPr>
            <w:tcW w:w="2120" w:type="dxa"/>
            <w:tcBorders>
              <w:top w:val="nil"/>
              <w:left w:val="single" w:sz="8" w:space="0" w:color="auto"/>
              <w:bottom w:val="nil"/>
              <w:right w:val="single" w:sz="8" w:space="0" w:color="auto"/>
            </w:tcBorders>
            <w:shd w:val="clear" w:color="auto" w:fill="auto"/>
            <w:noWrap/>
            <w:vAlign w:val="bottom"/>
            <w:hideMark/>
          </w:tcPr>
          <w:p w:rsidR="00177ED3" w:rsidRDefault="00177ED3" w:rsidP="00177ED3">
            <w:pPr>
              <w:jc w:val="right"/>
              <w:rPr>
                <w:color w:val="000000"/>
                <w:sz w:val="20"/>
                <w:szCs w:val="20"/>
              </w:rPr>
            </w:pPr>
            <w:r>
              <w:rPr>
                <w:color w:val="000000"/>
                <w:sz w:val="20"/>
                <w:szCs w:val="20"/>
              </w:rPr>
              <w:t>101,094</w:t>
            </w:r>
          </w:p>
        </w:tc>
      </w:tr>
      <w:tr w:rsidR="00177ED3" w:rsidRPr="00C1496E" w:rsidTr="00E076B8">
        <w:trPr>
          <w:trHeight w:val="270"/>
        </w:trPr>
        <w:tc>
          <w:tcPr>
            <w:tcW w:w="3740" w:type="dxa"/>
            <w:tcBorders>
              <w:top w:val="nil"/>
              <w:left w:val="single" w:sz="8" w:space="0" w:color="auto"/>
              <w:bottom w:val="nil"/>
              <w:right w:val="nil"/>
            </w:tcBorders>
            <w:shd w:val="clear" w:color="auto" w:fill="auto"/>
            <w:noWrap/>
            <w:vAlign w:val="bottom"/>
            <w:hideMark/>
          </w:tcPr>
          <w:p w:rsidR="00177ED3" w:rsidRPr="00C1496E" w:rsidRDefault="00177ED3" w:rsidP="00177ED3">
            <w:pPr>
              <w:rPr>
                <w:color w:val="000000"/>
                <w:sz w:val="20"/>
                <w:szCs w:val="20"/>
                <w:lang w:eastAsia="en-GB"/>
              </w:rPr>
            </w:pPr>
            <w:r w:rsidRPr="00C1496E">
              <w:rPr>
                <w:color w:val="000000"/>
                <w:sz w:val="20"/>
                <w:szCs w:val="20"/>
                <w:lang w:eastAsia="en-GB"/>
              </w:rPr>
              <w:t>Provisions</w:t>
            </w:r>
          </w:p>
        </w:tc>
        <w:tc>
          <w:tcPr>
            <w:tcW w:w="2380" w:type="dxa"/>
            <w:tcBorders>
              <w:top w:val="nil"/>
              <w:left w:val="single" w:sz="8" w:space="0" w:color="auto"/>
              <w:bottom w:val="nil"/>
              <w:right w:val="nil"/>
            </w:tcBorders>
            <w:shd w:val="clear" w:color="auto" w:fill="auto"/>
            <w:noWrap/>
            <w:vAlign w:val="bottom"/>
            <w:hideMark/>
          </w:tcPr>
          <w:p w:rsidR="00177ED3" w:rsidRDefault="00177ED3" w:rsidP="00177ED3">
            <w:pPr>
              <w:jc w:val="right"/>
              <w:rPr>
                <w:color w:val="000000"/>
                <w:sz w:val="20"/>
                <w:szCs w:val="20"/>
              </w:rPr>
            </w:pPr>
            <w:r>
              <w:rPr>
                <w:color w:val="000000"/>
                <w:sz w:val="20"/>
                <w:szCs w:val="20"/>
              </w:rPr>
              <w:t>47,797</w:t>
            </w:r>
          </w:p>
        </w:tc>
        <w:tc>
          <w:tcPr>
            <w:tcW w:w="2280" w:type="dxa"/>
            <w:tcBorders>
              <w:top w:val="nil"/>
              <w:left w:val="single" w:sz="4" w:space="0" w:color="auto"/>
              <w:bottom w:val="nil"/>
              <w:right w:val="single" w:sz="4" w:space="0" w:color="auto"/>
            </w:tcBorders>
            <w:shd w:val="clear" w:color="auto" w:fill="auto"/>
            <w:noWrap/>
            <w:vAlign w:val="bottom"/>
            <w:hideMark/>
          </w:tcPr>
          <w:p w:rsidR="00177ED3" w:rsidRDefault="00177ED3" w:rsidP="00177ED3">
            <w:pPr>
              <w:jc w:val="right"/>
              <w:rPr>
                <w:color w:val="000000"/>
                <w:sz w:val="20"/>
                <w:szCs w:val="20"/>
              </w:rPr>
            </w:pPr>
            <w:r>
              <w:rPr>
                <w:color w:val="000000"/>
                <w:sz w:val="20"/>
                <w:szCs w:val="20"/>
              </w:rPr>
              <w:t>70,544</w:t>
            </w:r>
          </w:p>
        </w:tc>
        <w:tc>
          <w:tcPr>
            <w:tcW w:w="2120" w:type="dxa"/>
            <w:tcBorders>
              <w:top w:val="nil"/>
              <w:left w:val="single" w:sz="8" w:space="0" w:color="auto"/>
              <w:bottom w:val="nil"/>
              <w:right w:val="single" w:sz="8" w:space="0" w:color="auto"/>
            </w:tcBorders>
            <w:shd w:val="clear" w:color="auto" w:fill="auto"/>
            <w:noWrap/>
            <w:vAlign w:val="bottom"/>
            <w:hideMark/>
          </w:tcPr>
          <w:p w:rsidR="00177ED3" w:rsidRDefault="00177ED3" w:rsidP="00177ED3">
            <w:pPr>
              <w:jc w:val="right"/>
              <w:rPr>
                <w:color w:val="000000"/>
                <w:sz w:val="20"/>
                <w:szCs w:val="20"/>
              </w:rPr>
            </w:pPr>
            <w:r>
              <w:rPr>
                <w:color w:val="000000"/>
                <w:sz w:val="20"/>
                <w:szCs w:val="20"/>
              </w:rPr>
              <w:t>47,843</w:t>
            </w:r>
          </w:p>
        </w:tc>
      </w:tr>
      <w:tr w:rsidR="00177ED3" w:rsidRPr="00C1496E" w:rsidTr="00E076B8">
        <w:trPr>
          <w:trHeight w:val="270"/>
        </w:trPr>
        <w:tc>
          <w:tcPr>
            <w:tcW w:w="3740" w:type="dxa"/>
            <w:tcBorders>
              <w:top w:val="single" w:sz="8" w:space="0" w:color="auto"/>
              <w:left w:val="single" w:sz="8" w:space="0" w:color="auto"/>
              <w:bottom w:val="single" w:sz="8" w:space="0" w:color="auto"/>
              <w:right w:val="nil"/>
            </w:tcBorders>
            <w:shd w:val="clear" w:color="000000" w:fill="D9D9D9"/>
            <w:noWrap/>
            <w:vAlign w:val="bottom"/>
            <w:hideMark/>
          </w:tcPr>
          <w:p w:rsidR="00177ED3" w:rsidRPr="00C1496E" w:rsidRDefault="00177ED3" w:rsidP="00177ED3">
            <w:pPr>
              <w:rPr>
                <w:b/>
                <w:bCs/>
                <w:color w:val="000000"/>
                <w:sz w:val="20"/>
                <w:szCs w:val="20"/>
                <w:lang w:eastAsia="en-GB"/>
              </w:rPr>
            </w:pPr>
            <w:r w:rsidRPr="00C1496E">
              <w:rPr>
                <w:b/>
                <w:bCs/>
                <w:color w:val="000000"/>
                <w:sz w:val="20"/>
                <w:szCs w:val="20"/>
                <w:lang w:eastAsia="en-GB"/>
              </w:rPr>
              <w:t>Total Current Liabilities</w:t>
            </w:r>
          </w:p>
        </w:tc>
        <w:tc>
          <w:tcPr>
            <w:tcW w:w="2380" w:type="dxa"/>
            <w:tcBorders>
              <w:top w:val="single" w:sz="8" w:space="0" w:color="auto"/>
              <w:left w:val="single" w:sz="8" w:space="0" w:color="auto"/>
              <w:bottom w:val="single" w:sz="8" w:space="0" w:color="auto"/>
              <w:right w:val="nil"/>
            </w:tcBorders>
            <w:shd w:val="clear" w:color="000000" w:fill="D9D9D9"/>
            <w:noWrap/>
            <w:vAlign w:val="bottom"/>
            <w:hideMark/>
          </w:tcPr>
          <w:p w:rsidR="00177ED3" w:rsidRDefault="00177ED3" w:rsidP="00177ED3">
            <w:pPr>
              <w:jc w:val="right"/>
              <w:rPr>
                <w:b/>
                <w:bCs/>
                <w:color w:val="000000"/>
                <w:sz w:val="20"/>
                <w:szCs w:val="20"/>
              </w:rPr>
            </w:pPr>
            <w:r>
              <w:rPr>
                <w:b/>
                <w:bCs/>
                <w:color w:val="000000"/>
                <w:sz w:val="20"/>
                <w:szCs w:val="20"/>
              </w:rPr>
              <w:t>144,297</w:t>
            </w:r>
          </w:p>
        </w:tc>
        <w:tc>
          <w:tcPr>
            <w:tcW w:w="2280" w:type="dxa"/>
            <w:tcBorders>
              <w:top w:val="single" w:sz="8" w:space="0" w:color="auto"/>
              <w:left w:val="single" w:sz="4" w:space="0" w:color="auto"/>
              <w:bottom w:val="single" w:sz="8" w:space="0" w:color="auto"/>
              <w:right w:val="single" w:sz="4" w:space="0" w:color="auto"/>
            </w:tcBorders>
            <w:shd w:val="clear" w:color="000000" w:fill="D9D9D9"/>
            <w:noWrap/>
            <w:vAlign w:val="bottom"/>
            <w:hideMark/>
          </w:tcPr>
          <w:p w:rsidR="00177ED3" w:rsidRDefault="00177ED3" w:rsidP="00177ED3">
            <w:pPr>
              <w:jc w:val="right"/>
              <w:rPr>
                <w:b/>
                <w:bCs/>
                <w:color w:val="000000"/>
                <w:sz w:val="20"/>
                <w:szCs w:val="20"/>
              </w:rPr>
            </w:pPr>
            <w:r>
              <w:rPr>
                <w:b/>
                <w:bCs/>
                <w:color w:val="000000"/>
                <w:sz w:val="20"/>
                <w:szCs w:val="20"/>
              </w:rPr>
              <w:t>214,272</w:t>
            </w:r>
          </w:p>
        </w:tc>
        <w:tc>
          <w:tcPr>
            <w:tcW w:w="2120" w:type="dxa"/>
            <w:tcBorders>
              <w:top w:val="single" w:sz="8" w:space="0" w:color="auto"/>
              <w:left w:val="nil"/>
              <w:bottom w:val="single" w:sz="8" w:space="0" w:color="auto"/>
              <w:right w:val="single" w:sz="8" w:space="0" w:color="auto"/>
            </w:tcBorders>
            <w:shd w:val="clear" w:color="000000" w:fill="D9D9D9"/>
            <w:noWrap/>
            <w:vAlign w:val="bottom"/>
            <w:hideMark/>
          </w:tcPr>
          <w:p w:rsidR="00177ED3" w:rsidRDefault="00177ED3" w:rsidP="00177ED3">
            <w:pPr>
              <w:jc w:val="right"/>
              <w:rPr>
                <w:b/>
                <w:bCs/>
                <w:color w:val="000000"/>
                <w:sz w:val="20"/>
                <w:szCs w:val="20"/>
              </w:rPr>
            </w:pPr>
            <w:r>
              <w:rPr>
                <w:b/>
                <w:bCs/>
                <w:color w:val="000000"/>
                <w:sz w:val="20"/>
                <w:szCs w:val="20"/>
              </w:rPr>
              <w:t>148,937</w:t>
            </w:r>
          </w:p>
        </w:tc>
      </w:tr>
      <w:tr w:rsidR="00177ED3" w:rsidRPr="00C1496E" w:rsidTr="00E076B8">
        <w:trPr>
          <w:trHeight w:val="255"/>
        </w:trPr>
        <w:tc>
          <w:tcPr>
            <w:tcW w:w="3740" w:type="dxa"/>
            <w:tcBorders>
              <w:top w:val="nil"/>
              <w:left w:val="single" w:sz="8" w:space="0" w:color="auto"/>
              <w:bottom w:val="nil"/>
              <w:right w:val="nil"/>
            </w:tcBorders>
            <w:shd w:val="clear" w:color="auto" w:fill="auto"/>
            <w:noWrap/>
            <w:vAlign w:val="bottom"/>
            <w:hideMark/>
          </w:tcPr>
          <w:p w:rsidR="00177ED3" w:rsidRPr="00C1496E" w:rsidRDefault="00177ED3" w:rsidP="00177ED3">
            <w:pPr>
              <w:rPr>
                <w:b/>
                <w:bCs/>
                <w:color w:val="000000"/>
                <w:sz w:val="20"/>
                <w:szCs w:val="20"/>
                <w:lang w:eastAsia="en-GB"/>
              </w:rPr>
            </w:pPr>
            <w:r w:rsidRPr="00C1496E">
              <w:rPr>
                <w:b/>
                <w:bCs/>
                <w:color w:val="000000"/>
                <w:sz w:val="20"/>
                <w:szCs w:val="20"/>
                <w:lang w:eastAsia="en-GB"/>
              </w:rPr>
              <w:t>Non-Current Liabilities</w:t>
            </w:r>
          </w:p>
        </w:tc>
        <w:tc>
          <w:tcPr>
            <w:tcW w:w="2380" w:type="dxa"/>
            <w:tcBorders>
              <w:top w:val="nil"/>
              <w:left w:val="single" w:sz="8" w:space="0" w:color="auto"/>
              <w:bottom w:val="nil"/>
              <w:right w:val="nil"/>
            </w:tcBorders>
            <w:shd w:val="clear" w:color="auto" w:fill="auto"/>
            <w:noWrap/>
            <w:vAlign w:val="bottom"/>
            <w:hideMark/>
          </w:tcPr>
          <w:p w:rsidR="00177ED3" w:rsidRDefault="00177ED3" w:rsidP="00177ED3">
            <w:pPr>
              <w:rPr>
                <w:color w:val="000000"/>
                <w:sz w:val="20"/>
                <w:szCs w:val="20"/>
              </w:rPr>
            </w:pPr>
            <w:r>
              <w:rPr>
                <w:color w:val="000000"/>
                <w:sz w:val="20"/>
                <w:szCs w:val="20"/>
              </w:rPr>
              <w:t> </w:t>
            </w:r>
          </w:p>
        </w:tc>
        <w:tc>
          <w:tcPr>
            <w:tcW w:w="2280" w:type="dxa"/>
            <w:tcBorders>
              <w:top w:val="nil"/>
              <w:left w:val="single" w:sz="4" w:space="0" w:color="auto"/>
              <w:bottom w:val="nil"/>
              <w:right w:val="single" w:sz="4" w:space="0" w:color="auto"/>
            </w:tcBorders>
            <w:shd w:val="clear" w:color="auto" w:fill="auto"/>
            <w:noWrap/>
            <w:vAlign w:val="bottom"/>
            <w:hideMark/>
          </w:tcPr>
          <w:p w:rsidR="00177ED3" w:rsidRDefault="00177ED3" w:rsidP="00177ED3">
            <w:pPr>
              <w:rPr>
                <w:color w:val="000000"/>
                <w:sz w:val="20"/>
                <w:szCs w:val="20"/>
              </w:rPr>
            </w:pPr>
            <w:r>
              <w:rPr>
                <w:color w:val="000000"/>
                <w:sz w:val="20"/>
                <w:szCs w:val="20"/>
              </w:rPr>
              <w:t> </w:t>
            </w:r>
          </w:p>
        </w:tc>
        <w:tc>
          <w:tcPr>
            <w:tcW w:w="2120" w:type="dxa"/>
            <w:tcBorders>
              <w:top w:val="nil"/>
              <w:left w:val="nil"/>
              <w:bottom w:val="nil"/>
              <w:right w:val="single" w:sz="8" w:space="0" w:color="auto"/>
            </w:tcBorders>
            <w:shd w:val="clear" w:color="auto" w:fill="auto"/>
            <w:noWrap/>
            <w:vAlign w:val="bottom"/>
            <w:hideMark/>
          </w:tcPr>
          <w:p w:rsidR="00177ED3" w:rsidRDefault="00177ED3" w:rsidP="00177ED3">
            <w:pPr>
              <w:rPr>
                <w:color w:val="000000"/>
                <w:sz w:val="20"/>
                <w:szCs w:val="20"/>
              </w:rPr>
            </w:pPr>
            <w:r>
              <w:rPr>
                <w:color w:val="000000"/>
                <w:sz w:val="20"/>
                <w:szCs w:val="20"/>
              </w:rPr>
              <w:t> </w:t>
            </w:r>
          </w:p>
        </w:tc>
      </w:tr>
      <w:tr w:rsidR="00177ED3" w:rsidRPr="00C1496E" w:rsidTr="00E076B8">
        <w:trPr>
          <w:trHeight w:val="255"/>
        </w:trPr>
        <w:tc>
          <w:tcPr>
            <w:tcW w:w="3740" w:type="dxa"/>
            <w:tcBorders>
              <w:top w:val="nil"/>
              <w:left w:val="single" w:sz="8" w:space="0" w:color="auto"/>
              <w:bottom w:val="nil"/>
              <w:right w:val="nil"/>
            </w:tcBorders>
            <w:shd w:val="clear" w:color="auto" w:fill="auto"/>
            <w:noWrap/>
            <w:vAlign w:val="bottom"/>
            <w:hideMark/>
          </w:tcPr>
          <w:p w:rsidR="00177ED3" w:rsidRPr="00C1496E" w:rsidRDefault="00177ED3" w:rsidP="00177ED3">
            <w:pPr>
              <w:rPr>
                <w:color w:val="000000"/>
                <w:sz w:val="20"/>
                <w:szCs w:val="20"/>
                <w:lang w:eastAsia="en-GB"/>
              </w:rPr>
            </w:pPr>
            <w:r w:rsidRPr="00C1496E">
              <w:rPr>
                <w:color w:val="000000"/>
                <w:sz w:val="20"/>
                <w:szCs w:val="20"/>
                <w:lang w:eastAsia="en-GB"/>
              </w:rPr>
              <w:t>Trade and Other Payables</w:t>
            </w:r>
          </w:p>
        </w:tc>
        <w:tc>
          <w:tcPr>
            <w:tcW w:w="2380" w:type="dxa"/>
            <w:tcBorders>
              <w:top w:val="nil"/>
              <w:left w:val="single" w:sz="8" w:space="0" w:color="auto"/>
              <w:bottom w:val="nil"/>
              <w:right w:val="nil"/>
            </w:tcBorders>
            <w:shd w:val="clear" w:color="auto" w:fill="auto"/>
            <w:noWrap/>
            <w:vAlign w:val="bottom"/>
            <w:hideMark/>
          </w:tcPr>
          <w:p w:rsidR="00177ED3" w:rsidRDefault="00177ED3" w:rsidP="00177ED3">
            <w:pPr>
              <w:jc w:val="right"/>
              <w:rPr>
                <w:color w:val="000000"/>
                <w:sz w:val="20"/>
                <w:szCs w:val="20"/>
              </w:rPr>
            </w:pPr>
            <w:r>
              <w:rPr>
                <w:color w:val="000000"/>
                <w:sz w:val="20"/>
                <w:szCs w:val="20"/>
              </w:rPr>
              <w:t>1,466</w:t>
            </w:r>
          </w:p>
        </w:tc>
        <w:tc>
          <w:tcPr>
            <w:tcW w:w="2280" w:type="dxa"/>
            <w:tcBorders>
              <w:top w:val="nil"/>
              <w:left w:val="single" w:sz="4" w:space="0" w:color="auto"/>
              <w:bottom w:val="nil"/>
              <w:right w:val="single" w:sz="4" w:space="0" w:color="auto"/>
            </w:tcBorders>
            <w:shd w:val="clear" w:color="auto" w:fill="auto"/>
            <w:noWrap/>
            <w:vAlign w:val="bottom"/>
            <w:hideMark/>
          </w:tcPr>
          <w:p w:rsidR="00177ED3" w:rsidRDefault="00177ED3" w:rsidP="00177ED3">
            <w:pPr>
              <w:jc w:val="right"/>
              <w:rPr>
                <w:color w:val="000000"/>
                <w:sz w:val="20"/>
                <w:szCs w:val="20"/>
              </w:rPr>
            </w:pPr>
            <w:r>
              <w:rPr>
                <w:color w:val="000000"/>
                <w:sz w:val="20"/>
                <w:szCs w:val="20"/>
              </w:rPr>
              <w:t>1,466</w:t>
            </w:r>
          </w:p>
        </w:tc>
        <w:tc>
          <w:tcPr>
            <w:tcW w:w="2120" w:type="dxa"/>
            <w:tcBorders>
              <w:top w:val="nil"/>
              <w:left w:val="single" w:sz="8" w:space="0" w:color="auto"/>
              <w:bottom w:val="nil"/>
              <w:right w:val="single" w:sz="8" w:space="0" w:color="auto"/>
            </w:tcBorders>
            <w:shd w:val="clear" w:color="auto" w:fill="auto"/>
            <w:noWrap/>
            <w:vAlign w:val="bottom"/>
            <w:hideMark/>
          </w:tcPr>
          <w:p w:rsidR="00177ED3" w:rsidRDefault="00177ED3" w:rsidP="00177ED3">
            <w:pPr>
              <w:jc w:val="right"/>
              <w:rPr>
                <w:color w:val="000000"/>
                <w:sz w:val="20"/>
                <w:szCs w:val="20"/>
              </w:rPr>
            </w:pPr>
            <w:r>
              <w:rPr>
                <w:color w:val="000000"/>
                <w:sz w:val="20"/>
                <w:szCs w:val="20"/>
              </w:rPr>
              <w:t>1,466</w:t>
            </w:r>
          </w:p>
        </w:tc>
      </w:tr>
      <w:tr w:rsidR="00177ED3" w:rsidRPr="00C1496E" w:rsidTr="00E076B8">
        <w:trPr>
          <w:trHeight w:val="270"/>
        </w:trPr>
        <w:tc>
          <w:tcPr>
            <w:tcW w:w="3740" w:type="dxa"/>
            <w:tcBorders>
              <w:top w:val="nil"/>
              <w:left w:val="single" w:sz="8" w:space="0" w:color="auto"/>
              <w:bottom w:val="single" w:sz="8" w:space="0" w:color="auto"/>
              <w:right w:val="nil"/>
            </w:tcBorders>
            <w:shd w:val="clear" w:color="auto" w:fill="auto"/>
            <w:noWrap/>
            <w:vAlign w:val="bottom"/>
            <w:hideMark/>
          </w:tcPr>
          <w:p w:rsidR="00177ED3" w:rsidRPr="00C1496E" w:rsidRDefault="00177ED3" w:rsidP="00177ED3">
            <w:pPr>
              <w:rPr>
                <w:color w:val="000000"/>
                <w:sz w:val="20"/>
                <w:szCs w:val="20"/>
                <w:lang w:eastAsia="en-GB"/>
              </w:rPr>
            </w:pPr>
            <w:r w:rsidRPr="00C1496E">
              <w:rPr>
                <w:color w:val="000000"/>
                <w:sz w:val="20"/>
                <w:szCs w:val="20"/>
                <w:lang w:eastAsia="en-GB"/>
              </w:rPr>
              <w:t>Provisions</w:t>
            </w:r>
          </w:p>
        </w:tc>
        <w:tc>
          <w:tcPr>
            <w:tcW w:w="2380" w:type="dxa"/>
            <w:tcBorders>
              <w:top w:val="nil"/>
              <w:left w:val="single" w:sz="8" w:space="0" w:color="auto"/>
              <w:bottom w:val="nil"/>
              <w:right w:val="nil"/>
            </w:tcBorders>
            <w:shd w:val="clear" w:color="auto" w:fill="auto"/>
            <w:noWrap/>
            <w:vAlign w:val="bottom"/>
            <w:hideMark/>
          </w:tcPr>
          <w:p w:rsidR="00177ED3" w:rsidRDefault="00177ED3" w:rsidP="00177ED3">
            <w:pPr>
              <w:jc w:val="right"/>
              <w:rPr>
                <w:color w:val="000000"/>
                <w:sz w:val="20"/>
                <w:szCs w:val="20"/>
              </w:rPr>
            </w:pPr>
            <w:r>
              <w:rPr>
                <w:color w:val="000000"/>
                <w:sz w:val="20"/>
                <w:szCs w:val="20"/>
              </w:rPr>
              <w:t>43,372</w:t>
            </w:r>
          </w:p>
        </w:tc>
        <w:tc>
          <w:tcPr>
            <w:tcW w:w="2280" w:type="dxa"/>
            <w:tcBorders>
              <w:top w:val="nil"/>
              <w:left w:val="single" w:sz="4" w:space="0" w:color="auto"/>
              <w:bottom w:val="nil"/>
              <w:right w:val="single" w:sz="4" w:space="0" w:color="auto"/>
            </w:tcBorders>
            <w:shd w:val="clear" w:color="auto" w:fill="auto"/>
            <w:noWrap/>
            <w:vAlign w:val="bottom"/>
            <w:hideMark/>
          </w:tcPr>
          <w:p w:rsidR="00177ED3" w:rsidRDefault="00177ED3" w:rsidP="00177ED3">
            <w:pPr>
              <w:jc w:val="right"/>
              <w:rPr>
                <w:color w:val="000000"/>
                <w:sz w:val="20"/>
                <w:szCs w:val="20"/>
              </w:rPr>
            </w:pPr>
            <w:r>
              <w:rPr>
                <w:color w:val="000000"/>
                <w:sz w:val="20"/>
                <w:szCs w:val="20"/>
              </w:rPr>
              <w:t>44,333</w:t>
            </w:r>
          </w:p>
        </w:tc>
        <w:tc>
          <w:tcPr>
            <w:tcW w:w="2120" w:type="dxa"/>
            <w:tcBorders>
              <w:top w:val="nil"/>
              <w:left w:val="single" w:sz="8" w:space="0" w:color="auto"/>
              <w:bottom w:val="nil"/>
              <w:right w:val="single" w:sz="8" w:space="0" w:color="auto"/>
            </w:tcBorders>
            <w:shd w:val="clear" w:color="auto" w:fill="auto"/>
            <w:noWrap/>
            <w:vAlign w:val="bottom"/>
            <w:hideMark/>
          </w:tcPr>
          <w:p w:rsidR="00177ED3" w:rsidRDefault="00177ED3" w:rsidP="00177ED3">
            <w:pPr>
              <w:jc w:val="right"/>
              <w:rPr>
                <w:color w:val="000000"/>
                <w:sz w:val="20"/>
                <w:szCs w:val="20"/>
              </w:rPr>
            </w:pPr>
            <w:r>
              <w:rPr>
                <w:color w:val="000000"/>
                <w:sz w:val="20"/>
                <w:szCs w:val="20"/>
              </w:rPr>
              <w:t>44,333</w:t>
            </w:r>
          </w:p>
        </w:tc>
      </w:tr>
      <w:tr w:rsidR="00177ED3" w:rsidRPr="00C1496E" w:rsidTr="00E076B8">
        <w:trPr>
          <w:trHeight w:val="270"/>
        </w:trPr>
        <w:tc>
          <w:tcPr>
            <w:tcW w:w="3740" w:type="dxa"/>
            <w:tcBorders>
              <w:top w:val="nil"/>
              <w:left w:val="single" w:sz="8" w:space="0" w:color="auto"/>
              <w:bottom w:val="single" w:sz="8" w:space="0" w:color="auto"/>
              <w:right w:val="nil"/>
            </w:tcBorders>
            <w:shd w:val="clear" w:color="000000" w:fill="D9D9D9"/>
            <w:noWrap/>
            <w:vAlign w:val="bottom"/>
            <w:hideMark/>
          </w:tcPr>
          <w:p w:rsidR="00177ED3" w:rsidRPr="00C1496E" w:rsidRDefault="00177ED3" w:rsidP="00177ED3">
            <w:pPr>
              <w:rPr>
                <w:b/>
                <w:bCs/>
                <w:color w:val="000000"/>
                <w:sz w:val="20"/>
                <w:szCs w:val="20"/>
                <w:lang w:eastAsia="en-GB"/>
              </w:rPr>
            </w:pPr>
            <w:r w:rsidRPr="00C1496E">
              <w:rPr>
                <w:b/>
                <w:bCs/>
                <w:color w:val="000000"/>
                <w:sz w:val="20"/>
                <w:szCs w:val="20"/>
                <w:lang w:eastAsia="en-GB"/>
              </w:rPr>
              <w:t>Total Non-Current Liabilities</w:t>
            </w:r>
          </w:p>
        </w:tc>
        <w:tc>
          <w:tcPr>
            <w:tcW w:w="2380" w:type="dxa"/>
            <w:tcBorders>
              <w:top w:val="single" w:sz="8" w:space="0" w:color="auto"/>
              <w:left w:val="single" w:sz="8" w:space="0" w:color="auto"/>
              <w:bottom w:val="single" w:sz="8" w:space="0" w:color="auto"/>
              <w:right w:val="nil"/>
            </w:tcBorders>
            <w:shd w:val="clear" w:color="000000" w:fill="D9D9D9"/>
            <w:noWrap/>
            <w:vAlign w:val="bottom"/>
            <w:hideMark/>
          </w:tcPr>
          <w:p w:rsidR="00177ED3" w:rsidRDefault="00177ED3" w:rsidP="00177ED3">
            <w:pPr>
              <w:jc w:val="right"/>
              <w:rPr>
                <w:b/>
                <w:bCs/>
                <w:color w:val="000000"/>
                <w:sz w:val="20"/>
                <w:szCs w:val="20"/>
              </w:rPr>
            </w:pPr>
            <w:r>
              <w:rPr>
                <w:b/>
                <w:bCs/>
                <w:color w:val="000000"/>
                <w:sz w:val="20"/>
                <w:szCs w:val="20"/>
              </w:rPr>
              <w:t>44,838</w:t>
            </w:r>
          </w:p>
        </w:tc>
        <w:tc>
          <w:tcPr>
            <w:tcW w:w="2280" w:type="dxa"/>
            <w:tcBorders>
              <w:top w:val="single" w:sz="8" w:space="0" w:color="auto"/>
              <w:left w:val="single" w:sz="4" w:space="0" w:color="auto"/>
              <w:bottom w:val="single" w:sz="8" w:space="0" w:color="auto"/>
              <w:right w:val="single" w:sz="4" w:space="0" w:color="auto"/>
            </w:tcBorders>
            <w:shd w:val="clear" w:color="000000" w:fill="D9D9D9"/>
            <w:noWrap/>
            <w:vAlign w:val="bottom"/>
            <w:hideMark/>
          </w:tcPr>
          <w:p w:rsidR="00177ED3" w:rsidRDefault="00177ED3" w:rsidP="00177ED3">
            <w:pPr>
              <w:jc w:val="right"/>
              <w:rPr>
                <w:b/>
                <w:bCs/>
                <w:color w:val="000000"/>
                <w:sz w:val="20"/>
                <w:szCs w:val="20"/>
              </w:rPr>
            </w:pPr>
            <w:r>
              <w:rPr>
                <w:b/>
                <w:bCs/>
                <w:color w:val="000000"/>
                <w:sz w:val="20"/>
                <w:szCs w:val="20"/>
              </w:rPr>
              <w:t>45,799</w:t>
            </w:r>
          </w:p>
        </w:tc>
        <w:tc>
          <w:tcPr>
            <w:tcW w:w="2120" w:type="dxa"/>
            <w:tcBorders>
              <w:top w:val="single" w:sz="8" w:space="0" w:color="auto"/>
              <w:left w:val="nil"/>
              <w:bottom w:val="single" w:sz="8" w:space="0" w:color="auto"/>
              <w:right w:val="single" w:sz="8" w:space="0" w:color="auto"/>
            </w:tcBorders>
            <w:shd w:val="clear" w:color="000000" w:fill="D9D9D9"/>
            <w:noWrap/>
            <w:vAlign w:val="bottom"/>
            <w:hideMark/>
          </w:tcPr>
          <w:p w:rsidR="00177ED3" w:rsidRDefault="00177ED3" w:rsidP="00177ED3">
            <w:pPr>
              <w:jc w:val="right"/>
              <w:rPr>
                <w:b/>
                <w:bCs/>
                <w:color w:val="000000"/>
                <w:sz w:val="20"/>
                <w:szCs w:val="20"/>
              </w:rPr>
            </w:pPr>
            <w:r>
              <w:rPr>
                <w:b/>
                <w:bCs/>
                <w:color w:val="000000"/>
                <w:sz w:val="20"/>
                <w:szCs w:val="20"/>
              </w:rPr>
              <w:t>45,799</w:t>
            </w:r>
          </w:p>
        </w:tc>
      </w:tr>
      <w:tr w:rsidR="00177ED3" w:rsidRPr="00C1496E" w:rsidTr="00E076B8">
        <w:trPr>
          <w:trHeight w:val="270"/>
        </w:trPr>
        <w:tc>
          <w:tcPr>
            <w:tcW w:w="3740" w:type="dxa"/>
            <w:tcBorders>
              <w:top w:val="nil"/>
              <w:left w:val="single" w:sz="8" w:space="0" w:color="auto"/>
              <w:bottom w:val="single" w:sz="8" w:space="0" w:color="auto"/>
              <w:right w:val="nil"/>
            </w:tcBorders>
            <w:shd w:val="clear" w:color="000000" w:fill="95B3D7"/>
            <w:noWrap/>
            <w:vAlign w:val="bottom"/>
            <w:hideMark/>
          </w:tcPr>
          <w:p w:rsidR="00177ED3" w:rsidRPr="00C1496E" w:rsidRDefault="00177ED3" w:rsidP="00177ED3">
            <w:pPr>
              <w:rPr>
                <w:b/>
                <w:bCs/>
                <w:color w:val="000000"/>
                <w:sz w:val="20"/>
                <w:szCs w:val="20"/>
                <w:lang w:eastAsia="en-GB"/>
              </w:rPr>
            </w:pPr>
            <w:r w:rsidRPr="00C1496E">
              <w:rPr>
                <w:b/>
                <w:bCs/>
                <w:color w:val="000000"/>
                <w:sz w:val="20"/>
                <w:szCs w:val="20"/>
                <w:lang w:eastAsia="en-GB"/>
              </w:rPr>
              <w:t>TOTAL ASSETS EMPLOYED</w:t>
            </w:r>
          </w:p>
        </w:tc>
        <w:tc>
          <w:tcPr>
            <w:tcW w:w="2380" w:type="dxa"/>
            <w:tcBorders>
              <w:top w:val="nil"/>
              <w:left w:val="single" w:sz="8" w:space="0" w:color="auto"/>
              <w:bottom w:val="single" w:sz="8" w:space="0" w:color="auto"/>
              <w:right w:val="nil"/>
            </w:tcBorders>
            <w:shd w:val="clear" w:color="000000" w:fill="95B3D7"/>
            <w:noWrap/>
            <w:vAlign w:val="bottom"/>
            <w:hideMark/>
          </w:tcPr>
          <w:p w:rsidR="00177ED3" w:rsidRDefault="00177ED3" w:rsidP="00177ED3">
            <w:pPr>
              <w:jc w:val="right"/>
              <w:rPr>
                <w:b/>
                <w:bCs/>
                <w:color w:val="000000"/>
                <w:sz w:val="20"/>
                <w:szCs w:val="20"/>
              </w:rPr>
            </w:pPr>
            <w:r>
              <w:rPr>
                <w:b/>
                <w:bCs/>
                <w:color w:val="000000"/>
                <w:sz w:val="20"/>
                <w:szCs w:val="20"/>
              </w:rPr>
              <w:t>303,074</w:t>
            </w:r>
          </w:p>
        </w:tc>
        <w:tc>
          <w:tcPr>
            <w:tcW w:w="2280" w:type="dxa"/>
            <w:tcBorders>
              <w:top w:val="nil"/>
              <w:left w:val="single" w:sz="4" w:space="0" w:color="auto"/>
              <w:bottom w:val="single" w:sz="8" w:space="0" w:color="auto"/>
              <w:right w:val="single" w:sz="4" w:space="0" w:color="auto"/>
            </w:tcBorders>
            <w:shd w:val="clear" w:color="000000" w:fill="95B3D7"/>
            <w:noWrap/>
            <w:vAlign w:val="bottom"/>
            <w:hideMark/>
          </w:tcPr>
          <w:p w:rsidR="00177ED3" w:rsidRDefault="00177ED3" w:rsidP="00177ED3">
            <w:pPr>
              <w:jc w:val="right"/>
              <w:rPr>
                <w:b/>
                <w:bCs/>
                <w:color w:val="000000"/>
                <w:sz w:val="20"/>
                <w:szCs w:val="20"/>
              </w:rPr>
            </w:pPr>
            <w:r>
              <w:rPr>
                <w:b/>
                <w:bCs/>
                <w:color w:val="000000"/>
                <w:sz w:val="20"/>
                <w:szCs w:val="20"/>
              </w:rPr>
              <w:t>454,648</w:t>
            </w:r>
          </w:p>
        </w:tc>
        <w:tc>
          <w:tcPr>
            <w:tcW w:w="2120" w:type="dxa"/>
            <w:tcBorders>
              <w:top w:val="nil"/>
              <w:left w:val="nil"/>
              <w:bottom w:val="single" w:sz="8" w:space="0" w:color="auto"/>
              <w:right w:val="single" w:sz="8" w:space="0" w:color="auto"/>
            </w:tcBorders>
            <w:shd w:val="clear" w:color="000000" w:fill="95B3D7"/>
            <w:noWrap/>
            <w:vAlign w:val="bottom"/>
            <w:hideMark/>
          </w:tcPr>
          <w:p w:rsidR="00177ED3" w:rsidRDefault="00177ED3" w:rsidP="00177ED3">
            <w:pPr>
              <w:jc w:val="right"/>
              <w:rPr>
                <w:b/>
                <w:bCs/>
                <w:color w:val="000000"/>
                <w:sz w:val="20"/>
                <w:szCs w:val="20"/>
              </w:rPr>
            </w:pPr>
            <w:r>
              <w:rPr>
                <w:b/>
                <w:bCs/>
                <w:color w:val="000000"/>
                <w:sz w:val="20"/>
                <w:szCs w:val="20"/>
              </w:rPr>
              <w:t>453,615</w:t>
            </w:r>
          </w:p>
        </w:tc>
      </w:tr>
      <w:tr w:rsidR="00177ED3" w:rsidRPr="00C1496E" w:rsidTr="00E076B8">
        <w:trPr>
          <w:trHeight w:val="255"/>
        </w:trPr>
        <w:tc>
          <w:tcPr>
            <w:tcW w:w="3740" w:type="dxa"/>
            <w:tcBorders>
              <w:top w:val="nil"/>
              <w:left w:val="single" w:sz="8" w:space="0" w:color="auto"/>
              <w:bottom w:val="nil"/>
              <w:right w:val="single" w:sz="8" w:space="0" w:color="auto"/>
            </w:tcBorders>
            <w:shd w:val="clear" w:color="auto" w:fill="auto"/>
            <w:noWrap/>
            <w:vAlign w:val="bottom"/>
            <w:hideMark/>
          </w:tcPr>
          <w:p w:rsidR="00177ED3" w:rsidRPr="00C1496E" w:rsidRDefault="00177ED3" w:rsidP="00177ED3">
            <w:pPr>
              <w:rPr>
                <w:b/>
                <w:bCs/>
                <w:color w:val="000000"/>
                <w:sz w:val="20"/>
                <w:szCs w:val="20"/>
                <w:lang w:eastAsia="en-GB"/>
              </w:rPr>
            </w:pPr>
            <w:r w:rsidRPr="00C1496E">
              <w:rPr>
                <w:b/>
                <w:bCs/>
                <w:color w:val="000000"/>
                <w:sz w:val="20"/>
                <w:szCs w:val="20"/>
                <w:lang w:eastAsia="en-GB"/>
              </w:rPr>
              <w:t>Financed By:</w:t>
            </w:r>
          </w:p>
        </w:tc>
        <w:tc>
          <w:tcPr>
            <w:tcW w:w="2380" w:type="dxa"/>
            <w:tcBorders>
              <w:top w:val="nil"/>
              <w:left w:val="nil"/>
              <w:bottom w:val="nil"/>
              <w:right w:val="nil"/>
            </w:tcBorders>
            <w:shd w:val="clear" w:color="auto" w:fill="auto"/>
            <w:noWrap/>
            <w:vAlign w:val="bottom"/>
            <w:hideMark/>
          </w:tcPr>
          <w:p w:rsidR="00177ED3" w:rsidRDefault="00177ED3" w:rsidP="00177ED3">
            <w:pPr>
              <w:rPr>
                <w:color w:val="000000"/>
                <w:sz w:val="20"/>
                <w:szCs w:val="20"/>
              </w:rPr>
            </w:pPr>
            <w:r>
              <w:rPr>
                <w:color w:val="000000"/>
                <w:sz w:val="20"/>
                <w:szCs w:val="20"/>
              </w:rPr>
              <w:t> </w:t>
            </w:r>
          </w:p>
        </w:tc>
        <w:tc>
          <w:tcPr>
            <w:tcW w:w="2280" w:type="dxa"/>
            <w:tcBorders>
              <w:top w:val="nil"/>
              <w:left w:val="single" w:sz="4" w:space="0" w:color="auto"/>
              <w:bottom w:val="nil"/>
              <w:right w:val="single" w:sz="4" w:space="0" w:color="auto"/>
            </w:tcBorders>
            <w:shd w:val="clear" w:color="auto" w:fill="auto"/>
            <w:noWrap/>
            <w:vAlign w:val="bottom"/>
            <w:hideMark/>
          </w:tcPr>
          <w:p w:rsidR="00177ED3" w:rsidRDefault="00177ED3" w:rsidP="00177ED3">
            <w:pPr>
              <w:rPr>
                <w:color w:val="000000"/>
                <w:sz w:val="20"/>
                <w:szCs w:val="20"/>
              </w:rPr>
            </w:pPr>
            <w:r>
              <w:rPr>
                <w:color w:val="000000"/>
                <w:sz w:val="20"/>
                <w:szCs w:val="20"/>
              </w:rPr>
              <w:t> </w:t>
            </w:r>
          </w:p>
        </w:tc>
        <w:tc>
          <w:tcPr>
            <w:tcW w:w="2120" w:type="dxa"/>
            <w:tcBorders>
              <w:top w:val="nil"/>
              <w:left w:val="nil"/>
              <w:bottom w:val="nil"/>
              <w:right w:val="single" w:sz="8" w:space="0" w:color="auto"/>
            </w:tcBorders>
            <w:shd w:val="clear" w:color="auto" w:fill="auto"/>
            <w:noWrap/>
            <w:vAlign w:val="bottom"/>
            <w:hideMark/>
          </w:tcPr>
          <w:p w:rsidR="00177ED3" w:rsidRDefault="00177ED3" w:rsidP="00177ED3">
            <w:pPr>
              <w:rPr>
                <w:color w:val="000000"/>
                <w:sz w:val="20"/>
                <w:szCs w:val="20"/>
              </w:rPr>
            </w:pPr>
            <w:r>
              <w:rPr>
                <w:color w:val="000000"/>
                <w:sz w:val="20"/>
                <w:szCs w:val="20"/>
              </w:rPr>
              <w:t> </w:t>
            </w:r>
          </w:p>
        </w:tc>
      </w:tr>
      <w:tr w:rsidR="00177ED3" w:rsidRPr="00C1496E" w:rsidTr="00E076B8">
        <w:trPr>
          <w:trHeight w:val="255"/>
        </w:trPr>
        <w:tc>
          <w:tcPr>
            <w:tcW w:w="3740" w:type="dxa"/>
            <w:tcBorders>
              <w:top w:val="nil"/>
              <w:left w:val="single" w:sz="8" w:space="0" w:color="auto"/>
              <w:bottom w:val="nil"/>
              <w:right w:val="single" w:sz="8" w:space="0" w:color="auto"/>
            </w:tcBorders>
            <w:shd w:val="clear" w:color="auto" w:fill="auto"/>
            <w:noWrap/>
            <w:vAlign w:val="bottom"/>
            <w:hideMark/>
          </w:tcPr>
          <w:p w:rsidR="00177ED3" w:rsidRPr="00C1496E" w:rsidRDefault="00177ED3" w:rsidP="00177ED3">
            <w:pPr>
              <w:rPr>
                <w:color w:val="000000"/>
                <w:sz w:val="20"/>
                <w:szCs w:val="20"/>
                <w:lang w:eastAsia="en-GB"/>
              </w:rPr>
            </w:pPr>
            <w:r w:rsidRPr="00C1496E">
              <w:rPr>
                <w:color w:val="000000"/>
                <w:sz w:val="20"/>
                <w:szCs w:val="20"/>
                <w:lang w:eastAsia="en-GB"/>
              </w:rPr>
              <w:t>General Fund</w:t>
            </w:r>
          </w:p>
        </w:tc>
        <w:tc>
          <w:tcPr>
            <w:tcW w:w="2380" w:type="dxa"/>
            <w:tcBorders>
              <w:top w:val="nil"/>
              <w:left w:val="nil"/>
              <w:bottom w:val="nil"/>
              <w:right w:val="nil"/>
            </w:tcBorders>
            <w:shd w:val="clear" w:color="auto" w:fill="auto"/>
            <w:noWrap/>
            <w:vAlign w:val="bottom"/>
            <w:hideMark/>
          </w:tcPr>
          <w:p w:rsidR="00177ED3" w:rsidRDefault="00177ED3" w:rsidP="00177ED3">
            <w:pPr>
              <w:jc w:val="right"/>
              <w:rPr>
                <w:color w:val="000000"/>
                <w:sz w:val="20"/>
                <w:szCs w:val="20"/>
              </w:rPr>
            </w:pPr>
            <w:r>
              <w:rPr>
                <w:color w:val="000000"/>
                <w:sz w:val="20"/>
                <w:szCs w:val="20"/>
              </w:rPr>
              <w:t>277,070</w:t>
            </w:r>
          </w:p>
        </w:tc>
        <w:tc>
          <w:tcPr>
            <w:tcW w:w="2280" w:type="dxa"/>
            <w:tcBorders>
              <w:top w:val="nil"/>
              <w:left w:val="single" w:sz="4" w:space="0" w:color="auto"/>
              <w:bottom w:val="nil"/>
              <w:right w:val="single" w:sz="4" w:space="0" w:color="auto"/>
            </w:tcBorders>
            <w:shd w:val="clear" w:color="auto" w:fill="auto"/>
            <w:noWrap/>
            <w:vAlign w:val="bottom"/>
            <w:hideMark/>
          </w:tcPr>
          <w:p w:rsidR="00177ED3" w:rsidRDefault="00177ED3" w:rsidP="00177ED3">
            <w:pPr>
              <w:jc w:val="right"/>
              <w:rPr>
                <w:color w:val="000000"/>
                <w:sz w:val="20"/>
                <w:szCs w:val="20"/>
              </w:rPr>
            </w:pPr>
            <w:r>
              <w:rPr>
                <w:color w:val="000000"/>
                <w:sz w:val="20"/>
                <w:szCs w:val="20"/>
              </w:rPr>
              <w:t>409,793</w:t>
            </w:r>
          </w:p>
        </w:tc>
        <w:tc>
          <w:tcPr>
            <w:tcW w:w="2120" w:type="dxa"/>
            <w:tcBorders>
              <w:top w:val="nil"/>
              <w:left w:val="nil"/>
              <w:bottom w:val="nil"/>
              <w:right w:val="single" w:sz="8" w:space="0" w:color="auto"/>
            </w:tcBorders>
            <w:shd w:val="clear" w:color="auto" w:fill="auto"/>
            <w:noWrap/>
            <w:vAlign w:val="bottom"/>
            <w:hideMark/>
          </w:tcPr>
          <w:p w:rsidR="00177ED3" w:rsidRDefault="00177ED3" w:rsidP="00177ED3">
            <w:pPr>
              <w:jc w:val="right"/>
              <w:rPr>
                <w:color w:val="000000"/>
                <w:sz w:val="20"/>
                <w:szCs w:val="20"/>
              </w:rPr>
            </w:pPr>
            <w:r>
              <w:rPr>
                <w:color w:val="000000"/>
                <w:sz w:val="20"/>
                <w:szCs w:val="20"/>
              </w:rPr>
              <w:t>408,760</w:t>
            </w:r>
          </w:p>
        </w:tc>
      </w:tr>
      <w:tr w:rsidR="00177ED3" w:rsidRPr="00C1496E" w:rsidTr="00E076B8">
        <w:trPr>
          <w:trHeight w:val="270"/>
        </w:trPr>
        <w:tc>
          <w:tcPr>
            <w:tcW w:w="3740" w:type="dxa"/>
            <w:tcBorders>
              <w:top w:val="nil"/>
              <w:left w:val="single" w:sz="8" w:space="0" w:color="auto"/>
              <w:bottom w:val="nil"/>
              <w:right w:val="single" w:sz="8" w:space="0" w:color="auto"/>
            </w:tcBorders>
            <w:shd w:val="clear" w:color="auto" w:fill="auto"/>
            <w:noWrap/>
            <w:vAlign w:val="bottom"/>
            <w:hideMark/>
          </w:tcPr>
          <w:p w:rsidR="00177ED3" w:rsidRPr="00C1496E" w:rsidRDefault="00177ED3" w:rsidP="00177ED3">
            <w:pPr>
              <w:rPr>
                <w:color w:val="000000"/>
                <w:sz w:val="20"/>
                <w:szCs w:val="20"/>
                <w:lang w:eastAsia="en-GB"/>
              </w:rPr>
            </w:pPr>
            <w:r w:rsidRPr="00C1496E">
              <w:rPr>
                <w:color w:val="000000"/>
                <w:sz w:val="20"/>
                <w:szCs w:val="20"/>
                <w:lang w:eastAsia="en-GB"/>
              </w:rPr>
              <w:t>Revaluation Reserve</w:t>
            </w:r>
          </w:p>
        </w:tc>
        <w:tc>
          <w:tcPr>
            <w:tcW w:w="2380" w:type="dxa"/>
            <w:tcBorders>
              <w:top w:val="nil"/>
              <w:left w:val="nil"/>
              <w:bottom w:val="nil"/>
              <w:right w:val="nil"/>
            </w:tcBorders>
            <w:shd w:val="clear" w:color="auto" w:fill="auto"/>
            <w:noWrap/>
            <w:vAlign w:val="bottom"/>
            <w:hideMark/>
          </w:tcPr>
          <w:p w:rsidR="00177ED3" w:rsidRDefault="00177ED3" w:rsidP="00177ED3">
            <w:pPr>
              <w:jc w:val="right"/>
              <w:rPr>
                <w:color w:val="000000"/>
                <w:sz w:val="20"/>
                <w:szCs w:val="20"/>
              </w:rPr>
            </w:pPr>
            <w:r>
              <w:rPr>
                <w:color w:val="000000"/>
                <w:sz w:val="20"/>
                <w:szCs w:val="20"/>
              </w:rPr>
              <w:t>26,004</w:t>
            </w:r>
          </w:p>
        </w:tc>
        <w:tc>
          <w:tcPr>
            <w:tcW w:w="2280" w:type="dxa"/>
            <w:tcBorders>
              <w:top w:val="nil"/>
              <w:left w:val="single" w:sz="4" w:space="0" w:color="auto"/>
              <w:bottom w:val="single" w:sz="4" w:space="0" w:color="auto"/>
              <w:right w:val="single" w:sz="4" w:space="0" w:color="auto"/>
            </w:tcBorders>
            <w:shd w:val="clear" w:color="auto" w:fill="auto"/>
            <w:noWrap/>
            <w:vAlign w:val="bottom"/>
            <w:hideMark/>
          </w:tcPr>
          <w:p w:rsidR="00177ED3" w:rsidRDefault="00177ED3" w:rsidP="00177ED3">
            <w:pPr>
              <w:jc w:val="right"/>
              <w:rPr>
                <w:color w:val="000000"/>
                <w:sz w:val="20"/>
                <w:szCs w:val="20"/>
              </w:rPr>
            </w:pPr>
            <w:r>
              <w:rPr>
                <w:color w:val="000000"/>
                <w:sz w:val="20"/>
                <w:szCs w:val="20"/>
              </w:rPr>
              <w:t>44,855</w:t>
            </w:r>
          </w:p>
        </w:tc>
        <w:tc>
          <w:tcPr>
            <w:tcW w:w="2120" w:type="dxa"/>
            <w:tcBorders>
              <w:top w:val="nil"/>
              <w:left w:val="nil"/>
              <w:bottom w:val="nil"/>
              <w:right w:val="single" w:sz="8" w:space="0" w:color="auto"/>
            </w:tcBorders>
            <w:shd w:val="clear" w:color="auto" w:fill="auto"/>
            <w:noWrap/>
            <w:vAlign w:val="bottom"/>
            <w:hideMark/>
          </w:tcPr>
          <w:p w:rsidR="00177ED3" w:rsidRDefault="00177ED3" w:rsidP="00177ED3">
            <w:pPr>
              <w:jc w:val="right"/>
              <w:rPr>
                <w:color w:val="000000"/>
                <w:sz w:val="20"/>
                <w:szCs w:val="20"/>
              </w:rPr>
            </w:pPr>
            <w:r>
              <w:rPr>
                <w:color w:val="000000"/>
                <w:sz w:val="20"/>
                <w:szCs w:val="20"/>
              </w:rPr>
              <w:t>44,855</w:t>
            </w:r>
          </w:p>
        </w:tc>
      </w:tr>
      <w:tr w:rsidR="00177ED3" w:rsidRPr="00C1496E" w:rsidTr="00E076B8">
        <w:trPr>
          <w:trHeight w:val="270"/>
        </w:trPr>
        <w:tc>
          <w:tcPr>
            <w:tcW w:w="3740" w:type="dxa"/>
            <w:tcBorders>
              <w:top w:val="single" w:sz="8" w:space="0" w:color="auto"/>
              <w:left w:val="single" w:sz="8" w:space="0" w:color="auto"/>
              <w:bottom w:val="single" w:sz="8" w:space="0" w:color="auto"/>
              <w:right w:val="single" w:sz="8" w:space="0" w:color="auto"/>
            </w:tcBorders>
            <w:shd w:val="clear" w:color="000000" w:fill="95B3D7"/>
            <w:noWrap/>
            <w:vAlign w:val="bottom"/>
            <w:hideMark/>
          </w:tcPr>
          <w:p w:rsidR="00177ED3" w:rsidRPr="00C1496E" w:rsidRDefault="00177ED3" w:rsidP="00177ED3">
            <w:pPr>
              <w:rPr>
                <w:b/>
                <w:bCs/>
                <w:color w:val="000000"/>
                <w:sz w:val="20"/>
                <w:szCs w:val="20"/>
                <w:lang w:eastAsia="en-GB"/>
              </w:rPr>
            </w:pPr>
            <w:r w:rsidRPr="00C1496E">
              <w:rPr>
                <w:b/>
                <w:bCs/>
                <w:color w:val="000000"/>
                <w:sz w:val="20"/>
                <w:szCs w:val="20"/>
                <w:lang w:eastAsia="en-GB"/>
              </w:rPr>
              <w:t>TOTAL</w:t>
            </w:r>
          </w:p>
        </w:tc>
        <w:tc>
          <w:tcPr>
            <w:tcW w:w="2380" w:type="dxa"/>
            <w:tcBorders>
              <w:top w:val="single" w:sz="8" w:space="0" w:color="auto"/>
              <w:left w:val="nil"/>
              <w:bottom w:val="single" w:sz="8" w:space="0" w:color="auto"/>
              <w:right w:val="nil"/>
            </w:tcBorders>
            <w:shd w:val="clear" w:color="000000" w:fill="95B3D7"/>
            <w:noWrap/>
            <w:vAlign w:val="bottom"/>
            <w:hideMark/>
          </w:tcPr>
          <w:p w:rsidR="00177ED3" w:rsidRDefault="00177ED3" w:rsidP="00177ED3">
            <w:pPr>
              <w:jc w:val="right"/>
              <w:rPr>
                <w:b/>
                <w:bCs/>
                <w:color w:val="000000"/>
                <w:sz w:val="20"/>
                <w:szCs w:val="20"/>
              </w:rPr>
            </w:pPr>
            <w:r>
              <w:rPr>
                <w:b/>
                <w:bCs/>
                <w:color w:val="000000"/>
                <w:sz w:val="20"/>
                <w:szCs w:val="20"/>
              </w:rPr>
              <w:t>303,074</w:t>
            </w:r>
          </w:p>
        </w:tc>
        <w:tc>
          <w:tcPr>
            <w:tcW w:w="2280" w:type="dxa"/>
            <w:tcBorders>
              <w:top w:val="nil"/>
              <w:left w:val="single" w:sz="4" w:space="0" w:color="auto"/>
              <w:bottom w:val="single" w:sz="8" w:space="0" w:color="auto"/>
              <w:right w:val="single" w:sz="4" w:space="0" w:color="auto"/>
            </w:tcBorders>
            <w:shd w:val="clear" w:color="000000" w:fill="95B3D7"/>
            <w:noWrap/>
            <w:vAlign w:val="bottom"/>
            <w:hideMark/>
          </w:tcPr>
          <w:p w:rsidR="00177ED3" w:rsidRDefault="00177ED3" w:rsidP="00177ED3">
            <w:pPr>
              <w:jc w:val="right"/>
              <w:rPr>
                <w:b/>
                <w:bCs/>
                <w:color w:val="000000"/>
                <w:sz w:val="20"/>
                <w:szCs w:val="20"/>
              </w:rPr>
            </w:pPr>
            <w:r>
              <w:rPr>
                <w:b/>
                <w:bCs/>
                <w:color w:val="000000"/>
                <w:sz w:val="20"/>
                <w:szCs w:val="20"/>
              </w:rPr>
              <w:t>454,648</w:t>
            </w:r>
          </w:p>
        </w:tc>
        <w:tc>
          <w:tcPr>
            <w:tcW w:w="2120" w:type="dxa"/>
            <w:tcBorders>
              <w:top w:val="nil"/>
              <w:left w:val="nil"/>
              <w:bottom w:val="single" w:sz="8" w:space="0" w:color="auto"/>
              <w:right w:val="single" w:sz="8" w:space="0" w:color="auto"/>
            </w:tcBorders>
            <w:shd w:val="clear" w:color="000000" w:fill="95B3D7"/>
            <w:noWrap/>
            <w:vAlign w:val="bottom"/>
            <w:hideMark/>
          </w:tcPr>
          <w:p w:rsidR="00177ED3" w:rsidRDefault="00177ED3" w:rsidP="00177ED3">
            <w:pPr>
              <w:jc w:val="right"/>
              <w:rPr>
                <w:b/>
                <w:bCs/>
                <w:color w:val="000000"/>
                <w:sz w:val="20"/>
                <w:szCs w:val="20"/>
              </w:rPr>
            </w:pPr>
            <w:r>
              <w:rPr>
                <w:b/>
                <w:bCs/>
                <w:color w:val="000000"/>
                <w:sz w:val="20"/>
                <w:szCs w:val="20"/>
              </w:rPr>
              <w:t>453,615</w:t>
            </w:r>
          </w:p>
        </w:tc>
      </w:tr>
    </w:tbl>
    <w:p w:rsidR="0054713E" w:rsidRPr="00C1496E" w:rsidRDefault="0054713E" w:rsidP="0054713E">
      <w:pPr>
        <w:ind w:left="709"/>
        <w:jc w:val="both"/>
        <w:rPr>
          <w:rFonts w:cs="Tahoma"/>
          <w:sz w:val="24"/>
        </w:rPr>
      </w:pPr>
    </w:p>
    <w:p w:rsidR="0054713E" w:rsidRDefault="0054713E" w:rsidP="0054713E">
      <w:pPr>
        <w:jc w:val="both"/>
        <w:rPr>
          <w:rFonts w:cs="Tahoma"/>
          <w:b/>
          <w:bCs/>
          <w:sz w:val="24"/>
        </w:rPr>
      </w:pPr>
    </w:p>
    <w:p w:rsidR="00E076B8" w:rsidRPr="00C1496E" w:rsidRDefault="00E076B8" w:rsidP="0054713E">
      <w:pPr>
        <w:jc w:val="both"/>
        <w:rPr>
          <w:rFonts w:cs="Tahoma"/>
          <w:b/>
          <w:bCs/>
          <w:sz w:val="24"/>
        </w:rPr>
      </w:pPr>
    </w:p>
    <w:p w:rsidR="0054713E" w:rsidRPr="00A72850" w:rsidRDefault="0054713E" w:rsidP="0054713E">
      <w:pPr>
        <w:rPr>
          <w:rFonts w:cs="Tahoma"/>
          <w:b/>
          <w:bCs/>
          <w:sz w:val="24"/>
          <w:highlight w:val="yellow"/>
        </w:rPr>
      </w:pPr>
    </w:p>
    <w:p w:rsidR="0054713E" w:rsidRPr="00C1496E" w:rsidRDefault="0054713E" w:rsidP="006616E8">
      <w:pPr>
        <w:pStyle w:val="ListParagraph"/>
        <w:numPr>
          <w:ilvl w:val="1"/>
          <w:numId w:val="34"/>
        </w:numPr>
        <w:jc w:val="both"/>
        <w:rPr>
          <w:rFonts w:cs="Tahoma"/>
          <w:b/>
          <w:bCs/>
          <w:sz w:val="24"/>
        </w:rPr>
      </w:pPr>
      <w:r w:rsidRPr="00C1496E">
        <w:rPr>
          <w:rFonts w:cs="Tahoma"/>
          <w:b/>
          <w:bCs/>
          <w:sz w:val="24"/>
        </w:rPr>
        <w:t>Cash Flow</w:t>
      </w:r>
    </w:p>
    <w:p w:rsidR="0054713E" w:rsidRPr="00C1496E" w:rsidRDefault="0054713E" w:rsidP="0054713E">
      <w:pPr>
        <w:jc w:val="both"/>
        <w:rPr>
          <w:rFonts w:cs="Tahoma"/>
          <w:sz w:val="24"/>
        </w:rPr>
      </w:pPr>
    </w:p>
    <w:p w:rsidR="0054713E" w:rsidRPr="00C1496E" w:rsidRDefault="0054713E" w:rsidP="0054713E">
      <w:pPr>
        <w:ind w:left="709"/>
        <w:jc w:val="both"/>
        <w:rPr>
          <w:rFonts w:cs="Tahoma"/>
          <w:b/>
          <w:bCs/>
          <w:sz w:val="24"/>
        </w:rPr>
      </w:pPr>
      <w:r w:rsidRPr="00C1496E">
        <w:rPr>
          <w:rFonts w:cs="Tahoma"/>
          <w:sz w:val="24"/>
        </w:rPr>
        <w:t>A cash flow forecast is detailed in the table below:</w:t>
      </w:r>
    </w:p>
    <w:p w:rsidR="0054713E" w:rsidRPr="00C1496E" w:rsidRDefault="0054713E" w:rsidP="0054713E">
      <w:pPr>
        <w:pStyle w:val="ListParagraph"/>
        <w:rPr>
          <w:rFonts w:cs="Tahoma"/>
          <w:sz w:val="20"/>
          <w:szCs w:val="20"/>
        </w:rPr>
      </w:pPr>
    </w:p>
    <w:tbl>
      <w:tblPr>
        <w:tblW w:w="15459" w:type="dxa"/>
        <w:tblInd w:w="-10" w:type="dxa"/>
        <w:tblLook w:val="04A0" w:firstRow="1" w:lastRow="0" w:firstColumn="1" w:lastColumn="0" w:noHBand="0" w:noVBand="1"/>
      </w:tblPr>
      <w:tblGrid>
        <w:gridCol w:w="2013"/>
        <w:gridCol w:w="921"/>
        <w:gridCol w:w="1049"/>
        <w:gridCol w:w="921"/>
        <w:gridCol w:w="1049"/>
        <w:gridCol w:w="1049"/>
        <w:gridCol w:w="921"/>
        <w:gridCol w:w="1049"/>
        <w:gridCol w:w="1049"/>
        <w:gridCol w:w="1049"/>
        <w:gridCol w:w="1049"/>
        <w:gridCol w:w="1049"/>
        <w:gridCol w:w="1049"/>
        <w:gridCol w:w="1242"/>
      </w:tblGrid>
      <w:tr w:rsidR="0054713E" w:rsidRPr="00C1496E" w:rsidTr="00B409EE">
        <w:trPr>
          <w:trHeight w:val="270"/>
        </w:trPr>
        <w:tc>
          <w:tcPr>
            <w:tcW w:w="2013" w:type="dxa"/>
            <w:vMerge w:val="restart"/>
            <w:tcBorders>
              <w:top w:val="single" w:sz="8" w:space="0" w:color="auto"/>
              <w:left w:val="single" w:sz="8" w:space="0" w:color="auto"/>
              <w:bottom w:val="nil"/>
              <w:right w:val="single" w:sz="8" w:space="0" w:color="auto"/>
            </w:tcBorders>
            <w:shd w:val="clear" w:color="auto" w:fill="auto"/>
            <w:hideMark/>
          </w:tcPr>
          <w:p w:rsidR="0054713E" w:rsidRPr="00C1496E" w:rsidRDefault="0054713E" w:rsidP="003C4364">
            <w:pPr>
              <w:rPr>
                <w:b/>
                <w:bCs/>
                <w:color w:val="000000"/>
                <w:sz w:val="18"/>
                <w:szCs w:val="18"/>
                <w:lang w:eastAsia="en-GB"/>
              </w:rPr>
            </w:pPr>
            <w:r w:rsidRPr="00C1496E">
              <w:rPr>
                <w:b/>
                <w:bCs/>
                <w:color w:val="000000"/>
                <w:sz w:val="18"/>
                <w:szCs w:val="18"/>
                <w:lang w:eastAsia="en-GB"/>
              </w:rPr>
              <w:t>Cashflow Forecast</w:t>
            </w:r>
          </w:p>
        </w:tc>
        <w:tc>
          <w:tcPr>
            <w:tcW w:w="13446" w:type="dxa"/>
            <w:gridSpan w:val="13"/>
            <w:tcBorders>
              <w:top w:val="single" w:sz="8" w:space="0" w:color="auto"/>
              <w:left w:val="nil"/>
              <w:bottom w:val="single" w:sz="8" w:space="0" w:color="auto"/>
              <w:right w:val="single" w:sz="8" w:space="0" w:color="000000"/>
            </w:tcBorders>
            <w:shd w:val="clear" w:color="auto" w:fill="auto"/>
            <w:noWrap/>
            <w:vAlign w:val="bottom"/>
            <w:hideMark/>
          </w:tcPr>
          <w:p w:rsidR="0054713E" w:rsidRPr="00C1496E" w:rsidRDefault="0054713E" w:rsidP="003C4364">
            <w:pPr>
              <w:jc w:val="center"/>
              <w:rPr>
                <w:b/>
                <w:bCs/>
                <w:color w:val="000000"/>
                <w:sz w:val="18"/>
                <w:szCs w:val="18"/>
                <w:lang w:eastAsia="en-GB"/>
              </w:rPr>
            </w:pPr>
            <w:r w:rsidRPr="00C1496E">
              <w:rPr>
                <w:b/>
                <w:bCs/>
                <w:color w:val="000000"/>
                <w:sz w:val="18"/>
                <w:szCs w:val="18"/>
                <w:lang w:eastAsia="en-GB"/>
              </w:rPr>
              <w:t>Actual/Forecast</w:t>
            </w:r>
          </w:p>
        </w:tc>
      </w:tr>
      <w:tr w:rsidR="0054713E" w:rsidRPr="00C1496E" w:rsidTr="00B409EE">
        <w:trPr>
          <w:trHeight w:val="255"/>
        </w:trPr>
        <w:tc>
          <w:tcPr>
            <w:tcW w:w="2013" w:type="dxa"/>
            <w:vMerge/>
            <w:tcBorders>
              <w:top w:val="single" w:sz="8" w:space="0" w:color="auto"/>
              <w:left w:val="single" w:sz="8" w:space="0" w:color="auto"/>
              <w:bottom w:val="nil"/>
              <w:right w:val="single" w:sz="8" w:space="0" w:color="auto"/>
            </w:tcBorders>
            <w:vAlign w:val="center"/>
            <w:hideMark/>
          </w:tcPr>
          <w:p w:rsidR="0054713E" w:rsidRPr="00C1496E" w:rsidRDefault="0054713E" w:rsidP="003C4364">
            <w:pPr>
              <w:rPr>
                <w:b/>
                <w:bCs/>
                <w:color w:val="000000"/>
                <w:sz w:val="18"/>
                <w:szCs w:val="18"/>
                <w:lang w:eastAsia="en-GB"/>
              </w:rPr>
            </w:pPr>
          </w:p>
        </w:tc>
        <w:tc>
          <w:tcPr>
            <w:tcW w:w="921" w:type="dxa"/>
            <w:tcBorders>
              <w:top w:val="nil"/>
              <w:left w:val="nil"/>
              <w:bottom w:val="nil"/>
              <w:right w:val="nil"/>
            </w:tcBorders>
            <w:shd w:val="clear" w:color="auto" w:fill="auto"/>
            <w:noWrap/>
            <w:vAlign w:val="bottom"/>
            <w:hideMark/>
          </w:tcPr>
          <w:p w:rsidR="0054713E" w:rsidRPr="00C1496E" w:rsidRDefault="0054713E" w:rsidP="003C4364">
            <w:pPr>
              <w:jc w:val="center"/>
              <w:rPr>
                <w:color w:val="000000"/>
                <w:sz w:val="18"/>
                <w:szCs w:val="18"/>
                <w:lang w:eastAsia="en-GB"/>
              </w:rPr>
            </w:pPr>
            <w:r w:rsidRPr="00C1496E">
              <w:rPr>
                <w:color w:val="000000"/>
                <w:sz w:val="18"/>
                <w:szCs w:val="18"/>
                <w:lang w:eastAsia="en-GB"/>
              </w:rPr>
              <w:t>Apr</w:t>
            </w:r>
          </w:p>
        </w:tc>
        <w:tc>
          <w:tcPr>
            <w:tcW w:w="1049" w:type="dxa"/>
            <w:tcBorders>
              <w:top w:val="nil"/>
              <w:left w:val="single" w:sz="4" w:space="0" w:color="auto"/>
              <w:bottom w:val="nil"/>
              <w:right w:val="single" w:sz="4" w:space="0" w:color="auto"/>
            </w:tcBorders>
            <w:shd w:val="clear" w:color="auto" w:fill="auto"/>
            <w:noWrap/>
            <w:vAlign w:val="bottom"/>
            <w:hideMark/>
          </w:tcPr>
          <w:p w:rsidR="0054713E" w:rsidRPr="00C1496E" w:rsidRDefault="0054713E" w:rsidP="003C4364">
            <w:pPr>
              <w:jc w:val="center"/>
              <w:rPr>
                <w:color w:val="000000"/>
                <w:sz w:val="18"/>
                <w:szCs w:val="18"/>
                <w:lang w:eastAsia="en-GB"/>
              </w:rPr>
            </w:pPr>
            <w:r w:rsidRPr="00C1496E">
              <w:rPr>
                <w:color w:val="000000"/>
                <w:sz w:val="18"/>
                <w:szCs w:val="18"/>
                <w:lang w:eastAsia="en-GB"/>
              </w:rPr>
              <w:t>May</w:t>
            </w:r>
          </w:p>
        </w:tc>
        <w:tc>
          <w:tcPr>
            <w:tcW w:w="921" w:type="dxa"/>
            <w:tcBorders>
              <w:top w:val="nil"/>
              <w:left w:val="nil"/>
              <w:bottom w:val="nil"/>
              <w:right w:val="single" w:sz="4" w:space="0" w:color="auto"/>
            </w:tcBorders>
            <w:shd w:val="clear" w:color="auto" w:fill="auto"/>
            <w:noWrap/>
            <w:vAlign w:val="bottom"/>
            <w:hideMark/>
          </w:tcPr>
          <w:p w:rsidR="0054713E" w:rsidRPr="00C1496E" w:rsidRDefault="0054713E" w:rsidP="003C4364">
            <w:pPr>
              <w:jc w:val="center"/>
              <w:rPr>
                <w:color w:val="000000"/>
                <w:sz w:val="18"/>
                <w:szCs w:val="18"/>
                <w:lang w:eastAsia="en-GB"/>
              </w:rPr>
            </w:pPr>
            <w:r w:rsidRPr="00C1496E">
              <w:rPr>
                <w:color w:val="000000"/>
                <w:sz w:val="18"/>
                <w:szCs w:val="18"/>
                <w:lang w:eastAsia="en-GB"/>
              </w:rPr>
              <w:t>Jun</w:t>
            </w:r>
          </w:p>
        </w:tc>
        <w:tc>
          <w:tcPr>
            <w:tcW w:w="1049" w:type="dxa"/>
            <w:tcBorders>
              <w:top w:val="nil"/>
              <w:left w:val="nil"/>
              <w:bottom w:val="nil"/>
              <w:right w:val="single" w:sz="4" w:space="0" w:color="auto"/>
            </w:tcBorders>
            <w:shd w:val="clear" w:color="auto" w:fill="auto"/>
            <w:noWrap/>
            <w:vAlign w:val="bottom"/>
            <w:hideMark/>
          </w:tcPr>
          <w:p w:rsidR="0054713E" w:rsidRPr="00C1496E" w:rsidRDefault="0054713E" w:rsidP="003C4364">
            <w:pPr>
              <w:jc w:val="center"/>
              <w:rPr>
                <w:color w:val="000000"/>
                <w:sz w:val="18"/>
                <w:szCs w:val="18"/>
                <w:lang w:eastAsia="en-GB"/>
              </w:rPr>
            </w:pPr>
            <w:r w:rsidRPr="00C1496E">
              <w:rPr>
                <w:color w:val="000000"/>
                <w:sz w:val="18"/>
                <w:szCs w:val="18"/>
                <w:lang w:eastAsia="en-GB"/>
              </w:rPr>
              <w:t>Jul</w:t>
            </w:r>
          </w:p>
        </w:tc>
        <w:tc>
          <w:tcPr>
            <w:tcW w:w="1049" w:type="dxa"/>
            <w:tcBorders>
              <w:top w:val="nil"/>
              <w:left w:val="nil"/>
              <w:bottom w:val="nil"/>
              <w:right w:val="single" w:sz="4" w:space="0" w:color="auto"/>
            </w:tcBorders>
            <w:shd w:val="clear" w:color="auto" w:fill="auto"/>
            <w:noWrap/>
            <w:vAlign w:val="bottom"/>
            <w:hideMark/>
          </w:tcPr>
          <w:p w:rsidR="0054713E" w:rsidRPr="00C1496E" w:rsidRDefault="0054713E" w:rsidP="003C4364">
            <w:pPr>
              <w:jc w:val="center"/>
              <w:rPr>
                <w:color w:val="000000"/>
                <w:sz w:val="18"/>
                <w:szCs w:val="18"/>
                <w:lang w:eastAsia="en-GB"/>
              </w:rPr>
            </w:pPr>
            <w:r w:rsidRPr="00C1496E">
              <w:rPr>
                <w:color w:val="000000"/>
                <w:sz w:val="18"/>
                <w:szCs w:val="18"/>
                <w:lang w:eastAsia="en-GB"/>
              </w:rPr>
              <w:t>Aug</w:t>
            </w:r>
          </w:p>
        </w:tc>
        <w:tc>
          <w:tcPr>
            <w:tcW w:w="921" w:type="dxa"/>
            <w:tcBorders>
              <w:top w:val="nil"/>
              <w:left w:val="nil"/>
              <w:bottom w:val="nil"/>
              <w:right w:val="single" w:sz="4" w:space="0" w:color="auto"/>
            </w:tcBorders>
            <w:shd w:val="clear" w:color="auto" w:fill="auto"/>
            <w:noWrap/>
            <w:vAlign w:val="bottom"/>
            <w:hideMark/>
          </w:tcPr>
          <w:p w:rsidR="0054713E" w:rsidRPr="00C1496E" w:rsidRDefault="0054713E" w:rsidP="003C4364">
            <w:pPr>
              <w:jc w:val="center"/>
              <w:rPr>
                <w:color w:val="000000"/>
                <w:sz w:val="18"/>
                <w:szCs w:val="18"/>
                <w:lang w:eastAsia="en-GB"/>
              </w:rPr>
            </w:pPr>
            <w:r w:rsidRPr="00C1496E">
              <w:rPr>
                <w:color w:val="000000"/>
                <w:sz w:val="18"/>
                <w:szCs w:val="18"/>
                <w:lang w:eastAsia="en-GB"/>
              </w:rPr>
              <w:t>Sep</w:t>
            </w:r>
          </w:p>
        </w:tc>
        <w:tc>
          <w:tcPr>
            <w:tcW w:w="1049" w:type="dxa"/>
            <w:tcBorders>
              <w:top w:val="nil"/>
              <w:left w:val="nil"/>
              <w:bottom w:val="nil"/>
              <w:right w:val="single" w:sz="4" w:space="0" w:color="auto"/>
            </w:tcBorders>
            <w:shd w:val="clear" w:color="auto" w:fill="auto"/>
            <w:noWrap/>
            <w:vAlign w:val="bottom"/>
            <w:hideMark/>
          </w:tcPr>
          <w:p w:rsidR="0054713E" w:rsidRPr="00C1496E" w:rsidRDefault="0054713E" w:rsidP="003C4364">
            <w:pPr>
              <w:jc w:val="center"/>
              <w:rPr>
                <w:color w:val="000000"/>
                <w:sz w:val="18"/>
                <w:szCs w:val="18"/>
                <w:lang w:eastAsia="en-GB"/>
              </w:rPr>
            </w:pPr>
            <w:r w:rsidRPr="00C1496E">
              <w:rPr>
                <w:color w:val="000000"/>
                <w:sz w:val="18"/>
                <w:szCs w:val="18"/>
                <w:lang w:eastAsia="en-GB"/>
              </w:rPr>
              <w:t>Oct</w:t>
            </w:r>
          </w:p>
        </w:tc>
        <w:tc>
          <w:tcPr>
            <w:tcW w:w="1049" w:type="dxa"/>
            <w:tcBorders>
              <w:top w:val="nil"/>
              <w:left w:val="nil"/>
              <w:bottom w:val="nil"/>
              <w:right w:val="single" w:sz="4" w:space="0" w:color="auto"/>
            </w:tcBorders>
            <w:shd w:val="clear" w:color="auto" w:fill="auto"/>
            <w:noWrap/>
            <w:vAlign w:val="bottom"/>
            <w:hideMark/>
          </w:tcPr>
          <w:p w:rsidR="0054713E" w:rsidRPr="00C1496E" w:rsidRDefault="0054713E" w:rsidP="003C4364">
            <w:pPr>
              <w:jc w:val="center"/>
              <w:rPr>
                <w:color w:val="000000"/>
                <w:sz w:val="18"/>
                <w:szCs w:val="18"/>
                <w:lang w:eastAsia="en-GB"/>
              </w:rPr>
            </w:pPr>
            <w:r w:rsidRPr="00C1496E">
              <w:rPr>
                <w:color w:val="000000"/>
                <w:sz w:val="18"/>
                <w:szCs w:val="18"/>
                <w:lang w:eastAsia="en-GB"/>
              </w:rPr>
              <w:t>Nov</w:t>
            </w:r>
          </w:p>
        </w:tc>
        <w:tc>
          <w:tcPr>
            <w:tcW w:w="1049" w:type="dxa"/>
            <w:tcBorders>
              <w:top w:val="nil"/>
              <w:left w:val="nil"/>
              <w:bottom w:val="nil"/>
              <w:right w:val="single" w:sz="4" w:space="0" w:color="auto"/>
            </w:tcBorders>
            <w:shd w:val="clear" w:color="auto" w:fill="auto"/>
            <w:noWrap/>
            <w:vAlign w:val="bottom"/>
            <w:hideMark/>
          </w:tcPr>
          <w:p w:rsidR="0054713E" w:rsidRPr="00C1496E" w:rsidRDefault="0054713E" w:rsidP="003C4364">
            <w:pPr>
              <w:jc w:val="center"/>
              <w:rPr>
                <w:color w:val="000000"/>
                <w:sz w:val="18"/>
                <w:szCs w:val="18"/>
                <w:lang w:eastAsia="en-GB"/>
              </w:rPr>
            </w:pPr>
            <w:r w:rsidRPr="00C1496E">
              <w:rPr>
                <w:color w:val="000000"/>
                <w:sz w:val="18"/>
                <w:szCs w:val="18"/>
                <w:lang w:eastAsia="en-GB"/>
              </w:rPr>
              <w:t>Dec</w:t>
            </w:r>
          </w:p>
        </w:tc>
        <w:tc>
          <w:tcPr>
            <w:tcW w:w="1049" w:type="dxa"/>
            <w:tcBorders>
              <w:top w:val="nil"/>
              <w:left w:val="nil"/>
              <w:bottom w:val="nil"/>
              <w:right w:val="single" w:sz="4" w:space="0" w:color="auto"/>
            </w:tcBorders>
            <w:shd w:val="clear" w:color="auto" w:fill="auto"/>
            <w:noWrap/>
            <w:vAlign w:val="bottom"/>
            <w:hideMark/>
          </w:tcPr>
          <w:p w:rsidR="0054713E" w:rsidRPr="00C1496E" w:rsidRDefault="0054713E" w:rsidP="003C4364">
            <w:pPr>
              <w:jc w:val="center"/>
              <w:rPr>
                <w:color w:val="000000"/>
                <w:sz w:val="18"/>
                <w:szCs w:val="18"/>
                <w:lang w:eastAsia="en-GB"/>
              </w:rPr>
            </w:pPr>
            <w:r w:rsidRPr="00C1496E">
              <w:rPr>
                <w:color w:val="000000"/>
                <w:sz w:val="18"/>
                <w:szCs w:val="18"/>
                <w:lang w:eastAsia="en-GB"/>
              </w:rPr>
              <w:t>Jan</w:t>
            </w:r>
          </w:p>
        </w:tc>
        <w:tc>
          <w:tcPr>
            <w:tcW w:w="1049" w:type="dxa"/>
            <w:tcBorders>
              <w:top w:val="nil"/>
              <w:left w:val="nil"/>
              <w:bottom w:val="nil"/>
              <w:right w:val="single" w:sz="4" w:space="0" w:color="auto"/>
            </w:tcBorders>
            <w:shd w:val="clear" w:color="auto" w:fill="auto"/>
            <w:noWrap/>
            <w:vAlign w:val="bottom"/>
            <w:hideMark/>
          </w:tcPr>
          <w:p w:rsidR="0054713E" w:rsidRPr="00C1496E" w:rsidRDefault="0054713E" w:rsidP="003C4364">
            <w:pPr>
              <w:jc w:val="center"/>
              <w:rPr>
                <w:color w:val="000000"/>
                <w:sz w:val="18"/>
                <w:szCs w:val="18"/>
                <w:lang w:eastAsia="en-GB"/>
              </w:rPr>
            </w:pPr>
            <w:r w:rsidRPr="00C1496E">
              <w:rPr>
                <w:color w:val="000000"/>
                <w:sz w:val="18"/>
                <w:szCs w:val="18"/>
                <w:lang w:eastAsia="en-GB"/>
              </w:rPr>
              <w:t>Feb</w:t>
            </w:r>
          </w:p>
        </w:tc>
        <w:tc>
          <w:tcPr>
            <w:tcW w:w="1049" w:type="dxa"/>
            <w:tcBorders>
              <w:top w:val="nil"/>
              <w:left w:val="nil"/>
              <w:bottom w:val="nil"/>
              <w:right w:val="nil"/>
            </w:tcBorders>
            <w:shd w:val="clear" w:color="auto" w:fill="auto"/>
            <w:noWrap/>
            <w:vAlign w:val="bottom"/>
            <w:hideMark/>
          </w:tcPr>
          <w:p w:rsidR="0054713E" w:rsidRPr="00C1496E" w:rsidRDefault="0054713E" w:rsidP="003C4364">
            <w:pPr>
              <w:jc w:val="center"/>
              <w:rPr>
                <w:color w:val="000000"/>
                <w:sz w:val="18"/>
                <w:szCs w:val="18"/>
                <w:lang w:eastAsia="en-GB"/>
              </w:rPr>
            </w:pPr>
            <w:r w:rsidRPr="00C1496E">
              <w:rPr>
                <w:color w:val="000000"/>
                <w:sz w:val="18"/>
                <w:szCs w:val="18"/>
                <w:lang w:eastAsia="en-GB"/>
              </w:rPr>
              <w:t>Mar</w:t>
            </w:r>
          </w:p>
        </w:tc>
        <w:tc>
          <w:tcPr>
            <w:tcW w:w="1242" w:type="dxa"/>
            <w:tcBorders>
              <w:top w:val="nil"/>
              <w:left w:val="single" w:sz="8" w:space="0" w:color="auto"/>
              <w:bottom w:val="nil"/>
              <w:right w:val="single" w:sz="8" w:space="0" w:color="auto"/>
            </w:tcBorders>
            <w:shd w:val="clear" w:color="auto" w:fill="auto"/>
            <w:noWrap/>
            <w:vAlign w:val="bottom"/>
            <w:hideMark/>
          </w:tcPr>
          <w:p w:rsidR="0054713E" w:rsidRPr="00C1496E" w:rsidRDefault="0054713E" w:rsidP="003C4364">
            <w:pPr>
              <w:jc w:val="center"/>
              <w:rPr>
                <w:color w:val="000000"/>
                <w:sz w:val="18"/>
                <w:szCs w:val="18"/>
                <w:lang w:eastAsia="en-GB"/>
              </w:rPr>
            </w:pPr>
            <w:r w:rsidRPr="00C1496E">
              <w:rPr>
                <w:color w:val="000000"/>
                <w:sz w:val="18"/>
                <w:szCs w:val="18"/>
                <w:lang w:eastAsia="en-GB"/>
              </w:rPr>
              <w:t>Total</w:t>
            </w:r>
          </w:p>
        </w:tc>
      </w:tr>
      <w:tr w:rsidR="0054713E" w:rsidRPr="00C1496E" w:rsidTr="00B409EE">
        <w:trPr>
          <w:trHeight w:val="270"/>
        </w:trPr>
        <w:tc>
          <w:tcPr>
            <w:tcW w:w="2013" w:type="dxa"/>
            <w:tcBorders>
              <w:top w:val="nil"/>
              <w:left w:val="single" w:sz="8" w:space="0" w:color="auto"/>
              <w:bottom w:val="single" w:sz="8" w:space="0" w:color="auto"/>
              <w:right w:val="single" w:sz="8" w:space="0" w:color="auto"/>
            </w:tcBorders>
            <w:shd w:val="clear" w:color="auto" w:fill="auto"/>
            <w:vAlign w:val="center"/>
            <w:hideMark/>
          </w:tcPr>
          <w:p w:rsidR="0054713E" w:rsidRPr="00C1496E" w:rsidRDefault="0054713E" w:rsidP="003C4364">
            <w:pPr>
              <w:jc w:val="center"/>
              <w:rPr>
                <w:color w:val="000000"/>
                <w:sz w:val="18"/>
                <w:szCs w:val="18"/>
                <w:lang w:eastAsia="en-GB"/>
              </w:rPr>
            </w:pPr>
            <w:r w:rsidRPr="00C1496E">
              <w:rPr>
                <w:color w:val="000000"/>
                <w:sz w:val="18"/>
                <w:szCs w:val="18"/>
                <w:lang w:eastAsia="en-GB"/>
              </w:rPr>
              <w:t> </w:t>
            </w:r>
          </w:p>
        </w:tc>
        <w:tc>
          <w:tcPr>
            <w:tcW w:w="921" w:type="dxa"/>
            <w:tcBorders>
              <w:top w:val="nil"/>
              <w:left w:val="nil"/>
              <w:bottom w:val="single" w:sz="8" w:space="0" w:color="auto"/>
              <w:right w:val="nil"/>
            </w:tcBorders>
            <w:shd w:val="clear" w:color="auto" w:fill="auto"/>
            <w:vAlign w:val="center"/>
            <w:hideMark/>
          </w:tcPr>
          <w:p w:rsidR="0054713E" w:rsidRPr="00C1496E" w:rsidRDefault="0054713E" w:rsidP="003C4364">
            <w:pPr>
              <w:jc w:val="center"/>
              <w:rPr>
                <w:color w:val="000000"/>
                <w:sz w:val="18"/>
                <w:szCs w:val="18"/>
                <w:lang w:eastAsia="en-GB"/>
              </w:rPr>
            </w:pPr>
            <w:r w:rsidRPr="00C1496E">
              <w:rPr>
                <w:color w:val="000000"/>
                <w:sz w:val="18"/>
                <w:szCs w:val="18"/>
                <w:lang w:eastAsia="en-GB"/>
              </w:rPr>
              <w:t>£’000</w:t>
            </w:r>
          </w:p>
        </w:tc>
        <w:tc>
          <w:tcPr>
            <w:tcW w:w="1049" w:type="dxa"/>
            <w:tcBorders>
              <w:top w:val="nil"/>
              <w:left w:val="single" w:sz="4" w:space="0" w:color="auto"/>
              <w:bottom w:val="single" w:sz="8" w:space="0" w:color="auto"/>
              <w:right w:val="single" w:sz="4" w:space="0" w:color="auto"/>
            </w:tcBorders>
            <w:shd w:val="clear" w:color="auto" w:fill="auto"/>
            <w:vAlign w:val="center"/>
            <w:hideMark/>
          </w:tcPr>
          <w:p w:rsidR="0054713E" w:rsidRPr="00C1496E" w:rsidRDefault="0054713E" w:rsidP="003C4364">
            <w:pPr>
              <w:jc w:val="center"/>
              <w:rPr>
                <w:color w:val="000000"/>
                <w:sz w:val="18"/>
                <w:szCs w:val="18"/>
                <w:lang w:eastAsia="en-GB"/>
              </w:rPr>
            </w:pPr>
            <w:r w:rsidRPr="00C1496E">
              <w:rPr>
                <w:color w:val="000000"/>
                <w:sz w:val="18"/>
                <w:szCs w:val="18"/>
                <w:lang w:eastAsia="en-GB"/>
              </w:rPr>
              <w:t>£’000</w:t>
            </w:r>
          </w:p>
        </w:tc>
        <w:tc>
          <w:tcPr>
            <w:tcW w:w="921" w:type="dxa"/>
            <w:tcBorders>
              <w:top w:val="nil"/>
              <w:left w:val="nil"/>
              <w:bottom w:val="single" w:sz="8" w:space="0" w:color="auto"/>
              <w:right w:val="single" w:sz="4" w:space="0" w:color="auto"/>
            </w:tcBorders>
            <w:shd w:val="clear" w:color="auto" w:fill="auto"/>
            <w:vAlign w:val="center"/>
            <w:hideMark/>
          </w:tcPr>
          <w:p w:rsidR="0054713E" w:rsidRPr="00C1496E" w:rsidRDefault="0054713E" w:rsidP="003C4364">
            <w:pPr>
              <w:jc w:val="center"/>
              <w:rPr>
                <w:color w:val="000000"/>
                <w:sz w:val="18"/>
                <w:szCs w:val="18"/>
                <w:lang w:eastAsia="en-GB"/>
              </w:rPr>
            </w:pPr>
            <w:r w:rsidRPr="00C1496E">
              <w:rPr>
                <w:color w:val="000000"/>
                <w:sz w:val="18"/>
                <w:szCs w:val="18"/>
                <w:lang w:eastAsia="en-GB"/>
              </w:rPr>
              <w:t>£’000</w:t>
            </w:r>
          </w:p>
        </w:tc>
        <w:tc>
          <w:tcPr>
            <w:tcW w:w="1049" w:type="dxa"/>
            <w:tcBorders>
              <w:top w:val="nil"/>
              <w:left w:val="nil"/>
              <w:bottom w:val="single" w:sz="8" w:space="0" w:color="auto"/>
              <w:right w:val="single" w:sz="4" w:space="0" w:color="auto"/>
            </w:tcBorders>
            <w:shd w:val="clear" w:color="auto" w:fill="auto"/>
            <w:vAlign w:val="center"/>
            <w:hideMark/>
          </w:tcPr>
          <w:p w:rsidR="0054713E" w:rsidRPr="00C1496E" w:rsidRDefault="0054713E" w:rsidP="003C4364">
            <w:pPr>
              <w:jc w:val="center"/>
              <w:rPr>
                <w:color w:val="000000"/>
                <w:sz w:val="18"/>
                <w:szCs w:val="18"/>
                <w:lang w:eastAsia="en-GB"/>
              </w:rPr>
            </w:pPr>
            <w:r w:rsidRPr="00C1496E">
              <w:rPr>
                <w:color w:val="000000"/>
                <w:sz w:val="18"/>
                <w:szCs w:val="18"/>
                <w:lang w:eastAsia="en-GB"/>
              </w:rPr>
              <w:t>£’000</w:t>
            </w:r>
          </w:p>
        </w:tc>
        <w:tc>
          <w:tcPr>
            <w:tcW w:w="1049" w:type="dxa"/>
            <w:tcBorders>
              <w:top w:val="nil"/>
              <w:left w:val="nil"/>
              <w:bottom w:val="single" w:sz="8" w:space="0" w:color="auto"/>
              <w:right w:val="single" w:sz="4" w:space="0" w:color="auto"/>
            </w:tcBorders>
            <w:shd w:val="clear" w:color="auto" w:fill="auto"/>
            <w:vAlign w:val="center"/>
            <w:hideMark/>
          </w:tcPr>
          <w:p w:rsidR="0054713E" w:rsidRPr="00C1496E" w:rsidRDefault="0054713E" w:rsidP="003C4364">
            <w:pPr>
              <w:jc w:val="center"/>
              <w:rPr>
                <w:color w:val="000000"/>
                <w:sz w:val="18"/>
                <w:szCs w:val="18"/>
                <w:lang w:eastAsia="en-GB"/>
              </w:rPr>
            </w:pPr>
            <w:r w:rsidRPr="00C1496E">
              <w:rPr>
                <w:color w:val="000000"/>
                <w:sz w:val="18"/>
                <w:szCs w:val="18"/>
                <w:lang w:eastAsia="en-GB"/>
              </w:rPr>
              <w:t>£’000</w:t>
            </w:r>
          </w:p>
        </w:tc>
        <w:tc>
          <w:tcPr>
            <w:tcW w:w="921" w:type="dxa"/>
            <w:tcBorders>
              <w:top w:val="nil"/>
              <w:left w:val="nil"/>
              <w:bottom w:val="single" w:sz="8" w:space="0" w:color="auto"/>
              <w:right w:val="single" w:sz="4" w:space="0" w:color="auto"/>
            </w:tcBorders>
            <w:shd w:val="clear" w:color="auto" w:fill="auto"/>
            <w:vAlign w:val="center"/>
            <w:hideMark/>
          </w:tcPr>
          <w:p w:rsidR="0054713E" w:rsidRPr="00C1496E" w:rsidRDefault="0054713E" w:rsidP="003C4364">
            <w:pPr>
              <w:jc w:val="center"/>
              <w:rPr>
                <w:color w:val="000000"/>
                <w:sz w:val="18"/>
                <w:szCs w:val="18"/>
                <w:lang w:eastAsia="en-GB"/>
              </w:rPr>
            </w:pPr>
            <w:r w:rsidRPr="00C1496E">
              <w:rPr>
                <w:color w:val="000000"/>
                <w:sz w:val="18"/>
                <w:szCs w:val="18"/>
                <w:lang w:eastAsia="en-GB"/>
              </w:rPr>
              <w:t>£’000</w:t>
            </w:r>
          </w:p>
        </w:tc>
        <w:tc>
          <w:tcPr>
            <w:tcW w:w="1049" w:type="dxa"/>
            <w:tcBorders>
              <w:top w:val="nil"/>
              <w:left w:val="nil"/>
              <w:bottom w:val="single" w:sz="8" w:space="0" w:color="auto"/>
              <w:right w:val="single" w:sz="4" w:space="0" w:color="auto"/>
            </w:tcBorders>
            <w:shd w:val="clear" w:color="auto" w:fill="auto"/>
            <w:vAlign w:val="center"/>
            <w:hideMark/>
          </w:tcPr>
          <w:p w:rsidR="0054713E" w:rsidRPr="00C1496E" w:rsidRDefault="0054713E" w:rsidP="003C4364">
            <w:pPr>
              <w:jc w:val="center"/>
              <w:rPr>
                <w:color w:val="000000"/>
                <w:sz w:val="18"/>
                <w:szCs w:val="18"/>
                <w:lang w:eastAsia="en-GB"/>
              </w:rPr>
            </w:pPr>
            <w:r w:rsidRPr="00C1496E">
              <w:rPr>
                <w:color w:val="000000"/>
                <w:sz w:val="18"/>
                <w:szCs w:val="18"/>
                <w:lang w:eastAsia="en-GB"/>
              </w:rPr>
              <w:t>£’000</w:t>
            </w:r>
          </w:p>
        </w:tc>
        <w:tc>
          <w:tcPr>
            <w:tcW w:w="1049" w:type="dxa"/>
            <w:tcBorders>
              <w:top w:val="nil"/>
              <w:left w:val="nil"/>
              <w:bottom w:val="single" w:sz="8" w:space="0" w:color="auto"/>
              <w:right w:val="single" w:sz="4" w:space="0" w:color="auto"/>
            </w:tcBorders>
            <w:shd w:val="clear" w:color="auto" w:fill="auto"/>
            <w:vAlign w:val="center"/>
            <w:hideMark/>
          </w:tcPr>
          <w:p w:rsidR="0054713E" w:rsidRPr="00C1496E" w:rsidRDefault="0054713E" w:rsidP="003C4364">
            <w:pPr>
              <w:jc w:val="center"/>
              <w:rPr>
                <w:color w:val="000000"/>
                <w:sz w:val="18"/>
                <w:szCs w:val="18"/>
                <w:lang w:eastAsia="en-GB"/>
              </w:rPr>
            </w:pPr>
            <w:r w:rsidRPr="00C1496E">
              <w:rPr>
                <w:color w:val="000000"/>
                <w:sz w:val="18"/>
                <w:szCs w:val="18"/>
                <w:lang w:eastAsia="en-GB"/>
              </w:rPr>
              <w:t>£’000</w:t>
            </w:r>
          </w:p>
        </w:tc>
        <w:tc>
          <w:tcPr>
            <w:tcW w:w="1049" w:type="dxa"/>
            <w:tcBorders>
              <w:top w:val="nil"/>
              <w:left w:val="nil"/>
              <w:bottom w:val="single" w:sz="8" w:space="0" w:color="auto"/>
              <w:right w:val="single" w:sz="4" w:space="0" w:color="auto"/>
            </w:tcBorders>
            <w:shd w:val="clear" w:color="auto" w:fill="auto"/>
            <w:vAlign w:val="center"/>
            <w:hideMark/>
          </w:tcPr>
          <w:p w:rsidR="0054713E" w:rsidRPr="00C1496E" w:rsidRDefault="0054713E" w:rsidP="003C4364">
            <w:pPr>
              <w:jc w:val="center"/>
              <w:rPr>
                <w:color w:val="000000"/>
                <w:sz w:val="18"/>
                <w:szCs w:val="18"/>
                <w:lang w:eastAsia="en-GB"/>
              </w:rPr>
            </w:pPr>
            <w:r w:rsidRPr="00C1496E">
              <w:rPr>
                <w:color w:val="000000"/>
                <w:sz w:val="18"/>
                <w:szCs w:val="18"/>
                <w:lang w:eastAsia="en-GB"/>
              </w:rPr>
              <w:t>£’000</w:t>
            </w:r>
          </w:p>
        </w:tc>
        <w:tc>
          <w:tcPr>
            <w:tcW w:w="1049" w:type="dxa"/>
            <w:tcBorders>
              <w:top w:val="nil"/>
              <w:left w:val="nil"/>
              <w:bottom w:val="single" w:sz="8" w:space="0" w:color="auto"/>
              <w:right w:val="single" w:sz="4" w:space="0" w:color="auto"/>
            </w:tcBorders>
            <w:shd w:val="clear" w:color="auto" w:fill="auto"/>
            <w:vAlign w:val="center"/>
            <w:hideMark/>
          </w:tcPr>
          <w:p w:rsidR="0054713E" w:rsidRPr="00C1496E" w:rsidRDefault="0054713E" w:rsidP="003C4364">
            <w:pPr>
              <w:jc w:val="center"/>
              <w:rPr>
                <w:color w:val="000000"/>
                <w:sz w:val="18"/>
                <w:szCs w:val="18"/>
                <w:lang w:eastAsia="en-GB"/>
              </w:rPr>
            </w:pPr>
            <w:r w:rsidRPr="00C1496E">
              <w:rPr>
                <w:color w:val="000000"/>
                <w:sz w:val="18"/>
                <w:szCs w:val="18"/>
                <w:lang w:eastAsia="en-GB"/>
              </w:rPr>
              <w:t>£’000</w:t>
            </w:r>
          </w:p>
        </w:tc>
        <w:tc>
          <w:tcPr>
            <w:tcW w:w="1049" w:type="dxa"/>
            <w:tcBorders>
              <w:top w:val="nil"/>
              <w:left w:val="nil"/>
              <w:bottom w:val="single" w:sz="8" w:space="0" w:color="auto"/>
              <w:right w:val="single" w:sz="4" w:space="0" w:color="auto"/>
            </w:tcBorders>
            <w:shd w:val="clear" w:color="auto" w:fill="auto"/>
            <w:vAlign w:val="center"/>
            <w:hideMark/>
          </w:tcPr>
          <w:p w:rsidR="0054713E" w:rsidRPr="00C1496E" w:rsidRDefault="0054713E" w:rsidP="003C4364">
            <w:pPr>
              <w:jc w:val="center"/>
              <w:rPr>
                <w:color w:val="000000"/>
                <w:sz w:val="18"/>
                <w:szCs w:val="18"/>
                <w:lang w:eastAsia="en-GB"/>
              </w:rPr>
            </w:pPr>
            <w:r w:rsidRPr="00C1496E">
              <w:rPr>
                <w:color w:val="000000"/>
                <w:sz w:val="18"/>
                <w:szCs w:val="18"/>
                <w:lang w:eastAsia="en-GB"/>
              </w:rPr>
              <w:t>£’000</w:t>
            </w:r>
          </w:p>
        </w:tc>
        <w:tc>
          <w:tcPr>
            <w:tcW w:w="1049" w:type="dxa"/>
            <w:tcBorders>
              <w:top w:val="nil"/>
              <w:left w:val="nil"/>
              <w:bottom w:val="single" w:sz="8" w:space="0" w:color="auto"/>
              <w:right w:val="nil"/>
            </w:tcBorders>
            <w:shd w:val="clear" w:color="auto" w:fill="auto"/>
            <w:vAlign w:val="center"/>
            <w:hideMark/>
          </w:tcPr>
          <w:p w:rsidR="0054713E" w:rsidRPr="00C1496E" w:rsidRDefault="0054713E" w:rsidP="003C4364">
            <w:pPr>
              <w:jc w:val="center"/>
              <w:rPr>
                <w:color w:val="000000"/>
                <w:sz w:val="18"/>
                <w:szCs w:val="18"/>
                <w:lang w:eastAsia="en-GB"/>
              </w:rPr>
            </w:pPr>
            <w:r w:rsidRPr="00C1496E">
              <w:rPr>
                <w:color w:val="000000"/>
                <w:sz w:val="18"/>
                <w:szCs w:val="18"/>
                <w:lang w:eastAsia="en-GB"/>
              </w:rPr>
              <w:t>£’000</w:t>
            </w:r>
          </w:p>
        </w:tc>
        <w:tc>
          <w:tcPr>
            <w:tcW w:w="1242" w:type="dxa"/>
            <w:tcBorders>
              <w:top w:val="nil"/>
              <w:left w:val="single" w:sz="8" w:space="0" w:color="auto"/>
              <w:bottom w:val="single" w:sz="8" w:space="0" w:color="auto"/>
              <w:right w:val="single" w:sz="8" w:space="0" w:color="auto"/>
            </w:tcBorders>
            <w:shd w:val="clear" w:color="auto" w:fill="auto"/>
            <w:vAlign w:val="center"/>
            <w:hideMark/>
          </w:tcPr>
          <w:p w:rsidR="0054713E" w:rsidRPr="00C1496E" w:rsidRDefault="0054713E" w:rsidP="003C4364">
            <w:pPr>
              <w:jc w:val="center"/>
              <w:rPr>
                <w:color w:val="000000"/>
                <w:sz w:val="18"/>
                <w:szCs w:val="18"/>
                <w:lang w:eastAsia="en-GB"/>
              </w:rPr>
            </w:pPr>
            <w:r w:rsidRPr="00C1496E">
              <w:rPr>
                <w:color w:val="000000"/>
                <w:sz w:val="18"/>
                <w:szCs w:val="18"/>
                <w:lang w:eastAsia="en-GB"/>
              </w:rPr>
              <w:t>£’000</w:t>
            </w:r>
          </w:p>
        </w:tc>
      </w:tr>
      <w:tr w:rsidR="0054713E" w:rsidRPr="00991BA4" w:rsidTr="00B409EE">
        <w:trPr>
          <w:trHeight w:val="255"/>
        </w:trPr>
        <w:tc>
          <w:tcPr>
            <w:tcW w:w="2013" w:type="dxa"/>
            <w:tcBorders>
              <w:top w:val="nil"/>
              <w:left w:val="single" w:sz="8" w:space="0" w:color="auto"/>
              <w:bottom w:val="nil"/>
              <w:right w:val="single" w:sz="8" w:space="0" w:color="auto"/>
            </w:tcBorders>
            <w:shd w:val="clear" w:color="auto" w:fill="auto"/>
            <w:vAlign w:val="center"/>
            <w:hideMark/>
          </w:tcPr>
          <w:p w:rsidR="0054713E" w:rsidRPr="00991BA4" w:rsidRDefault="0054713E" w:rsidP="003C4364">
            <w:pPr>
              <w:jc w:val="both"/>
              <w:rPr>
                <w:b/>
                <w:bCs/>
                <w:color w:val="000000"/>
                <w:sz w:val="18"/>
                <w:szCs w:val="18"/>
                <w:lang w:eastAsia="en-GB"/>
              </w:rPr>
            </w:pPr>
            <w:r w:rsidRPr="00991BA4">
              <w:rPr>
                <w:b/>
                <w:bCs/>
                <w:color w:val="000000"/>
                <w:sz w:val="18"/>
                <w:szCs w:val="18"/>
                <w:lang w:eastAsia="en-GB"/>
              </w:rPr>
              <w:t>Receipts</w:t>
            </w:r>
          </w:p>
        </w:tc>
        <w:tc>
          <w:tcPr>
            <w:tcW w:w="921" w:type="dxa"/>
            <w:tcBorders>
              <w:top w:val="nil"/>
              <w:left w:val="nil"/>
              <w:bottom w:val="nil"/>
              <w:right w:val="nil"/>
            </w:tcBorders>
            <w:shd w:val="clear" w:color="auto" w:fill="auto"/>
            <w:noWrap/>
            <w:vAlign w:val="bottom"/>
            <w:hideMark/>
          </w:tcPr>
          <w:p w:rsidR="0054713E" w:rsidRPr="00991BA4" w:rsidRDefault="0054713E" w:rsidP="003C4364">
            <w:pPr>
              <w:jc w:val="right"/>
              <w:rPr>
                <w:color w:val="000000"/>
                <w:sz w:val="18"/>
                <w:szCs w:val="18"/>
                <w:lang w:eastAsia="en-GB"/>
              </w:rPr>
            </w:pPr>
            <w:r w:rsidRPr="00991BA4">
              <w:rPr>
                <w:color w:val="000000"/>
                <w:sz w:val="18"/>
                <w:szCs w:val="18"/>
                <w:lang w:eastAsia="en-GB"/>
              </w:rPr>
              <w:t> </w:t>
            </w:r>
          </w:p>
        </w:tc>
        <w:tc>
          <w:tcPr>
            <w:tcW w:w="1049" w:type="dxa"/>
            <w:tcBorders>
              <w:top w:val="nil"/>
              <w:left w:val="single" w:sz="4" w:space="0" w:color="auto"/>
              <w:bottom w:val="nil"/>
              <w:right w:val="single" w:sz="4" w:space="0" w:color="auto"/>
            </w:tcBorders>
            <w:shd w:val="clear" w:color="auto" w:fill="auto"/>
            <w:noWrap/>
            <w:vAlign w:val="bottom"/>
            <w:hideMark/>
          </w:tcPr>
          <w:p w:rsidR="0054713E" w:rsidRPr="00991BA4" w:rsidRDefault="0054713E" w:rsidP="003C4364">
            <w:pPr>
              <w:jc w:val="right"/>
              <w:rPr>
                <w:color w:val="000000"/>
                <w:sz w:val="18"/>
                <w:szCs w:val="18"/>
                <w:lang w:eastAsia="en-GB"/>
              </w:rPr>
            </w:pPr>
            <w:r w:rsidRPr="00991BA4">
              <w:rPr>
                <w:color w:val="000000"/>
                <w:sz w:val="18"/>
                <w:szCs w:val="18"/>
                <w:lang w:eastAsia="en-GB"/>
              </w:rPr>
              <w:t> </w:t>
            </w:r>
          </w:p>
        </w:tc>
        <w:tc>
          <w:tcPr>
            <w:tcW w:w="921" w:type="dxa"/>
            <w:tcBorders>
              <w:top w:val="nil"/>
              <w:left w:val="nil"/>
              <w:bottom w:val="nil"/>
              <w:right w:val="single" w:sz="4" w:space="0" w:color="auto"/>
            </w:tcBorders>
            <w:shd w:val="clear" w:color="auto" w:fill="auto"/>
            <w:noWrap/>
            <w:vAlign w:val="bottom"/>
            <w:hideMark/>
          </w:tcPr>
          <w:p w:rsidR="0054713E" w:rsidRPr="00991BA4" w:rsidRDefault="0054713E" w:rsidP="003C4364">
            <w:pPr>
              <w:jc w:val="right"/>
              <w:rPr>
                <w:color w:val="000000"/>
                <w:sz w:val="18"/>
                <w:szCs w:val="18"/>
                <w:lang w:eastAsia="en-GB"/>
              </w:rPr>
            </w:pPr>
            <w:r w:rsidRPr="00991BA4">
              <w:rPr>
                <w:color w:val="000000"/>
                <w:sz w:val="18"/>
                <w:szCs w:val="18"/>
                <w:lang w:eastAsia="en-GB"/>
              </w:rPr>
              <w:t> </w:t>
            </w:r>
          </w:p>
        </w:tc>
        <w:tc>
          <w:tcPr>
            <w:tcW w:w="1049" w:type="dxa"/>
            <w:tcBorders>
              <w:top w:val="nil"/>
              <w:left w:val="nil"/>
              <w:bottom w:val="nil"/>
              <w:right w:val="single" w:sz="4" w:space="0" w:color="auto"/>
            </w:tcBorders>
            <w:shd w:val="clear" w:color="auto" w:fill="auto"/>
            <w:noWrap/>
            <w:vAlign w:val="bottom"/>
            <w:hideMark/>
          </w:tcPr>
          <w:p w:rsidR="0054713E" w:rsidRPr="00991BA4" w:rsidRDefault="0054713E" w:rsidP="003C4364">
            <w:pPr>
              <w:jc w:val="right"/>
              <w:rPr>
                <w:color w:val="000000"/>
                <w:sz w:val="18"/>
                <w:szCs w:val="18"/>
                <w:lang w:eastAsia="en-GB"/>
              </w:rPr>
            </w:pPr>
            <w:r w:rsidRPr="00991BA4">
              <w:rPr>
                <w:color w:val="000000"/>
                <w:sz w:val="18"/>
                <w:szCs w:val="18"/>
                <w:lang w:eastAsia="en-GB"/>
              </w:rPr>
              <w:t> </w:t>
            </w:r>
          </w:p>
        </w:tc>
        <w:tc>
          <w:tcPr>
            <w:tcW w:w="1049" w:type="dxa"/>
            <w:tcBorders>
              <w:top w:val="nil"/>
              <w:left w:val="nil"/>
              <w:bottom w:val="nil"/>
              <w:right w:val="single" w:sz="4" w:space="0" w:color="auto"/>
            </w:tcBorders>
            <w:shd w:val="clear" w:color="auto" w:fill="auto"/>
            <w:noWrap/>
            <w:vAlign w:val="bottom"/>
            <w:hideMark/>
          </w:tcPr>
          <w:p w:rsidR="0054713E" w:rsidRPr="00991BA4" w:rsidRDefault="0054713E" w:rsidP="003C4364">
            <w:pPr>
              <w:jc w:val="right"/>
              <w:rPr>
                <w:color w:val="000000"/>
                <w:sz w:val="18"/>
                <w:szCs w:val="18"/>
                <w:lang w:eastAsia="en-GB"/>
              </w:rPr>
            </w:pPr>
            <w:r w:rsidRPr="00991BA4">
              <w:rPr>
                <w:color w:val="000000"/>
                <w:sz w:val="18"/>
                <w:szCs w:val="18"/>
                <w:lang w:eastAsia="en-GB"/>
              </w:rPr>
              <w:t> </w:t>
            </w:r>
          </w:p>
        </w:tc>
        <w:tc>
          <w:tcPr>
            <w:tcW w:w="921" w:type="dxa"/>
            <w:tcBorders>
              <w:top w:val="nil"/>
              <w:left w:val="nil"/>
              <w:bottom w:val="nil"/>
              <w:right w:val="single" w:sz="4" w:space="0" w:color="auto"/>
            </w:tcBorders>
            <w:shd w:val="clear" w:color="auto" w:fill="auto"/>
            <w:noWrap/>
            <w:vAlign w:val="bottom"/>
            <w:hideMark/>
          </w:tcPr>
          <w:p w:rsidR="0054713E" w:rsidRPr="00991BA4" w:rsidRDefault="0054713E" w:rsidP="003C4364">
            <w:pPr>
              <w:jc w:val="right"/>
              <w:rPr>
                <w:color w:val="000000"/>
                <w:sz w:val="18"/>
                <w:szCs w:val="18"/>
                <w:lang w:eastAsia="en-GB"/>
              </w:rPr>
            </w:pPr>
            <w:r w:rsidRPr="00991BA4">
              <w:rPr>
                <w:color w:val="000000"/>
                <w:sz w:val="18"/>
                <w:szCs w:val="18"/>
                <w:lang w:eastAsia="en-GB"/>
              </w:rPr>
              <w:t> </w:t>
            </w:r>
          </w:p>
        </w:tc>
        <w:tc>
          <w:tcPr>
            <w:tcW w:w="1049" w:type="dxa"/>
            <w:tcBorders>
              <w:top w:val="nil"/>
              <w:left w:val="nil"/>
              <w:bottom w:val="nil"/>
              <w:right w:val="single" w:sz="4" w:space="0" w:color="auto"/>
            </w:tcBorders>
            <w:shd w:val="clear" w:color="auto" w:fill="auto"/>
            <w:noWrap/>
            <w:vAlign w:val="bottom"/>
            <w:hideMark/>
          </w:tcPr>
          <w:p w:rsidR="0054713E" w:rsidRPr="00991BA4" w:rsidRDefault="0054713E" w:rsidP="003C4364">
            <w:pPr>
              <w:jc w:val="right"/>
              <w:rPr>
                <w:color w:val="000000"/>
                <w:sz w:val="18"/>
                <w:szCs w:val="18"/>
                <w:lang w:eastAsia="en-GB"/>
              </w:rPr>
            </w:pPr>
            <w:r w:rsidRPr="00991BA4">
              <w:rPr>
                <w:color w:val="000000"/>
                <w:sz w:val="18"/>
                <w:szCs w:val="18"/>
                <w:lang w:eastAsia="en-GB"/>
              </w:rPr>
              <w:t> </w:t>
            </w:r>
          </w:p>
        </w:tc>
        <w:tc>
          <w:tcPr>
            <w:tcW w:w="1049" w:type="dxa"/>
            <w:tcBorders>
              <w:top w:val="nil"/>
              <w:left w:val="nil"/>
              <w:bottom w:val="nil"/>
              <w:right w:val="single" w:sz="4" w:space="0" w:color="auto"/>
            </w:tcBorders>
            <w:shd w:val="clear" w:color="auto" w:fill="auto"/>
            <w:noWrap/>
            <w:vAlign w:val="bottom"/>
            <w:hideMark/>
          </w:tcPr>
          <w:p w:rsidR="0054713E" w:rsidRPr="00991BA4" w:rsidRDefault="0054713E" w:rsidP="003C4364">
            <w:pPr>
              <w:jc w:val="right"/>
              <w:rPr>
                <w:color w:val="000000"/>
                <w:sz w:val="18"/>
                <w:szCs w:val="18"/>
                <w:lang w:eastAsia="en-GB"/>
              </w:rPr>
            </w:pPr>
            <w:r w:rsidRPr="00991BA4">
              <w:rPr>
                <w:color w:val="000000"/>
                <w:sz w:val="18"/>
                <w:szCs w:val="18"/>
                <w:lang w:eastAsia="en-GB"/>
              </w:rPr>
              <w:t> </w:t>
            </w:r>
          </w:p>
        </w:tc>
        <w:tc>
          <w:tcPr>
            <w:tcW w:w="1049" w:type="dxa"/>
            <w:tcBorders>
              <w:top w:val="nil"/>
              <w:left w:val="nil"/>
              <w:bottom w:val="nil"/>
              <w:right w:val="single" w:sz="4" w:space="0" w:color="auto"/>
            </w:tcBorders>
            <w:shd w:val="clear" w:color="auto" w:fill="auto"/>
            <w:noWrap/>
            <w:vAlign w:val="bottom"/>
            <w:hideMark/>
          </w:tcPr>
          <w:p w:rsidR="0054713E" w:rsidRPr="00991BA4" w:rsidRDefault="0054713E" w:rsidP="003C4364">
            <w:pPr>
              <w:jc w:val="right"/>
              <w:rPr>
                <w:color w:val="000000"/>
                <w:sz w:val="18"/>
                <w:szCs w:val="18"/>
                <w:lang w:eastAsia="en-GB"/>
              </w:rPr>
            </w:pPr>
            <w:r w:rsidRPr="00991BA4">
              <w:rPr>
                <w:color w:val="000000"/>
                <w:sz w:val="18"/>
                <w:szCs w:val="18"/>
                <w:lang w:eastAsia="en-GB"/>
              </w:rPr>
              <w:t> </w:t>
            </w:r>
          </w:p>
        </w:tc>
        <w:tc>
          <w:tcPr>
            <w:tcW w:w="1049" w:type="dxa"/>
            <w:tcBorders>
              <w:top w:val="nil"/>
              <w:left w:val="nil"/>
              <w:bottom w:val="nil"/>
              <w:right w:val="single" w:sz="4" w:space="0" w:color="auto"/>
            </w:tcBorders>
            <w:shd w:val="clear" w:color="auto" w:fill="auto"/>
            <w:noWrap/>
            <w:vAlign w:val="bottom"/>
            <w:hideMark/>
          </w:tcPr>
          <w:p w:rsidR="0054713E" w:rsidRPr="00991BA4" w:rsidRDefault="0054713E" w:rsidP="003C4364">
            <w:pPr>
              <w:jc w:val="right"/>
              <w:rPr>
                <w:color w:val="000000"/>
                <w:sz w:val="18"/>
                <w:szCs w:val="18"/>
                <w:lang w:eastAsia="en-GB"/>
              </w:rPr>
            </w:pPr>
            <w:r w:rsidRPr="00991BA4">
              <w:rPr>
                <w:color w:val="000000"/>
                <w:sz w:val="18"/>
                <w:szCs w:val="18"/>
                <w:lang w:eastAsia="en-GB"/>
              </w:rPr>
              <w:t> </w:t>
            </w:r>
          </w:p>
        </w:tc>
        <w:tc>
          <w:tcPr>
            <w:tcW w:w="1049" w:type="dxa"/>
            <w:tcBorders>
              <w:top w:val="nil"/>
              <w:left w:val="nil"/>
              <w:bottom w:val="nil"/>
              <w:right w:val="single" w:sz="4" w:space="0" w:color="auto"/>
            </w:tcBorders>
            <w:shd w:val="clear" w:color="auto" w:fill="auto"/>
            <w:noWrap/>
            <w:vAlign w:val="bottom"/>
            <w:hideMark/>
          </w:tcPr>
          <w:p w:rsidR="0054713E" w:rsidRPr="00991BA4" w:rsidRDefault="0054713E" w:rsidP="003C4364">
            <w:pPr>
              <w:jc w:val="right"/>
              <w:rPr>
                <w:color w:val="000000"/>
                <w:sz w:val="18"/>
                <w:szCs w:val="18"/>
                <w:lang w:eastAsia="en-GB"/>
              </w:rPr>
            </w:pPr>
            <w:r w:rsidRPr="00991BA4">
              <w:rPr>
                <w:color w:val="000000"/>
                <w:sz w:val="18"/>
                <w:szCs w:val="18"/>
                <w:lang w:eastAsia="en-GB"/>
              </w:rPr>
              <w:t> </w:t>
            </w:r>
          </w:p>
        </w:tc>
        <w:tc>
          <w:tcPr>
            <w:tcW w:w="1049" w:type="dxa"/>
            <w:tcBorders>
              <w:top w:val="nil"/>
              <w:left w:val="nil"/>
              <w:bottom w:val="nil"/>
              <w:right w:val="nil"/>
            </w:tcBorders>
            <w:shd w:val="clear" w:color="auto" w:fill="auto"/>
            <w:noWrap/>
            <w:vAlign w:val="bottom"/>
            <w:hideMark/>
          </w:tcPr>
          <w:p w:rsidR="0054713E" w:rsidRPr="00991BA4" w:rsidRDefault="0054713E" w:rsidP="003C4364">
            <w:pPr>
              <w:jc w:val="right"/>
              <w:rPr>
                <w:color w:val="000000"/>
                <w:sz w:val="18"/>
                <w:szCs w:val="18"/>
                <w:lang w:eastAsia="en-GB"/>
              </w:rPr>
            </w:pPr>
            <w:r w:rsidRPr="00991BA4">
              <w:rPr>
                <w:color w:val="000000"/>
                <w:sz w:val="18"/>
                <w:szCs w:val="18"/>
                <w:lang w:eastAsia="en-GB"/>
              </w:rPr>
              <w:t> </w:t>
            </w:r>
          </w:p>
        </w:tc>
        <w:tc>
          <w:tcPr>
            <w:tcW w:w="1242" w:type="dxa"/>
            <w:tcBorders>
              <w:top w:val="nil"/>
              <w:left w:val="single" w:sz="8" w:space="0" w:color="auto"/>
              <w:bottom w:val="nil"/>
              <w:right w:val="single" w:sz="8" w:space="0" w:color="auto"/>
            </w:tcBorders>
            <w:shd w:val="clear" w:color="auto" w:fill="auto"/>
            <w:noWrap/>
            <w:vAlign w:val="bottom"/>
            <w:hideMark/>
          </w:tcPr>
          <w:p w:rsidR="0054713E" w:rsidRPr="00991BA4" w:rsidRDefault="0054713E" w:rsidP="003C4364">
            <w:pPr>
              <w:jc w:val="right"/>
              <w:rPr>
                <w:color w:val="000000"/>
                <w:sz w:val="18"/>
                <w:szCs w:val="18"/>
                <w:lang w:eastAsia="en-GB"/>
              </w:rPr>
            </w:pPr>
            <w:r w:rsidRPr="00991BA4">
              <w:rPr>
                <w:color w:val="000000"/>
                <w:sz w:val="18"/>
                <w:szCs w:val="18"/>
                <w:lang w:eastAsia="en-GB"/>
              </w:rPr>
              <w:t> </w:t>
            </w:r>
          </w:p>
        </w:tc>
      </w:tr>
      <w:tr w:rsidR="00177ED3" w:rsidRPr="00991BA4" w:rsidTr="00B409EE">
        <w:trPr>
          <w:trHeight w:val="255"/>
        </w:trPr>
        <w:tc>
          <w:tcPr>
            <w:tcW w:w="2013" w:type="dxa"/>
            <w:tcBorders>
              <w:top w:val="single" w:sz="4" w:space="0" w:color="auto"/>
              <w:left w:val="single" w:sz="8" w:space="0" w:color="auto"/>
              <w:bottom w:val="nil"/>
              <w:right w:val="single" w:sz="8" w:space="0" w:color="auto"/>
            </w:tcBorders>
            <w:shd w:val="clear" w:color="auto" w:fill="auto"/>
            <w:vAlign w:val="center"/>
            <w:hideMark/>
          </w:tcPr>
          <w:p w:rsidR="00177ED3" w:rsidRPr="00991BA4" w:rsidRDefault="00177ED3" w:rsidP="00177ED3">
            <w:pPr>
              <w:jc w:val="both"/>
              <w:rPr>
                <w:color w:val="000000"/>
                <w:sz w:val="18"/>
                <w:szCs w:val="18"/>
                <w:lang w:eastAsia="en-GB"/>
              </w:rPr>
            </w:pPr>
            <w:r w:rsidRPr="00991BA4">
              <w:rPr>
                <w:color w:val="000000"/>
                <w:sz w:val="18"/>
                <w:szCs w:val="18"/>
                <w:lang w:eastAsia="en-GB"/>
              </w:rPr>
              <w:t>WG Revenue Funding</w:t>
            </w:r>
          </w:p>
        </w:tc>
        <w:tc>
          <w:tcPr>
            <w:tcW w:w="921" w:type="dxa"/>
            <w:tcBorders>
              <w:top w:val="single" w:sz="4" w:space="0" w:color="auto"/>
              <w:left w:val="nil"/>
              <w:bottom w:val="nil"/>
              <w:right w:val="nil"/>
            </w:tcBorders>
            <w:shd w:val="clear" w:color="auto" w:fill="auto"/>
            <w:vAlign w:val="center"/>
            <w:hideMark/>
          </w:tcPr>
          <w:p w:rsidR="00177ED3" w:rsidRDefault="00177ED3" w:rsidP="00177ED3">
            <w:pPr>
              <w:jc w:val="right"/>
              <w:rPr>
                <w:color w:val="000000"/>
                <w:sz w:val="18"/>
                <w:szCs w:val="18"/>
                <w:lang w:eastAsia="en-GB"/>
              </w:rPr>
            </w:pPr>
            <w:r>
              <w:rPr>
                <w:color w:val="000000"/>
                <w:sz w:val="18"/>
                <w:szCs w:val="18"/>
              </w:rPr>
              <w:t>67,704</w:t>
            </w:r>
          </w:p>
        </w:tc>
        <w:tc>
          <w:tcPr>
            <w:tcW w:w="104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85,194</w:t>
            </w:r>
          </w:p>
        </w:tc>
        <w:tc>
          <w:tcPr>
            <w:tcW w:w="921" w:type="dxa"/>
            <w:tcBorders>
              <w:top w:val="single" w:sz="4" w:space="0" w:color="auto"/>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72,197</w:t>
            </w:r>
          </w:p>
        </w:tc>
        <w:tc>
          <w:tcPr>
            <w:tcW w:w="1049" w:type="dxa"/>
            <w:tcBorders>
              <w:top w:val="single" w:sz="4" w:space="0" w:color="auto"/>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83,749</w:t>
            </w:r>
          </w:p>
        </w:tc>
        <w:tc>
          <w:tcPr>
            <w:tcW w:w="1049" w:type="dxa"/>
            <w:tcBorders>
              <w:top w:val="single" w:sz="4" w:space="0" w:color="auto"/>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102,291</w:t>
            </w:r>
          </w:p>
        </w:tc>
        <w:tc>
          <w:tcPr>
            <w:tcW w:w="921" w:type="dxa"/>
            <w:tcBorders>
              <w:top w:val="single" w:sz="4" w:space="0" w:color="auto"/>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65,940</w:t>
            </w:r>
          </w:p>
        </w:tc>
        <w:tc>
          <w:tcPr>
            <w:tcW w:w="1049" w:type="dxa"/>
            <w:tcBorders>
              <w:top w:val="single" w:sz="4" w:space="0" w:color="auto"/>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78,833</w:t>
            </w:r>
          </w:p>
        </w:tc>
        <w:tc>
          <w:tcPr>
            <w:tcW w:w="1049" w:type="dxa"/>
            <w:tcBorders>
              <w:top w:val="single" w:sz="4" w:space="0" w:color="auto"/>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100,671</w:t>
            </w:r>
          </w:p>
        </w:tc>
        <w:tc>
          <w:tcPr>
            <w:tcW w:w="1049" w:type="dxa"/>
            <w:tcBorders>
              <w:top w:val="single" w:sz="4" w:space="0" w:color="auto"/>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92,088</w:t>
            </w:r>
          </w:p>
        </w:tc>
        <w:tc>
          <w:tcPr>
            <w:tcW w:w="1049" w:type="dxa"/>
            <w:tcBorders>
              <w:top w:val="single" w:sz="4" w:space="0" w:color="auto"/>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91,613</w:t>
            </w:r>
          </w:p>
        </w:tc>
        <w:tc>
          <w:tcPr>
            <w:tcW w:w="1049" w:type="dxa"/>
            <w:tcBorders>
              <w:top w:val="single" w:sz="4" w:space="0" w:color="auto"/>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82,081</w:t>
            </w:r>
          </w:p>
        </w:tc>
        <w:tc>
          <w:tcPr>
            <w:tcW w:w="1049" w:type="dxa"/>
            <w:tcBorders>
              <w:top w:val="single" w:sz="4" w:space="0" w:color="auto"/>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98,315</w:t>
            </w:r>
          </w:p>
        </w:tc>
        <w:tc>
          <w:tcPr>
            <w:tcW w:w="1242" w:type="dxa"/>
            <w:tcBorders>
              <w:top w:val="single" w:sz="4" w:space="0" w:color="auto"/>
              <w:left w:val="single" w:sz="8" w:space="0" w:color="auto"/>
              <w:bottom w:val="nil"/>
              <w:right w:val="single" w:sz="8"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1,020,676</w:t>
            </w:r>
          </w:p>
        </w:tc>
      </w:tr>
      <w:tr w:rsidR="00177ED3" w:rsidRPr="00991BA4" w:rsidTr="00B409EE">
        <w:trPr>
          <w:trHeight w:val="255"/>
        </w:trPr>
        <w:tc>
          <w:tcPr>
            <w:tcW w:w="2013" w:type="dxa"/>
            <w:tcBorders>
              <w:top w:val="single" w:sz="4" w:space="0" w:color="auto"/>
              <w:left w:val="single" w:sz="8" w:space="0" w:color="auto"/>
              <w:bottom w:val="nil"/>
              <w:right w:val="single" w:sz="8" w:space="0" w:color="auto"/>
            </w:tcBorders>
            <w:shd w:val="clear" w:color="auto" w:fill="auto"/>
            <w:vAlign w:val="center"/>
            <w:hideMark/>
          </w:tcPr>
          <w:p w:rsidR="00177ED3" w:rsidRPr="00991BA4" w:rsidRDefault="00177ED3" w:rsidP="00177ED3">
            <w:pPr>
              <w:jc w:val="both"/>
              <w:rPr>
                <w:color w:val="000000"/>
                <w:sz w:val="18"/>
                <w:szCs w:val="18"/>
                <w:lang w:eastAsia="en-GB"/>
              </w:rPr>
            </w:pPr>
            <w:r w:rsidRPr="00991BA4">
              <w:rPr>
                <w:color w:val="000000"/>
                <w:sz w:val="18"/>
                <w:szCs w:val="18"/>
                <w:lang w:eastAsia="en-GB"/>
              </w:rPr>
              <w:t>WG Capital Funding</w:t>
            </w:r>
          </w:p>
        </w:tc>
        <w:tc>
          <w:tcPr>
            <w:tcW w:w="921" w:type="dxa"/>
            <w:tcBorders>
              <w:top w:val="single" w:sz="4" w:space="0" w:color="auto"/>
              <w:left w:val="nil"/>
              <w:bottom w:val="nil"/>
              <w:right w:val="nil"/>
            </w:tcBorders>
            <w:shd w:val="clear" w:color="auto" w:fill="auto"/>
            <w:vAlign w:val="center"/>
            <w:hideMark/>
          </w:tcPr>
          <w:p w:rsidR="00177ED3" w:rsidRDefault="00177ED3" w:rsidP="00177ED3">
            <w:pPr>
              <w:jc w:val="right"/>
              <w:rPr>
                <w:color w:val="000000"/>
                <w:sz w:val="18"/>
                <w:szCs w:val="18"/>
              </w:rPr>
            </w:pPr>
            <w:r>
              <w:rPr>
                <w:color w:val="000000"/>
                <w:sz w:val="18"/>
                <w:szCs w:val="18"/>
              </w:rPr>
              <w:t>2,000</w:t>
            </w:r>
          </w:p>
        </w:tc>
        <w:tc>
          <w:tcPr>
            <w:tcW w:w="1049" w:type="dxa"/>
            <w:tcBorders>
              <w:top w:val="nil"/>
              <w:left w:val="single" w:sz="4" w:space="0" w:color="auto"/>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3,000</w:t>
            </w:r>
          </w:p>
        </w:tc>
        <w:tc>
          <w:tcPr>
            <w:tcW w:w="921" w:type="dxa"/>
            <w:tcBorders>
              <w:top w:val="nil"/>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3,000</w:t>
            </w:r>
          </w:p>
        </w:tc>
        <w:tc>
          <w:tcPr>
            <w:tcW w:w="1049" w:type="dxa"/>
            <w:tcBorders>
              <w:top w:val="nil"/>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2,200</w:t>
            </w:r>
          </w:p>
        </w:tc>
        <w:tc>
          <w:tcPr>
            <w:tcW w:w="1049" w:type="dxa"/>
            <w:tcBorders>
              <w:top w:val="nil"/>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1,500</w:t>
            </w:r>
          </w:p>
        </w:tc>
        <w:tc>
          <w:tcPr>
            <w:tcW w:w="921" w:type="dxa"/>
            <w:tcBorders>
              <w:top w:val="nil"/>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3,800</w:t>
            </w:r>
          </w:p>
        </w:tc>
        <w:tc>
          <w:tcPr>
            <w:tcW w:w="1049" w:type="dxa"/>
            <w:tcBorders>
              <w:top w:val="nil"/>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2,000</w:t>
            </w:r>
          </w:p>
        </w:tc>
        <w:tc>
          <w:tcPr>
            <w:tcW w:w="1049" w:type="dxa"/>
            <w:tcBorders>
              <w:top w:val="nil"/>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2,200</w:t>
            </w:r>
          </w:p>
        </w:tc>
        <w:tc>
          <w:tcPr>
            <w:tcW w:w="1049" w:type="dxa"/>
            <w:tcBorders>
              <w:top w:val="nil"/>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300</w:t>
            </w:r>
          </w:p>
        </w:tc>
        <w:tc>
          <w:tcPr>
            <w:tcW w:w="1049" w:type="dxa"/>
            <w:tcBorders>
              <w:top w:val="nil"/>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300</w:t>
            </w:r>
          </w:p>
        </w:tc>
        <w:tc>
          <w:tcPr>
            <w:tcW w:w="1049" w:type="dxa"/>
            <w:tcBorders>
              <w:top w:val="nil"/>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3,800</w:t>
            </w:r>
          </w:p>
        </w:tc>
        <w:tc>
          <w:tcPr>
            <w:tcW w:w="1049" w:type="dxa"/>
            <w:tcBorders>
              <w:top w:val="nil"/>
              <w:left w:val="nil"/>
              <w:bottom w:val="nil"/>
              <w:right w:val="nil"/>
            </w:tcBorders>
            <w:shd w:val="clear" w:color="auto" w:fill="auto"/>
            <w:vAlign w:val="center"/>
            <w:hideMark/>
          </w:tcPr>
          <w:p w:rsidR="00177ED3" w:rsidRDefault="00177ED3" w:rsidP="00177ED3">
            <w:pPr>
              <w:jc w:val="right"/>
              <w:rPr>
                <w:color w:val="000000"/>
                <w:sz w:val="18"/>
                <w:szCs w:val="18"/>
              </w:rPr>
            </w:pPr>
            <w:r>
              <w:rPr>
                <w:color w:val="000000"/>
                <w:sz w:val="18"/>
                <w:szCs w:val="18"/>
              </w:rPr>
              <w:t>13,362</w:t>
            </w:r>
          </w:p>
        </w:tc>
        <w:tc>
          <w:tcPr>
            <w:tcW w:w="1242" w:type="dxa"/>
            <w:tcBorders>
              <w:top w:val="single" w:sz="4" w:space="0" w:color="auto"/>
              <w:left w:val="single" w:sz="8" w:space="0" w:color="auto"/>
              <w:bottom w:val="nil"/>
              <w:right w:val="single" w:sz="8"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37,462</w:t>
            </w:r>
          </w:p>
        </w:tc>
      </w:tr>
      <w:tr w:rsidR="00177ED3" w:rsidRPr="00991BA4" w:rsidTr="00B409EE">
        <w:trPr>
          <w:trHeight w:val="255"/>
        </w:trPr>
        <w:tc>
          <w:tcPr>
            <w:tcW w:w="2013" w:type="dxa"/>
            <w:tcBorders>
              <w:top w:val="single" w:sz="4" w:space="0" w:color="auto"/>
              <w:left w:val="single" w:sz="8" w:space="0" w:color="auto"/>
              <w:bottom w:val="nil"/>
              <w:right w:val="single" w:sz="8" w:space="0" w:color="auto"/>
            </w:tcBorders>
            <w:shd w:val="clear" w:color="auto" w:fill="auto"/>
            <w:vAlign w:val="center"/>
            <w:hideMark/>
          </w:tcPr>
          <w:p w:rsidR="00177ED3" w:rsidRPr="00991BA4" w:rsidRDefault="00177ED3" w:rsidP="00177ED3">
            <w:pPr>
              <w:jc w:val="both"/>
              <w:rPr>
                <w:color w:val="000000"/>
                <w:sz w:val="18"/>
                <w:szCs w:val="18"/>
                <w:lang w:eastAsia="en-GB"/>
              </w:rPr>
            </w:pPr>
            <w:r w:rsidRPr="00991BA4">
              <w:rPr>
                <w:color w:val="000000"/>
                <w:sz w:val="18"/>
                <w:szCs w:val="18"/>
                <w:lang w:eastAsia="en-GB"/>
              </w:rPr>
              <w:t>Sale of Assets</w:t>
            </w:r>
          </w:p>
        </w:tc>
        <w:tc>
          <w:tcPr>
            <w:tcW w:w="921" w:type="dxa"/>
            <w:tcBorders>
              <w:top w:val="single" w:sz="4" w:space="0" w:color="auto"/>
              <w:left w:val="nil"/>
              <w:bottom w:val="nil"/>
              <w:right w:val="nil"/>
            </w:tcBorders>
            <w:shd w:val="clear" w:color="auto" w:fill="auto"/>
            <w:vAlign w:val="center"/>
            <w:hideMark/>
          </w:tcPr>
          <w:p w:rsidR="00177ED3" w:rsidRDefault="00177ED3" w:rsidP="00177ED3">
            <w:pPr>
              <w:jc w:val="right"/>
              <w:rPr>
                <w:color w:val="000000"/>
                <w:sz w:val="18"/>
                <w:szCs w:val="18"/>
              </w:rPr>
            </w:pPr>
            <w:r>
              <w:rPr>
                <w:color w:val="000000"/>
                <w:sz w:val="18"/>
                <w:szCs w:val="18"/>
              </w:rPr>
              <w:t>0</w:t>
            </w:r>
          </w:p>
        </w:tc>
        <w:tc>
          <w:tcPr>
            <w:tcW w:w="1049" w:type="dxa"/>
            <w:tcBorders>
              <w:top w:val="nil"/>
              <w:left w:val="single" w:sz="4" w:space="0" w:color="auto"/>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0</w:t>
            </w:r>
          </w:p>
        </w:tc>
        <w:tc>
          <w:tcPr>
            <w:tcW w:w="921" w:type="dxa"/>
            <w:tcBorders>
              <w:top w:val="nil"/>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0</w:t>
            </w:r>
          </w:p>
        </w:tc>
        <w:tc>
          <w:tcPr>
            <w:tcW w:w="1049" w:type="dxa"/>
            <w:tcBorders>
              <w:top w:val="nil"/>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0</w:t>
            </w:r>
          </w:p>
        </w:tc>
        <w:tc>
          <w:tcPr>
            <w:tcW w:w="1049" w:type="dxa"/>
            <w:tcBorders>
              <w:top w:val="nil"/>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0</w:t>
            </w:r>
          </w:p>
        </w:tc>
        <w:tc>
          <w:tcPr>
            <w:tcW w:w="921" w:type="dxa"/>
            <w:tcBorders>
              <w:top w:val="nil"/>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27</w:t>
            </w:r>
          </w:p>
        </w:tc>
        <w:tc>
          <w:tcPr>
            <w:tcW w:w="1049" w:type="dxa"/>
            <w:tcBorders>
              <w:top w:val="nil"/>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0</w:t>
            </w:r>
          </w:p>
        </w:tc>
        <w:tc>
          <w:tcPr>
            <w:tcW w:w="1049" w:type="dxa"/>
            <w:tcBorders>
              <w:top w:val="nil"/>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0</w:t>
            </w:r>
          </w:p>
        </w:tc>
        <w:tc>
          <w:tcPr>
            <w:tcW w:w="1049" w:type="dxa"/>
            <w:tcBorders>
              <w:top w:val="nil"/>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21</w:t>
            </w:r>
          </w:p>
        </w:tc>
        <w:tc>
          <w:tcPr>
            <w:tcW w:w="1049" w:type="dxa"/>
            <w:tcBorders>
              <w:top w:val="nil"/>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5</w:t>
            </w:r>
          </w:p>
        </w:tc>
        <w:tc>
          <w:tcPr>
            <w:tcW w:w="1049" w:type="dxa"/>
            <w:tcBorders>
              <w:top w:val="nil"/>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0</w:t>
            </w:r>
          </w:p>
        </w:tc>
        <w:tc>
          <w:tcPr>
            <w:tcW w:w="1049" w:type="dxa"/>
            <w:tcBorders>
              <w:top w:val="single" w:sz="4" w:space="0" w:color="auto"/>
              <w:left w:val="nil"/>
              <w:bottom w:val="nil"/>
              <w:right w:val="nil"/>
            </w:tcBorders>
            <w:shd w:val="clear" w:color="auto" w:fill="auto"/>
            <w:vAlign w:val="center"/>
            <w:hideMark/>
          </w:tcPr>
          <w:p w:rsidR="00177ED3" w:rsidRDefault="00177ED3" w:rsidP="00177ED3">
            <w:pPr>
              <w:jc w:val="right"/>
              <w:rPr>
                <w:color w:val="000000"/>
                <w:sz w:val="18"/>
                <w:szCs w:val="18"/>
              </w:rPr>
            </w:pPr>
            <w:r>
              <w:rPr>
                <w:color w:val="000000"/>
                <w:sz w:val="18"/>
                <w:szCs w:val="18"/>
              </w:rPr>
              <w:t>0</w:t>
            </w:r>
          </w:p>
        </w:tc>
        <w:tc>
          <w:tcPr>
            <w:tcW w:w="1242" w:type="dxa"/>
            <w:tcBorders>
              <w:top w:val="single" w:sz="4" w:space="0" w:color="auto"/>
              <w:left w:val="single" w:sz="8" w:space="0" w:color="auto"/>
              <w:bottom w:val="nil"/>
              <w:right w:val="single" w:sz="8"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53</w:t>
            </w:r>
          </w:p>
        </w:tc>
      </w:tr>
      <w:tr w:rsidR="00177ED3" w:rsidRPr="00991BA4" w:rsidTr="00B409EE">
        <w:trPr>
          <w:trHeight w:val="255"/>
        </w:trPr>
        <w:tc>
          <w:tcPr>
            <w:tcW w:w="2013" w:type="dxa"/>
            <w:tcBorders>
              <w:top w:val="single" w:sz="4" w:space="0" w:color="auto"/>
              <w:left w:val="single" w:sz="8" w:space="0" w:color="auto"/>
              <w:bottom w:val="nil"/>
              <w:right w:val="single" w:sz="8" w:space="0" w:color="auto"/>
            </w:tcBorders>
            <w:shd w:val="clear" w:color="auto" w:fill="auto"/>
            <w:vAlign w:val="center"/>
            <w:hideMark/>
          </w:tcPr>
          <w:p w:rsidR="00177ED3" w:rsidRPr="00991BA4" w:rsidRDefault="00177ED3" w:rsidP="00177ED3">
            <w:pPr>
              <w:jc w:val="both"/>
              <w:rPr>
                <w:color w:val="000000"/>
                <w:sz w:val="18"/>
                <w:szCs w:val="18"/>
                <w:lang w:eastAsia="en-GB"/>
              </w:rPr>
            </w:pPr>
            <w:r w:rsidRPr="00991BA4">
              <w:rPr>
                <w:color w:val="000000"/>
                <w:sz w:val="18"/>
                <w:szCs w:val="18"/>
                <w:lang w:eastAsia="en-GB"/>
              </w:rPr>
              <w:t xml:space="preserve">Welsh NHS Org'ns </w:t>
            </w:r>
          </w:p>
        </w:tc>
        <w:tc>
          <w:tcPr>
            <w:tcW w:w="921" w:type="dxa"/>
            <w:tcBorders>
              <w:top w:val="single" w:sz="4" w:space="0" w:color="auto"/>
              <w:left w:val="nil"/>
              <w:bottom w:val="nil"/>
              <w:right w:val="nil"/>
            </w:tcBorders>
            <w:shd w:val="clear" w:color="auto" w:fill="auto"/>
            <w:vAlign w:val="center"/>
            <w:hideMark/>
          </w:tcPr>
          <w:p w:rsidR="00177ED3" w:rsidRDefault="00177ED3" w:rsidP="00177ED3">
            <w:pPr>
              <w:jc w:val="right"/>
              <w:rPr>
                <w:color w:val="000000"/>
                <w:sz w:val="18"/>
                <w:szCs w:val="18"/>
              </w:rPr>
            </w:pPr>
            <w:r>
              <w:rPr>
                <w:color w:val="000000"/>
                <w:sz w:val="18"/>
                <w:szCs w:val="18"/>
              </w:rPr>
              <w:t>9,272</w:t>
            </w:r>
          </w:p>
        </w:tc>
        <w:tc>
          <w:tcPr>
            <w:tcW w:w="1049" w:type="dxa"/>
            <w:tcBorders>
              <w:top w:val="nil"/>
              <w:left w:val="single" w:sz="4" w:space="0" w:color="auto"/>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9,248</w:t>
            </w:r>
          </w:p>
        </w:tc>
        <w:tc>
          <w:tcPr>
            <w:tcW w:w="921" w:type="dxa"/>
            <w:tcBorders>
              <w:top w:val="nil"/>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9,161</w:t>
            </w:r>
          </w:p>
        </w:tc>
        <w:tc>
          <w:tcPr>
            <w:tcW w:w="1049" w:type="dxa"/>
            <w:tcBorders>
              <w:top w:val="nil"/>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11,509</w:t>
            </w:r>
          </w:p>
        </w:tc>
        <w:tc>
          <w:tcPr>
            <w:tcW w:w="1049" w:type="dxa"/>
            <w:tcBorders>
              <w:top w:val="nil"/>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9,052</w:t>
            </w:r>
          </w:p>
        </w:tc>
        <w:tc>
          <w:tcPr>
            <w:tcW w:w="921" w:type="dxa"/>
            <w:tcBorders>
              <w:top w:val="nil"/>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8,997</w:t>
            </w:r>
          </w:p>
        </w:tc>
        <w:tc>
          <w:tcPr>
            <w:tcW w:w="1049" w:type="dxa"/>
            <w:tcBorders>
              <w:top w:val="nil"/>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9,084</w:t>
            </w:r>
          </w:p>
        </w:tc>
        <w:tc>
          <w:tcPr>
            <w:tcW w:w="1049" w:type="dxa"/>
            <w:tcBorders>
              <w:top w:val="nil"/>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10,792</w:t>
            </w:r>
          </w:p>
        </w:tc>
        <w:tc>
          <w:tcPr>
            <w:tcW w:w="1049" w:type="dxa"/>
            <w:tcBorders>
              <w:top w:val="nil"/>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8,654</w:t>
            </w:r>
          </w:p>
        </w:tc>
        <w:tc>
          <w:tcPr>
            <w:tcW w:w="1049" w:type="dxa"/>
            <w:tcBorders>
              <w:top w:val="nil"/>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9,786</w:t>
            </w:r>
          </w:p>
        </w:tc>
        <w:tc>
          <w:tcPr>
            <w:tcW w:w="1049" w:type="dxa"/>
            <w:tcBorders>
              <w:top w:val="nil"/>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8,962</w:t>
            </w:r>
          </w:p>
        </w:tc>
        <w:tc>
          <w:tcPr>
            <w:tcW w:w="1049" w:type="dxa"/>
            <w:tcBorders>
              <w:top w:val="single" w:sz="4" w:space="0" w:color="auto"/>
              <w:left w:val="nil"/>
              <w:bottom w:val="nil"/>
              <w:right w:val="nil"/>
            </w:tcBorders>
            <w:shd w:val="clear" w:color="auto" w:fill="auto"/>
            <w:vAlign w:val="center"/>
            <w:hideMark/>
          </w:tcPr>
          <w:p w:rsidR="00177ED3" w:rsidRDefault="00177ED3" w:rsidP="00177ED3">
            <w:pPr>
              <w:jc w:val="right"/>
              <w:rPr>
                <w:color w:val="000000"/>
                <w:sz w:val="18"/>
                <w:szCs w:val="18"/>
              </w:rPr>
            </w:pPr>
            <w:r>
              <w:rPr>
                <w:color w:val="000000"/>
                <w:sz w:val="18"/>
                <w:szCs w:val="18"/>
              </w:rPr>
              <w:t>11,800</w:t>
            </w:r>
          </w:p>
        </w:tc>
        <w:tc>
          <w:tcPr>
            <w:tcW w:w="1242" w:type="dxa"/>
            <w:tcBorders>
              <w:top w:val="single" w:sz="4" w:space="0" w:color="auto"/>
              <w:left w:val="single" w:sz="8" w:space="0" w:color="auto"/>
              <w:bottom w:val="nil"/>
              <w:right w:val="single" w:sz="8"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116,317</w:t>
            </w:r>
          </w:p>
        </w:tc>
      </w:tr>
      <w:tr w:rsidR="00177ED3" w:rsidRPr="00991BA4" w:rsidTr="00B409EE">
        <w:trPr>
          <w:trHeight w:val="270"/>
        </w:trPr>
        <w:tc>
          <w:tcPr>
            <w:tcW w:w="2013" w:type="dxa"/>
            <w:tcBorders>
              <w:top w:val="single" w:sz="4" w:space="0" w:color="auto"/>
              <w:left w:val="single" w:sz="8" w:space="0" w:color="auto"/>
              <w:bottom w:val="nil"/>
              <w:right w:val="single" w:sz="8" w:space="0" w:color="auto"/>
            </w:tcBorders>
            <w:shd w:val="clear" w:color="auto" w:fill="auto"/>
            <w:vAlign w:val="center"/>
            <w:hideMark/>
          </w:tcPr>
          <w:p w:rsidR="00177ED3" w:rsidRPr="00991BA4" w:rsidRDefault="00177ED3" w:rsidP="00177ED3">
            <w:pPr>
              <w:jc w:val="both"/>
              <w:rPr>
                <w:color w:val="000000"/>
                <w:sz w:val="18"/>
                <w:szCs w:val="18"/>
                <w:lang w:eastAsia="en-GB"/>
              </w:rPr>
            </w:pPr>
            <w:r w:rsidRPr="00991BA4">
              <w:rPr>
                <w:color w:val="000000"/>
                <w:sz w:val="18"/>
                <w:szCs w:val="18"/>
                <w:lang w:eastAsia="en-GB"/>
              </w:rPr>
              <w:t>Other</w:t>
            </w:r>
          </w:p>
        </w:tc>
        <w:tc>
          <w:tcPr>
            <w:tcW w:w="921" w:type="dxa"/>
            <w:tcBorders>
              <w:top w:val="single" w:sz="4" w:space="0" w:color="auto"/>
              <w:left w:val="nil"/>
              <w:bottom w:val="nil"/>
              <w:right w:val="nil"/>
            </w:tcBorders>
            <w:shd w:val="clear" w:color="auto" w:fill="auto"/>
            <w:vAlign w:val="center"/>
            <w:hideMark/>
          </w:tcPr>
          <w:p w:rsidR="00177ED3" w:rsidRDefault="00177ED3" w:rsidP="00177ED3">
            <w:pPr>
              <w:jc w:val="right"/>
              <w:rPr>
                <w:color w:val="000000"/>
                <w:sz w:val="18"/>
                <w:szCs w:val="18"/>
              </w:rPr>
            </w:pPr>
            <w:r>
              <w:rPr>
                <w:color w:val="000000"/>
                <w:sz w:val="18"/>
                <w:szCs w:val="18"/>
              </w:rPr>
              <w:t>2,198</w:t>
            </w:r>
          </w:p>
        </w:tc>
        <w:tc>
          <w:tcPr>
            <w:tcW w:w="1049" w:type="dxa"/>
            <w:tcBorders>
              <w:top w:val="nil"/>
              <w:left w:val="single" w:sz="4" w:space="0" w:color="auto"/>
              <w:bottom w:val="nil"/>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5,992</w:t>
            </w:r>
          </w:p>
        </w:tc>
        <w:tc>
          <w:tcPr>
            <w:tcW w:w="921" w:type="dxa"/>
            <w:tcBorders>
              <w:top w:val="nil"/>
              <w:left w:val="nil"/>
              <w:bottom w:val="nil"/>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2,258</w:t>
            </w:r>
          </w:p>
        </w:tc>
        <w:tc>
          <w:tcPr>
            <w:tcW w:w="1049" w:type="dxa"/>
            <w:tcBorders>
              <w:top w:val="nil"/>
              <w:left w:val="nil"/>
              <w:bottom w:val="nil"/>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2,341</w:t>
            </w:r>
          </w:p>
        </w:tc>
        <w:tc>
          <w:tcPr>
            <w:tcW w:w="1049" w:type="dxa"/>
            <w:tcBorders>
              <w:top w:val="nil"/>
              <w:left w:val="nil"/>
              <w:bottom w:val="nil"/>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2,808</w:t>
            </w:r>
          </w:p>
        </w:tc>
        <w:tc>
          <w:tcPr>
            <w:tcW w:w="921" w:type="dxa"/>
            <w:tcBorders>
              <w:top w:val="nil"/>
              <w:left w:val="nil"/>
              <w:bottom w:val="nil"/>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2,128</w:t>
            </w:r>
          </w:p>
        </w:tc>
        <w:tc>
          <w:tcPr>
            <w:tcW w:w="1049" w:type="dxa"/>
            <w:tcBorders>
              <w:top w:val="nil"/>
              <w:left w:val="nil"/>
              <w:bottom w:val="nil"/>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4,645</w:t>
            </w:r>
          </w:p>
        </w:tc>
        <w:tc>
          <w:tcPr>
            <w:tcW w:w="1049" w:type="dxa"/>
            <w:tcBorders>
              <w:top w:val="nil"/>
              <w:left w:val="nil"/>
              <w:bottom w:val="nil"/>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3,122</w:t>
            </w:r>
          </w:p>
        </w:tc>
        <w:tc>
          <w:tcPr>
            <w:tcW w:w="1049" w:type="dxa"/>
            <w:tcBorders>
              <w:top w:val="nil"/>
              <w:left w:val="nil"/>
              <w:bottom w:val="nil"/>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2,081</w:t>
            </w:r>
          </w:p>
        </w:tc>
        <w:tc>
          <w:tcPr>
            <w:tcW w:w="1049" w:type="dxa"/>
            <w:tcBorders>
              <w:top w:val="nil"/>
              <w:left w:val="nil"/>
              <w:bottom w:val="nil"/>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3,624</w:t>
            </w:r>
          </w:p>
        </w:tc>
        <w:tc>
          <w:tcPr>
            <w:tcW w:w="1049" w:type="dxa"/>
            <w:tcBorders>
              <w:top w:val="nil"/>
              <w:left w:val="nil"/>
              <w:bottom w:val="single" w:sz="8"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2,412</w:t>
            </w:r>
          </w:p>
        </w:tc>
        <w:tc>
          <w:tcPr>
            <w:tcW w:w="1049" w:type="dxa"/>
            <w:tcBorders>
              <w:top w:val="single" w:sz="4" w:space="0" w:color="auto"/>
              <w:left w:val="nil"/>
              <w:bottom w:val="nil"/>
              <w:right w:val="nil"/>
            </w:tcBorders>
            <w:shd w:val="clear" w:color="auto" w:fill="auto"/>
            <w:vAlign w:val="center"/>
            <w:hideMark/>
          </w:tcPr>
          <w:p w:rsidR="00177ED3" w:rsidRDefault="00177ED3" w:rsidP="00177ED3">
            <w:pPr>
              <w:jc w:val="right"/>
              <w:rPr>
                <w:color w:val="000000"/>
                <w:sz w:val="18"/>
                <w:szCs w:val="18"/>
              </w:rPr>
            </w:pPr>
            <w:r>
              <w:rPr>
                <w:color w:val="000000"/>
                <w:sz w:val="18"/>
                <w:szCs w:val="18"/>
              </w:rPr>
              <w:t>2,300</w:t>
            </w:r>
          </w:p>
        </w:tc>
        <w:tc>
          <w:tcPr>
            <w:tcW w:w="1242" w:type="dxa"/>
            <w:tcBorders>
              <w:top w:val="single" w:sz="4" w:space="0" w:color="auto"/>
              <w:left w:val="single" w:sz="8" w:space="0" w:color="auto"/>
              <w:bottom w:val="nil"/>
              <w:right w:val="single" w:sz="8"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35,909</w:t>
            </w:r>
          </w:p>
        </w:tc>
      </w:tr>
      <w:tr w:rsidR="00177ED3" w:rsidRPr="00991BA4" w:rsidTr="00B409EE">
        <w:trPr>
          <w:trHeight w:val="270"/>
        </w:trPr>
        <w:tc>
          <w:tcPr>
            <w:tcW w:w="2013" w:type="dxa"/>
            <w:tcBorders>
              <w:top w:val="single" w:sz="8" w:space="0" w:color="auto"/>
              <w:left w:val="single" w:sz="8" w:space="0" w:color="auto"/>
              <w:bottom w:val="single" w:sz="8" w:space="0" w:color="auto"/>
              <w:right w:val="single" w:sz="8" w:space="0" w:color="auto"/>
            </w:tcBorders>
            <w:shd w:val="clear" w:color="000000" w:fill="8DB4E2"/>
            <w:vAlign w:val="center"/>
            <w:hideMark/>
          </w:tcPr>
          <w:p w:rsidR="00177ED3" w:rsidRPr="00991BA4" w:rsidRDefault="00177ED3" w:rsidP="00177ED3">
            <w:pPr>
              <w:jc w:val="both"/>
              <w:rPr>
                <w:b/>
                <w:bCs/>
                <w:color w:val="000000"/>
                <w:sz w:val="18"/>
                <w:szCs w:val="18"/>
                <w:lang w:eastAsia="en-GB"/>
              </w:rPr>
            </w:pPr>
            <w:r w:rsidRPr="00991BA4">
              <w:rPr>
                <w:b/>
                <w:bCs/>
                <w:color w:val="000000"/>
                <w:sz w:val="18"/>
                <w:szCs w:val="18"/>
                <w:lang w:eastAsia="en-GB"/>
              </w:rPr>
              <w:t>Total Receipts</w:t>
            </w:r>
          </w:p>
        </w:tc>
        <w:tc>
          <w:tcPr>
            <w:tcW w:w="921" w:type="dxa"/>
            <w:tcBorders>
              <w:top w:val="single" w:sz="8" w:space="0" w:color="auto"/>
              <w:left w:val="nil"/>
              <w:bottom w:val="single" w:sz="8" w:space="0" w:color="auto"/>
              <w:right w:val="nil"/>
            </w:tcBorders>
            <w:shd w:val="clear" w:color="000000" w:fill="8DB4E2"/>
            <w:vAlign w:val="center"/>
            <w:hideMark/>
          </w:tcPr>
          <w:p w:rsidR="00177ED3" w:rsidRDefault="00177ED3" w:rsidP="00177ED3">
            <w:pPr>
              <w:jc w:val="right"/>
              <w:rPr>
                <w:b/>
                <w:bCs/>
                <w:color w:val="000000"/>
                <w:sz w:val="18"/>
                <w:szCs w:val="18"/>
              </w:rPr>
            </w:pPr>
            <w:r>
              <w:rPr>
                <w:b/>
                <w:bCs/>
                <w:color w:val="000000"/>
                <w:sz w:val="18"/>
                <w:szCs w:val="18"/>
              </w:rPr>
              <w:t>81,174</w:t>
            </w:r>
          </w:p>
        </w:tc>
        <w:tc>
          <w:tcPr>
            <w:tcW w:w="1049" w:type="dxa"/>
            <w:tcBorders>
              <w:top w:val="single" w:sz="8" w:space="0" w:color="auto"/>
              <w:left w:val="single" w:sz="8" w:space="0" w:color="auto"/>
              <w:bottom w:val="single" w:sz="8" w:space="0" w:color="auto"/>
              <w:right w:val="nil"/>
            </w:tcBorders>
            <w:shd w:val="clear" w:color="000000" w:fill="8DB4E2"/>
            <w:vAlign w:val="center"/>
            <w:hideMark/>
          </w:tcPr>
          <w:p w:rsidR="00177ED3" w:rsidRDefault="00177ED3" w:rsidP="00177ED3">
            <w:pPr>
              <w:jc w:val="right"/>
              <w:rPr>
                <w:b/>
                <w:bCs/>
                <w:color w:val="000000"/>
                <w:sz w:val="18"/>
                <w:szCs w:val="18"/>
              </w:rPr>
            </w:pPr>
            <w:r>
              <w:rPr>
                <w:b/>
                <w:bCs/>
                <w:color w:val="000000"/>
                <w:sz w:val="18"/>
                <w:szCs w:val="18"/>
              </w:rPr>
              <w:t>103,434</w:t>
            </w:r>
          </w:p>
        </w:tc>
        <w:tc>
          <w:tcPr>
            <w:tcW w:w="921" w:type="dxa"/>
            <w:tcBorders>
              <w:top w:val="single" w:sz="8" w:space="0" w:color="auto"/>
              <w:left w:val="single" w:sz="8" w:space="0" w:color="auto"/>
              <w:bottom w:val="single" w:sz="8" w:space="0" w:color="auto"/>
              <w:right w:val="nil"/>
            </w:tcBorders>
            <w:shd w:val="clear" w:color="000000" w:fill="8DB4E2"/>
            <w:vAlign w:val="center"/>
            <w:hideMark/>
          </w:tcPr>
          <w:p w:rsidR="00177ED3" w:rsidRDefault="00177ED3" w:rsidP="00177ED3">
            <w:pPr>
              <w:jc w:val="right"/>
              <w:rPr>
                <w:b/>
                <w:bCs/>
                <w:color w:val="000000"/>
                <w:sz w:val="18"/>
                <w:szCs w:val="18"/>
              </w:rPr>
            </w:pPr>
            <w:r>
              <w:rPr>
                <w:b/>
                <w:bCs/>
                <w:color w:val="000000"/>
                <w:sz w:val="18"/>
                <w:szCs w:val="18"/>
              </w:rPr>
              <w:t>86,616</w:t>
            </w:r>
          </w:p>
        </w:tc>
        <w:tc>
          <w:tcPr>
            <w:tcW w:w="1049" w:type="dxa"/>
            <w:tcBorders>
              <w:top w:val="single" w:sz="8" w:space="0" w:color="auto"/>
              <w:left w:val="single" w:sz="8" w:space="0" w:color="auto"/>
              <w:bottom w:val="single" w:sz="8" w:space="0" w:color="auto"/>
              <w:right w:val="nil"/>
            </w:tcBorders>
            <w:shd w:val="clear" w:color="000000" w:fill="8DB4E2"/>
            <w:vAlign w:val="center"/>
            <w:hideMark/>
          </w:tcPr>
          <w:p w:rsidR="00177ED3" w:rsidRDefault="00177ED3" w:rsidP="00177ED3">
            <w:pPr>
              <w:jc w:val="right"/>
              <w:rPr>
                <w:b/>
                <w:bCs/>
                <w:color w:val="000000"/>
                <w:sz w:val="18"/>
                <w:szCs w:val="18"/>
              </w:rPr>
            </w:pPr>
            <w:r>
              <w:rPr>
                <w:b/>
                <w:bCs/>
                <w:color w:val="000000"/>
                <w:sz w:val="18"/>
                <w:szCs w:val="18"/>
              </w:rPr>
              <w:t>99,799</w:t>
            </w:r>
          </w:p>
        </w:tc>
        <w:tc>
          <w:tcPr>
            <w:tcW w:w="1049" w:type="dxa"/>
            <w:tcBorders>
              <w:top w:val="single" w:sz="8" w:space="0" w:color="auto"/>
              <w:left w:val="single" w:sz="8" w:space="0" w:color="auto"/>
              <w:bottom w:val="single" w:sz="8" w:space="0" w:color="auto"/>
              <w:right w:val="nil"/>
            </w:tcBorders>
            <w:shd w:val="clear" w:color="000000" w:fill="8DB4E2"/>
            <w:vAlign w:val="center"/>
            <w:hideMark/>
          </w:tcPr>
          <w:p w:rsidR="00177ED3" w:rsidRDefault="00177ED3" w:rsidP="00177ED3">
            <w:pPr>
              <w:jc w:val="right"/>
              <w:rPr>
                <w:b/>
                <w:bCs/>
                <w:color w:val="000000"/>
                <w:sz w:val="18"/>
                <w:szCs w:val="18"/>
              </w:rPr>
            </w:pPr>
            <w:r>
              <w:rPr>
                <w:b/>
                <w:bCs/>
                <w:color w:val="000000"/>
                <w:sz w:val="18"/>
                <w:szCs w:val="18"/>
              </w:rPr>
              <w:t>115,651</w:t>
            </w:r>
          </w:p>
        </w:tc>
        <w:tc>
          <w:tcPr>
            <w:tcW w:w="921" w:type="dxa"/>
            <w:tcBorders>
              <w:top w:val="single" w:sz="8" w:space="0" w:color="auto"/>
              <w:left w:val="single" w:sz="8" w:space="0" w:color="auto"/>
              <w:bottom w:val="single" w:sz="8" w:space="0" w:color="auto"/>
              <w:right w:val="nil"/>
            </w:tcBorders>
            <w:shd w:val="clear" w:color="000000" w:fill="8DB4E2"/>
            <w:vAlign w:val="center"/>
            <w:hideMark/>
          </w:tcPr>
          <w:p w:rsidR="00177ED3" w:rsidRDefault="00177ED3" w:rsidP="00177ED3">
            <w:pPr>
              <w:jc w:val="right"/>
              <w:rPr>
                <w:b/>
                <w:bCs/>
                <w:color w:val="000000"/>
                <w:sz w:val="18"/>
                <w:szCs w:val="18"/>
              </w:rPr>
            </w:pPr>
            <w:r>
              <w:rPr>
                <w:b/>
                <w:bCs/>
                <w:color w:val="000000"/>
                <w:sz w:val="18"/>
                <w:szCs w:val="18"/>
              </w:rPr>
              <w:t>80,892</w:t>
            </w:r>
          </w:p>
        </w:tc>
        <w:tc>
          <w:tcPr>
            <w:tcW w:w="1049" w:type="dxa"/>
            <w:tcBorders>
              <w:top w:val="single" w:sz="8" w:space="0" w:color="auto"/>
              <w:left w:val="single" w:sz="8" w:space="0" w:color="auto"/>
              <w:bottom w:val="single" w:sz="8" w:space="0" w:color="auto"/>
              <w:right w:val="nil"/>
            </w:tcBorders>
            <w:shd w:val="clear" w:color="000000" w:fill="8DB4E2"/>
            <w:vAlign w:val="center"/>
            <w:hideMark/>
          </w:tcPr>
          <w:p w:rsidR="00177ED3" w:rsidRDefault="00177ED3" w:rsidP="00177ED3">
            <w:pPr>
              <w:jc w:val="right"/>
              <w:rPr>
                <w:b/>
                <w:bCs/>
                <w:color w:val="000000"/>
                <w:sz w:val="18"/>
                <w:szCs w:val="18"/>
              </w:rPr>
            </w:pPr>
            <w:r>
              <w:rPr>
                <w:b/>
                <w:bCs/>
                <w:color w:val="000000"/>
                <w:sz w:val="18"/>
                <w:szCs w:val="18"/>
              </w:rPr>
              <w:t>94,562</w:t>
            </w:r>
          </w:p>
        </w:tc>
        <w:tc>
          <w:tcPr>
            <w:tcW w:w="1049" w:type="dxa"/>
            <w:tcBorders>
              <w:top w:val="single" w:sz="8" w:space="0" w:color="auto"/>
              <w:left w:val="single" w:sz="8" w:space="0" w:color="auto"/>
              <w:bottom w:val="single" w:sz="8" w:space="0" w:color="auto"/>
              <w:right w:val="nil"/>
            </w:tcBorders>
            <w:shd w:val="clear" w:color="000000" w:fill="8DB4E2"/>
            <w:vAlign w:val="center"/>
            <w:hideMark/>
          </w:tcPr>
          <w:p w:rsidR="00177ED3" w:rsidRDefault="00177ED3" w:rsidP="00177ED3">
            <w:pPr>
              <w:jc w:val="right"/>
              <w:rPr>
                <w:b/>
                <w:bCs/>
                <w:color w:val="000000"/>
                <w:sz w:val="18"/>
                <w:szCs w:val="18"/>
              </w:rPr>
            </w:pPr>
            <w:r>
              <w:rPr>
                <w:b/>
                <w:bCs/>
                <w:color w:val="000000"/>
                <w:sz w:val="18"/>
                <w:szCs w:val="18"/>
              </w:rPr>
              <w:t>116,785</w:t>
            </w:r>
          </w:p>
        </w:tc>
        <w:tc>
          <w:tcPr>
            <w:tcW w:w="1049" w:type="dxa"/>
            <w:tcBorders>
              <w:top w:val="single" w:sz="8" w:space="0" w:color="auto"/>
              <w:left w:val="single" w:sz="8" w:space="0" w:color="auto"/>
              <w:bottom w:val="single" w:sz="8" w:space="0" w:color="auto"/>
              <w:right w:val="nil"/>
            </w:tcBorders>
            <w:shd w:val="clear" w:color="000000" w:fill="8DB4E2"/>
            <w:vAlign w:val="center"/>
            <w:hideMark/>
          </w:tcPr>
          <w:p w:rsidR="00177ED3" w:rsidRDefault="00177ED3" w:rsidP="00177ED3">
            <w:pPr>
              <w:jc w:val="right"/>
              <w:rPr>
                <w:b/>
                <w:bCs/>
                <w:color w:val="000000"/>
                <w:sz w:val="18"/>
                <w:szCs w:val="18"/>
              </w:rPr>
            </w:pPr>
            <w:r>
              <w:rPr>
                <w:b/>
                <w:bCs/>
                <w:color w:val="000000"/>
                <w:sz w:val="18"/>
                <w:szCs w:val="18"/>
              </w:rPr>
              <w:t>103,144</w:t>
            </w:r>
          </w:p>
        </w:tc>
        <w:tc>
          <w:tcPr>
            <w:tcW w:w="1049" w:type="dxa"/>
            <w:tcBorders>
              <w:top w:val="single" w:sz="8" w:space="0" w:color="auto"/>
              <w:left w:val="single" w:sz="8" w:space="0" w:color="auto"/>
              <w:bottom w:val="single" w:sz="8" w:space="0" w:color="auto"/>
              <w:right w:val="nil"/>
            </w:tcBorders>
            <w:shd w:val="clear" w:color="000000" w:fill="8DB4E2"/>
            <w:vAlign w:val="center"/>
            <w:hideMark/>
          </w:tcPr>
          <w:p w:rsidR="00177ED3" w:rsidRDefault="00177ED3" w:rsidP="00177ED3">
            <w:pPr>
              <w:jc w:val="right"/>
              <w:rPr>
                <w:b/>
                <w:bCs/>
                <w:color w:val="000000"/>
                <w:sz w:val="18"/>
                <w:szCs w:val="18"/>
              </w:rPr>
            </w:pPr>
            <w:r>
              <w:rPr>
                <w:b/>
                <w:bCs/>
                <w:color w:val="000000"/>
                <w:sz w:val="18"/>
                <w:szCs w:val="18"/>
              </w:rPr>
              <w:t>105,328</w:t>
            </w:r>
          </w:p>
        </w:tc>
        <w:tc>
          <w:tcPr>
            <w:tcW w:w="1049" w:type="dxa"/>
            <w:tcBorders>
              <w:top w:val="nil"/>
              <w:left w:val="single" w:sz="8" w:space="0" w:color="auto"/>
              <w:bottom w:val="single" w:sz="8" w:space="0" w:color="auto"/>
              <w:right w:val="nil"/>
            </w:tcBorders>
            <w:shd w:val="clear" w:color="000000" w:fill="8DB4E2"/>
            <w:vAlign w:val="center"/>
            <w:hideMark/>
          </w:tcPr>
          <w:p w:rsidR="00177ED3" w:rsidRDefault="00177ED3" w:rsidP="00177ED3">
            <w:pPr>
              <w:jc w:val="right"/>
              <w:rPr>
                <w:b/>
                <w:bCs/>
                <w:color w:val="000000"/>
                <w:sz w:val="18"/>
                <w:szCs w:val="18"/>
              </w:rPr>
            </w:pPr>
            <w:r>
              <w:rPr>
                <w:b/>
                <w:bCs/>
                <w:color w:val="000000"/>
                <w:sz w:val="18"/>
                <w:szCs w:val="18"/>
              </w:rPr>
              <w:t>97,255</w:t>
            </w:r>
          </w:p>
        </w:tc>
        <w:tc>
          <w:tcPr>
            <w:tcW w:w="1049" w:type="dxa"/>
            <w:tcBorders>
              <w:top w:val="single" w:sz="8" w:space="0" w:color="auto"/>
              <w:left w:val="single" w:sz="8" w:space="0" w:color="auto"/>
              <w:bottom w:val="single" w:sz="8" w:space="0" w:color="auto"/>
              <w:right w:val="nil"/>
            </w:tcBorders>
            <w:shd w:val="clear" w:color="000000" w:fill="8DB4E2"/>
            <w:vAlign w:val="center"/>
            <w:hideMark/>
          </w:tcPr>
          <w:p w:rsidR="00177ED3" w:rsidRDefault="00177ED3" w:rsidP="00177ED3">
            <w:pPr>
              <w:jc w:val="right"/>
              <w:rPr>
                <w:b/>
                <w:bCs/>
                <w:color w:val="000000"/>
                <w:sz w:val="18"/>
                <w:szCs w:val="18"/>
              </w:rPr>
            </w:pPr>
            <w:r>
              <w:rPr>
                <w:b/>
                <w:bCs/>
                <w:color w:val="000000"/>
                <w:sz w:val="18"/>
                <w:szCs w:val="18"/>
              </w:rPr>
              <w:t>125,777</w:t>
            </w:r>
          </w:p>
        </w:tc>
        <w:tc>
          <w:tcPr>
            <w:tcW w:w="1242" w:type="dxa"/>
            <w:tcBorders>
              <w:top w:val="single" w:sz="8" w:space="0" w:color="auto"/>
              <w:left w:val="single" w:sz="8" w:space="0" w:color="auto"/>
              <w:bottom w:val="single" w:sz="8" w:space="0" w:color="auto"/>
              <w:right w:val="nil"/>
            </w:tcBorders>
            <w:shd w:val="clear" w:color="000000" w:fill="8DB4E2"/>
            <w:vAlign w:val="center"/>
            <w:hideMark/>
          </w:tcPr>
          <w:p w:rsidR="00177ED3" w:rsidRDefault="00177ED3" w:rsidP="00177ED3">
            <w:pPr>
              <w:jc w:val="right"/>
              <w:rPr>
                <w:b/>
                <w:bCs/>
                <w:color w:val="000000"/>
                <w:sz w:val="18"/>
                <w:szCs w:val="18"/>
              </w:rPr>
            </w:pPr>
            <w:r>
              <w:rPr>
                <w:b/>
                <w:bCs/>
                <w:color w:val="000000"/>
                <w:sz w:val="18"/>
                <w:szCs w:val="18"/>
              </w:rPr>
              <w:t>1,210,417</w:t>
            </w:r>
          </w:p>
        </w:tc>
      </w:tr>
      <w:tr w:rsidR="00177ED3" w:rsidRPr="00991BA4" w:rsidTr="00B409EE">
        <w:trPr>
          <w:trHeight w:val="255"/>
        </w:trPr>
        <w:tc>
          <w:tcPr>
            <w:tcW w:w="2013" w:type="dxa"/>
            <w:tcBorders>
              <w:top w:val="nil"/>
              <w:left w:val="single" w:sz="8" w:space="0" w:color="auto"/>
              <w:bottom w:val="nil"/>
              <w:right w:val="single" w:sz="8" w:space="0" w:color="auto"/>
            </w:tcBorders>
            <w:shd w:val="clear" w:color="auto" w:fill="auto"/>
            <w:vAlign w:val="center"/>
            <w:hideMark/>
          </w:tcPr>
          <w:p w:rsidR="00177ED3" w:rsidRPr="00991BA4" w:rsidRDefault="00177ED3" w:rsidP="00177ED3">
            <w:pPr>
              <w:jc w:val="both"/>
              <w:rPr>
                <w:b/>
                <w:bCs/>
                <w:color w:val="000000"/>
                <w:sz w:val="18"/>
                <w:szCs w:val="18"/>
                <w:lang w:eastAsia="en-GB"/>
              </w:rPr>
            </w:pPr>
            <w:r w:rsidRPr="00991BA4">
              <w:rPr>
                <w:b/>
                <w:bCs/>
                <w:color w:val="000000"/>
                <w:sz w:val="18"/>
                <w:szCs w:val="18"/>
                <w:lang w:eastAsia="en-GB"/>
              </w:rPr>
              <w:t>Payments</w:t>
            </w:r>
          </w:p>
        </w:tc>
        <w:tc>
          <w:tcPr>
            <w:tcW w:w="921" w:type="dxa"/>
            <w:tcBorders>
              <w:top w:val="nil"/>
              <w:left w:val="nil"/>
              <w:bottom w:val="nil"/>
              <w:right w:val="nil"/>
            </w:tcBorders>
            <w:shd w:val="clear" w:color="auto" w:fill="auto"/>
            <w:vAlign w:val="center"/>
            <w:hideMark/>
          </w:tcPr>
          <w:p w:rsidR="00177ED3" w:rsidRDefault="00177ED3" w:rsidP="00177ED3">
            <w:pPr>
              <w:jc w:val="right"/>
              <w:rPr>
                <w:b/>
                <w:bCs/>
                <w:color w:val="000000"/>
                <w:sz w:val="18"/>
                <w:szCs w:val="18"/>
              </w:rPr>
            </w:pPr>
            <w:r>
              <w:rPr>
                <w:b/>
                <w:bCs/>
                <w:color w:val="000000"/>
                <w:sz w:val="18"/>
                <w:szCs w:val="18"/>
              </w:rPr>
              <w:t> </w:t>
            </w:r>
          </w:p>
        </w:tc>
        <w:tc>
          <w:tcPr>
            <w:tcW w:w="1049" w:type="dxa"/>
            <w:tcBorders>
              <w:top w:val="nil"/>
              <w:left w:val="single" w:sz="4" w:space="0" w:color="auto"/>
              <w:bottom w:val="nil"/>
              <w:right w:val="single" w:sz="4" w:space="0" w:color="auto"/>
            </w:tcBorders>
            <w:shd w:val="clear" w:color="auto" w:fill="auto"/>
            <w:vAlign w:val="center"/>
            <w:hideMark/>
          </w:tcPr>
          <w:p w:rsidR="00177ED3" w:rsidRDefault="00177ED3" w:rsidP="00177ED3">
            <w:pPr>
              <w:jc w:val="right"/>
              <w:rPr>
                <w:b/>
                <w:bCs/>
                <w:color w:val="000000"/>
                <w:sz w:val="18"/>
                <w:szCs w:val="18"/>
              </w:rPr>
            </w:pPr>
            <w:r>
              <w:rPr>
                <w:b/>
                <w:bCs/>
                <w:color w:val="000000"/>
                <w:sz w:val="18"/>
                <w:szCs w:val="18"/>
              </w:rPr>
              <w:t> </w:t>
            </w:r>
          </w:p>
        </w:tc>
        <w:tc>
          <w:tcPr>
            <w:tcW w:w="921" w:type="dxa"/>
            <w:tcBorders>
              <w:top w:val="nil"/>
              <w:left w:val="nil"/>
              <w:bottom w:val="nil"/>
              <w:right w:val="single" w:sz="4" w:space="0" w:color="auto"/>
            </w:tcBorders>
            <w:shd w:val="clear" w:color="auto" w:fill="auto"/>
            <w:vAlign w:val="center"/>
            <w:hideMark/>
          </w:tcPr>
          <w:p w:rsidR="00177ED3" w:rsidRDefault="00177ED3" w:rsidP="00177ED3">
            <w:pPr>
              <w:jc w:val="right"/>
              <w:rPr>
                <w:b/>
                <w:bCs/>
                <w:color w:val="000000"/>
                <w:sz w:val="18"/>
                <w:szCs w:val="18"/>
              </w:rPr>
            </w:pPr>
            <w:r>
              <w:rPr>
                <w:b/>
                <w:bCs/>
                <w:color w:val="000000"/>
                <w:sz w:val="18"/>
                <w:szCs w:val="18"/>
              </w:rPr>
              <w:t> </w:t>
            </w:r>
          </w:p>
        </w:tc>
        <w:tc>
          <w:tcPr>
            <w:tcW w:w="1049" w:type="dxa"/>
            <w:tcBorders>
              <w:top w:val="nil"/>
              <w:left w:val="nil"/>
              <w:bottom w:val="nil"/>
              <w:right w:val="single" w:sz="4" w:space="0" w:color="auto"/>
            </w:tcBorders>
            <w:shd w:val="clear" w:color="auto" w:fill="auto"/>
            <w:vAlign w:val="center"/>
            <w:hideMark/>
          </w:tcPr>
          <w:p w:rsidR="00177ED3" w:rsidRDefault="00177ED3" w:rsidP="00177ED3">
            <w:pPr>
              <w:jc w:val="right"/>
              <w:rPr>
                <w:b/>
                <w:bCs/>
                <w:color w:val="000000"/>
                <w:sz w:val="18"/>
                <w:szCs w:val="18"/>
              </w:rPr>
            </w:pPr>
            <w:r>
              <w:rPr>
                <w:b/>
                <w:bCs/>
                <w:color w:val="000000"/>
                <w:sz w:val="18"/>
                <w:szCs w:val="18"/>
              </w:rPr>
              <w:t> </w:t>
            </w:r>
          </w:p>
        </w:tc>
        <w:tc>
          <w:tcPr>
            <w:tcW w:w="1049" w:type="dxa"/>
            <w:tcBorders>
              <w:top w:val="nil"/>
              <w:left w:val="nil"/>
              <w:bottom w:val="nil"/>
              <w:right w:val="single" w:sz="4" w:space="0" w:color="auto"/>
            </w:tcBorders>
            <w:shd w:val="clear" w:color="auto" w:fill="auto"/>
            <w:vAlign w:val="center"/>
            <w:hideMark/>
          </w:tcPr>
          <w:p w:rsidR="00177ED3" w:rsidRDefault="00177ED3" w:rsidP="00177ED3">
            <w:pPr>
              <w:jc w:val="right"/>
              <w:rPr>
                <w:b/>
                <w:bCs/>
                <w:color w:val="000000"/>
                <w:sz w:val="18"/>
                <w:szCs w:val="18"/>
              </w:rPr>
            </w:pPr>
            <w:r>
              <w:rPr>
                <w:b/>
                <w:bCs/>
                <w:color w:val="000000"/>
                <w:sz w:val="18"/>
                <w:szCs w:val="18"/>
              </w:rPr>
              <w:t> </w:t>
            </w:r>
          </w:p>
        </w:tc>
        <w:tc>
          <w:tcPr>
            <w:tcW w:w="921" w:type="dxa"/>
            <w:tcBorders>
              <w:top w:val="nil"/>
              <w:left w:val="nil"/>
              <w:bottom w:val="nil"/>
              <w:right w:val="single" w:sz="4" w:space="0" w:color="auto"/>
            </w:tcBorders>
            <w:shd w:val="clear" w:color="auto" w:fill="auto"/>
            <w:vAlign w:val="center"/>
            <w:hideMark/>
          </w:tcPr>
          <w:p w:rsidR="00177ED3" w:rsidRDefault="00177ED3" w:rsidP="00177ED3">
            <w:pPr>
              <w:jc w:val="right"/>
              <w:rPr>
                <w:b/>
                <w:bCs/>
                <w:color w:val="000000"/>
                <w:sz w:val="18"/>
                <w:szCs w:val="18"/>
              </w:rPr>
            </w:pPr>
            <w:r>
              <w:rPr>
                <w:b/>
                <w:bCs/>
                <w:color w:val="000000"/>
                <w:sz w:val="18"/>
                <w:szCs w:val="18"/>
              </w:rPr>
              <w:t> </w:t>
            </w:r>
          </w:p>
        </w:tc>
        <w:tc>
          <w:tcPr>
            <w:tcW w:w="1049" w:type="dxa"/>
            <w:tcBorders>
              <w:top w:val="nil"/>
              <w:left w:val="nil"/>
              <w:bottom w:val="nil"/>
              <w:right w:val="single" w:sz="4" w:space="0" w:color="auto"/>
            </w:tcBorders>
            <w:shd w:val="clear" w:color="auto" w:fill="auto"/>
            <w:vAlign w:val="center"/>
            <w:hideMark/>
          </w:tcPr>
          <w:p w:rsidR="00177ED3" w:rsidRDefault="00177ED3" w:rsidP="00177ED3">
            <w:pPr>
              <w:jc w:val="right"/>
              <w:rPr>
                <w:b/>
                <w:bCs/>
                <w:color w:val="000000"/>
                <w:sz w:val="18"/>
                <w:szCs w:val="18"/>
              </w:rPr>
            </w:pPr>
            <w:r>
              <w:rPr>
                <w:b/>
                <w:bCs/>
                <w:color w:val="000000"/>
                <w:sz w:val="18"/>
                <w:szCs w:val="18"/>
              </w:rPr>
              <w:t> </w:t>
            </w:r>
          </w:p>
        </w:tc>
        <w:tc>
          <w:tcPr>
            <w:tcW w:w="1049" w:type="dxa"/>
            <w:tcBorders>
              <w:top w:val="nil"/>
              <w:left w:val="nil"/>
              <w:bottom w:val="nil"/>
              <w:right w:val="single" w:sz="4" w:space="0" w:color="auto"/>
            </w:tcBorders>
            <w:shd w:val="clear" w:color="auto" w:fill="auto"/>
            <w:vAlign w:val="center"/>
            <w:hideMark/>
          </w:tcPr>
          <w:p w:rsidR="00177ED3" w:rsidRDefault="00177ED3" w:rsidP="00177ED3">
            <w:pPr>
              <w:jc w:val="right"/>
              <w:rPr>
                <w:b/>
                <w:bCs/>
                <w:color w:val="000000"/>
                <w:sz w:val="18"/>
                <w:szCs w:val="18"/>
              </w:rPr>
            </w:pPr>
            <w:r>
              <w:rPr>
                <w:b/>
                <w:bCs/>
                <w:color w:val="000000"/>
                <w:sz w:val="18"/>
                <w:szCs w:val="18"/>
              </w:rPr>
              <w:t> </w:t>
            </w:r>
          </w:p>
        </w:tc>
        <w:tc>
          <w:tcPr>
            <w:tcW w:w="1049" w:type="dxa"/>
            <w:tcBorders>
              <w:top w:val="nil"/>
              <w:left w:val="nil"/>
              <w:bottom w:val="nil"/>
              <w:right w:val="single" w:sz="4" w:space="0" w:color="auto"/>
            </w:tcBorders>
            <w:shd w:val="clear" w:color="auto" w:fill="auto"/>
            <w:vAlign w:val="center"/>
            <w:hideMark/>
          </w:tcPr>
          <w:p w:rsidR="00177ED3" w:rsidRDefault="00177ED3" w:rsidP="00177ED3">
            <w:pPr>
              <w:jc w:val="right"/>
              <w:rPr>
                <w:b/>
                <w:bCs/>
                <w:color w:val="000000"/>
                <w:sz w:val="18"/>
                <w:szCs w:val="18"/>
              </w:rPr>
            </w:pPr>
            <w:r>
              <w:rPr>
                <w:b/>
                <w:bCs/>
                <w:color w:val="000000"/>
                <w:sz w:val="18"/>
                <w:szCs w:val="18"/>
              </w:rPr>
              <w:t> </w:t>
            </w:r>
          </w:p>
        </w:tc>
        <w:tc>
          <w:tcPr>
            <w:tcW w:w="1049" w:type="dxa"/>
            <w:tcBorders>
              <w:top w:val="nil"/>
              <w:left w:val="nil"/>
              <w:bottom w:val="nil"/>
              <w:right w:val="single" w:sz="4" w:space="0" w:color="auto"/>
            </w:tcBorders>
            <w:shd w:val="clear" w:color="auto" w:fill="auto"/>
            <w:vAlign w:val="center"/>
            <w:hideMark/>
          </w:tcPr>
          <w:p w:rsidR="00177ED3" w:rsidRDefault="00177ED3" w:rsidP="00177ED3">
            <w:pPr>
              <w:jc w:val="right"/>
              <w:rPr>
                <w:b/>
                <w:bCs/>
                <w:color w:val="000000"/>
                <w:sz w:val="18"/>
                <w:szCs w:val="18"/>
              </w:rPr>
            </w:pPr>
            <w:r>
              <w:rPr>
                <w:b/>
                <w:bCs/>
                <w:color w:val="000000"/>
                <w:sz w:val="18"/>
                <w:szCs w:val="18"/>
              </w:rPr>
              <w:t> </w:t>
            </w:r>
          </w:p>
        </w:tc>
        <w:tc>
          <w:tcPr>
            <w:tcW w:w="1049" w:type="dxa"/>
            <w:tcBorders>
              <w:top w:val="nil"/>
              <w:left w:val="nil"/>
              <w:bottom w:val="nil"/>
              <w:right w:val="single" w:sz="4" w:space="0" w:color="auto"/>
            </w:tcBorders>
            <w:shd w:val="clear" w:color="auto" w:fill="auto"/>
            <w:vAlign w:val="center"/>
            <w:hideMark/>
          </w:tcPr>
          <w:p w:rsidR="00177ED3" w:rsidRDefault="00177ED3" w:rsidP="00177ED3">
            <w:pPr>
              <w:jc w:val="right"/>
              <w:rPr>
                <w:b/>
                <w:bCs/>
                <w:color w:val="000000"/>
                <w:sz w:val="18"/>
                <w:szCs w:val="18"/>
              </w:rPr>
            </w:pPr>
            <w:r>
              <w:rPr>
                <w:b/>
                <w:bCs/>
                <w:color w:val="000000"/>
                <w:sz w:val="18"/>
                <w:szCs w:val="18"/>
              </w:rPr>
              <w:t> </w:t>
            </w:r>
          </w:p>
        </w:tc>
        <w:tc>
          <w:tcPr>
            <w:tcW w:w="1049" w:type="dxa"/>
            <w:tcBorders>
              <w:top w:val="nil"/>
              <w:left w:val="nil"/>
              <w:bottom w:val="nil"/>
              <w:right w:val="nil"/>
            </w:tcBorders>
            <w:shd w:val="clear" w:color="auto" w:fill="auto"/>
            <w:vAlign w:val="center"/>
            <w:hideMark/>
          </w:tcPr>
          <w:p w:rsidR="00177ED3" w:rsidRDefault="00177ED3" w:rsidP="00177ED3">
            <w:pPr>
              <w:jc w:val="right"/>
              <w:rPr>
                <w:b/>
                <w:bCs/>
                <w:color w:val="000000"/>
                <w:sz w:val="18"/>
                <w:szCs w:val="18"/>
              </w:rPr>
            </w:pPr>
          </w:p>
        </w:tc>
        <w:tc>
          <w:tcPr>
            <w:tcW w:w="1242" w:type="dxa"/>
            <w:tcBorders>
              <w:top w:val="nil"/>
              <w:left w:val="single" w:sz="8" w:space="0" w:color="auto"/>
              <w:bottom w:val="nil"/>
              <w:right w:val="single" w:sz="8" w:space="0" w:color="auto"/>
            </w:tcBorders>
            <w:shd w:val="clear" w:color="auto" w:fill="auto"/>
            <w:vAlign w:val="center"/>
            <w:hideMark/>
          </w:tcPr>
          <w:p w:rsidR="00177ED3" w:rsidRDefault="00177ED3" w:rsidP="00177ED3">
            <w:pPr>
              <w:jc w:val="right"/>
              <w:rPr>
                <w:b/>
                <w:bCs/>
                <w:color w:val="000000"/>
                <w:sz w:val="18"/>
                <w:szCs w:val="18"/>
              </w:rPr>
            </w:pPr>
            <w:r>
              <w:rPr>
                <w:b/>
                <w:bCs/>
                <w:color w:val="000000"/>
                <w:sz w:val="18"/>
                <w:szCs w:val="18"/>
              </w:rPr>
              <w:t> </w:t>
            </w:r>
          </w:p>
        </w:tc>
      </w:tr>
      <w:tr w:rsidR="00177ED3" w:rsidRPr="00991BA4" w:rsidTr="00B409EE">
        <w:trPr>
          <w:trHeight w:val="255"/>
        </w:trPr>
        <w:tc>
          <w:tcPr>
            <w:tcW w:w="2013"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177ED3" w:rsidRPr="00991BA4" w:rsidRDefault="00177ED3" w:rsidP="00177ED3">
            <w:pPr>
              <w:rPr>
                <w:color w:val="000000"/>
                <w:sz w:val="18"/>
                <w:szCs w:val="18"/>
                <w:lang w:eastAsia="en-GB"/>
              </w:rPr>
            </w:pPr>
            <w:r w:rsidRPr="00991BA4">
              <w:rPr>
                <w:color w:val="000000"/>
                <w:sz w:val="18"/>
                <w:szCs w:val="18"/>
                <w:lang w:eastAsia="en-GB"/>
              </w:rPr>
              <w:t>Primary Care Services</w:t>
            </w:r>
          </w:p>
        </w:tc>
        <w:tc>
          <w:tcPr>
            <w:tcW w:w="921" w:type="dxa"/>
            <w:tcBorders>
              <w:top w:val="single" w:sz="4" w:space="0" w:color="auto"/>
              <w:left w:val="nil"/>
              <w:bottom w:val="nil"/>
              <w:right w:val="nil"/>
            </w:tcBorders>
            <w:shd w:val="clear" w:color="auto" w:fill="auto"/>
            <w:vAlign w:val="center"/>
            <w:hideMark/>
          </w:tcPr>
          <w:p w:rsidR="00177ED3" w:rsidRDefault="00177ED3" w:rsidP="00177ED3">
            <w:pPr>
              <w:jc w:val="right"/>
              <w:rPr>
                <w:color w:val="000000"/>
                <w:sz w:val="18"/>
                <w:szCs w:val="18"/>
              </w:rPr>
            </w:pPr>
            <w:r>
              <w:rPr>
                <w:color w:val="000000"/>
                <w:sz w:val="18"/>
                <w:szCs w:val="18"/>
              </w:rPr>
              <w:t>11,546</w:t>
            </w:r>
          </w:p>
        </w:tc>
        <w:tc>
          <w:tcPr>
            <w:tcW w:w="104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21,225</w:t>
            </w:r>
          </w:p>
        </w:tc>
        <w:tc>
          <w:tcPr>
            <w:tcW w:w="921" w:type="dxa"/>
            <w:tcBorders>
              <w:top w:val="single" w:sz="4" w:space="0" w:color="auto"/>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9,414</w:t>
            </w:r>
          </w:p>
        </w:tc>
        <w:tc>
          <w:tcPr>
            <w:tcW w:w="1049" w:type="dxa"/>
            <w:tcBorders>
              <w:top w:val="single" w:sz="4" w:space="0" w:color="auto"/>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16,236</w:t>
            </w:r>
          </w:p>
        </w:tc>
        <w:tc>
          <w:tcPr>
            <w:tcW w:w="1049" w:type="dxa"/>
            <w:tcBorders>
              <w:top w:val="single" w:sz="4" w:space="0" w:color="auto"/>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24,242</w:t>
            </w:r>
          </w:p>
        </w:tc>
        <w:tc>
          <w:tcPr>
            <w:tcW w:w="921" w:type="dxa"/>
            <w:tcBorders>
              <w:top w:val="single" w:sz="4" w:space="0" w:color="auto"/>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7,628</w:t>
            </w:r>
          </w:p>
        </w:tc>
        <w:tc>
          <w:tcPr>
            <w:tcW w:w="1049" w:type="dxa"/>
            <w:tcBorders>
              <w:top w:val="single" w:sz="4" w:space="0" w:color="auto"/>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15,647</w:t>
            </w:r>
          </w:p>
        </w:tc>
        <w:tc>
          <w:tcPr>
            <w:tcW w:w="1049" w:type="dxa"/>
            <w:tcBorders>
              <w:top w:val="single" w:sz="4" w:space="0" w:color="auto"/>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25,658</w:t>
            </w:r>
          </w:p>
        </w:tc>
        <w:tc>
          <w:tcPr>
            <w:tcW w:w="1049" w:type="dxa"/>
            <w:tcBorders>
              <w:top w:val="single" w:sz="4" w:space="0" w:color="auto"/>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17,518</w:t>
            </w:r>
          </w:p>
        </w:tc>
        <w:tc>
          <w:tcPr>
            <w:tcW w:w="1049" w:type="dxa"/>
            <w:tcBorders>
              <w:top w:val="single" w:sz="4" w:space="0" w:color="auto"/>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16,025</w:t>
            </w:r>
          </w:p>
        </w:tc>
        <w:tc>
          <w:tcPr>
            <w:tcW w:w="1049" w:type="dxa"/>
            <w:tcBorders>
              <w:top w:val="single" w:sz="4" w:space="0" w:color="auto"/>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16,199</w:t>
            </w:r>
          </w:p>
        </w:tc>
        <w:tc>
          <w:tcPr>
            <w:tcW w:w="1049" w:type="dxa"/>
            <w:tcBorders>
              <w:top w:val="single" w:sz="4" w:space="0" w:color="auto"/>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8,316</w:t>
            </w:r>
          </w:p>
        </w:tc>
        <w:tc>
          <w:tcPr>
            <w:tcW w:w="1242"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189,654</w:t>
            </w:r>
          </w:p>
        </w:tc>
      </w:tr>
      <w:tr w:rsidR="00177ED3" w:rsidRPr="00991BA4" w:rsidTr="00B409EE">
        <w:trPr>
          <w:trHeight w:val="255"/>
        </w:trPr>
        <w:tc>
          <w:tcPr>
            <w:tcW w:w="2013" w:type="dxa"/>
            <w:tcBorders>
              <w:top w:val="nil"/>
              <w:left w:val="single" w:sz="8" w:space="0" w:color="auto"/>
              <w:bottom w:val="single" w:sz="4" w:space="0" w:color="auto"/>
              <w:right w:val="single" w:sz="8" w:space="0" w:color="auto"/>
            </w:tcBorders>
            <w:shd w:val="clear" w:color="auto" w:fill="auto"/>
            <w:vAlign w:val="center"/>
            <w:hideMark/>
          </w:tcPr>
          <w:p w:rsidR="00177ED3" w:rsidRPr="00991BA4" w:rsidRDefault="00177ED3" w:rsidP="00177ED3">
            <w:pPr>
              <w:jc w:val="both"/>
              <w:rPr>
                <w:color w:val="000000"/>
                <w:sz w:val="18"/>
                <w:szCs w:val="18"/>
                <w:lang w:eastAsia="en-GB"/>
              </w:rPr>
            </w:pPr>
            <w:r w:rsidRPr="00991BA4">
              <w:rPr>
                <w:color w:val="000000"/>
                <w:sz w:val="18"/>
                <w:szCs w:val="18"/>
                <w:lang w:eastAsia="en-GB"/>
              </w:rPr>
              <w:t>Salaries and Wages</w:t>
            </w:r>
          </w:p>
        </w:tc>
        <w:tc>
          <w:tcPr>
            <w:tcW w:w="921" w:type="dxa"/>
            <w:tcBorders>
              <w:top w:val="single" w:sz="4" w:space="0" w:color="auto"/>
              <w:left w:val="nil"/>
              <w:bottom w:val="nil"/>
              <w:right w:val="nil"/>
            </w:tcBorders>
            <w:shd w:val="clear" w:color="auto" w:fill="auto"/>
            <w:vAlign w:val="center"/>
            <w:hideMark/>
          </w:tcPr>
          <w:p w:rsidR="00177ED3" w:rsidRDefault="00177ED3" w:rsidP="00177ED3">
            <w:pPr>
              <w:jc w:val="right"/>
              <w:rPr>
                <w:color w:val="000000"/>
                <w:sz w:val="18"/>
                <w:szCs w:val="18"/>
              </w:rPr>
            </w:pPr>
            <w:r>
              <w:rPr>
                <w:color w:val="000000"/>
                <w:sz w:val="18"/>
                <w:szCs w:val="18"/>
              </w:rPr>
              <w:t>32,265</w:t>
            </w:r>
          </w:p>
        </w:tc>
        <w:tc>
          <w:tcPr>
            <w:tcW w:w="1049" w:type="dxa"/>
            <w:tcBorders>
              <w:top w:val="nil"/>
              <w:left w:val="single" w:sz="4" w:space="0" w:color="auto"/>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40,778</w:t>
            </w:r>
          </w:p>
        </w:tc>
        <w:tc>
          <w:tcPr>
            <w:tcW w:w="921" w:type="dxa"/>
            <w:tcBorders>
              <w:top w:val="nil"/>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40,809</w:t>
            </w:r>
          </w:p>
        </w:tc>
        <w:tc>
          <w:tcPr>
            <w:tcW w:w="1049" w:type="dxa"/>
            <w:tcBorders>
              <w:top w:val="nil"/>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41,186</w:t>
            </w:r>
          </w:p>
        </w:tc>
        <w:tc>
          <w:tcPr>
            <w:tcW w:w="1049" w:type="dxa"/>
            <w:tcBorders>
              <w:top w:val="nil"/>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41,284</w:t>
            </w:r>
          </w:p>
        </w:tc>
        <w:tc>
          <w:tcPr>
            <w:tcW w:w="921" w:type="dxa"/>
            <w:tcBorders>
              <w:top w:val="nil"/>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40,590</w:t>
            </w:r>
          </w:p>
        </w:tc>
        <w:tc>
          <w:tcPr>
            <w:tcW w:w="1049" w:type="dxa"/>
            <w:tcBorders>
              <w:top w:val="nil"/>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41,887</w:t>
            </w:r>
          </w:p>
        </w:tc>
        <w:tc>
          <w:tcPr>
            <w:tcW w:w="1049" w:type="dxa"/>
            <w:tcBorders>
              <w:top w:val="nil"/>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42,555</w:t>
            </w:r>
          </w:p>
        </w:tc>
        <w:tc>
          <w:tcPr>
            <w:tcW w:w="1049" w:type="dxa"/>
            <w:tcBorders>
              <w:top w:val="nil"/>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41,511</w:t>
            </w:r>
          </w:p>
        </w:tc>
        <w:tc>
          <w:tcPr>
            <w:tcW w:w="1049" w:type="dxa"/>
            <w:tcBorders>
              <w:top w:val="nil"/>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41,159</w:t>
            </w:r>
          </w:p>
        </w:tc>
        <w:tc>
          <w:tcPr>
            <w:tcW w:w="1049" w:type="dxa"/>
            <w:tcBorders>
              <w:top w:val="nil"/>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42,435</w:t>
            </w:r>
          </w:p>
        </w:tc>
        <w:tc>
          <w:tcPr>
            <w:tcW w:w="1049" w:type="dxa"/>
            <w:tcBorders>
              <w:top w:val="nil"/>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59,000</w:t>
            </w:r>
          </w:p>
        </w:tc>
        <w:tc>
          <w:tcPr>
            <w:tcW w:w="1242" w:type="dxa"/>
            <w:tcBorders>
              <w:top w:val="nil"/>
              <w:left w:val="single" w:sz="8" w:space="0" w:color="auto"/>
              <w:bottom w:val="single" w:sz="4" w:space="0" w:color="auto"/>
              <w:right w:val="single" w:sz="8"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505,459</w:t>
            </w:r>
          </w:p>
        </w:tc>
      </w:tr>
      <w:tr w:rsidR="00177ED3" w:rsidRPr="00991BA4" w:rsidTr="00B409EE">
        <w:trPr>
          <w:trHeight w:val="255"/>
        </w:trPr>
        <w:tc>
          <w:tcPr>
            <w:tcW w:w="2013" w:type="dxa"/>
            <w:tcBorders>
              <w:top w:val="nil"/>
              <w:left w:val="single" w:sz="8" w:space="0" w:color="auto"/>
              <w:bottom w:val="single" w:sz="4" w:space="0" w:color="auto"/>
              <w:right w:val="single" w:sz="8" w:space="0" w:color="auto"/>
            </w:tcBorders>
            <w:shd w:val="clear" w:color="auto" w:fill="auto"/>
            <w:vAlign w:val="center"/>
            <w:hideMark/>
          </w:tcPr>
          <w:p w:rsidR="00177ED3" w:rsidRPr="00991BA4" w:rsidRDefault="00177ED3" w:rsidP="00177ED3">
            <w:pPr>
              <w:jc w:val="both"/>
              <w:rPr>
                <w:color w:val="000000"/>
                <w:sz w:val="18"/>
                <w:szCs w:val="18"/>
                <w:lang w:eastAsia="en-GB"/>
              </w:rPr>
            </w:pPr>
            <w:r w:rsidRPr="00991BA4">
              <w:rPr>
                <w:color w:val="000000"/>
                <w:sz w:val="18"/>
                <w:szCs w:val="18"/>
                <w:lang w:eastAsia="en-GB"/>
              </w:rPr>
              <w:t>Non Pay Expenditure</w:t>
            </w:r>
          </w:p>
        </w:tc>
        <w:tc>
          <w:tcPr>
            <w:tcW w:w="921" w:type="dxa"/>
            <w:tcBorders>
              <w:top w:val="single" w:sz="4" w:space="0" w:color="auto"/>
              <w:left w:val="nil"/>
              <w:bottom w:val="nil"/>
              <w:right w:val="nil"/>
            </w:tcBorders>
            <w:shd w:val="clear" w:color="auto" w:fill="auto"/>
            <w:vAlign w:val="center"/>
            <w:hideMark/>
          </w:tcPr>
          <w:p w:rsidR="00177ED3" w:rsidRDefault="00177ED3" w:rsidP="00177ED3">
            <w:pPr>
              <w:jc w:val="right"/>
              <w:rPr>
                <w:color w:val="000000"/>
                <w:sz w:val="18"/>
                <w:szCs w:val="18"/>
              </w:rPr>
            </w:pPr>
            <w:r>
              <w:rPr>
                <w:color w:val="000000"/>
                <w:sz w:val="18"/>
                <w:szCs w:val="18"/>
              </w:rPr>
              <w:t>31,121</w:t>
            </w:r>
          </w:p>
        </w:tc>
        <w:tc>
          <w:tcPr>
            <w:tcW w:w="1049" w:type="dxa"/>
            <w:tcBorders>
              <w:top w:val="nil"/>
              <w:left w:val="single" w:sz="4" w:space="0" w:color="auto"/>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38,495</w:t>
            </w:r>
          </w:p>
        </w:tc>
        <w:tc>
          <w:tcPr>
            <w:tcW w:w="921" w:type="dxa"/>
            <w:tcBorders>
              <w:top w:val="nil"/>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34,687</w:t>
            </w:r>
          </w:p>
        </w:tc>
        <w:tc>
          <w:tcPr>
            <w:tcW w:w="1049" w:type="dxa"/>
            <w:tcBorders>
              <w:top w:val="nil"/>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43,071</w:t>
            </w:r>
          </w:p>
        </w:tc>
        <w:tc>
          <w:tcPr>
            <w:tcW w:w="1049" w:type="dxa"/>
            <w:tcBorders>
              <w:top w:val="nil"/>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46,438</w:t>
            </w:r>
          </w:p>
        </w:tc>
        <w:tc>
          <w:tcPr>
            <w:tcW w:w="921" w:type="dxa"/>
            <w:tcBorders>
              <w:top w:val="nil"/>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29,069</w:t>
            </w:r>
          </w:p>
        </w:tc>
        <w:tc>
          <w:tcPr>
            <w:tcW w:w="1049" w:type="dxa"/>
            <w:tcBorders>
              <w:top w:val="nil"/>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35,530</w:t>
            </w:r>
          </w:p>
        </w:tc>
        <w:tc>
          <w:tcPr>
            <w:tcW w:w="1049" w:type="dxa"/>
            <w:tcBorders>
              <w:top w:val="nil"/>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46,788</w:t>
            </w:r>
          </w:p>
        </w:tc>
        <w:tc>
          <w:tcPr>
            <w:tcW w:w="1049" w:type="dxa"/>
            <w:tcBorders>
              <w:top w:val="nil"/>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43,738</w:t>
            </w:r>
          </w:p>
        </w:tc>
        <w:tc>
          <w:tcPr>
            <w:tcW w:w="1049" w:type="dxa"/>
            <w:tcBorders>
              <w:top w:val="nil"/>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42,517</w:t>
            </w:r>
          </w:p>
        </w:tc>
        <w:tc>
          <w:tcPr>
            <w:tcW w:w="1049" w:type="dxa"/>
            <w:tcBorders>
              <w:top w:val="nil"/>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36,327</w:t>
            </w:r>
          </w:p>
        </w:tc>
        <w:tc>
          <w:tcPr>
            <w:tcW w:w="1049" w:type="dxa"/>
            <w:tcBorders>
              <w:top w:val="nil"/>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47,900</w:t>
            </w:r>
          </w:p>
        </w:tc>
        <w:tc>
          <w:tcPr>
            <w:tcW w:w="1242" w:type="dxa"/>
            <w:tcBorders>
              <w:top w:val="nil"/>
              <w:left w:val="single" w:sz="8" w:space="0" w:color="auto"/>
              <w:bottom w:val="single" w:sz="4" w:space="0" w:color="auto"/>
              <w:right w:val="single" w:sz="8"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475,681</w:t>
            </w:r>
          </w:p>
        </w:tc>
      </w:tr>
      <w:tr w:rsidR="00177ED3" w:rsidRPr="00991BA4" w:rsidTr="00B409EE">
        <w:trPr>
          <w:trHeight w:val="255"/>
        </w:trPr>
        <w:tc>
          <w:tcPr>
            <w:tcW w:w="2013" w:type="dxa"/>
            <w:tcBorders>
              <w:top w:val="nil"/>
              <w:left w:val="single" w:sz="8" w:space="0" w:color="auto"/>
              <w:bottom w:val="single" w:sz="4" w:space="0" w:color="auto"/>
              <w:right w:val="single" w:sz="8" w:space="0" w:color="auto"/>
            </w:tcBorders>
            <w:shd w:val="clear" w:color="auto" w:fill="auto"/>
            <w:vAlign w:val="center"/>
            <w:hideMark/>
          </w:tcPr>
          <w:p w:rsidR="00177ED3" w:rsidRPr="00991BA4" w:rsidRDefault="00177ED3" w:rsidP="00177ED3">
            <w:pPr>
              <w:jc w:val="both"/>
              <w:rPr>
                <w:color w:val="000000"/>
                <w:sz w:val="18"/>
                <w:szCs w:val="18"/>
                <w:lang w:eastAsia="en-GB"/>
              </w:rPr>
            </w:pPr>
            <w:r w:rsidRPr="00991BA4">
              <w:rPr>
                <w:color w:val="000000"/>
                <w:sz w:val="18"/>
                <w:szCs w:val="18"/>
                <w:lang w:eastAsia="en-GB"/>
              </w:rPr>
              <w:t>Capital Payments</w:t>
            </w:r>
          </w:p>
        </w:tc>
        <w:tc>
          <w:tcPr>
            <w:tcW w:w="921" w:type="dxa"/>
            <w:tcBorders>
              <w:top w:val="single" w:sz="4" w:space="0" w:color="auto"/>
              <w:left w:val="nil"/>
              <w:bottom w:val="nil"/>
              <w:right w:val="nil"/>
            </w:tcBorders>
            <w:shd w:val="clear" w:color="auto" w:fill="auto"/>
            <w:vAlign w:val="center"/>
            <w:hideMark/>
          </w:tcPr>
          <w:p w:rsidR="00177ED3" w:rsidRDefault="00177ED3" w:rsidP="00177ED3">
            <w:pPr>
              <w:jc w:val="right"/>
              <w:rPr>
                <w:color w:val="000000"/>
                <w:sz w:val="18"/>
                <w:szCs w:val="18"/>
              </w:rPr>
            </w:pPr>
            <w:r>
              <w:rPr>
                <w:color w:val="000000"/>
                <w:sz w:val="18"/>
                <w:szCs w:val="18"/>
              </w:rPr>
              <w:t>3,724</w:t>
            </w:r>
          </w:p>
        </w:tc>
        <w:tc>
          <w:tcPr>
            <w:tcW w:w="1049" w:type="dxa"/>
            <w:tcBorders>
              <w:top w:val="nil"/>
              <w:left w:val="single" w:sz="4" w:space="0" w:color="auto"/>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1,693</w:t>
            </w:r>
          </w:p>
        </w:tc>
        <w:tc>
          <w:tcPr>
            <w:tcW w:w="921" w:type="dxa"/>
            <w:tcBorders>
              <w:top w:val="nil"/>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78</w:t>
            </w:r>
          </w:p>
        </w:tc>
        <w:tc>
          <w:tcPr>
            <w:tcW w:w="1049" w:type="dxa"/>
            <w:tcBorders>
              <w:top w:val="nil"/>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3,058</w:t>
            </w:r>
          </w:p>
        </w:tc>
        <w:tc>
          <w:tcPr>
            <w:tcW w:w="1049" w:type="dxa"/>
            <w:tcBorders>
              <w:top w:val="nil"/>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1,947</w:t>
            </w:r>
          </w:p>
        </w:tc>
        <w:tc>
          <w:tcPr>
            <w:tcW w:w="921" w:type="dxa"/>
            <w:tcBorders>
              <w:top w:val="nil"/>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1,338</w:t>
            </w:r>
          </w:p>
        </w:tc>
        <w:tc>
          <w:tcPr>
            <w:tcW w:w="1049" w:type="dxa"/>
            <w:tcBorders>
              <w:top w:val="nil"/>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2,620</w:t>
            </w:r>
          </w:p>
        </w:tc>
        <w:tc>
          <w:tcPr>
            <w:tcW w:w="1049" w:type="dxa"/>
            <w:tcBorders>
              <w:top w:val="nil"/>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769</w:t>
            </w:r>
          </w:p>
        </w:tc>
        <w:tc>
          <w:tcPr>
            <w:tcW w:w="1049" w:type="dxa"/>
            <w:tcBorders>
              <w:top w:val="nil"/>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3,327</w:t>
            </w:r>
          </w:p>
        </w:tc>
        <w:tc>
          <w:tcPr>
            <w:tcW w:w="1049" w:type="dxa"/>
            <w:tcBorders>
              <w:top w:val="nil"/>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2,398</w:t>
            </w:r>
          </w:p>
        </w:tc>
        <w:tc>
          <w:tcPr>
            <w:tcW w:w="1049" w:type="dxa"/>
            <w:tcBorders>
              <w:top w:val="nil"/>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5,389</w:t>
            </w:r>
          </w:p>
        </w:tc>
        <w:tc>
          <w:tcPr>
            <w:tcW w:w="1049" w:type="dxa"/>
            <w:tcBorders>
              <w:top w:val="nil"/>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11,174</w:t>
            </w:r>
          </w:p>
        </w:tc>
        <w:tc>
          <w:tcPr>
            <w:tcW w:w="1242" w:type="dxa"/>
            <w:tcBorders>
              <w:top w:val="nil"/>
              <w:left w:val="single" w:sz="8" w:space="0" w:color="auto"/>
              <w:bottom w:val="single" w:sz="4" w:space="0" w:color="auto"/>
              <w:right w:val="single" w:sz="8"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37,515</w:t>
            </w:r>
          </w:p>
        </w:tc>
      </w:tr>
      <w:tr w:rsidR="00177ED3" w:rsidRPr="00991BA4" w:rsidTr="00B409EE">
        <w:trPr>
          <w:trHeight w:val="270"/>
        </w:trPr>
        <w:tc>
          <w:tcPr>
            <w:tcW w:w="2013" w:type="dxa"/>
            <w:tcBorders>
              <w:top w:val="nil"/>
              <w:left w:val="single" w:sz="8" w:space="0" w:color="auto"/>
              <w:bottom w:val="single" w:sz="4" w:space="0" w:color="auto"/>
              <w:right w:val="single" w:sz="8" w:space="0" w:color="auto"/>
            </w:tcBorders>
            <w:shd w:val="clear" w:color="auto" w:fill="auto"/>
            <w:vAlign w:val="center"/>
            <w:hideMark/>
          </w:tcPr>
          <w:p w:rsidR="00177ED3" w:rsidRPr="00991BA4" w:rsidRDefault="00177ED3" w:rsidP="00177ED3">
            <w:pPr>
              <w:jc w:val="both"/>
              <w:rPr>
                <w:color w:val="000000"/>
                <w:sz w:val="18"/>
                <w:szCs w:val="18"/>
                <w:lang w:eastAsia="en-GB"/>
              </w:rPr>
            </w:pPr>
            <w:r w:rsidRPr="00991BA4">
              <w:rPr>
                <w:color w:val="000000"/>
                <w:sz w:val="18"/>
                <w:szCs w:val="18"/>
                <w:lang w:eastAsia="en-GB"/>
              </w:rPr>
              <w:t>Other (Donated asset funding)</w:t>
            </w:r>
          </w:p>
        </w:tc>
        <w:tc>
          <w:tcPr>
            <w:tcW w:w="921" w:type="dxa"/>
            <w:tcBorders>
              <w:top w:val="single" w:sz="4" w:space="0" w:color="auto"/>
              <w:left w:val="nil"/>
              <w:bottom w:val="nil"/>
              <w:right w:val="nil"/>
            </w:tcBorders>
            <w:shd w:val="clear" w:color="auto" w:fill="auto"/>
            <w:vAlign w:val="center"/>
            <w:hideMark/>
          </w:tcPr>
          <w:p w:rsidR="00177ED3" w:rsidRDefault="00177ED3" w:rsidP="00177ED3">
            <w:pPr>
              <w:jc w:val="right"/>
              <w:rPr>
                <w:color w:val="000000"/>
                <w:sz w:val="18"/>
                <w:szCs w:val="18"/>
              </w:rPr>
            </w:pPr>
            <w:r>
              <w:rPr>
                <w:color w:val="000000"/>
                <w:sz w:val="18"/>
                <w:szCs w:val="18"/>
              </w:rPr>
              <w:t>302</w:t>
            </w:r>
          </w:p>
        </w:tc>
        <w:tc>
          <w:tcPr>
            <w:tcW w:w="1049" w:type="dxa"/>
            <w:tcBorders>
              <w:top w:val="nil"/>
              <w:left w:val="single" w:sz="4" w:space="0" w:color="auto"/>
              <w:bottom w:val="nil"/>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282</w:t>
            </w:r>
          </w:p>
        </w:tc>
        <w:tc>
          <w:tcPr>
            <w:tcW w:w="921" w:type="dxa"/>
            <w:tcBorders>
              <w:top w:val="nil"/>
              <w:left w:val="nil"/>
              <w:bottom w:val="nil"/>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24</w:t>
            </w:r>
          </w:p>
        </w:tc>
        <w:tc>
          <w:tcPr>
            <w:tcW w:w="1049" w:type="dxa"/>
            <w:tcBorders>
              <w:top w:val="nil"/>
              <w:left w:val="nil"/>
              <w:bottom w:val="nil"/>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760</w:t>
            </w:r>
          </w:p>
        </w:tc>
        <w:tc>
          <w:tcPr>
            <w:tcW w:w="1049" w:type="dxa"/>
            <w:tcBorders>
              <w:top w:val="nil"/>
              <w:left w:val="nil"/>
              <w:bottom w:val="nil"/>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340</w:t>
            </w:r>
          </w:p>
        </w:tc>
        <w:tc>
          <w:tcPr>
            <w:tcW w:w="921" w:type="dxa"/>
            <w:tcBorders>
              <w:top w:val="nil"/>
              <w:left w:val="nil"/>
              <w:bottom w:val="nil"/>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558</w:t>
            </w:r>
          </w:p>
        </w:tc>
        <w:tc>
          <w:tcPr>
            <w:tcW w:w="1049" w:type="dxa"/>
            <w:tcBorders>
              <w:top w:val="nil"/>
              <w:left w:val="nil"/>
              <w:bottom w:val="nil"/>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0</w:t>
            </w:r>
          </w:p>
        </w:tc>
        <w:tc>
          <w:tcPr>
            <w:tcW w:w="1049" w:type="dxa"/>
            <w:tcBorders>
              <w:top w:val="nil"/>
              <w:left w:val="nil"/>
              <w:bottom w:val="nil"/>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0</w:t>
            </w:r>
          </w:p>
        </w:tc>
        <w:tc>
          <w:tcPr>
            <w:tcW w:w="1049" w:type="dxa"/>
            <w:tcBorders>
              <w:top w:val="nil"/>
              <w:left w:val="nil"/>
              <w:bottom w:val="nil"/>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0</w:t>
            </w:r>
          </w:p>
        </w:tc>
        <w:tc>
          <w:tcPr>
            <w:tcW w:w="1049" w:type="dxa"/>
            <w:tcBorders>
              <w:top w:val="nil"/>
              <w:left w:val="nil"/>
              <w:bottom w:val="nil"/>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0</w:t>
            </w:r>
          </w:p>
        </w:tc>
        <w:tc>
          <w:tcPr>
            <w:tcW w:w="1049" w:type="dxa"/>
            <w:tcBorders>
              <w:top w:val="nil"/>
              <w:left w:val="nil"/>
              <w:bottom w:val="nil"/>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0</w:t>
            </w:r>
          </w:p>
        </w:tc>
        <w:tc>
          <w:tcPr>
            <w:tcW w:w="1049" w:type="dxa"/>
            <w:tcBorders>
              <w:top w:val="nil"/>
              <w:left w:val="nil"/>
              <w:bottom w:val="nil"/>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0</w:t>
            </w:r>
          </w:p>
        </w:tc>
        <w:tc>
          <w:tcPr>
            <w:tcW w:w="1242" w:type="dxa"/>
            <w:tcBorders>
              <w:top w:val="nil"/>
              <w:left w:val="single" w:sz="8" w:space="0" w:color="auto"/>
              <w:bottom w:val="single" w:sz="4" w:space="0" w:color="auto"/>
              <w:right w:val="single" w:sz="8"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2,266</w:t>
            </w:r>
          </w:p>
        </w:tc>
      </w:tr>
      <w:tr w:rsidR="00177ED3" w:rsidRPr="00991BA4" w:rsidTr="00B409EE">
        <w:trPr>
          <w:trHeight w:val="270"/>
        </w:trPr>
        <w:tc>
          <w:tcPr>
            <w:tcW w:w="2013" w:type="dxa"/>
            <w:tcBorders>
              <w:top w:val="single" w:sz="8" w:space="0" w:color="auto"/>
              <w:left w:val="single" w:sz="8" w:space="0" w:color="auto"/>
              <w:bottom w:val="single" w:sz="8" w:space="0" w:color="auto"/>
              <w:right w:val="single" w:sz="8" w:space="0" w:color="auto"/>
            </w:tcBorders>
            <w:shd w:val="clear" w:color="000000" w:fill="8DB4E2"/>
            <w:vAlign w:val="center"/>
            <w:hideMark/>
          </w:tcPr>
          <w:p w:rsidR="00177ED3" w:rsidRPr="00991BA4" w:rsidRDefault="00177ED3" w:rsidP="00177ED3">
            <w:pPr>
              <w:jc w:val="both"/>
              <w:rPr>
                <w:b/>
                <w:bCs/>
                <w:color w:val="000000"/>
                <w:sz w:val="18"/>
                <w:szCs w:val="18"/>
                <w:lang w:eastAsia="en-GB"/>
              </w:rPr>
            </w:pPr>
            <w:r w:rsidRPr="00991BA4">
              <w:rPr>
                <w:b/>
                <w:bCs/>
                <w:color w:val="000000"/>
                <w:sz w:val="18"/>
                <w:szCs w:val="18"/>
                <w:lang w:eastAsia="en-GB"/>
              </w:rPr>
              <w:t>Total Payments</w:t>
            </w:r>
          </w:p>
        </w:tc>
        <w:tc>
          <w:tcPr>
            <w:tcW w:w="921" w:type="dxa"/>
            <w:tcBorders>
              <w:top w:val="single" w:sz="8" w:space="0" w:color="auto"/>
              <w:left w:val="nil"/>
              <w:bottom w:val="single" w:sz="8" w:space="0" w:color="auto"/>
              <w:right w:val="nil"/>
            </w:tcBorders>
            <w:shd w:val="clear" w:color="000000" w:fill="8DB4E2"/>
            <w:vAlign w:val="center"/>
            <w:hideMark/>
          </w:tcPr>
          <w:p w:rsidR="00177ED3" w:rsidRDefault="00177ED3" w:rsidP="00177ED3">
            <w:pPr>
              <w:jc w:val="right"/>
              <w:rPr>
                <w:b/>
                <w:bCs/>
                <w:color w:val="000000"/>
                <w:sz w:val="18"/>
                <w:szCs w:val="18"/>
              </w:rPr>
            </w:pPr>
            <w:r>
              <w:rPr>
                <w:b/>
                <w:bCs/>
                <w:color w:val="000000"/>
                <w:sz w:val="18"/>
                <w:szCs w:val="18"/>
              </w:rPr>
              <w:t>78,958</w:t>
            </w:r>
          </w:p>
        </w:tc>
        <w:tc>
          <w:tcPr>
            <w:tcW w:w="1049" w:type="dxa"/>
            <w:tcBorders>
              <w:top w:val="single" w:sz="8" w:space="0" w:color="auto"/>
              <w:left w:val="single" w:sz="8" w:space="0" w:color="auto"/>
              <w:bottom w:val="single" w:sz="8" w:space="0" w:color="auto"/>
              <w:right w:val="nil"/>
            </w:tcBorders>
            <w:shd w:val="clear" w:color="000000" w:fill="8DB4E2"/>
            <w:vAlign w:val="center"/>
            <w:hideMark/>
          </w:tcPr>
          <w:p w:rsidR="00177ED3" w:rsidRDefault="00177ED3" w:rsidP="00177ED3">
            <w:pPr>
              <w:jc w:val="right"/>
              <w:rPr>
                <w:b/>
                <w:bCs/>
                <w:color w:val="000000"/>
                <w:sz w:val="18"/>
                <w:szCs w:val="18"/>
              </w:rPr>
            </w:pPr>
            <w:r>
              <w:rPr>
                <w:b/>
                <w:bCs/>
                <w:color w:val="000000"/>
                <w:sz w:val="18"/>
                <w:szCs w:val="18"/>
              </w:rPr>
              <w:t>102,473</w:t>
            </w:r>
          </w:p>
        </w:tc>
        <w:tc>
          <w:tcPr>
            <w:tcW w:w="921" w:type="dxa"/>
            <w:tcBorders>
              <w:top w:val="single" w:sz="8" w:space="0" w:color="auto"/>
              <w:left w:val="single" w:sz="8" w:space="0" w:color="auto"/>
              <w:bottom w:val="single" w:sz="8" w:space="0" w:color="auto"/>
              <w:right w:val="nil"/>
            </w:tcBorders>
            <w:shd w:val="clear" w:color="000000" w:fill="8DB4E2"/>
            <w:vAlign w:val="center"/>
            <w:hideMark/>
          </w:tcPr>
          <w:p w:rsidR="00177ED3" w:rsidRDefault="00177ED3" w:rsidP="00177ED3">
            <w:pPr>
              <w:jc w:val="right"/>
              <w:rPr>
                <w:b/>
                <w:bCs/>
                <w:color w:val="000000"/>
                <w:sz w:val="18"/>
                <w:szCs w:val="18"/>
              </w:rPr>
            </w:pPr>
            <w:r>
              <w:rPr>
                <w:b/>
                <w:bCs/>
                <w:color w:val="000000"/>
                <w:sz w:val="18"/>
                <w:szCs w:val="18"/>
              </w:rPr>
              <w:t>85,012</w:t>
            </w:r>
          </w:p>
        </w:tc>
        <w:tc>
          <w:tcPr>
            <w:tcW w:w="1049" w:type="dxa"/>
            <w:tcBorders>
              <w:top w:val="single" w:sz="8" w:space="0" w:color="auto"/>
              <w:left w:val="single" w:sz="8" w:space="0" w:color="auto"/>
              <w:bottom w:val="single" w:sz="8" w:space="0" w:color="auto"/>
              <w:right w:val="nil"/>
            </w:tcBorders>
            <w:shd w:val="clear" w:color="000000" w:fill="8DB4E2"/>
            <w:vAlign w:val="center"/>
            <w:hideMark/>
          </w:tcPr>
          <w:p w:rsidR="00177ED3" w:rsidRDefault="00177ED3" w:rsidP="00177ED3">
            <w:pPr>
              <w:jc w:val="right"/>
              <w:rPr>
                <w:b/>
                <w:bCs/>
                <w:color w:val="000000"/>
                <w:sz w:val="18"/>
                <w:szCs w:val="18"/>
              </w:rPr>
            </w:pPr>
            <w:r>
              <w:rPr>
                <w:b/>
                <w:bCs/>
                <w:color w:val="000000"/>
                <w:sz w:val="18"/>
                <w:szCs w:val="18"/>
              </w:rPr>
              <w:t>104,311</w:t>
            </w:r>
          </w:p>
        </w:tc>
        <w:tc>
          <w:tcPr>
            <w:tcW w:w="1049" w:type="dxa"/>
            <w:tcBorders>
              <w:top w:val="single" w:sz="8" w:space="0" w:color="auto"/>
              <w:left w:val="single" w:sz="8" w:space="0" w:color="auto"/>
              <w:bottom w:val="single" w:sz="8" w:space="0" w:color="auto"/>
              <w:right w:val="nil"/>
            </w:tcBorders>
            <w:shd w:val="clear" w:color="000000" w:fill="8DB4E2"/>
            <w:vAlign w:val="center"/>
            <w:hideMark/>
          </w:tcPr>
          <w:p w:rsidR="00177ED3" w:rsidRDefault="00177ED3" w:rsidP="00177ED3">
            <w:pPr>
              <w:jc w:val="right"/>
              <w:rPr>
                <w:b/>
                <w:bCs/>
                <w:color w:val="000000"/>
                <w:sz w:val="18"/>
                <w:szCs w:val="18"/>
              </w:rPr>
            </w:pPr>
            <w:r>
              <w:rPr>
                <w:b/>
                <w:bCs/>
                <w:color w:val="000000"/>
                <w:sz w:val="18"/>
                <w:szCs w:val="18"/>
              </w:rPr>
              <w:t>114,251</w:t>
            </w:r>
          </w:p>
        </w:tc>
        <w:tc>
          <w:tcPr>
            <w:tcW w:w="921" w:type="dxa"/>
            <w:tcBorders>
              <w:top w:val="single" w:sz="8" w:space="0" w:color="auto"/>
              <w:left w:val="single" w:sz="8" w:space="0" w:color="auto"/>
              <w:bottom w:val="single" w:sz="8" w:space="0" w:color="auto"/>
              <w:right w:val="nil"/>
            </w:tcBorders>
            <w:shd w:val="clear" w:color="000000" w:fill="8DB4E2"/>
            <w:vAlign w:val="center"/>
            <w:hideMark/>
          </w:tcPr>
          <w:p w:rsidR="00177ED3" w:rsidRDefault="00177ED3" w:rsidP="00177ED3">
            <w:pPr>
              <w:jc w:val="right"/>
              <w:rPr>
                <w:b/>
                <w:bCs/>
                <w:color w:val="000000"/>
                <w:sz w:val="18"/>
                <w:szCs w:val="18"/>
              </w:rPr>
            </w:pPr>
            <w:r>
              <w:rPr>
                <w:b/>
                <w:bCs/>
                <w:color w:val="000000"/>
                <w:sz w:val="18"/>
                <w:szCs w:val="18"/>
              </w:rPr>
              <w:t>79,183</w:t>
            </w:r>
          </w:p>
        </w:tc>
        <w:tc>
          <w:tcPr>
            <w:tcW w:w="1049" w:type="dxa"/>
            <w:tcBorders>
              <w:top w:val="single" w:sz="8" w:space="0" w:color="auto"/>
              <w:left w:val="single" w:sz="8" w:space="0" w:color="auto"/>
              <w:bottom w:val="single" w:sz="8" w:space="0" w:color="auto"/>
              <w:right w:val="nil"/>
            </w:tcBorders>
            <w:shd w:val="clear" w:color="000000" w:fill="8DB4E2"/>
            <w:vAlign w:val="center"/>
            <w:hideMark/>
          </w:tcPr>
          <w:p w:rsidR="00177ED3" w:rsidRDefault="00177ED3" w:rsidP="00177ED3">
            <w:pPr>
              <w:jc w:val="right"/>
              <w:rPr>
                <w:b/>
                <w:bCs/>
                <w:color w:val="000000"/>
                <w:sz w:val="18"/>
                <w:szCs w:val="18"/>
              </w:rPr>
            </w:pPr>
            <w:r>
              <w:rPr>
                <w:b/>
                <w:bCs/>
                <w:color w:val="000000"/>
                <w:sz w:val="18"/>
                <w:szCs w:val="18"/>
              </w:rPr>
              <w:t>95,684</w:t>
            </w:r>
          </w:p>
        </w:tc>
        <w:tc>
          <w:tcPr>
            <w:tcW w:w="1049" w:type="dxa"/>
            <w:tcBorders>
              <w:top w:val="single" w:sz="8" w:space="0" w:color="auto"/>
              <w:left w:val="single" w:sz="8" w:space="0" w:color="auto"/>
              <w:bottom w:val="single" w:sz="8" w:space="0" w:color="auto"/>
              <w:right w:val="nil"/>
            </w:tcBorders>
            <w:shd w:val="clear" w:color="000000" w:fill="8DB4E2"/>
            <w:vAlign w:val="center"/>
            <w:hideMark/>
          </w:tcPr>
          <w:p w:rsidR="00177ED3" w:rsidRDefault="00177ED3" w:rsidP="00177ED3">
            <w:pPr>
              <w:jc w:val="right"/>
              <w:rPr>
                <w:b/>
                <w:bCs/>
                <w:color w:val="000000"/>
                <w:sz w:val="18"/>
                <w:szCs w:val="18"/>
              </w:rPr>
            </w:pPr>
            <w:r>
              <w:rPr>
                <w:b/>
                <w:bCs/>
                <w:color w:val="000000"/>
                <w:sz w:val="18"/>
                <w:szCs w:val="18"/>
              </w:rPr>
              <w:t>115,770</w:t>
            </w:r>
          </w:p>
        </w:tc>
        <w:tc>
          <w:tcPr>
            <w:tcW w:w="1049" w:type="dxa"/>
            <w:tcBorders>
              <w:top w:val="single" w:sz="8" w:space="0" w:color="auto"/>
              <w:left w:val="single" w:sz="8" w:space="0" w:color="auto"/>
              <w:bottom w:val="single" w:sz="8" w:space="0" w:color="auto"/>
              <w:right w:val="nil"/>
            </w:tcBorders>
            <w:shd w:val="clear" w:color="000000" w:fill="8DB4E2"/>
            <w:vAlign w:val="center"/>
            <w:hideMark/>
          </w:tcPr>
          <w:p w:rsidR="00177ED3" w:rsidRDefault="00177ED3" w:rsidP="00177ED3">
            <w:pPr>
              <w:jc w:val="right"/>
              <w:rPr>
                <w:b/>
                <w:bCs/>
                <w:color w:val="000000"/>
                <w:sz w:val="18"/>
                <w:szCs w:val="18"/>
              </w:rPr>
            </w:pPr>
            <w:r>
              <w:rPr>
                <w:b/>
                <w:bCs/>
                <w:color w:val="000000"/>
                <w:sz w:val="18"/>
                <w:szCs w:val="18"/>
              </w:rPr>
              <w:t>106,094</w:t>
            </w:r>
          </w:p>
        </w:tc>
        <w:tc>
          <w:tcPr>
            <w:tcW w:w="1049" w:type="dxa"/>
            <w:tcBorders>
              <w:top w:val="single" w:sz="8" w:space="0" w:color="auto"/>
              <w:left w:val="single" w:sz="8" w:space="0" w:color="auto"/>
              <w:bottom w:val="single" w:sz="8" w:space="0" w:color="auto"/>
              <w:right w:val="nil"/>
            </w:tcBorders>
            <w:shd w:val="clear" w:color="000000" w:fill="8DB4E2"/>
            <w:vAlign w:val="center"/>
            <w:hideMark/>
          </w:tcPr>
          <w:p w:rsidR="00177ED3" w:rsidRDefault="00177ED3" w:rsidP="00177ED3">
            <w:pPr>
              <w:jc w:val="right"/>
              <w:rPr>
                <w:b/>
                <w:bCs/>
                <w:color w:val="000000"/>
                <w:sz w:val="18"/>
                <w:szCs w:val="18"/>
              </w:rPr>
            </w:pPr>
            <w:r>
              <w:rPr>
                <w:b/>
                <w:bCs/>
                <w:color w:val="000000"/>
                <w:sz w:val="18"/>
                <w:szCs w:val="18"/>
              </w:rPr>
              <w:t>102,099</w:t>
            </w:r>
          </w:p>
        </w:tc>
        <w:tc>
          <w:tcPr>
            <w:tcW w:w="1049" w:type="dxa"/>
            <w:tcBorders>
              <w:top w:val="single" w:sz="8" w:space="0" w:color="auto"/>
              <w:left w:val="single" w:sz="8" w:space="0" w:color="auto"/>
              <w:bottom w:val="single" w:sz="8" w:space="0" w:color="auto"/>
              <w:right w:val="nil"/>
            </w:tcBorders>
            <w:shd w:val="clear" w:color="000000" w:fill="8DB4E2"/>
            <w:vAlign w:val="center"/>
            <w:hideMark/>
          </w:tcPr>
          <w:p w:rsidR="00177ED3" w:rsidRDefault="00177ED3" w:rsidP="00177ED3">
            <w:pPr>
              <w:jc w:val="right"/>
              <w:rPr>
                <w:b/>
                <w:bCs/>
                <w:color w:val="000000"/>
                <w:sz w:val="18"/>
                <w:szCs w:val="18"/>
              </w:rPr>
            </w:pPr>
            <w:r>
              <w:rPr>
                <w:b/>
                <w:bCs/>
                <w:color w:val="000000"/>
                <w:sz w:val="18"/>
                <w:szCs w:val="18"/>
              </w:rPr>
              <w:t>100,350</w:t>
            </w:r>
          </w:p>
        </w:tc>
        <w:tc>
          <w:tcPr>
            <w:tcW w:w="1049" w:type="dxa"/>
            <w:tcBorders>
              <w:top w:val="single" w:sz="8" w:space="0" w:color="auto"/>
              <w:left w:val="single" w:sz="8" w:space="0" w:color="auto"/>
              <w:bottom w:val="single" w:sz="8" w:space="0" w:color="auto"/>
              <w:right w:val="nil"/>
            </w:tcBorders>
            <w:shd w:val="clear" w:color="000000" w:fill="8DB4E2"/>
            <w:vAlign w:val="center"/>
            <w:hideMark/>
          </w:tcPr>
          <w:p w:rsidR="00177ED3" w:rsidRDefault="00177ED3" w:rsidP="00177ED3">
            <w:pPr>
              <w:jc w:val="right"/>
              <w:rPr>
                <w:b/>
                <w:bCs/>
                <w:color w:val="000000"/>
                <w:sz w:val="18"/>
                <w:szCs w:val="18"/>
              </w:rPr>
            </w:pPr>
            <w:r>
              <w:rPr>
                <w:b/>
                <w:bCs/>
                <w:color w:val="000000"/>
                <w:sz w:val="18"/>
                <w:szCs w:val="18"/>
              </w:rPr>
              <w:t>126,390</w:t>
            </w:r>
          </w:p>
        </w:tc>
        <w:tc>
          <w:tcPr>
            <w:tcW w:w="1242" w:type="dxa"/>
            <w:tcBorders>
              <w:top w:val="single" w:sz="8" w:space="0" w:color="auto"/>
              <w:left w:val="single" w:sz="8" w:space="0" w:color="auto"/>
              <w:bottom w:val="single" w:sz="8" w:space="0" w:color="auto"/>
              <w:right w:val="nil"/>
            </w:tcBorders>
            <w:shd w:val="clear" w:color="000000" w:fill="8DB4E2"/>
            <w:vAlign w:val="center"/>
            <w:hideMark/>
          </w:tcPr>
          <w:p w:rsidR="00177ED3" w:rsidRDefault="00177ED3" w:rsidP="00177ED3">
            <w:pPr>
              <w:jc w:val="right"/>
              <w:rPr>
                <w:b/>
                <w:bCs/>
                <w:color w:val="000000"/>
                <w:sz w:val="18"/>
                <w:szCs w:val="18"/>
              </w:rPr>
            </w:pPr>
            <w:r>
              <w:rPr>
                <w:b/>
                <w:bCs/>
                <w:color w:val="000000"/>
                <w:sz w:val="18"/>
                <w:szCs w:val="18"/>
              </w:rPr>
              <w:t>1,210,575</w:t>
            </w:r>
          </w:p>
        </w:tc>
      </w:tr>
      <w:tr w:rsidR="00177ED3" w:rsidRPr="00991BA4" w:rsidTr="00B409EE">
        <w:trPr>
          <w:trHeight w:val="255"/>
        </w:trPr>
        <w:tc>
          <w:tcPr>
            <w:tcW w:w="2013" w:type="dxa"/>
            <w:tcBorders>
              <w:top w:val="nil"/>
              <w:left w:val="single" w:sz="8" w:space="0" w:color="auto"/>
              <w:bottom w:val="single" w:sz="4" w:space="0" w:color="auto"/>
              <w:right w:val="single" w:sz="8" w:space="0" w:color="auto"/>
            </w:tcBorders>
            <w:shd w:val="clear" w:color="auto" w:fill="auto"/>
            <w:vAlign w:val="center"/>
            <w:hideMark/>
          </w:tcPr>
          <w:p w:rsidR="00177ED3" w:rsidRPr="00991BA4" w:rsidRDefault="00177ED3" w:rsidP="00177ED3">
            <w:pPr>
              <w:jc w:val="both"/>
              <w:rPr>
                <w:color w:val="000000"/>
                <w:sz w:val="18"/>
                <w:szCs w:val="18"/>
                <w:lang w:eastAsia="en-GB"/>
              </w:rPr>
            </w:pPr>
            <w:r w:rsidRPr="00991BA4">
              <w:rPr>
                <w:color w:val="000000"/>
                <w:sz w:val="18"/>
                <w:szCs w:val="18"/>
                <w:lang w:eastAsia="en-GB"/>
              </w:rPr>
              <w:t>Net Cash In/Out</w:t>
            </w:r>
          </w:p>
        </w:tc>
        <w:tc>
          <w:tcPr>
            <w:tcW w:w="921" w:type="dxa"/>
            <w:tcBorders>
              <w:top w:val="nil"/>
              <w:left w:val="nil"/>
              <w:bottom w:val="nil"/>
              <w:right w:val="nil"/>
            </w:tcBorders>
            <w:shd w:val="clear" w:color="auto" w:fill="auto"/>
            <w:vAlign w:val="center"/>
            <w:hideMark/>
          </w:tcPr>
          <w:p w:rsidR="00177ED3" w:rsidRDefault="00177ED3" w:rsidP="00177ED3">
            <w:pPr>
              <w:jc w:val="right"/>
              <w:rPr>
                <w:color w:val="000000"/>
                <w:sz w:val="18"/>
                <w:szCs w:val="18"/>
              </w:rPr>
            </w:pPr>
            <w:r>
              <w:rPr>
                <w:color w:val="000000"/>
                <w:sz w:val="18"/>
                <w:szCs w:val="18"/>
              </w:rPr>
              <w:t>2,216</w:t>
            </w:r>
          </w:p>
        </w:tc>
        <w:tc>
          <w:tcPr>
            <w:tcW w:w="1049" w:type="dxa"/>
            <w:tcBorders>
              <w:top w:val="nil"/>
              <w:left w:val="single" w:sz="8" w:space="0" w:color="auto"/>
              <w:bottom w:val="nil"/>
              <w:right w:val="nil"/>
            </w:tcBorders>
            <w:shd w:val="clear" w:color="auto" w:fill="auto"/>
            <w:vAlign w:val="center"/>
            <w:hideMark/>
          </w:tcPr>
          <w:p w:rsidR="00177ED3" w:rsidRDefault="00177ED3" w:rsidP="00177ED3">
            <w:pPr>
              <w:jc w:val="right"/>
              <w:rPr>
                <w:color w:val="000000"/>
                <w:sz w:val="18"/>
                <w:szCs w:val="18"/>
              </w:rPr>
            </w:pPr>
            <w:r>
              <w:rPr>
                <w:color w:val="000000"/>
                <w:sz w:val="18"/>
                <w:szCs w:val="18"/>
              </w:rPr>
              <w:t>961</w:t>
            </w:r>
          </w:p>
        </w:tc>
        <w:tc>
          <w:tcPr>
            <w:tcW w:w="921" w:type="dxa"/>
            <w:tcBorders>
              <w:top w:val="nil"/>
              <w:left w:val="single" w:sz="8" w:space="0" w:color="auto"/>
              <w:bottom w:val="nil"/>
              <w:right w:val="nil"/>
            </w:tcBorders>
            <w:shd w:val="clear" w:color="auto" w:fill="auto"/>
            <w:vAlign w:val="center"/>
            <w:hideMark/>
          </w:tcPr>
          <w:p w:rsidR="00177ED3" w:rsidRDefault="00177ED3" w:rsidP="00177ED3">
            <w:pPr>
              <w:jc w:val="right"/>
              <w:rPr>
                <w:color w:val="000000"/>
                <w:sz w:val="18"/>
                <w:szCs w:val="18"/>
              </w:rPr>
            </w:pPr>
            <w:r>
              <w:rPr>
                <w:color w:val="000000"/>
                <w:sz w:val="18"/>
                <w:szCs w:val="18"/>
              </w:rPr>
              <w:t>1,604</w:t>
            </w:r>
          </w:p>
        </w:tc>
        <w:tc>
          <w:tcPr>
            <w:tcW w:w="1049" w:type="dxa"/>
            <w:tcBorders>
              <w:top w:val="nil"/>
              <w:left w:val="single" w:sz="8" w:space="0" w:color="auto"/>
              <w:bottom w:val="nil"/>
              <w:right w:val="nil"/>
            </w:tcBorders>
            <w:shd w:val="clear" w:color="auto" w:fill="auto"/>
            <w:vAlign w:val="center"/>
            <w:hideMark/>
          </w:tcPr>
          <w:p w:rsidR="00177ED3" w:rsidRDefault="00177ED3" w:rsidP="00177ED3">
            <w:pPr>
              <w:jc w:val="right"/>
              <w:rPr>
                <w:color w:val="000000"/>
                <w:sz w:val="18"/>
                <w:szCs w:val="18"/>
              </w:rPr>
            </w:pPr>
            <w:r>
              <w:rPr>
                <w:color w:val="000000"/>
                <w:sz w:val="18"/>
                <w:szCs w:val="18"/>
              </w:rPr>
              <w:t>(4,512)</w:t>
            </w:r>
          </w:p>
        </w:tc>
        <w:tc>
          <w:tcPr>
            <w:tcW w:w="1049" w:type="dxa"/>
            <w:tcBorders>
              <w:top w:val="nil"/>
              <w:left w:val="single" w:sz="8" w:space="0" w:color="auto"/>
              <w:bottom w:val="nil"/>
              <w:right w:val="nil"/>
            </w:tcBorders>
            <w:shd w:val="clear" w:color="auto" w:fill="auto"/>
            <w:vAlign w:val="center"/>
            <w:hideMark/>
          </w:tcPr>
          <w:p w:rsidR="00177ED3" w:rsidRDefault="00177ED3" w:rsidP="00177ED3">
            <w:pPr>
              <w:jc w:val="right"/>
              <w:rPr>
                <w:color w:val="000000"/>
                <w:sz w:val="18"/>
                <w:szCs w:val="18"/>
              </w:rPr>
            </w:pPr>
            <w:r>
              <w:rPr>
                <w:color w:val="000000"/>
                <w:sz w:val="18"/>
                <w:szCs w:val="18"/>
              </w:rPr>
              <w:t>1,400</w:t>
            </w:r>
          </w:p>
        </w:tc>
        <w:tc>
          <w:tcPr>
            <w:tcW w:w="921" w:type="dxa"/>
            <w:tcBorders>
              <w:top w:val="nil"/>
              <w:left w:val="single" w:sz="8" w:space="0" w:color="auto"/>
              <w:bottom w:val="nil"/>
              <w:right w:val="nil"/>
            </w:tcBorders>
            <w:shd w:val="clear" w:color="auto" w:fill="auto"/>
            <w:vAlign w:val="center"/>
            <w:hideMark/>
          </w:tcPr>
          <w:p w:rsidR="00177ED3" w:rsidRDefault="00177ED3" w:rsidP="00177ED3">
            <w:pPr>
              <w:jc w:val="right"/>
              <w:rPr>
                <w:color w:val="000000"/>
                <w:sz w:val="18"/>
                <w:szCs w:val="18"/>
              </w:rPr>
            </w:pPr>
            <w:r>
              <w:rPr>
                <w:color w:val="000000"/>
                <w:sz w:val="18"/>
                <w:szCs w:val="18"/>
              </w:rPr>
              <w:t>1,709</w:t>
            </w:r>
          </w:p>
        </w:tc>
        <w:tc>
          <w:tcPr>
            <w:tcW w:w="1049" w:type="dxa"/>
            <w:tcBorders>
              <w:top w:val="nil"/>
              <w:left w:val="single" w:sz="8" w:space="0" w:color="auto"/>
              <w:bottom w:val="nil"/>
              <w:right w:val="nil"/>
            </w:tcBorders>
            <w:shd w:val="clear" w:color="auto" w:fill="auto"/>
            <w:vAlign w:val="center"/>
            <w:hideMark/>
          </w:tcPr>
          <w:p w:rsidR="00177ED3" w:rsidRDefault="00177ED3" w:rsidP="00177ED3">
            <w:pPr>
              <w:jc w:val="right"/>
              <w:rPr>
                <w:color w:val="000000"/>
                <w:sz w:val="18"/>
                <w:szCs w:val="18"/>
              </w:rPr>
            </w:pPr>
            <w:r>
              <w:rPr>
                <w:color w:val="000000"/>
                <w:sz w:val="18"/>
                <w:szCs w:val="18"/>
              </w:rPr>
              <w:t>(1,122)</w:t>
            </w:r>
          </w:p>
        </w:tc>
        <w:tc>
          <w:tcPr>
            <w:tcW w:w="1049" w:type="dxa"/>
            <w:tcBorders>
              <w:top w:val="nil"/>
              <w:left w:val="single" w:sz="8" w:space="0" w:color="auto"/>
              <w:bottom w:val="nil"/>
              <w:right w:val="nil"/>
            </w:tcBorders>
            <w:shd w:val="clear" w:color="auto" w:fill="auto"/>
            <w:vAlign w:val="center"/>
            <w:hideMark/>
          </w:tcPr>
          <w:p w:rsidR="00177ED3" w:rsidRDefault="00177ED3" w:rsidP="00177ED3">
            <w:pPr>
              <w:jc w:val="right"/>
              <w:rPr>
                <w:color w:val="000000"/>
                <w:sz w:val="18"/>
                <w:szCs w:val="18"/>
              </w:rPr>
            </w:pPr>
            <w:r>
              <w:rPr>
                <w:color w:val="000000"/>
                <w:sz w:val="18"/>
                <w:szCs w:val="18"/>
              </w:rPr>
              <w:t>1,015</w:t>
            </w:r>
          </w:p>
        </w:tc>
        <w:tc>
          <w:tcPr>
            <w:tcW w:w="1049" w:type="dxa"/>
            <w:tcBorders>
              <w:top w:val="nil"/>
              <w:left w:val="single" w:sz="8" w:space="0" w:color="auto"/>
              <w:bottom w:val="nil"/>
              <w:right w:val="nil"/>
            </w:tcBorders>
            <w:shd w:val="clear" w:color="auto" w:fill="auto"/>
            <w:vAlign w:val="center"/>
            <w:hideMark/>
          </w:tcPr>
          <w:p w:rsidR="00177ED3" w:rsidRDefault="00177ED3" w:rsidP="00177ED3">
            <w:pPr>
              <w:jc w:val="right"/>
              <w:rPr>
                <w:color w:val="000000"/>
                <w:sz w:val="18"/>
                <w:szCs w:val="18"/>
              </w:rPr>
            </w:pPr>
            <w:r>
              <w:rPr>
                <w:color w:val="000000"/>
                <w:sz w:val="18"/>
                <w:szCs w:val="18"/>
              </w:rPr>
              <w:t>(2,950)</w:t>
            </w:r>
          </w:p>
        </w:tc>
        <w:tc>
          <w:tcPr>
            <w:tcW w:w="1049" w:type="dxa"/>
            <w:tcBorders>
              <w:top w:val="nil"/>
              <w:left w:val="single" w:sz="8" w:space="0" w:color="auto"/>
              <w:bottom w:val="nil"/>
              <w:right w:val="nil"/>
            </w:tcBorders>
            <w:shd w:val="clear" w:color="auto" w:fill="auto"/>
            <w:vAlign w:val="center"/>
            <w:hideMark/>
          </w:tcPr>
          <w:p w:rsidR="00177ED3" w:rsidRDefault="00177ED3" w:rsidP="00177ED3">
            <w:pPr>
              <w:jc w:val="right"/>
              <w:rPr>
                <w:color w:val="000000"/>
                <w:sz w:val="18"/>
                <w:szCs w:val="18"/>
              </w:rPr>
            </w:pPr>
            <w:r>
              <w:rPr>
                <w:color w:val="000000"/>
                <w:sz w:val="18"/>
                <w:szCs w:val="18"/>
              </w:rPr>
              <w:t>3,229</w:t>
            </w:r>
          </w:p>
        </w:tc>
        <w:tc>
          <w:tcPr>
            <w:tcW w:w="1049" w:type="dxa"/>
            <w:tcBorders>
              <w:top w:val="nil"/>
              <w:left w:val="single" w:sz="8" w:space="0" w:color="auto"/>
              <w:bottom w:val="nil"/>
              <w:right w:val="nil"/>
            </w:tcBorders>
            <w:shd w:val="clear" w:color="auto" w:fill="auto"/>
            <w:vAlign w:val="center"/>
            <w:hideMark/>
          </w:tcPr>
          <w:p w:rsidR="00177ED3" w:rsidRDefault="00177ED3" w:rsidP="00177ED3">
            <w:pPr>
              <w:jc w:val="right"/>
              <w:rPr>
                <w:color w:val="000000"/>
                <w:sz w:val="18"/>
                <w:szCs w:val="18"/>
              </w:rPr>
            </w:pPr>
            <w:r>
              <w:rPr>
                <w:color w:val="000000"/>
                <w:sz w:val="18"/>
                <w:szCs w:val="18"/>
              </w:rPr>
              <w:t>(3,095)</w:t>
            </w:r>
          </w:p>
        </w:tc>
        <w:tc>
          <w:tcPr>
            <w:tcW w:w="1049" w:type="dxa"/>
            <w:tcBorders>
              <w:top w:val="nil"/>
              <w:left w:val="single" w:sz="8" w:space="0" w:color="auto"/>
              <w:bottom w:val="nil"/>
              <w:right w:val="nil"/>
            </w:tcBorders>
            <w:shd w:val="clear" w:color="auto" w:fill="auto"/>
            <w:vAlign w:val="center"/>
            <w:hideMark/>
          </w:tcPr>
          <w:p w:rsidR="00177ED3" w:rsidRDefault="00177ED3" w:rsidP="00177ED3">
            <w:pPr>
              <w:jc w:val="right"/>
              <w:rPr>
                <w:color w:val="000000"/>
                <w:sz w:val="18"/>
                <w:szCs w:val="18"/>
              </w:rPr>
            </w:pPr>
            <w:r>
              <w:rPr>
                <w:color w:val="000000"/>
                <w:sz w:val="18"/>
                <w:szCs w:val="18"/>
              </w:rPr>
              <w:t>(613)</w:t>
            </w:r>
          </w:p>
        </w:tc>
        <w:tc>
          <w:tcPr>
            <w:tcW w:w="1242" w:type="dxa"/>
            <w:tcBorders>
              <w:top w:val="nil"/>
              <w:left w:val="single" w:sz="8" w:space="0" w:color="auto"/>
              <w:bottom w:val="nil"/>
              <w:right w:val="single" w:sz="8"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 </w:t>
            </w:r>
          </w:p>
        </w:tc>
      </w:tr>
      <w:tr w:rsidR="00177ED3" w:rsidRPr="00991BA4" w:rsidTr="00B409EE">
        <w:trPr>
          <w:trHeight w:val="255"/>
        </w:trPr>
        <w:tc>
          <w:tcPr>
            <w:tcW w:w="2013" w:type="dxa"/>
            <w:tcBorders>
              <w:top w:val="nil"/>
              <w:left w:val="single" w:sz="8" w:space="0" w:color="auto"/>
              <w:bottom w:val="single" w:sz="4" w:space="0" w:color="auto"/>
              <w:right w:val="single" w:sz="8" w:space="0" w:color="auto"/>
            </w:tcBorders>
            <w:shd w:val="clear" w:color="auto" w:fill="auto"/>
            <w:vAlign w:val="center"/>
            <w:hideMark/>
          </w:tcPr>
          <w:p w:rsidR="00177ED3" w:rsidRPr="00991BA4" w:rsidRDefault="00177ED3" w:rsidP="00177ED3">
            <w:pPr>
              <w:jc w:val="both"/>
              <w:rPr>
                <w:color w:val="000000"/>
                <w:sz w:val="18"/>
                <w:szCs w:val="18"/>
                <w:lang w:eastAsia="en-GB"/>
              </w:rPr>
            </w:pPr>
            <w:r w:rsidRPr="00991BA4">
              <w:rPr>
                <w:color w:val="000000"/>
                <w:sz w:val="18"/>
                <w:szCs w:val="18"/>
                <w:lang w:eastAsia="en-GB"/>
              </w:rPr>
              <w:t>Balance B/F</w:t>
            </w:r>
          </w:p>
        </w:tc>
        <w:tc>
          <w:tcPr>
            <w:tcW w:w="921" w:type="dxa"/>
            <w:tcBorders>
              <w:top w:val="single" w:sz="4" w:space="0" w:color="auto"/>
              <w:left w:val="nil"/>
              <w:bottom w:val="single" w:sz="4" w:space="0" w:color="auto"/>
              <w:right w:val="nil"/>
            </w:tcBorders>
            <w:shd w:val="clear" w:color="auto" w:fill="auto"/>
            <w:vAlign w:val="center"/>
            <w:hideMark/>
          </w:tcPr>
          <w:p w:rsidR="00177ED3" w:rsidRDefault="00177ED3" w:rsidP="00177ED3">
            <w:pPr>
              <w:jc w:val="right"/>
              <w:rPr>
                <w:color w:val="000000"/>
                <w:sz w:val="18"/>
                <w:szCs w:val="18"/>
              </w:rPr>
            </w:pPr>
            <w:r>
              <w:rPr>
                <w:color w:val="000000"/>
                <w:sz w:val="18"/>
                <w:szCs w:val="18"/>
              </w:rPr>
              <w:t>316</w:t>
            </w:r>
          </w:p>
        </w:tc>
        <w:tc>
          <w:tcPr>
            <w:tcW w:w="104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2,532</w:t>
            </w:r>
          </w:p>
        </w:tc>
        <w:tc>
          <w:tcPr>
            <w:tcW w:w="921" w:type="dxa"/>
            <w:tcBorders>
              <w:top w:val="single" w:sz="4" w:space="0" w:color="auto"/>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3,493</w:t>
            </w:r>
          </w:p>
        </w:tc>
        <w:tc>
          <w:tcPr>
            <w:tcW w:w="1049" w:type="dxa"/>
            <w:tcBorders>
              <w:top w:val="single" w:sz="4" w:space="0" w:color="auto"/>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5,097</w:t>
            </w:r>
          </w:p>
        </w:tc>
        <w:tc>
          <w:tcPr>
            <w:tcW w:w="1049" w:type="dxa"/>
            <w:tcBorders>
              <w:top w:val="single" w:sz="4" w:space="0" w:color="auto"/>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585</w:t>
            </w:r>
          </w:p>
        </w:tc>
        <w:tc>
          <w:tcPr>
            <w:tcW w:w="921" w:type="dxa"/>
            <w:tcBorders>
              <w:top w:val="single" w:sz="4" w:space="0" w:color="auto"/>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1,985</w:t>
            </w:r>
          </w:p>
        </w:tc>
        <w:tc>
          <w:tcPr>
            <w:tcW w:w="1049" w:type="dxa"/>
            <w:tcBorders>
              <w:top w:val="single" w:sz="4" w:space="0" w:color="auto"/>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3,694</w:t>
            </w:r>
          </w:p>
        </w:tc>
        <w:tc>
          <w:tcPr>
            <w:tcW w:w="1049" w:type="dxa"/>
            <w:tcBorders>
              <w:top w:val="single" w:sz="4" w:space="0" w:color="auto"/>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2,572</w:t>
            </w:r>
          </w:p>
        </w:tc>
        <w:tc>
          <w:tcPr>
            <w:tcW w:w="1049" w:type="dxa"/>
            <w:tcBorders>
              <w:top w:val="single" w:sz="4" w:space="0" w:color="auto"/>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3,587</w:t>
            </w:r>
          </w:p>
        </w:tc>
        <w:tc>
          <w:tcPr>
            <w:tcW w:w="1049" w:type="dxa"/>
            <w:tcBorders>
              <w:top w:val="single" w:sz="4" w:space="0" w:color="auto"/>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637</w:t>
            </w:r>
          </w:p>
        </w:tc>
        <w:tc>
          <w:tcPr>
            <w:tcW w:w="1049" w:type="dxa"/>
            <w:tcBorders>
              <w:top w:val="single" w:sz="4" w:space="0" w:color="auto"/>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3,866</w:t>
            </w:r>
          </w:p>
        </w:tc>
        <w:tc>
          <w:tcPr>
            <w:tcW w:w="1049" w:type="dxa"/>
            <w:tcBorders>
              <w:top w:val="single" w:sz="4" w:space="0" w:color="auto"/>
              <w:left w:val="nil"/>
              <w:bottom w:val="single" w:sz="4" w:space="0" w:color="auto"/>
              <w:right w:val="single" w:sz="4"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771</w:t>
            </w:r>
          </w:p>
        </w:tc>
        <w:tc>
          <w:tcPr>
            <w:tcW w:w="1242" w:type="dxa"/>
            <w:tcBorders>
              <w:top w:val="nil"/>
              <w:left w:val="single" w:sz="8" w:space="0" w:color="auto"/>
              <w:bottom w:val="nil"/>
              <w:right w:val="single" w:sz="8"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 </w:t>
            </w:r>
          </w:p>
        </w:tc>
      </w:tr>
      <w:tr w:rsidR="00177ED3" w:rsidRPr="00C1496E" w:rsidTr="00B409EE">
        <w:trPr>
          <w:trHeight w:val="270"/>
        </w:trPr>
        <w:tc>
          <w:tcPr>
            <w:tcW w:w="2013" w:type="dxa"/>
            <w:tcBorders>
              <w:top w:val="nil"/>
              <w:left w:val="single" w:sz="8" w:space="0" w:color="auto"/>
              <w:bottom w:val="single" w:sz="8" w:space="0" w:color="auto"/>
              <w:right w:val="single" w:sz="8" w:space="0" w:color="auto"/>
            </w:tcBorders>
            <w:shd w:val="clear" w:color="auto" w:fill="auto"/>
            <w:vAlign w:val="center"/>
            <w:hideMark/>
          </w:tcPr>
          <w:p w:rsidR="00177ED3" w:rsidRPr="00991BA4" w:rsidRDefault="00177ED3" w:rsidP="00177ED3">
            <w:pPr>
              <w:jc w:val="both"/>
              <w:rPr>
                <w:color w:val="000000"/>
                <w:sz w:val="18"/>
                <w:szCs w:val="18"/>
                <w:lang w:eastAsia="en-GB"/>
              </w:rPr>
            </w:pPr>
            <w:r w:rsidRPr="00991BA4">
              <w:rPr>
                <w:color w:val="000000"/>
                <w:sz w:val="18"/>
                <w:szCs w:val="18"/>
                <w:lang w:eastAsia="en-GB"/>
              </w:rPr>
              <w:t>Balance C/F</w:t>
            </w:r>
          </w:p>
        </w:tc>
        <w:tc>
          <w:tcPr>
            <w:tcW w:w="921" w:type="dxa"/>
            <w:tcBorders>
              <w:top w:val="nil"/>
              <w:left w:val="nil"/>
              <w:bottom w:val="single" w:sz="8" w:space="0" w:color="auto"/>
              <w:right w:val="nil"/>
            </w:tcBorders>
            <w:shd w:val="clear" w:color="auto" w:fill="auto"/>
            <w:vAlign w:val="center"/>
            <w:hideMark/>
          </w:tcPr>
          <w:p w:rsidR="00177ED3" w:rsidRDefault="00177ED3" w:rsidP="00177ED3">
            <w:pPr>
              <w:jc w:val="right"/>
              <w:rPr>
                <w:color w:val="000000"/>
                <w:sz w:val="18"/>
                <w:szCs w:val="18"/>
              </w:rPr>
            </w:pPr>
            <w:r>
              <w:rPr>
                <w:color w:val="000000"/>
                <w:sz w:val="18"/>
                <w:szCs w:val="18"/>
              </w:rPr>
              <w:t>2,532</w:t>
            </w:r>
          </w:p>
        </w:tc>
        <w:tc>
          <w:tcPr>
            <w:tcW w:w="1049" w:type="dxa"/>
            <w:tcBorders>
              <w:top w:val="nil"/>
              <w:left w:val="single" w:sz="8" w:space="0" w:color="auto"/>
              <w:bottom w:val="single" w:sz="8" w:space="0" w:color="auto"/>
              <w:right w:val="nil"/>
            </w:tcBorders>
            <w:shd w:val="clear" w:color="auto" w:fill="auto"/>
            <w:vAlign w:val="center"/>
            <w:hideMark/>
          </w:tcPr>
          <w:p w:rsidR="00177ED3" w:rsidRDefault="00177ED3" w:rsidP="00177ED3">
            <w:pPr>
              <w:jc w:val="right"/>
              <w:rPr>
                <w:color w:val="000000"/>
                <w:sz w:val="18"/>
                <w:szCs w:val="18"/>
              </w:rPr>
            </w:pPr>
            <w:r>
              <w:rPr>
                <w:color w:val="000000"/>
                <w:sz w:val="18"/>
                <w:szCs w:val="18"/>
              </w:rPr>
              <w:t>3,493</w:t>
            </w:r>
          </w:p>
        </w:tc>
        <w:tc>
          <w:tcPr>
            <w:tcW w:w="921" w:type="dxa"/>
            <w:tcBorders>
              <w:top w:val="nil"/>
              <w:left w:val="single" w:sz="8" w:space="0" w:color="auto"/>
              <w:bottom w:val="single" w:sz="8" w:space="0" w:color="auto"/>
              <w:right w:val="nil"/>
            </w:tcBorders>
            <w:shd w:val="clear" w:color="auto" w:fill="auto"/>
            <w:vAlign w:val="center"/>
            <w:hideMark/>
          </w:tcPr>
          <w:p w:rsidR="00177ED3" w:rsidRDefault="00177ED3" w:rsidP="00177ED3">
            <w:pPr>
              <w:jc w:val="right"/>
              <w:rPr>
                <w:color w:val="000000"/>
                <w:sz w:val="18"/>
                <w:szCs w:val="18"/>
              </w:rPr>
            </w:pPr>
            <w:r>
              <w:rPr>
                <w:color w:val="000000"/>
                <w:sz w:val="18"/>
                <w:szCs w:val="18"/>
              </w:rPr>
              <w:t>5,097</w:t>
            </w:r>
          </w:p>
        </w:tc>
        <w:tc>
          <w:tcPr>
            <w:tcW w:w="1049" w:type="dxa"/>
            <w:tcBorders>
              <w:top w:val="nil"/>
              <w:left w:val="single" w:sz="8" w:space="0" w:color="auto"/>
              <w:bottom w:val="single" w:sz="8" w:space="0" w:color="auto"/>
              <w:right w:val="nil"/>
            </w:tcBorders>
            <w:shd w:val="clear" w:color="auto" w:fill="auto"/>
            <w:vAlign w:val="center"/>
            <w:hideMark/>
          </w:tcPr>
          <w:p w:rsidR="00177ED3" w:rsidRDefault="00177ED3" w:rsidP="00177ED3">
            <w:pPr>
              <w:jc w:val="right"/>
              <w:rPr>
                <w:color w:val="000000"/>
                <w:sz w:val="18"/>
                <w:szCs w:val="18"/>
              </w:rPr>
            </w:pPr>
            <w:r>
              <w:rPr>
                <w:color w:val="000000"/>
                <w:sz w:val="18"/>
                <w:szCs w:val="18"/>
              </w:rPr>
              <w:t>585</w:t>
            </w:r>
          </w:p>
        </w:tc>
        <w:tc>
          <w:tcPr>
            <w:tcW w:w="1049" w:type="dxa"/>
            <w:tcBorders>
              <w:top w:val="nil"/>
              <w:left w:val="single" w:sz="8" w:space="0" w:color="auto"/>
              <w:bottom w:val="single" w:sz="8" w:space="0" w:color="auto"/>
              <w:right w:val="nil"/>
            </w:tcBorders>
            <w:shd w:val="clear" w:color="auto" w:fill="auto"/>
            <w:vAlign w:val="center"/>
            <w:hideMark/>
          </w:tcPr>
          <w:p w:rsidR="00177ED3" w:rsidRDefault="00177ED3" w:rsidP="00177ED3">
            <w:pPr>
              <w:jc w:val="right"/>
              <w:rPr>
                <w:color w:val="000000"/>
                <w:sz w:val="18"/>
                <w:szCs w:val="18"/>
              </w:rPr>
            </w:pPr>
            <w:r>
              <w:rPr>
                <w:color w:val="000000"/>
                <w:sz w:val="18"/>
                <w:szCs w:val="18"/>
              </w:rPr>
              <w:t>1,985</w:t>
            </w:r>
          </w:p>
        </w:tc>
        <w:tc>
          <w:tcPr>
            <w:tcW w:w="921" w:type="dxa"/>
            <w:tcBorders>
              <w:top w:val="nil"/>
              <w:left w:val="single" w:sz="8" w:space="0" w:color="auto"/>
              <w:bottom w:val="single" w:sz="8" w:space="0" w:color="auto"/>
              <w:right w:val="nil"/>
            </w:tcBorders>
            <w:shd w:val="clear" w:color="auto" w:fill="auto"/>
            <w:vAlign w:val="center"/>
            <w:hideMark/>
          </w:tcPr>
          <w:p w:rsidR="00177ED3" w:rsidRDefault="00177ED3" w:rsidP="00177ED3">
            <w:pPr>
              <w:jc w:val="right"/>
              <w:rPr>
                <w:color w:val="000000"/>
                <w:sz w:val="18"/>
                <w:szCs w:val="18"/>
              </w:rPr>
            </w:pPr>
            <w:r>
              <w:rPr>
                <w:color w:val="000000"/>
                <w:sz w:val="18"/>
                <w:szCs w:val="18"/>
              </w:rPr>
              <w:t>3,694</w:t>
            </w:r>
          </w:p>
        </w:tc>
        <w:tc>
          <w:tcPr>
            <w:tcW w:w="1049" w:type="dxa"/>
            <w:tcBorders>
              <w:top w:val="nil"/>
              <w:left w:val="single" w:sz="8" w:space="0" w:color="auto"/>
              <w:bottom w:val="single" w:sz="8" w:space="0" w:color="auto"/>
              <w:right w:val="nil"/>
            </w:tcBorders>
            <w:shd w:val="clear" w:color="auto" w:fill="auto"/>
            <w:vAlign w:val="center"/>
            <w:hideMark/>
          </w:tcPr>
          <w:p w:rsidR="00177ED3" w:rsidRDefault="00177ED3" w:rsidP="00177ED3">
            <w:pPr>
              <w:jc w:val="right"/>
              <w:rPr>
                <w:color w:val="000000"/>
                <w:sz w:val="18"/>
                <w:szCs w:val="18"/>
              </w:rPr>
            </w:pPr>
            <w:r>
              <w:rPr>
                <w:color w:val="000000"/>
                <w:sz w:val="18"/>
                <w:szCs w:val="18"/>
              </w:rPr>
              <w:t>2,572</w:t>
            </w:r>
          </w:p>
        </w:tc>
        <w:tc>
          <w:tcPr>
            <w:tcW w:w="1049" w:type="dxa"/>
            <w:tcBorders>
              <w:top w:val="nil"/>
              <w:left w:val="single" w:sz="8" w:space="0" w:color="auto"/>
              <w:bottom w:val="single" w:sz="8" w:space="0" w:color="auto"/>
              <w:right w:val="nil"/>
            </w:tcBorders>
            <w:shd w:val="clear" w:color="auto" w:fill="auto"/>
            <w:vAlign w:val="center"/>
            <w:hideMark/>
          </w:tcPr>
          <w:p w:rsidR="00177ED3" w:rsidRDefault="00177ED3" w:rsidP="00177ED3">
            <w:pPr>
              <w:jc w:val="right"/>
              <w:rPr>
                <w:color w:val="000000"/>
                <w:sz w:val="18"/>
                <w:szCs w:val="18"/>
              </w:rPr>
            </w:pPr>
            <w:r>
              <w:rPr>
                <w:color w:val="000000"/>
                <w:sz w:val="18"/>
                <w:szCs w:val="18"/>
              </w:rPr>
              <w:t>3,587</w:t>
            </w:r>
          </w:p>
        </w:tc>
        <w:tc>
          <w:tcPr>
            <w:tcW w:w="1049" w:type="dxa"/>
            <w:tcBorders>
              <w:top w:val="nil"/>
              <w:left w:val="single" w:sz="8" w:space="0" w:color="auto"/>
              <w:bottom w:val="single" w:sz="8" w:space="0" w:color="auto"/>
              <w:right w:val="nil"/>
            </w:tcBorders>
            <w:shd w:val="clear" w:color="auto" w:fill="auto"/>
            <w:vAlign w:val="center"/>
            <w:hideMark/>
          </w:tcPr>
          <w:p w:rsidR="00177ED3" w:rsidRDefault="00177ED3" w:rsidP="00177ED3">
            <w:pPr>
              <w:jc w:val="right"/>
              <w:rPr>
                <w:color w:val="000000"/>
                <w:sz w:val="18"/>
                <w:szCs w:val="18"/>
              </w:rPr>
            </w:pPr>
            <w:r>
              <w:rPr>
                <w:color w:val="000000"/>
                <w:sz w:val="18"/>
                <w:szCs w:val="18"/>
              </w:rPr>
              <w:t>637</w:t>
            </w:r>
          </w:p>
        </w:tc>
        <w:tc>
          <w:tcPr>
            <w:tcW w:w="1049" w:type="dxa"/>
            <w:tcBorders>
              <w:top w:val="nil"/>
              <w:left w:val="single" w:sz="8" w:space="0" w:color="auto"/>
              <w:bottom w:val="single" w:sz="8" w:space="0" w:color="auto"/>
              <w:right w:val="nil"/>
            </w:tcBorders>
            <w:shd w:val="clear" w:color="auto" w:fill="auto"/>
            <w:vAlign w:val="center"/>
            <w:hideMark/>
          </w:tcPr>
          <w:p w:rsidR="00177ED3" w:rsidRDefault="00177ED3" w:rsidP="00177ED3">
            <w:pPr>
              <w:jc w:val="right"/>
              <w:rPr>
                <w:color w:val="000000"/>
                <w:sz w:val="18"/>
                <w:szCs w:val="18"/>
              </w:rPr>
            </w:pPr>
            <w:r>
              <w:rPr>
                <w:color w:val="000000"/>
                <w:sz w:val="18"/>
                <w:szCs w:val="18"/>
              </w:rPr>
              <w:t>3,866</w:t>
            </w:r>
          </w:p>
        </w:tc>
        <w:tc>
          <w:tcPr>
            <w:tcW w:w="1049" w:type="dxa"/>
            <w:tcBorders>
              <w:top w:val="nil"/>
              <w:left w:val="single" w:sz="8" w:space="0" w:color="auto"/>
              <w:bottom w:val="single" w:sz="8" w:space="0" w:color="auto"/>
              <w:right w:val="nil"/>
            </w:tcBorders>
            <w:shd w:val="clear" w:color="auto" w:fill="auto"/>
            <w:vAlign w:val="center"/>
            <w:hideMark/>
          </w:tcPr>
          <w:p w:rsidR="00177ED3" w:rsidRDefault="00177ED3" w:rsidP="00177ED3">
            <w:pPr>
              <w:jc w:val="right"/>
              <w:rPr>
                <w:color w:val="000000"/>
                <w:sz w:val="18"/>
                <w:szCs w:val="18"/>
              </w:rPr>
            </w:pPr>
            <w:r>
              <w:rPr>
                <w:color w:val="000000"/>
                <w:sz w:val="18"/>
                <w:szCs w:val="18"/>
              </w:rPr>
              <w:t>771</w:t>
            </w:r>
          </w:p>
        </w:tc>
        <w:tc>
          <w:tcPr>
            <w:tcW w:w="1049" w:type="dxa"/>
            <w:tcBorders>
              <w:top w:val="nil"/>
              <w:left w:val="single" w:sz="8" w:space="0" w:color="auto"/>
              <w:bottom w:val="single" w:sz="8" w:space="0" w:color="auto"/>
              <w:right w:val="nil"/>
            </w:tcBorders>
            <w:shd w:val="clear" w:color="auto" w:fill="auto"/>
            <w:vAlign w:val="center"/>
            <w:hideMark/>
          </w:tcPr>
          <w:p w:rsidR="00177ED3" w:rsidRDefault="00177ED3" w:rsidP="00177ED3">
            <w:pPr>
              <w:jc w:val="right"/>
              <w:rPr>
                <w:color w:val="000000"/>
                <w:sz w:val="18"/>
                <w:szCs w:val="18"/>
              </w:rPr>
            </w:pPr>
            <w:r>
              <w:rPr>
                <w:color w:val="000000"/>
                <w:sz w:val="18"/>
                <w:szCs w:val="18"/>
              </w:rPr>
              <w:t>158</w:t>
            </w:r>
          </w:p>
        </w:tc>
        <w:tc>
          <w:tcPr>
            <w:tcW w:w="1242" w:type="dxa"/>
            <w:tcBorders>
              <w:top w:val="nil"/>
              <w:left w:val="single" w:sz="8" w:space="0" w:color="auto"/>
              <w:bottom w:val="single" w:sz="8" w:space="0" w:color="auto"/>
              <w:right w:val="single" w:sz="8" w:space="0" w:color="auto"/>
            </w:tcBorders>
            <w:shd w:val="clear" w:color="auto" w:fill="auto"/>
            <w:vAlign w:val="center"/>
            <w:hideMark/>
          </w:tcPr>
          <w:p w:rsidR="00177ED3" w:rsidRDefault="00177ED3" w:rsidP="00177ED3">
            <w:pPr>
              <w:jc w:val="right"/>
              <w:rPr>
                <w:color w:val="000000"/>
                <w:sz w:val="18"/>
                <w:szCs w:val="18"/>
              </w:rPr>
            </w:pPr>
            <w:r>
              <w:rPr>
                <w:color w:val="000000"/>
                <w:sz w:val="18"/>
                <w:szCs w:val="18"/>
              </w:rPr>
              <w:t> </w:t>
            </w:r>
          </w:p>
        </w:tc>
      </w:tr>
    </w:tbl>
    <w:p w:rsidR="0054713E" w:rsidRDefault="0054713E" w:rsidP="0054713E">
      <w:pPr>
        <w:pStyle w:val="ListParagraph"/>
        <w:rPr>
          <w:rFonts w:cs="Tahoma"/>
          <w:sz w:val="20"/>
          <w:szCs w:val="20"/>
        </w:rPr>
      </w:pPr>
    </w:p>
    <w:p w:rsidR="00BE5405" w:rsidRDefault="00BE5405" w:rsidP="0054713E">
      <w:pPr>
        <w:pStyle w:val="ListParagraph"/>
        <w:rPr>
          <w:rFonts w:cs="Tahoma"/>
          <w:sz w:val="20"/>
          <w:szCs w:val="20"/>
        </w:rPr>
      </w:pPr>
      <w:r w:rsidRPr="00C1496E">
        <w:rPr>
          <w:noProof/>
          <w:lang w:eastAsia="en-GB"/>
        </w:rPr>
        <mc:AlternateContent>
          <mc:Choice Requires="wps">
            <w:drawing>
              <wp:anchor distT="0" distB="0" distL="114300" distR="114300" simplePos="0" relativeHeight="251819008" behindDoc="0" locked="0" layoutInCell="1" allowOverlap="1" wp14:anchorId="0C266D8B" wp14:editId="39451462">
                <wp:simplePos x="0" y="0"/>
                <wp:positionH relativeFrom="margin">
                  <wp:posOffset>1905</wp:posOffset>
                </wp:positionH>
                <wp:positionV relativeFrom="paragraph">
                  <wp:posOffset>9526</wp:posOffset>
                </wp:positionV>
                <wp:extent cx="9811909" cy="933450"/>
                <wp:effectExtent l="0" t="0" r="18415" b="19050"/>
                <wp:wrapNone/>
                <wp:docPr id="2"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9811909" cy="933450"/>
                        </a:xfrm>
                        <a:prstGeom prst="rect">
                          <a:avLst/>
                        </a:prstGeom>
                        <a:solidFill>
                          <a:srgbClr val="FFFFFF"/>
                        </a:solidFill>
                        <a:ln w="25400">
                          <a:solidFill>
                            <a:srgbClr val="8EB4E3"/>
                          </a:solidFill>
                          <a:miter lim="800000"/>
                          <a:headEnd/>
                          <a:tailEnd/>
                        </a:ln>
                      </wps:spPr>
                      <wps:txbx>
                        <w:txbxContent>
                          <w:p w:rsidR="00F66189" w:rsidRPr="00883C2A" w:rsidRDefault="00F66189" w:rsidP="0054713E">
                            <w:pPr>
                              <w:pStyle w:val="ListParagraph"/>
                              <w:ind w:left="0"/>
                              <w:rPr>
                                <w:rFonts w:cs="Tahoma"/>
                                <w:b/>
                                <w:sz w:val="24"/>
                              </w:rPr>
                            </w:pPr>
                            <w:r w:rsidRPr="00883C2A">
                              <w:rPr>
                                <w:rFonts w:cs="Tahoma"/>
                                <w:b/>
                                <w:sz w:val="24"/>
                              </w:rPr>
                              <w:t>Key Issues</w:t>
                            </w:r>
                          </w:p>
                          <w:p w:rsidR="00F66189" w:rsidRPr="00883C2A" w:rsidRDefault="00F66189" w:rsidP="0054713E">
                            <w:pPr>
                              <w:pStyle w:val="ListParagraph"/>
                              <w:ind w:left="0"/>
                              <w:rPr>
                                <w:rFonts w:cs="Tahoma"/>
                                <w:b/>
                                <w:sz w:val="24"/>
                              </w:rPr>
                            </w:pPr>
                          </w:p>
                          <w:p w:rsidR="00F66189" w:rsidRPr="00991BA4" w:rsidRDefault="00F66189" w:rsidP="006616E8">
                            <w:pPr>
                              <w:pStyle w:val="ListParagraph"/>
                              <w:numPr>
                                <w:ilvl w:val="0"/>
                                <w:numId w:val="2"/>
                              </w:numPr>
                              <w:jc w:val="both"/>
                              <w:rPr>
                                <w:rFonts w:cs="Tahoma"/>
                                <w:sz w:val="24"/>
                              </w:rPr>
                            </w:pPr>
                            <w:r w:rsidRPr="00991BA4">
                              <w:rPr>
                                <w:rFonts w:cs="Tahoma"/>
                                <w:sz w:val="24"/>
                              </w:rPr>
                              <w:t xml:space="preserve">As at the </w:t>
                            </w:r>
                            <w:r>
                              <w:rPr>
                                <w:rFonts w:cs="Tahoma"/>
                                <w:sz w:val="24"/>
                              </w:rPr>
                              <w:t>29</w:t>
                            </w:r>
                            <w:r>
                              <w:rPr>
                                <w:rFonts w:cs="Tahoma"/>
                                <w:sz w:val="24"/>
                                <w:vertAlign w:val="superscript"/>
                              </w:rPr>
                              <w:t>th</w:t>
                            </w:r>
                            <w:r>
                              <w:rPr>
                                <w:rFonts w:cs="Tahoma"/>
                                <w:sz w:val="24"/>
                              </w:rPr>
                              <w:t xml:space="preserve"> February 2020</w:t>
                            </w:r>
                            <w:r w:rsidRPr="00991BA4">
                              <w:rPr>
                                <w:rFonts w:cs="Tahoma"/>
                                <w:sz w:val="24"/>
                              </w:rPr>
                              <w:t xml:space="preserve"> the cash balance was £</w:t>
                            </w:r>
                            <w:r>
                              <w:rPr>
                                <w:rFonts w:cs="Tahoma"/>
                                <w:sz w:val="24"/>
                              </w:rPr>
                              <w:t>0.771</w:t>
                            </w:r>
                            <w:r w:rsidRPr="00991BA4">
                              <w:rPr>
                                <w:rFonts w:cs="Tahoma"/>
                                <w:sz w:val="24"/>
                              </w:rPr>
                              <w:t xml:space="preserve">m. </w:t>
                            </w:r>
                          </w:p>
                          <w:p w:rsidR="00F66189" w:rsidRPr="00991BA4" w:rsidRDefault="00F66189" w:rsidP="006616E8">
                            <w:pPr>
                              <w:pStyle w:val="ListParagraph"/>
                              <w:numPr>
                                <w:ilvl w:val="0"/>
                                <w:numId w:val="2"/>
                              </w:numPr>
                              <w:jc w:val="both"/>
                              <w:rPr>
                                <w:rFonts w:cs="Tahoma"/>
                                <w:sz w:val="24"/>
                              </w:rPr>
                            </w:pPr>
                            <w:r w:rsidRPr="00991BA4">
                              <w:rPr>
                                <w:rFonts w:cs="Tahoma"/>
                                <w:sz w:val="24"/>
                              </w:rPr>
                              <w:t xml:space="preserve">The forecast cash position is break-even. </w:t>
                            </w:r>
                          </w:p>
                          <w:p w:rsidR="00F66189" w:rsidRPr="00883C2A" w:rsidRDefault="00F66189" w:rsidP="0054713E">
                            <w:pPr>
                              <w:pStyle w:val="ListParagraph"/>
                              <w:ind w:left="1080"/>
                              <w:jc w:val="both"/>
                              <w:rPr>
                                <w:rFonts w:cs="Tahoma"/>
                                <w:sz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C266D8B" id="Text Box 28" o:spid="_x0000_s1049" type="#_x0000_t202" style="position:absolute;left:0;text-align:left;margin-left:.15pt;margin-top:.75pt;width:772.6pt;height:73.5pt;z-index:2518190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" strokecolor="#8eb4e3" strokeweight="2pt">
                <v:path arrowok="t"/>
                <v:textbox>
                  <w:txbxContent>
                    <w:p w:rsidR="00F66189" w:rsidRPr="00883C2A" w:rsidRDefault="00F66189" w:rsidP="0054713E">
                      <w:pPr>
                        <w:pStyle w:val="ListParagraph"/>
                        <w:ind w:left="0"/>
                        <w:rPr>
                          <w:rFonts w:cs="Tahoma"/>
                          <w:b/>
                          <w:sz w:val="24"/>
                        </w:rPr>
                      </w:pPr>
                      <w:r w:rsidRPr="00883C2A">
                        <w:rPr>
                          <w:rFonts w:cs="Tahoma"/>
                          <w:b/>
                          <w:sz w:val="24"/>
                        </w:rPr>
                        <w:t>Key Issues</w:t>
                      </w:r>
                    </w:p>
                    <w:p w:rsidR="00F66189" w:rsidRPr="00883C2A" w:rsidRDefault="00F66189" w:rsidP="0054713E">
                      <w:pPr>
                        <w:pStyle w:val="ListParagraph"/>
                        <w:ind w:left="0"/>
                        <w:rPr>
                          <w:rFonts w:cs="Tahoma"/>
                          <w:b/>
                          <w:sz w:val="24"/>
                        </w:rPr>
                      </w:pPr>
                    </w:p>
                    <w:p w:rsidR="00F66189" w:rsidRPr="00991BA4" w:rsidRDefault="00F66189" w:rsidP="006616E8">
                      <w:pPr>
                        <w:pStyle w:val="ListParagraph"/>
                        <w:numPr>
                          <w:ilvl w:val="0"/>
                          <w:numId w:val="2"/>
                        </w:numPr>
                        <w:jc w:val="both"/>
                        <w:rPr>
                          <w:rFonts w:cs="Tahoma"/>
                          <w:sz w:val="24"/>
                        </w:rPr>
                      </w:pPr>
                      <w:r w:rsidRPr="00991BA4">
                        <w:rPr>
                          <w:rFonts w:cs="Tahoma"/>
                          <w:sz w:val="24"/>
                        </w:rPr>
                        <w:t xml:space="preserve">As at the </w:t>
                      </w:r>
                      <w:r>
                        <w:rPr>
                          <w:rFonts w:cs="Tahoma"/>
                          <w:sz w:val="24"/>
                        </w:rPr>
                        <w:t>29</w:t>
                      </w:r>
                      <w:r>
                        <w:rPr>
                          <w:rFonts w:cs="Tahoma"/>
                          <w:sz w:val="24"/>
                          <w:vertAlign w:val="superscript"/>
                        </w:rPr>
                        <w:t>th</w:t>
                      </w:r>
                      <w:r>
                        <w:rPr>
                          <w:rFonts w:cs="Tahoma"/>
                          <w:sz w:val="24"/>
                        </w:rPr>
                        <w:t xml:space="preserve"> February 2020</w:t>
                      </w:r>
                      <w:r w:rsidRPr="00991BA4">
                        <w:rPr>
                          <w:rFonts w:cs="Tahoma"/>
                          <w:sz w:val="24"/>
                        </w:rPr>
                        <w:t xml:space="preserve"> the cash balance was £</w:t>
                      </w:r>
                      <w:r>
                        <w:rPr>
                          <w:rFonts w:cs="Tahoma"/>
                          <w:sz w:val="24"/>
                        </w:rPr>
                        <w:t>0.771</w:t>
                      </w:r>
                      <w:r w:rsidRPr="00991BA4">
                        <w:rPr>
                          <w:rFonts w:cs="Tahoma"/>
                          <w:sz w:val="24"/>
                        </w:rPr>
                        <w:t xml:space="preserve">m. </w:t>
                      </w:r>
                    </w:p>
                    <w:p w:rsidR="00F66189" w:rsidRPr="00991BA4" w:rsidRDefault="00F66189" w:rsidP="006616E8">
                      <w:pPr>
                        <w:pStyle w:val="ListParagraph"/>
                        <w:numPr>
                          <w:ilvl w:val="0"/>
                          <w:numId w:val="2"/>
                        </w:numPr>
                        <w:jc w:val="both"/>
                        <w:rPr>
                          <w:rFonts w:cs="Tahoma"/>
                          <w:sz w:val="24"/>
                        </w:rPr>
                      </w:pPr>
                      <w:r w:rsidRPr="00991BA4">
                        <w:rPr>
                          <w:rFonts w:cs="Tahoma"/>
                          <w:sz w:val="24"/>
                        </w:rPr>
                        <w:t xml:space="preserve">The forecast cash position is break-even. </w:t>
                      </w:r>
                    </w:p>
                    <w:p w:rsidR="00F66189" w:rsidRPr="00883C2A" w:rsidRDefault="00F66189" w:rsidP="0054713E">
                      <w:pPr>
                        <w:pStyle w:val="ListParagraph"/>
                        <w:ind w:left="1080"/>
                        <w:jc w:val="both"/>
                        <w:rPr>
                          <w:rFonts w:cs="Tahoma"/>
                          <w:sz w:val="24"/>
                        </w:rPr>
                      </w:pPr>
                    </w:p>
                  </w:txbxContent>
                </v:textbox>
                <w10:wrap anchorx="margin"/>
              </v:shape>
            </w:pict>
          </mc:Fallback>
        </mc:AlternateContent>
      </w:r>
    </w:p>
    <w:p w:rsidR="00BE5405" w:rsidRPr="00C1496E" w:rsidRDefault="00BE5405" w:rsidP="0054713E">
      <w:pPr>
        <w:pStyle w:val="ListParagraph"/>
        <w:rPr>
          <w:rFonts w:cs="Tahoma"/>
          <w:sz w:val="20"/>
          <w:szCs w:val="20"/>
        </w:rPr>
      </w:pPr>
    </w:p>
    <w:p w:rsidR="0054713E" w:rsidRPr="00C1496E" w:rsidRDefault="0054713E" w:rsidP="0054713E">
      <w:pPr>
        <w:pStyle w:val="ListParagraph"/>
        <w:rPr>
          <w:rFonts w:cs="Tahoma"/>
          <w:sz w:val="20"/>
          <w:szCs w:val="20"/>
        </w:rPr>
      </w:pPr>
    </w:p>
    <w:p w:rsidR="0054713E" w:rsidRPr="00C1496E" w:rsidRDefault="0054713E" w:rsidP="0054713E">
      <w:pPr>
        <w:pStyle w:val="ListParagraph"/>
        <w:rPr>
          <w:rFonts w:cs="Tahoma"/>
          <w:sz w:val="20"/>
          <w:szCs w:val="20"/>
        </w:rPr>
      </w:pPr>
    </w:p>
    <w:p w:rsidR="0054713E" w:rsidRPr="00C1496E" w:rsidRDefault="0054713E" w:rsidP="0054713E">
      <w:pPr>
        <w:pStyle w:val="ListParagraph"/>
        <w:rPr>
          <w:rFonts w:cs="Tahoma"/>
          <w:sz w:val="20"/>
          <w:szCs w:val="20"/>
        </w:rPr>
      </w:pPr>
    </w:p>
    <w:p w:rsidR="0054713E" w:rsidRPr="00C1496E" w:rsidRDefault="0054713E" w:rsidP="0054713E">
      <w:pPr>
        <w:pStyle w:val="ListParagraph"/>
        <w:rPr>
          <w:rFonts w:cs="Tahoma"/>
          <w:sz w:val="20"/>
          <w:szCs w:val="20"/>
        </w:rPr>
      </w:pPr>
    </w:p>
    <w:p w:rsidR="0054713E" w:rsidRDefault="0054713E" w:rsidP="0054713E">
      <w:pPr>
        <w:rPr>
          <w:rFonts w:cs="Tahoma"/>
          <w:sz w:val="20"/>
          <w:szCs w:val="20"/>
        </w:rPr>
      </w:pPr>
    </w:p>
    <w:p w:rsidR="00BE5405" w:rsidRPr="00C1496E" w:rsidRDefault="00BE5405" w:rsidP="0054713E">
      <w:pPr>
        <w:rPr>
          <w:rFonts w:cs="Tahoma"/>
          <w:sz w:val="20"/>
          <w:szCs w:val="20"/>
        </w:rPr>
        <w:sectPr w:rsidR="00BE5405" w:rsidRPr="00C1496E" w:rsidSect="005B6B6A">
          <w:footerReference w:type="default" r:id="rId32"/>
          <w:pgSz w:w="16838" w:h="11906" w:orient="landscape" w:code="9"/>
          <w:pgMar w:top="1134" w:right="567" w:bottom="1134" w:left="567" w:header="284" w:footer="340" w:gutter="0"/>
          <w:cols w:space="708"/>
          <w:docGrid w:linePitch="381"/>
        </w:sectPr>
      </w:pPr>
    </w:p>
    <w:p w:rsidR="005E3BAF" w:rsidRPr="007B6599" w:rsidRDefault="005E3BAF" w:rsidP="00BE3CA9">
      <w:pPr>
        <w:rPr>
          <w:rFonts w:cs="Tahoma"/>
          <w:sz w:val="20"/>
          <w:szCs w:val="20"/>
        </w:rPr>
      </w:pPr>
    </w:p>
    <w:p w:rsidR="00303026" w:rsidRPr="007B6599" w:rsidRDefault="00BE5405" w:rsidP="006616E8">
      <w:pPr>
        <w:pStyle w:val="Heading8"/>
        <w:numPr>
          <w:ilvl w:val="0"/>
          <w:numId w:val="34"/>
        </w:numPr>
        <w:rPr>
          <w:rFonts w:ascii="Verdana" w:hAnsi="Verdana"/>
        </w:rPr>
      </w:pPr>
      <w:r>
        <w:rPr>
          <w:rFonts w:ascii="Verdana" w:hAnsi="Verdana"/>
        </w:rPr>
        <w:t>IMPACT ASSESSMENT</w:t>
      </w:r>
    </w:p>
    <w:p w:rsidR="00232712" w:rsidRDefault="00232712" w:rsidP="00E076B8">
      <w:pPr>
        <w:pStyle w:val="BodyTextIndent"/>
        <w:spacing w:after="0"/>
        <w:ind w:left="0"/>
        <w:rPr>
          <w:rFonts w:cs="Arial"/>
          <w:sz w:val="24"/>
        </w:rPr>
      </w:pPr>
    </w:p>
    <w:tbl>
      <w:tblPr>
        <w:tblStyle w:val="TableGrid"/>
        <w:tblW w:w="9356" w:type="dxa"/>
        <w:tblInd w:w="-5" w:type="dxa"/>
        <w:tblLayout w:type="fixed"/>
        <w:tblLook w:val="04A0" w:firstRow="1" w:lastRow="0" w:firstColumn="1" w:lastColumn="0" w:noHBand="0" w:noVBand="1"/>
      </w:tblPr>
      <w:tblGrid>
        <w:gridCol w:w="4111"/>
        <w:gridCol w:w="5245"/>
      </w:tblGrid>
      <w:tr w:rsidR="00083B7F" w:rsidRPr="00E23B12" w:rsidTr="004F478C">
        <w:trPr>
          <w:trHeight w:val="876"/>
        </w:trPr>
        <w:tc>
          <w:tcPr>
            <w:tcW w:w="4111" w:type="dxa"/>
            <w:shd w:val="clear" w:color="auto" w:fill="F2F2F2" w:themeFill="background1" w:themeFillShade="F2"/>
            <w:vAlign w:val="center"/>
          </w:tcPr>
          <w:p w:rsidR="00083B7F" w:rsidRPr="00E23B12" w:rsidRDefault="00083B7F" w:rsidP="004F478C">
            <w:pPr>
              <w:rPr>
                <w:rFonts w:cs="Arial"/>
                <w:b/>
                <w:sz w:val="24"/>
              </w:rPr>
            </w:pPr>
            <w:r>
              <w:rPr>
                <w:rFonts w:cs="Arial"/>
                <w:b/>
                <w:sz w:val="24"/>
              </w:rPr>
              <w:t>Quality/S</w:t>
            </w:r>
            <w:r w:rsidRPr="00E23B12">
              <w:rPr>
                <w:rFonts w:cs="Arial"/>
                <w:b/>
                <w:sz w:val="24"/>
              </w:rPr>
              <w:t>afety</w:t>
            </w:r>
            <w:r>
              <w:rPr>
                <w:rFonts w:cs="Arial"/>
                <w:b/>
                <w:sz w:val="24"/>
              </w:rPr>
              <w:t>/Patient Experience</w:t>
            </w:r>
            <w:r w:rsidRPr="00E23B12">
              <w:rPr>
                <w:rFonts w:cs="Arial"/>
                <w:b/>
                <w:sz w:val="24"/>
              </w:rPr>
              <w:t xml:space="preserve"> implications</w:t>
            </w:r>
            <w:r>
              <w:rPr>
                <w:rFonts w:cs="Arial"/>
                <w:b/>
                <w:sz w:val="24"/>
              </w:rPr>
              <w:t xml:space="preserve"> </w:t>
            </w:r>
          </w:p>
        </w:tc>
        <w:sdt>
          <w:sdtPr>
            <w:rPr>
              <w:rFonts w:cs="Arial"/>
              <w:sz w:val="24"/>
            </w:rPr>
            <w:id w:val="1644078862"/>
            <w:placeholder>
              <w:docPart w:val="987A5A694EE8443F9604607F35AF94DA"/>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rsidR="00083B7F" w:rsidRPr="00E23B12" w:rsidRDefault="00083B7F" w:rsidP="004F478C">
                <w:pPr>
                  <w:jc w:val="both"/>
                  <w:rPr>
                    <w:rFonts w:cs="Arial"/>
                    <w:sz w:val="24"/>
                  </w:rPr>
                </w:pPr>
                <w:r>
                  <w:rPr>
                    <w:rFonts w:cs="Arial"/>
                    <w:sz w:val="24"/>
                  </w:rPr>
                  <w:t>There are no specific quality and safety implications related to the activity outined in this report.</w:t>
                </w:r>
              </w:p>
            </w:tc>
          </w:sdtContent>
        </w:sdt>
      </w:tr>
      <w:tr w:rsidR="00083B7F" w:rsidRPr="00E23B12" w:rsidTr="004F478C">
        <w:trPr>
          <w:trHeight w:val="847"/>
        </w:trPr>
        <w:tc>
          <w:tcPr>
            <w:tcW w:w="4111" w:type="dxa"/>
            <w:shd w:val="clear" w:color="auto" w:fill="F2F2F2" w:themeFill="background1" w:themeFillShade="F2"/>
            <w:vAlign w:val="center"/>
          </w:tcPr>
          <w:p w:rsidR="00083B7F" w:rsidRPr="001D464D" w:rsidRDefault="00083B7F" w:rsidP="004F478C">
            <w:pPr>
              <w:rPr>
                <w:rFonts w:cs="Arial"/>
                <w:b/>
                <w:sz w:val="24"/>
              </w:rPr>
            </w:pPr>
            <w:r w:rsidRPr="001D464D">
              <w:rPr>
                <w:rFonts w:cs="Arial"/>
                <w:b/>
                <w:sz w:val="24"/>
              </w:rPr>
              <w:t>Related Health and Care standard(s)</w:t>
            </w:r>
          </w:p>
        </w:tc>
        <w:sdt>
          <w:sdtPr>
            <w:rPr>
              <w:rStyle w:val="Style31"/>
              <w:rFonts w:ascii="Verdana" w:hAnsi="Verdana"/>
              <w:sz w:val="24"/>
            </w:rPr>
            <w:id w:val="439423197"/>
            <w:placeholder>
              <w:docPart w:val="10FB2D1BBA7C43838499C3A8D6A1E0A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rsidR="00083B7F" w:rsidRPr="001D464D" w:rsidRDefault="00083B7F" w:rsidP="004F478C">
                <w:pPr>
                  <w:jc w:val="both"/>
                  <w:rPr>
                    <w:rFonts w:cs="Arial"/>
                    <w:color w:val="FF0000"/>
                    <w:sz w:val="24"/>
                  </w:rPr>
                </w:pPr>
                <w:r w:rsidRPr="001D464D">
                  <w:rPr>
                    <w:rStyle w:val="Style31"/>
                    <w:rFonts w:ascii="Verdana" w:hAnsi="Verdana"/>
                    <w:sz w:val="24"/>
                  </w:rPr>
                  <w:t>Governance, Leadership and Accountability</w:t>
                </w:r>
              </w:p>
            </w:tc>
          </w:sdtContent>
        </w:sdt>
      </w:tr>
      <w:tr w:rsidR="00083B7F" w:rsidRPr="00E23B12" w:rsidTr="004F478C">
        <w:trPr>
          <w:trHeight w:val="787"/>
        </w:trPr>
        <w:tc>
          <w:tcPr>
            <w:tcW w:w="4111" w:type="dxa"/>
            <w:shd w:val="clear" w:color="auto" w:fill="F2F2F2" w:themeFill="background1" w:themeFillShade="F2"/>
            <w:vAlign w:val="center"/>
          </w:tcPr>
          <w:p w:rsidR="00083B7F" w:rsidRPr="001D464D" w:rsidRDefault="00083B7F" w:rsidP="004F478C">
            <w:pPr>
              <w:rPr>
                <w:rFonts w:cs="Arial"/>
                <w:b/>
                <w:sz w:val="24"/>
              </w:rPr>
            </w:pPr>
            <w:r w:rsidRPr="001D464D">
              <w:rPr>
                <w:rFonts w:cs="Arial"/>
                <w:b/>
                <w:sz w:val="24"/>
              </w:rPr>
              <w:t>Equality impact assessment completed</w:t>
            </w:r>
          </w:p>
        </w:tc>
        <w:tc>
          <w:tcPr>
            <w:tcW w:w="5245" w:type="dxa"/>
            <w:vAlign w:val="center"/>
          </w:tcPr>
          <w:p w:rsidR="00083B7F" w:rsidRPr="001D464D" w:rsidRDefault="00C54C29" w:rsidP="004F478C">
            <w:pPr>
              <w:jc w:val="both"/>
              <w:rPr>
                <w:sz w:val="24"/>
              </w:rPr>
            </w:pPr>
            <w:sdt>
              <w:sdtPr>
                <w:rPr>
                  <w:rStyle w:val="Style32"/>
                  <w:rFonts w:ascii="Verdana" w:hAnsi="Verdana"/>
                  <w:sz w:val="24"/>
                </w:rPr>
                <w:id w:val="1502166926"/>
                <w:placeholder>
                  <w:docPart w:val="D586FD882EDF44FEAE925709C0826600"/>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083B7F" w:rsidRPr="001D464D">
                  <w:rPr>
                    <w:rStyle w:val="Style32"/>
                    <w:rFonts w:ascii="Verdana" w:hAnsi="Verdana"/>
                    <w:sz w:val="24"/>
                  </w:rPr>
                  <w:t>Not required</w:t>
                </w:r>
              </w:sdtContent>
            </w:sdt>
          </w:p>
        </w:tc>
      </w:tr>
      <w:tr w:rsidR="00083B7F" w:rsidRPr="00E23B12" w:rsidTr="004F478C">
        <w:trPr>
          <w:trHeight w:val="843"/>
        </w:trPr>
        <w:tc>
          <w:tcPr>
            <w:tcW w:w="4111" w:type="dxa"/>
            <w:shd w:val="clear" w:color="auto" w:fill="F2F2F2" w:themeFill="background1" w:themeFillShade="F2"/>
            <w:vAlign w:val="center"/>
          </w:tcPr>
          <w:p w:rsidR="00083B7F" w:rsidRPr="00E23B12" w:rsidRDefault="00083B7F" w:rsidP="004F478C">
            <w:pPr>
              <w:rPr>
                <w:rFonts w:cs="Arial"/>
                <w:b/>
                <w:sz w:val="24"/>
              </w:rPr>
            </w:pPr>
            <w:r w:rsidRPr="00E23B12">
              <w:rPr>
                <w:rFonts w:cs="Arial"/>
                <w:b/>
                <w:sz w:val="24"/>
              </w:rPr>
              <w:t>Legal implications / impact</w:t>
            </w:r>
          </w:p>
        </w:tc>
        <w:sdt>
          <w:sdtPr>
            <w:rPr>
              <w:rFonts w:cs="Arial"/>
              <w:sz w:val="24"/>
            </w:rPr>
            <w:id w:val="-1862651529"/>
            <w:placeholder>
              <w:docPart w:val="70488F4BB29A4D93A15374AE30F5A400"/>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rsidR="00083B7F" w:rsidRPr="00E23B12" w:rsidRDefault="00083B7F" w:rsidP="004F478C">
                <w:pPr>
                  <w:jc w:val="both"/>
                  <w:rPr>
                    <w:rFonts w:cs="Arial"/>
                    <w:sz w:val="24"/>
                  </w:rPr>
                </w:pPr>
                <w:r>
                  <w:rPr>
                    <w:rFonts w:cs="Arial"/>
                    <w:sz w:val="24"/>
                  </w:rPr>
                  <w:t>There are no specific legal implications related to the activity outlined in this report.</w:t>
                </w:r>
              </w:p>
            </w:tc>
          </w:sdtContent>
        </w:sdt>
      </w:tr>
      <w:tr w:rsidR="00083B7F" w:rsidRPr="00E23B12" w:rsidTr="004F478C">
        <w:trPr>
          <w:trHeight w:val="831"/>
        </w:trPr>
        <w:tc>
          <w:tcPr>
            <w:tcW w:w="4111" w:type="dxa"/>
            <w:vMerge w:val="restart"/>
            <w:shd w:val="clear" w:color="auto" w:fill="F2F2F2" w:themeFill="background1" w:themeFillShade="F2"/>
            <w:vAlign w:val="center"/>
          </w:tcPr>
          <w:p w:rsidR="00083B7F" w:rsidRPr="00E23B12" w:rsidRDefault="00083B7F" w:rsidP="004F478C">
            <w:pPr>
              <w:rPr>
                <w:rFonts w:cs="Arial"/>
                <w:b/>
                <w:sz w:val="24"/>
              </w:rPr>
            </w:pPr>
            <w:r>
              <w:rPr>
                <w:rFonts w:cs="Arial"/>
                <w:b/>
                <w:sz w:val="24"/>
              </w:rPr>
              <w:t>Resource (Capital/Revenue £/Workforce)</w:t>
            </w:r>
            <w:r w:rsidRPr="00E23B12">
              <w:rPr>
                <w:rFonts w:cs="Arial"/>
                <w:b/>
                <w:sz w:val="24"/>
              </w:rPr>
              <w:t xml:space="preserve"> implications / </w:t>
            </w:r>
          </w:p>
          <w:p w:rsidR="00083B7F" w:rsidRPr="00E23B12" w:rsidRDefault="00083B7F" w:rsidP="004F478C">
            <w:pPr>
              <w:rPr>
                <w:rFonts w:cs="Arial"/>
                <w:b/>
                <w:sz w:val="24"/>
              </w:rPr>
            </w:pPr>
            <w:r w:rsidRPr="00E23B12">
              <w:rPr>
                <w:rFonts w:cs="Arial"/>
                <w:b/>
                <w:sz w:val="24"/>
              </w:rPr>
              <w:t>Impact</w:t>
            </w:r>
          </w:p>
        </w:tc>
        <w:sdt>
          <w:sdtPr>
            <w:rPr>
              <w:rFonts w:cs="Arial"/>
              <w:sz w:val="24"/>
            </w:rPr>
            <w:id w:val="-269172220"/>
            <w:placeholder>
              <w:docPart w:val="CA2594274A1645F4B95FBA7C53744926"/>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rsidR="00083B7F" w:rsidRPr="00E23B12" w:rsidRDefault="00083B7F" w:rsidP="004F478C">
                <w:pPr>
                  <w:jc w:val="both"/>
                  <w:rPr>
                    <w:rFonts w:cs="Arial"/>
                    <w:sz w:val="24"/>
                  </w:rPr>
                </w:pPr>
                <w:r>
                  <w:rPr>
                    <w:rFonts w:cs="Arial"/>
                    <w:sz w:val="24"/>
                  </w:rPr>
                  <w:t>Yes (Include further detail below)</w:t>
                </w:r>
              </w:p>
            </w:tc>
          </w:sdtContent>
        </w:sdt>
      </w:tr>
      <w:tr w:rsidR="00083B7F" w:rsidRPr="00E23B12" w:rsidTr="004F478C">
        <w:trPr>
          <w:trHeight w:val="290"/>
        </w:trPr>
        <w:tc>
          <w:tcPr>
            <w:tcW w:w="4111" w:type="dxa"/>
            <w:vMerge/>
            <w:shd w:val="clear" w:color="auto" w:fill="F2F2F2" w:themeFill="background1" w:themeFillShade="F2"/>
            <w:vAlign w:val="center"/>
          </w:tcPr>
          <w:p w:rsidR="00083B7F" w:rsidRPr="00E23B12" w:rsidRDefault="00083B7F" w:rsidP="004F478C">
            <w:pPr>
              <w:rPr>
                <w:rFonts w:cs="Arial"/>
                <w:b/>
                <w:sz w:val="24"/>
              </w:rPr>
            </w:pPr>
          </w:p>
        </w:tc>
        <w:tc>
          <w:tcPr>
            <w:tcW w:w="5245" w:type="dxa"/>
            <w:vAlign w:val="center"/>
          </w:tcPr>
          <w:p w:rsidR="00083B7F" w:rsidRPr="00E23B12" w:rsidRDefault="00083B7F" w:rsidP="004F478C">
            <w:pPr>
              <w:jc w:val="both"/>
              <w:rPr>
                <w:rFonts w:cs="Arial"/>
                <w:sz w:val="24"/>
              </w:rPr>
            </w:pPr>
            <w:r w:rsidRPr="00FB2623">
              <w:rPr>
                <w:rFonts w:cs="Arial"/>
                <w:sz w:val="24"/>
              </w:rPr>
              <w:t xml:space="preserve">The paper is directly relevant to the allocation and utilisation of resources.  </w:t>
            </w:r>
          </w:p>
        </w:tc>
      </w:tr>
      <w:tr w:rsidR="00083B7F" w:rsidRPr="00E23B12" w:rsidTr="004F478C">
        <w:trPr>
          <w:trHeight w:val="875"/>
        </w:trPr>
        <w:tc>
          <w:tcPr>
            <w:tcW w:w="4111" w:type="dxa"/>
            <w:shd w:val="clear" w:color="auto" w:fill="F2F2F2" w:themeFill="background1" w:themeFillShade="F2"/>
            <w:vAlign w:val="center"/>
          </w:tcPr>
          <w:p w:rsidR="00083B7F" w:rsidRDefault="00083B7F" w:rsidP="004F478C">
            <w:pPr>
              <w:rPr>
                <w:rFonts w:cs="Arial"/>
                <w:b/>
                <w:sz w:val="24"/>
              </w:rPr>
            </w:pPr>
            <w:r>
              <w:rPr>
                <w:rFonts w:cs="Arial"/>
                <w:b/>
                <w:sz w:val="24"/>
              </w:rPr>
              <w:t>Link to Main Strategic Objective</w:t>
            </w:r>
          </w:p>
          <w:p w:rsidR="00083B7F" w:rsidRDefault="00083B7F" w:rsidP="004F478C">
            <w:pPr>
              <w:rPr>
                <w:rFonts w:cs="Arial"/>
                <w:b/>
                <w:sz w:val="24"/>
              </w:rPr>
            </w:pPr>
          </w:p>
        </w:tc>
        <w:sdt>
          <w:sdtPr>
            <w:rPr>
              <w:rFonts w:cs="Arial"/>
              <w:sz w:val="24"/>
            </w:rPr>
            <w:id w:val="-226461801"/>
            <w:placeholder>
              <w:docPart w:val="874D4821CB60462F82314D212CA3A916"/>
            </w:placeholder>
            <w:dropDownList>
              <w:listItem w:value="Choose an item."/>
              <w:listItem w:displayText="To Improve Quality, Safety &amp; Patient Experience" w:value="To Improve Quality, Safety &amp; Patient Experience"/>
              <w:listItem w:displayText="To protect and improve population health" w:value="To protect and improve population health"/>
              <w:listItem w:displayText="To ensure that services provided are accessible and sustainable into the future" w:value="To ensure that services provided are accessible and sustainable into the future"/>
              <w:listItem w:displayText="To provide strong governance and assurance" w:value="To provide strong governance and assurance"/>
              <w:listItem w:displayText="To ensure good value based health care and treatment for our patients in line with the resources made available to the Health Board" w:value="To ensure good value based health care and treatment for our patients in line with the resources made available to the Health Board"/>
            </w:dropDownList>
          </w:sdtPr>
          <w:sdtEndPr/>
          <w:sdtContent>
            <w:tc>
              <w:tcPr>
                <w:tcW w:w="5245" w:type="dxa"/>
                <w:vAlign w:val="center"/>
              </w:tcPr>
              <w:p w:rsidR="00083B7F" w:rsidRPr="00E23B12" w:rsidRDefault="00083B7F" w:rsidP="004F478C">
                <w:pPr>
                  <w:jc w:val="both"/>
                  <w:rPr>
                    <w:rFonts w:cs="Arial"/>
                    <w:sz w:val="24"/>
                  </w:rPr>
                </w:pPr>
                <w:r>
                  <w:rPr>
                    <w:rFonts w:cs="Arial"/>
                    <w:sz w:val="24"/>
                  </w:rPr>
                  <w:t>To provide strong governance and assurance</w:t>
                </w:r>
              </w:p>
            </w:tc>
          </w:sdtContent>
        </w:sdt>
      </w:tr>
      <w:tr w:rsidR="00083B7F" w:rsidRPr="00E23B12" w:rsidTr="004F478C">
        <w:trPr>
          <w:trHeight w:val="875"/>
        </w:trPr>
        <w:tc>
          <w:tcPr>
            <w:tcW w:w="4111" w:type="dxa"/>
            <w:shd w:val="clear" w:color="auto" w:fill="F2F2F2" w:themeFill="background1" w:themeFillShade="F2"/>
            <w:vAlign w:val="center"/>
          </w:tcPr>
          <w:p w:rsidR="00083B7F" w:rsidRDefault="00083B7F" w:rsidP="004F478C">
            <w:pPr>
              <w:rPr>
                <w:rFonts w:cs="Arial"/>
                <w:b/>
                <w:sz w:val="24"/>
              </w:rPr>
            </w:pPr>
            <w:r>
              <w:rPr>
                <w:rFonts w:cs="Arial"/>
                <w:b/>
                <w:sz w:val="24"/>
              </w:rPr>
              <w:t>Link to Main WBFG Act Objective</w:t>
            </w:r>
          </w:p>
          <w:p w:rsidR="00083B7F" w:rsidRDefault="00083B7F" w:rsidP="004F478C">
            <w:pPr>
              <w:rPr>
                <w:rFonts w:cs="Arial"/>
                <w:b/>
                <w:sz w:val="24"/>
              </w:rPr>
            </w:pPr>
          </w:p>
        </w:tc>
        <w:sdt>
          <w:sdtPr>
            <w:rPr>
              <w:rFonts w:cs="Arial"/>
              <w:sz w:val="24"/>
            </w:rPr>
            <w:id w:val="1683709248"/>
            <w:placeholder>
              <w:docPart w:val="CF0A542D868B4D90856DF1F6E6880E2B"/>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245" w:type="dxa"/>
                <w:vAlign w:val="center"/>
              </w:tcPr>
              <w:p w:rsidR="00083B7F" w:rsidRDefault="00083B7F" w:rsidP="004F478C">
                <w:pPr>
                  <w:jc w:val="both"/>
                  <w:rPr>
                    <w:rFonts w:cs="Arial"/>
                    <w:sz w:val="24"/>
                  </w:rPr>
                </w:pPr>
                <w:r>
                  <w:rPr>
                    <w:rFonts w:cs="Arial"/>
                    <w:sz w:val="24"/>
                  </w:rPr>
                  <w:t>Service delivery will be innovative, reflect the principles of prudent health care and promote better value for users</w:t>
                </w:r>
              </w:p>
            </w:tc>
          </w:sdtContent>
        </w:sdt>
      </w:tr>
    </w:tbl>
    <w:p w:rsidR="00083B7F" w:rsidRDefault="00083B7F" w:rsidP="00113659">
      <w:pPr>
        <w:pStyle w:val="BodyTextIndent"/>
        <w:spacing w:after="0"/>
        <w:ind w:left="426"/>
        <w:rPr>
          <w:rFonts w:cs="Arial"/>
          <w:sz w:val="24"/>
        </w:rPr>
      </w:pPr>
    </w:p>
    <w:p w:rsidR="00083B7F" w:rsidRPr="007B6599" w:rsidRDefault="00083B7F" w:rsidP="006616E8">
      <w:pPr>
        <w:pStyle w:val="Heading8"/>
        <w:numPr>
          <w:ilvl w:val="0"/>
          <w:numId w:val="34"/>
        </w:numPr>
        <w:rPr>
          <w:rFonts w:ascii="Verdana" w:hAnsi="Verdana"/>
        </w:rPr>
      </w:pPr>
      <w:r>
        <w:rPr>
          <w:rFonts w:ascii="Verdana" w:hAnsi="Verdana"/>
        </w:rPr>
        <w:t>RECOMMENDATION</w:t>
      </w:r>
    </w:p>
    <w:p w:rsidR="00083B7F" w:rsidRPr="007B6599" w:rsidRDefault="00083B7F" w:rsidP="00083B7F">
      <w:pPr>
        <w:rPr>
          <w:sz w:val="24"/>
        </w:rPr>
      </w:pPr>
    </w:p>
    <w:p w:rsidR="00083B7F" w:rsidRPr="007B6599" w:rsidRDefault="00083B7F" w:rsidP="00083B7F">
      <w:pPr>
        <w:pStyle w:val="BodyTextIndent"/>
        <w:spacing w:after="0"/>
        <w:ind w:left="426"/>
        <w:rPr>
          <w:rFonts w:cs="Arial"/>
          <w:sz w:val="24"/>
        </w:rPr>
      </w:pPr>
      <w:r w:rsidRPr="007B6599">
        <w:rPr>
          <w:rFonts w:cs="Tahoma"/>
          <w:sz w:val="24"/>
        </w:rPr>
        <w:t>The Board is asked t</w:t>
      </w:r>
      <w:r w:rsidRPr="007B6599">
        <w:rPr>
          <w:rFonts w:cs="Arial"/>
          <w:sz w:val="24"/>
        </w:rPr>
        <w:t xml:space="preserve">o: </w:t>
      </w:r>
    </w:p>
    <w:p w:rsidR="00083B7F" w:rsidRPr="007B6599" w:rsidRDefault="00083B7F" w:rsidP="00083B7F">
      <w:pPr>
        <w:pStyle w:val="BodyTextIndent"/>
        <w:spacing w:after="0"/>
        <w:ind w:left="426"/>
        <w:rPr>
          <w:rFonts w:cs="Arial"/>
          <w:sz w:val="24"/>
        </w:rPr>
      </w:pPr>
    </w:p>
    <w:p w:rsidR="00083B7F" w:rsidRPr="007B6599" w:rsidRDefault="00083B7F" w:rsidP="00083B7F">
      <w:pPr>
        <w:pStyle w:val="BodyTextIndent"/>
        <w:numPr>
          <w:ilvl w:val="1"/>
          <w:numId w:val="1"/>
        </w:numPr>
        <w:spacing w:after="0"/>
        <w:ind w:left="1134" w:right="-2" w:hanging="708"/>
        <w:jc w:val="both"/>
        <w:rPr>
          <w:rFonts w:cs="Arial"/>
          <w:sz w:val="24"/>
        </w:rPr>
      </w:pPr>
      <w:r w:rsidRPr="007B6599">
        <w:rPr>
          <w:rFonts w:cs="Arial"/>
          <w:b/>
          <w:sz w:val="24"/>
        </w:rPr>
        <w:t>DISCUSS</w:t>
      </w:r>
      <w:r w:rsidRPr="007B6599">
        <w:rPr>
          <w:rFonts w:cs="Arial"/>
          <w:sz w:val="24"/>
        </w:rPr>
        <w:t xml:space="preserve"> the contents of the Month </w:t>
      </w:r>
      <w:r w:rsidR="00177ED3">
        <w:rPr>
          <w:rFonts w:cs="Arial"/>
          <w:sz w:val="24"/>
        </w:rPr>
        <w:t>11</w:t>
      </w:r>
      <w:r w:rsidRPr="007B6599">
        <w:rPr>
          <w:rFonts w:cs="Arial"/>
          <w:sz w:val="24"/>
        </w:rPr>
        <w:t xml:space="preserve"> Finance report for 2019/20.</w:t>
      </w:r>
    </w:p>
    <w:p w:rsidR="00083B7F" w:rsidRDefault="00083B7F" w:rsidP="00113659">
      <w:pPr>
        <w:pStyle w:val="BodyTextIndent"/>
        <w:spacing w:after="0"/>
        <w:ind w:left="426"/>
        <w:rPr>
          <w:rFonts w:cs="Arial"/>
          <w:sz w:val="24"/>
        </w:rPr>
      </w:pPr>
    </w:p>
    <w:p w:rsidR="00C351FB" w:rsidRPr="00C351FB" w:rsidRDefault="00C351FB" w:rsidP="00C351FB">
      <w:pPr>
        <w:rPr>
          <w:sz w:val="24"/>
        </w:rPr>
      </w:pPr>
    </w:p>
    <w:p w:rsidR="00C351FB" w:rsidRPr="00C351FB" w:rsidRDefault="00C351FB" w:rsidP="00C351FB">
      <w:pPr>
        <w:rPr>
          <w:sz w:val="24"/>
        </w:rPr>
      </w:pPr>
    </w:p>
    <w:p w:rsidR="00E76EE3" w:rsidRPr="00C351FB" w:rsidRDefault="00E76EE3" w:rsidP="006C5E26">
      <w:pPr>
        <w:tabs>
          <w:tab w:val="left" w:pos="7260"/>
        </w:tabs>
        <w:rPr>
          <w:sz w:val="24"/>
        </w:rPr>
      </w:pPr>
    </w:p>
    <w:sectPr w:rsidR="00E76EE3" w:rsidRPr="00C351FB" w:rsidSect="002E02A6">
      <w:headerReference w:type="default" r:id="rId33"/>
      <w:footerReference w:type="default" r:id="rId34"/>
      <w:pgSz w:w="11906" w:h="16838"/>
      <w:pgMar w:top="1418" w:right="1418" w:bottom="1418" w:left="1418" w:header="283" w:footer="363" w:gutter="0"/>
      <w:cols w:space="708"/>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66189" w:rsidRDefault="00F66189">
      <w:r>
        <w:separator/>
      </w:r>
    </w:p>
  </w:endnote>
  <w:endnote w:type="continuationSeparator" w:id="0">
    <w:p w:rsidR="00F66189" w:rsidRDefault="00F661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50402020202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66189" w:rsidRDefault="00F66189" w:rsidP="001B1247">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F66189" w:rsidRDefault="00F66189" w:rsidP="004A3B3F">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9705" w:type="dxa"/>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39"/>
      <w:gridCol w:w="1922"/>
      <w:gridCol w:w="4244"/>
    </w:tblGrid>
    <w:tr w:rsidR="00F66189" w:rsidRPr="00B06F0A" w:rsidTr="00963ABE">
      <w:trPr>
        <w:trHeight w:val="435"/>
        <w:jc w:val="center"/>
      </w:trPr>
      <w:tc>
        <w:tcPr>
          <w:tcW w:w="3539" w:type="dxa"/>
          <w:tcBorders>
            <w:top w:val="single" w:sz="4" w:space="0" w:color="auto"/>
            <w:left w:val="nil"/>
            <w:bottom w:val="nil"/>
            <w:right w:val="nil"/>
          </w:tcBorders>
        </w:tcPr>
        <w:p w:rsidR="00F66189" w:rsidRPr="00B06F0A" w:rsidRDefault="00F66189" w:rsidP="00C91DA5">
          <w:pPr>
            <w:pStyle w:val="Footer"/>
            <w:rPr>
              <w:rFonts w:ascii="Verdana" w:hAnsi="Verdana"/>
              <w:b/>
              <w:sz w:val="18"/>
              <w:szCs w:val="18"/>
            </w:rPr>
          </w:pPr>
          <w:r>
            <w:rPr>
              <w:rFonts w:ascii="Verdana" w:hAnsi="Verdana"/>
              <w:b/>
              <w:sz w:val="18"/>
              <w:szCs w:val="18"/>
            </w:rPr>
            <w:t>Month 11 Finance Update</w:t>
          </w:r>
        </w:p>
      </w:tc>
      <w:tc>
        <w:tcPr>
          <w:tcW w:w="1922" w:type="dxa"/>
          <w:tcBorders>
            <w:top w:val="single" w:sz="4" w:space="0" w:color="auto"/>
            <w:left w:val="nil"/>
            <w:bottom w:val="nil"/>
            <w:right w:val="nil"/>
          </w:tcBorders>
        </w:tcPr>
        <w:p w:rsidR="00F66189" w:rsidRPr="00B06F0A" w:rsidRDefault="00F66189" w:rsidP="00042C41">
          <w:pPr>
            <w:pStyle w:val="Footer"/>
            <w:jc w:val="center"/>
            <w:rPr>
              <w:rFonts w:ascii="Verdana" w:hAnsi="Verdana"/>
              <w:b/>
              <w:sz w:val="18"/>
              <w:szCs w:val="18"/>
            </w:rPr>
          </w:pPr>
          <w:r w:rsidRPr="003F397C">
            <w:rPr>
              <w:rFonts w:ascii="Verdana" w:hAnsi="Verdana" w:cs="Arial"/>
              <w:b/>
              <w:sz w:val="18"/>
              <w:szCs w:val="18"/>
            </w:rPr>
            <w:t xml:space="preserve">Page </w:t>
          </w:r>
          <w:r w:rsidRPr="003F397C">
            <w:rPr>
              <w:rFonts w:ascii="Verdana" w:hAnsi="Verdana" w:cs="Arial"/>
              <w:b/>
              <w:sz w:val="18"/>
              <w:szCs w:val="18"/>
            </w:rPr>
            <w:fldChar w:fldCharType="begin"/>
          </w:r>
          <w:r w:rsidRPr="003F397C">
            <w:rPr>
              <w:rFonts w:ascii="Verdana" w:hAnsi="Verdana" w:cs="Arial"/>
              <w:b/>
              <w:sz w:val="18"/>
              <w:szCs w:val="18"/>
            </w:rPr>
            <w:instrText xml:space="preserve"> PAGE </w:instrText>
          </w:r>
          <w:r w:rsidRPr="003F397C">
            <w:rPr>
              <w:rFonts w:ascii="Verdana" w:hAnsi="Verdana" w:cs="Arial"/>
              <w:b/>
              <w:sz w:val="18"/>
              <w:szCs w:val="18"/>
            </w:rPr>
            <w:fldChar w:fldCharType="separate"/>
          </w:r>
          <w:r w:rsidR="00C54C29">
            <w:rPr>
              <w:rFonts w:ascii="Verdana" w:hAnsi="Verdana" w:cs="Arial"/>
              <w:b/>
              <w:noProof/>
              <w:sz w:val="18"/>
              <w:szCs w:val="18"/>
            </w:rPr>
            <w:t>2</w:t>
          </w:r>
          <w:r w:rsidRPr="003F397C">
            <w:rPr>
              <w:rFonts w:ascii="Verdana" w:hAnsi="Verdana" w:cs="Arial"/>
              <w:b/>
              <w:sz w:val="18"/>
              <w:szCs w:val="18"/>
            </w:rPr>
            <w:fldChar w:fldCharType="end"/>
          </w:r>
          <w:r w:rsidRPr="003F397C">
            <w:rPr>
              <w:rFonts w:ascii="Verdana" w:hAnsi="Verdana" w:cs="Arial"/>
              <w:b/>
              <w:sz w:val="18"/>
              <w:szCs w:val="18"/>
            </w:rPr>
            <w:t xml:space="preserve"> of </w:t>
          </w:r>
          <w:r>
            <w:rPr>
              <w:rFonts w:ascii="Verdana" w:hAnsi="Verdana" w:cs="Arial"/>
              <w:b/>
              <w:sz w:val="18"/>
              <w:szCs w:val="18"/>
            </w:rPr>
            <w:fldChar w:fldCharType="begin"/>
          </w:r>
          <w:r>
            <w:rPr>
              <w:rFonts w:ascii="Verdana" w:hAnsi="Verdana" w:cs="Arial"/>
              <w:b/>
              <w:sz w:val="18"/>
              <w:szCs w:val="18"/>
            </w:rPr>
            <w:instrText xml:space="preserve"> NUMPAGES  </w:instrText>
          </w:r>
          <w:r>
            <w:rPr>
              <w:rFonts w:ascii="Verdana" w:hAnsi="Verdana" w:cs="Arial"/>
              <w:b/>
              <w:sz w:val="18"/>
              <w:szCs w:val="18"/>
            </w:rPr>
            <w:fldChar w:fldCharType="separate"/>
          </w:r>
          <w:r w:rsidR="00C54C29">
            <w:rPr>
              <w:rFonts w:ascii="Verdana" w:hAnsi="Verdana" w:cs="Arial"/>
              <w:b/>
              <w:noProof/>
              <w:sz w:val="18"/>
              <w:szCs w:val="18"/>
            </w:rPr>
            <w:t>2</w:t>
          </w:r>
          <w:r>
            <w:rPr>
              <w:rFonts w:ascii="Verdana" w:hAnsi="Verdana" w:cs="Arial"/>
              <w:b/>
              <w:sz w:val="18"/>
              <w:szCs w:val="18"/>
            </w:rPr>
            <w:fldChar w:fldCharType="end"/>
          </w:r>
        </w:p>
      </w:tc>
      <w:tc>
        <w:tcPr>
          <w:tcW w:w="4244" w:type="dxa"/>
          <w:tcBorders>
            <w:top w:val="single" w:sz="4" w:space="0" w:color="auto"/>
            <w:left w:val="nil"/>
            <w:bottom w:val="nil"/>
            <w:right w:val="nil"/>
          </w:tcBorders>
        </w:tcPr>
        <w:p w:rsidR="00F66189" w:rsidRDefault="00F66189" w:rsidP="002E02A6">
          <w:pPr>
            <w:pStyle w:val="Footer"/>
            <w:jc w:val="center"/>
            <w:rPr>
              <w:rFonts w:ascii="Verdana" w:hAnsi="Verdana"/>
              <w:b/>
              <w:sz w:val="18"/>
              <w:szCs w:val="18"/>
            </w:rPr>
          </w:pPr>
          <w:r>
            <w:rPr>
              <w:rFonts w:ascii="Verdana" w:hAnsi="Verdana"/>
              <w:b/>
              <w:sz w:val="18"/>
              <w:szCs w:val="18"/>
            </w:rPr>
            <w:t xml:space="preserve">                         Health Board Meeting</w:t>
          </w:r>
        </w:p>
        <w:p w:rsidR="00F66189" w:rsidRPr="00B06F0A" w:rsidRDefault="00F66189" w:rsidP="002E02A6">
          <w:pPr>
            <w:pStyle w:val="Footer"/>
            <w:jc w:val="center"/>
            <w:rPr>
              <w:rFonts w:ascii="Verdana" w:hAnsi="Verdana"/>
              <w:b/>
              <w:sz w:val="18"/>
              <w:szCs w:val="18"/>
            </w:rPr>
          </w:pPr>
          <w:r>
            <w:rPr>
              <w:rFonts w:ascii="Verdana" w:hAnsi="Verdana"/>
              <w:b/>
              <w:sz w:val="18"/>
              <w:szCs w:val="18"/>
            </w:rPr>
            <w:t xml:space="preserve">                                     26 March 2020        </w:t>
          </w:r>
        </w:p>
        <w:p w:rsidR="00F66189" w:rsidRPr="00B06F0A" w:rsidRDefault="00F66189" w:rsidP="001553DD">
          <w:pPr>
            <w:pStyle w:val="Footer"/>
            <w:jc w:val="center"/>
            <w:rPr>
              <w:rFonts w:ascii="Verdana" w:hAnsi="Verdana"/>
              <w:b/>
              <w:sz w:val="18"/>
              <w:szCs w:val="18"/>
            </w:rPr>
          </w:pPr>
        </w:p>
      </w:tc>
    </w:tr>
  </w:tbl>
  <w:p w:rsidR="00F66189" w:rsidRPr="0043426F" w:rsidRDefault="00F66189" w:rsidP="00B06F0A">
    <w:pPr>
      <w:pStyle w:val="Footer"/>
      <w:rPr>
        <w:sz w:val="2"/>
        <w:szCs w:val="18"/>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66189" w:rsidRDefault="00F66189">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5799" w:type="dxa"/>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99"/>
      <w:gridCol w:w="4900"/>
      <w:gridCol w:w="6000"/>
    </w:tblGrid>
    <w:tr w:rsidR="00F66189" w:rsidRPr="00B06F0A" w:rsidTr="00D12824">
      <w:trPr>
        <w:trHeight w:val="435"/>
        <w:jc w:val="center"/>
      </w:trPr>
      <w:tc>
        <w:tcPr>
          <w:tcW w:w="4899" w:type="dxa"/>
          <w:tcBorders>
            <w:top w:val="single" w:sz="4" w:space="0" w:color="auto"/>
            <w:left w:val="nil"/>
            <w:bottom w:val="nil"/>
            <w:right w:val="nil"/>
          </w:tcBorders>
        </w:tcPr>
        <w:p w:rsidR="00F66189" w:rsidRPr="00B06F0A" w:rsidRDefault="00F66189" w:rsidP="00F55239">
          <w:pPr>
            <w:pStyle w:val="Footer"/>
            <w:rPr>
              <w:rFonts w:ascii="Verdana" w:hAnsi="Verdana"/>
              <w:b/>
              <w:sz w:val="18"/>
              <w:szCs w:val="18"/>
            </w:rPr>
          </w:pPr>
          <w:r>
            <w:rPr>
              <w:rFonts w:ascii="Verdana" w:hAnsi="Verdana"/>
              <w:b/>
              <w:sz w:val="18"/>
              <w:szCs w:val="18"/>
            </w:rPr>
            <w:t xml:space="preserve"> Month 11 Finance Update</w:t>
          </w:r>
        </w:p>
      </w:tc>
      <w:tc>
        <w:tcPr>
          <w:tcW w:w="4900" w:type="dxa"/>
          <w:tcBorders>
            <w:top w:val="single" w:sz="4" w:space="0" w:color="auto"/>
            <w:left w:val="nil"/>
            <w:bottom w:val="nil"/>
            <w:right w:val="nil"/>
          </w:tcBorders>
        </w:tcPr>
        <w:p w:rsidR="00F66189" w:rsidRPr="00B06F0A" w:rsidRDefault="00F66189" w:rsidP="00042C41">
          <w:pPr>
            <w:pStyle w:val="Footer"/>
            <w:ind w:left="1381"/>
            <w:rPr>
              <w:rFonts w:ascii="Verdana" w:hAnsi="Verdana"/>
              <w:b/>
              <w:sz w:val="18"/>
              <w:szCs w:val="18"/>
            </w:rPr>
          </w:pPr>
          <w:r w:rsidRPr="003F397C">
            <w:rPr>
              <w:rFonts w:ascii="Verdana" w:hAnsi="Verdana" w:cs="Arial"/>
              <w:b/>
              <w:sz w:val="18"/>
              <w:szCs w:val="18"/>
            </w:rPr>
            <w:t xml:space="preserve">Page </w:t>
          </w:r>
          <w:r>
            <w:rPr>
              <w:rFonts w:ascii="Verdana" w:hAnsi="Verdana" w:cs="Arial"/>
              <w:b/>
              <w:sz w:val="18"/>
              <w:szCs w:val="18"/>
            </w:rPr>
            <w:fldChar w:fldCharType="begin"/>
          </w:r>
          <w:r>
            <w:rPr>
              <w:rFonts w:ascii="Verdana" w:hAnsi="Verdana" w:cs="Arial"/>
              <w:b/>
              <w:sz w:val="18"/>
              <w:szCs w:val="18"/>
            </w:rPr>
            <w:instrText xml:space="preserve"> PAGE  </w:instrText>
          </w:r>
          <w:r>
            <w:rPr>
              <w:rFonts w:ascii="Verdana" w:hAnsi="Verdana" w:cs="Arial"/>
              <w:b/>
              <w:sz w:val="18"/>
              <w:szCs w:val="18"/>
            </w:rPr>
            <w:fldChar w:fldCharType="separate"/>
          </w:r>
          <w:r w:rsidR="00C54C29">
            <w:rPr>
              <w:rFonts w:ascii="Verdana" w:hAnsi="Verdana" w:cs="Arial"/>
              <w:b/>
              <w:noProof/>
              <w:sz w:val="18"/>
              <w:szCs w:val="18"/>
            </w:rPr>
            <w:t>3</w:t>
          </w:r>
          <w:r>
            <w:rPr>
              <w:rFonts w:ascii="Verdana" w:hAnsi="Verdana" w:cs="Arial"/>
              <w:b/>
              <w:sz w:val="18"/>
              <w:szCs w:val="18"/>
            </w:rPr>
            <w:fldChar w:fldCharType="end"/>
          </w:r>
          <w:r w:rsidRPr="003F397C">
            <w:rPr>
              <w:rFonts w:ascii="Verdana" w:hAnsi="Verdana" w:cs="Arial"/>
              <w:b/>
              <w:sz w:val="18"/>
              <w:szCs w:val="18"/>
            </w:rPr>
            <w:t xml:space="preserve"> of </w:t>
          </w:r>
          <w:r>
            <w:rPr>
              <w:rFonts w:ascii="Verdana" w:hAnsi="Verdana" w:cs="Arial"/>
              <w:b/>
              <w:sz w:val="18"/>
              <w:szCs w:val="18"/>
            </w:rPr>
            <w:fldChar w:fldCharType="begin"/>
          </w:r>
          <w:r>
            <w:rPr>
              <w:rFonts w:ascii="Verdana" w:hAnsi="Verdana" w:cs="Arial"/>
              <w:b/>
              <w:sz w:val="18"/>
              <w:szCs w:val="18"/>
            </w:rPr>
            <w:instrText xml:space="preserve"> NUMPAGES  </w:instrText>
          </w:r>
          <w:r>
            <w:rPr>
              <w:rFonts w:ascii="Verdana" w:hAnsi="Verdana" w:cs="Arial"/>
              <w:b/>
              <w:sz w:val="18"/>
              <w:szCs w:val="18"/>
            </w:rPr>
            <w:fldChar w:fldCharType="separate"/>
          </w:r>
          <w:r w:rsidR="00C54C29">
            <w:rPr>
              <w:rFonts w:ascii="Verdana" w:hAnsi="Verdana" w:cs="Arial"/>
              <w:b/>
              <w:noProof/>
              <w:sz w:val="18"/>
              <w:szCs w:val="18"/>
            </w:rPr>
            <w:t>3</w:t>
          </w:r>
          <w:r>
            <w:rPr>
              <w:rFonts w:ascii="Verdana" w:hAnsi="Verdana" w:cs="Arial"/>
              <w:b/>
              <w:sz w:val="18"/>
              <w:szCs w:val="18"/>
            </w:rPr>
            <w:fldChar w:fldCharType="end"/>
          </w:r>
        </w:p>
      </w:tc>
      <w:tc>
        <w:tcPr>
          <w:tcW w:w="6000" w:type="dxa"/>
          <w:tcBorders>
            <w:top w:val="single" w:sz="4" w:space="0" w:color="auto"/>
            <w:left w:val="nil"/>
            <w:bottom w:val="nil"/>
            <w:right w:val="nil"/>
          </w:tcBorders>
        </w:tcPr>
        <w:p w:rsidR="00F66189" w:rsidRDefault="00357EB1" w:rsidP="007B6599">
          <w:pPr>
            <w:pStyle w:val="Footer"/>
            <w:jc w:val="center"/>
            <w:rPr>
              <w:rFonts w:ascii="Verdana" w:hAnsi="Verdana"/>
              <w:b/>
              <w:sz w:val="18"/>
              <w:szCs w:val="18"/>
            </w:rPr>
          </w:pPr>
          <w:r>
            <w:rPr>
              <w:rFonts w:ascii="Verdana" w:hAnsi="Verdana"/>
              <w:b/>
              <w:sz w:val="18"/>
              <w:szCs w:val="18"/>
            </w:rPr>
            <w:t xml:space="preserve">                                                          </w:t>
          </w:r>
          <w:r w:rsidR="00F66189">
            <w:rPr>
              <w:rFonts w:ascii="Verdana" w:hAnsi="Verdana"/>
              <w:b/>
              <w:sz w:val="18"/>
              <w:szCs w:val="18"/>
            </w:rPr>
            <w:t>Health Board Meeting</w:t>
          </w:r>
        </w:p>
        <w:p w:rsidR="00F66189" w:rsidRPr="00B06F0A" w:rsidRDefault="00F66189" w:rsidP="007B6599">
          <w:pPr>
            <w:pStyle w:val="Footer"/>
            <w:jc w:val="center"/>
            <w:rPr>
              <w:rFonts w:ascii="Verdana" w:hAnsi="Verdana"/>
              <w:b/>
              <w:sz w:val="18"/>
              <w:szCs w:val="18"/>
            </w:rPr>
          </w:pPr>
          <w:r>
            <w:rPr>
              <w:rFonts w:ascii="Verdana" w:hAnsi="Verdana"/>
              <w:b/>
              <w:sz w:val="18"/>
              <w:szCs w:val="18"/>
            </w:rPr>
            <w:t xml:space="preserve">           </w:t>
          </w:r>
          <w:r w:rsidR="00357EB1">
            <w:rPr>
              <w:rFonts w:ascii="Verdana" w:hAnsi="Verdana"/>
              <w:b/>
              <w:sz w:val="18"/>
              <w:szCs w:val="18"/>
            </w:rPr>
            <w:t xml:space="preserve">                                                         </w:t>
          </w:r>
          <w:r>
            <w:rPr>
              <w:rFonts w:ascii="Verdana" w:hAnsi="Verdana"/>
              <w:b/>
              <w:sz w:val="18"/>
              <w:szCs w:val="18"/>
            </w:rPr>
            <w:t>26 March 2020</w:t>
          </w:r>
        </w:p>
      </w:tc>
    </w:tr>
  </w:tbl>
  <w:p w:rsidR="00F66189" w:rsidRPr="0043426F" w:rsidRDefault="00F66189" w:rsidP="00B06F0A">
    <w:pPr>
      <w:pStyle w:val="Footer"/>
      <w:rPr>
        <w:sz w:val="2"/>
        <w:szCs w:val="18"/>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9705" w:type="dxa"/>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39"/>
      <w:gridCol w:w="1922"/>
      <w:gridCol w:w="4244"/>
    </w:tblGrid>
    <w:tr w:rsidR="00F66189" w:rsidRPr="00B06F0A" w:rsidTr="00246F52">
      <w:trPr>
        <w:trHeight w:val="435"/>
        <w:jc w:val="center"/>
      </w:trPr>
      <w:tc>
        <w:tcPr>
          <w:tcW w:w="3539" w:type="dxa"/>
          <w:tcBorders>
            <w:top w:val="single" w:sz="4" w:space="0" w:color="auto"/>
            <w:left w:val="nil"/>
            <w:bottom w:val="nil"/>
            <w:right w:val="nil"/>
          </w:tcBorders>
        </w:tcPr>
        <w:p w:rsidR="00F66189" w:rsidRPr="00B06F0A" w:rsidRDefault="00F66189" w:rsidP="00D10FBB">
          <w:pPr>
            <w:pStyle w:val="Footer"/>
            <w:rPr>
              <w:rFonts w:ascii="Verdana" w:hAnsi="Verdana"/>
              <w:b/>
              <w:sz w:val="18"/>
              <w:szCs w:val="18"/>
            </w:rPr>
          </w:pPr>
        </w:p>
      </w:tc>
      <w:tc>
        <w:tcPr>
          <w:tcW w:w="1922" w:type="dxa"/>
          <w:tcBorders>
            <w:top w:val="single" w:sz="4" w:space="0" w:color="auto"/>
            <w:left w:val="nil"/>
            <w:bottom w:val="nil"/>
            <w:right w:val="nil"/>
          </w:tcBorders>
        </w:tcPr>
        <w:p w:rsidR="00F66189" w:rsidRPr="00B06F0A" w:rsidRDefault="00F66189" w:rsidP="00246F52">
          <w:pPr>
            <w:pStyle w:val="Footer"/>
            <w:jc w:val="center"/>
            <w:rPr>
              <w:rFonts w:ascii="Verdana" w:hAnsi="Verdana"/>
              <w:b/>
              <w:sz w:val="18"/>
              <w:szCs w:val="18"/>
            </w:rPr>
          </w:pPr>
          <w:r w:rsidRPr="003F397C">
            <w:rPr>
              <w:rFonts w:ascii="Verdana" w:hAnsi="Verdana" w:cs="Arial"/>
              <w:b/>
              <w:sz w:val="18"/>
              <w:szCs w:val="18"/>
            </w:rPr>
            <w:t xml:space="preserve">Page </w:t>
          </w:r>
          <w:r w:rsidRPr="003F397C">
            <w:rPr>
              <w:rFonts w:ascii="Verdana" w:hAnsi="Verdana" w:cs="Arial"/>
              <w:b/>
              <w:sz w:val="18"/>
              <w:szCs w:val="18"/>
            </w:rPr>
            <w:fldChar w:fldCharType="begin"/>
          </w:r>
          <w:r w:rsidRPr="003F397C">
            <w:rPr>
              <w:rFonts w:ascii="Verdana" w:hAnsi="Verdana" w:cs="Arial"/>
              <w:b/>
              <w:sz w:val="18"/>
              <w:szCs w:val="18"/>
            </w:rPr>
            <w:instrText xml:space="preserve"> PAGE </w:instrText>
          </w:r>
          <w:r w:rsidRPr="003F397C">
            <w:rPr>
              <w:rFonts w:ascii="Verdana" w:hAnsi="Verdana" w:cs="Arial"/>
              <w:b/>
              <w:sz w:val="18"/>
              <w:szCs w:val="18"/>
            </w:rPr>
            <w:fldChar w:fldCharType="separate"/>
          </w:r>
          <w:r>
            <w:rPr>
              <w:rFonts w:ascii="Verdana" w:hAnsi="Verdana" w:cs="Arial"/>
              <w:b/>
              <w:noProof/>
              <w:sz w:val="18"/>
              <w:szCs w:val="18"/>
            </w:rPr>
            <w:t>38</w:t>
          </w:r>
          <w:r w:rsidRPr="003F397C">
            <w:rPr>
              <w:rFonts w:ascii="Verdana" w:hAnsi="Verdana" w:cs="Arial"/>
              <w:b/>
              <w:sz w:val="18"/>
              <w:szCs w:val="18"/>
            </w:rPr>
            <w:fldChar w:fldCharType="end"/>
          </w:r>
          <w:r w:rsidRPr="003F397C">
            <w:rPr>
              <w:rFonts w:ascii="Verdana" w:hAnsi="Verdana" w:cs="Arial"/>
              <w:b/>
              <w:sz w:val="18"/>
              <w:szCs w:val="18"/>
            </w:rPr>
            <w:t xml:space="preserve"> of </w:t>
          </w:r>
          <w:r>
            <w:rPr>
              <w:rFonts w:ascii="Verdana" w:hAnsi="Verdana" w:cs="Arial"/>
              <w:b/>
              <w:sz w:val="18"/>
              <w:szCs w:val="18"/>
            </w:rPr>
            <w:fldChar w:fldCharType="begin"/>
          </w:r>
          <w:r>
            <w:rPr>
              <w:rFonts w:ascii="Verdana" w:hAnsi="Verdana" w:cs="Arial"/>
              <w:b/>
              <w:sz w:val="18"/>
              <w:szCs w:val="18"/>
            </w:rPr>
            <w:instrText xml:space="preserve"> NUMPAGES  </w:instrText>
          </w:r>
          <w:r>
            <w:rPr>
              <w:rFonts w:ascii="Verdana" w:hAnsi="Verdana" w:cs="Arial"/>
              <w:b/>
              <w:sz w:val="18"/>
              <w:szCs w:val="18"/>
            </w:rPr>
            <w:fldChar w:fldCharType="separate"/>
          </w:r>
          <w:r>
            <w:rPr>
              <w:rFonts w:ascii="Verdana" w:hAnsi="Verdana" w:cs="Arial"/>
              <w:b/>
              <w:noProof/>
              <w:sz w:val="18"/>
              <w:szCs w:val="18"/>
            </w:rPr>
            <w:t>38</w:t>
          </w:r>
          <w:r>
            <w:rPr>
              <w:rFonts w:ascii="Verdana" w:hAnsi="Verdana" w:cs="Arial"/>
              <w:b/>
              <w:sz w:val="18"/>
              <w:szCs w:val="18"/>
            </w:rPr>
            <w:fldChar w:fldCharType="end"/>
          </w:r>
        </w:p>
      </w:tc>
      <w:tc>
        <w:tcPr>
          <w:tcW w:w="4244" w:type="dxa"/>
          <w:tcBorders>
            <w:top w:val="single" w:sz="4" w:space="0" w:color="auto"/>
            <w:left w:val="nil"/>
            <w:bottom w:val="nil"/>
            <w:right w:val="nil"/>
          </w:tcBorders>
        </w:tcPr>
        <w:p w:rsidR="00F66189" w:rsidRPr="00B06F0A" w:rsidRDefault="00F66189" w:rsidP="00B267CB">
          <w:pPr>
            <w:pStyle w:val="Footer"/>
            <w:jc w:val="right"/>
            <w:rPr>
              <w:rFonts w:ascii="Verdana" w:hAnsi="Verdana"/>
              <w:b/>
              <w:sz w:val="18"/>
              <w:szCs w:val="18"/>
            </w:rPr>
          </w:pPr>
        </w:p>
      </w:tc>
    </w:tr>
  </w:tbl>
  <w:p w:rsidR="00F66189" w:rsidRPr="00A52BD3" w:rsidRDefault="00F66189" w:rsidP="00A52BD3">
    <w:pPr>
      <w:pStyle w:val="Footer"/>
      <w:rPr>
        <w:szCs w:val="1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66189" w:rsidRDefault="00F66189">
      <w:r>
        <w:separator/>
      </w:r>
    </w:p>
  </w:footnote>
  <w:footnote w:type="continuationSeparator" w:id="0">
    <w:p w:rsidR="00F66189" w:rsidRDefault="00F6618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66189" w:rsidRDefault="00F66189">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66189" w:rsidRDefault="00F66189" w:rsidP="00083B7F">
    <w:pPr>
      <w:pStyle w:val="Header"/>
      <w:jc w:val="center"/>
    </w:pPr>
    <w:r w:rsidRPr="00113DC0">
      <w:rPr>
        <w:rFonts w:asciiTheme="minorHAnsi" w:hAnsiTheme="minorHAnsi" w:cs="Segoe UI"/>
        <w:noProof/>
        <w:color w:val="444444"/>
        <w:sz w:val="22"/>
        <w:szCs w:val="22"/>
        <w:lang w:eastAsia="en-GB"/>
      </w:rPr>
      <w:drawing>
        <wp:inline distT="0" distB="0" distL="0" distR="0" wp14:anchorId="0B7E44E5" wp14:editId="0625C0C3">
          <wp:extent cx="2703443" cy="686193"/>
          <wp:effectExtent l="0" t="0" r="1905" b="0"/>
          <wp:docPr id="18" name="Picture 18"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66189" w:rsidRPr="00113DC0" w:rsidRDefault="00F66189" w:rsidP="00113DC0">
    <w:pPr>
      <w:pStyle w:val="Header"/>
      <w:jc w:val="center"/>
      <w:rPr>
        <w:rFonts w:asciiTheme="minorHAnsi" w:hAnsiTheme="minorHAnsi"/>
        <w:sz w:val="22"/>
        <w:szCs w:val="22"/>
      </w:rPr>
    </w:pPr>
    <w:r w:rsidRPr="00113DC0">
      <w:rPr>
        <w:rFonts w:asciiTheme="minorHAnsi" w:hAnsiTheme="minorHAnsi" w:cs="Segoe UI"/>
        <w:noProof/>
        <w:color w:val="444444"/>
        <w:sz w:val="22"/>
        <w:szCs w:val="22"/>
        <w:lang w:eastAsia="en-GB"/>
      </w:rPr>
      <w:drawing>
        <wp:inline distT="0" distB="0" distL="0" distR="0" wp14:anchorId="3DE3ACD6" wp14:editId="626A5825">
          <wp:extent cx="2703443" cy="686193"/>
          <wp:effectExtent l="0" t="0" r="1905" b="0"/>
          <wp:docPr id="17" name="Picture 17"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rsidR="00F66189" w:rsidRPr="00113DC0" w:rsidRDefault="00F66189">
    <w:pPr>
      <w:rPr>
        <w:sz w:val="22"/>
        <w:szCs w:val="2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66189" w:rsidRDefault="00F66189" w:rsidP="002E02A6">
    <w:pPr>
      <w:pStyle w:val="Header"/>
      <w:jc w:val="center"/>
    </w:pPr>
    <w:r w:rsidRPr="00113DC0">
      <w:rPr>
        <w:rFonts w:asciiTheme="minorHAnsi" w:hAnsiTheme="minorHAnsi" w:cs="Segoe UI"/>
        <w:noProof/>
        <w:color w:val="444444"/>
        <w:sz w:val="22"/>
        <w:szCs w:val="22"/>
        <w:lang w:eastAsia="en-GB"/>
      </w:rPr>
      <w:drawing>
        <wp:inline distT="0" distB="0" distL="0" distR="0" wp14:anchorId="633E6088" wp14:editId="6B0A3AB6">
          <wp:extent cx="2703443" cy="686193"/>
          <wp:effectExtent l="0" t="0" r="1905" b="0"/>
          <wp:docPr id="23" name="Picture 23"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D2493C"/>
    <w:multiLevelType w:val="hybridMultilevel"/>
    <w:tmpl w:val="4934A8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F531460"/>
    <w:multiLevelType w:val="hybridMultilevel"/>
    <w:tmpl w:val="A0EE36FA"/>
    <w:lvl w:ilvl="0" w:tplc="B1EAEF34">
      <w:start w:val="1"/>
      <w:numFmt w:val="lowerLetter"/>
      <w:lvlText w:val="%1."/>
      <w:lvlJc w:val="left"/>
      <w:pPr>
        <w:ind w:left="1069"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F736116"/>
    <w:multiLevelType w:val="hybridMultilevel"/>
    <w:tmpl w:val="47584D4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10F5334E"/>
    <w:multiLevelType w:val="multilevel"/>
    <w:tmpl w:val="459E4896"/>
    <w:lvl w:ilvl="0">
      <w:start w:val="2"/>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4" w15:restartNumberingAfterBreak="0">
    <w:nsid w:val="10FB1852"/>
    <w:multiLevelType w:val="hybridMultilevel"/>
    <w:tmpl w:val="958480C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13735571"/>
    <w:multiLevelType w:val="hybridMultilevel"/>
    <w:tmpl w:val="876A789E"/>
    <w:lvl w:ilvl="0" w:tplc="F5C888CC">
      <w:numFmt w:val="bullet"/>
      <w:lvlText w:val="-"/>
      <w:lvlJc w:val="left"/>
      <w:pPr>
        <w:ind w:left="786" w:hanging="360"/>
      </w:pPr>
      <w:rPr>
        <w:rFonts w:ascii="Verdana" w:eastAsia="Times New Roman" w:hAnsi="Verdana" w:cs="Tahoma" w:hint="default"/>
      </w:rPr>
    </w:lvl>
    <w:lvl w:ilvl="1" w:tplc="08090003">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6" w15:restartNumberingAfterBreak="0">
    <w:nsid w:val="1A043F7A"/>
    <w:multiLevelType w:val="multilevel"/>
    <w:tmpl w:val="EDC2AFF0"/>
    <w:lvl w:ilvl="0">
      <w:start w:val="3"/>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7" w15:restartNumberingAfterBreak="0">
    <w:nsid w:val="1B6C33F8"/>
    <w:multiLevelType w:val="hybridMultilevel"/>
    <w:tmpl w:val="288CC9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FBC3482"/>
    <w:multiLevelType w:val="hybridMultilevel"/>
    <w:tmpl w:val="D92E361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6B5308C"/>
    <w:multiLevelType w:val="hybridMultilevel"/>
    <w:tmpl w:val="4DF2A0F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92F2AFD"/>
    <w:multiLevelType w:val="hybridMultilevel"/>
    <w:tmpl w:val="D22C823C"/>
    <w:lvl w:ilvl="0" w:tplc="08090003">
      <w:start w:val="1"/>
      <w:numFmt w:val="bullet"/>
      <w:lvlText w:val="o"/>
      <w:lvlJc w:val="left"/>
      <w:pPr>
        <w:ind w:left="927" w:hanging="360"/>
      </w:pPr>
      <w:rPr>
        <w:rFonts w:ascii="Courier New" w:hAnsi="Courier New" w:cs="Courier New" w:hint="default"/>
      </w:rPr>
    </w:lvl>
    <w:lvl w:ilvl="1" w:tplc="0809000B">
      <w:start w:val="1"/>
      <w:numFmt w:val="bullet"/>
      <w:lvlText w:val=""/>
      <w:lvlJc w:val="left"/>
      <w:pPr>
        <w:ind w:left="1647" w:hanging="360"/>
      </w:pPr>
      <w:rPr>
        <w:rFonts w:ascii="Wingdings" w:hAnsi="Wingdings"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1" w15:restartNumberingAfterBreak="0">
    <w:nsid w:val="2AC7617F"/>
    <w:multiLevelType w:val="hybridMultilevel"/>
    <w:tmpl w:val="42E25A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EF362DE"/>
    <w:multiLevelType w:val="hybridMultilevel"/>
    <w:tmpl w:val="ACF01D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1170109"/>
    <w:multiLevelType w:val="hybridMultilevel"/>
    <w:tmpl w:val="B62426F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34D226B5"/>
    <w:multiLevelType w:val="hybridMultilevel"/>
    <w:tmpl w:val="C76062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5A82DAB"/>
    <w:multiLevelType w:val="hybridMultilevel"/>
    <w:tmpl w:val="59CEB3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97F0438"/>
    <w:multiLevelType w:val="multilevel"/>
    <w:tmpl w:val="6652B29C"/>
    <w:lvl w:ilvl="0">
      <w:start w:val="1"/>
      <w:numFmt w:val="decimal"/>
      <w:lvlText w:val="%1."/>
      <w:lvlJc w:val="left"/>
      <w:pPr>
        <w:ind w:left="360" w:hanging="360"/>
      </w:p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17" w15:restartNumberingAfterBreak="0">
    <w:nsid w:val="3A702757"/>
    <w:multiLevelType w:val="hybridMultilevel"/>
    <w:tmpl w:val="7E6C5A80"/>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F9876B5"/>
    <w:multiLevelType w:val="hybridMultilevel"/>
    <w:tmpl w:val="DA684DDA"/>
    <w:lvl w:ilvl="0" w:tplc="15BC5400">
      <w:start w:val="805"/>
      <w:numFmt w:val="bullet"/>
      <w:lvlText w:val="-"/>
      <w:lvlJc w:val="left"/>
      <w:pPr>
        <w:ind w:left="1069" w:hanging="360"/>
      </w:pPr>
      <w:rPr>
        <w:rFonts w:ascii="Verdana" w:eastAsia="Times New Roman" w:hAnsi="Verdana"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9" w15:restartNumberingAfterBreak="0">
    <w:nsid w:val="3FC65B99"/>
    <w:multiLevelType w:val="hybridMultilevel"/>
    <w:tmpl w:val="D34CBDA0"/>
    <w:lvl w:ilvl="0" w:tplc="3A0A11F8">
      <w:start w:val="472"/>
      <w:numFmt w:val="bullet"/>
      <w:lvlText w:val="-"/>
      <w:lvlJc w:val="left"/>
      <w:pPr>
        <w:ind w:left="1080" w:hanging="360"/>
      </w:pPr>
      <w:rPr>
        <w:rFonts w:ascii="Verdana" w:eastAsia="Times New Roman" w:hAnsi="Verdana" w:cs="Tahoma"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40280281"/>
    <w:multiLevelType w:val="hybridMultilevel"/>
    <w:tmpl w:val="432EB556"/>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778"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15:restartNumberingAfterBreak="0">
    <w:nsid w:val="4B1B1081"/>
    <w:multiLevelType w:val="hybridMultilevel"/>
    <w:tmpl w:val="2B4097C2"/>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51D81F51"/>
    <w:multiLevelType w:val="hybridMultilevel"/>
    <w:tmpl w:val="93F22FF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5B9654C"/>
    <w:multiLevelType w:val="hybridMultilevel"/>
    <w:tmpl w:val="0E2C0F8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15:restartNumberingAfterBreak="0">
    <w:nsid w:val="5CD93017"/>
    <w:multiLevelType w:val="hybridMultilevel"/>
    <w:tmpl w:val="135C11FA"/>
    <w:lvl w:ilvl="0" w:tplc="2DA4682E">
      <w:start w:val="19"/>
      <w:numFmt w:val="bullet"/>
      <w:lvlText w:val="-"/>
      <w:lvlJc w:val="left"/>
      <w:pPr>
        <w:ind w:left="786" w:hanging="360"/>
      </w:pPr>
      <w:rPr>
        <w:rFonts w:ascii="Verdana" w:eastAsia="Times New Roman" w:hAnsi="Verdana" w:cs="Times New Roman" w:hint="default"/>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25" w15:restartNumberingAfterBreak="0">
    <w:nsid w:val="5E971E1C"/>
    <w:multiLevelType w:val="hybridMultilevel"/>
    <w:tmpl w:val="299E17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2646C87"/>
    <w:multiLevelType w:val="hybridMultilevel"/>
    <w:tmpl w:val="ACFE10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46E2E2A"/>
    <w:multiLevelType w:val="hybridMultilevel"/>
    <w:tmpl w:val="A99AE200"/>
    <w:lvl w:ilvl="0" w:tplc="D1AAE848">
      <w:start w:val="2"/>
      <w:numFmt w:val="bullet"/>
      <w:lvlText w:val="-"/>
      <w:lvlJc w:val="left"/>
      <w:pPr>
        <w:ind w:left="1080" w:hanging="360"/>
      </w:pPr>
      <w:rPr>
        <w:rFonts w:ascii="Verdana" w:eastAsia="Times New Roman" w:hAnsi="Verdana" w:cs="Tahoma"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8" w15:restartNumberingAfterBreak="0">
    <w:nsid w:val="64C770F3"/>
    <w:multiLevelType w:val="hybridMultilevel"/>
    <w:tmpl w:val="C840EC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64F26101"/>
    <w:multiLevelType w:val="hybridMultilevel"/>
    <w:tmpl w:val="68E2271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0" w15:restartNumberingAfterBreak="0">
    <w:nsid w:val="66A646CD"/>
    <w:multiLevelType w:val="hybridMultilevel"/>
    <w:tmpl w:val="CFFA5ABC"/>
    <w:lvl w:ilvl="0" w:tplc="15BC5400">
      <w:start w:val="805"/>
      <w:numFmt w:val="bullet"/>
      <w:lvlText w:val="-"/>
      <w:lvlJc w:val="left"/>
      <w:pPr>
        <w:ind w:left="720" w:hanging="360"/>
      </w:pPr>
      <w:rPr>
        <w:rFonts w:ascii="Verdana" w:eastAsia="Times New Roman" w:hAnsi="Verdana"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78A6932"/>
    <w:multiLevelType w:val="hybridMultilevel"/>
    <w:tmpl w:val="433823D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15:restartNumberingAfterBreak="0">
    <w:nsid w:val="67903AAA"/>
    <w:multiLevelType w:val="hybridMultilevel"/>
    <w:tmpl w:val="79181A78"/>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3" w15:restartNumberingAfterBreak="0">
    <w:nsid w:val="6B8A5C4C"/>
    <w:multiLevelType w:val="hybridMultilevel"/>
    <w:tmpl w:val="27BE0A7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4" w15:restartNumberingAfterBreak="0">
    <w:nsid w:val="6E0052C3"/>
    <w:multiLevelType w:val="hybridMultilevel"/>
    <w:tmpl w:val="9BAEDC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75A7FF1"/>
    <w:multiLevelType w:val="hybridMultilevel"/>
    <w:tmpl w:val="9796C4F0"/>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36" w15:restartNumberingAfterBreak="0">
    <w:nsid w:val="77967B94"/>
    <w:multiLevelType w:val="hybridMultilevel"/>
    <w:tmpl w:val="09CC220A"/>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6"/>
  </w:num>
  <w:num w:numId="2">
    <w:abstractNumId w:val="31"/>
  </w:num>
  <w:num w:numId="3">
    <w:abstractNumId w:val="16"/>
  </w:num>
  <w:num w:numId="4">
    <w:abstractNumId w:val="21"/>
  </w:num>
  <w:num w:numId="5">
    <w:abstractNumId w:val="25"/>
  </w:num>
  <w:num w:numId="6">
    <w:abstractNumId w:val="0"/>
  </w:num>
  <w:num w:numId="7">
    <w:abstractNumId w:val="22"/>
  </w:num>
  <w:num w:numId="8">
    <w:abstractNumId w:val="8"/>
  </w:num>
  <w:num w:numId="9">
    <w:abstractNumId w:val="32"/>
  </w:num>
  <w:num w:numId="10">
    <w:abstractNumId w:val="9"/>
  </w:num>
  <w:num w:numId="11">
    <w:abstractNumId w:val="4"/>
  </w:num>
  <w:num w:numId="12">
    <w:abstractNumId w:val="20"/>
  </w:num>
  <w:num w:numId="13">
    <w:abstractNumId w:val="18"/>
  </w:num>
  <w:num w:numId="14">
    <w:abstractNumId w:val="5"/>
  </w:num>
  <w:num w:numId="15">
    <w:abstractNumId w:val="7"/>
  </w:num>
  <w:num w:numId="16">
    <w:abstractNumId w:val="17"/>
  </w:num>
  <w:num w:numId="17">
    <w:abstractNumId w:val="11"/>
  </w:num>
  <w:num w:numId="18">
    <w:abstractNumId w:val="34"/>
  </w:num>
  <w:num w:numId="19">
    <w:abstractNumId w:val="15"/>
  </w:num>
  <w:num w:numId="20">
    <w:abstractNumId w:val="14"/>
  </w:num>
  <w:num w:numId="21">
    <w:abstractNumId w:val="13"/>
  </w:num>
  <w:num w:numId="22">
    <w:abstractNumId w:val="24"/>
  </w:num>
  <w:num w:numId="23">
    <w:abstractNumId w:val="33"/>
  </w:num>
  <w:num w:numId="24">
    <w:abstractNumId w:val="23"/>
  </w:num>
  <w:num w:numId="25">
    <w:abstractNumId w:val="12"/>
  </w:num>
  <w:num w:numId="26">
    <w:abstractNumId w:val="26"/>
  </w:num>
  <w:num w:numId="27">
    <w:abstractNumId w:val="2"/>
  </w:num>
  <w:num w:numId="28">
    <w:abstractNumId w:val="28"/>
  </w:num>
  <w:num w:numId="29">
    <w:abstractNumId w:val="30"/>
  </w:num>
  <w:num w:numId="30">
    <w:abstractNumId w:val="27"/>
  </w:num>
  <w:num w:numId="31">
    <w:abstractNumId w:val="10"/>
  </w:num>
  <w:num w:numId="32">
    <w:abstractNumId w:val="1"/>
  </w:num>
  <w:num w:numId="33">
    <w:abstractNumId w:val="3"/>
  </w:num>
  <w:num w:numId="34">
    <w:abstractNumId w:val="6"/>
  </w:num>
  <w:num w:numId="35">
    <w:abstractNumId w:val="29"/>
  </w:num>
  <w:num w:numId="36">
    <w:abstractNumId w:val="19"/>
  </w:num>
  <w:num w:numId="37">
    <w:abstractNumId w:val="35"/>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40"/>
  <w:displayHorizontalDrawingGridEvery w:val="2"/>
  <w:noPunctuationKerning/>
  <w:characterSpacingControl w:val="doNotCompress"/>
  <w:hdrShapeDefaults>
    <o:shapedefaults v:ext="edit" spidmax="34817" style="mso-height-percent:200;mso-width-relative:margin;mso-height-relative:margin" fillcolor="white">
      <v:fill color="white"/>
      <v:textbox style="mso-fit-shape-to-text:t"/>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3B3F"/>
    <w:rsid w:val="0000036E"/>
    <w:rsid w:val="000009FC"/>
    <w:rsid w:val="000012D2"/>
    <w:rsid w:val="0000134E"/>
    <w:rsid w:val="00001E2C"/>
    <w:rsid w:val="00001FC6"/>
    <w:rsid w:val="00002068"/>
    <w:rsid w:val="00002871"/>
    <w:rsid w:val="00002ACA"/>
    <w:rsid w:val="00002EC9"/>
    <w:rsid w:val="00003341"/>
    <w:rsid w:val="00003998"/>
    <w:rsid w:val="000039DC"/>
    <w:rsid w:val="00003B15"/>
    <w:rsid w:val="00004332"/>
    <w:rsid w:val="0000467F"/>
    <w:rsid w:val="000047C5"/>
    <w:rsid w:val="00005328"/>
    <w:rsid w:val="000059DD"/>
    <w:rsid w:val="00005A14"/>
    <w:rsid w:val="00005DBC"/>
    <w:rsid w:val="00005E48"/>
    <w:rsid w:val="00005F05"/>
    <w:rsid w:val="0000655F"/>
    <w:rsid w:val="00006864"/>
    <w:rsid w:val="00006AD5"/>
    <w:rsid w:val="000070F7"/>
    <w:rsid w:val="00007AC5"/>
    <w:rsid w:val="00007E4A"/>
    <w:rsid w:val="000103FC"/>
    <w:rsid w:val="00010DB4"/>
    <w:rsid w:val="00011028"/>
    <w:rsid w:val="00011487"/>
    <w:rsid w:val="000116DE"/>
    <w:rsid w:val="0001187A"/>
    <w:rsid w:val="000119CB"/>
    <w:rsid w:val="00011BB3"/>
    <w:rsid w:val="00012F5F"/>
    <w:rsid w:val="00012FD7"/>
    <w:rsid w:val="0001382E"/>
    <w:rsid w:val="00013AD8"/>
    <w:rsid w:val="00013FAB"/>
    <w:rsid w:val="000144F5"/>
    <w:rsid w:val="0001475E"/>
    <w:rsid w:val="00014A2C"/>
    <w:rsid w:val="000150B6"/>
    <w:rsid w:val="000151B4"/>
    <w:rsid w:val="000151F2"/>
    <w:rsid w:val="00016629"/>
    <w:rsid w:val="000172BB"/>
    <w:rsid w:val="000176C4"/>
    <w:rsid w:val="00017786"/>
    <w:rsid w:val="000177AD"/>
    <w:rsid w:val="000179BD"/>
    <w:rsid w:val="00020478"/>
    <w:rsid w:val="0002059E"/>
    <w:rsid w:val="00020A4C"/>
    <w:rsid w:val="00020CF5"/>
    <w:rsid w:val="00020FFF"/>
    <w:rsid w:val="000211E1"/>
    <w:rsid w:val="000218E8"/>
    <w:rsid w:val="00021911"/>
    <w:rsid w:val="00021A3E"/>
    <w:rsid w:val="00021CC9"/>
    <w:rsid w:val="00021DD3"/>
    <w:rsid w:val="00022018"/>
    <w:rsid w:val="00022048"/>
    <w:rsid w:val="00022197"/>
    <w:rsid w:val="00022665"/>
    <w:rsid w:val="00022A77"/>
    <w:rsid w:val="00022D89"/>
    <w:rsid w:val="0002304B"/>
    <w:rsid w:val="00023259"/>
    <w:rsid w:val="0002376B"/>
    <w:rsid w:val="00023E70"/>
    <w:rsid w:val="0002416A"/>
    <w:rsid w:val="00024403"/>
    <w:rsid w:val="000247C2"/>
    <w:rsid w:val="000252C2"/>
    <w:rsid w:val="0002585A"/>
    <w:rsid w:val="00025CDD"/>
    <w:rsid w:val="0002612F"/>
    <w:rsid w:val="0002636C"/>
    <w:rsid w:val="000263C5"/>
    <w:rsid w:val="00026515"/>
    <w:rsid w:val="000265DE"/>
    <w:rsid w:val="00026A14"/>
    <w:rsid w:val="00026F0E"/>
    <w:rsid w:val="00027102"/>
    <w:rsid w:val="00027912"/>
    <w:rsid w:val="00027A73"/>
    <w:rsid w:val="00027A82"/>
    <w:rsid w:val="00027DFD"/>
    <w:rsid w:val="00030892"/>
    <w:rsid w:val="00030B0F"/>
    <w:rsid w:val="00030EC8"/>
    <w:rsid w:val="00031E12"/>
    <w:rsid w:val="00032064"/>
    <w:rsid w:val="00032345"/>
    <w:rsid w:val="0003279C"/>
    <w:rsid w:val="00032B0E"/>
    <w:rsid w:val="000334C0"/>
    <w:rsid w:val="00033E97"/>
    <w:rsid w:val="000340FC"/>
    <w:rsid w:val="00034409"/>
    <w:rsid w:val="00034B52"/>
    <w:rsid w:val="000352CE"/>
    <w:rsid w:val="000358F4"/>
    <w:rsid w:val="00035ADC"/>
    <w:rsid w:val="000360CE"/>
    <w:rsid w:val="000362A2"/>
    <w:rsid w:val="000364C6"/>
    <w:rsid w:val="00036508"/>
    <w:rsid w:val="0003662E"/>
    <w:rsid w:val="0003736D"/>
    <w:rsid w:val="000373C9"/>
    <w:rsid w:val="00037FF5"/>
    <w:rsid w:val="00040298"/>
    <w:rsid w:val="000408B0"/>
    <w:rsid w:val="00040AE7"/>
    <w:rsid w:val="00041145"/>
    <w:rsid w:val="0004171A"/>
    <w:rsid w:val="0004204A"/>
    <w:rsid w:val="0004233E"/>
    <w:rsid w:val="000423C2"/>
    <w:rsid w:val="00042A6B"/>
    <w:rsid w:val="00042C41"/>
    <w:rsid w:val="000431C1"/>
    <w:rsid w:val="00043839"/>
    <w:rsid w:val="000438DF"/>
    <w:rsid w:val="000440A7"/>
    <w:rsid w:val="000441B1"/>
    <w:rsid w:val="00044990"/>
    <w:rsid w:val="00044F4D"/>
    <w:rsid w:val="00044FAC"/>
    <w:rsid w:val="00045E0E"/>
    <w:rsid w:val="00046338"/>
    <w:rsid w:val="00046406"/>
    <w:rsid w:val="000464F4"/>
    <w:rsid w:val="00046D95"/>
    <w:rsid w:val="000473D2"/>
    <w:rsid w:val="00047599"/>
    <w:rsid w:val="00047AC8"/>
    <w:rsid w:val="00047B80"/>
    <w:rsid w:val="00047BF5"/>
    <w:rsid w:val="00047F43"/>
    <w:rsid w:val="000501F8"/>
    <w:rsid w:val="000502EB"/>
    <w:rsid w:val="0005049A"/>
    <w:rsid w:val="0005084F"/>
    <w:rsid w:val="00050B99"/>
    <w:rsid w:val="00050C06"/>
    <w:rsid w:val="00051957"/>
    <w:rsid w:val="000519E4"/>
    <w:rsid w:val="00051B19"/>
    <w:rsid w:val="00052ADC"/>
    <w:rsid w:val="00052C20"/>
    <w:rsid w:val="000534CC"/>
    <w:rsid w:val="00054437"/>
    <w:rsid w:val="00054497"/>
    <w:rsid w:val="0005454C"/>
    <w:rsid w:val="0005475C"/>
    <w:rsid w:val="000547C6"/>
    <w:rsid w:val="00054A82"/>
    <w:rsid w:val="0005549A"/>
    <w:rsid w:val="000554FF"/>
    <w:rsid w:val="000557B2"/>
    <w:rsid w:val="00055873"/>
    <w:rsid w:val="000558EB"/>
    <w:rsid w:val="00056A4B"/>
    <w:rsid w:val="00057519"/>
    <w:rsid w:val="00057645"/>
    <w:rsid w:val="0005778B"/>
    <w:rsid w:val="00057DCD"/>
    <w:rsid w:val="00060B6C"/>
    <w:rsid w:val="0006126D"/>
    <w:rsid w:val="00061542"/>
    <w:rsid w:val="00061A9E"/>
    <w:rsid w:val="000620ED"/>
    <w:rsid w:val="000621AF"/>
    <w:rsid w:val="0006227D"/>
    <w:rsid w:val="00062CA6"/>
    <w:rsid w:val="000633FC"/>
    <w:rsid w:val="00063431"/>
    <w:rsid w:val="00063533"/>
    <w:rsid w:val="000638C8"/>
    <w:rsid w:val="00063D4F"/>
    <w:rsid w:val="00063E6B"/>
    <w:rsid w:val="000644FE"/>
    <w:rsid w:val="00064706"/>
    <w:rsid w:val="00064A03"/>
    <w:rsid w:val="00065255"/>
    <w:rsid w:val="00066494"/>
    <w:rsid w:val="00066EA5"/>
    <w:rsid w:val="00066F78"/>
    <w:rsid w:val="000676C8"/>
    <w:rsid w:val="00067997"/>
    <w:rsid w:val="00067A1C"/>
    <w:rsid w:val="000709F4"/>
    <w:rsid w:val="00070B2C"/>
    <w:rsid w:val="00070CA0"/>
    <w:rsid w:val="0007169A"/>
    <w:rsid w:val="000735C3"/>
    <w:rsid w:val="00073675"/>
    <w:rsid w:val="00073ECC"/>
    <w:rsid w:val="00074168"/>
    <w:rsid w:val="00074991"/>
    <w:rsid w:val="0007503E"/>
    <w:rsid w:val="0007573D"/>
    <w:rsid w:val="00075A83"/>
    <w:rsid w:val="000763CA"/>
    <w:rsid w:val="0007649D"/>
    <w:rsid w:val="000764B6"/>
    <w:rsid w:val="0007670B"/>
    <w:rsid w:val="00076832"/>
    <w:rsid w:val="000770A5"/>
    <w:rsid w:val="00077765"/>
    <w:rsid w:val="000801CF"/>
    <w:rsid w:val="00080735"/>
    <w:rsid w:val="00080898"/>
    <w:rsid w:val="00082430"/>
    <w:rsid w:val="00083A12"/>
    <w:rsid w:val="00083B7F"/>
    <w:rsid w:val="00083FB8"/>
    <w:rsid w:val="0008429F"/>
    <w:rsid w:val="000848AE"/>
    <w:rsid w:val="00084CA8"/>
    <w:rsid w:val="00085E5E"/>
    <w:rsid w:val="00086324"/>
    <w:rsid w:val="000863F2"/>
    <w:rsid w:val="00086BC1"/>
    <w:rsid w:val="00086EA7"/>
    <w:rsid w:val="00087069"/>
    <w:rsid w:val="00087C81"/>
    <w:rsid w:val="00090831"/>
    <w:rsid w:val="000908BB"/>
    <w:rsid w:val="00090B6E"/>
    <w:rsid w:val="00090BFF"/>
    <w:rsid w:val="00090CFE"/>
    <w:rsid w:val="00090E6B"/>
    <w:rsid w:val="0009172D"/>
    <w:rsid w:val="00091E29"/>
    <w:rsid w:val="000921C4"/>
    <w:rsid w:val="00092255"/>
    <w:rsid w:val="00092E20"/>
    <w:rsid w:val="0009390D"/>
    <w:rsid w:val="0009486C"/>
    <w:rsid w:val="0009545E"/>
    <w:rsid w:val="0009551C"/>
    <w:rsid w:val="000957BB"/>
    <w:rsid w:val="000957E4"/>
    <w:rsid w:val="00095A20"/>
    <w:rsid w:val="00096125"/>
    <w:rsid w:val="00096C63"/>
    <w:rsid w:val="00097B94"/>
    <w:rsid w:val="00097BE2"/>
    <w:rsid w:val="000A0489"/>
    <w:rsid w:val="000A0610"/>
    <w:rsid w:val="000A0693"/>
    <w:rsid w:val="000A1146"/>
    <w:rsid w:val="000A1DD9"/>
    <w:rsid w:val="000A2B34"/>
    <w:rsid w:val="000A2D61"/>
    <w:rsid w:val="000A2EEF"/>
    <w:rsid w:val="000A31FC"/>
    <w:rsid w:val="000A3B74"/>
    <w:rsid w:val="000A3E9C"/>
    <w:rsid w:val="000A4569"/>
    <w:rsid w:val="000A4842"/>
    <w:rsid w:val="000A4B35"/>
    <w:rsid w:val="000A4CBB"/>
    <w:rsid w:val="000A55D5"/>
    <w:rsid w:val="000A5D57"/>
    <w:rsid w:val="000A5EC3"/>
    <w:rsid w:val="000A62FD"/>
    <w:rsid w:val="000A6642"/>
    <w:rsid w:val="000A7402"/>
    <w:rsid w:val="000A7439"/>
    <w:rsid w:val="000A7469"/>
    <w:rsid w:val="000A753C"/>
    <w:rsid w:val="000A7565"/>
    <w:rsid w:val="000A7B09"/>
    <w:rsid w:val="000A7EEA"/>
    <w:rsid w:val="000B0A99"/>
    <w:rsid w:val="000B11C1"/>
    <w:rsid w:val="000B25E3"/>
    <w:rsid w:val="000B2890"/>
    <w:rsid w:val="000B28AE"/>
    <w:rsid w:val="000B2AFB"/>
    <w:rsid w:val="000B3817"/>
    <w:rsid w:val="000B3866"/>
    <w:rsid w:val="000B3C1A"/>
    <w:rsid w:val="000B3D8B"/>
    <w:rsid w:val="000B3F51"/>
    <w:rsid w:val="000B4182"/>
    <w:rsid w:val="000B4188"/>
    <w:rsid w:val="000B41D4"/>
    <w:rsid w:val="000B4B46"/>
    <w:rsid w:val="000B4D36"/>
    <w:rsid w:val="000B4E1B"/>
    <w:rsid w:val="000B4E3E"/>
    <w:rsid w:val="000B5A6B"/>
    <w:rsid w:val="000B5CE8"/>
    <w:rsid w:val="000B6069"/>
    <w:rsid w:val="000B6132"/>
    <w:rsid w:val="000B616C"/>
    <w:rsid w:val="000B62EA"/>
    <w:rsid w:val="000B68C1"/>
    <w:rsid w:val="000B68FD"/>
    <w:rsid w:val="000B7680"/>
    <w:rsid w:val="000B7EE7"/>
    <w:rsid w:val="000C0171"/>
    <w:rsid w:val="000C01E4"/>
    <w:rsid w:val="000C07AC"/>
    <w:rsid w:val="000C0982"/>
    <w:rsid w:val="000C0F1F"/>
    <w:rsid w:val="000C0F59"/>
    <w:rsid w:val="000C1A1B"/>
    <w:rsid w:val="000C1AD0"/>
    <w:rsid w:val="000C2B0D"/>
    <w:rsid w:val="000C2C9F"/>
    <w:rsid w:val="000C31C3"/>
    <w:rsid w:val="000C32D5"/>
    <w:rsid w:val="000C35BF"/>
    <w:rsid w:val="000C3ADB"/>
    <w:rsid w:val="000C3B76"/>
    <w:rsid w:val="000C3FF8"/>
    <w:rsid w:val="000C422A"/>
    <w:rsid w:val="000C4441"/>
    <w:rsid w:val="000C4B05"/>
    <w:rsid w:val="000C4E56"/>
    <w:rsid w:val="000C5749"/>
    <w:rsid w:val="000C61D9"/>
    <w:rsid w:val="000C6227"/>
    <w:rsid w:val="000C6B0A"/>
    <w:rsid w:val="000C6D6D"/>
    <w:rsid w:val="000C74D0"/>
    <w:rsid w:val="000C783C"/>
    <w:rsid w:val="000C7F67"/>
    <w:rsid w:val="000D031C"/>
    <w:rsid w:val="000D0C80"/>
    <w:rsid w:val="000D0E11"/>
    <w:rsid w:val="000D24DC"/>
    <w:rsid w:val="000D255C"/>
    <w:rsid w:val="000D26C8"/>
    <w:rsid w:val="000D2D91"/>
    <w:rsid w:val="000D2F6F"/>
    <w:rsid w:val="000D36D5"/>
    <w:rsid w:val="000D4832"/>
    <w:rsid w:val="000D49EF"/>
    <w:rsid w:val="000D4A77"/>
    <w:rsid w:val="000D4D10"/>
    <w:rsid w:val="000D4D2A"/>
    <w:rsid w:val="000D5309"/>
    <w:rsid w:val="000D548A"/>
    <w:rsid w:val="000D55A5"/>
    <w:rsid w:val="000D5A20"/>
    <w:rsid w:val="000D5A86"/>
    <w:rsid w:val="000D5E16"/>
    <w:rsid w:val="000D6072"/>
    <w:rsid w:val="000D68E8"/>
    <w:rsid w:val="000D6BB8"/>
    <w:rsid w:val="000D7B0E"/>
    <w:rsid w:val="000E038F"/>
    <w:rsid w:val="000E04C3"/>
    <w:rsid w:val="000E050C"/>
    <w:rsid w:val="000E0B8A"/>
    <w:rsid w:val="000E0E79"/>
    <w:rsid w:val="000E1946"/>
    <w:rsid w:val="000E1B4A"/>
    <w:rsid w:val="000E1C8A"/>
    <w:rsid w:val="000E1DDD"/>
    <w:rsid w:val="000E2641"/>
    <w:rsid w:val="000E271F"/>
    <w:rsid w:val="000E2AEF"/>
    <w:rsid w:val="000E3563"/>
    <w:rsid w:val="000E3760"/>
    <w:rsid w:val="000E4950"/>
    <w:rsid w:val="000E4B7E"/>
    <w:rsid w:val="000E5031"/>
    <w:rsid w:val="000E50C6"/>
    <w:rsid w:val="000E57A9"/>
    <w:rsid w:val="000E5868"/>
    <w:rsid w:val="000E6835"/>
    <w:rsid w:val="000E6C66"/>
    <w:rsid w:val="000E6DC0"/>
    <w:rsid w:val="000E7036"/>
    <w:rsid w:val="000E7211"/>
    <w:rsid w:val="000E7AF7"/>
    <w:rsid w:val="000F006E"/>
    <w:rsid w:val="000F0771"/>
    <w:rsid w:val="000F0ADC"/>
    <w:rsid w:val="000F162F"/>
    <w:rsid w:val="000F1B6D"/>
    <w:rsid w:val="000F1F99"/>
    <w:rsid w:val="000F209E"/>
    <w:rsid w:val="000F30CC"/>
    <w:rsid w:val="000F3492"/>
    <w:rsid w:val="000F3926"/>
    <w:rsid w:val="000F3A8B"/>
    <w:rsid w:val="000F3ABC"/>
    <w:rsid w:val="000F3E39"/>
    <w:rsid w:val="000F41BE"/>
    <w:rsid w:val="000F5009"/>
    <w:rsid w:val="000F5277"/>
    <w:rsid w:val="000F56A9"/>
    <w:rsid w:val="000F60C1"/>
    <w:rsid w:val="000F65F6"/>
    <w:rsid w:val="000F730D"/>
    <w:rsid w:val="000F73E0"/>
    <w:rsid w:val="000F793B"/>
    <w:rsid w:val="000F7B81"/>
    <w:rsid w:val="000F7BE1"/>
    <w:rsid w:val="001007A2"/>
    <w:rsid w:val="00101761"/>
    <w:rsid w:val="001017C9"/>
    <w:rsid w:val="00101897"/>
    <w:rsid w:val="001024C8"/>
    <w:rsid w:val="00102708"/>
    <w:rsid w:val="001029C7"/>
    <w:rsid w:val="00102E01"/>
    <w:rsid w:val="00103395"/>
    <w:rsid w:val="00103A09"/>
    <w:rsid w:val="00103F69"/>
    <w:rsid w:val="001043E3"/>
    <w:rsid w:val="00104702"/>
    <w:rsid w:val="00104D3E"/>
    <w:rsid w:val="00105120"/>
    <w:rsid w:val="00105476"/>
    <w:rsid w:val="001054E5"/>
    <w:rsid w:val="00106295"/>
    <w:rsid w:val="001068E4"/>
    <w:rsid w:val="00106A52"/>
    <w:rsid w:val="00106B79"/>
    <w:rsid w:val="00106FED"/>
    <w:rsid w:val="001071B7"/>
    <w:rsid w:val="00107357"/>
    <w:rsid w:val="001078A8"/>
    <w:rsid w:val="00107B9F"/>
    <w:rsid w:val="00107BCF"/>
    <w:rsid w:val="001101C5"/>
    <w:rsid w:val="00110E06"/>
    <w:rsid w:val="00110ED9"/>
    <w:rsid w:val="00110EE9"/>
    <w:rsid w:val="001113FC"/>
    <w:rsid w:val="00111985"/>
    <w:rsid w:val="001119A0"/>
    <w:rsid w:val="00111EF4"/>
    <w:rsid w:val="00111F90"/>
    <w:rsid w:val="00112AB3"/>
    <w:rsid w:val="00112C9B"/>
    <w:rsid w:val="00113595"/>
    <w:rsid w:val="00113659"/>
    <w:rsid w:val="0011386D"/>
    <w:rsid w:val="00113BCC"/>
    <w:rsid w:val="00113BCF"/>
    <w:rsid w:val="00113DC0"/>
    <w:rsid w:val="00114433"/>
    <w:rsid w:val="001149CF"/>
    <w:rsid w:val="00114B70"/>
    <w:rsid w:val="00114BF4"/>
    <w:rsid w:val="001153CA"/>
    <w:rsid w:val="001159F6"/>
    <w:rsid w:val="00115C86"/>
    <w:rsid w:val="0011604A"/>
    <w:rsid w:val="00116060"/>
    <w:rsid w:val="0011692C"/>
    <w:rsid w:val="00116A14"/>
    <w:rsid w:val="00116C04"/>
    <w:rsid w:val="00116E94"/>
    <w:rsid w:val="00117B30"/>
    <w:rsid w:val="00117B39"/>
    <w:rsid w:val="0012038A"/>
    <w:rsid w:val="00120F1C"/>
    <w:rsid w:val="0012123A"/>
    <w:rsid w:val="00121500"/>
    <w:rsid w:val="00121A15"/>
    <w:rsid w:val="00121F21"/>
    <w:rsid w:val="0012283C"/>
    <w:rsid w:val="00122A2C"/>
    <w:rsid w:val="00122CE4"/>
    <w:rsid w:val="00122DA3"/>
    <w:rsid w:val="00122E27"/>
    <w:rsid w:val="001231A0"/>
    <w:rsid w:val="0012369C"/>
    <w:rsid w:val="001236A7"/>
    <w:rsid w:val="0012387E"/>
    <w:rsid w:val="001249F4"/>
    <w:rsid w:val="00124F9A"/>
    <w:rsid w:val="00125892"/>
    <w:rsid w:val="00125A17"/>
    <w:rsid w:val="001260CA"/>
    <w:rsid w:val="001261A9"/>
    <w:rsid w:val="0012672B"/>
    <w:rsid w:val="00126F4C"/>
    <w:rsid w:val="00127CDF"/>
    <w:rsid w:val="00127FFC"/>
    <w:rsid w:val="00130073"/>
    <w:rsid w:val="00130255"/>
    <w:rsid w:val="001303D5"/>
    <w:rsid w:val="0013058E"/>
    <w:rsid w:val="0013221E"/>
    <w:rsid w:val="00132EFE"/>
    <w:rsid w:val="00132F47"/>
    <w:rsid w:val="00133101"/>
    <w:rsid w:val="0013330A"/>
    <w:rsid w:val="00133E44"/>
    <w:rsid w:val="00133FA6"/>
    <w:rsid w:val="00134245"/>
    <w:rsid w:val="001342E2"/>
    <w:rsid w:val="0013505F"/>
    <w:rsid w:val="001350B2"/>
    <w:rsid w:val="00135206"/>
    <w:rsid w:val="00135422"/>
    <w:rsid w:val="00136577"/>
    <w:rsid w:val="0013684D"/>
    <w:rsid w:val="001369EC"/>
    <w:rsid w:val="001375E7"/>
    <w:rsid w:val="00137952"/>
    <w:rsid w:val="00137A76"/>
    <w:rsid w:val="00137BE2"/>
    <w:rsid w:val="00137DAB"/>
    <w:rsid w:val="001406F0"/>
    <w:rsid w:val="001407D2"/>
    <w:rsid w:val="00140948"/>
    <w:rsid w:val="00141FBE"/>
    <w:rsid w:val="00142165"/>
    <w:rsid w:val="001425F6"/>
    <w:rsid w:val="001429B0"/>
    <w:rsid w:val="00142B27"/>
    <w:rsid w:val="00142C59"/>
    <w:rsid w:val="00142CA1"/>
    <w:rsid w:val="00142E2A"/>
    <w:rsid w:val="001430CA"/>
    <w:rsid w:val="0014354E"/>
    <w:rsid w:val="001437E4"/>
    <w:rsid w:val="001444C9"/>
    <w:rsid w:val="00144B56"/>
    <w:rsid w:val="00145ADA"/>
    <w:rsid w:val="00145E8F"/>
    <w:rsid w:val="0014795F"/>
    <w:rsid w:val="00147999"/>
    <w:rsid w:val="00147D91"/>
    <w:rsid w:val="00150227"/>
    <w:rsid w:val="00150BC1"/>
    <w:rsid w:val="00151DF7"/>
    <w:rsid w:val="001521FC"/>
    <w:rsid w:val="00152718"/>
    <w:rsid w:val="00152A25"/>
    <w:rsid w:val="00152BDE"/>
    <w:rsid w:val="00152C67"/>
    <w:rsid w:val="00152E6D"/>
    <w:rsid w:val="001537CC"/>
    <w:rsid w:val="00153927"/>
    <w:rsid w:val="00153B18"/>
    <w:rsid w:val="0015419C"/>
    <w:rsid w:val="001543EC"/>
    <w:rsid w:val="00154627"/>
    <w:rsid w:val="00154A12"/>
    <w:rsid w:val="00154A89"/>
    <w:rsid w:val="00154FBD"/>
    <w:rsid w:val="00155083"/>
    <w:rsid w:val="00155209"/>
    <w:rsid w:val="001553DD"/>
    <w:rsid w:val="0015540D"/>
    <w:rsid w:val="001555C5"/>
    <w:rsid w:val="001556D8"/>
    <w:rsid w:val="00155869"/>
    <w:rsid w:val="00155A08"/>
    <w:rsid w:val="00155FC3"/>
    <w:rsid w:val="00156640"/>
    <w:rsid w:val="00156BF1"/>
    <w:rsid w:val="00156C06"/>
    <w:rsid w:val="00157089"/>
    <w:rsid w:val="00157F0E"/>
    <w:rsid w:val="001603AC"/>
    <w:rsid w:val="00160639"/>
    <w:rsid w:val="0016080F"/>
    <w:rsid w:val="00160A48"/>
    <w:rsid w:val="00160B95"/>
    <w:rsid w:val="00161958"/>
    <w:rsid w:val="0016211D"/>
    <w:rsid w:val="00162FBA"/>
    <w:rsid w:val="00163AE9"/>
    <w:rsid w:val="00163D48"/>
    <w:rsid w:val="00163D96"/>
    <w:rsid w:val="0016408D"/>
    <w:rsid w:val="0016408E"/>
    <w:rsid w:val="00164BAA"/>
    <w:rsid w:val="00165547"/>
    <w:rsid w:val="001658DA"/>
    <w:rsid w:val="00165971"/>
    <w:rsid w:val="00165D53"/>
    <w:rsid w:val="0016619A"/>
    <w:rsid w:val="001665B7"/>
    <w:rsid w:val="0016743D"/>
    <w:rsid w:val="001674C2"/>
    <w:rsid w:val="00167744"/>
    <w:rsid w:val="00167B45"/>
    <w:rsid w:val="00167E6A"/>
    <w:rsid w:val="0017001C"/>
    <w:rsid w:val="0017010C"/>
    <w:rsid w:val="0017036E"/>
    <w:rsid w:val="0017049A"/>
    <w:rsid w:val="0017122F"/>
    <w:rsid w:val="00171F8A"/>
    <w:rsid w:val="00172251"/>
    <w:rsid w:val="00172798"/>
    <w:rsid w:val="001727A9"/>
    <w:rsid w:val="00172A2C"/>
    <w:rsid w:val="00172CB1"/>
    <w:rsid w:val="00172D8D"/>
    <w:rsid w:val="00172EB3"/>
    <w:rsid w:val="00172ED6"/>
    <w:rsid w:val="0017315D"/>
    <w:rsid w:val="00173CBE"/>
    <w:rsid w:val="00173F83"/>
    <w:rsid w:val="00175946"/>
    <w:rsid w:val="0017596D"/>
    <w:rsid w:val="00175AB0"/>
    <w:rsid w:val="00175DF3"/>
    <w:rsid w:val="00175EF3"/>
    <w:rsid w:val="00176178"/>
    <w:rsid w:val="00176262"/>
    <w:rsid w:val="0017645A"/>
    <w:rsid w:val="00176519"/>
    <w:rsid w:val="0017651B"/>
    <w:rsid w:val="00176A62"/>
    <w:rsid w:val="00176D5B"/>
    <w:rsid w:val="00176E53"/>
    <w:rsid w:val="00177B03"/>
    <w:rsid w:val="00177CEC"/>
    <w:rsid w:val="00177ED3"/>
    <w:rsid w:val="00180C4C"/>
    <w:rsid w:val="0018124E"/>
    <w:rsid w:val="001812DD"/>
    <w:rsid w:val="001815B7"/>
    <w:rsid w:val="00181B86"/>
    <w:rsid w:val="00181EB9"/>
    <w:rsid w:val="00182312"/>
    <w:rsid w:val="001825ED"/>
    <w:rsid w:val="00182F01"/>
    <w:rsid w:val="00183F3A"/>
    <w:rsid w:val="0018427B"/>
    <w:rsid w:val="00184568"/>
    <w:rsid w:val="00184F07"/>
    <w:rsid w:val="001858EA"/>
    <w:rsid w:val="00185EE3"/>
    <w:rsid w:val="00186EAF"/>
    <w:rsid w:val="00187031"/>
    <w:rsid w:val="00187A6F"/>
    <w:rsid w:val="00187FAB"/>
    <w:rsid w:val="00190645"/>
    <w:rsid w:val="001907C7"/>
    <w:rsid w:val="00190D86"/>
    <w:rsid w:val="00190DB2"/>
    <w:rsid w:val="001920AE"/>
    <w:rsid w:val="001922E0"/>
    <w:rsid w:val="00192497"/>
    <w:rsid w:val="00192E81"/>
    <w:rsid w:val="0019315D"/>
    <w:rsid w:val="00193920"/>
    <w:rsid w:val="0019406B"/>
    <w:rsid w:val="0019494D"/>
    <w:rsid w:val="00194974"/>
    <w:rsid w:val="00194D73"/>
    <w:rsid w:val="00194D9A"/>
    <w:rsid w:val="00195501"/>
    <w:rsid w:val="00195AB0"/>
    <w:rsid w:val="00195ED5"/>
    <w:rsid w:val="001967B8"/>
    <w:rsid w:val="00196C68"/>
    <w:rsid w:val="00196D63"/>
    <w:rsid w:val="00196EFC"/>
    <w:rsid w:val="00197587"/>
    <w:rsid w:val="00197960"/>
    <w:rsid w:val="00197995"/>
    <w:rsid w:val="001A0F61"/>
    <w:rsid w:val="001A12ED"/>
    <w:rsid w:val="001A17AF"/>
    <w:rsid w:val="001A1CE8"/>
    <w:rsid w:val="001A2142"/>
    <w:rsid w:val="001A22E9"/>
    <w:rsid w:val="001A2448"/>
    <w:rsid w:val="001A25FC"/>
    <w:rsid w:val="001A3226"/>
    <w:rsid w:val="001A3503"/>
    <w:rsid w:val="001A4220"/>
    <w:rsid w:val="001A43D2"/>
    <w:rsid w:val="001A44EB"/>
    <w:rsid w:val="001A558F"/>
    <w:rsid w:val="001A57DB"/>
    <w:rsid w:val="001A5911"/>
    <w:rsid w:val="001A5F56"/>
    <w:rsid w:val="001A5FB9"/>
    <w:rsid w:val="001A6605"/>
    <w:rsid w:val="001A6F1D"/>
    <w:rsid w:val="001A7825"/>
    <w:rsid w:val="001A7A2A"/>
    <w:rsid w:val="001A7F42"/>
    <w:rsid w:val="001B019A"/>
    <w:rsid w:val="001B019C"/>
    <w:rsid w:val="001B077E"/>
    <w:rsid w:val="001B0890"/>
    <w:rsid w:val="001B0C33"/>
    <w:rsid w:val="001B0C76"/>
    <w:rsid w:val="001B1247"/>
    <w:rsid w:val="001B1643"/>
    <w:rsid w:val="001B1872"/>
    <w:rsid w:val="001B1E26"/>
    <w:rsid w:val="001B2171"/>
    <w:rsid w:val="001B295A"/>
    <w:rsid w:val="001B296E"/>
    <w:rsid w:val="001B2E8B"/>
    <w:rsid w:val="001B2EF4"/>
    <w:rsid w:val="001B382A"/>
    <w:rsid w:val="001B4664"/>
    <w:rsid w:val="001B4CC8"/>
    <w:rsid w:val="001B636D"/>
    <w:rsid w:val="001B6982"/>
    <w:rsid w:val="001B699A"/>
    <w:rsid w:val="001B6A73"/>
    <w:rsid w:val="001B6B00"/>
    <w:rsid w:val="001B6E93"/>
    <w:rsid w:val="001B6FE8"/>
    <w:rsid w:val="001B7AC4"/>
    <w:rsid w:val="001C0682"/>
    <w:rsid w:val="001C0BE8"/>
    <w:rsid w:val="001C0E55"/>
    <w:rsid w:val="001C21CC"/>
    <w:rsid w:val="001C31D4"/>
    <w:rsid w:val="001C3417"/>
    <w:rsid w:val="001C3B52"/>
    <w:rsid w:val="001C3DB2"/>
    <w:rsid w:val="001C3E09"/>
    <w:rsid w:val="001C3E4F"/>
    <w:rsid w:val="001C40BB"/>
    <w:rsid w:val="001C4619"/>
    <w:rsid w:val="001C4C0E"/>
    <w:rsid w:val="001C5808"/>
    <w:rsid w:val="001C5830"/>
    <w:rsid w:val="001C5AA8"/>
    <w:rsid w:val="001C5B63"/>
    <w:rsid w:val="001C6110"/>
    <w:rsid w:val="001C64A2"/>
    <w:rsid w:val="001C65E8"/>
    <w:rsid w:val="001C682F"/>
    <w:rsid w:val="001C68E0"/>
    <w:rsid w:val="001C6E27"/>
    <w:rsid w:val="001C7060"/>
    <w:rsid w:val="001C7246"/>
    <w:rsid w:val="001C74A9"/>
    <w:rsid w:val="001D03F9"/>
    <w:rsid w:val="001D0C69"/>
    <w:rsid w:val="001D0D68"/>
    <w:rsid w:val="001D0F3F"/>
    <w:rsid w:val="001D2678"/>
    <w:rsid w:val="001D2A1D"/>
    <w:rsid w:val="001D2D28"/>
    <w:rsid w:val="001D36B7"/>
    <w:rsid w:val="001D36BE"/>
    <w:rsid w:val="001D3C55"/>
    <w:rsid w:val="001D3D51"/>
    <w:rsid w:val="001D3F63"/>
    <w:rsid w:val="001D464D"/>
    <w:rsid w:val="001D4898"/>
    <w:rsid w:val="001D4A43"/>
    <w:rsid w:val="001D4A84"/>
    <w:rsid w:val="001D4AB7"/>
    <w:rsid w:val="001D4C27"/>
    <w:rsid w:val="001D4CD0"/>
    <w:rsid w:val="001D4D04"/>
    <w:rsid w:val="001D4EFF"/>
    <w:rsid w:val="001D5084"/>
    <w:rsid w:val="001D556C"/>
    <w:rsid w:val="001D5951"/>
    <w:rsid w:val="001D65F5"/>
    <w:rsid w:val="001D664A"/>
    <w:rsid w:val="001D694D"/>
    <w:rsid w:val="001D6F23"/>
    <w:rsid w:val="001D7309"/>
    <w:rsid w:val="001D73B9"/>
    <w:rsid w:val="001D7C10"/>
    <w:rsid w:val="001D7EEB"/>
    <w:rsid w:val="001E0800"/>
    <w:rsid w:val="001E10F0"/>
    <w:rsid w:val="001E19AD"/>
    <w:rsid w:val="001E1A1E"/>
    <w:rsid w:val="001E23FE"/>
    <w:rsid w:val="001E2716"/>
    <w:rsid w:val="001E2826"/>
    <w:rsid w:val="001E2BF1"/>
    <w:rsid w:val="001E34F0"/>
    <w:rsid w:val="001E35C5"/>
    <w:rsid w:val="001E3D9B"/>
    <w:rsid w:val="001E4896"/>
    <w:rsid w:val="001E4C2F"/>
    <w:rsid w:val="001E4D93"/>
    <w:rsid w:val="001E5321"/>
    <w:rsid w:val="001E552C"/>
    <w:rsid w:val="001E56E2"/>
    <w:rsid w:val="001E5787"/>
    <w:rsid w:val="001E5A58"/>
    <w:rsid w:val="001E5D8D"/>
    <w:rsid w:val="001E5E96"/>
    <w:rsid w:val="001E5EC4"/>
    <w:rsid w:val="001E5ED3"/>
    <w:rsid w:val="001E5F41"/>
    <w:rsid w:val="001E5FED"/>
    <w:rsid w:val="001E607D"/>
    <w:rsid w:val="001E60F8"/>
    <w:rsid w:val="001E7B1C"/>
    <w:rsid w:val="001E7CEC"/>
    <w:rsid w:val="001F08AB"/>
    <w:rsid w:val="001F0A93"/>
    <w:rsid w:val="001F0C48"/>
    <w:rsid w:val="001F1925"/>
    <w:rsid w:val="001F1D52"/>
    <w:rsid w:val="001F22A9"/>
    <w:rsid w:val="001F289A"/>
    <w:rsid w:val="001F3146"/>
    <w:rsid w:val="001F3F61"/>
    <w:rsid w:val="001F413B"/>
    <w:rsid w:val="001F443C"/>
    <w:rsid w:val="001F4589"/>
    <w:rsid w:val="001F50FE"/>
    <w:rsid w:val="001F53EA"/>
    <w:rsid w:val="001F5650"/>
    <w:rsid w:val="001F5DB1"/>
    <w:rsid w:val="001F6D66"/>
    <w:rsid w:val="001F6D7D"/>
    <w:rsid w:val="001F6ED1"/>
    <w:rsid w:val="00200048"/>
    <w:rsid w:val="002005D5"/>
    <w:rsid w:val="002008CF"/>
    <w:rsid w:val="00200BC5"/>
    <w:rsid w:val="00201F4C"/>
    <w:rsid w:val="00202168"/>
    <w:rsid w:val="00202E36"/>
    <w:rsid w:val="00202EC0"/>
    <w:rsid w:val="00202FE4"/>
    <w:rsid w:val="00203877"/>
    <w:rsid w:val="00203D7E"/>
    <w:rsid w:val="00203F76"/>
    <w:rsid w:val="00204562"/>
    <w:rsid w:val="00204B7F"/>
    <w:rsid w:val="00204D12"/>
    <w:rsid w:val="0020531D"/>
    <w:rsid w:val="002057B3"/>
    <w:rsid w:val="00205CA7"/>
    <w:rsid w:val="00205FD2"/>
    <w:rsid w:val="00206342"/>
    <w:rsid w:val="00206A06"/>
    <w:rsid w:val="0020766A"/>
    <w:rsid w:val="002077C9"/>
    <w:rsid w:val="00210112"/>
    <w:rsid w:val="0021040C"/>
    <w:rsid w:val="0021043A"/>
    <w:rsid w:val="002104FE"/>
    <w:rsid w:val="00210529"/>
    <w:rsid w:val="00210575"/>
    <w:rsid w:val="002105CE"/>
    <w:rsid w:val="002109AA"/>
    <w:rsid w:val="00211133"/>
    <w:rsid w:val="002111F3"/>
    <w:rsid w:val="00211345"/>
    <w:rsid w:val="0021236C"/>
    <w:rsid w:val="002123B6"/>
    <w:rsid w:val="002126C0"/>
    <w:rsid w:val="00212A70"/>
    <w:rsid w:val="0021369B"/>
    <w:rsid w:val="00214278"/>
    <w:rsid w:val="002153F2"/>
    <w:rsid w:val="00215A1D"/>
    <w:rsid w:val="00215DE7"/>
    <w:rsid w:val="0021626A"/>
    <w:rsid w:val="00216666"/>
    <w:rsid w:val="00216852"/>
    <w:rsid w:val="00217085"/>
    <w:rsid w:val="002171C1"/>
    <w:rsid w:val="00217609"/>
    <w:rsid w:val="00217647"/>
    <w:rsid w:val="00217653"/>
    <w:rsid w:val="0022038E"/>
    <w:rsid w:val="002208B2"/>
    <w:rsid w:val="00220CF6"/>
    <w:rsid w:val="00220ECB"/>
    <w:rsid w:val="00220EFC"/>
    <w:rsid w:val="0022108E"/>
    <w:rsid w:val="0022127C"/>
    <w:rsid w:val="0022160B"/>
    <w:rsid w:val="00221623"/>
    <w:rsid w:val="00221A12"/>
    <w:rsid w:val="00222326"/>
    <w:rsid w:val="002224BF"/>
    <w:rsid w:val="0022401A"/>
    <w:rsid w:val="00224053"/>
    <w:rsid w:val="002242B9"/>
    <w:rsid w:val="0022442E"/>
    <w:rsid w:val="002244B8"/>
    <w:rsid w:val="00225414"/>
    <w:rsid w:val="0022542F"/>
    <w:rsid w:val="0022585B"/>
    <w:rsid w:val="00225CD1"/>
    <w:rsid w:val="00226756"/>
    <w:rsid w:val="00226A31"/>
    <w:rsid w:val="00227B92"/>
    <w:rsid w:val="002301CE"/>
    <w:rsid w:val="0023031D"/>
    <w:rsid w:val="0023033B"/>
    <w:rsid w:val="002306BB"/>
    <w:rsid w:val="002313A7"/>
    <w:rsid w:val="00231C97"/>
    <w:rsid w:val="00231D28"/>
    <w:rsid w:val="0023205D"/>
    <w:rsid w:val="00232143"/>
    <w:rsid w:val="00232169"/>
    <w:rsid w:val="002321DC"/>
    <w:rsid w:val="00232712"/>
    <w:rsid w:val="002328FE"/>
    <w:rsid w:val="0023344E"/>
    <w:rsid w:val="00233959"/>
    <w:rsid w:val="00233C89"/>
    <w:rsid w:val="00234536"/>
    <w:rsid w:val="002346B1"/>
    <w:rsid w:val="002356F7"/>
    <w:rsid w:val="00235B00"/>
    <w:rsid w:val="00236623"/>
    <w:rsid w:val="002366E6"/>
    <w:rsid w:val="00236B40"/>
    <w:rsid w:val="0023742E"/>
    <w:rsid w:val="0023798C"/>
    <w:rsid w:val="00237D87"/>
    <w:rsid w:val="00237F77"/>
    <w:rsid w:val="0024017B"/>
    <w:rsid w:val="002402F5"/>
    <w:rsid w:val="002408D8"/>
    <w:rsid w:val="00240AF7"/>
    <w:rsid w:val="00240EB9"/>
    <w:rsid w:val="00240F30"/>
    <w:rsid w:val="00241234"/>
    <w:rsid w:val="0024129B"/>
    <w:rsid w:val="0024198D"/>
    <w:rsid w:val="00241E1D"/>
    <w:rsid w:val="002421F2"/>
    <w:rsid w:val="00242581"/>
    <w:rsid w:val="002425F9"/>
    <w:rsid w:val="002426DA"/>
    <w:rsid w:val="00242C6D"/>
    <w:rsid w:val="002432CC"/>
    <w:rsid w:val="002437B1"/>
    <w:rsid w:val="0024442D"/>
    <w:rsid w:val="0024505E"/>
    <w:rsid w:val="00246570"/>
    <w:rsid w:val="00246F52"/>
    <w:rsid w:val="002476C2"/>
    <w:rsid w:val="00250516"/>
    <w:rsid w:val="00250933"/>
    <w:rsid w:val="00250B1A"/>
    <w:rsid w:val="00250F98"/>
    <w:rsid w:val="00251376"/>
    <w:rsid w:val="00251435"/>
    <w:rsid w:val="002515B7"/>
    <w:rsid w:val="002515FD"/>
    <w:rsid w:val="00251856"/>
    <w:rsid w:val="00251A13"/>
    <w:rsid w:val="00251A73"/>
    <w:rsid w:val="00251B65"/>
    <w:rsid w:val="00251E08"/>
    <w:rsid w:val="002520CC"/>
    <w:rsid w:val="00252679"/>
    <w:rsid w:val="002528DE"/>
    <w:rsid w:val="00252CAD"/>
    <w:rsid w:val="002530B9"/>
    <w:rsid w:val="00253C30"/>
    <w:rsid w:val="00253D6B"/>
    <w:rsid w:val="002542D0"/>
    <w:rsid w:val="00254666"/>
    <w:rsid w:val="002553A1"/>
    <w:rsid w:val="00256870"/>
    <w:rsid w:val="002568CF"/>
    <w:rsid w:val="00256AFE"/>
    <w:rsid w:val="00256C51"/>
    <w:rsid w:val="00257703"/>
    <w:rsid w:val="00260697"/>
    <w:rsid w:val="00260B1E"/>
    <w:rsid w:val="00260D13"/>
    <w:rsid w:val="00260DA4"/>
    <w:rsid w:val="002610E3"/>
    <w:rsid w:val="0026114F"/>
    <w:rsid w:val="0026182E"/>
    <w:rsid w:val="00261C4D"/>
    <w:rsid w:val="00261FFB"/>
    <w:rsid w:val="0026205B"/>
    <w:rsid w:val="002621F1"/>
    <w:rsid w:val="0026246C"/>
    <w:rsid w:val="00262968"/>
    <w:rsid w:val="00262AEB"/>
    <w:rsid w:val="00262CC6"/>
    <w:rsid w:val="00262CFE"/>
    <w:rsid w:val="002632D3"/>
    <w:rsid w:val="002639E8"/>
    <w:rsid w:val="0026408D"/>
    <w:rsid w:val="00264297"/>
    <w:rsid w:val="00264745"/>
    <w:rsid w:val="00265314"/>
    <w:rsid w:val="002655CF"/>
    <w:rsid w:val="00265A2F"/>
    <w:rsid w:val="00265B4A"/>
    <w:rsid w:val="0026690C"/>
    <w:rsid w:val="00266C58"/>
    <w:rsid w:val="00266D22"/>
    <w:rsid w:val="00266F1A"/>
    <w:rsid w:val="00266FC3"/>
    <w:rsid w:val="00267108"/>
    <w:rsid w:val="002671E2"/>
    <w:rsid w:val="002672DD"/>
    <w:rsid w:val="00267411"/>
    <w:rsid w:val="00267B41"/>
    <w:rsid w:val="002706E6"/>
    <w:rsid w:val="00270900"/>
    <w:rsid w:val="002709BA"/>
    <w:rsid w:val="00270CDB"/>
    <w:rsid w:val="002710A6"/>
    <w:rsid w:val="0027134C"/>
    <w:rsid w:val="0027158D"/>
    <w:rsid w:val="00271C56"/>
    <w:rsid w:val="00271CDF"/>
    <w:rsid w:val="00271E0E"/>
    <w:rsid w:val="00271E6D"/>
    <w:rsid w:val="00272216"/>
    <w:rsid w:val="00272D84"/>
    <w:rsid w:val="00272E5C"/>
    <w:rsid w:val="00272F0C"/>
    <w:rsid w:val="00273697"/>
    <w:rsid w:val="00273ACD"/>
    <w:rsid w:val="002741B3"/>
    <w:rsid w:val="0027437A"/>
    <w:rsid w:val="00274457"/>
    <w:rsid w:val="002744B5"/>
    <w:rsid w:val="002750EA"/>
    <w:rsid w:val="002752F3"/>
    <w:rsid w:val="002754CE"/>
    <w:rsid w:val="00275A9A"/>
    <w:rsid w:val="0027700D"/>
    <w:rsid w:val="00277033"/>
    <w:rsid w:val="002770CD"/>
    <w:rsid w:val="00277285"/>
    <w:rsid w:val="00277714"/>
    <w:rsid w:val="0027787B"/>
    <w:rsid w:val="00277908"/>
    <w:rsid w:val="00277D47"/>
    <w:rsid w:val="002802F2"/>
    <w:rsid w:val="002804AA"/>
    <w:rsid w:val="0028096A"/>
    <w:rsid w:val="002811A2"/>
    <w:rsid w:val="002812A1"/>
    <w:rsid w:val="00281346"/>
    <w:rsid w:val="002815C9"/>
    <w:rsid w:val="00281674"/>
    <w:rsid w:val="002819F3"/>
    <w:rsid w:val="00281C77"/>
    <w:rsid w:val="00281CE9"/>
    <w:rsid w:val="002823BB"/>
    <w:rsid w:val="00282445"/>
    <w:rsid w:val="002824A1"/>
    <w:rsid w:val="00282BDE"/>
    <w:rsid w:val="00283293"/>
    <w:rsid w:val="0028355B"/>
    <w:rsid w:val="00283737"/>
    <w:rsid w:val="00283A28"/>
    <w:rsid w:val="00283FD1"/>
    <w:rsid w:val="0028418C"/>
    <w:rsid w:val="00284450"/>
    <w:rsid w:val="0028471B"/>
    <w:rsid w:val="00284ED5"/>
    <w:rsid w:val="0028527E"/>
    <w:rsid w:val="002869A6"/>
    <w:rsid w:val="00286A28"/>
    <w:rsid w:val="00286C72"/>
    <w:rsid w:val="00286EE7"/>
    <w:rsid w:val="00286F17"/>
    <w:rsid w:val="002876A2"/>
    <w:rsid w:val="00287EA7"/>
    <w:rsid w:val="00287F8B"/>
    <w:rsid w:val="0029010A"/>
    <w:rsid w:val="002904AD"/>
    <w:rsid w:val="002904BD"/>
    <w:rsid w:val="002909C1"/>
    <w:rsid w:val="0029126A"/>
    <w:rsid w:val="00291371"/>
    <w:rsid w:val="0029169E"/>
    <w:rsid w:val="00291C9D"/>
    <w:rsid w:val="00292BC1"/>
    <w:rsid w:val="00292CC0"/>
    <w:rsid w:val="0029328A"/>
    <w:rsid w:val="0029333D"/>
    <w:rsid w:val="00293F51"/>
    <w:rsid w:val="00294258"/>
    <w:rsid w:val="00294262"/>
    <w:rsid w:val="00294A01"/>
    <w:rsid w:val="00294B95"/>
    <w:rsid w:val="00294BE6"/>
    <w:rsid w:val="0029558F"/>
    <w:rsid w:val="002958B6"/>
    <w:rsid w:val="00296ACE"/>
    <w:rsid w:val="002975A2"/>
    <w:rsid w:val="002976DB"/>
    <w:rsid w:val="002976F8"/>
    <w:rsid w:val="00297C60"/>
    <w:rsid w:val="002A00F8"/>
    <w:rsid w:val="002A034B"/>
    <w:rsid w:val="002A0B74"/>
    <w:rsid w:val="002A0DDA"/>
    <w:rsid w:val="002A1159"/>
    <w:rsid w:val="002A12BC"/>
    <w:rsid w:val="002A12FB"/>
    <w:rsid w:val="002A14DD"/>
    <w:rsid w:val="002A1FE9"/>
    <w:rsid w:val="002A2176"/>
    <w:rsid w:val="002A257D"/>
    <w:rsid w:val="002A2845"/>
    <w:rsid w:val="002A33C4"/>
    <w:rsid w:val="002A33E9"/>
    <w:rsid w:val="002A404B"/>
    <w:rsid w:val="002A4052"/>
    <w:rsid w:val="002A50FE"/>
    <w:rsid w:val="002A5392"/>
    <w:rsid w:val="002A564B"/>
    <w:rsid w:val="002A6066"/>
    <w:rsid w:val="002A6514"/>
    <w:rsid w:val="002A706D"/>
    <w:rsid w:val="002A7195"/>
    <w:rsid w:val="002A767C"/>
    <w:rsid w:val="002A799E"/>
    <w:rsid w:val="002A7AF2"/>
    <w:rsid w:val="002B0A3F"/>
    <w:rsid w:val="002B0D0F"/>
    <w:rsid w:val="002B17AA"/>
    <w:rsid w:val="002B20B4"/>
    <w:rsid w:val="002B20FB"/>
    <w:rsid w:val="002B2B60"/>
    <w:rsid w:val="002B2D55"/>
    <w:rsid w:val="002B2EE5"/>
    <w:rsid w:val="002B47E8"/>
    <w:rsid w:val="002B5178"/>
    <w:rsid w:val="002B527E"/>
    <w:rsid w:val="002B5874"/>
    <w:rsid w:val="002B6005"/>
    <w:rsid w:val="002B6972"/>
    <w:rsid w:val="002C0144"/>
    <w:rsid w:val="002C01B7"/>
    <w:rsid w:val="002C0214"/>
    <w:rsid w:val="002C05D5"/>
    <w:rsid w:val="002C06CA"/>
    <w:rsid w:val="002C1A84"/>
    <w:rsid w:val="002C1AAF"/>
    <w:rsid w:val="002C1C7D"/>
    <w:rsid w:val="002C2135"/>
    <w:rsid w:val="002C223D"/>
    <w:rsid w:val="002C2575"/>
    <w:rsid w:val="002C276F"/>
    <w:rsid w:val="002C2964"/>
    <w:rsid w:val="002C2A60"/>
    <w:rsid w:val="002C2B2C"/>
    <w:rsid w:val="002C2BA7"/>
    <w:rsid w:val="002C34DF"/>
    <w:rsid w:val="002C3569"/>
    <w:rsid w:val="002C3851"/>
    <w:rsid w:val="002C39CD"/>
    <w:rsid w:val="002C3C29"/>
    <w:rsid w:val="002C3CB0"/>
    <w:rsid w:val="002C4485"/>
    <w:rsid w:val="002C455D"/>
    <w:rsid w:val="002C4C4F"/>
    <w:rsid w:val="002C54DD"/>
    <w:rsid w:val="002C588E"/>
    <w:rsid w:val="002C6095"/>
    <w:rsid w:val="002C61A3"/>
    <w:rsid w:val="002C6276"/>
    <w:rsid w:val="002C62F9"/>
    <w:rsid w:val="002C64DB"/>
    <w:rsid w:val="002C6834"/>
    <w:rsid w:val="002C6877"/>
    <w:rsid w:val="002C6A48"/>
    <w:rsid w:val="002C6CFC"/>
    <w:rsid w:val="002C6E6A"/>
    <w:rsid w:val="002C7037"/>
    <w:rsid w:val="002C715C"/>
    <w:rsid w:val="002C7298"/>
    <w:rsid w:val="002C753B"/>
    <w:rsid w:val="002D037C"/>
    <w:rsid w:val="002D04DB"/>
    <w:rsid w:val="002D0A24"/>
    <w:rsid w:val="002D0BD7"/>
    <w:rsid w:val="002D0D50"/>
    <w:rsid w:val="002D0E36"/>
    <w:rsid w:val="002D0F72"/>
    <w:rsid w:val="002D1BCF"/>
    <w:rsid w:val="002D259F"/>
    <w:rsid w:val="002D2C37"/>
    <w:rsid w:val="002D379C"/>
    <w:rsid w:val="002D3817"/>
    <w:rsid w:val="002D3BAF"/>
    <w:rsid w:val="002D4240"/>
    <w:rsid w:val="002D434C"/>
    <w:rsid w:val="002D59E7"/>
    <w:rsid w:val="002D5BD4"/>
    <w:rsid w:val="002D5E12"/>
    <w:rsid w:val="002D5FFA"/>
    <w:rsid w:val="002D68DE"/>
    <w:rsid w:val="002D6CA5"/>
    <w:rsid w:val="002E02A6"/>
    <w:rsid w:val="002E054A"/>
    <w:rsid w:val="002E0982"/>
    <w:rsid w:val="002E13BB"/>
    <w:rsid w:val="002E16F8"/>
    <w:rsid w:val="002E17F5"/>
    <w:rsid w:val="002E1D81"/>
    <w:rsid w:val="002E20C4"/>
    <w:rsid w:val="002E26BE"/>
    <w:rsid w:val="002E2F6C"/>
    <w:rsid w:val="002E3068"/>
    <w:rsid w:val="002E3991"/>
    <w:rsid w:val="002E3EE8"/>
    <w:rsid w:val="002E3EE9"/>
    <w:rsid w:val="002E4204"/>
    <w:rsid w:val="002E4884"/>
    <w:rsid w:val="002E4D81"/>
    <w:rsid w:val="002E4ED1"/>
    <w:rsid w:val="002E4F29"/>
    <w:rsid w:val="002E5059"/>
    <w:rsid w:val="002E50EA"/>
    <w:rsid w:val="002E54F8"/>
    <w:rsid w:val="002E5FE0"/>
    <w:rsid w:val="002E641C"/>
    <w:rsid w:val="002E64D2"/>
    <w:rsid w:val="002E65FE"/>
    <w:rsid w:val="002E6631"/>
    <w:rsid w:val="002E6724"/>
    <w:rsid w:val="002E6FA1"/>
    <w:rsid w:val="002E7335"/>
    <w:rsid w:val="002E7CAD"/>
    <w:rsid w:val="002F0281"/>
    <w:rsid w:val="002F054B"/>
    <w:rsid w:val="002F06E5"/>
    <w:rsid w:val="002F0855"/>
    <w:rsid w:val="002F0DF3"/>
    <w:rsid w:val="002F1628"/>
    <w:rsid w:val="002F1877"/>
    <w:rsid w:val="002F21B0"/>
    <w:rsid w:val="002F23B1"/>
    <w:rsid w:val="002F2A78"/>
    <w:rsid w:val="002F2E4E"/>
    <w:rsid w:val="002F2F7C"/>
    <w:rsid w:val="002F309B"/>
    <w:rsid w:val="002F3EFA"/>
    <w:rsid w:val="002F44CA"/>
    <w:rsid w:val="002F4604"/>
    <w:rsid w:val="002F4DB2"/>
    <w:rsid w:val="002F5DCB"/>
    <w:rsid w:val="002F5E34"/>
    <w:rsid w:val="002F6066"/>
    <w:rsid w:val="002F60A9"/>
    <w:rsid w:val="002F6C74"/>
    <w:rsid w:val="002F73A9"/>
    <w:rsid w:val="002F744E"/>
    <w:rsid w:val="002F76A0"/>
    <w:rsid w:val="002F7A3C"/>
    <w:rsid w:val="002F7C09"/>
    <w:rsid w:val="002F7D53"/>
    <w:rsid w:val="0030063D"/>
    <w:rsid w:val="00300670"/>
    <w:rsid w:val="00300C30"/>
    <w:rsid w:val="0030111C"/>
    <w:rsid w:val="00301236"/>
    <w:rsid w:val="003013FE"/>
    <w:rsid w:val="00301492"/>
    <w:rsid w:val="003014F7"/>
    <w:rsid w:val="00301642"/>
    <w:rsid w:val="003016C6"/>
    <w:rsid w:val="00301B81"/>
    <w:rsid w:val="003020C0"/>
    <w:rsid w:val="003028C2"/>
    <w:rsid w:val="003028E5"/>
    <w:rsid w:val="00302A28"/>
    <w:rsid w:val="00302DCB"/>
    <w:rsid w:val="00302E44"/>
    <w:rsid w:val="00302EA3"/>
    <w:rsid w:val="00302FC1"/>
    <w:rsid w:val="00303026"/>
    <w:rsid w:val="003035F5"/>
    <w:rsid w:val="00303EA3"/>
    <w:rsid w:val="00304326"/>
    <w:rsid w:val="00304B2E"/>
    <w:rsid w:val="00304FBD"/>
    <w:rsid w:val="00305512"/>
    <w:rsid w:val="00305795"/>
    <w:rsid w:val="00305AE1"/>
    <w:rsid w:val="003063C9"/>
    <w:rsid w:val="00306DD9"/>
    <w:rsid w:val="00307069"/>
    <w:rsid w:val="00307185"/>
    <w:rsid w:val="0030767B"/>
    <w:rsid w:val="00310359"/>
    <w:rsid w:val="00311665"/>
    <w:rsid w:val="003116BB"/>
    <w:rsid w:val="00311870"/>
    <w:rsid w:val="003119A7"/>
    <w:rsid w:val="00312887"/>
    <w:rsid w:val="00313186"/>
    <w:rsid w:val="003134EC"/>
    <w:rsid w:val="00313640"/>
    <w:rsid w:val="00313A8D"/>
    <w:rsid w:val="003151CF"/>
    <w:rsid w:val="00315486"/>
    <w:rsid w:val="00315767"/>
    <w:rsid w:val="0031613A"/>
    <w:rsid w:val="003164D9"/>
    <w:rsid w:val="00317636"/>
    <w:rsid w:val="00317AD2"/>
    <w:rsid w:val="00320179"/>
    <w:rsid w:val="003202DB"/>
    <w:rsid w:val="003205E6"/>
    <w:rsid w:val="003205EB"/>
    <w:rsid w:val="00320878"/>
    <w:rsid w:val="003213ED"/>
    <w:rsid w:val="00321F06"/>
    <w:rsid w:val="0032200B"/>
    <w:rsid w:val="00322376"/>
    <w:rsid w:val="00322E43"/>
    <w:rsid w:val="00322F33"/>
    <w:rsid w:val="00322F6A"/>
    <w:rsid w:val="00323AC3"/>
    <w:rsid w:val="0032440D"/>
    <w:rsid w:val="00324B22"/>
    <w:rsid w:val="00324D89"/>
    <w:rsid w:val="003254D7"/>
    <w:rsid w:val="003254F2"/>
    <w:rsid w:val="003259BC"/>
    <w:rsid w:val="003260B9"/>
    <w:rsid w:val="003267A5"/>
    <w:rsid w:val="00326AEE"/>
    <w:rsid w:val="00326F9D"/>
    <w:rsid w:val="00327413"/>
    <w:rsid w:val="00327815"/>
    <w:rsid w:val="003301E4"/>
    <w:rsid w:val="0033039D"/>
    <w:rsid w:val="00330652"/>
    <w:rsid w:val="003308D0"/>
    <w:rsid w:val="00330E9B"/>
    <w:rsid w:val="0033104D"/>
    <w:rsid w:val="00331176"/>
    <w:rsid w:val="00331AC5"/>
    <w:rsid w:val="00331E75"/>
    <w:rsid w:val="00331F01"/>
    <w:rsid w:val="0033352B"/>
    <w:rsid w:val="003337FD"/>
    <w:rsid w:val="00333D69"/>
    <w:rsid w:val="00333D7A"/>
    <w:rsid w:val="00333DA4"/>
    <w:rsid w:val="003342CD"/>
    <w:rsid w:val="00334559"/>
    <w:rsid w:val="003349B6"/>
    <w:rsid w:val="003349C1"/>
    <w:rsid w:val="00334B1A"/>
    <w:rsid w:val="00334C76"/>
    <w:rsid w:val="00335075"/>
    <w:rsid w:val="00335715"/>
    <w:rsid w:val="00335D8D"/>
    <w:rsid w:val="0033608D"/>
    <w:rsid w:val="003360F3"/>
    <w:rsid w:val="003367F9"/>
    <w:rsid w:val="003371F2"/>
    <w:rsid w:val="00337408"/>
    <w:rsid w:val="003375D7"/>
    <w:rsid w:val="00337C1B"/>
    <w:rsid w:val="00337E30"/>
    <w:rsid w:val="00337F0B"/>
    <w:rsid w:val="003402A7"/>
    <w:rsid w:val="003403F1"/>
    <w:rsid w:val="00340AB7"/>
    <w:rsid w:val="00340B62"/>
    <w:rsid w:val="00340FB4"/>
    <w:rsid w:val="0034165A"/>
    <w:rsid w:val="003419B8"/>
    <w:rsid w:val="003420DA"/>
    <w:rsid w:val="00343261"/>
    <w:rsid w:val="00343978"/>
    <w:rsid w:val="00343FB7"/>
    <w:rsid w:val="003443D9"/>
    <w:rsid w:val="00344CC0"/>
    <w:rsid w:val="003450F5"/>
    <w:rsid w:val="003451E2"/>
    <w:rsid w:val="003452FE"/>
    <w:rsid w:val="003455A4"/>
    <w:rsid w:val="0034648E"/>
    <w:rsid w:val="00346993"/>
    <w:rsid w:val="00346D0C"/>
    <w:rsid w:val="003476A4"/>
    <w:rsid w:val="00347959"/>
    <w:rsid w:val="00347D85"/>
    <w:rsid w:val="00347F3B"/>
    <w:rsid w:val="00350312"/>
    <w:rsid w:val="00350EB2"/>
    <w:rsid w:val="00351541"/>
    <w:rsid w:val="0035191C"/>
    <w:rsid w:val="00351931"/>
    <w:rsid w:val="00351BFD"/>
    <w:rsid w:val="0035249C"/>
    <w:rsid w:val="00352D0D"/>
    <w:rsid w:val="003534E6"/>
    <w:rsid w:val="00354910"/>
    <w:rsid w:val="00354F4D"/>
    <w:rsid w:val="00355294"/>
    <w:rsid w:val="003564FA"/>
    <w:rsid w:val="00356512"/>
    <w:rsid w:val="00356869"/>
    <w:rsid w:val="003579EB"/>
    <w:rsid w:val="00357EB1"/>
    <w:rsid w:val="00357F09"/>
    <w:rsid w:val="00360252"/>
    <w:rsid w:val="003603D2"/>
    <w:rsid w:val="00360730"/>
    <w:rsid w:val="00361A97"/>
    <w:rsid w:val="00362299"/>
    <w:rsid w:val="00362514"/>
    <w:rsid w:val="003626BB"/>
    <w:rsid w:val="00362998"/>
    <w:rsid w:val="0036360C"/>
    <w:rsid w:val="003636A6"/>
    <w:rsid w:val="003638A6"/>
    <w:rsid w:val="00363D51"/>
    <w:rsid w:val="00364332"/>
    <w:rsid w:val="00364966"/>
    <w:rsid w:val="00364A40"/>
    <w:rsid w:val="00364D7E"/>
    <w:rsid w:val="00364D9A"/>
    <w:rsid w:val="00364F48"/>
    <w:rsid w:val="003652AB"/>
    <w:rsid w:val="00365578"/>
    <w:rsid w:val="0036566D"/>
    <w:rsid w:val="00365BB6"/>
    <w:rsid w:val="00365C1A"/>
    <w:rsid w:val="00365CDE"/>
    <w:rsid w:val="00365DB5"/>
    <w:rsid w:val="003662B7"/>
    <w:rsid w:val="0036695A"/>
    <w:rsid w:val="003669C1"/>
    <w:rsid w:val="00366C4E"/>
    <w:rsid w:val="00366CAC"/>
    <w:rsid w:val="00366E43"/>
    <w:rsid w:val="00366EF9"/>
    <w:rsid w:val="00367006"/>
    <w:rsid w:val="00367325"/>
    <w:rsid w:val="003701E5"/>
    <w:rsid w:val="00370560"/>
    <w:rsid w:val="003711C2"/>
    <w:rsid w:val="0037178A"/>
    <w:rsid w:val="00372426"/>
    <w:rsid w:val="00372438"/>
    <w:rsid w:val="0037292B"/>
    <w:rsid w:val="00372BC2"/>
    <w:rsid w:val="00372D1A"/>
    <w:rsid w:val="00372D90"/>
    <w:rsid w:val="00372E41"/>
    <w:rsid w:val="00372F63"/>
    <w:rsid w:val="00373589"/>
    <w:rsid w:val="00373733"/>
    <w:rsid w:val="00373CC9"/>
    <w:rsid w:val="00374178"/>
    <w:rsid w:val="0037419F"/>
    <w:rsid w:val="00374267"/>
    <w:rsid w:val="0037580B"/>
    <w:rsid w:val="003762A2"/>
    <w:rsid w:val="00376535"/>
    <w:rsid w:val="003767E4"/>
    <w:rsid w:val="00377269"/>
    <w:rsid w:val="003774B5"/>
    <w:rsid w:val="00377CA2"/>
    <w:rsid w:val="00377F62"/>
    <w:rsid w:val="00380668"/>
    <w:rsid w:val="00381173"/>
    <w:rsid w:val="003816FF"/>
    <w:rsid w:val="00381E8E"/>
    <w:rsid w:val="003823B8"/>
    <w:rsid w:val="00382774"/>
    <w:rsid w:val="00382A70"/>
    <w:rsid w:val="00382A7D"/>
    <w:rsid w:val="00382D10"/>
    <w:rsid w:val="00382DF2"/>
    <w:rsid w:val="00383196"/>
    <w:rsid w:val="003837C0"/>
    <w:rsid w:val="00383C8A"/>
    <w:rsid w:val="00383CB6"/>
    <w:rsid w:val="00384F7F"/>
    <w:rsid w:val="0038564F"/>
    <w:rsid w:val="00385C9E"/>
    <w:rsid w:val="00385CF7"/>
    <w:rsid w:val="00385D25"/>
    <w:rsid w:val="00386491"/>
    <w:rsid w:val="0038661D"/>
    <w:rsid w:val="00386EB3"/>
    <w:rsid w:val="00386FAB"/>
    <w:rsid w:val="0038720D"/>
    <w:rsid w:val="0038735A"/>
    <w:rsid w:val="003902C8"/>
    <w:rsid w:val="003906C2"/>
    <w:rsid w:val="00390D08"/>
    <w:rsid w:val="00390EC1"/>
    <w:rsid w:val="00390F38"/>
    <w:rsid w:val="0039115D"/>
    <w:rsid w:val="00391259"/>
    <w:rsid w:val="00392872"/>
    <w:rsid w:val="00392A01"/>
    <w:rsid w:val="00392BF5"/>
    <w:rsid w:val="00392CAA"/>
    <w:rsid w:val="00393E80"/>
    <w:rsid w:val="003940FF"/>
    <w:rsid w:val="00394880"/>
    <w:rsid w:val="0039534A"/>
    <w:rsid w:val="0039541E"/>
    <w:rsid w:val="00396985"/>
    <w:rsid w:val="00397373"/>
    <w:rsid w:val="00397417"/>
    <w:rsid w:val="00397512"/>
    <w:rsid w:val="003976A3"/>
    <w:rsid w:val="00397E2E"/>
    <w:rsid w:val="003A03A1"/>
    <w:rsid w:val="003A0D77"/>
    <w:rsid w:val="003A0D9D"/>
    <w:rsid w:val="003A0DF4"/>
    <w:rsid w:val="003A139C"/>
    <w:rsid w:val="003A1459"/>
    <w:rsid w:val="003A16ED"/>
    <w:rsid w:val="003A1CAD"/>
    <w:rsid w:val="003A1D57"/>
    <w:rsid w:val="003A2122"/>
    <w:rsid w:val="003A2DD1"/>
    <w:rsid w:val="003A33BF"/>
    <w:rsid w:val="003A3495"/>
    <w:rsid w:val="003A3706"/>
    <w:rsid w:val="003A3760"/>
    <w:rsid w:val="003A39FE"/>
    <w:rsid w:val="003A3F74"/>
    <w:rsid w:val="003A4412"/>
    <w:rsid w:val="003A485D"/>
    <w:rsid w:val="003A4EB4"/>
    <w:rsid w:val="003A52DA"/>
    <w:rsid w:val="003A6259"/>
    <w:rsid w:val="003A6BC3"/>
    <w:rsid w:val="003A6EC7"/>
    <w:rsid w:val="003A7295"/>
    <w:rsid w:val="003A7CF4"/>
    <w:rsid w:val="003A7FF4"/>
    <w:rsid w:val="003B0255"/>
    <w:rsid w:val="003B06B5"/>
    <w:rsid w:val="003B09D1"/>
    <w:rsid w:val="003B09DC"/>
    <w:rsid w:val="003B10D5"/>
    <w:rsid w:val="003B1759"/>
    <w:rsid w:val="003B1E1B"/>
    <w:rsid w:val="003B1F84"/>
    <w:rsid w:val="003B24E6"/>
    <w:rsid w:val="003B2F4B"/>
    <w:rsid w:val="003B3046"/>
    <w:rsid w:val="003B3D3A"/>
    <w:rsid w:val="003B3FCB"/>
    <w:rsid w:val="003B45FC"/>
    <w:rsid w:val="003B4CC3"/>
    <w:rsid w:val="003B5103"/>
    <w:rsid w:val="003B539F"/>
    <w:rsid w:val="003B5452"/>
    <w:rsid w:val="003B54C1"/>
    <w:rsid w:val="003B5587"/>
    <w:rsid w:val="003B55EF"/>
    <w:rsid w:val="003B608B"/>
    <w:rsid w:val="003B65FF"/>
    <w:rsid w:val="003B68E8"/>
    <w:rsid w:val="003B6C5B"/>
    <w:rsid w:val="003B7284"/>
    <w:rsid w:val="003B77E1"/>
    <w:rsid w:val="003B77E8"/>
    <w:rsid w:val="003B7F80"/>
    <w:rsid w:val="003C04D6"/>
    <w:rsid w:val="003C090E"/>
    <w:rsid w:val="003C0BCF"/>
    <w:rsid w:val="003C11BE"/>
    <w:rsid w:val="003C1F27"/>
    <w:rsid w:val="003C227E"/>
    <w:rsid w:val="003C294F"/>
    <w:rsid w:val="003C2A55"/>
    <w:rsid w:val="003C2EB9"/>
    <w:rsid w:val="003C3304"/>
    <w:rsid w:val="003C36A0"/>
    <w:rsid w:val="003C3DC3"/>
    <w:rsid w:val="003C3E36"/>
    <w:rsid w:val="003C4364"/>
    <w:rsid w:val="003C4497"/>
    <w:rsid w:val="003C4581"/>
    <w:rsid w:val="003C49F2"/>
    <w:rsid w:val="003C4E68"/>
    <w:rsid w:val="003C50BD"/>
    <w:rsid w:val="003C50CA"/>
    <w:rsid w:val="003C582E"/>
    <w:rsid w:val="003C5A4A"/>
    <w:rsid w:val="003C5D73"/>
    <w:rsid w:val="003C6C56"/>
    <w:rsid w:val="003C6E84"/>
    <w:rsid w:val="003C6ECF"/>
    <w:rsid w:val="003C7183"/>
    <w:rsid w:val="003C7786"/>
    <w:rsid w:val="003D0556"/>
    <w:rsid w:val="003D0626"/>
    <w:rsid w:val="003D09B3"/>
    <w:rsid w:val="003D0AC0"/>
    <w:rsid w:val="003D0C4C"/>
    <w:rsid w:val="003D0C72"/>
    <w:rsid w:val="003D0D92"/>
    <w:rsid w:val="003D0E26"/>
    <w:rsid w:val="003D1204"/>
    <w:rsid w:val="003D27C2"/>
    <w:rsid w:val="003D2928"/>
    <w:rsid w:val="003D2C5F"/>
    <w:rsid w:val="003D31B4"/>
    <w:rsid w:val="003D361C"/>
    <w:rsid w:val="003D3ABD"/>
    <w:rsid w:val="003D3DB2"/>
    <w:rsid w:val="003D4322"/>
    <w:rsid w:val="003D46AC"/>
    <w:rsid w:val="003D47C8"/>
    <w:rsid w:val="003D48A1"/>
    <w:rsid w:val="003D4DB2"/>
    <w:rsid w:val="003D5818"/>
    <w:rsid w:val="003D59D1"/>
    <w:rsid w:val="003D5F23"/>
    <w:rsid w:val="003D6553"/>
    <w:rsid w:val="003D6F48"/>
    <w:rsid w:val="003D71E7"/>
    <w:rsid w:val="003D7D7E"/>
    <w:rsid w:val="003E0466"/>
    <w:rsid w:val="003E1BFB"/>
    <w:rsid w:val="003E1DC5"/>
    <w:rsid w:val="003E1F99"/>
    <w:rsid w:val="003E1FF9"/>
    <w:rsid w:val="003E321D"/>
    <w:rsid w:val="003E32CA"/>
    <w:rsid w:val="003E3485"/>
    <w:rsid w:val="003E3743"/>
    <w:rsid w:val="003E37C2"/>
    <w:rsid w:val="003E39E4"/>
    <w:rsid w:val="003E4359"/>
    <w:rsid w:val="003E4A80"/>
    <w:rsid w:val="003E4D85"/>
    <w:rsid w:val="003E50B3"/>
    <w:rsid w:val="003E595F"/>
    <w:rsid w:val="003E5DFB"/>
    <w:rsid w:val="003E5E63"/>
    <w:rsid w:val="003E7408"/>
    <w:rsid w:val="003E7796"/>
    <w:rsid w:val="003E785B"/>
    <w:rsid w:val="003F0654"/>
    <w:rsid w:val="003F06E4"/>
    <w:rsid w:val="003F1416"/>
    <w:rsid w:val="003F1A07"/>
    <w:rsid w:val="003F1AA6"/>
    <w:rsid w:val="003F1BFC"/>
    <w:rsid w:val="003F1DF0"/>
    <w:rsid w:val="003F1E23"/>
    <w:rsid w:val="003F1F77"/>
    <w:rsid w:val="003F2027"/>
    <w:rsid w:val="003F26BE"/>
    <w:rsid w:val="003F290F"/>
    <w:rsid w:val="003F2CFC"/>
    <w:rsid w:val="003F318E"/>
    <w:rsid w:val="003F32DE"/>
    <w:rsid w:val="003F38F6"/>
    <w:rsid w:val="003F390B"/>
    <w:rsid w:val="003F3984"/>
    <w:rsid w:val="003F3DD8"/>
    <w:rsid w:val="003F41C2"/>
    <w:rsid w:val="003F4477"/>
    <w:rsid w:val="003F44A7"/>
    <w:rsid w:val="003F4A64"/>
    <w:rsid w:val="003F4C86"/>
    <w:rsid w:val="003F4E7B"/>
    <w:rsid w:val="003F503F"/>
    <w:rsid w:val="003F590A"/>
    <w:rsid w:val="003F621F"/>
    <w:rsid w:val="003F6238"/>
    <w:rsid w:val="003F6394"/>
    <w:rsid w:val="003F698E"/>
    <w:rsid w:val="003F6A49"/>
    <w:rsid w:val="003F6A77"/>
    <w:rsid w:val="003F6A86"/>
    <w:rsid w:val="003F6EE8"/>
    <w:rsid w:val="003F7984"/>
    <w:rsid w:val="003F7E1B"/>
    <w:rsid w:val="003F7E7C"/>
    <w:rsid w:val="003F7E90"/>
    <w:rsid w:val="003F7FA6"/>
    <w:rsid w:val="00400264"/>
    <w:rsid w:val="00400687"/>
    <w:rsid w:val="00400904"/>
    <w:rsid w:val="00400CAA"/>
    <w:rsid w:val="00400F87"/>
    <w:rsid w:val="004011C4"/>
    <w:rsid w:val="00401605"/>
    <w:rsid w:val="004016E7"/>
    <w:rsid w:val="00401CBB"/>
    <w:rsid w:val="00401E5C"/>
    <w:rsid w:val="00401F2A"/>
    <w:rsid w:val="00402173"/>
    <w:rsid w:val="0040226F"/>
    <w:rsid w:val="004024B0"/>
    <w:rsid w:val="00402611"/>
    <w:rsid w:val="00402912"/>
    <w:rsid w:val="004029B1"/>
    <w:rsid w:val="00402B4B"/>
    <w:rsid w:val="00402CA4"/>
    <w:rsid w:val="00402EE4"/>
    <w:rsid w:val="00402F07"/>
    <w:rsid w:val="00402F11"/>
    <w:rsid w:val="004030D9"/>
    <w:rsid w:val="0040313D"/>
    <w:rsid w:val="00403606"/>
    <w:rsid w:val="004042FD"/>
    <w:rsid w:val="004045BF"/>
    <w:rsid w:val="00404643"/>
    <w:rsid w:val="00404748"/>
    <w:rsid w:val="00404B90"/>
    <w:rsid w:val="00406820"/>
    <w:rsid w:val="00406A6E"/>
    <w:rsid w:val="00406D2A"/>
    <w:rsid w:val="00406D53"/>
    <w:rsid w:val="0040744F"/>
    <w:rsid w:val="0040756C"/>
    <w:rsid w:val="00407908"/>
    <w:rsid w:val="004079CC"/>
    <w:rsid w:val="00407A5E"/>
    <w:rsid w:val="00407B4B"/>
    <w:rsid w:val="004103BB"/>
    <w:rsid w:val="0041048F"/>
    <w:rsid w:val="00410C67"/>
    <w:rsid w:val="00410C83"/>
    <w:rsid w:val="004110A1"/>
    <w:rsid w:val="00411576"/>
    <w:rsid w:val="00411A16"/>
    <w:rsid w:val="00411B98"/>
    <w:rsid w:val="0041207B"/>
    <w:rsid w:val="00413954"/>
    <w:rsid w:val="00413B29"/>
    <w:rsid w:val="00413F52"/>
    <w:rsid w:val="00414078"/>
    <w:rsid w:val="00414636"/>
    <w:rsid w:val="004150C1"/>
    <w:rsid w:val="004156B7"/>
    <w:rsid w:val="00415E88"/>
    <w:rsid w:val="00416171"/>
    <w:rsid w:val="00416C09"/>
    <w:rsid w:val="00416FA2"/>
    <w:rsid w:val="00416FCE"/>
    <w:rsid w:val="00417224"/>
    <w:rsid w:val="00417313"/>
    <w:rsid w:val="00417491"/>
    <w:rsid w:val="00420244"/>
    <w:rsid w:val="00420551"/>
    <w:rsid w:val="004206A0"/>
    <w:rsid w:val="00420726"/>
    <w:rsid w:val="004210BB"/>
    <w:rsid w:val="004212E7"/>
    <w:rsid w:val="0042137E"/>
    <w:rsid w:val="00421CD6"/>
    <w:rsid w:val="004223F8"/>
    <w:rsid w:val="00422717"/>
    <w:rsid w:val="004231C4"/>
    <w:rsid w:val="0042376B"/>
    <w:rsid w:val="00423864"/>
    <w:rsid w:val="00423897"/>
    <w:rsid w:val="00423A41"/>
    <w:rsid w:val="00424AB6"/>
    <w:rsid w:val="00424C6E"/>
    <w:rsid w:val="00424ED9"/>
    <w:rsid w:val="00425385"/>
    <w:rsid w:val="00425758"/>
    <w:rsid w:val="00425A3A"/>
    <w:rsid w:val="00425E0B"/>
    <w:rsid w:val="004261AD"/>
    <w:rsid w:val="004266D4"/>
    <w:rsid w:val="004267E7"/>
    <w:rsid w:val="00426A66"/>
    <w:rsid w:val="00426D35"/>
    <w:rsid w:val="004270BB"/>
    <w:rsid w:val="0042716C"/>
    <w:rsid w:val="00427181"/>
    <w:rsid w:val="00427814"/>
    <w:rsid w:val="00427F62"/>
    <w:rsid w:val="00430011"/>
    <w:rsid w:val="00430174"/>
    <w:rsid w:val="00430265"/>
    <w:rsid w:val="00430E35"/>
    <w:rsid w:val="004317F9"/>
    <w:rsid w:val="00431E28"/>
    <w:rsid w:val="00432DA1"/>
    <w:rsid w:val="00433318"/>
    <w:rsid w:val="00433692"/>
    <w:rsid w:val="00433E35"/>
    <w:rsid w:val="0043426F"/>
    <w:rsid w:val="004345CA"/>
    <w:rsid w:val="00434659"/>
    <w:rsid w:val="00434E1D"/>
    <w:rsid w:val="00435042"/>
    <w:rsid w:val="0043524A"/>
    <w:rsid w:val="004353A2"/>
    <w:rsid w:val="00435AF4"/>
    <w:rsid w:val="00435D10"/>
    <w:rsid w:val="00435DB2"/>
    <w:rsid w:val="00435EC3"/>
    <w:rsid w:val="00436093"/>
    <w:rsid w:val="00436293"/>
    <w:rsid w:val="00436853"/>
    <w:rsid w:val="004369E1"/>
    <w:rsid w:val="00436E9C"/>
    <w:rsid w:val="004376DC"/>
    <w:rsid w:val="00437B57"/>
    <w:rsid w:val="00437BFF"/>
    <w:rsid w:val="00437F9B"/>
    <w:rsid w:val="0044129C"/>
    <w:rsid w:val="004416FB"/>
    <w:rsid w:val="00441E19"/>
    <w:rsid w:val="00442248"/>
    <w:rsid w:val="00442294"/>
    <w:rsid w:val="00442858"/>
    <w:rsid w:val="0044311E"/>
    <w:rsid w:val="004432CD"/>
    <w:rsid w:val="00443572"/>
    <w:rsid w:val="00443A7E"/>
    <w:rsid w:val="004459BF"/>
    <w:rsid w:val="0044621C"/>
    <w:rsid w:val="0044636D"/>
    <w:rsid w:val="004468AD"/>
    <w:rsid w:val="00446C9A"/>
    <w:rsid w:val="004472EE"/>
    <w:rsid w:val="004474AB"/>
    <w:rsid w:val="00450402"/>
    <w:rsid w:val="00450447"/>
    <w:rsid w:val="00450C47"/>
    <w:rsid w:val="00450EAD"/>
    <w:rsid w:val="00450F78"/>
    <w:rsid w:val="00450FF7"/>
    <w:rsid w:val="00451033"/>
    <w:rsid w:val="004512AB"/>
    <w:rsid w:val="00451698"/>
    <w:rsid w:val="004523A8"/>
    <w:rsid w:val="00452AC5"/>
    <w:rsid w:val="00452EDB"/>
    <w:rsid w:val="00452F92"/>
    <w:rsid w:val="004535C8"/>
    <w:rsid w:val="0045454F"/>
    <w:rsid w:val="004550F8"/>
    <w:rsid w:val="0045518B"/>
    <w:rsid w:val="004555A8"/>
    <w:rsid w:val="00455793"/>
    <w:rsid w:val="00455FE8"/>
    <w:rsid w:val="00455FF2"/>
    <w:rsid w:val="004561BA"/>
    <w:rsid w:val="00456326"/>
    <w:rsid w:val="00456852"/>
    <w:rsid w:val="00457B6E"/>
    <w:rsid w:val="00457FAB"/>
    <w:rsid w:val="0046033A"/>
    <w:rsid w:val="004604FB"/>
    <w:rsid w:val="004609B5"/>
    <w:rsid w:val="004609ED"/>
    <w:rsid w:val="00460D8D"/>
    <w:rsid w:val="0046118E"/>
    <w:rsid w:val="00461406"/>
    <w:rsid w:val="004616FE"/>
    <w:rsid w:val="004618D0"/>
    <w:rsid w:val="00462381"/>
    <w:rsid w:val="00462BC7"/>
    <w:rsid w:val="00462D6F"/>
    <w:rsid w:val="00462EB5"/>
    <w:rsid w:val="00462F3A"/>
    <w:rsid w:val="0046316E"/>
    <w:rsid w:val="00463306"/>
    <w:rsid w:val="004636E4"/>
    <w:rsid w:val="0046388A"/>
    <w:rsid w:val="00463A8F"/>
    <w:rsid w:val="00463BEA"/>
    <w:rsid w:val="004641FF"/>
    <w:rsid w:val="00464AF9"/>
    <w:rsid w:val="00464E37"/>
    <w:rsid w:val="00464E4C"/>
    <w:rsid w:val="00465DE6"/>
    <w:rsid w:val="00465F07"/>
    <w:rsid w:val="00466EEB"/>
    <w:rsid w:val="00466F03"/>
    <w:rsid w:val="004674A5"/>
    <w:rsid w:val="00467999"/>
    <w:rsid w:val="004703E1"/>
    <w:rsid w:val="00470BD7"/>
    <w:rsid w:val="00470E55"/>
    <w:rsid w:val="00471584"/>
    <w:rsid w:val="00471C25"/>
    <w:rsid w:val="00471DA1"/>
    <w:rsid w:val="00471E59"/>
    <w:rsid w:val="00472A12"/>
    <w:rsid w:val="004731FA"/>
    <w:rsid w:val="004735AF"/>
    <w:rsid w:val="00473A6F"/>
    <w:rsid w:val="0047417A"/>
    <w:rsid w:val="004746B8"/>
    <w:rsid w:val="00474B64"/>
    <w:rsid w:val="00474BBA"/>
    <w:rsid w:val="00474FB4"/>
    <w:rsid w:val="00475475"/>
    <w:rsid w:val="00476979"/>
    <w:rsid w:val="00476C3E"/>
    <w:rsid w:val="00476FAE"/>
    <w:rsid w:val="00477E00"/>
    <w:rsid w:val="00477E35"/>
    <w:rsid w:val="004804EA"/>
    <w:rsid w:val="00480CD5"/>
    <w:rsid w:val="00481B6C"/>
    <w:rsid w:val="00482201"/>
    <w:rsid w:val="0048307B"/>
    <w:rsid w:val="004836A5"/>
    <w:rsid w:val="00483CAE"/>
    <w:rsid w:val="0048418A"/>
    <w:rsid w:val="00484504"/>
    <w:rsid w:val="004848B4"/>
    <w:rsid w:val="00484D53"/>
    <w:rsid w:val="00485413"/>
    <w:rsid w:val="0048552F"/>
    <w:rsid w:val="004855F6"/>
    <w:rsid w:val="0048580A"/>
    <w:rsid w:val="00485F01"/>
    <w:rsid w:val="00485F0B"/>
    <w:rsid w:val="00487070"/>
    <w:rsid w:val="004872CB"/>
    <w:rsid w:val="00490662"/>
    <w:rsid w:val="00490747"/>
    <w:rsid w:val="00490C5A"/>
    <w:rsid w:val="004917DF"/>
    <w:rsid w:val="004917E0"/>
    <w:rsid w:val="004918E5"/>
    <w:rsid w:val="00491A6B"/>
    <w:rsid w:val="00491FE0"/>
    <w:rsid w:val="0049273D"/>
    <w:rsid w:val="00492AD8"/>
    <w:rsid w:val="00492EF4"/>
    <w:rsid w:val="00493360"/>
    <w:rsid w:val="004933AC"/>
    <w:rsid w:val="0049352C"/>
    <w:rsid w:val="00493915"/>
    <w:rsid w:val="00493F65"/>
    <w:rsid w:val="004941E5"/>
    <w:rsid w:val="004946C9"/>
    <w:rsid w:val="004949E0"/>
    <w:rsid w:val="00494A72"/>
    <w:rsid w:val="0049516F"/>
    <w:rsid w:val="004955CD"/>
    <w:rsid w:val="00495A29"/>
    <w:rsid w:val="00495F17"/>
    <w:rsid w:val="004961DF"/>
    <w:rsid w:val="0049624C"/>
    <w:rsid w:val="00496C47"/>
    <w:rsid w:val="00496FB1"/>
    <w:rsid w:val="00497831"/>
    <w:rsid w:val="00497DF4"/>
    <w:rsid w:val="004A0016"/>
    <w:rsid w:val="004A00AC"/>
    <w:rsid w:val="004A03D3"/>
    <w:rsid w:val="004A05E9"/>
    <w:rsid w:val="004A0917"/>
    <w:rsid w:val="004A111E"/>
    <w:rsid w:val="004A155C"/>
    <w:rsid w:val="004A16A2"/>
    <w:rsid w:val="004A1CCE"/>
    <w:rsid w:val="004A263C"/>
    <w:rsid w:val="004A2929"/>
    <w:rsid w:val="004A3B3F"/>
    <w:rsid w:val="004A4058"/>
    <w:rsid w:val="004A4950"/>
    <w:rsid w:val="004A4A2E"/>
    <w:rsid w:val="004A50D0"/>
    <w:rsid w:val="004A550A"/>
    <w:rsid w:val="004A55D2"/>
    <w:rsid w:val="004A5927"/>
    <w:rsid w:val="004A6326"/>
    <w:rsid w:val="004A6399"/>
    <w:rsid w:val="004A6FBE"/>
    <w:rsid w:val="004A7773"/>
    <w:rsid w:val="004B02D4"/>
    <w:rsid w:val="004B0B2F"/>
    <w:rsid w:val="004B1A36"/>
    <w:rsid w:val="004B263D"/>
    <w:rsid w:val="004B2667"/>
    <w:rsid w:val="004B2AB4"/>
    <w:rsid w:val="004B3196"/>
    <w:rsid w:val="004B347A"/>
    <w:rsid w:val="004B36B9"/>
    <w:rsid w:val="004B36DC"/>
    <w:rsid w:val="004B43B8"/>
    <w:rsid w:val="004B4490"/>
    <w:rsid w:val="004B46A0"/>
    <w:rsid w:val="004B56FA"/>
    <w:rsid w:val="004B5C9E"/>
    <w:rsid w:val="004B6855"/>
    <w:rsid w:val="004B6883"/>
    <w:rsid w:val="004B6F4E"/>
    <w:rsid w:val="004B7903"/>
    <w:rsid w:val="004C02FE"/>
    <w:rsid w:val="004C0E84"/>
    <w:rsid w:val="004C0F29"/>
    <w:rsid w:val="004C1786"/>
    <w:rsid w:val="004C1848"/>
    <w:rsid w:val="004C1BDC"/>
    <w:rsid w:val="004C1D29"/>
    <w:rsid w:val="004C1D96"/>
    <w:rsid w:val="004C2753"/>
    <w:rsid w:val="004C2CAE"/>
    <w:rsid w:val="004C30A7"/>
    <w:rsid w:val="004C3386"/>
    <w:rsid w:val="004C3FAF"/>
    <w:rsid w:val="004C44C9"/>
    <w:rsid w:val="004C472A"/>
    <w:rsid w:val="004C4A49"/>
    <w:rsid w:val="004C5E2A"/>
    <w:rsid w:val="004C69F8"/>
    <w:rsid w:val="004C6A3D"/>
    <w:rsid w:val="004C7240"/>
    <w:rsid w:val="004C740A"/>
    <w:rsid w:val="004C7CB8"/>
    <w:rsid w:val="004D0147"/>
    <w:rsid w:val="004D0880"/>
    <w:rsid w:val="004D08FD"/>
    <w:rsid w:val="004D0D95"/>
    <w:rsid w:val="004D1041"/>
    <w:rsid w:val="004D1131"/>
    <w:rsid w:val="004D1D3A"/>
    <w:rsid w:val="004D1E62"/>
    <w:rsid w:val="004D1F9C"/>
    <w:rsid w:val="004D2A75"/>
    <w:rsid w:val="004D2D75"/>
    <w:rsid w:val="004D2F98"/>
    <w:rsid w:val="004D35A8"/>
    <w:rsid w:val="004D372F"/>
    <w:rsid w:val="004D379C"/>
    <w:rsid w:val="004D43D7"/>
    <w:rsid w:val="004D44D1"/>
    <w:rsid w:val="004D4ABE"/>
    <w:rsid w:val="004D4C6D"/>
    <w:rsid w:val="004D4DA4"/>
    <w:rsid w:val="004D554E"/>
    <w:rsid w:val="004D55AA"/>
    <w:rsid w:val="004D5F18"/>
    <w:rsid w:val="004D65C0"/>
    <w:rsid w:val="004D6650"/>
    <w:rsid w:val="004D682B"/>
    <w:rsid w:val="004D71BB"/>
    <w:rsid w:val="004E0248"/>
    <w:rsid w:val="004E0BA8"/>
    <w:rsid w:val="004E19DD"/>
    <w:rsid w:val="004E2470"/>
    <w:rsid w:val="004E30B3"/>
    <w:rsid w:val="004E3520"/>
    <w:rsid w:val="004E3F96"/>
    <w:rsid w:val="004E4184"/>
    <w:rsid w:val="004E442F"/>
    <w:rsid w:val="004E4A5B"/>
    <w:rsid w:val="004E4D72"/>
    <w:rsid w:val="004E69D8"/>
    <w:rsid w:val="004E6F4B"/>
    <w:rsid w:val="004E7194"/>
    <w:rsid w:val="004E7323"/>
    <w:rsid w:val="004E73CB"/>
    <w:rsid w:val="004E79BD"/>
    <w:rsid w:val="004F00D7"/>
    <w:rsid w:val="004F01D5"/>
    <w:rsid w:val="004F0A37"/>
    <w:rsid w:val="004F1387"/>
    <w:rsid w:val="004F2010"/>
    <w:rsid w:val="004F223E"/>
    <w:rsid w:val="004F23C1"/>
    <w:rsid w:val="004F2708"/>
    <w:rsid w:val="004F299E"/>
    <w:rsid w:val="004F2EAC"/>
    <w:rsid w:val="004F343A"/>
    <w:rsid w:val="004F37DA"/>
    <w:rsid w:val="004F3CD9"/>
    <w:rsid w:val="004F3E88"/>
    <w:rsid w:val="004F3EDC"/>
    <w:rsid w:val="004F4365"/>
    <w:rsid w:val="004F478C"/>
    <w:rsid w:val="004F4EC9"/>
    <w:rsid w:val="004F4F6B"/>
    <w:rsid w:val="004F5937"/>
    <w:rsid w:val="004F59B5"/>
    <w:rsid w:val="004F5F2B"/>
    <w:rsid w:val="004F625A"/>
    <w:rsid w:val="004F6433"/>
    <w:rsid w:val="004F64D3"/>
    <w:rsid w:val="004F6DE2"/>
    <w:rsid w:val="004F7272"/>
    <w:rsid w:val="004F742D"/>
    <w:rsid w:val="004F74D7"/>
    <w:rsid w:val="004F7524"/>
    <w:rsid w:val="005000F1"/>
    <w:rsid w:val="005000FE"/>
    <w:rsid w:val="00500602"/>
    <w:rsid w:val="00500732"/>
    <w:rsid w:val="005007DD"/>
    <w:rsid w:val="00500D4C"/>
    <w:rsid w:val="00500E95"/>
    <w:rsid w:val="00501020"/>
    <w:rsid w:val="005012CC"/>
    <w:rsid w:val="005018AE"/>
    <w:rsid w:val="00501FB6"/>
    <w:rsid w:val="005024E6"/>
    <w:rsid w:val="0050283E"/>
    <w:rsid w:val="00502946"/>
    <w:rsid w:val="00502A96"/>
    <w:rsid w:val="00504BAB"/>
    <w:rsid w:val="00504C1E"/>
    <w:rsid w:val="00504D70"/>
    <w:rsid w:val="0050547E"/>
    <w:rsid w:val="005060F6"/>
    <w:rsid w:val="0050645C"/>
    <w:rsid w:val="00507073"/>
    <w:rsid w:val="00507199"/>
    <w:rsid w:val="005071D1"/>
    <w:rsid w:val="005101D2"/>
    <w:rsid w:val="00510D8C"/>
    <w:rsid w:val="00510FE8"/>
    <w:rsid w:val="00511EE0"/>
    <w:rsid w:val="005121CB"/>
    <w:rsid w:val="005121E3"/>
    <w:rsid w:val="005126D6"/>
    <w:rsid w:val="00512791"/>
    <w:rsid w:val="00512FA4"/>
    <w:rsid w:val="005131E4"/>
    <w:rsid w:val="0051365A"/>
    <w:rsid w:val="005138FD"/>
    <w:rsid w:val="00514644"/>
    <w:rsid w:val="00514A28"/>
    <w:rsid w:val="00515179"/>
    <w:rsid w:val="0051689A"/>
    <w:rsid w:val="0051694B"/>
    <w:rsid w:val="00517328"/>
    <w:rsid w:val="00517C0F"/>
    <w:rsid w:val="00517EE7"/>
    <w:rsid w:val="0052007B"/>
    <w:rsid w:val="005202BE"/>
    <w:rsid w:val="005205FA"/>
    <w:rsid w:val="0052098C"/>
    <w:rsid w:val="00521248"/>
    <w:rsid w:val="00521435"/>
    <w:rsid w:val="00521F2C"/>
    <w:rsid w:val="0052297A"/>
    <w:rsid w:val="00522A4A"/>
    <w:rsid w:val="00522DD1"/>
    <w:rsid w:val="00522F20"/>
    <w:rsid w:val="0052342A"/>
    <w:rsid w:val="00524331"/>
    <w:rsid w:val="005243B0"/>
    <w:rsid w:val="005246E1"/>
    <w:rsid w:val="00524AE2"/>
    <w:rsid w:val="00524B37"/>
    <w:rsid w:val="00524CA6"/>
    <w:rsid w:val="00525797"/>
    <w:rsid w:val="005258D6"/>
    <w:rsid w:val="00525B0D"/>
    <w:rsid w:val="005260CA"/>
    <w:rsid w:val="005263BF"/>
    <w:rsid w:val="005267A0"/>
    <w:rsid w:val="00526C5A"/>
    <w:rsid w:val="005271C2"/>
    <w:rsid w:val="00527F0C"/>
    <w:rsid w:val="00530302"/>
    <w:rsid w:val="005317F8"/>
    <w:rsid w:val="00531871"/>
    <w:rsid w:val="005318DC"/>
    <w:rsid w:val="00531EF1"/>
    <w:rsid w:val="00532240"/>
    <w:rsid w:val="00532428"/>
    <w:rsid w:val="00532A23"/>
    <w:rsid w:val="00532E59"/>
    <w:rsid w:val="00533828"/>
    <w:rsid w:val="00533991"/>
    <w:rsid w:val="0053472F"/>
    <w:rsid w:val="00534A62"/>
    <w:rsid w:val="0053594F"/>
    <w:rsid w:val="00536332"/>
    <w:rsid w:val="005370F3"/>
    <w:rsid w:val="005376C4"/>
    <w:rsid w:val="00537AC6"/>
    <w:rsid w:val="0054032F"/>
    <w:rsid w:val="005406DA"/>
    <w:rsid w:val="005409FA"/>
    <w:rsid w:val="00541092"/>
    <w:rsid w:val="0054118A"/>
    <w:rsid w:val="00541576"/>
    <w:rsid w:val="00541886"/>
    <w:rsid w:val="00541C64"/>
    <w:rsid w:val="00542933"/>
    <w:rsid w:val="00542D2D"/>
    <w:rsid w:val="00542DDE"/>
    <w:rsid w:val="005431A5"/>
    <w:rsid w:val="0054336C"/>
    <w:rsid w:val="0054352A"/>
    <w:rsid w:val="00543903"/>
    <w:rsid w:val="00544ECC"/>
    <w:rsid w:val="005451B1"/>
    <w:rsid w:val="0054524B"/>
    <w:rsid w:val="0054585E"/>
    <w:rsid w:val="00545DF3"/>
    <w:rsid w:val="00546C64"/>
    <w:rsid w:val="00547029"/>
    <w:rsid w:val="0054713E"/>
    <w:rsid w:val="005473AA"/>
    <w:rsid w:val="00547455"/>
    <w:rsid w:val="00547751"/>
    <w:rsid w:val="005477CC"/>
    <w:rsid w:val="0054784F"/>
    <w:rsid w:val="00550D08"/>
    <w:rsid w:val="005515AA"/>
    <w:rsid w:val="00552829"/>
    <w:rsid w:val="00552CC1"/>
    <w:rsid w:val="00552CE6"/>
    <w:rsid w:val="005530B2"/>
    <w:rsid w:val="005538BD"/>
    <w:rsid w:val="005540AE"/>
    <w:rsid w:val="00554256"/>
    <w:rsid w:val="00554E69"/>
    <w:rsid w:val="005558C0"/>
    <w:rsid w:val="00555A5D"/>
    <w:rsid w:val="00555C99"/>
    <w:rsid w:val="00555F5B"/>
    <w:rsid w:val="005560DC"/>
    <w:rsid w:val="00556370"/>
    <w:rsid w:val="005564B9"/>
    <w:rsid w:val="00556ABA"/>
    <w:rsid w:val="00556DA3"/>
    <w:rsid w:val="00556EBB"/>
    <w:rsid w:val="0055741E"/>
    <w:rsid w:val="00557A4A"/>
    <w:rsid w:val="00557AE9"/>
    <w:rsid w:val="00560241"/>
    <w:rsid w:val="005609FD"/>
    <w:rsid w:val="005610DF"/>
    <w:rsid w:val="00561291"/>
    <w:rsid w:val="00561378"/>
    <w:rsid w:val="00561670"/>
    <w:rsid w:val="00561722"/>
    <w:rsid w:val="00562631"/>
    <w:rsid w:val="0056286E"/>
    <w:rsid w:val="00562914"/>
    <w:rsid w:val="00562DBB"/>
    <w:rsid w:val="00563162"/>
    <w:rsid w:val="0056372E"/>
    <w:rsid w:val="00563EC1"/>
    <w:rsid w:val="00564235"/>
    <w:rsid w:val="00564C65"/>
    <w:rsid w:val="00565D47"/>
    <w:rsid w:val="00566811"/>
    <w:rsid w:val="00566A3F"/>
    <w:rsid w:val="00567122"/>
    <w:rsid w:val="00567AF6"/>
    <w:rsid w:val="00567C9A"/>
    <w:rsid w:val="005701D9"/>
    <w:rsid w:val="00570345"/>
    <w:rsid w:val="005703F3"/>
    <w:rsid w:val="00570E1C"/>
    <w:rsid w:val="00571A04"/>
    <w:rsid w:val="00571B25"/>
    <w:rsid w:val="00571C70"/>
    <w:rsid w:val="00572334"/>
    <w:rsid w:val="00572933"/>
    <w:rsid w:val="00572C1D"/>
    <w:rsid w:val="00572C52"/>
    <w:rsid w:val="0057334D"/>
    <w:rsid w:val="00573412"/>
    <w:rsid w:val="00573480"/>
    <w:rsid w:val="00573E7E"/>
    <w:rsid w:val="00573FF8"/>
    <w:rsid w:val="0057441E"/>
    <w:rsid w:val="00574DD1"/>
    <w:rsid w:val="00574DE2"/>
    <w:rsid w:val="00575F63"/>
    <w:rsid w:val="00575FC0"/>
    <w:rsid w:val="0057601F"/>
    <w:rsid w:val="005763EC"/>
    <w:rsid w:val="00576803"/>
    <w:rsid w:val="00576C88"/>
    <w:rsid w:val="00576DF1"/>
    <w:rsid w:val="00576EC9"/>
    <w:rsid w:val="005772EC"/>
    <w:rsid w:val="00577585"/>
    <w:rsid w:val="00577790"/>
    <w:rsid w:val="00577C86"/>
    <w:rsid w:val="00577D52"/>
    <w:rsid w:val="00577D7A"/>
    <w:rsid w:val="00577DB4"/>
    <w:rsid w:val="0058013D"/>
    <w:rsid w:val="005803A0"/>
    <w:rsid w:val="0058051A"/>
    <w:rsid w:val="0058119B"/>
    <w:rsid w:val="00581442"/>
    <w:rsid w:val="00581485"/>
    <w:rsid w:val="00581977"/>
    <w:rsid w:val="00581D45"/>
    <w:rsid w:val="00581E79"/>
    <w:rsid w:val="0058215D"/>
    <w:rsid w:val="0058236D"/>
    <w:rsid w:val="00582E48"/>
    <w:rsid w:val="0058325C"/>
    <w:rsid w:val="00583E3C"/>
    <w:rsid w:val="005848A6"/>
    <w:rsid w:val="0058497B"/>
    <w:rsid w:val="005849E8"/>
    <w:rsid w:val="00584AD8"/>
    <w:rsid w:val="00584B35"/>
    <w:rsid w:val="00584F44"/>
    <w:rsid w:val="00584F91"/>
    <w:rsid w:val="00585F44"/>
    <w:rsid w:val="00586034"/>
    <w:rsid w:val="00586683"/>
    <w:rsid w:val="00587CEB"/>
    <w:rsid w:val="005901B3"/>
    <w:rsid w:val="005901C9"/>
    <w:rsid w:val="005917E8"/>
    <w:rsid w:val="00591B33"/>
    <w:rsid w:val="00591B66"/>
    <w:rsid w:val="00591B7E"/>
    <w:rsid w:val="00592034"/>
    <w:rsid w:val="0059205F"/>
    <w:rsid w:val="00592112"/>
    <w:rsid w:val="00592297"/>
    <w:rsid w:val="005927DC"/>
    <w:rsid w:val="00592B3C"/>
    <w:rsid w:val="005930F9"/>
    <w:rsid w:val="00593E3F"/>
    <w:rsid w:val="00594104"/>
    <w:rsid w:val="005945E6"/>
    <w:rsid w:val="00594827"/>
    <w:rsid w:val="00594A03"/>
    <w:rsid w:val="00594BA8"/>
    <w:rsid w:val="00594F4E"/>
    <w:rsid w:val="005950E6"/>
    <w:rsid w:val="00595252"/>
    <w:rsid w:val="00595641"/>
    <w:rsid w:val="00595D91"/>
    <w:rsid w:val="00596645"/>
    <w:rsid w:val="00596926"/>
    <w:rsid w:val="00597447"/>
    <w:rsid w:val="00597A2F"/>
    <w:rsid w:val="005A00DF"/>
    <w:rsid w:val="005A0E94"/>
    <w:rsid w:val="005A0EE9"/>
    <w:rsid w:val="005A0F4A"/>
    <w:rsid w:val="005A0FE2"/>
    <w:rsid w:val="005A1248"/>
    <w:rsid w:val="005A1A8B"/>
    <w:rsid w:val="005A1D20"/>
    <w:rsid w:val="005A1F0F"/>
    <w:rsid w:val="005A22DC"/>
    <w:rsid w:val="005A24A6"/>
    <w:rsid w:val="005A24E3"/>
    <w:rsid w:val="005A2C4A"/>
    <w:rsid w:val="005A338F"/>
    <w:rsid w:val="005A383C"/>
    <w:rsid w:val="005A3D96"/>
    <w:rsid w:val="005A3F23"/>
    <w:rsid w:val="005A41D7"/>
    <w:rsid w:val="005A423E"/>
    <w:rsid w:val="005A4521"/>
    <w:rsid w:val="005A4707"/>
    <w:rsid w:val="005A4B15"/>
    <w:rsid w:val="005A4DDC"/>
    <w:rsid w:val="005A4E1C"/>
    <w:rsid w:val="005A53A1"/>
    <w:rsid w:val="005A598E"/>
    <w:rsid w:val="005A5C2D"/>
    <w:rsid w:val="005A5F2B"/>
    <w:rsid w:val="005A60EC"/>
    <w:rsid w:val="005A62C4"/>
    <w:rsid w:val="005A6316"/>
    <w:rsid w:val="005A64D9"/>
    <w:rsid w:val="005A6895"/>
    <w:rsid w:val="005A6A39"/>
    <w:rsid w:val="005B0516"/>
    <w:rsid w:val="005B0997"/>
    <w:rsid w:val="005B0C38"/>
    <w:rsid w:val="005B1701"/>
    <w:rsid w:val="005B1F85"/>
    <w:rsid w:val="005B3C42"/>
    <w:rsid w:val="005B3CE9"/>
    <w:rsid w:val="005B453B"/>
    <w:rsid w:val="005B497E"/>
    <w:rsid w:val="005B4A1D"/>
    <w:rsid w:val="005B4B8D"/>
    <w:rsid w:val="005B4EC2"/>
    <w:rsid w:val="005B5B83"/>
    <w:rsid w:val="005B619D"/>
    <w:rsid w:val="005B61D4"/>
    <w:rsid w:val="005B6325"/>
    <w:rsid w:val="005B6890"/>
    <w:rsid w:val="005B6B6A"/>
    <w:rsid w:val="005B74AD"/>
    <w:rsid w:val="005C039C"/>
    <w:rsid w:val="005C107A"/>
    <w:rsid w:val="005C18D7"/>
    <w:rsid w:val="005C1AAB"/>
    <w:rsid w:val="005C1D30"/>
    <w:rsid w:val="005C1EE2"/>
    <w:rsid w:val="005C2656"/>
    <w:rsid w:val="005C2814"/>
    <w:rsid w:val="005C49E1"/>
    <w:rsid w:val="005C4EC8"/>
    <w:rsid w:val="005C5154"/>
    <w:rsid w:val="005C51BA"/>
    <w:rsid w:val="005C570E"/>
    <w:rsid w:val="005C5CF8"/>
    <w:rsid w:val="005C5EBB"/>
    <w:rsid w:val="005C698E"/>
    <w:rsid w:val="005C727E"/>
    <w:rsid w:val="005C7445"/>
    <w:rsid w:val="005C74BA"/>
    <w:rsid w:val="005D04B7"/>
    <w:rsid w:val="005D0A52"/>
    <w:rsid w:val="005D0B12"/>
    <w:rsid w:val="005D0D93"/>
    <w:rsid w:val="005D0EC8"/>
    <w:rsid w:val="005D109A"/>
    <w:rsid w:val="005D12DB"/>
    <w:rsid w:val="005D1AA1"/>
    <w:rsid w:val="005D21B8"/>
    <w:rsid w:val="005D21F6"/>
    <w:rsid w:val="005D2204"/>
    <w:rsid w:val="005D220C"/>
    <w:rsid w:val="005D26E5"/>
    <w:rsid w:val="005D2813"/>
    <w:rsid w:val="005D33BF"/>
    <w:rsid w:val="005D35B1"/>
    <w:rsid w:val="005D36A9"/>
    <w:rsid w:val="005D3D19"/>
    <w:rsid w:val="005D40C7"/>
    <w:rsid w:val="005D4344"/>
    <w:rsid w:val="005D44BB"/>
    <w:rsid w:val="005D4512"/>
    <w:rsid w:val="005D4632"/>
    <w:rsid w:val="005D4A16"/>
    <w:rsid w:val="005D50A0"/>
    <w:rsid w:val="005D52B2"/>
    <w:rsid w:val="005D533C"/>
    <w:rsid w:val="005D5585"/>
    <w:rsid w:val="005D595E"/>
    <w:rsid w:val="005D5D52"/>
    <w:rsid w:val="005D616A"/>
    <w:rsid w:val="005D6317"/>
    <w:rsid w:val="005D691E"/>
    <w:rsid w:val="005D7064"/>
    <w:rsid w:val="005D756C"/>
    <w:rsid w:val="005D77C3"/>
    <w:rsid w:val="005D79B8"/>
    <w:rsid w:val="005D7CC3"/>
    <w:rsid w:val="005E039B"/>
    <w:rsid w:val="005E0944"/>
    <w:rsid w:val="005E0B94"/>
    <w:rsid w:val="005E0D8B"/>
    <w:rsid w:val="005E0E49"/>
    <w:rsid w:val="005E1457"/>
    <w:rsid w:val="005E16CD"/>
    <w:rsid w:val="005E18BE"/>
    <w:rsid w:val="005E19A4"/>
    <w:rsid w:val="005E1C60"/>
    <w:rsid w:val="005E2174"/>
    <w:rsid w:val="005E2809"/>
    <w:rsid w:val="005E2F54"/>
    <w:rsid w:val="005E3BAF"/>
    <w:rsid w:val="005E437E"/>
    <w:rsid w:val="005E4787"/>
    <w:rsid w:val="005E489C"/>
    <w:rsid w:val="005E4EE1"/>
    <w:rsid w:val="005E5675"/>
    <w:rsid w:val="005E5B6E"/>
    <w:rsid w:val="005E5BB3"/>
    <w:rsid w:val="005E5DEE"/>
    <w:rsid w:val="005E5E97"/>
    <w:rsid w:val="005E6A77"/>
    <w:rsid w:val="005E6C8C"/>
    <w:rsid w:val="005E6D9D"/>
    <w:rsid w:val="005E6EAB"/>
    <w:rsid w:val="005E75C4"/>
    <w:rsid w:val="005F00FF"/>
    <w:rsid w:val="005F0F2E"/>
    <w:rsid w:val="005F1359"/>
    <w:rsid w:val="005F1A05"/>
    <w:rsid w:val="005F1B48"/>
    <w:rsid w:val="005F2C9F"/>
    <w:rsid w:val="005F2D9D"/>
    <w:rsid w:val="005F3287"/>
    <w:rsid w:val="005F3383"/>
    <w:rsid w:val="005F377B"/>
    <w:rsid w:val="005F3815"/>
    <w:rsid w:val="005F3AEE"/>
    <w:rsid w:val="005F3C48"/>
    <w:rsid w:val="005F405D"/>
    <w:rsid w:val="005F4F35"/>
    <w:rsid w:val="005F4F6C"/>
    <w:rsid w:val="005F5289"/>
    <w:rsid w:val="005F5519"/>
    <w:rsid w:val="005F5600"/>
    <w:rsid w:val="005F5608"/>
    <w:rsid w:val="005F5A65"/>
    <w:rsid w:val="005F5E98"/>
    <w:rsid w:val="005F78A4"/>
    <w:rsid w:val="0060029B"/>
    <w:rsid w:val="00600372"/>
    <w:rsid w:val="0060069A"/>
    <w:rsid w:val="006009E0"/>
    <w:rsid w:val="0060120B"/>
    <w:rsid w:val="006012B0"/>
    <w:rsid w:val="00601317"/>
    <w:rsid w:val="00601ECD"/>
    <w:rsid w:val="00602003"/>
    <w:rsid w:val="00602158"/>
    <w:rsid w:val="0060235D"/>
    <w:rsid w:val="006029C8"/>
    <w:rsid w:val="00602E17"/>
    <w:rsid w:val="006038E6"/>
    <w:rsid w:val="00603D30"/>
    <w:rsid w:val="00603F65"/>
    <w:rsid w:val="006041E4"/>
    <w:rsid w:val="00604407"/>
    <w:rsid w:val="00604709"/>
    <w:rsid w:val="006051E2"/>
    <w:rsid w:val="00605866"/>
    <w:rsid w:val="006059B6"/>
    <w:rsid w:val="00605C44"/>
    <w:rsid w:val="00605D6B"/>
    <w:rsid w:val="00605F3B"/>
    <w:rsid w:val="00606534"/>
    <w:rsid w:val="006065B1"/>
    <w:rsid w:val="00606672"/>
    <w:rsid w:val="00606C1A"/>
    <w:rsid w:val="00606D85"/>
    <w:rsid w:val="00606F89"/>
    <w:rsid w:val="00607032"/>
    <w:rsid w:val="006070CD"/>
    <w:rsid w:val="00607550"/>
    <w:rsid w:val="0061001D"/>
    <w:rsid w:val="006100CF"/>
    <w:rsid w:val="00610870"/>
    <w:rsid w:val="00611C99"/>
    <w:rsid w:val="00611F70"/>
    <w:rsid w:val="00611FC8"/>
    <w:rsid w:val="006121D6"/>
    <w:rsid w:val="006122A5"/>
    <w:rsid w:val="00612F0B"/>
    <w:rsid w:val="0061365C"/>
    <w:rsid w:val="00613E45"/>
    <w:rsid w:val="006142EA"/>
    <w:rsid w:val="006144D2"/>
    <w:rsid w:val="00614E5A"/>
    <w:rsid w:val="00615A64"/>
    <w:rsid w:val="00615A9A"/>
    <w:rsid w:val="006160DE"/>
    <w:rsid w:val="0061633D"/>
    <w:rsid w:val="00616C8F"/>
    <w:rsid w:val="006173D1"/>
    <w:rsid w:val="00617BEB"/>
    <w:rsid w:val="00617E68"/>
    <w:rsid w:val="006208A3"/>
    <w:rsid w:val="00621232"/>
    <w:rsid w:val="00621BEA"/>
    <w:rsid w:val="006221C5"/>
    <w:rsid w:val="00622AB0"/>
    <w:rsid w:val="00622AE5"/>
    <w:rsid w:val="00623055"/>
    <w:rsid w:val="00623603"/>
    <w:rsid w:val="00623F89"/>
    <w:rsid w:val="006242E8"/>
    <w:rsid w:val="0062463B"/>
    <w:rsid w:val="0062484D"/>
    <w:rsid w:val="00624867"/>
    <w:rsid w:val="00624A7D"/>
    <w:rsid w:val="00624BD9"/>
    <w:rsid w:val="006268A5"/>
    <w:rsid w:val="00626C79"/>
    <w:rsid w:val="00626FE9"/>
    <w:rsid w:val="006276B3"/>
    <w:rsid w:val="00627F18"/>
    <w:rsid w:val="00627F8D"/>
    <w:rsid w:val="00630656"/>
    <w:rsid w:val="0063082D"/>
    <w:rsid w:val="00630B05"/>
    <w:rsid w:val="006313EE"/>
    <w:rsid w:val="00631A83"/>
    <w:rsid w:val="00631AFB"/>
    <w:rsid w:val="00631C9C"/>
    <w:rsid w:val="006322A9"/>
    <w:rsid w:val="00632A1F"/>
    <w:rsid w:val="00632ADB"/>
    <w:rsid w:val="0063326A"/>
    <w:rsid w:val="0063349B"/>
    <w:rsid w:val="0063391B"/>
    <w:rsid w:val="00633F32"/>
    <w:rsid w:val="00634F2D"/>
    <w:rsid w:val="006350D1"/>
    <w:rsid w:val="0063518F"/>
    <w:rsid w:val="006351B2"/>
    <w:rsid w:val="00635D16"/>
    <w:rsid w:val="0063608D"/>
    <w:rsid w:val="006368CA"/>
    <w:rsid w:val="00636AC9"/>
    <w:rsid w:val="00636FF6"/>
    <w:rsid w:val="006372E2"/>
    <w:rsid w:val="0064084F"/>
    <w:rsid w:val="006415AB"/>
    <w:rsid w:val="00641E3E"/>
    <w:rsid w:val="006421C3"/>
    <w:rsid w:val="006423BA"/>
    <w:rsid w:val="00642626"/>
    <w:rsid w:val="006427CB"/>
    <w:rsid w:val="00642BFC"/>
    <w:rsid w:val="00642C87"/>
    <w:rsid w:val="00642DC8"/>
    <w:rsid w:val="006436BD"/>
    <w:rsid w:val="006439AE"/>
    <w:rsid w:val="00643DE8"/>
    <w:rsid w:val="006442D7"/>
    <w:rsid w:val="00644B54"/>
    <w:rsid w:val="00644B75"/>
    <w:rsid w:val="00644BF6"/>
    <w:rsid w:val="00644F2F"/>
    <w:rsid w:val="00644FA9"/>
    <w:rsid w:val="006458E7"/>
    <w:rsid w:val="00645B4C"/>
    <w:rsid w:val="00645CD0"/>
    <w:rsid w:val="00646061"/>
    <w:rsid w:val="00646A52"/>
    <w:rsid w:val="00646FCE"/>
    <w:rsid w:val="006472D6"/>
    <w:rsid w:val="006476CF"/>
    <w:rsid w:val="00647CE3"/>
    <w:rsid w:val="00650280"/>
    <w:rsid w:val="006503BC"/>
    <w:rsid w:val="0065092B"/>
    <w:rsid w:val="0065153C"/>
    <w:rsid w:val="00651D7E"/>
    <w:rsid w:val="0065330F"/>
    <w:rsid w:val="00653387"/>
    <w:rsid w:val="0065387B"/>
    <w:rsid w:val="006539F9"/>
    <w:rsid w:val="00653F71"/>
    <w:rsid w:val="0065406A"/>
    <w:rsid w:val="00654114"/>
    <w:rsid w:val="0065419B"/>
    <w:rsid w:val="00654654"/>
    <w:rsid w:val="0065568C"/>
    <w:rsid w:val="006557BC"/>
    <w:rsid w:val="0065614A"/>
    <w:rsid w:val="0065623B"/>
    <w:rsid w:val="006572C8"/>
    <w:rsid w:val="00657A3C"/>
    <w:rsid w:val="00657BA4"/>
    <w:rsid w:val="00660763"/>
    <w:rsid w:val="006609DF"/>
    <w:rsid w:val="00660B73"/>
    <w:rsid w:val="006616E8"/>
    <w:rsid w:val="00661B4C"/>
    <w:rsid w:val="00661CE6"/>
    <w:rsid w:val="00661D64"/>
    <w:rsid w:val="00661F2D"/>
    <w:rsid w:val="0066206B"/>
    <w:rsid w:val="00662101"/>
    <w:rsid w:val="00662838"/>
    <w:rsid w:val="006628F9"/>
    <w:rsid w:val="00662ABA"/>
    <w:rsid w:val="00662F9B"/>
    <w:rsid w:val="006633DC"/>
    <w:rsid w:val="00663BFB"/>
    <w:rsid w:val="0066408F"/>
    <w:rsid w:val="006640E2"/>
    <w:rsid w:val="00664B66"/>
    <w:rsid w:val="00664CEA"/>
    <w:rsid w:val="00664E51"/>
    <w:rsid w:val="00664FD6"/>
    <w:rsid w:val="006652BF"/>
    <w:rsid w:val="00665BA4"/>
    <w:rsid w:val="00665FE6"/>
    <w:rsid w:val="0066636B"/>
    <w:rsid w:val="006665AE"/>
    <w:rsid w:val="00667736"/>
    <w:rsid w:val="006677C6"/>
    <w:rsid w:val="00667815"/>
    <w:rsid w:val="00667EE6"/>
    <w:rsid w:val="006707E8"/>
    <w:rsid w:val="00670D64"/>
    <w:rsid w:val="006717F1"/>
    <w:rsid w:val="0067240F"/>
    <w:rsid w:val="0067245C"/>
    <w:rsid w:val="006728F2"/>
    <w:rsid w:val="00673359"/>
    <w:rsid w:val="00673732"/>
    <w:rsid w:val="00673BD9"/>
    <w:rsid w:val="00673BFF"/>
    <w:rsid w:val="00673F1A"/>
    <w:rsid w:val="00673F49"/>
    <w:rsid w:val="0067429A"/>
    <w:rsid w:val="00675473"/>
    <w:rsid w:val="006754BE"/>
    <w:rsid w:val="00675713"/>
    <w:rsid w:val="006758C6"/>
    <w:rsid w:val="00675B13"/>
    <w:rsid w:val="00675CB4"/>
    <w:rsid w:val="00675DDC"/>
    <w:rsid w:val="006761B2"/>
    <w:rsid w:val="00677123"/>
    <w:rsid w:val="00677147"/>
    <w:rsid w:val="00677245"/>
    <w:rsid w:val="00677382"/>
    <w:rsid w:val="00677537"/>
    <w:rsid w:val="0067781A"/>
    <w:rsid w:val="006801B9"/>
    <w:rsid w:val="006805F5"/>
    <w:rsid w:val="00680BF6"/>
    <w:rsid w:val="00680D90"/>
    <w:rsid w:val="00680E96"/>
    <w:rsid w:val="006814EA"/>
    <w:rsid w:val="00682994"/>
    <w:rsid w:val="006837F5"/>
    <w:rsid w:val="00683E69"/>
    <w:rsid w:val="0068427F"/>
    <w:rsid w:val="00684921"/>
    <w:rsid w:val="00684BE1"/>
    <w:rsid w:val="00685874"/>
    <w:rsid w:val="00685BE5"/>
    <w:rsid w:val="00686062"/>
    <w:rsid w:val="0068610A"/>
    <w:rsid w:val="00686166"/>
    <w:rsid w:val="0068619A"/>
    <w:rsid w:val="0068638A"/>
    <w:rsid w:val="00686457"/>
    <w:rsid w:val="006868BE"/>
    <w:rsid w:val="00686EC6"/>
    <w:rsid w:val="0068772A"/>
    <w:rsid w:val="00687B42"/>
    <w:rsid w:val="00687DAB"/>
    <w:rsid w:val="00687E3B"/>
    <w:rsid w:val="00690403"/>
    <w:rsid w:val="006905F7"/>
    <w:rsid w:val="0069078F"/>
    <w:rsid w:val="00690C2D"/>
    <w:rsid w:val="006910BD"/>
    <w:rsid w:val="00691560"/>
    <w:rsid w:val="006919CD"/>
    <w:rsid w:val="0069200E"/>
    <w:rsid w:val="0069253B"/>
    <w:rsid w:val="00692A1F"/>
    <w:rsid w:val="00693406"/>
    <w:rsid w:val="0069383C"/>
    <w:rsid w:val="0069388B"/>
    <w:rsid w:val="00693D6D"/>
    <w:rsid w:val="00694246"/>
    <w:rsid w:val="006942DB"/>
    <w:rsid w:val="006945A3"/>
    <w:rsid w:val="0069577D"/>
    <w:rsid w:val="00695A0A"/>
    <w:rsid w:val="00695BD7"/>
    <w:rsid w:val="00695C37"/>
    <w:rsid w:val="00696C03"/>
    <w:rsid w:val="006970CA"/>
    <w:rsid w:val="00697113"/>
    <w:rsid w:val="0069714C"/>
    <w:rsid w:val="0069737C"/>
    <w:rsid w:val="00697457"/>
    <w:rsid w:val="006975B8"/>
    <w:rsid w:val="006976FC"/>
    <w:rsid w:val="00697983"/>
    <w:rsid w:val="00697ED7"/>
    <w:rsid w:val="006A0391"/>
    <w:rsid w:val="006A0421"/>
    <w:rsid w:val="006A05FD"/>
    <w:rsid w:val="006A0EF4"/>
    <w:rsid w:val="006A1831"/>
    <w:rsid w:val="006A1ADD"/>
    <w:rsid w:val="006A1B2C"/>
    <w:rsid w:val="006A1B75"/>
    <w:rsid w:val="006A1C55"/>
    <w:rsid w:val="006A217D"/>
    <w:rsid w:val="006A230B"/>
    <w:rsid w:val="006A2904"/>
    <w:rsid w:val="006A2D5B"/>
    <w:rsid w:val="006A2F90"/>
    <w:rsid w:val="006A3726"/>
    <w:rsid w:val="006A388D"/>
    <w:rsid w:val="006A40E9"/>
    <w:rsid w:val="006A422A"/>
    <w:rsid w:val="006A4A31"/>
    <w:rsid w:val="006A4C24"/>
    <w:rsid w:val="006A556D"/>
    <w:rsid w:val="006A6081"/>
    <w:rsid w:val="006A63D4"/>
    <w:rsid w:val="006A69AA"/>
    <w:rsid w:val="006A6AC3"/>
    <w:rsid w:val="006A6CF6"/>
    <w:rsid w:val="006A6DDE"/>
    <w:rsid w:val="006B0341"/>
    <w:rsid w:val="006B077D"/>
    <w:rsid w:val="006B1029"/>
    <w:rsid w:val="006B1113"/>
    <w:rsid w:val="006B16FE"/>
    <w:rsid w:val="006B17FD"/>
    <w:rsid w:val="006B311A"/>
    <w:rsid w:val="006B33FF"/>
    <w:rsid w:val="006B3922"/>
    <w:rsid w:val="006B3E1C"/>
    <w:rsid w:val="006B4694"/>
    <w:rsid w:val="006B4749"/>
    <w:rsid w:val="006B56D5"/>
    <w:rsid w:val="006B58A3"/>
    <w:rsid w:val="006B5CEA"/>
    <w:rsid w:val="006B5EEC"/>
    <w:rsid w:val="006B66AC"/>
    <w:rsid w:val="006B76CE"/>
    <w:rsid w:val="006B7A1C"/>
    <w:rsid w:val="006C00ED"/>
    <w:rsid w:val="006C0308"/>
    <w:rsid w:val="006C0958"/>
    <w:rsid w:val="006C0ECB"/>
    <w:rsid w:val="006C1408"/>
    <w:rsid w:val="006C17F7"/>
    <w:rsid w:val="006C1DE3"/>
    <w:rsid w:val="006C1E8C"/>
    <w:rsid w:val="006C1EB7"/>
    <w:rsid w:val="006C2C67"/>
    <w:rsid w:val="006C379C"/>
    <w:rsid w:val="006C43E4"/>
    <w:rsid w:val="006C4873"/>
    <w:rsid w:val="006C4AFB"/>
    <w:rsid w:val="006C4C11"/>
    <w:rsid w:val="006C53B8"/>
    <w:rsid w:val="006C58AD"/>
    <w:rsid w:val="006C5E26"/>
    <w:rsid w:val="006C5F0E"/>
    <w:rsid w:val="006C6180"/>
    <w:rsid w:val="006C61D5"/>
    <w:rsid w:val="006C67F6"/>
    <w:rsid w:val="006C6E6E"/>
    <w:rsid w:val="006C70F5"/>
    <w:rsid w:val="006C71F2"/>
    <w:rsid w:val="006C7990"/>
    <w:rsid w:val="006D003D"/>
    <w:rsid w:val="006D01AC"/>
    <w:rsid w:val="006D02E9"/>
    <w:rsid w:val="006D0A28"/>
    <w:rsid w:val="006D0D5A"/>
    <w:rsid w:val="006D0E0A"/>
    <w:rsid w:val="006D14BB"/>
    <w:rsid w:val="006D14F7"/>
    <w:rsid w:val="006D1596"/>
    <w:rsid w:val="006D1937"/>
    <w:rsid w:val="006D196D"/>
    <w:rsid w:val="006D20B3"/>
    <w:rsid w:val="006D25C8"/>
    <w:rsid w:val="006D2647"/>
    <w:rsid w:val="006D2B8F"/>
    <w:rsid w:val="006D3DC0"/>
    <w:rsid w:val="006D403E"/>
    <w:rsid w:val="006D463C"/>
    <w:rsid w:val="006D4854"/>
    <w:rsid w:val="006D49FB"/>
    <w:rsid w:val="006D4B46"/>
    <w:rsid w:val="006D4E45"/>
    <w:rsid w:val="006D53F4"/>
    <w:rsid w:val="006D5DD5"/>
    <w:rsid w:val="006D6253"/>
    <w:rsid w:val="006D6E01"/>
    <w:rsid w:val="006D7116"/>
    <w:rsid w:val="006D727A"/>
    <w:rsid w:val="006D72C5"/>
    <w:rsid w:val="006D7D37"/>
    <w:rsid w:val="006E01D0"/>
    <w:rsid w:val="006E0F5A"/>
    <w:rsid w:val="006E1002"/>
    <w:rsid w:val="006E1034"/>
    <w:rsid w:val="006E1866"/>
    <w:rsid w:val="006E1B0D"/>
    <w:rsid w:val="006E1F3B"/>
    <w:rsid w:val="006E2674"/>
    <w:rsid w:val="006E2D29"/>
    <w:rsid w:val="006E348D"/>
    <w:rsid w:val="006E3946"/>
    <w:rsid w:val="006E413F"/>
    <w:rsid w:val="006E51FE"/>
    <w:rsid w:val="006E524E"/>
    <w:rsid w:val="006E525A"/>
    <w:rsid w:val="006E54BA"/>
    <w:rsid w:val="006E58D2"/>
    <w:rsid w:val="006E5B74"/>
    <w:rsid w:val="006E5C9E"/>
    <w:rsid w:val="006E5E3A"/>
    <w:rsid w:val="006E60D3"/>
    <w:rsid w:val="006E6656"/>
    <w:rsid w:val="006E6A89"/>
    <w:rsid w:val="006E76D6"/>
    <w:rsid w:val="006E7A81"/>
    <w:rsid w:val="006E7D33"/>
    <w:rsid w:val="006F0048"/>
    <w:rsid w:val="006F0072"/>
    <w:rsid w:val="006F01BC"/>
    <w:rsid w:val="006F0457"/>
    <w:rsid w:val="006F13E4"/>
    <w:rsid w:val="006F142C"/>
    <w:rsid w:val="006F2091"/>
    <w:rsid w:val="006F2307"/>
    <w:rsid w:val="006F29AA"/>
    <w:rsid w:val="006F3941"/>
    <w:rsid w:val="006F3E4A"/>
    <w:rsid w:val="006F4376"/>
    <w:rsid w:val="006F470E"/>
    <w:rsid w:val="006F4A0C"/>
    <w:rsid w:val="006F5ABD"/>
    <w:rsid w:val="006F5B55"/>
    <w:rsid w:val="006F5E2B"/>
    <w:rsid w:val="006F60DB"/>
    <w:rsid w:val="006F64BE"/>
    <w:rsid w:val="006F667F"/>
    <w:rsid w:val="006F6A55"/>
    <w:rsid w:val="006F71A3"/>
    <w:rsid w:val="006F7CC8"/>
    <w:rsid w:val="006F7E3C"/>
    <w:rsid w:val="007004EE"/>
    <w:rsid w:val="00700E86"/>
    <w:rsid w:val="007014E6"/>
    <w:rsid w:val="007015D1"/>
    <w:rsid w:val="00701793"/>
    <w:rsid w:val="00701FC3"/>
    <w:rsid w:val="0070208E"/>
    <w:rsid w:val="007023BE"/>
    <w:rsid w:val="007023FB"/>
    <w:rsid w:val="007024EA"/>
    <w:rsid w:val="00702A58"/>
    <w:rsid w:val="0070455D"/>
    <w:rsid w:val="007045D7"/>
    <w:rsid w:val="00704655"/>
    <w:rsid w:val="00704A7B"/>
    <w:rsid w:val="00704BDD"/>
    <w:rsid w:val="007056A5"/>
    <w:rsid w:val="0070585C"/>
    <w:rsid w:val="0070596A"/>
    <w:rsid w:val="00705D0E"/>
    <w:rsid w:val="007063B7"/>
    <w:rsid w:val="007065D6"/>
    <w:rsid w:val="007065EB"/>
    <w:rsid w:val="00707171"/>
    <w:rsid w:val="00707AE7"/>
    <w:rsid w:val="00707D7F"/>
    <w:rsid w:val="00707F6D"/>
    <w:rsid w:val="0071057C"/>
    <w:rsid w:val="00710C7E"/>
    <w:rsid w:val="00710F4B"/>
    <w:rsid w:val="007121B5"/>
    <w:rsid w:val="0071317C"/>
    <w:rsid w:val="007138ED"/>
    <w:rsid w:val="00713926"/>
    <w:rsid w:val="00713A11"/>
    <w:rsid w:val="00713D84"/>
    <w:rsid w:val="007140FF"/>
    <w:rsid w:val="00714209"/>
    <w:rsid w:val="0071427F"/>
    <w:rsid w:val="00714D9D"/>
    <w:rsid w:val="00715840"/>
    <w:rsid w:val="007170F7"/>
    <w:rsid w:val="00717449"/>
    <w:rsid w:val="007174EC"/>
    <w:rsid w:val="00717607"/>
    <w:rsid w:val="00717854"/>
    <w:rsid w:val="00717B64"/>
    <w:rsid w:val="00717C40"/>
    <w:rsid w:val="00717EB5"/>
    <w:rsid w:val="00717FCF"/>
    <w:rsid w:val="0072007A"/>
    <w:rsid w:val="00720125"/>
    <w:rsid w:val="00720611"/>
    <w:rsid w:val="0072066E"/>
    <w:rsid w:val="007208C0"/>
    <w:rsid w:val="00720AB5"/>
    <w:rsid w:val="007210CF"/>
    <w:rsid w:val="00721ACB"/>
    <w:rsid w:val="00721DD1"/>
    <w:rsid w:val="00721F96"/>
    <w:rsid w:val="007229CC"/>
    <w:rsid w:val="007231D4"/>
    <w:rsid w:val="0072345D"/>
    <w:rsid w:val="00723470"/>
    <w:rsid w:val="0072378A"/>
    <w:rsid w:val="00723A12"/>
    <w:rsid w:val="00723A43"/>
    <w:rsid w:val="00724518"/>
    <w:rsid w:val="0072452E"/>
    <w:rsid w:val="007245A0"/>
    <w:rsid w:val="00724683"/>
    <w:rsid w:val="0072469E"/>
    <w:rsid w:val="00724DD4"/>
    <w:rsid w:val="007252C3"/>
    <w:rsid w:val="00725ABE"/>
    <w:rsid w:val="00726001"/>
    <w:rsid w:val="00726093"/>
    <w:rsid w:val="007265B0"/>
    <w:rsid w:val="0072708A"/>
    <w:rsid w:val="007271FE"/>
    <w:rsid w:val="00727AEB"/>
    <w:rsid w:val="00727D89"/>
    <w:rsid w:val="00727DAD"/>
    <w:rsid w:val="007303FA"/>
    <w:rsid w:val="00730966"/>
    <w:rsid w:val="00730F7A"/>
    <w:rsid w:val="007314F0"/>
    <w:rsid w:val="00731540"/>
    <w:rsid w:val="007323FD"/>
    <w:rsid w:val="00732553"/>
    <w:rsid w:val="007327D9"/>
    <w:rsid w:val="00732984"/>
    <w:rsid w:val="00732DF1"/>
    <w:rsid w:val="007333B2"/>
    <w:rsid w:val="00733BCF"/>
    <w:rsid w:val="00734AED"/>
    <w:rsid w:val="00734BAA"/>
    <w:rsid w:val="0073500A"/>
    <w:rsid w:val="00735028"/>
    <w:rsid w:val="00735084"/>
    <w:rsid w:val="00735E94"/>
    <w:rsid w:val="007362EE"/>
    <w:rsid w:val="007367D8"/>
    <w:rsid w:val="00736ACC"/>
    <w:rsid w:val="00736BF4"/>
    <w:rsid w:val="00737018"/>
    <w:rsid w:val="00737068"/>
    <w:rsid w:val="00737159"/>
    <w:rsid w:val="00740102"/>
    <w:rsid w:val="0074023E"/>
    <w:rsid w:val="007412DE"/>
    <w:rsid w:val="00741A38"/>
    <w:rsid w:val="00741B09"/>
    <w:rsid w:val="00741C0F"/>
    <w:rsid w:val="00741C18"/>
    <w:rsid w:val="00742108"/>
    <w:rsid w:val="00742488"/>
    <w:rsid w:val="00742DDC"/>
    <w:rsid w:val="007430EC"/>
    <w:rsid w:val="00743A07"/>
    <w:rsid w:val="0074409F"/>
    <w:rsid w:val="007442C4"/>
    <w:rsid w:val="0074432E"/>
    <w:rsid w:val="00744DA8"/>
    <w:rsid w:val="00744EF3"/>
    <w:rsid w:val="0074508E"/>
    <w:rsid w:val="00746994"/>
    <w:rsid w:val="00746F71"/>
    <w:rsid w:val="007472D8"/>
    <w:rsid w:val="007472DF"/>
    <w:rsid w:val="007504C1"/>
    <w:rsid w:val="00750605"/>
    <w:rsid w:val="007507A1"/>
    <w:rsid w:val="00750956"/>
    <w:rsid w:val="00750A0B"/>
    <w:rsid w:val="00750C33"/>
    <w:rsid w:val="00750CED"/>
    <w:rsid w:val="00750D22"/>
    <w:rsid w:val="00751366"/>
    <w:rsid w:val="00751D59"/>
    <w:rsid w:val="00751D5E"/>
    <w:rsid w:val="00751FB5"/>
    <w:rsid w:val="007522A8"/>
    <w:rsid w:val="0075299C"/>
    <w:rsid w:val="00752C4C"/>
    <w:rsid w:val="00752FF7"/>
    <w:rsid w:val="007538BC"/>
    <w:rsid w:val="00753BD7"/>
    <w:rsid w:val="0075421A"/>
    <w:rsid w:val="00754DBC"/>
    <w:rsid w:val="00754EA4"/>
    <w:rsid w:val="0075559A"/>
    <w:rsid w:val="00755C99"/>
    <w:rsid w:val="00755E6D"/>
    <w:rsid w:val="00755EC1"/>
    <w:rsid w:val="00756114"/>
    <w:rsid w:val="0075627C"/>
    <w:rsid w:val="00756B25"/>
    <w:rsid w:val="00757ECD"/>
    <w:rsid w:val="0076060F"/>
    <w:rsid w:val="0076085D"/>
    <w:rsid w:val="00760EEA"/>
    <w:rsid w:val="007617FC"/>
    <w:rsid w:val="00761F47"/>
    <w:rsid w:val="0076265B"/>
    <w:rsid w:val="00762680"/>
    <w:rsid w:val="0076289A"/>
    <w:rsid w:val="00762DBA"/>
    <w:rsid w:val="007631E9"/>
    <w:rsid w:val="0076330E"/>
    <w:rsid w:val="007637F4"/>
    <w:rsid w:val="0076382A"/>
    <w:rsid w:val="007643E2"/>
    <w:rsid w:val="00764509"/>
    <w:rsid w:val="00764A05"/>
    <w:rsid w:val="00764B44"/>
    <w:rsid w:val="00764CA5"/>
    <w:rsid w:val="007654DB"/>
    <w:rsid w:val="00765656"/>
    <w:rsid w:val="0076565B"/>
    <w:rsid w:val="00765A92"/>
    <w:rsid w:val="00765F9A"/>
    <w:rsid w:val="00766883"/>
    <w:rsid w:val="0076693D"/>
    <w:rsid w:val="00766BE4"/>
    <w:rsid w:val="00766CDF"/>
    <w:rsid w:val="00766E72"/>
    <w:rsid w:val="00766F4C"/>
    <w:rsid w:val="007670E3"/>
    <w:rsid w:val="00767935"/>
    <w:rsid w:val="007679C7"/>
    <w:rsid w:val="00767BBA"/>
    <w:rsid w:val="00767E13"/>
    <w:rsid w:val="007700A4"/>
    <w:rsid w:val="0077038A"/>
    <w:rsid w:val="007707F1"/>
    <w:rsid w:val="007708DA"/>
    <w:rsid w:val="0077199F"/>
    <w:rsid w:val="007719ED"/>
    <w:rsid w:val="00771B93"/>
    <w:rsid w:val="0077325C"/>
    <w:rsid w:val="00773975"/>
    <w:rsid w:val="0077432E"/>
    <w:rsid w:val="0077437C"/>
    <w:rsid w:val="00774704"/>
    <w:rsid w:val="007754B1"/>
    <w:rsid w:val="00775A25"/>
    <w:rsid w:val="0077623E"/>
    <w:rsid w:val="0077656D"/>
    <w:rsid w:val="00776D2C"/>
    <w:rsid w:val="00777151"/>
    <w:rsid w:val="0077726C"/>
    <w:rsid w:val="007774C9"/>
    <w:rsid w:val="00777B9C"/>
    <w:rsid w:val="00777C27"/>
    <w:rsid w:val="00777F30"/>
    <w:rsid w:val="00780305"/>
    <w:rsid w:val="007805E9"/>
    <w:rsid w:val="0078071F"/>
    <w:rsid w:val="00780755"/>
    <w:rsid w:val="007809B7"/>
    <w:rsid w:val="00780FA4"/>
    <w:rsid w:val="0078153C"/>
    <w:rsid w:val="00781C5B"/>
    <w:rsid w:val="00781D57"/>
    <w:rsid w:val="00781FEE"/>
    <w:rsid w:val="00782B6E"/>
    <w:rsid w:val="007836A2"/>
    <w:rsid w:val="00783B6E"/>
    <w:rsid w:val="00784707"/>
    <w:rsid w:val="007855BB"/>
    <w:rsid w:val="00785738"/>
    <w:rsid w:val="00785AF3"/>
    <w:rsid w:val="00785E7F"/>
    <w:rsid w:val="0078660A"/>
    <w:rsid w:val="007866AC"/>
    <w:rsid w:val="00786936"/>
    <w:rsid w:val="00786D65"/>
    <w:rsid w:val="00786D78"/>
    <w:rsid w:val="00786DD1"/>
    <w:rsid w:val="0078718A"/>
    <w:rsid w:val="007877D8"/>
    <w:rsid w:val="00787AD0"/>
    <w:rsid w:val="0079059B"/>
    <w:rsid w:val="00790BE6"/>
    <w:rsid w:val="00790C58"/>
    <w:rsid w:val="007915D9"/>
    <w:rsid w:val="0079235A"/>
    <w:rsid w:val="007923B9"/>
    <w:rsid w:val="00793158"/>
    <w:rsid w:val="007936E6"/>
    <w:rsid w:val="00793DE9"/>
    <w:rsid w:val="00793EF5"/>
    <w:rsid w:val="00794F0B"/>
    <w:rsid w:val="007954E6"/>
    <w:rsid w:val="007958A1"/>
    <w:rsid w:val="00795E38"/>
    <w:rsid w:val="00796226"/>
    <w:rsid w:val="0079678A"/>
    <w:rsid w:val="007972BA"/>
    <w:rsid w:val="00797380"/>
    <w:rsid w:val="00797E35"/>
    <w:rsid w:val="007A02D6"/>
    <w:rsid w:val="007A044D"/>
    <w:rsid w:val="007A0550"/>
    <w:rsid w:val="007A0620"/>
    <w:rsid w:val="007A0D81"/>
    <w:rsid w:val="007A10D6"/>
    <w:rsid w:val="007A12C6"/>
    <w:rsid w:val="007A14F1"/>
    <w:rsid w:val="007A18C7"/>
    <w:rsid w:val="007A193F"/>
    <w:rsid w:val="007A203F"/>
    <w:rsid w:val="007A22BB"/>
    <w:rsid w:val="007A279A"/>
    <w:rsid w:val="007A2E55"/>
    <w:rsid w:val="007A3252"/>
    <w:rsid w:val="007A3569"/>
    <w:rsid w:val="007A3694"/>
    <w:rsid w:val="007A3906"/>
    <w:rsid w:val="007A3B06"/>
    <w:rsid w:val="007A4271"/>
    <w:rsid w:val="007A4DC7"/>
    <w:rsid w:val="007A4ECB"/>
    <w:rsid w:val="007A553C"/>
    <w:rsid w:val="007A58A1"/>
    <w:rsid w:val="007A632E"/>
    <w:rsid w:val="007A639D"/>
    <w:rsid w:val="007A65A5"/>
    <w:rsid w:val="007A6C2A"/>
    <w:rsid w:val="007A70FC"/>
    <w:rsid w:val="007A7171"/>
    <w:rsid w:val="007A73DF"/>
    <w:rsid w:val="007A7765"/>
    <w:rsid w:val="007A7ABD"/>
    <w:rsid w:val="007A7C91"/>
    <w:rsid w:val="007B08EE"/>
    <w:rsid w:val="007B0E4F"/>
    <w:rsid w:val="007B1A4A"/>
    <w:rsid w:val="007B1AD5"/>
    <w:rsid w:val="007B1B1F"/>
    <w:rsid w:val="007B1BE2"/>
    <w:rsid w:val="007B243F"/>
    <w:rsid w:val="007B2E30"/>
    <w:rsid w:val="007B391A"/>
    <w:rsid w:val="007B3B10"/>
    <w:rsid w:val="007B4362"/>
    <w:rsid w:val="007B4C06"/>
    <w:rsid w:val="007B4C56"/>
    <w:rsid w:val="007B5230"/>
    <w:rsid w:val="007B546D"/>
    <w:rsid w:val="007B5DB8"/>
    <w:rsid w:val="007B626A"/>
    <w:rsid w:val="007B62F0"/>
    <w:rsid w:val="007B6418"/>
    <w:rsid w:val="007B641D"/>
    <w:rsid w:val="007B6599"/>
    <w:rsid w:val="007B6C30"/>
    <w:rsid w:val="007B6CFC"/>
    <w:rsid w:val="007B6ED1"/>
    <w:rsid w:val="007B72AB"/>
    <w:rsid w:val="007B75DD"/>
    <w:rsid w:val="007B7A0A"/>
    <w:rsid w:val="007B7EC4"/>
    <w:rsid w:val="007C0A1F"/>
    <w:rsid w:val="007C17CE"/>
    <w:rsid w:val="007C18C8"/>
    <w:rsid w:val="007C1E04"/>
    <w:rsid w:val="007C2048"/>
    <w:rsid w:val="007C21DC"/>
    <w:rsid w:val="007C2229"/>
    <w:rsid w:val="007C27E2"/>
    <w:rsid w:val="007C37E6"/>
    <w:rsid w:val="007C4630"/>
    <w:rsid w:val="007C46C5"/>
    <w:rsid w:val="007C47F0"/>
    <w:rsid w:val="007C4893"/>
    <w:rsid w:val="007C4966"/>
    <w:rsid w:val="007C670F"/>
    <w:rsid w:val="007C6D11"/>
    <w:rsid w:val="007C6EFA"/>
    <w:rsid w:val="007C76CC"/>
    <w:rsid w:val="007C77DD"/>
    <w:rsid w:val="007C7F89"/>
    <w:rsid w:val="007D00CB"/>
    <w:rsid w:val="007D0258"/>
    <w:rsid w:val="007D0641"/>
    <w:rsid w:val="007D0B60"/>
    <w:rsid w:val="007D0BD5"/>
    <w:rsid w:val="007D1240"/>
    <w:rsid w:val="007D12D9"/>
    <w:rsid w:val="007D15D2"/>
    <w:rsid w:val="007D16B2"/>
    <w:rsid w:val="007D1C25"/>
    <w:rsid w:val="007D1D20"/>
    <w:rsid w:val="007D1E0B"/>
    <w:rsid w:val="007D1F11"/>
    <w:rsid w:val="007D2551"/>
    <w:rsid w:val="007D2EF5"/>
    <w:rsid w:val="007D33B1"/>
    <w:rsid w:val="007D372B"/>
    <w:rsid w:val="007D3E70"/>
    <w:rsid w:val="007D421E"/>
    <w:rsid w:val="007D4738"/>
    <w:rsid w:val="007D47C6"/>
    <w:rsid w:val="007D553A"/>
    <w:rsid w:val="007D564B"/>
    <w:rsid w:val="007D59C0"/>
    <w:rsid w:val="007D5CD3"/>
    <w:rsid w:val="007D60BF"/>
    <w:rsid w:val="007D62FC"/>
    <w:rsid w:val="007D696A"/>
    <w:rsid w:val="007D69A7"/>
    <w:rsid w:val="007D6C49"/>
    <w:rsid w:val="007D6DAF"/>
    <w:rsid w:val="007D70E0"/>
    <w:rsid w:val="007D7254"/>
    <w:rsid w:val="007D731D"/>
    <w:rsid w:val="007D798F"/>
    <w:rsid w:val="007D7DC0"/>
    <w:rsid w:val="007E007F"/>
    <w:rsid w:val="007E00DF"/>
    <w:rsid w:val="007E0757"/>
    <w:rsid w:val="007E0D3F"/>
    <w:rsid w:val="007E0EBC"/>
    <w:rsid w:val="007E16EB"/>
    <w:rsid w:val="007E1956"/>
    <w:rsid w:val="007E1FE4"/>
    <w:rsid w:val="007E2139"/>
    <w:rsid w:val="007E21BD"/>
    <w:rsid w:val="007E224F"/>
    <w:rsid w:val="007E2813"/>
    <w:rsid w:val="007E2CD7"/>
    <w:rsid w:val="007E3259"/>
    <w:rsid w:val="007E38EB"/>
    <w:rsid w:val="007E447F"/>
    <w:rsid w:val="007E4797"/>
    <w:rsid w:val="007E5099"/>
    <w:rsid w:val="007E5266"/>
    <w:rsid w:val="007E57D4"/>
    <w:rsid w:val="007E5952"/>
    <w:rsid w:val="007E6286"/>
    <w:rsid w:val="007E6553"/>
    <w:rsid w:val="007E6BCA"/>
    <w:rsid w:val="007E6E2C"/>
    <w:rsid w:val="007E727E"/>
    <w:rsid w:val="007E7393"/>
    <w:rsid w:val="007E7CB2"/>
    <w:rsid w:val="007E7FAC"/>
    <w:rsid w:val="007F08C2"/>
    <w:rsid w:val="007F09B8"/>
    <w:rsid w:val="007F14D7"/>
    <w:rsid w:val="007F1708"/>
    <w:rsid w:val="007F1D28"/>
    <w:rsid w:val="007F2E2E"/>
    <w:rsid w:val="007F2FB0"/>
    <w:rsid w:val="007F3259"/>
    <w:rsid w:val="007F335C"/>
    <w:rsid w:val="007F35C2"/>
    <w:rsid w:val="007F385F"/>
    <w:rsid w:val="007F4517"/>
    <w:rsid w:val="007F45A0"/>
    <w:rsid w:val="007F4728"/>
    <w:rsid w:val="007F4B59"/>
    <w:rsid w:val="007F4C75"/>
    <w:rsid w:val="007F5073"/>
    <w:rsid w:val="007F5316"/>
    <w:rsid w:val="007F5374"/>
    <w:rsid w:val="007F571F"/>
    <w:rsid w:val="007F5E28"/>
    <w:rsid w:val="007F5E2E"/>
    <w:rsid w:val="007F5EF9"/>
    <w:rsid w:val="007F68BF"/>
    <w:rsid w:val="007F694A"/>
    <w:rsid w:val="007F754F"/>
    <w:rsid w:val="007F75E5"/>
    <w:rsid w:val="007F7903"/>
    <w:rsid w:val="007F7B03"/>
    <w:rsid w:val="007F7DD5"/>
    <w:rsid w:val="0080000D"/>
    <w:rsid w:val="008009F6"/>
    <w:rsid w:val="008013D0"/>
    <w:rsid w:val="0080146D"/>
    <w:rsid w:val="00801945"/>
    <w:rsid w:val="00801B5C"/>
    <w:rsid w:val="00802779"/>
    <w:rsid w:val="00802B21"/>
    <w:rsid w:val="00803070"/>
    <w:rsid w:val="008033FB"/>
    <w:rsid w:val="00803956"/>
    <w:rsid w:val="00804201"/>
    <w:rsid w:val="00804AC1"/>
    <w:rsid w:val="0080505B"/>
    <w:rsid w:val="008050CA"/>
    <w:rsid w:val="00805151"/>
    <w:rsid w:val="00806030"/>
    <w:rsid w:val="00806054"/>
    <w:rsid w:val="0080618C"/>
    <w:rsid w:val="00806370"/>
    <w:rsid w:val="00806411"/>
    <w:rsid w:val="00806523"/>
    <w:rsid w:val="00806802"/>
    <w:rsid w:val="0080690E"/>
    <w:rsid w:val="00806FAC"/>
    <w:rsid w:val="00807187"/>
    <w:rsid w:val="008071DD"/>
    <w:rsid w:val="008075AF"/>
    <w:rsid w:val="008100ED"/>
    <w:rsid w:val="008103FB"/>
    <w:rsid w:val="00810496"/>
    <w:rsid w:val="008104E3"/>
    <w:rsid w:val="00810855"/>
    <w:rsid w:val="008109E6"/>
    <w:rsid w:val="008110C2"/>
    <w:rsid w:val="0081192D"/>
    <w:rsid w:val="00811A23"/>
    <w:rsid w:val="00811F6F"/>
    <w:rsid w:val="008122D3"/>
    <w:rsid w:val="00812C3F"/>
    <w:rsid w:val="00812F83"/>
    <w:rsid w:val="00812FF6"/>
    <w:rsid w:val="008130F3"/>
    <w:rsid w:val="00813598"/>
    <w:rsid w:val="008139B4"/>
    <w:rsid w:val="0081401D"/>
    <w:rsid w:val="0081549D"/>
    <w:rsid w:val="0081573B"/>
    <w:rsid w:val="008157E0"/>
    <w:rsid w:val="00815D19"/>
    <w:rsid w:val="008161B5"/>
    <w:rsid w:val="00816201"/>
    <w:rsid w:val="00816313"/>
    <w:rsid w:val="008166DB"/>
    <w:rsid w:val="00816A01"/>
    <w:rsid w:val="00817B7E"/>
    <w:rsid w:val="00817DCE"/>
    <w:rsid w:val="00820508"/>
    <w:rsid w:val="00820ADD"/>
    <w:rsid w:val="00820BAF"/>
    <w:rsid w:val="00820D67"/>
    <w:rsid w:val="008212D7"/>
    <w:rsid w:val="008214B1"/>
    <w:rsid w:val="008216A6"/>
    <w:rsid w:val="00821AFF"/>
    <w:rsid w:val="00822164"/>
    <w:rsid w:val="0082253B"/>
    <w:rsid w:val="0082268E"/>
    <w:rsid w:val="0082284F"/>
    <w:rsid w:val="00822E37"/>
    <w:rsid w:val="00823ABB"/>
    <w:rsid w:val="00824278"/>
    <w:rsid w:val="00824689"/>
    <w:rsid w:val="0082474D"/>
    <w:rsid w:val="008248B8"/>
    <w:rsid w:val="00825370"/>
    <w:rsid w:val="008258CF"/>
    <w:rsid w:val="00825C48"/>
    <w:rsid w:val="00825FDB"/>
    <w:rsid w:val="0082603C"/>
    <w:rsid w:val="008265E4"/>
    <w:rsid w:val="0082690A"/>
    <w:rsid w:val="00826A9C"/>
    <w:rsid w:val="0082727F"/>
    <w:rsid w:val="00827F1C"/>
    <w:rsid w:val="00830085"/>
    <w:rsid w:val="0083026F"/>
    <w:rsid w:val="008302A8"/>
    <w:rsid w:val="00830E23"/>
    <w:rsid w:val="00831079"/>
    <w:rsid w:val="0083114A"/>
    <w:rsid w:val="00831748"/>
    <w:rsid w:val="00831C72"/>
    <w:rsid w:val="0083239D"/>
    <w:rsid w:val="008329E4"/>
    <w:rsid w:val="00832F55"/>
    <w:rsid w:val="00832F6F"/>
    <w:rsid w:val="00832FBB"/>
    <w:rsid w:val="008335DE"/>
    <w:rsid w:val="00834283"/>
    <w:rsid w:val="00834D81"/>
    <w:rsid w:val="00834EA4"/>
    <w:rsid w:val="0083579D"/>
    <w:rsid w:val="00835887"/>
    <w:rsid w:val="00835BB4"/>
    <w:rsid w:val="008360B0"/>
    <w:rsid w:val="008365A4"/>
    <w:rsid w:val="00836C7A"/>
    <w:rsid w:val="00836ED4"/>
    <w:rsid w:val="00836FC7"/>
    <w:rsid w:val="00837FB2"/>
    <w:rsid w:val="0084015D"/>
    <w:rsid w:val="008407AA"/>
    <w:rsid w:val="00840CFE"/>
    <w:rsid w:val="00841226"/>
    <w:rsid w:val="00841451"/>
    <w:rsid w:val="00841A09"/>
    <w:rsid w:val="00841ACE"/>
    <w:rsid w:val="00841BFF"/>
    <w:rsid w:val="00841FFB"/>
    <w:rsid w:val="008421FC"/>
    <w:rsid w:val="00842599"/>
    <w:rsid w:val="00842A29"/>
    <w:rsid w:val="00842D84"/>
    <w:rsid w:val="00843AF6"/>
    <w:rsid w:val="00843D39"/>
    <w:rsid w:val="00843FF6"/>
    <w:rsid w:val="008442B3"/>
    <w:rsid w:val="0084448A"/>
    <w:rsid w:val="008447F7"/>
    <w:rsid w:val="00844BE0"/>
    <w:rsid w:val="008458D6"/>
    <w:rsid w:val="00845A5D"/>
    <w:rsid w:val="00845BF0"/>
    <w:rsid w:val="00845F0A"/>
    <w:rsid w:val="008467D2"/>
    <w:rsid w:val="00846998"/>
    <w:rsid w:val="00846B2D"/>
    <w:rsid w:val="00846ED8"/>
    <w:rsid w:val="00846EED"/>
    <w:rsid w:val="00846FFC"/>
    <w:rsid w:val="008470FB"/>
    <w:rsid w:val="0084763E"/>
    <w:rsid w:val="0084764E"/>
    <w:rsid w:val="0084767E"/>
    <w:rsid w:val="00847C55"/>
    <w:rsid w:val="00850059"/>
    <w:rsid w:val="008503F5"/>
    <w:rsid w:val="008505C6"/>
    <w:rsid w:val="00850741"/>
    <w:rsid w:val="008516F0"/>
    <w:rsid w:val="00851783"/>
    <w:rsid w:val="008518DF"/>
    <w:rsid w:val="00851930"/>
    <w:rsid w:val="00851D6D"/>
    <w:rsid w:val="00852DE2"/>
    <w:rsid w:val="008536CD"/>
    <w:rsid w:val="0085381C"/>
    <w:rsid w:val="00853958"/>
    <w:rsid w:val="0085405B"/>
    <w:rsid w:val="00854367"/>
    <w:rsid w:val="00854C7B"/>
    <w:rsid w:val="00855304"/>
    <w:rsid w:val="00855718"/>
    <w:rsid w:val="00856581"/>
    <w:rsid w:val="00856690"/>
    <w:rsid w:val="008578E0"/>
    <w:rsid w:val="00857F82"/>
    <w:rsid w:val="008602AE"/>
    <w:rsid w:val="00860508"/>
    <w:rsid w:val="008605A4"/>
    <w:rsid w:val="0086163F"/>
    <w:rsid w:val="008617E6"/>
    <w:rsid w:val="00861991"/>
    <w:rsid w:val="00861AF3"/>
    <w:rsid w:val="008624CA"/>
    <w:rsid w:val="00862ACA"/>
    <w:rsid w:val="0086301E"/>
    <w:rsid w:val="008631AA"/>
    <w:rsid w:val="008634D8"/>
    <w:rsid w:val="008637B1"/>
    <w:rsid w:val="00863BCA"/>
    <w:rsid w:val="0086439B"/>
    <w:rsid w:val="008669CD"/>
    <w:rsid w:val="00866D2D"/>
    <w:rsid w:val="00866DFA"/>
    <w:rsid w:val="00867426"/>
    <w:rsid w:val="00867941"/>
    <w:rsid w:val="00867BB1"/>
    <w:rsid w:val="00867D4D"/>
    <w:rsid w:val="00867E54"/>
    <w:rsid w:val="00867F14"/>
    <w:rsid w:val="008709BB"/>
    <w:rsid w:val="00870A17"/>
    <w:rsid w:val="00870FB0"/>
    <w:rsid w:val="008712B0"/>
    <w:rsid w:val="00871A8C"/>
    <w:rsid w:val="008724D1"/>
    <w:rsid w:val="008728E9"/>
    <w:rsid w:val="00872A67"/>
    <w:rsid w:val="00873567"/>
    <w:rsid w:val="00873693"/>
    <w:rsid w:val="00873699"/>
    <w:rsid w:val="0087387B"/>
    <w:rsid w:val="00873893"/>
    <w:rsid w:val="00873D9F"/>
    <w:rsid w:val="008745EB"/>
    <w:rsid w:val="00874602"/>
    <w:rsid w:val="0087485C"/>
    <w:rsid w:val="008748A9"/>
    <w:rsid w:val="00874F15"/>
    <w:rsid w:val="00875189"/>
    <w:rsid w:val="00875246"/>
    <w:rsid w:val="008756C5"/>
    <w:rsid w:val="00875B89"/>
    <w:rsid w:val="00875DE0"/>
    <w:rsid w:val="0087772C"/>
    <w:rsid w:val="00880931"/>
    <w:rsid w:val="008812F0"/>
    <w:rsid w:val="00881325"/>
    <w:rsid w:val="00881B90"/>
    <w:rsid w:val="00881CE8"/>
    <w:rsid w:val="00881E3F"/>
    <w:rsid w:val="00881F9D"/>
    <w:rsid w:val="0088273C"/>
    <w:rsid w:val="008835AE"/>
    <w:rsid w:val="008835DA"/>
    <w:rsid w:val="0088363D"/>
    <w:rsid w:val="00883976"/>
    <w:rsid w:val="00883C2A"/>
    <w:rsid w:val="008840AB"/>
    <w:rsid w:val="008841A6"/>
    <w:rsid w:val="008845EE"/>
    <w:rsid w:val="0088471F"/>
    <w:rsid w:val="00884C36"/>
    <w:rsid w:val="0088526C"/>
    <w:rsid w:val="008853A2"/>
    <w:rsid w:val="0088548C"/>
    <w:rsid w:val="00886276"/>
    <w:rsid w:val="00886281"/>
    <w:rsid w:val="008905C0"/>
    <w:rsid w:val="00890752"/>
    <w:rsid w:val="008908EC"/>
    <w:rsid w:val="00890B43"/>
    <w:rsid w:val="0089136D"/>
    <w:rsid w:val="00891562"/>
    <w:rsid w:val="008919AE"/>
    <w:rsid w:val="00891C4B"/>
    <w:rsid w:val="00891D22"/>
    <w:rsid w:val="00891E58"/>
    <w:rsid w:val="00891F79"/>
    <w:rsid w:val="008925CF"/>
    <w:rsid w:val="00892728"/>
    <w:rsid w:val="00893453"/>
    <w:rsid w:val="00893460"/>
    <w:rsid w:val="008935DB"/>
    <w:rsid w:val="008938D9"/>
    <w:rsid w:val="00893991"/>
    <w:rsid w:val="00893E59"/>
    <w:rsid w:val="00894384"/>
    <w:rsid w:val="00894797"/>
    <w:rsid w:val="00895CAF"/>
    <w:rsid w:val="0089670E"/>
    <w:rsid w:val="00896755"/>
    <w:rsid w:val="00896A4F"/>
    <w:rsid w:val="00896CDF"/>
    <w:rsid w:val="00896EF5"/>
    <w:rsid w:val="008971D4"/>
    <w:rsid w:val="0089720A"/>
    <w:rsid w:val="008979FC"/>
    <w:rsid w:val="00897AD2"/>
    <w:rsid w:val="00897CFA"/>
    <w:rsid w:val="008A04FC"/>
    <w:rsid w:val="008A080F"/>
    <w:rsid w:val="008A09F1"/>
    <w:rsid w:val="008A1240"/>
    <w:rsid w:val="008A13EA"/>
    <w:rsid w:val="008A1832"/>
    <w:rsid w:val="008A204D"/>
    <w:rsid w:val="008A2068"/>
    <w:rsid w:val="008A2075"/>
    <w:rsid w:val="008A2A4C"/>
    <w:rsid w:val="008A2AB4"/>
    <w:rsid w:val="008A4516"/>
    <w:rsid w:val="008A586C"/>
    <w:rsid w:val="008A5C9D"/>
    <w:rsid w:val="008A5E13"/>
    <w:rsid w:val="008A6130"/>
    <w:rsid w:val="008A6363"/>
    <w:rsid w:val="008A694A"/>
    <w:rsid w:val="008A723C"/>
    <w:rsid w:val="008A77E3"/>
    <w:rsid w:val="008A79DB"/>
    <w:rsid w:val="008A7B8B"/>
    <w:rsid w:val="008A7F38"/>
    <w:rsid w:val="008B00BC"/>
    <w:rsid w:val="008B062D"/>
    <w:rsid w:val="008B0B3D"/>
    <w:rsid w:val="008B1315"/>
    <w:rsid w:val="008B211B"/>
    <w:rsid w:val="008B3D60"/>
    <w:rsid w:val="008B46FC"/>
    <w:rsid w:val="008B507F"/>
    <w:rsid w:val="008B520C"/>
    <w:rsid w:val="008B5B6F"/>
    <w:rsid w:val="008B5D8B"/>
    <w:rsid w:val="008B6257"/>
    <w:rsid w:val="008B65DC"/>
    <w:rsid w:val="008B7125"/>
    <w:rsid w:val="008B71FD"/>
    <w:rsid w:val="008B74BD"/>
    <w:rsid w:val="008B7CEA"/>
    <w:rsid w:val="008B7F01"/>
    <w:rsid w:val="008C00AF"/>
    <w:rsid w:val="008C0EC5"/>
    <w:rsid w:val="008C126D"/>
    <w:rsid w:val="008C1545"/>
    <w:rsid w:val="008C1663"/>
    <w:rsid w:val="008C172C"/>
    <w:rsid w:val="008C1803"/>
    <w:rsid w:val="008C181F"/>
    <w:rsid w:val="008C1FFC"/>
    <w:rsid w:val="008C21FC"/>
    <w:rsid w:val="008C2EBF"/>
    <w:rsid w:val="008C3C96"/>
    <w:rsid w:val="008C49BD"/>
    <w:rsid w:val="008C49D5"/>
    <w:rsid w:val="008C51FC"/>
    <w:rsid w:val="008C580D"/>
    <w:rsid w:val="008C5B7E"/>
    <w:rsid w:val="008C5FCF"/>
    <w:rsid w:val="008C6162"/>
    <w:rsid w:val="008C639A"/>
    <w:rsid w:val="008C6876"/>
    <w:rsid w:val="008C6AA0"/>
    <w:rsid w:val="008C6C2C"/>
    <w:rsid w:val="008C6DFE"/>
    <w:rsid w:val="008C6F8C"/>
    <w:rsid w:val="008C775F"/>
    <w:rsid w:val="008C77D5"/>
    <w:rsid w:val="008C7C44"/>
    <w:rsid w:val="008D04F3"/>
    <w:rsid w:val="008D086B"/>
    <w:rsid w:val="008D08D4"/>
    <w:rsid w:val="008D0A1B"/>
    <w:rsid w:val="008D16D3"/>
    <w:rsid w:val="008D1F89"/>
    <w:rsid w:val="008D238D"/>
    <w:rsid w:val="008D2797"/>
    <w:rsid w:val="008D2814"/>
    <w:rsid w:val="008D2A0E"/>
    <w:rsid w:val="008D2C76"/>
    <w:rsid w:val="008D2D8A"/>
    <w:rsid w:val="008D2FA2"/>
    <w:rsid w:val="008D3046"/>
    <w:rsid w:val="008D3860"/>
    <w:rsid w:val="008D4148"/>
    <w:rsid w:val="008D5210"/>
    <w:rsid w:val="008D532C"/>
    <w:rsid w:val="008D5646"/>
    <w:rsid w:val="008D5717"/>
    <w:rsid w:val="008D5CA0"/>
    <w:rsid w:val="008D631D"/>
    <w:rsid w:val="008D6B93"/>
    <w:rsid w:val="008D6F9F"/>
    <w:rsid w:val="008D71D8"/>
    <w:rsid w:val="008D73BE"/>
    <w:rsid w:val="008E1283"/>
    <w:rsid w:val="008E1AFB"/>
    <w:rsid w:val="008E20E7"/>
    <w:rsid w:val="008E2665"/>
    <w:rsid w:val="008E3608"/>
    <w:rsid w:val="008E37AA"/>
    <w:rsid w:val="008E3B12"/>
    <w:rsid w:val="008E3EAC"/>
    <w:rsid w:val="008E3EAE"/>
    <w:rsid w:val="008E4078"/>
    <w:rsid w:val="008E4868"/>
    <w:rsid w:val="008E4B90"/>
    <w:rsid w:val="008E4E02"/>
    <w:rsid w:val="008E4E61"/>
    <w:rsid w:val="008E50B7"/>
    <w:rsid w:val="008E5194"/>
    <w:rsid w:val="008E589F"/>
    <w:rsid w:val="008E6A5B"/>
    <w:rsid w:val="008E719D"/>
    <w:rsid w:val="008E7A19"/>
    <w:rsid w:val="008E7D03"/>
    <w:rsid w:val="008F01F8"/>
    <w:rsid w:val="008F031D"/>
    <w:rsid w:val="008F036B"/>
    <w:rsid w:val="008F0518"/>
    <w:rsid w:val="008F05EA"/>
    <w:rsid w:val="008F1450"/>
    <w:rsid w:val="008F17EB"/>
    <w:rsid w:val="008F1D1E"/>
    <w:rsid w:val="008F1D3B"/>
    <w:rsid w:val="008F2402"/>
    <w:rsid w:val="008F26BB"/>
    <w:rsid w:val="008F27AD"/>
    <w:rsid w:val="008F2FCA"/>
    <w:rsid w:val="008F342D"/>
    <w:rsid w:val="008F3533"/>
    <w:rsid w:val="008F3EA8"/>
    <w:rsid w:val="008F46F2"/>
    <w:rsid w:val="008F6384"/>
    <w:rsid w:val="008F63D8"/>
    <w:rsid w:val="008F6A2F"/>
    <w:rsid w:val="008F6A70"/>
    <w:rsid w:val="008F722E"/>
    <w:rsid w:val="008F73A4"/>
    <w:rsid w:val="008F7802"/>
    <w:rsid w:val="008F7C02"/>
    <w:rsid w:val="009006AE"/>
    <w:rsid w:val="009006B5"/>
    <w:rsid w:val="00901DF2"/>
    <w:rsid w:val="0090201A"/>
    <w:rsid w:val="0090286C"/>
    <w:rsid w:val="00902D71"/>
    <w:rsid w:val="009032B4"/>
    <w:rsid w:val="00903339"/>
    <w:rsid w:val="00903886"/>
    <w:rsid w:val="009039B7"/>
    <w:rsid w:val="00903BFD"/>
    <w:rsid w:val="0090400F"/>
    <w:rsid w:val="00904092"/>
    <w:rsid w:val="009050D2"/>
    <w:rsid w:val="009054C8"/>
    <w:rsid w:val="009054EC"/>
    <w:rsid w:val="0090606D"/>
    <w:rsid w:val="00906852"/>
    <w:rsid w:val="00907D82"/>
    <w:rsid w:val="00907E72"/>
    <w:rsid w:val="00910368"/>
    <w:rsid w:val="009103DF"/>
    <w:rsid w:val="009108F9"/>
    <w:rsid w:val="0091095D"/>
    <w:rsid w:val="00910C7A"/>
    <w:rsid w:val="0091156D"/>
    <w:rsid w:val="00911D03"/>
    <w:rsid w:val="009127C5"/>
    <w:rsid w:val="00912C90"/>
    <w:rsid w:val="00912F1C"/>
    <w:rsid w:val="009133F9"/>
    <w:rsid w:val="009138E1"/>
    <w:rsid w:val="0091413B"/>
    <w:rsid w:val="0091463D"/>
    <w:rsid w:val="00914C59"/>
    <w:rsid w:val="009150D7"/>
    <w:rsid w:val="009155A7"/>
    <w:rsid w:val="00915C2D"/>
    <w:rsid w:val="0091637D"/>
    <w:rsid w:val="0091640B"/>
    <w:rsid w:val="009167D9"/>
    <w:rsid w:val="00916800"/>
    <w:rsid w:val="009169D2"/>
    <w:rsid w:val="00916C29"/>
    <w:rsid w:val="00917135"/>
    <w:rsid w:val="009174F2"/>
    <w:rsid w:val="00917BD0"/>
    <w:rsid w:val="00917F2F"/>
    <w:rsid w:val="00917FEE"/>
    <w:rsid w:val="009203C9"/>
    <w:rsid w:val="0092058E"/>
    <w:rsid w:val="009207AF"/>
    <w:rsid w:val="00920968"/>
    <w:rsid w:val="009212BF"/>
    <w:rsid w:val="009214A3"/>
    <w:rsid w:val="009219FF"/>
    <w:rsid w:val="0092212B"/>
    <w:rsid w:val="0092262B"/>
    <w:rsid w:val="00922EA8"/>
    <w:rsid w:val="009233FB"/>
    <w:rsid w:val="00923520"/>
    <w:rsid w:val="00923585"/>
    <w:rsid w:val="00923C61"/>
    <w:rsid w:val="0092439C"/>
    <w:rsid w:val="009243E2"/>
    <w:rsid w:val="009244FA"/>
    <w:rsid w:val="00924D53"/>
    <w:rsid w:val="00924EDB"/>
    <w:rsid w:val="00925011"/>
    <w:rsid w:val="00925089"/>
    <w:rsid w:val="009258B7"/>
    <w:rsid w:val="00925BCA"/>
    <w:rsid w:val="00926A6C"/>
    <w:rsid w:val="00926AEF"/>
    <w:rsid w:val="00926D82"/>
    <w:rsid w:val="00926F96"/>
    <w:rsid w:val="00927045"/>
    <w:rsid w:val="00927055"/>
    <w:rsid w:val="00927101"/>
    <w:rsid w:val="0092717A"/>
    <w:rsid w:val="009272B3"/>
    <w:rsid w:val="009274AE"/>
    <w:rsid w:val="0092762A"/>
    <w:rsid w:val="009279A5"/>
    <w:rsid w:val="00927BBA"/>
    <w:rsid w:val="00930BEC"/>
    <w:rsid w:val="00931173"/>
    <w:rsid w:val="009320F6"/>
    <w:rsid w:val="00932A45"/>
    <w:rsid w:val="00932B5B"/>
    <w:rsid w:val="00932DC9"/>
    <w:rsid w:val="00932E44"/>
    <w:rsid w:val="009332AC"/>
    <w:rsid w:val="009336AC"/>
    <w:rsid w:val="00933CA1"/>
    <w:rsid w:val="00933D4D"/>
    <w:rsid w:val="00933FBE"/>
    <w:rsid w:val="0093419B"/>
    <w:rsid w:val="0093452A"/>
    <w:rsid w:val="0093452C"/>
    <w:rsid w:val="009346A3"/>
    <w:rsid w:val="00934774"/>
    <w:rsid w:val="00934CB7"/>
    <w:rsid w:val="00936711"/>
    <w:rsid w:val="009369A4"/>
    <w:rsid w:val="00936B18"/>
    <w:rsid w:val="0093751E"/>
    <w:rsid w:val="009379D9"/>
    <w:rsid w:val="00937AA1"/>
    <w:rsid w:val="00937B88"/>
    <w:rsid w:val="00940AA6"/>
    <w:rsid w:val="00940F5B"/>
    <w:rsid w:val="00941082"/>
    <w:rsid w:val="00941421"/>
    <w:rsid w:val="00941621"/>
    <w:rsid w:val="0094191C"/>
    <w:rsid w:val="0094192E"/>
    <w:rsid w:val="0094199C"/>
    <w:rsid w:val="00941BB7"/>
    <w:rsid w:val="00942015"/>
    <w:rsid w:val="00942075"/>
    <w:rsid w:val="009424D4"/>
    <w:rsid w:val="00942F9D"/>
    <w:rsid w:val="00943012"/>
    <w:rsid w:val="00943287"/>
    <w:rsid w:val="00943391"/>
    <w:rsid w:val="00943779"/>
    <w:rsid w:val="009437EC"/>
    <w:rsid w:val="009439DF"/>
    <w:rsid w:val="00943AC6"/>
    <w:rsid w:val="00944021"/>
    <w:rsid w:val="00944067"/>
    <w:rsid w:val="00944129"/>
    <w:rsid w:val="0094465B"/>
    <w:rsid w:val="009450C1"/>
    <w:rsid w:val="00945749"/>
    <w:rsid w:val="009458E6"/>
    <w:rsid w:val="00945E4C"/>
    <w:rsid w:val="00945F47"/>
    <w:rsid w:val="009468B1"/>
    <w:rsid w:val="00946F0B"/>
    <w:rsid w:val="00947FF5"/>
    <w:rsid w:val="009504A8"/>
    <w:rsid w:val="009512EB"/>
    <w:rsid w:val="009515E6"/>
    <w:rsid w:val="009516B7"/>
    <w:rsid w:val="0095198B"/>
    <w:rsid w:val="00951B2B"/>
    <w:rsid w:val="00952562"/>
    <w:rsid w:val="009527AE"/>
    <w:rsid w:val="009537B8"/>
    <w:rsid w:val="00953A24"/>
    <w:rsid w:val="00953B07"/>
    <w:rsid w:val="009541B4"/>
    <w:rsid w:val="00954480"/>
    <w:rsid w:val="00954753"/>
    <w:rsid w:val="00954962"/>
    <w:rsid w:val="00954A52"/>
    <w:rsid w:val="00954B4F"/>
    <w:rsid w:val="00955B43"/>
    <w:rsid w:val="00955D02"/>
    <w:rsid w:val="00956D70"/>
    <w:rsid w:val="00956EB5"/>
    <w:rsid w:val="00956F3F"/>
    <w:rsid w:val="00956FB4"/>
    <w:rsid w:val="00956FB7"/>
    <w:rsid w:val="0095740E"/>
    <w:rsid w:val="00957F98"/>
    <w:rsid w:val="009603F4"/>
    <w:rsid w:val="0096092D"/>
    <w:rsid w:val="00960C6D"/>
    <w:rsid w:val="00960E07"/>
    <w:rsid w:val="00961236"/>
    <w:rsid w:val="00961545"/>
    <w:rsid w:val="00961799"/>
    <w:rsid w:val="00961853"/>
    <w:rsid w:val="009625A5"/>
    <w:rsid w:val="0096275E"/>
    <w:rsid w:val="00963672"/>
    <w:rsid w:val="00963ABE"/>
    <w:rsid w:val="00964188"/>
    <w:rsid w:val="009645D5"/>
    <w:rsid w:val="009646A0"/>
    <w:rsid w:val="00964F14"/>
    <w:rsid w:val="00964F1A"/>
    <w:rsid w:val="00964FC6"/>
    <w:rsid w:val="009650C9"/>
    <w:rsid w:val="00965F95"/>
    <w:rsid w:val="0096610D"/>
    <w:rsid w:val="0096618D"/>
    <w:rsid w:val="0096636C"/>
    <w:rsid w:val="00966740"/>
    <w:rsid w:val="00966994"/>
    <w:rsid w:val="00966C75"/>
    <w:rsid w:val="00966CE7"/>
    <w:rsid w:val="00966D03"/>
    <w:rsid w:val="00967BE7"/>
    <w:rsid w:val="00967FB7"/>
    <w:rsid w:val="00970DB1"/>
    <w:rsid w:val="00971863"/>
    <w:rsid w:val="009719C1"/>
    <w:rsid w:val="00971D54"/>
    <w:rsid w:val="00971EEC"/>
    <w:rsid w:val="00973052"/>
    <w:rsid w:val="0097355F"/>
    <w:rsid w:val="00973BDC"/>
    <w:rsid w:val="0097424B"/>
    <w:rsid w:val="00974A05"/>
    <w:rsid w:val="00974DAA"/>
    <w:rsid w:val="009750AF"/>
    <w:rsid w:val="009752A7"/>
    <w:rsid w:val="00975D41"/>
    <w:rsid w:val="00976347"/>
    <w:rsid w:val="009764DC"/>
    <w:rsid w:val="009766C8"/>
    <w:rsid w:val="00977581"/>
    <w:rsid w:val="009777AD"/>
    <w:rsid w:val="00980229"/>
    <w:rsid w:val="009803E3"/>
    <w:rsid w:val="0098053E"/>
    <w:rsid w:val="009807E9"/>
    <w:rsid w:val="00980C4B"/>
    <w:rsid w:val="009814E4"/>
    <w:rsid w:val="009816A5"/>
    <w:rsid w:val="00981770"/>
    <w:rsid w:val="00981946"/>
    <w:rsid w:val="00981A43"/>
    <w:rsid w:val="00981BD9"/>
    <w:rsid w:val="0098220A"/>
    <w:rsid w:val="009822B0"/>
    <w:rsid w:val="00982AEA"/>
    <w:rsid w:val="00982D20"/>
    <w:rsid w:val="0098312B"/>
    <w:rsid w:val="00983360"/>
    <w:rsid w:val="00984239"/>
    <w:rsid w:val="00984C72"/>
    <w:rsid w:val="00984C7D"/>
    <w:rsid w:val="00984DF2"/>
    <w:rsid w:val="00984E1F"/>
    <w:rsid w:val="00985309"/>
    <w:rsid w:val="009858BB"/>
    <w:rsid w:val="00985D95"/>
    <w:rsid w:val="00985DB0"/>
    <w:rsid w:val="00985FCD"/>
    <w:rsid w:val="00986141"/>
    <w:rsid w:val="00986630"/>
    <w:rsid w:val="009869DE"/>
    <w:rsid w:val="0098726B"/>
    <w:rsid w:val="00987438"/>
    <w:rsid w:val="00987502"/>
    <w:rsid w:val="00987AA4"/>
    <w:rsid w:val="00990F45"/>
    <w:rsid w:val="0099105C"/>
    <w:rsid w:val="00991198"/>
    <w:rsid w:val="009912C3"/>
    <w:rsid w:val="00991920"/>
    <w:rsid w:val="00991BA4"/>
    <w:rsid w:val="0099240F"/>
    <w:rsid w:val="0099262A"/>
    <w:rsid w:val="00992EDD"/>
    <w:rsid w:val="00992EEC"/>
    <w:rsid w:val="00992F32"/>
    <w:rsid w:val="00993932"/>
    <w:rsid w:val="00993E9C"/>
    <w:rsid w:val="0099433E"/>
    <w:rsid w:val="00995F96"/>
    <w:rsid w:val="009962F2"/>
    <w:rsid w:val="0099691E"/>
    <w:rsid w:val="00996947"/>
    <w:rsid w:val="009969FB"/>
    <w:rsid w:val="00996D33"/>
    <w:rsid w:val="0099728E"/>
    <w:rsid w:val="0099755D"/>
    <w:rsid w:val="0099772D"/>
    <w:rsid w:val="009977C9"/>
    <w:rsid w:val="00997CBB"/>
    <w:rsid w:val="00997D72"/>
    <w:rsid w:val="009A041B"/>
    <w:rsid w:val="009A0475"/>
    <w:rsid w:val="009A04D9"/>
    <w:rsid w:val="009A1A6F"/>
    <w:rsid w:val="009A1C89"/>
    <w:rsid w:val="009A1D47"/>
    <w:rsid w:val="009A1EEF"/>
    <w:rsid w:val="009A2102"/>
    <w:rsid w:val="009A2124"/>
    <w:rsid w:val="009A2C76"/>
    <w:rsid w:val="009A3599"/>
    <w:rsid w:val="009A3C21"/>
    <w:rsid w:val="009A444F"/>
    <w:rsid w:val="009A57E7"/>
    <w:rsid w:val="009A5A82"/>
    <w:rsid w:val="009A5D28"/>
    <w:rsid w:val="009A6284"/>
    <w:rsid w:val="009A63AF"/>
    <w:rsid w:val="009A6E0A"/>
    <w:rsid w:val="009A6FFB"/>
    <w:rsid w:val="009A77E6"/>
    <w:rsid w:val="009A7D9F"/>
    <w:rsid w:val="009B07EB"/>
    <w:rsid w:val="009B08D6"/>
    <w:rsid w:val="009B0F91"/>
    <w:rsid w:val="009B12CB"/>
    <w:rsid w:val="009B18D9"/>
    <w:rsid w:val="009B1E5A"/>
    <w:rsid w:val="009B24BC"/>
    <w:rsid w:val="009B25E2"/>
    <w:rsid w:val="009B283C"/>
    <w:rsid w:val="009B3014"/>
    <w:rsid w:val="009B35A6"/>
    <w:rsid w:val="009B369F"/>
    <w:rsid w:val="009B3C47"/>
    <w:rsid w:val="009B3E41"/>
    <w:rsid w:val="009B4269"/>
    <w:rsid w:val="009B48FD"/>
    <w:rsid w:val="009B4A5A"/>
    <w:rsid w:val="009B52CC"/>
    <w:rsid w:val="009B586D"/>
    <w:rsid w:val="009B595F"/>
    <w:rsid w:val="009B5B09"/>
    <w:rsid w:val="009B6433"/>
    <w:rsid w:val="009B6D7D"/>
    <w:rsid w:val="009B712F"/>
    <w:rsid w:val="009B7493"/>
    <w:rsid w:val="009B7A1C"/>
    <w:rsid w:val="009C03F5"/>
    <w:rsid w:val="009C0572"/>
    <w:rsid w:val="009C07B1"/>
    <w:rsid w:val="009C0C8D"/>
    <w:rsid w:val="009C19F4"/>
    <w:rsid w:val="009C1B01"/>
    <w:rsid w:val="009C1DEB"/>
    <w:rsid w:val="009C203C"/>
    <w:rsid w:val="009C2378"/>
    <w:rsid w:val="009C251F"/>
    <w:rsid w:val="009C260E"/>
    <w:rsid w:val="009C2CEA"/>
    <w:rsid w:val="009C32DF"/>
    <w:rsid w:val="009C38A4"/>
    <w:rsid w:val="009C3DE6"/>
    <w:rsid w:val="009C3FBF"/>
    <w:rsid w:val="009C40C1"/>
    <w:rsid w:val="009C5A0A"/>
    <w:rsid w:val="009C5AA4"/>
    <w:rsid w:val="009C6B4D"/>
    <w:rsid w:val="009C6F5E"/>
    <w:rsid w:val="009C6FDE"/>
    <w:rsid w:val="009C7220"/>
    <w:rsid w:val="009C763F"/>
    <w:rsid w:val="009C7BAB"/>
    <w:rsid w:val="009C7D79"/>
    <w:rsid w:val="009C7E76"/>
    <w:rsid w:val="009D0198"/>
    <w:rsid w:val="009D022D"/>
    <w:rsid w:val="009D0588"/>
    <w:rsid w:val="009D05BB"/>
    <w:rsid w:val="009D0CFE"/>
    <w:rsid w:val="009D10AF"/>
    <w:rsid w:val="009D1316"/>
    <w:rsid w:val="009D18D3"/>
    <w:rsid w:val="009D2139"/>
    <w:rsid w:val="009D3CEC"/>
    <w:rsid w:val="009D459A"/>
    <w:rsid w:val="009D46CD"/>
    <w:rsid w:val="009D4C13"/>
    <w:rsid w:val="009D4F71"/>
    <w:rsid w:val="009D53F7"/>
    <w:rsid w:val="009D5A56"/>
    <w:rsid w:val="009D6482"/>
    <w:rsid w:val="009D6556"/>
    <w:rsid w:val="009D69EC"/>
    <w:rsid w:val="009D6DF1"/>
    <w:rsid w:val="009D7662"/>
    <w:rsid w:val="009D7ACC"/>
    <w:rsid w:val="009E01C7"/>
    <w:rsid w:val="009E062C"/>
    <w:rsid w:val="009E0C6D"/>
    <w:rsid w:val="009E0CF8"/>
    <w:rsid w:val="009E0DC9"/>
    <w:rsid w:val="009E0EE9"/>
    <w:rsid w:val="009E10CA"/>
    <w:rsid w:val="009E128D"/>
    <w:rsid w:val="009E1360"/>
    <w:rsid w:val="009E1583"/>
    <w:rsid w:val="009E15F0"/>
    <w:rsid w:val="009E17A5"/>
    <w:rsid w:val="009E1897"/>
    <w:rsid w:val="009E194F"/>
    <w:rsid w:val="009E2488"/>
    <w:rsid w:val="009E2E9E"/>
    <w:rsid w:val="009E3728"/>
    <w:rsid w:val="009E3D85"/>
    <w:rsid w:val="009E3ED1"/>
    <w:rsid w:val="009E41B1"/>
    <w:rsid w:val="009E45DC"/>
    <w:rsid w:val="009E547F"/>
    <w:rsid w:val="009E585F"/>
    <w:rsid w:val="009E5883"/>
    <w:rsid w:val="009E59FD"/>
    <w:rsid w:val="009E5B3C"/>
    <w:rsid w:val="009E5F8C"/>
    <w:rsid w:val="009E6568"/>
    <w:rsid w:val="009E65B4"/>
    <w:rsid w:val="009E665F"/>
    <w:rsid w:val="009E6AF9"/>
    <w:rsid w:val="009E6CEE"/>
    <w:rsid w:val="009E725A"/>
    <w:rsid w:val="009F05E9"/>
    <w:rsid w:val="009F05FC"/>
    <w:rsid w:val="009F0795"/>
    <w:rsid w:val="009F10FD"/>
    <w:rsid w:val="009F11E3"/>
    <w:rsid w:val="009F1261"/>
    <w:rsid w:val="009F1D62"/>
    <w:rsid w:val="009F1D6E"/>
    <w:rsid w:val="009F1EB7"/>
    <w:rsid w:val="009F2085"/>
    <w:rsid w:val="009F255A"/>
    <w:rsid w:val="009F282E"/>
    <w:rsid w:val="009F2BE1"/>
    <w:rsid w:val="009F2D4F"/>
    <w:rsid w:val="009F3328"/>
    <w:rsid w:val="009F36C1"/>
    <w:rsid w:val="009F374B"/>
    <w:rsid w:val="009F3AA4"/>
    <w:rsid w:val="009F3E70"/>
    <w:rsid w:val="009F4A57"/>
    <w:rsid w:val="009F4B87"/>
    <w:rsid w:val="009F53B2"/>
    <w:rsid w:val="009F5887"/>
    <w:rsid w:val="009F598D"/>
    <w:rsid w:val="009F674D"/>
    <w:rsid w:val="009F68FA"/>
    <w:rsid w:val="009F6E85"/>
    <w:rsid w:val="009F7703"/>
    <w:rsid w:val="009F7947"/>
    <w:rsid w:val="00A00521"/>
    <w:rsid w:val="00A00792"/>
    <w:rsid w:val="00A00799"/>
    <w:rsid w:val="00A01FCF"/>
    <w:rsid w:val="00A027B7"/>
    <w:rsid w:val="00A028B5"/>
    <w:rsid w:val="00A02AD4"/>
    <w:rsid w:val="00A02C6E"/>
    <w:rsid w:val="00A02D93"/>
    <w:rsid w:val="00A03101"/>
    <w:rsid w:val="00A0310C"/>
    <w:rsid w:val="00A03D00"/>
    <w:rsid w:val="00A04172"/>
    <w:rsid w:val="00A04B5A"/>
    <w:rsid w:val="00A0527C"/>
    <w:rsid w:val="00A052C2"/>
    <w:rsid w:val="00A05366"/>
    <w:rsid w:val="00A05A79"/>
    <w:rsid w:val="00A06024"/>
    <w:rsid w:val="00A06784"/>
    <w:rsid w:val="00A06B46"/>
    <w:rsid w:val="00A06D7E"/>
    <w:rsid w:val="00A06DF4"/>
    <w:rsid w:val="00A07883"/>
    <w:rsid w:val="00A1004B"/>
    <w:rsid w:val="00A1069A"/>
    <w:rsid w:val="00A1071A"/>
    <w:rsid w:val="00A10EFD"/>
    <w:rsid w:val="00A11002"/>
    <w:rsid w:val="00A114D8"/>
    <w:rsid w:val="00A11AD0"/>
    <w:rsid w:val="00A127B5"/>
    <w:rsid w:val="00A1295C"/>
    <w:rsid w:val="00A12E65"/>
    <w:rsid w:val="00A12F0F"/>
    <w:rsid w:val="00A12F6F"/>
    <w:rsid w:val="00A132CD"/>
    <w:rsid w:val="00A1355F"/>
    <w:rsid w:val="00A13607"/>
    <w:rsid w:val="00A138B7"/>
    <w:rsid w:val="00A13CB3"/>
    <w:rsid w:val="00A140AF"/>
    <w:rsid w:val="00A140CA"/>
    <w:rsid w:val="00A14587"/>
    <w:rsid w:val="00A14618"/>
    <w:rsid w:val="00A146D8"/>
    <w:rsid w:val="00A148D2"/>
    <w:rsid w:val="00A15083"/>
    <w:rsid w:val="00A15C5A"/>
    <w:rsid w:val="00A15DF6"/>
    <w:rsid w:val="00A161B9"/>
    <w:rsid w:val="00A16233"/>
    <w:rsid w:val="00A1656F"/>
    <w:rsid w:val="00A17747"/>
    <w:rsid w:val="00A1790B"/>
    <w:rsid w:val="00A17D26"/>
    <w:rsid w:val="00A17EDB"/>
    <w:rsid w:val="00A17FA8"/>
    <w:rsid w:val="00A20248"/>
    <w:rsid w:val="00A202B4"/>
    <w:rsid w:val="00A20747"/>
    <w:rsid w:val="00A207F1"/>
    <w:rsid w:val="00A2085C"/>
    <w:rsid w:val="00A219BE"/>
    <w:rsid w:val="00A2246F"/>
    <w:rsid w:val="00A2271A"/>
    <w:rsid w:val="00A227F9"/>
    <w:rsid w:val="00A22B73"/>
    <w:rsid w:val="00A22DB9"/>
    <w:rsid w:val="00A2374E"/>
    <w:rsid w:val="00A23C20"/>
    <w:rsid w:val="00A2432C"/>
    <w:rsid w:val="00A24833"/>
    <w:rsid w:val="00A259D4"/>
    <w:rsid w:val="00A25FE4"/>
    <w:rsid w:val="00A261A7"/>
    <w:rsid w:val="00A267F6"/>
    <w:rsid w:val="00A274B3"/>
    <w:rsid w:val="00A27721"/>
    <w:rsid w:val="00A279E8"/>
    <w:rsid w:val="00A301A1"/>
    <w:rsid w:val="00A30AE0"/>
    <w:rsid w:val="00A30F3B"/>
    <w:rsid w:val="00A311D6"/>
    <w:rsid w:val="00A311E2"/>
    <w:rsid w:val="00A31C02"/>
    <w:rsid w:val="00A31C60"/>
    <w:rsid w:val="00A32398"/>
    <w:rsid w:val="00A32EC0"/>
    <w:rsid w:val="00A331FD"/>
    <w:rsid w:val="00A33307"/>
    <w:rsid w:val="00A33784"/>
    <w:rsid w:val="00A33AB4"/>
    <w:rsid w:val="00A33FD5"/>
    <w:rsid w:val="00A3462F"/>
    <w:rsid w:val="00A34730"/>
    <w:rsid w:val="00A34F97"/>
    <w:rsid w:val="00A355A9"/>
    <w:rsid w:val="00A356B0"/>
    <w:rsid w:val="00A35BE4"/>
    <w:rsid w:val="00A3632A"/>
    <w:rsid w:val="00A363E3"/>
    <w:rsid w:val="00A366F7"/>
    <w:rsid w:val="00A36701"/>
    <w:rsid w:val="00A36E29"/>
    <w:rsid w:val="00A375EF"/>
    <w:rsid w:val="00A37937"/>
    <w:rsid w:val="00A400F8"/>
    <w:rsid w:val="00A40D9B"/>
    <w:rsid w:val="00A414B5"/>
    <w:rsid w:val="00A41922"/>
    <w:rsid w:val="00A42607"/>
    <w:rsid w:val="00A4270D"/>
    <w:rsid w:val="00A43786"/>
    <w:rsid w:val="00A439DC"/>
    <w:rsid w:val="00A43A15"/>
    <w:rsid w:val="00A43BE2"/>
    <w:rsid w:val="00A45385"/>
    <w:rsid w:val="00A454D0"/>
    <w:rsid w:val="00A45984"/>
    <w:rsid w:val="00A462C3"/>
    <w:rsid w:val="00A4673E"/>
    <w:rsid w:val="00A468C9"/>
    <w:rsid w:val="00A46CC5"/>
    <w:rsid w:val="00A4701A"/>
    <w:rsid w:val="00A4750B"/>
    <w:rsid w:val="00A47663"/>
    <w:rsid w:val="00A4780D"/>
    <w:rsid w:val="00A47C88"/>
    <w:rsid w:val="00A47CCE"/>
    <w:rsid w:val="00A50355"/>
    <w:rsid w:val="00A503B9"/>
    <w:rsid w:val="00A503C8"/>
    <w:rsid w:val="00A50442"/>
    <w:rsid w:val="00A50807"/>
    <w:rsid w:val="00A5098A"/>
    <w:rsid w:val="00A50CE7"/>
    <w:rsid w:val="00A51210"/>
    <w:rsid w:val="00A516E5"/>
    <w:rsid w:val="00A51B9D"/>
    <w:rsid w:val="00A51E2D"/>
    <w:rsid w:val="00A5271D"/>
    <w:rsid w:val="00A527A0"/>
    <w:rsid w:val="00A52972"/>
    <w:rsid w:val="00A529C5"/>
    <w:rsid w:val="00A52BD3"/>
    <w:rsid w:val="00A52C04"/>
    <w:rsid w:val="00A5302F"/>
    <w:rsid w:val="00A5312D"/>
    <w:rsid w:val="00A539B1"/>
    <w:rsid w:val="00A53B7C"/>
    <w:rsid w:val="00A53FC7"/>
    <w:rsid w:val="00A5416D"/>
    <w:rsid w:val="00A544B8"/>
    <w:rsid w:val="00A546F6"/>
    <w:rsid w:val="00A54FC2"/>
    <w:rsid w:val="00A550BD"/>
    <w:rsid w:val="00A55B78"/>
    <w:rsid w:val="00A55FA0"/>
    <w:rsid w:val="00A561FA"/>
    <w:rsid w:val="00A56F72"/>
    <w:rsid w:val="00A56FDB"/>
    <w:rsid w:val="00A57023"/>
    <w:rsid w:val="00A57096"/>
    <w:rsid w:val="00A57A74"/>
    <w:rsid w:val="00A601CC"/>
    <w:rsid w:val="00A60257"/>
    <w:rsid w:val="00A60315"/>
    <w:rsid w:val="00A60712"/>
    <w:rsid w:val="00A60973"/>
    <w:rsid w:val="00A611B0"/>
    <w:rsid w:val="00A614BA"/>
    <w:rsid w:val="00A61A98"/>
    <w:rsid w:val="00A61FDB"/>
    <w:rsid w:val="00A6304F"/>
    <w:rsid w:val="00A63959"/>
    <w:rsid w:val="00A63A7A"/>
    <w:rsid w:val="00A63C4B"/>
    <w:rsid w:val="00A63E44"/>
    <w:rsid w:val="00A6428A"/>
    <w:rsid w:val="00A644B4"/>
    <w:rsid w:val="00A64533"/>
    <w:rsid w:val="00A64981"/>
    <w:rsid w:val="00A64C18"/>
    <w:rsid w:val="00A65297"/>
    <w:rsid w:val="00A65350"/>
    <w:rsid w:val="00A656BC"/>
    <w:rsid w:val="00A65A27"/>
    <w:rsid w:val="00A666B5"/>
    <w:rsid w:val="00A66BCF"/>
    <w:rsid w:val="00A66FD7"/>
    <w:rsid w:val="00A672A3"/>
    <w:rsid w:val="00A6755F"/>
    <w:rsid w:val="00A6798C"/>
    <w:rsid w:val="00A67A7F"/>
    <w:rsid w:val="00A67FD1"/>
    <w:rsid w:val="00A70866"/>
    <w:rsid w:val="00A7088E"/>
    <w:rsid w:val="00A70A08"/>
    <w:rsid w:val="00A70A61"/>
    <w:rsid w:val="00A712F5"/>
    <w:rsid w:val="00A719D8"/>
    <w:rsid w:val="00A71B44"/>
    <w:rsid w:val="00A71BE2"/>
    <w:rsid w:val="00A71E24"/>
    <w:rsid w:val="00A720B5"/>
    <w:rsid w:val="00A72367"/>
    <w:rsid w:val="00A72850"/>
    <w:rsid w:val="00A72DC5"/>
    <w:rsid w:val="00A73D99"/>
    <w:rsid w:val="00A741C5"/>
    <w:rsid w:val="00A74576"/>
    <w:rsid w:val="00A74CC1"/>
    <w:rsid w:val="00A74D5A"/>
    <w:rsid w:val="00A74E56"/>
    <w:rsid w:val="00A750C4"/>
    <w:rsid w:val="00A7526F"/>
    <w:rsid w:val="00A7669D"/>
    <w:rsid w:val="00A76B4F"/>
    <w:rsid w:val="00A77671"/>
    <w:rsid w:val="00A77799"/>
    <w:rsid w:val="00A8050A"/>
    <w:rsid w:val="00A80886"/>
    <w:rsid w:val="00A819A6"/>
    <w:rsid w:val="00A81A52"/>
    <w:rsid w:val="00A81AD7"/>
    <w:rsid w:val="00A83609"/>
    <w:rsid w:val="00A8420C"/>
    <w:rsid w:val="00A843D1"/>
    <w:rsid w:val="00A84D86"/>
    <w:rsid w:val="00A84F00"/>
    <w:rsid w:val="00A84F95"/>
    <w:rsid w:val="00A84FCB"/>
    <w:rsid w:val="00A85256"/>
    <w:rsid w:val="00A85377"/>
    <w:rsid w:val="00A85576"/>
    <w:rsid w:val="00A86307"/>
    <w:rsid w:val="00A8653D"/>
    <w:rsid w:val="00A87355"/>
    <w:rsid w:val="00A87382"/>
    <w:rsid w:val="00A875A2"/>
    <w:rsid w:val="00A87646"/>
    <w:rsid w:val="00A8782C"/>
    <w:rsid w:val="00A90592"/>
    <w:rsid w:val="00A90B85"/>
    <w:rsid w:val="00A90DBC"/>
    <w:rsid w:val="00A913CB"/>
    <w:rsid w:val="00A925A7"/>
    <w:rsid w:val="00A92D8A"/>
    <w:rsid w:val="00A9352D"/>
    <w:rsid w:val="00A94E03"/>
    <w:rsid w:val="00A95000"/>
    <w:rsid w:val="00A9582D"/>
    <w:rsid w:val="00A969B9"/>
    <w:rsid w:val="00A96A4E"/>
    <w:rsid w:val="00A96C30"/>
    <w:rsid w:val="00A9713F"/>
    <w:rsid w:val="00A971BD"/>
    <w:rsid w:val="00A97DB1"/>
    <w:rsid w:val="00A97EEA"/>
    <w:rsid w:val="00AA09E0"/>
    <w:rsid w:val="00AA13FC"/>
    <w:rsid w:val="00AA1E99"/>
    <w:rsid w:val="00AA1EC5"/>
    <w:rsid w:val="00AA2326"/>
    <w:rsid w:val="00AA235D"/>
    <w:rsid w:val="00AA2377"/>
    <w:rsid w:val="00AA26DF"/>
    <w:rsid w:val="00AA2738"/>
    <w:rsid w:val="00AA2A00"/>
    <w:rsid w:val="00AA2FC9"/>
    <w:rsid w:val="00AA3B56"/>
    <w:rsid w:val="00AA4311"/>
    <w:rsid w:val="00AA49A4"/>
    <w:rsid w:val="00AA4A6E"/>
    <w:rsid w:val="00AA4B40"/>
    <w:rsid w:val="00AA5000"/>
    <w:rsid w:val="00AA5892"/>
    <w:rsid w:val="00AA5B22"/>
    <w:rsid w:val="00AA5F7C"/>
    <w:rsid w:val="00AA602D"/>
    <w:rsid w:val="00AA6069"/>
    <w:rsid w:val="00AA631F"/>
    <w:rsid w:val="00AA64D3"/>
    <w:rsid w:val="00AA6F86"/>
    <w:rsid w:val="00AA707A"/>
    <w:rsid w:val="00AA7539"/>
    <w:rsid w:val="00AB031B"/>
    <w:rsid w:val="00AB0641"/>
    <w:rsid w:val="00AB079B"/>
    <w:rsid w:val="00AB1C45"/>
    <w:rsid w:val="00AB288A"/>
    <w:rsid w:val="00AB330F"/>
    <w:rsid w:val="00AB350D"/>
    <w:rsid w:val="00AB5D28"/>
    <w:rsid w:val="00AB60D5"/>
    <w:rsid w:val="00AB673A"/>
    <w:rsid w:val="00AB67DE"/>
    <w:rsid w:val="00AB744F"/>
    <w:rsid w:val="00AB7459"/>
    <w:rsid w:val="00AB755F"/>
    <w:rsid w:val="00AB791D"/>
    <w:rsid w:val="00AB7A32"/>
    <w:rsid w:val="00AB7D28"/>
    <w:rsid w:val="00AB7FDD"/>
    <w:rsid w:val="00AC032F"/>
    <w:rsid w:val="00AC0E75"/>
    <w:rsid w:val="00AC1352"/>
    <w:rsid w:val="00AC1521"/>
    <w:rsid w:val="00AC1651"/>
    <w:rsid w:val="00AC1CE5"/>
    <w:rsid w:val="00AC20FA"/>
    <w:rsid w:val="00AC240A"/>
    <w:rsid w:val="00AC28BF"/>
    <w:rsid w:val="00AC2D40"/>
    <w:rsid w:val="00AC2E9F"/>
    <w:rsid w:val="00AC3B3E"/>
    <w:rsid w:val="00AC401B"/>
    <w:rsid w:val="00AC4091"/>
    <w:rsid w:val="00AC40B9"/>
    <w:rsid w:val="00AC4226"/>
    <w:rsid w:val="00AC47C2"/>
    <w:rsid w:val="00AC486E"/>
    <w:rsid w:val="00AC54CA"/>
    <w:rsid w:val="00AC5541"/>
    <w:rsid w:val="00AC5934"/>
    <w:rsid w:val="00AC5A00"/>
    <w:rsid w:val="00AC5C23"/>
    <w:rsid w:val="00AC5E2F"/>
    <w:rsid w:val="00AC602A"/>
    <w:rsid w:val="00AC60BC"/>
    <w:rsid w:val="00AC6B63"/>
    <w:rsid w:val="00AC6FDC"/>
    <w:rsid w:val="00AC756E"/>
    <w:rsid w:val="00AC75B8"/>
    <w:rsid w:val="00AC7A13"/>
    <w:rsid w:val="00AC7F43"/>
    <w:rsid w:val="00AD020E"/>
    <w:rsid w:val="00AD0521"/>
    <w:rsid w:val="00AD07A7"/>
    <w:rsid w:val="00AD09A0"/>
    <w:rsid w:val="00AD0DB6"/>
    <w:rsid w:val="00AD0EE0"/>
    <w:rsid w:val="00AD110B"/>
    <w:rsid w:val="00AD1864"/>
    <w:rsid w:val="00AD19DB"/>
    <w:rsid w:val="00AD1FE1"/>
    <w:rsid w:val="00AD2562"/>
    <w:rsid w:val="00AD273D"/>
    <w:rsid w:val="00AD2B1F"/>
    <w:rsid w:val="00AD2CA1"/>
    <w:rsid w:val="00AD2E9B"/>
    <w:rsid w:val="00AD316B"/>
    <w:rsid w:val="00AD32DF"/>
    <w:rsid w:val="00AD344C"/>
    <w:rsid w:val="00AD3966"/>
    <w:rsid w:val="00AD3996"/>
    <w:rsid w:val="00AD3B96"/>
    <w:rsid w:val="00AD4283"/>
    <w:rsid w:val="00AD431A"/>
    <w:rsid w:val="00AD447F"/>
    <w:rsid w:val="00AD47A0"/>
    <w:rsid w:val="00AD48DE"/>
    <w:rsid w:val="00AD52E8"/>
    <w:rsid w:val="00AD5864"/>
    <w:rsid w:val="00AD5976"/>
    <w:rsid w:val="00AD6309"/>
    <w:rsid w:val="00AD6635"/>
    <w:rsid w:val="00AD6FB4"/>
    <w:rsid w:val="00AD6FE7"/>
    <w:rsid w:val="00AD715E"/>
    <w:rsid w:val="00AD73F2"/>
    <w:rsid w:val="00AD77EA"/>
    <w:rsid w:val="00AD78CF"/>
    <w:rsid w:val="00AD7961"/>
    <w:rsid w:val="00AD7B74"/>
    <w:rsid w:val="00AE08E3"/>
    <w:rsid w:val="00AE0EDE"/>
    <w:rsid w:val="00AE0F36"/>
    <w:rsid w:val="00AE1353"/>
    <w:rsid w:val="00AE1944"/>
    <w:rsid w:val="00AE21BD"/>
    <w:rsid w:val="00AE23F1"/>
    <w:rsid w:val="00AE262B"/>
    <w:rsid w:val="00AE2715"/>
    <w:rsid w:val="00AE293B"/>
    <w:rsid w:val="00AE2991"/>
    <w:rsid w:val="00AE2D0E"/>
    <w:rsid w:val="00AE36A2"/>
    <w:rsid w:val="00AE37E2"/>
    <w:rsid w:val="00AE4926"/>
    <w:rsid w:val="00AE4EC3"/>
    <w:rsid w:val="00AE51A8"/>
    <w:rsid w:val="00AE564A"/>
    <w:rsid w:val="00AE58CE"/>
    <w:rsid w:val="00AE5901"/>
    <w:rsid w:val="00AE592A"/>
    <w:rsid w:val="00AE60A7"/>
    <w:rsid w:val="00AE628A"/>
    <w:rsid w:val="00AE6C57"/>
    <w:rsid w:val="00AE6DB7"/>
    <w:rsid w:val="00AE6EF7"/>
    <w:rsid w:val="00AE7132"/>
    <w:rsid w:val="00AE73F7"/>
    <w:rsid w:val="00AE79A8"/>
    <w:rsid w:val="00AE7ED1"/>
    <w:rsid w:val="00AF04F6"/>
    <w:rsid w:val="00AF07AC"/>
    <w:rsid w:val="00AF07EE"/>
    <w:rsid w:val="00AF0D3F"/>
    <w:rsid w:val="00AF1149"/>
    <w:rsid w:val="00AF1F91"/>
    <w:rsid w:val="00AF23E4"/>
    <w:rsid w:val="00AF268A"/>
    <w:rsid w:val="00AF2E00"/>
    <w:rsid w:val="00AF2EAD"/>
    <w:rsid w:val="00AF3373"/>
    <w:rsid w:val="00AF344E"/>
    <w:rsid w:val="00AF3B30"/>
    <w:rsid w:val="00AF43D2"/>
    <w:rsid w:val="00AF49A6"/>
    <w:rsid w:val="00AF4C09"/>
    <w:rsid w:val="00AF4F0B"/>
    <w:rsid w:val="00AF5433"/>
    <w:rsid w:val="00AF57BC"/>
    <w:rsid w:val="00AF63BE"/>
    <w:rsid w:val="00AF64C6"/>
    <w:rsid w:val="00AF659D"/>
    <w:rsid w:val="00AF7091"/>
    <w:rsid w:val="00AF7A17"/>
    <w:rsid w:val="00B00125"/>
    <w:rsid w:val="00B007CA"/>
    <w:rsid w:val="00B00A10"/>
    <w:rsid w:val="00B00AC0"/>
    <w:rsid w:val="00B00EC1"/>
    <w:rsid w:val="00B00F8E"/>
    <w:rsid w:val="00B010CB"/>
    <w:rsid w:val="00B013BD"/>
    <w:rsid w:val="00B014BE"/>
    <w:rsid w:val="00B0159D"/>
    <w:rsid w:val="00B01E18"/>
    <w:rsid w:val="00B0254E"/>
    <w:rsid w:val="00B02B59"/>
    <w:rsid w:val="00B02F6B"/>
    <w:rsid w:val="00B035C8"/>
    <w:rsid w:val="00B03F65"/>
    <w:rsid w:val="00B040F4"/>
    <w:rsid w:val="00B04240"/>
    <w:rsid w:val="00B049D1"/>
    <w:rsid w:val="00B04DDB"/>
    <w:rsid w:val="00B050FB"/>
    <w:rsid w:val="00B05407"/>
    <w:rsid w:val="00B059A4"/>
    <w:rsid w:val="00B05C5C"/>
    <w:rsid w:val="00B05FD5"/>
    <w:rsid w:val="00B06F0A"/>
    <w:rsid w:val="00B07106"/>
    <w:rsid w:val="00B07174"/>
    <w:rsid w:val="00B07300"/>
    <w:rsid w:val="00B073A8"/>
    <w:rsid w:val="00B0761E"/>
    <w:rsid w:val="00B0763F"/>
    <w:rsid w:val="00B07FFE"/>
    <w:rsid w:val="00B100D0"/>
    <w:rsid w:val="00B1014D"/>
    <w:rsid w:val="00B103EA"/>
    <w:rsid w:val="00B10DB7"/>
    <w:rsid w:val="00B10F8B"/>
    <w:rsid w:val="00B10FA6"/>
    <w:rsid w:val="00B113A3"/>
    <w:rsid w:val="00B1177C"/>
    <w:rsid w:val="00B11809"/>
    <w:rsid w:val="00B11C52"/>
    <w:rsid w:val="00B126BF"/>
    <w:rsid w:val="00B135D4"/>
    <w:rsid w:val="00B13884"/>
    <w:rsid w:val="00B13943"/>
    <w:rsid w:val="00B13AF6"/>
    <w:rsid w:val="00B141C3"/>
    <w:rsid w:val="00B14579"/>
    <w:rsid w:val="00B147DE"/>
    <w:rsid w:val="00B14887"/>
    <w:rsid w:val="00B152DB"/>
    <w:rsid w:val="00B155C6"/>
    <w:rsid w:val="00B1594F"/>
    <w:rsid w:val="00B15B95"/>
    <w:rsid w:val="00B16027"/>
    <w:rsid w:val="00B1652B"/>
    <w:rsid w:val="00B174B0"/>
    <w:rsid w:val="00B1788B"/>
    <w:rsid w:val="00B20020"/>
    <w:rsid w:val="00B204E9"/>
    <w:rsid w:val="00B205FA"/>
    <w:rsid w:val="00B21397"/>
    <w:rsid w:val="00B21574"/>
    <w:rsid w:val="00B216CC"/>
    <w:rsid w:val="00B22DFA"/>
    <w:rsid w:val="00B233A1"/>
    <w:rsid w:val="00B23E48"/>
    <w:rsid w:val="00B23F43"/>
    <w:rsid w:val="00B245C2"/>
    <w:rsid w:val="00B2462D"/>
    <w:rsid w:val="00B24A31"/>
    <w:rsid w:val="00B24B25"/>
    <w:rsid w:val="00B24BD5"/>
    <w:rsid w:val="00B250F8"/>
    <w:rsid w:val="00B25C8B"/>
    <w:rsid w:val="00B260CF"/>
    <w:rsid w:val="00B2640B"/>
    <w:rsid w:val="00B26618"/>
    <w:rsid w:val="00B267CB"/>
    <w:rsid w:val="00B26B22"/>
    <w:rsid w:val="00B26C07"/>
    <w:rsid w:val="00B2742F"/>
    <w:rsid w:val="00B27B0B"/>
    <w:rsid w:val="00B27DBC"/>
    <w:rsid w:val="00B31684"/>
    <w:rsid w:val="00B31F96"/>
    <w:rsid w:val="00B327CE"/>
    <w:rsid w:val="00B32902"/>
    <w:rsid w:val="00B32943"/>
    <w:rsid w:val="00B330E8"/>
    <w:rsid w:val="00B33283"/>
    <w:rsid w:val="00B33344"/>
    <w:rsid w:val="00B336A5"/>
    <w:rsid w:val="00B340B5"/>
    <w:rsid w:val="00B3440B"/>
    <w:rsid w:val="00B34487"/>
    <w:rsid w:val="00B34512"/>
    <w:rsid w:val="00B348B9"/>
    <w:rsid w:val="00B358CF"/>
    <w:rsid w:val="00B35BA6"/>
    <w:rsid w:val="00B368A0"/>
    <w:rsid w:val="00B368A4"/>
    <w:rsid w:val="00B368D7"/>
    <w:rsid w:val="00B36A18"/>
    <w:rsid w:val="00B36B70"/>
    <w:rsid w:val="00B36C6F"/>
    <w:rsid w:val="00B37117"/>
    <w:rsid w:val="00B372B9"/>
    <w:rsid w:val="00B373C6"/>
    <w:rsid w:val="00B375E6"/>
    <w:rsid w:val="00B37C8D"/>
    <w:rsid w:val="00B37DD8"/>
    <w:rsid w:val="00B37E14"/>
    <w:rsid w:val="00B37F50"/>
    <w:rsid w:val="00B40728"/>
    <w:rsid w:val="00B409EE"/>
    <w:rsid w:val="00B40A46"/>
    <w:rsid w:val="00B41142"/>
    <w:rsid w:val="00B412F1"/>
    <w:rsid w:val="00B4151C"/>
    <w:rsid w:val="00B41754"/>
    <w:rsid w:val="00B417F5"/>
    <w:rsid w:val="00B4184E"/>
    <w:rsid w:val="00B41A48"/>
    <w:rsid w:val="00B42404"/>
    <w:rsid w:val="00B427A6"/>
    <w:rsid w:val="00B42EDE"/>
    <w:rsid w:val="00B43884"/>
    <w:rsid w:val="00B43BAB"/>
    <w:rsid w:val="00B445EE"/>
    <w:rsid w:val="00B4471D"/>
    <w:rsid w:val="00B44DFB"/>
    <w:rsid w:val="00B44E33"/>
    <w:rsid w:val="00B4520A"/>
    <w:rsid w:val="00B45666"/>
    <w:rsid w:val="00B45794"/>
    <w:rsid w:val="00B4595A"/>
    <w:rsid w:val="00B45E63"/>
    <w:rsid w:val="00B45F2F"/>
    <w:rsid w:val="00B46EFE"/>
    <w:rsid w:val="00B47298"/>
    <w:rsid w:val="00B4793B"/>
    <w:rsid w:val="00B47C38"/>
    <w:rsid w:val="00B5000A"/>
    <w:rsid w:val="00B50192"/>
    <w:rsid w:val="00B501FA"/>
    <w:rsid w:val="00B504BE"/>
    <w:rsid w:val="00B507B4"/>
    <w:rsid w:val="00B5092A"/>
    <w:rsid w:val="00B50E0D"/>
    <w:rsid w:val="00B5110C"/>
    <w:rsid w:val="00B51DCD"/>
    <w:rsid w:val="00B52467"/>
    <w:rsid w:val="00B52698"/>
    <w:rsid w:val="00B527EA"/>
    <w:rsid w:val="00B52A09"/>
    <w:rsid w:val="00B532EC"/>
    <w:rsid w:val="00B534A3"/>
    <w:rsid w:val="00B5357B"/>
    <w:rsid w:val="00B536B7"/>
    <w:rsid w:val="00B53ABE"/>
    <w:rsid w:val="00B54167"/>
    <w:rsid w:val="00B5473F"/>
    <w:rsid w:val="00B54E90"/>
    <w:rsid w:val="00B55049"/>
    <w:rsid w:val="00B555B8"/>
    <w:rsid w:val="00B557A1"/>
    <w:rsid w:val="00B55B83"/>
    <w:rsid w:val="00B56213"/>
    <w:rsid w:val="00B5631B"/>
    <w:rsid w:val="00B56809"/>
    <w:rsid w:val="00B56834"/>
    <w:rsid w:val="00B56D1E"/>
    <w:rsid w:val="00B57DD8"/>
    <w:rsid w:val="00B57F60"/>
    <w:rsid w:val="00B608F4"/>
    <w:rsid w:val="00B60A81"/>
    <w:rsid w:val="00B6116D"/>
    <w:rsid w:val="00B6132E"/>
    <w:rsid w:val="00B61A2C"/>
    <w:rsid w:val="00B626A0"/>
    <w:rsid w:val="00B63260"/>
    <w:rsid w:val="00B638D8"/>
    <w:rsid w:val="00B63918"/>
    <w:rsid w:val="00B6452A"/>
    <w:rsid w:val="00B650E7"/>
    <w:rsid w:val="00B6598E"/>
    <w:rsid w:val="00B65B5D"/>
    <w:rsid w:val="00B666B8"/>
    <w:rsid w:val="00B668C5"/>
    <w:rsid w:val="00B66A1B"/>
    <w:rsid w:val="00B66C35"/>
    <w:rsid w:val="00B66CF2"/>
    <w:rsid w:val="00B66EF4"/>
    <w:rsid w:val="00B675D6"/>
    <w:rsid w:val="00B676EC"/>
    <w:rsid w:val="00B70062"/>
    <w:rsid w:val="00B70370"/>
    <w:rsid w:val="00B70B61"/>
    <w:rsid w:val="00B70D13"/>
    <w:rsid w:val="00B71264"/>
    <w:rsid w:val="00B71886"/>
    <w:rsid w:val="00B71978"/>
    <w:rsid w:val="00B71A1B"/>
    <w:rsid w:val="00B71CD0"/>
    <w:rsid w:val="00B72477"/>
    <w:rsid w:val="00B7256E"/>
    <w:rsid w:val="00B72A43"/>
    <w:rsid w:val="00B74C43"/>
    <w:rsid w:val="00B74F8F"/>
    <w:rsid w:val="00B757A5"/>
    <w:rsid w:val="00B757D9"/>
    <w:rsid w:val="00B75973"/>
    <w:rsid w:val="00B75A4B"/>
    <w:rsid w:val="00B75B25"/>
    <w:rsid w:val="00B75BB0"/>
    <w:rsid w:val="00B75F5E"/>
    <w:rsid w:val="00B76096"/>
    <w:rsid w:val="00B76704"/>
    <w:rsid w:val="00B76835"/>
    <w:rsid w:val="00B76C85"/>
    <w:rsid w:val="00B76D4B"/>
    <w:rsid w:val="00B76F04"/>
    <w:rsid w:val="00B77241"/>
    <w:rsid w:val="00B81254"/>
    <w:rsid w:val="00B81A9E"/>
    <w:rsid w:val="00B8200E"/>
    <w:rsid w:val="00B82184"/>
    <w:rsid w:val="00B825E7"/>
    <w:rsid w:val="00B82708"/>
    <w:rsid w:val="00B82DC1"/>
    <w:rsid w:val="00B83376"/>
    <w:rsid w:val="00B83FC5"/>
    <w:rsid w:val="00B8413F"/>
    <w:rsid w:val="00B84476"/>
    <w:rsid w:val="00B84727"/>
    <w:rsid w:val="00B847FF"/>
    <w:rsid w:val="00B84957"/>
    <w:rsid w:val="00B84AA0"/>
    <w:rsid w:val="00B84B3E"/>
    <w:rsid w:val="00B84BEE"/>
    <w:rsid w:val="00B85315"/>
    <w:rsid w:val="00B8540A"/>
    <w:rsid w:val="00B856C4"/>
    <w:rsid w:val="00B85C65"/>
    <w:rsid w:val="00B86076"/>
    <w:rsid w:val="00B86381"/>
    <w:rsid w:val="00B863CB"/>
    <w:rsid w:val="00B864E0"/>
    <w:rsid w:val="00B868F4"/>
    <w:rsid w:val="00B86939"/>
    <w:rsid w:val="00B86F11"/>
    <w:rsid w:val="00B87487"/>
    <w:rsid w:val="00B874EA"/>
    <w:rsid w:val="00B877AD"/>
    <w:rsid w:val="00B878A1"/>
    <w:rsid w:val="00B87A31"/>
    <w:rsid w:val="00B87E00"/>
    <w:rsid w:val="00B90062"/>
    <w:rsid w:val="00B908EE"/>
    <w:rsid w:val="00B9116A"/>
    <w:rsid w:val="00B91918"/>
    <w:rsid w:val="00B91C2F"/>
    <w:rsid w:val="00B927AD"/>
    <w:rsid w:val="00B927EF"/>
    <w:rsid w:val="00B9298B"/>
    <w:rsid w:val="00B931B8"/>
    <w:rsid w:val="00B93A02"/>
    <w:rsid w:val="00B93E64"/>
    <w:rsid w:val="00B93E6C"/>
    <w:rsid w:val="00B941A1"/>
    <w:rsid w:val="00B942B9"/>
    <w:rsid w:val="00B945CA"/>
    <w:rsid w:val="00B94800"/>
    <w:rsid w:val="00B94811"/>
    <w:rsid w:val="00B9489F"/>
    <w:rsid w:val="00B94ED9"/>
    <w:rsid w:val="00B94EE5"/>
    <w:rsid w:val="00B9501A"/>
    <w:rsid w:val="00B9524C"/>
    <w:rsid w:val="00B97071"/>
    <w:rsid w:val="00B97338"/>
    <w:rsid w:val="00BA013B"/>
    <w:rsid w:val="00BA0555"/>
    <w:rsid w:val="00BA06DD"/>
    <w:rsid w:val="00BA08A0"/>
    <w:rsid w:val="00BA0C17"/>
    <w:rsid w:val="00BA1486"/>
    <w:rsid w:val="00BA15E1"/>
    <w:rsid w:val="00BA1807"/>
    <w:rsid w:val="00BA2154"/>
    <w:rsid w:val="00BA2C5B"/>
    <w:rsid w:val="00BA331E"/>
    <w:rsid w:val="00BA3751"/>
    <w:rsid w:val="00BA3ED5"/>
    <w:rsid w:val="00BA3EF0"/>
    <w:rsid w:val="00BA4473"/>
    <w:rsid w:val="00BA45C3"/>
    <w:rsid w:val="00BA51C6"/>
    <w:rsid w:val="00BA51F6"/>
    <w:rsid w:val="00BA5870"/>
    <w:rsid w:val="00BA5B35"/>
    <w:rsid w:val="00BA614D"/>
    <w:rsid w:val="00BA6A88"/>
    <w:rsid w:val="00BA6BC3"/>
    <w:rsid w:val="00BA7F36"/>
    <w:rsid w:val="00BB057A"/>
    <w:rsid w:val="00BB0CF8"/>
    <w:rsid w:val="00BB14DF"/>
    <w:rsid w:val="00BB1832"/>
    <w:rsid w:val="00BB1E03"/>
    <w:rsid w:val="00BB205C"/>
    <w:rsid w:val="00BB28B7"/>
    <w:rsid w:val="00BB2B27"/>
    <w:rsid w:val="00BB2B28"/>
    <w:rsid w:val="00BB2DB2"/>
    <w:rsid w:val="00BB3340"/>
    <w:rsid w:val="00BB38F9"/>
    <w:rsid w:val="00BB4545"/>
    <w:rsid w:val="00BB4547"/>
    <w:rsid w:val="00BB4702"/>
    <w:rsid w:val="00BB4A0C"/>
    <w:rsid w:val="00BB4B0B"/>
    <w:rsid w:val="00BB4E9F"/>
    <w:rsid w:val="00BB5567"/>
    <w:rsid w:val="00BB55D2"/>
    <w:rsid w:val="00BB5E05"/>
    <w:rsid w:val="00BB6FA7"/>
    <w:rsid w:val="00BB72A8"/>
    <w:rsid w:val="00BB7845"/>
    <w:rsid w:val="00BC02D9"/>
    <w:rsid w:val="00BC042C"/>
    <w:rsid w:val="00BC0AAA"/>
    <w:rsid w:val="00BC0BDE"/>
    <w:rsid w:val="00BC0DBA"/>
    <w:rsid w:val="00BC0E58"/>
    <w:rsid w:val="00BC0E5E"/>
    <w:rsid w:val="00BC151E"/>
    <w:rsid w:val="00BC27F9"/>
    <w:rsid w:val="00BC2C88"/>
    <w:rsid w:val="00BC390E"/>
    <w:rsid w:val="00BC3945"/>
    <w:rsid w:val="00BC3B96"/>
    <w:rsid w:val="00BC3CD1"/>
    <w:rsid w:val="00BC40CD"/>
    <w:rsid w:val="00BC458E"/>
    <w:rsid w:val="00BC48EE"/>
    <w:rsid w:val="00BC49D7"/>
    <w:rsid w:val="00BC4BEB"/>
    <w:rsid w:val="00BC5441"/>
    <w:rsid w:val="00BC5557"/>
    <w:rsid w:val="00BC5F31"/>
    <w:rsid w:val="00BC6EF3"/>
    <w:rsid w:val="00BC74A7"/>
    <w:rsid w:val="00BC7BA0"/>
    <w:rsid w:val="00BC7FDD"/>
    <w:rsid w:val="00BD022F"/>
    <w:rsid w:val="00BD03C3"/>
    <w:rsid w:val="00BD04EC"/>
    <w:rsid w:val="00BD090E"/>
    <w:rsid w:val="00BD0DF4"/>
    <w:rsid w:val="00BD187B"/>
    <w:rsid w:val="00BD1C7A"/>
    <w:rsid w:val="00BD1DEF"/>
    <w:rsid w:val="00BD1EC1"/>
    <w:rsid w:val="00BD205B"/>
    <w:rsid w:val="00BD2082"/>
    <w:rsid w:val="00BD2168"/>
    <w:rsid w:val="00BD370C"/>
    <w:rsid w:val="00BD3982"/>
    <w:rsid w:val="00BD3DE4"/>
    <w:rsid w:val="00BD3FFC"/>
    <w:rsid w:val="00BD409A"/>
    <w:rsid w:val="00BD4837"/>
    <w:rsid w:val="00BD4CA3"/>
    <w:rsid w:val="00BD5B86"/>
    <w:rsid w:val="00BD64B3"/>
    <w:rsid w:val="00BD6C64"/>
    <w:rsid w:val="00BD7B11"/>
    <w:rsid w:val="00BE0581"/>
    <w:rsid w:val="00BE0D44"/>
    <w:rsid w:val="00BE288E"/>
    <w:rsid w:val="00BE2ACC"/>
    <w:rsid w:val="00BE2BB0"/>
    <w:rsid w:val="00BE3442"/>
    <w:rsid w:val="00BE3CA9"/>
    <w:rsid w:val="00BE4115"/>
    <w:rsid w:val="00BE42AB"/>
    <w:rsid w:val="00BE448F"/>
    <w:rsid w:val="00BE48D3"/>
    <w:rsid w:val="00BE48D7"/>
    <w:rsid w:val="00BE4A39"/>
    <w:rsid w:val="00BE5405"/>
    <w:rsid w:val="00BE5A86"/>
    <w:rsid w:val="00BE5C47"/>
    <w:rsid w:val="00BE5EED"/>
    <w:rsid w:val="00BE5FC8"/>
    <w:rsid w:val="00BE60EE"/>
    <w:rsid w:val="00BE624D"/>
    <w:rsid w:val="00BE6333"/>
    <w:rsid w:val="00BE6346"/>
    <w:rsid w:val="00BE69A8"/>
    <w:rsid w:val="00BE6A7C"/>
    <w:rsid w:val="00BE6C35"/>
    <w:rsid w:val="00BE79B2"/>
    <w:rsid w:val="00BF035B"/>
    <w:rsid w:val="00BF0FD8"/>
    <w:rsid w:val="00BF0FEA"/>
    <w:rsid w:val="00BF1592"/>
    <w:rsid w:val="00BF1A68"/>
    <w:rsid w:val="00BF2B2D"/>
    <w:rsid w:val="00BF3202"/>
    <w:rsid w:val="00BF3415"/>
    <w:rsid w:val="00BF38F3"/>
    <w:rsid w:val="00BF4182"/>
    <w:rsid w:val="00BF4B67"/>
    <w:rsid w:val="00BF4E00"/>
    <w:rsid w:val="00BF505E"/>
    <w:rsid w:val="00BF5757"/>
    <w:rsid w:val="00BF58E6"/>
    <w:rsid w:val="00BF5A98"/>
    <w:rsid w:val="00BF6118"/>
    <w:rsid w:val="00BF6B3F"/>
    <w:rsid w:val="00BF7119"/>
    <w:rsid w:val="00C0091F"/>
    <w:rsid w:val="00C00BE0"/>
    <w:rsid w:val="00C01225"/>
    <w:rsid w:val="00C0160A"/>
    <w:rsid w:val="00C017AF"/>
    <w:rsid w:val="00C018F8"/>
    <w:rsid w:val="00C027D5"/>
    <w:rsid w:val="00C02A5C"/>
    <w:rsid w:val="00C02CB5"/>
    <w:rsid w:val="00C04D96"/>
    <w:rsid w:val="00C05180"/>
    <w:rsid w:val="00C0545B"/>
    <w:rsid w:val="00C0547F"/>
    <w:rsid w:val="00C0558A"/>
    <w:rsid w:val="00C059D3"/>
    <w:rsid w:val="00C05AD0"/>
    <w:rsid w:val="00C05D73"/>
    <w:rsid w:val="00C064E2"/>
    <w:rsid w:val="00C0694D"/>
    <w:rsid w:val="00C06FBB"/>
    <w:rsid w:val="00C0726D"/>
    <w:rsid w:val="00C074EB"/>
    <w:rsid w:val="00C075C8"/>
    <w:rsid w:val="00C07FF3"/>
    <w:rsid w:val="00C10178"/>
    <w:rsid w:val="00C1139F"/>
    <w:rsid w:val="00C11762"/>
    <w:rsid w:val="00C117E2"/>
    <w:rsid w:val="00C11B40"/>
    <w:rsid w:val="00C11E92"/>
    <w:rsid w:val="00C11FF6"/>
    <w:rsid w:val="00C1233F"/>
    <w:rsid w:val="00C124E0"/>
    <w:rsid w:val="00C126C2"/>
    <w:rsid w:val="00C13703"/>
    <w:rsid w:val="00C13727"/>
    <w:rsid w:val="00C1474E"/>
    <w:rsid w:val="00C14A0B"/>
    <w:rsid w:val="00C15399"/>
    <w:rsid w:val="00C1593E"/>
    <w:rsid w:val="00C169D8"/>
    <w:rsid w:val="00C16B8F"/>
    <w:rsid w:val="00C16D9F"/>
    <w:rsid w:val="00C16EF5"/>
    <w:rsid w:val="00C17833"/>
    <w:rsid w:val="00C17945"/>
    <w:rsid w:val="00C20309"/>
    <w:rsid w:val="00C20C12"/>
    <w:rsid w:val="00C21337"/>
    <w:rsid w:val="00C213C0"/>
    <w:rsid w:val="00C21741"/>
    <w:rsid w:val="00C219A2"/>
    <w:rsid w:val="00C21CAA"/>
    <w:rsid w:val="00C21D3A"/>
    <w:rsid w:val="00C222EC"/>
    <w:rsid w:val="00C22988"/>
    <w:rsid w:val="00C22D6C"/>
    <w:rsid w:val="00C236E3"/>
    <w:rsid w:val="00C23898"/>
    <w:rsid w:val="00C2389C"/>
    <w:rsid w:val="00C23A35"/>
    <w:rsid w:val="00C23DBA"/>
    <w:rsid w:val="00C23E4B"/>
    <w:rsid w:val="00C24060"/>
    <w:rsid w:val="00C24195"/>
    <w:rsid w:val="00C24ACC"/>
    <w:rsid w:val="00C25079"/>
    <w:rsid w:val="00C25C91"/>
    <w:rsid w:val="00C26100"/>
    <w:rsid w:val="00C26482"/>
    <w:rsid w:val="00C271D2"/>
    <w:rsid w:val="00C2730B"/>
    <w:rsid w:val="00C27481"/>
    <w:rsid w:val="00C3035F"/>
    <w:rsid w:val="00C30B41"/>
    <w:rsid w:val="00C31313"/>
    <w:rsid w:val="00C31353"/>
    <w:rsid w:val="00C31692"/>
    <w:rsid w:val="00C31DF1"/>
    <w:rsid w:val="00C31E5D"/>
    <w:rsid w:val="00C31EEA"/>
    <w:rsid w:val="00C31F6C"/>
    <w:rsid w:val="00C32341"/>
    <w:rsid w:val="00C323D2"/>
    <w:rsid w:val="00C326A2"/>
    <w:rsid w:val="00C32767"/>
    <w:rsid w:val="00C327C9"/>
    <w:rsid w:val="00C333D9"/>
    <w:rsid w:val="00C34462"/>
    <w:rsid w:val="00C344FA"/>
    <w:rsid w:val="00C3468F"/>
    <w:rsid w:val="00C34BD5"/>
    <w:rsid w:val="00C34DF1"/>
    <w:rsid w:val="00C34E4A"/>
    <w:rsid w:val="00C35097"/>
    <w:rsid w:val="00C351FB"/>
    <w:rsid w:val="00C35362"/>
    <w:rsid w:val="00C35479"/>
    <w:rsid w:val="00C356BE"/>
    <w:rsid w:val="00C35812"/>
    <w:rsid w:val="00C35E0A"/>
    <w:rsid w:val="00C35F11"/>
    <w:rsid w:val="00C368B8"/>
    <w:rsid w:val="00C37718"/>
    <w:rsid w:val="00C3785C"/>
    <w:rsid w:val="00C37AB2"/>
    <w:rsid w:val="00C37F1F"/>
    <w:rsid w:val="00C37FCD"/>
    <w:rsid w:val="00C4024F"/>
    <w:rsid w:val="00C40907"/>
    <w:rsid w:val="00C40E72"/>
    <w:rsid w:val="00C410B9"/>
    <w:rsid w:val="00C41362"/>
    <w:rsid w:val="00C422E1"/>
    <w:rsid w:val="00C42582"/>
    <w:rsid w:val="00C428F0"/>
    <w:rsid w:val="00C42D8A"/>
    <w:rsid w:val="00C4312A"/>
    <w:rsid w:val="00C432E6"/>
    <w:rsid w:val="00C433A0"/>
    <w:rsid w:val="00C434D3"/>
    <w:rsid w:val="00C43EA4"/>
    <w:rsid w:val="00C44C9A"/>
    <w:rsid w:val="00C45268"/>
    <w:rsid w:val="00C461F8"/>
    <w:rsid w:val="00C46C99"/>
    <w:rsid w:val="00C4701E"/>
    <w:rsid w:val="00C4768D"/>
    <w:rsid w:val="00C476EC"/>
    <w:rsid w:val="00C47FB6"/>
    <w:rsid w:val="00C5003A"/>
    <w:rsid w:val="00C50786"/>
    <w:rsid w:val="00C50CE0"/>
    <w:rsid w:val="00C510E6"/>
    <w:rsid w:val="00C51709"/>
    <w:rsid w:val="00C51B0D"/>
    <w:rsid w:val="00C5259E"/>
    <w:rsid w:val="00C5266D"/>
    <w:rsid w:val="00C52745"/>
    <w:rsid w:val="00C5285A"/>
    <w:rsid w:val="00C533FD"/>
    <w:rsid w:val="00C53794"/>
    <w:rsid w:val="00C53819"/>
    <w:rsid w:val="00C53CC9"/>
    <w:rsid w:val="00C5405D"/>
    <w:rsid w:val="00C54C29"/>
    <w:rsid w:val="00C55195"/>
    <w:rsid w:val="00C5534F"/>
    <w:rsid w:val="00C557AC"/>
    <w:rsid w:val="00C558FD"/>
    <w:rsid w:val="00C56000"/>
    <w:rsid w:val="00C56AC3"/>
    <w:rsid w:val="00C56CCF"/>
    <w:rsid w:val="00C57ACF"/>
    <w:rsid w:val="00C57C52"/>
    <w:rsid w:val="00C57F64"/>
    <w:rsid w:val="00C601A2"/>
    <w:rsid w:val="00C608C0"/>
    <w:rsid w:val="00C611A3"/>
    <w:rsid w:val="00C6208E"/>
    <w:rsid w:val="00C6240F"/>
    <w:rsid w:val="00C62FA7"/>
    <w:rsid w:val="00C62FCF"/>
    <w:rsid w:val="00C63326"/>
    <w:rsid w:val="00C63485"/>
    <w:rsid w:val="00C63644"/>
    <w:rsid w:val="00C63B99"/>
    <w:rsid w:val="00C64BE7"/>
    <w:rsid w:val="00C64C60"/>
    <w:rsid w:val="00C65E73"/>
    <w:rsid w:val="00C65EBC"/>
    <w:rsid w:val="00C666DF"/>
    <w:rsid w:val="00C66BD3"/>
    <w:rsid w:val="00C66C08"/>
    <w:rsid w:val="00C675B5"/>
    <w:rsid w:val="00C6790C"/>
    <w:rsid w:val="00C67EFC"/>
    <w:rsid w:val="00C702C5"/>
    <w:rsid w:val="00C704E3"/>
    <w:rsid w:val="00C7065D"/>
    <w:rsid w:val="00C706A6"/>
    <w:rsid w:val="00C706CD"/>
    <w:rsid w:val="00C707F9"/>
    <w:rsid w:val="00C70880"/>
    <w:rsid w:val="00C70C84"/>
    <w:rsid w:val="00C713D4"/>
    <w:rsid w:val="00C71430"/>
    <w:rsid w:val="00C71A92"/>
    <w:rsid w:val="00C72194"/>
    <w:rsid w:val="00C726BE"/>
    <w:rsid w:val="00C7276D"/>
    <w:rsid w:val="00C73037"/>
    <w:rsid w:val="00C739DA"/>
    <w:rsid w:val="00C73FAE"/>
    <w:rsid w:val="00C7430D"/>
    <w:rsid w:val="00C74A6C"/>
    <w:rsid w:val="00C74B54"/>
    <w:rsid w:val="00C74BF4"/>
    <w:rsid w:val="00C75195"/>
    <w:rsid w:val="00C75468"/>
    <w:rsid w:val="00C75601"/>
    <w:rsid w:val="00C75E94"/>
    <w:rsid w:val="00C7601D"/>
    <w:rsid w:val="00C76595"/>
    <w:rsid w:val="00C7660C"/>
    <w:rsid w:val="00C76A90"/>
    <w:rsid w:val="00C76DBC"/>
    <w:rsid w:val="00C77F75"/>
    <w:rsid w:val="00C80373"/>
    <w:rsid w:val="00C808D9"/>
    <w:rsid w:val="00C80B3E"/>
    <w:rsid w:val="00C80C96"/>
    <w:rsid w:val="00C81320"/>
    <w:rsid w:val="00C818D3"/>
    <w:rsid w:val="00C82FFC"/>
    <w:rsid w:val="00C830B3"/>
    <w:rsid w:val="00C830D6"/>
    <w:rsid w:val="00C83301"/>
    <w:rsid w:val="00C833D0"/>
    <w:rsid w:val="00C834E2"/>
    <w:rsid w:val="00C83C03"/>
    <w:rsid w:val="00C83D4D"/>
    <w:rsid w:val="00C83F9C"/>
    <w:rsid w:val="00C8409A"/>
    <w:rsid w:val="00C84162"/>
    <w:rsid w:val="00C84461"/>
    <w:rsid w:val="00C8452E"/>
    <w:rsid w:val="00C84622"/>
    <w:rsid w:val="00C848AC"/>
    <w:rsid w:val="00C84997"/>
    <w:rsid w:val="00C84C6A"/>
    <w:rsid w:val="00C85887"/>
    <w:rsid w:val="00C85CDA"/>
    <w:rsid w:val="00C86381"/>
    <w:rsid w:val="00C86852"/>
    <w:rsid w:val="00C86FB3"/>
    <w:rsid w:val="00C870E1"/>
    <w:rsid w:val="00C87205"/>
    <w:rsid w:val="00C90734"/>
    <w:rsid w:val="00C90796"/>
    <w:rsid w:val="00C90CF1"/>
    <w:rsid w:val="00C90F65"/>
    <w:rsid w:val="00C91452"/>
    <w:rsid w:val="00C91735"/>
    <w:rsid w:val="00C91990"/>
    <w:rsid w:val="00C91DA5"/>
    <w:rsid w:val="00C91E4A"/>
    <w:rsid w:val="00C92B5A"/>
    <w:rsid w:val="00C92C87"/>
    <w:rsid w:val="00C92DBA"/>
    <w:rsid w:val="00C92F0E"/>
    <w:rsid w:val="00C9309F"/>
    <w:rsid w:val="00C937B0"/>
    <w:rsid w:val="00C9380E"/>
    <w:rsid w:val="00C93E99"/>
    <w:rsid w:val="00C946F0"/>
    <w:rsid w:val="00C950BC"/>
    <w:rsid w:val="00C95168"/>
    <w:rsid w:val="00C953B6"/>
    <w:rsid w:val="00C961C1"/>
    <w:rsid w:val="00C96214"/>
    <w:rsid w:val="00C96361"/>
    <w:rsid w:val="00C96CB9"/>
    <w:rsid w:val="00C96F96"/>
    <w:rsid w:val="00C96FEF"/>
    <w:rsid w:val="00C97691"/>
    <w:rsid w:val="00C97AE9"/>
    <w:rsid w:val="00CA0344"/>
    <w:rsid w:val="00CA061A"/>
    <w:rsid w:val="00CA09AF"/>
    <w:rsid w:val="00CA0A9F"/>
    <w:rsid w:val="00CA0CB2"/>
    <w:rsid w:val="00CA0F51"/>
    <w:rsid w:val="00CA18C7"/>
    <w:rsid w:val="00CA22FF"/>
    <w:rsid w:val="00CA2315"/>
    <w:rsid w:val="00CA239F"/>
    <w:rsid w:val="00CA240B"/>
    <w:rsid w:val="00CA267E"/>
    <w:rsid w:val="00CA38EF"/>
    <w:rsid w:val="00CA482C"/>
    <w:rsid w:val="00CA4AD9"/>
    <w:rsid w:val="00CA4B4B"/>
    <w:rsid w:val="00CA5015"/>
    <w:rsid w:val="00CA5263"/>
    <w:rsid w:val="00CA5BF3"/>
    <w:rsid w:val="00CA5DA5"/>
    <w:rsid w:val="00CA5E87"/>
    <w:rsid w:val="00CA60FA"/>
    <w:rsid w:val="00CA6149"/>
    <w:rsid w:val="00CA6283"/>
    <w:rsid w:val="00CA6C85"/>
    <w:rsid w:val="00CA734A"/>
    <w:rsid w:val="00CA771E"/>
    <w:rsid w:val="00CA79BE"/>
    <w:rsid w:val="00CA7CD0"/>
    <w:rsid w:val="00CA7E39"/>
    <w:rsid w:val="00CB0387"/>
    <w:rsid w:val="00CB06E6"/>
    <w:rsid w:val="00CB0898"/>
    <w:rsid w:val="00CB0A21"/>
    <w:rsid w:val="00CB10D3"/>
    <w:rsid w:val="00CB18EE"/>
    <w:rsid w:val="00CB1F53"/>
    <w:rsid w:val="00CB2029"/>
    <w:rsid w:val="00CB219F"/>
    <w:rsid w:val="00CB270C"/>
    <w:rsid w:val="00CB29A5"/>
    <w:rsid w:val="00CB2B6E"/>
    <w:rsid w:val="00CB2DB0"/>
    <w:rsid w:val="00CB3460"/>
    <w:rsid w:val="00CB3A9D"/>
    <w:rsid w:val="00CB4718"/>
    <w:rsid w:val="00CB492A"/>
    <w:rsid w:val="00CB4A28"/>
    <w:rsid w:val="00CB4B51"/>
    <w:rsid w:val="00CB4CDB"/>
    <w:rsid w:val="00CB550D"/>
    <w:rsid w:val="00CB6111"/>
    <w:rsid w:val="00CB62A0"/>
    <w:rsid w:val="00CB6708"/>
    <w:rsid w:val="00CB69CF"/>
    <w:rsid w:val="00CB6D53"/>
    <w:rsid w:val="00CB6DC3"/>
    <w:rsid w:val="00CB73EE"/>
    <w:rsid w:val="00CB77D2"/>
    <w:rsid w:val="00CB7855"/>
    <w:rsid w:val="00CB7981"/>
    <w:rsid w:val="00CB7A5C"/>
    <w:rsid w:val="00CB7E9E"/>
    <w:rsid w:val="00CC00C7"/>
    <w:rsid w:val="00CC073F"/>
    <w:rsid w:val="00CC07E7"/>
    <w:rsid w:val="00CC0A8C"/>
    <w:rsid w:val="00CC0D6A"/>
    <w:rsid w:val="00CC1024"/>
    <w:rsid w:val="00CC1220"/>
    <w:rsid w:val="00CC2B08"/>
    <w:rsid w:val="00CC2FB3"/>
    <w:rsid w:val="00CC31FE"/>
    <w:rsid w:val="00CC327B"/>
    <w:rsid w:val="00CC3A5E"/>
    <w:rsid w:val="00CC3F64"/>
    <w:rsid w:val="00CC4C66"/>
    <w:rsid w:val="00CC4DF6"/>
    <w:rsid w:val="00CC4E77"/>
    <w:rsid w:val="00CC5135"/>
    <w:rsid w:val="00CC56C2"/>
    <w:rsid w:val="00CC6040"/>
    <w:rsid w:val="00CC6C71"/>
    <w:rsid w:val="00CC6DA9"/>
    <w:rsid w:val="00CC7287"/>
    <w:rsid w:val="00CC75BD"/>
    <w:rsid w:val="00CC76B9"/>
    <w:rsid w:val="00CC779D"/>
    <w:rsid w:val="00CC7980"/>
    <w:rsid w:val="00CC7B3E"/>
    <w:rsid w:val="00CC7F31"/>
    <w:rsid w:val="00CD0757"/>
    <w:rsid w:val="00CD07CB"/>
    <w:rsid w:val="00CD0B83"/>
    <w:rsid w:val="00CD0BE3"/>
    <w:rsid w:val="00CD0BEC"/>
    <w:rsid w:val="00CD1103"/>
    <w:rsid w:val="00CD12EB"/>
    <w:rsid w:val="00CD1386"/>
    <w:rsid w:val="00CD1519"/>
    <w:rsid w:val="00CD20D8"/>
    <w:rsid w:val="00CD2396"/>
    <w:rsid w:val="00CD27E4"/>
    <w:rsid w:val="00CD2DF9"/>
    <w:rsid w:val="00CD40BA"/>
    <w:rsid w:val="00CD42CA"/>
    <w:rsid w:val="00CD43A4"/>
    <w:rsid w:val="00CD46CB"/>
    <w:rsid w:val="00CD4964"/>
    <w:rsid w:val="00CD49CF"/>
    <w:rsid w:val="00CD4B1E"/>
    <w:rsid w:val="00CD597A"/>
    <w:rsid w:val="00CD59F1"/>
    <w:rsid w:val="00CD5B5E"/>
    <w:rsid w:val="00CD5C66"/>
    <w:rsid w:val="00CD5EA1"/>
    <w:rsid w:val="00CD6A63"/>
    <w:rsid w:val="00CD6B70"/>
    <w:rsid w:val="00CD72D0"/>
    <w:rsid w:val="00CD7C48"/>
    <w:rsid w:val="00CE0636"/>
    <w:rsid w:val="00CE07C5"/>
    <w:rsid w:val="00CE0FC3"/>
    <w:rsid w:val="00CE0FD0"/>
    <w:rsid w:val="00CE15D0"/>
    <w:rsid w:val="00CE16AD"/>
    <w:rsid w:val="00CE1BC8"/>
    <w:rsid w:val="00CE242E"/>
    <w:rsid w:val="00CE2490"/>
    <w:rsid w:val="00CE2D37"/>
    <w:rsid w:val="00CE3273"/>
    <w:rsid w:val="00CE451B"/>
    <w:rsid w:val="00CE4863"/>
    <w:rsid w:val="00CE5098"/>
    <w:rsid w:val="00CE6743"/>
    <w:rsid w:val="00CE68B6"/>
    <w:rsid w:val="00CE69AB"/>
    <w:rsid w:val="00CF01C1"/>
    <w:rsid w:val="00CF03A6"/>
    <w:rsid w:val="00CF081F"/>
    <w:rsid w:val="00CF168A"/>
    <w:rsid w:val="00CF17F1"/>
    <w:rsid w:val="00CF1A40"/>
    <w:rsid w:val="00CF1C08"/>
    <w:rsid w:val="00CF2346"/>
    <w:rsid w:val="00CF244E"/>
    <w:rsid w:val="00CF2822"/>
    <w:rsid w:val="00CF29D1"/>
    <w:rsid w:val="00CF2C9C"/>
    <w:rsid w:val="00CF2CF3"/>
    <w:rsid w:val="00CF3095"/>
    <w:rsid w:val="00CF3EB8"/>
    <w:rsid w:val="00CF42CA"/>
    <w:rsid w:val="00CF4AA6"/>
    <w:rsid w:val="00CF4ABC"/>
    <w:rsid w:val="00CF5625"/>
    <w:rsid w:val="00CF5DF9"/>
    <w:rsid w:val="00CF6127"/>
    <w:rsid w:val="00CF641A"/>
    <w:rsid w:val="00CF6431"/>
    <w:rsid w:val="00CF645E"/>
    <w:rsid w:val="00CF73BE"/>
    <w:rsid w:val="00CF7670"/>
    <w:rsid w:val="00CF76D6"/>
    <w:rsid w:val="00D00025"/>
    <w:rsid w:val="00D00B6D"/>
    <w:rsid w:val="00D0170C"/>
    <w:rsid w:val="00D01ED2"/>
    <w:rsid w:val="00D023CB"/>
    <w:rsid w:val="00D0286B"/>
    <w:rsid w:val="00D03A4B"/>
    <w:rsid w:val="00D0483E"/>
    <w:rsid w:val="00D05170"/>
    <w:rsid w:val="00D05D3C"/>
    <w:rsid w:val="00D06FF4"/>
    <w:rsid w:val="00D075EA"/>
    <w:rsid w:val="00D07BC4"/>
    <w:rsid w:val="00D07D0C"/>
    <w:rsid w:val="00D10010"/>
    <w:rsid w:val="00D102CD"/>
    <w:rsid w:val="00D10374"/>
    <w:rsid w:val="00D10621"/>
    <w:rsid w:val="00D10A02"/>
    <w:rsid w:val="00D10FBB"/>
    <w:rsid w:val="00D110C1"/>
    <w:rsid w:val="00D116FE"/>
    <w:rsid w:val="00D1186E"/>
    <w:rsid w:val="00D11C68"/>
    <w:rsid w:val="00D12261"/>
    <w:rsid w:val="00D126DB"/>
    <w:rsid w:val="00D12824"/>
    <w:rsid w:val="00D12BBB"/>
    <w:rsid w:val="00D12DEE"/>
    <w:rsid w:val="00D13FF4"/>
    <w:rsid w:val="00D144B1"/>
    <w:rsid w:val="00D14669"/>
    <w:rsid w:val="00D14B3B"/>
    <w:rsid w:val="00D14FC9"/>
    <w:rsid w:val="00D157D6"/>
    <w:rsid w:val="00D15B63"/>
    <w:rsid w:val="00D15C41"/>
    <w:rsid w:val="00D15EE4"/>
    <w:rsid w:val="00D16938"/>
    <w:rsid w:val="00D169DE"/>
    <w:rsid w:val="00D16D7C"/>
    <w:rsid w:val="00D17325"/>
    <w:rsid w:val="00D20702"/>
    <w:rsid w:val="00D209ED"/>
    <w:rsid w:val="00D21A05"/>
    <w:rsid w:val="00D21A53"/>
    <w:rsid w:val="00D2221E"/>
    <w:rsid w:val="00D22828"/>
    <w:rsid w:val="00D22AB0"/>
    <w:rsid w:val="00D22FA8"/>
    <w:rsid w:val="00D23C12"/>
    <w:rsid w:val="00D2405C"/>
    <w:rsid w:val="00D24211"/>
    <w:rsid w:val="00D242A1"/>
    <w:rsid w:val="00D2431D"/>
    <w:rsid w:val="00D24604"/>
    <w:rsid w:val="00D2471F"/>
    <w:rsid w:val="00D24E94"/>
    <w:rsid w:val="00D255ED"/>
    <w:rsid w:val="00D25A45"/>
    <w:rsid w:val="00D25C6C"/>
    <w:rsid w:val="00D264FF"/>
    <w:rsid w:val="00D266D2"/>
    <w:rsid w:val="00D2717E"/>
    <w:rsid w:val="00D27669"/>
    <w:rsid w:val="00D30E05"/>
    <w:rsid w:val="00D310A3"/>
    <w:rsid w:val="00D3163B"/>
    <w:rsid w:val="00D3194A"/>
    <w:rsid w:val="00D319AA"/>
    <w:rsid w:val="00D31AC6"/>
    <w:rsid w:val="00D31CAD"/>
    <w:rsid w:val="00D32100"/>
    <w:rsid w:val="00D322C7"/>
    <w:rsid w:val="00D324F4"/>
    <w:rsid w:val="00D32AC6"/>
    <w:rsid w:val="00D32D9A"/>
    <w:rsid w:val="00D32E96"/>
    <w:rsid w:val="00D33397"/>
    <w:rsid w:val="00D33491"/>
    <w:rsid w:val="00D3356E"/>
    <w:rsid w:val="00D33C29"/>
    <w:rsid w:val="00D33C54"/>
    <w:rsid w:val="00D342FF"/>
    <w:rsid w:val="00D34335"/>
    <w:rsid w:val="00D344DC"/>
    <w:rsid w:val="00D3462A"/>
    <w:rsid w:val="00D346AE"/>
    <w:rsid w:val="00D34B19"/>
    <w:rsid w:val="00D350A7"/>
    <w:rsid w:val="00D351BF"/>
    <w:rsid w:val="00D35FF7"/>
    <w:rsid w:val="00D3638F"/>
    <w:rsid w:val="00D36B1F"/>
    <w:rsid w:val="00D36BED"/>
    <w:rsid w:val="00D37233"/>
    <w:rsid w:val="00D372F6"/>
    <w:rsid w:val="00D37A4B"/>
    <w:rsid w:val="00D37D18"/>
    <w:rsid w:val="00D402B3"/>
    <w:rsid w:val="00D40F29"/>
    <w:rsid w:val="00D410B7"/>
    <w:rsid w:val="00D410C1"/>
    <w:rsid w:val="00D41261"/>
    <w:rsid w:val="00D41AD4"/>
    <w:rsid w:val="00D41E2E"/>
    <w:rsid w:val="00D41F38"/>
    <w:rsid w:val="00D4258C"/>
    <w:rsid w:val="00D427CE"/>
    <w:rsid w:val="00D42B27"/>
    <w:rsid w:val="00D43141"/>
    <w:rsid w:val="00D43446"/>
    <w:rsid w:val="00D43485"/>
    <w:rsid w:val="00D434DA"/>
    <w:rsid w:val="00D43966"/>
    <w:rsid w:val="00D443C3"/>
    <w:rsid w:val="00D4446B"/>
    <w:rsid w:val="00D455BE"/>
    <w:rsid w:val="00D4567E"/>
    <w:rsid w:val="00D4639E"/>
    <w:rsid w:val="00D4650D"/>
    <w:rsid w:val="00D46D58"/>
    <w:rsid w:val="00D472EE"/>
    <w:rsid w:val="00D477EE"/>
    <w:rsid w:val="00D47810"/>
    <w:rsid w:val="00D47CD0"/>
    <w:rsid w:val="00D47CF2"/>
    <w:rsid w:val="00D47FAF"/>
    <w:rsid w:val="00D502ED"/>
    <w:rsid w:val="00D503C5"/>
    <w:rsid w:val="00D5084E"/>
    <w:rsid w:val="00D5106E"/>
    <w:rsid w:val="00D51086"/>
    <w:rsid w:val="00D51351"/>
    <w:rsid w:val="00D51640"/>
    <w:rsid w:val="00D519B9"/>
    <w:rsid w:val="00D51A7B"/>
    <w:rsid w:val="00D5253D"/>
    <w:rsid w:val="00D52DB6"/>
    <w:rsid w:val="00D530A9"/>
    <w:rsid w:val="00D53C3E"/>
    <w:rsid w:val="00D54016"/>
    <w:rsid w:val="00D54153"/>
    <w:rsid w:val="00D55230"/>
    <w:rsid w:val="00D55359"/>
    <w:rsid w:val="00D5535E"/>
    <w:rsid w:val="00D5541C"/>
    <w:rsid w:val="00D55718"/>
    <w:rsid w:val="00D55798"/>
    <w:rsid w:val="00D557BC"/>
    <w:rsid w:val="00D557CF"/>
    <w:rsid w:val="00D5598E"/>
    <w:rsid w:val="00D55DCD"/>
    <w:rsid w:val="00D56033"/>
    <w:rsid w:val="00D56373"/>
    <w:rsid w:val="00D56A3F"/>
    <w:rsid w:val="00D56A87"/>
    <w:rsid w:val="00D60800"/>
    <w:rsid w:val="00D60E7B"/>
    <w:rsid w:val="00D61620"/>
    <w:rsid w:val="00D61DA3"/>
    <w:rsid w:val="00D6209D"/>
    <w:rsid w:val="00D62397"/>
    <w:rsid w:val="00D625EA"/>
    <w:rsid w:val="00D62F2D"/>
    <w:rsid w:val="00D63220"/>
    <w:rsid w:val="00D63649"/>
    <w:rsid w:val="00D643F6"/>
    <w:rsid w:val="00D6450C"/>
    <w:rsid w:val="00D645AE"/>
    <w:rsid w:val="00D645B3"/>
    <w:rsid w:val="00D64B64"/>
    <w:rsid w:val="00D6570E"/>
    <w:rsid w:val="00D66F6F"/>
    <w:rsid w:val="00D67522"/>
    <w:rsid w:val="00D67E6D"/>
    <w:rsid w:val="00D706EC"/>
    <w:rsid w:val="00D7070F"/>
    <w:rsid w:val="00D707CF"/>
    <w:rsid w:val="00D70E3F"/>
    <w:rsid w:val="00D71058"/>
    <w:rsid w:val="00D71396"/>
    <w:rsid w:val="00D716E1"/>
    <w:rsid w:val="00D7170E"/>
    <w:rsid w:val="00D71C28"/>
    <w:rsid w:val="00D71D62"/>
    <w:rsid w:val="00D72310"/>
    <w:rsid w:val="00D72535"/>
    <w:rsid w:val="00D729F8"/>
    <w:rsid w:val="00D72A30"/>
    <w:rsid w:val="00D72C23"/>
    <w:rsid w:val="00D72D31"/>
    <w:rsid w:val="00D72DEF"/>
    <w:rsid w:val="00D73626"/>
    <w:rsid w:val="00D73E7D"/>
    <w:rsid w:val="00D74106"/>
    <w:rsid w:val="00D74588"/>
    <w:rsid w:val="00D747B9"/>
    <w:rsid w:val="00D74C58"/>
    <w:rsid w:val="00D74EF7"/>
    <w:rsid w:val="00D76027"/>
    <w:rsid w:val="00D76828"/>
    <w:rsid w:val="00D772BF"/>
    <w:rsid w:val="00D776C9"/>
    <w:rsid w:val="00D779A1"/>
    <w:rsid w:val="00D77A09"/>
    <w:rsid w:val="00D77A1B"/>
    <w:rsid w:val="00D77A79"/>
    <w:rsid w:val="00D77DB0"/>
    <w:rsid w:val="00D77E55"/>
    <w:rsid w:val="00D802C6"/>
    <w:rsid w:val="00D8055F"/>
    <w:rsid w:val="00D8064E"/>
    <w:rsid w:val="00D80879"/>
    <w:rsid w:val="00D8146D"/>
    <w:rsid w:val="00D81640"/>
    <w:rsid w:val="00D817D6"/>
    <w:rsid w:val="00D81AFB"/>
    <w:rsid w:val="00D81CF3"/>
    <w:rsid w:val="00D82840"/>
    <w:rsid w:val="00D82E1C"/>
    <w:rsid w:val="00D82EFA"/>
    <w:rsid w:val="00D83439"/>
    <w:rsid w:val="00D836C2"/>
    <w:rsid w:val="00D83902"/>
    <w:rsid w:val="00D83A4D"/>
    <w:rsid w:val="00D83C21"/>
    <w:rsid w:val="00D83E3D"/>
    <w:rsid w:val="00D84210"/>
    <w:rsid w:val="00D846B9"/>
    <w:rsid w:val="00D84E53"/>
    <w:rsid w:val="00D84EAA"/>
    <w:rsid w:val="00D84F44"/>
    <w:rsid w:val="00D84F7E"/>
    <w:rsid w:val="00D85AD8"/>
    <w:rsid w:val="00D85DEE"/>
    <w:rsid w:val="00D866F7"/>
    <w:rsid w:val="00D87707"/>
    <w:rsid w:val="00D87763"/>
    <w:rsid w:val="00D87CD4"/>
    <w:rsid w:val="00D90126"/>
    <w:rsid w:val="00D90155"/>
    <w:rsid w:val="00D90471"/>
    <w:rsid w:val="00D906BF"/>
    <w:rsid w:val="00D906DC"/>
    <w:rsid w:val="00D90FF3"/>
    <w:rsid w:val="00D91082"/>
    <w:rsid w:val="00D910EE"/>
    <w:rsid w:val="00D912E1"/>
    <w:rsid w:val="00D91390"/>
    <w:rsid w:val="00D92298"/>
    <w:rsid w:val="00D92E11"/>
    <w:rsid w:val="00D92E31"/>
    <w:rsid w:val="00D92E74"/>
    <w:rsid w:val="00D92FB0"/>
    <w:rsid w:val="00D92FEA"/>
    <w:rsid w:val="00D935BF"/>
    <w:rsid w:val="00D93A09"/>
    <w:rsid w:val="00D93AE7"/>
    <w:rsid w:val="00D93DC3"/>
    <w:rsid w:val="00D93EA1"/>
    <w:rsid w:val="00D93FE7"/>
    <w:rsid w:val="00D94008"/>
    <w:rsid w:val="00D941EC"/>
    <w:rsid w:val="00D94A24"/>
    <w:rsid w:val="00D951A8"/>
    <w:rsid w:val="00D95486"/>
    <w:rsid w:val="00D95610"/>
    <w:rsid w:val="00D95BAB"/>
    <w:rsid w:val="00D95E39"/>
    <w:rsid w:val="00D95E44"/>
    <w:rsid w:val="00D95E8E"/>
    <w:rsid w:val="00D9672C"/>
    <w:rsid w:val="00D9683F"/>
    <w:rsid w:val="00D96BF9"/>
    <w:rsid w:val="00D97168"/>
    <w:rsid w:val="00D97BE7"/>
    <w:rsid w:val="00DA0A84"/>
    <w:rsid w:val="00DA11FB"/>
    <w:rsid w:val="00DA194D"/>
    <w:rsid w:val="00DA220D"/>
    <w:rsid w:val="00DA29DB"/>
    <w:rsid w:val="00DA2C1B"/>
    <w:rsid w:val="00DA341E"/>
    <w:rsid w:val="00DA4096"/>
    <w:rsid w:val="00DA415C"/>
    <w:rsid w:val="00DA41A0"/>
    <w:rsid w:val="00DA462E"/>
    <w:rsid w:val="00DA470F"/>
    <w:rsid w:val="00DA478F"/>
    <w:rsid w:val="00DA47AE"/>
    <w:rsid w:val="00DA494B"/>
    <w:rsid w:val="00DA5A81"/>
    <w:rsid w:val="00DA5CA5"/>
    <w:rsid w:val="00DA64D4"/>
    <w:rsid w:val="00DA682D"/>
    <w:rsid w:val="00DA6B92"/>
    <w:rsid w:val="00DA72C7"/>
    <w:rsid w:val="00DA78C4"/>
    <w:rsid w:val="00DA79E2"/>
    <w:rsid w:val="00DB00CD"/>
    <w:rsid w:val="00DB0BE2"/>
    <w:rsid w:val="00DB0F6E"/>
    <w:rsid w:val="00DB105C"/>
    <w:rsid w:val="00DB1113"/>
    <w:rsid w:val="00DB1958"/>
    <w:rsid w:val="00DB1992"/>
    <w:rsid w:val="00DB1A42"/>
    <w:rsid w:val="00DB1D64"/>
    <w:rsid w:val="00DB2BFB"/>
    <w:rsid w:val="00DB3CE0"/>
    <w:rsid w:val="00DB40AE"/>
    <w:rsid w:val="00DB4762"/>
    <w:rsid w:val="00DB47A8"/>
    <w:rsid w:val="00DB47EC"/>
    <w:rsid w:val="00DB4B10"/>
    <w:rsid w:val="00DB5884"/>
    <w:rsid w:val="00DB58B3"/>
    <w:rsid w:val="00DB599F"/>
    <w:rsid w:val="00DB5E83"/>
    <w:rsid w:val="00DB74AE"/>
    <w:rsid w:val="00DC00CB"/>
    <w:rsid w:val="00DC072E"/>
    <w:rsid w:val="00DC090B"/>
    <w:rsid w:val="00DC0FFB"/>
    <w:rsid w:val="00DC1793"/>
    <w:rsid w:val="00DC19FE"/>
    <w:rsid w:val="00DC1C3A"/>
    <w:rsid w:val="00DC22D0"/>
    <w:rsid w:val="00DC280D"/>
    <w:rsid w:val="00DC2DBC"/>
    <w:rsid w:val="00DC3281"/>
    <w:rsid w:val="00DC330C"/>
    <w:rsid w:val="00DC3362"/>
    <w:rsid w:val="00DC3B68"/>
    <w:rsid w:val="00DC3B69"/>
    <w:rsid w:val="00DC3CD9"/>
    <w:rsid w:val="00DC3EE0"/>
    <w:rsid w:val="00DC46FC"/>
    <w:rsid w:val="00DC4757"/>
    <w:rsid w:val="00DC49AA"/>
    <w:rsid w:val="00DC4BA1"/>
    <w:rsid w:val="00DC4C9F"/>
    <w:rsid w:val="00DC4E95"/>
    <w:rsid w:val="00DC522D"/>
    <w:rsid w:val="00DC52B9"/>
    <w:rsid w:val="00DC5365"/>
    <w:rsid w:val="00DC53E1"/>
    <w:rsid w:val="00DC568D"/>
    <w:rsid w:val="00DC5A1E"/>
    <w:rsid w:val="00DC5E71"/>
    <w:rsid w:val="00DC6116"/>
    <w:rsid w:val="00DC613D"/>
    <w:rsid w:val="00DC6405"/>
    <w:rsid w:val="00DC6CF2"/>
    <w:rsid w:val="00DC6CF5"/>
    <w:rsid w:val="00DC7006"/>
    <w:rsid w:val="00DC7303"/>
    <w:rsid w:val="00DC730A"/>
    <w:rsid w:val="00DC77DF"/>
    <w:rsid w:val="00DD008C"/>
    <w:rsid w:val="00DD0313"/>
    <w:rsid w:val="00DD0424"/>
    <w:rsid w:val="00DD0572"/>
    <w:rsid w:val="00DD05D1"/>
    <w:rsid w:val="00DD0CB8"/>
    <w:rsid w:val="00DD0E0B"/>
    <w:rsid w:val="00DD1777"/>
    <w:rsid w:val="00DD1A61"/>
    <w:rsid w:val="00DD1AF5"/>
    <w:rsid w:val="00DD1C53"/>
    <w:rsid w:val="00DD208C"/>
    <w:rsid w:val="00DD21E8"/>
    <w:rsid w:val="00DD222F"/>
    <w:rsid w:val="00DD23A6"/>
    <w:rsid w:val="00DD31BE"/>
    <w:rsid w:val="00DD36B0"/>
    <w:rsid w:val="00DD374B"/>
    <w:rsid w:val="00DD3E1C"/>
    <w:rsid w:val="00DD4191"/>
    <w:rsid w:val="00DD42C2"/>
    <w:rsid w:val="00DD468F"/>
    <w:rsid w:val="00DD4E09"/>
    <w:rsid w:val="00DD4F34"/>
    <w:rsid w:val="00DD4F59"/>
    <w:rsid w:val="00DD5036"/>
    <w:rsid w:val="00DD5856"/>
    <w:rsid w:val="00DD6292"/>
    <w:rsid w:val="00DD6B56"/>
    <w:rsid w:val="00DD73C2"/>
    <w:rsid w:val="00DD7856"/>
    <w:rsid w:val="00DD7BC8"/>
    <w:rsid w:val="00DE0569"/>
    <w:rsid w:val="00DE08CA"/>
    <w:rsid w:val="00DE0970"/>
    <w:rsid w:val="00DE0A14"/>
    <w:rsid w:val="00DE0BE5"/>
    <w:rsid w:val="00DE1628"/>
    <w:rsid w:val="00DE1D4D"/>
    <w:rsid w:val="00DE1D63"/>
    <w:rsid w:val="00DE1D8A"/>
    <w:rsid w:val="00DE2028"/>
    <w:rsid w:val="00DE2175"/>
    <w:rsid w:val="00DE3161"/>
    <w:rsid w:val="00DE3EE9"/>
    <w:rsid w:val="00DE425A"/>
    <w:rsid w:val="00DE445D"/>
    <w:rsid w:val="00DE4A63"/>
    <w:rsid w:val="00DE4BCE"/>
    <w:rsid w:val="00DE56DB"/>
    <w:rsid w:val="00DE5E94"/>
    <w:rsid w:val="00DE60D8"/>
    <w:rsid w:val="00DE60DB"/>
    <w:rsid w:val="00DE63A5"/>
    <w:rsid w:val="00DE67A0"/>
    <w:rsid w:val="00DE6804"/>
    <w:rsid w:val="00DE6AC4"/>
    <w:rsid w:val="00DE71EB"/>
    <w:rsid w:val="00DE737B"/>
    <w:rsid w:val="00DF10AD"/>
    <w:rsid w:val="00DF1706"/>
    <w:rsid w:val="00DF250A"/>
    <w:rsid w:val="00DF2B92"/>
    <w:rsid w:val="00DF331F"/>
    <w:rsid w:val="00DF396B"/>
    <w:rsid w:val="00DF3B44"/>
    <w:rsid w:val="00DF4094"/>
    <w:rsid w:val="00DF49D8"/>
    <w:rsid w:val="00DF4FC1"/>
    <w:rsid w:val="00DF531A"/>
    <w:rsid w:val="00DF5455"/>
    <w:rsid w:val="00DF5608"/>
    <w:rsid w:val="00DF57AA"/>
    <w:rsid w:val="00DF5B94"/>
    <w:rsid w:val="00DF5DE8"/>
    <w:rsid w:val="00DF636F"/>
    <w:rsid w:val="00DF6E6F"/>
    <w:rsid w:val="00DF718F"/>
    <w:rsid w:val="00DF7282"/>
    <w:rsid w:val="00DF7353"/>
    <w:rsid w:val="00DF757F"/>
    <w:rsid w:val="00DF7762"/>
    <w:rsid w:val="00DF7D7B"/>
    <w:rsid w:val="00E0017B"/>
    <w:rsid w:val="00E00684"/>
    <w:rsid w:val="00E00B71"/>
    <w:rsid w:val="00E00D94"/>
    <w:rsid w:val="00E01F90"/>
    <w:rsid w:val="00E0225F"/>
    <w:rsid w:val="00E02437"/>
    <w:rsid w:val="00E026E8"/>
    <w:rsid w:val="00E04D27"/>
    <w:rsid w:val="00E05C27"/>
    <w:rsid w:val="00E072FA"/>
    <w:rsid w:val="00E07330"/>
    <w:rsid w:val="00E0760A"/>
    <w:rsid w:val="00E076B8"/>
    <w:rsid w:val="00E07806"/>
    <w:rsid w:val="00E07CEF"/>
    <w:rsid w:val="00E102C4"/>
    <w:rsid w:val="00E10BC7"/>
    <w:rsid w:val="00E113F0"/>
    <w:rsid w:val="00E11732"/>
    <w:rsid w:val="00E11AD3"/>
    <w:rsid w:val="00E11BE6"/>
    <w:rsid w:val="00E1295F"/>
    <w:rsid w:val="00E12A5D"/>
    <w:rsid w:val="00E12D41"/>
    <w:rsid w:val="00E13C09"/>
    <w:rsid w:val="00E13EF6"/>
    <w:rsid w:val="00E146A0"/>
    <w:rsid w:val="00E14F4E"/>
    <w:rsid w:val="00E15134"/>
    <w:rsid w:val="00E15407"/>
    <w:rsid w:val="00E15595"/>
    <w:rsid w:val="00E158EA"/>
    <w:rsid w:val="00E16B2B"/>
    <w:rsid w:val="00E16CE8"/>
    <w:rsid w:val="00E16E64"/>
    <w:rsid w:val="00E16F1B"/>
    <w:rsid w:val="00E175D5"/>
    <w:rsid w:val="00E17829"/>
    <w:rsid w:val="00E17838"/>
    <w:rsid w:val="00E2006E"/>
    <w:rsid w:val="00E202AA"/>
    <w:rsid w:val="00E205AF"/>
    <w:rsid w:val="00E20F33"/>
    <w:rsid w:val="00E216E9"/>
    <w:rsid w:val="00E219AE"/>
    <w:rsid w:val="00E21A90"/>
    <w:rsid w:val="00E21BFE"/>
    <w:rsid w:val="00E22616"/>
    <w:rsid w:val="00E22BB2"/>
    <w:rsid w:val="00E23350"/>
    <w:rsid w:val="00E24836"/>
    <w:rsid w:val="00E24A85"/>
    <w:rsid w:val="00E24F94"/>
    <w:rsid w:val="00E25B46"/>
    <w:rsid w:val="00E25B76"/>
    <w:rsid w:val="00E25E93"/>
    <w:rsid w:val="00E25F15"/>
    <w:rsid w:val="00E26466"/>
    <w:rsid w:val="00E2656D"/>
    <w:rsid w:val="00E2661A"/>
    <w:rsid w:val="00E26651"/>
    <w:rsid w:val="00E268ED"/>
    <w:rsid w:val="00E26CEF"/>
    <w:rsid w:val="00E27014"/>
    <w:rsid w:val="00E272AE"/>
    <w:rsid w:val="00E276A9"/>
    <w:rsid w:val="00E27B17"/>
    <w:rsid w:val="00E27E25"/>
    <w:rsid w:val="00E27E4C"/>
    <w:rsid w:val="00E30393"/>
    <w:rsid w:val="00E30417"/>
    <w:rsid w:val="00E3047C"/>
    <w:rsid w:val="00E30A48"/>
    <w:rsid w:val="00E30E47"/>
    <w:rsid w:val="00E3159F"/>
    <w:rsid w:val="00E31FDB"/>
    <w:rsid w:val="00E334AD"/>
    <w:rsid w:val="00E33705"/>
    <w:rsid w:val="00E337A1"/>
    <w:rsid w:val="00E33B02"/>
    <w:rsid w:val="00E33D19"/>
    <w:rsid w:val="00E34502"/>
    <w:rsid w:val="00E34612"/>
    <w:rsid w:val="00E348F6"/>
    <w:rsid w:val="00E350D3"/>
    <w:rsid w:val="00E35564"/>
    <w:rsid w:val="00E35A59"/>
    <w:rsid w:val="00E3655E"/>
    <w:rsid w:val="00E3658B"/>
    <w:rsid w:val="00E366F2"/>
    <w:rsid w:val="00E36A4D"/>
    <w:rsid w:val="00E36AC3"/>
    <w:rsid w:val="00E36BA2"/>
    <w:rsid w:val="00E37AF5"/>
    <w:rsid w:val="00E40450"/>
    <w:rsid w:val="00E40455"/>
    <w:rsid w:val="00E404EB"/>
    <w:rsid w:val="00E40534"/>
    <w:rsid w:val="00E406BD"/>
    <w:rsid w:val="00E40869"/>
    <w:rsid w:val="00E40DB2"/>
    <w:rsid w:val="00E40FC3"/>
    <w:rsid w:val="00E41505"/>
    <w:rsid w:val="00E41A25"/>
    <w:rsid w:val="00E41ABF"/>
    <w:rsid w:val="00E41B8F"/>
    <w:rsid w:val="00E41BBA"/>
    <w:rsid w:val="00E41D83"/>
    <w:rsid w:val="00E420DD"/>
    <w:rsid w:val="00E42B96"/>
    <w:rsid w:val="00E42DEF"/>
    <w:rsid w:val="00E42E1A"/>
    <w:rsid w:val="00E4362B"/>
    <w:rsid w:val="00E43662"/>
    <w:rsid w:val="00E43EEF"/>
    <w:rsid w:val="00E44202"/>
    <w:rsid w:val="00E4425C"/>
    <w:rsid w:val="00E44403"/>
    <w:rsid w:val="00E4582E"/>
    <w:rsid w:val="00E46517"/>
    <w:rsid w:val="00E46E8B"/>
    <w:rsid w:val="00E4799D"/>
    <w:rsid w:val="00E479B0"/>
    <w:rsid w:val="00E47B60"/>
    <w:rsid w:val="00E50145"/>
    <w:rsid w:val="00E50381"/>
    <w:rsid w:val="00E5049C"/>
    <w:rsid w:val="00E512A7"/>
    <w:rsid w:val="00E513F4"/>
    <w:rsid w:val="00E516C3"/>
    <w:rsid w:val="00E51885"/>
    <w:rsid w:val="00E51EB3"/>
    <w:rsid w:val="00E51F93"/>
    <w:rsid w:val="00E52423"/>
    <w:rsid w:val="00E52B0B"/>
    <w:rsid w:val="00E53209"/>
    <w:rsid w:val="00E5346C"/>
    <w:rsid w:val="00E53A75"/>
    <w:rsid w:val="00E543D5"/>
    <w:rsid w:val="00E54483"/>
    <w:rsid w:val="00E54E11"/>
    <w:rsid w:val="00E55125"/>
    <w:rsid w:val="00E55272"/>
    <w:rsid w:val="00E55548"/>
    <w:rsid w:val="00E55FC3"/>
    <w:rsid w:val="00E57F57"/>
    <w:rsid w:val="00E57FE1"/>
    <w:rsid w:val="00E6022C"/>
    <w:rsid w:val="00E6083C"/>
    <w:rsid w:val="00E60C3C"/>
    <w:rsid w:val="00E617A8"/>
    <w:rsid w:val="00E61AA0"/>
    <w:rsid w:val="00E61C6E"/>
    <w:rsid w:val="00E621C1"/>
    <w:rsid w:val="00E62394"/>
    <w:rsid w:val="00E62A69"/>
    <w:rsid w:val="00E62AFF"/>
    <w:rsid w:val="00E63138"/>
    <w:rsid w:val="00E631E8"/>
    <w:rsid w:val="00E638E8"/>
    <w:rsid w:val="00E63960"/>
    <w:rsid w:val="00E63AEA"/>
    <w:rsid w:val="00E63D2A"/>
    <w:rsid w:val="00E642D0"/>
    <w:rsid w:val="00E643F3"/>
    <w:rsid w:val="00E657D3"/>
    <w:rsid w:val="00E65CD7"/>
    <w:rsid w:val="00E66350"/>
    <w:rsid w:val="00E664FB"/>
    <w:rsid w:val="00E66631"/>
    <w:rsid w:val="00E66A44"/>
    <w:rsid w:val="00E66CF3"/>
    <w:rsid w:val="00E66D18"/>
    <w:rsid w:val="00E6730F"/>
    <w:rsid w:val="00E6732D"/>
    <w:rsid w:val="00E674A8"/>
    <w:rsid w:val="00E6755C"/>
    <w:rsid w:val="00E67DD0"/>
    <w:rsid w:val="00E71281"/>
    <w:rsid w:val="00E71490"/>
    <w:rsid w:val="00E71B43"/>
    <w:rsid w:val="00E71CF6"/>
    <w:rsid w:val="00E722CE"/>
    <w:rsid w:val="00E73691"/>
    <w:rsid w:val="00E736AA"/>
    <w:rsid w:val="00E7397D"/>
    <w:rsid w:val="00E73BD4"/>
    <w:rsid w:val="00E73E48"/>
    <w:rsid w:val="00E74313"/>
    <w:rsid w:val="00E74385"/>
    <w:rsid w:val="00E750F6"/>
    <w:rsid w:val="00E757C2"/>
    <w:rsid w:val="00E75CB4"/>
    <w:rsid w:val="00E7641A"/>
    <w:rsid w:val="00E76EE3"/>
    <w:rsid w:val="00E773C4"/>
    <w:rsid w:val="00E80248"/>
    <w:rsid w:val="00E80708"/>
    <w:rsid w:val="00E80C1E"/>
    <w:rsid w:val="00E813FF"/>
    <w:rsid w:val="00E81928"/>
    <w:rsid w:val="00E8193E"/>
    <w:rsid w:val="00E82007"/>
    <w:rsid w:val="00E82077"/>
    <w:rsid w:val="00E8220A"/>
    <w:rsid w:val="00E8239F"/>
    <w:rsid w:val="00E82410"/>
    <w:rsid w:val="00E824D3"/>
    <w:rsid w:val="00E82C3F"/>
    <w:rsid w:val="00E82D0A"/>
    <w:rsid w:val="00E831D4"/>
    <w:rsid w:val="00E834A2"/>
    <w:rsid w:val="00E8362D"/>
    <w:rsid w:val="00E8397C"/>
    <w:rsid w:val="00E8399D"/>
    <w:rsid w:val="00E84563"/>
    <w:rsid w:val="00E84AE6"/>
    <w:rsid w:val="00E851C5"/>
    <w:rsid w:val="00E851D4"/>
    <w:rsid w:val="00E85561"/>
    <w:rsid w:val="00E857BD"/>
    <w:rsid w:val="00E85AEA"/>
    <w:rsid w:val="00E85EFC"/>
    <w:rsid w:val="00E863B4"/>
    <w:rsid w:val="00E86474"/>
    <w:rsid w:val="00E8670E"/>
    <w:rsid w:val="00E879EE"/>
    <w:rsid w:val="00E87C44"/>
    <w:rsid w:val="00E87CF7"/>
    <w:rsid w:val="00E87F12"/>
    <w:rsid w:val="00E90382"/>
    <w:rsid w:val="00E9059F"/>
    <w:rsid w:val="00E9145A"/>
    <w:rsid w:val="00E91D71"/>
    <w:rsid w:val="00E9254B"/>
    <w:rsid w:val="00E92647"/>
    <w:rsid w:val="00E92742"/>
    <w:rsid w:val="00E92780"/>
    <w:rsid w:val="00E92BCD"/>
    <w:rsid w:val="00E92D52"/>
    <w:rsid w:val="00E933E6"/>
    <w:rsid w:val="00E93AEE"/>
    <w:rsid w:val="00E93F64"/>
    <w:rsid w:val="00E940B9"/>
    <w:rsid w:val="00E942DC"/>
    <w:rsid w:val="00E9434A"/>
    <w:rsid w:val="00E9468E"/>
    <w:rsid w:val="00E94914"/>
    <w:rsid w:val="00E94B99"/>
    <w:rsid w:val="00E9591B"/>
    <w:rsid w:val="00E9595C"/>
    <w:rsid w:val="00E95D04"/>
    <w:rsid w:val="00E95D57"/>
    <w:rsid w:val="00E96014"/>
    <w:rsid w:val="00E960C9"/>
    <w:rsid w:val="00E964E3"/>
    <w:rsid w:val="00E96DCD"/>
    <w:rsid w:val="00E97273"/>
    <w:rsid w:val="00EA0C46"/>
    <w:rsid w:val="00EA0CB2"/>
    <w:rsid w:val="00EA1379"/>
    <w:rsid w:val="00EA175A"/>
    <w:rsid w:val="00EA1B86"/>
    <w:rsid w:val="00EA1E19"/>
    <w:rsid w:val="00EA1EA9"/>
    <w:rsid w:val="00EA1F36"/>
    <w:rsid w:val="00EA3396"/>
    <w:rsid w:val="00EA37D2"/>
    <w:rsid w:val="00EA38B9"/>
    <w:rsid w:val="00EA454B"/>
    <w:rsid w:val="00EA5BC4"/>
    <w:rsid w:val="00EA5C41"/>
    <w:rsid w:val="00EA5F6C"/>
    <w:rsid w:val="00EA6382"/>
    <w:rsid w:val="00EA6745"/>
    <w:rsid w:val="00EA69FF"/>
    <w:rsid w:val="00EA7178"/>
    <w:rsid w:val="00EA769C"/>
    <w:rsid w:val="00EA782B"/>
    <w:rsid w:val="00EA7CD6"/>
    <w:rsid w:val="00EB04E7"/>
    <w:rsid w:val="00EB05DA"/>
    <w:rsid w:val="00EB0B6A"/>
    <w:rsid w:val="00EB0C90"/>
    <w:rsid w:val="00EB1089"/>
    <w:rsid w:val="00EB1A65"/>
    <w:rsid w:val="00EB1C22"/>
    <w:rsid w:val="00EB1E76"/>
    <w:rsid w:val="00EB3127"/>
    <w:rsid w:val="00EB32C9"/>
    <w:rsid w:val="00EB3B65"/>
    <w:rsid w:val="00EB3CBD"/>
    <w:rsid w:val="00EB4354"/>
    <w:rsid w:val="00EB4920"/>
    <w:rsid w:val="00EB4A8B"/>
    <w:rsid w:val="00EB5698"/>
    <w:rsid w:val="00EB57C0"/>
    <w:rsid w:val="00EB57D5"/>
    <w:rsid w:val="00EB5FD7"/>
    <w:rsid w:val="00EB67A2"/>
    <w:rsid w:val="00EB74F3"/>
    <w:rsid w:val="00EB77F3"/>
    <w:rsid w:val="00EB78B1"/>
    <w:rsid w:val="00EB7AD8"/>
    <w:rsid w:val="00EB7FCD"/>
    <w:rsid w:val="00EC0D54"/>
    <w:rsid w:val="00EC14BB"/>
    <w:rsid w:val="00EC17BB"/>
    <w:rsid w:val="00EC1F6D"/>
    <w:rsid w:val="00EC23DB"/>
    <w:rsid w:val="00EC27DC"/>
    <w:rsid w:val="00EC36A5"/>
    <w:rsid w:val="00EC38FF"/>
    <w:rsid w:val="00EC3B30"/>
    <w:rsid w:val="00EC3C11"/>
    <w:rsid w:val="00EC414D"/>
    <w:rsid w:val="00EC41F2"/>
    <w:rsid w:val="00EC45AF"/>
    <w:rsid w:val="00EC4A8A"/>
    <w:rsid w:val="00EC4AFC"/>
    <w:rsid w:val="00EC4C8E"/>
    <w:rsid w:val="00EC4EF5"/>
    <w:rsid w:val="00EC52BC"/>
    <w:rsid w:val="00EC54C6"/>
    <w:rsid w:val="00EC5597"/>
    <w:rsid w:val="00EC58C6"/>
    <w:rsid w:val="00EC68BB"/>
    <w:rsid w:val="00EC733C"/>
    <w:rsid w:val="00EC7B5A"/>
    <w:rsid w:val="00EC7E59"/>
    <w:rsid w:val="00EC7F87"/>
    <w:rsid w:val="00ED0F61"/>
    <w:rsid w:val="00ED1331"/>
    <w:rsid w:val="00ED176D"/>
    <w:rsid w:val="00ED1D43"/>
    <w:rsid w:val="00ED2351"/>
    <w:rsid w:val="00ED2739"/>
    <w:rsid w:val="00ED299E"/>
    <w:rsid w:val="00ED2B0C"/>
    <w:rsid w:val="00ED2E95"/>
    <w:rsid w:val="00ED3993"/>
    <w:rsid w:val="00ED3A02"/>
    <w:rsid w:val="00ED3B7D"/>
    <w:rsid w:val="00ED3FAF"/>
    <w:rsid w:val="00ED4940"/>
    <w:rsid w:val="00ED4E87"/>
    <w:rsid w:val="00ED5091"/>
    <w:rsid w:val="00ED52EC"/>
    <w:rsid w:val="00ED5727"/>
    <w:rsid w:val="00ED5CD8"/>
    <w:rsid w:val="00ED5F83"/>
    <w:rsid w:val="00ED6191"/>
    <w:rsid w:val="00ED6391"/>
    <w:rsid w:val="00ED699A"/>
    <w:rsid w:val="00ED6A33"/>
    <w:rsid w:val="00ED6D01"/>
    <w:rsid w:val="00ED70D3"/>
    <w:rsid w:val="00ED7102"/>
    <w:rsid w:val="00ED7794"/>
    <w:rsid w:val="00ED78A6"/>
    <w:rsid w:val="00ED7AD5"/>
    <w:rsid w:val="00ED7B1A"/>
    <w:rsid w:val="00ED7B49"/>
    <w:rsid w:val="00EE083E"/>
    <w:rsid w:val="00EE1169"/>
    <w:rsid w:val="00EE2336"/>
    <w:rsid w:val="00EE263A"/>
    <w:rsid w:val="00EE2FA5"/>
    <w:rsid w:val="00EE3598"/>
    <w:rsid w:val="00EE3AC6"/>
    <w:rsid w:val="00EE3B51"/>
    <w:rsid w:val="00EE3D95"/>
    <w:rsid w:val="00EE3DF4"/>
    <w:rsid w:val="00EE3F47"/>
    <w:rsid w:val="00EE42DE"/>
    <w:rsid w:val="00EE4DC4"/>
    <w:rsid w:val="00EE50D7"/>
    <w:rsid w:val="00EE53B4"/>
    <w:rsid w:val="00EE542A"/>
    <w:rsid w:val="00EE57D6"/>
    <w:rsid w:val="00EE60ED"/>
    <w:rsid w:val="00EE66F6"/>
    <w:rsid w:val="00EE6DB8"/>
    <w:rsid w:val="00EE7044"/>
    <w:rsid w:val="00EE7173"/>
    <w:rsid w:val="00EE7A81"/>
    <w:rsid w:val="00EE7D5F"/>
    <w:rsid w:val="00EF03DD"/>
    <w:rsid w:val="00EF0600"/>
    <w:rsid w:val="00EF0A2F"/>
    <w:rsid w:val="00EF0EC0"/>
    <w:rsid w:val="00EF1368"/>
    <w:rsid w:val="00EF1A71"/>
    <w:rsid w:val="00EF1FAB"/>
    <w:rsid w:val="00EF2347"/>
    <w:rsid w:val="00EF2679"/>
    <w:rsid w:val="00EF2C0B"/>
    <w:rsid w:val="00EF2C5A"/>
    <w:rsid w:val="00EF2E36"/>
    <w:rsid w:val="00EF33F2"/>
    <w:rsid w:val="00EF3697"/>
    <w:rsid w:val="00EF3849"/>
    <w:rsid w:val="00EF3E6C"/>
    <w:rsid w:val="00EF40E7"/>
    <w:rsid w:val="00EF4987"/>
    <w:rsid w:val="00EF49BE"/>
    <w:rsid w:val="00EF4FF4"/>
    <w:rsid w:val="00EF5ECD"/>
    <w:rsid w:val="00EF65AA"/>
    <w:rsid w:val="00EF6948"/>
    <w:rsid w:val="00EF73B2"/>
    <w:rsid w:val="00F0051B"/>
    <w:rsid w:val="00F00BE2"/>
    <w:rsid w:val="00F0119E"/>
    <w:rsid w:val="00F011F8"/>
    <w:rsid w:val="00F01721"/>
    <w:rsid w:val="00F017F6"/>
    <w:rsid w:val="00F01801"/>
    <w:rsid w:val="00F022CF"/>
    <w:rsid w:val="00F02355"/>
    <w:rsid w:val="00F02868"/>
    <w:rsid w:val="00F041D1"/>
    <w:rsid w:val="00F04375"/>
    <w:rsid w:val="00F049E9"/>
    <w:rsid w:val="00F04AFF"/>
    <w:rsid w:val="00F05082"/>
    <w:rsid w:val="00F052C4"/>
    <w:rsid w:val="00F057F3"/>
    <w:rsid w:val="00F058DE"/>
    <w:rsid w:val="00F05C3C"/>
    <w:rsid w:val="00F068A0"/>
    <w:rsid w:val="00F06D13"/>
    <w:rsid w:val="00F072BD"/>
    <w:rsid w:val="00F072E3"/>
    <w:rsid w:val="00F105AD"/>
    <w:rsid w:val="00F1083C"/>
    <w:rsid w:val="00F10A47"/>
    <w:rsid w:val="00F116C8"/>
    <w:rsid w:val="00F11A8C"/>
    <w:rsid w:val="00F11E46"/>
    <w:rsid w:val="00F121EA"/>
    <w:rsid w:val="00F12597"/>
    <w:rsid w:val="00F1286C"/>
    <w:rsid w:val="00F12A35"/>
    <w:rsid w:val="00F12BAB"/>
    <w:rsid w:val="00F12F6E"/>
    <w:rsid w:val="00F133A8"/>
    <w:rsid w:val="00F14043"/>
    <w:rsid w:val="00F141DE"/>
    <w:rsid w:val="00F14368"/>
    <w:rsid w:val="00F14470"/>
    <w:rsid w:val="00F1451F"/>
    <w:rsid w:val="00F14DEF"/>
    <w:rsid w:val="00F15312"/>
    <w:rsid w:val="00F15452"/>
    <w:rsid w:val="00F15D9D"/>
    <w:rsid w:val="00F15DF1"/>
    <w:rsid w:val="00F160F1"/>
    <w:rsid w:val="00F201C3"/>
    <w:rsid w:val="00F20329"/>
    <w:rsid w:val="00F2055C"/>
    <w:rsid w:val="00F205A9"/>
    <w:rsid w:val="00F20853"/>
    <w:rsid w:val="00F20B63"/>
    <w:rsid w:val="00F20FAF"/>
    <w:rsid w:val="00F21640"/>
    <w:rsid w:val="00F21E18"/>
    <w:rsid w:val="00F221FE"/>
    <w:rsid w:val="00F2231E"/>
    <w:rsid w:val="00F224FA"/>
    <w:rsid w:val="00F2258A"/>
    <w:rsid w:val="00F2290C"/>
    <w:rsid w:val="00F23178"/>
    <w:rsid w:val="00F244BF"/>
    <w:rsid w:val="00F24F6D"/>
    <w:rsid w:val="00F251EF"/>
    <w:rsid w:val="00F2552A"/>
    <w:rsid w:val="00F25AE3"/>
    <w:rsid w:val="00F25AF3"/>
    <w:rsid w:val="00F25EAE"/>
    <w:rsid w:val="00F269BC"/>
    <w:rsid w:val="00F26A63"/>
    <w:rsid w:val="00F26BCA"/>
    <w:rsid w:val="00F274DA"/>
    <w:rsid w:val="00F2772F"/>
    <w:rsid w:val="00F279C7"/>
    <w:rsid w:val="00F27AEF"/>
    <w:rsid w:val="00F27DF4"/>
    <w:rsid w:val="00F27E0B"/>
    <w:rsid w:val="00F27E34"/>
    <w:rsid w:val="00F27EDC"/>
    <w:rsid w:val="00F30168"/>
    <w:rsid w:val="00F30AAB"/>
    <w:rsid w:val="00F31123"/>
    <w:rsid w:val="00F315AD"/>
    <w:rsid w:val="00F32B01"/>
    <w:rsid w:val="00F32E5B"/>
    <w:rsid w:val="00F332B6"/>
    <w:rsid w:val="00F339F0"/>
    <w:rsid w:val="00F33FE7"/>
    <w:rsid w:val="00F34E69"/>
    <w:rsid w:val="00F35004"/>
    <w:rsid w:val="00F354AC"/>
    <w:rsid w:val="00F35569"/>
    <w:rsid w:val="00F35924"/>
    <w:rsid w:val="00F3594D"/>
    <w:rsid w:val="00F365A6"/>
    <w:rsid w:val="00F36776"/>
    <w:rsid w:val="00F36C32"/>
    <w:rsid w:val="00F36FDF"/>
    <w:rsid w:val="00F370FF"/>
    <w:rsid w:val="00F37BDB"/>
    <w:rsid w:val="00F401D1"/>
    <w:rsid w:val="00F40B6D"/>
    <w:rsid w:val="00F40C49"/>
    <w:rsid w:val="00F40E1F"/>
    <w:rsid w:val="00F41AE1"/>
    <w:rsid w:val="00F41E91"/>
    <w:rsid w:val="00F4205E"/>
    <w:rsid w:val="00F42F26"/>
    <w:rsid w:val="00F43046"/>
    <w:rsid w:val="00F43255"/>
    <w:rsid w:val="00F433E1"/>
    <w:rsid w:val="00F43B47"/>
    <w:rsid w:val="00F44FD7"/>
    <w:rsid w:val="00F453FD"/>
    <w:rsid w:val="00F4630F"/>
    <w:rsid w:val="00F46868"/>
    <w:rsid w:val="00F47476"/>
    <w:rsid w:val="00F47949"/>
    <w:rsid w:val="00F5016B"/>
    <w:rsid w:val="00F5019B"/>
    <w:rsid w:val="00F507E2"/>
    <w:rsid w:val="00F50DC7"/>
    <w:rsid w:val="00F50EF0"/>
    <w:rsid w:val="00F5141B"/>
    <w:rsid w:val="00F5154B"/>
    <w:rsid w:val="00F516C4"/>
    <w:rsid w:val="00F51F75"/>
    <w:rsid w:val="00F52059"/>
    <w:rsid w:val="00F5209E"/>
    <w:rsid w:val="00F526FC"/>
    <w:rsid w:val="00F5271B"/>
    <w:rsid w:val="00F5281F"/>
    <w:rsid w:val="00F52C23"/>
    <w:rsid w:val="00F52F0D"/>
    <w:rsid w:val="00F53026"/>
    <w:rsid w:val="00F533B8"/>
    <w:rsid w:val="00F53D71"/>
    <w:rsid w:val="00F5405E"/>
    <w:rsid w:val="00F54081"/>
    <w:rsid w:val="00F544DE"/>
    <w:rsid w:val="00F54750"/>
    <w:rsid w:val="00F54835"/>
    <w:rsid w:val="00F5495B"/>
    <w:rsid w:val="00F55239"/>
    <w:rsid w:val="00F55366"/>
    <w:rsid w:val="00F55E86"/>
    <w:rsid w:val="00F5695A"/>
    <w:rsid w:val="00F56FCF"/>
    <w:rsid w:val="00F57060"/>
    <w:rsid w:val="00F57708"/>
    <w:rsid w:val="00F57B90"/>
    <w:rsid w:val="00F60272"/>
    <w:rsid w:val="00F6068D"/>
    <w:rsid w:val="00F613D5"/>
    <w:rsid w:val="00F61EB2"/>
    <w:rsid w:val="00F62486"/>
    <w:rsid w:val="00F626E1"/>
    <w:rsid w:val="00F62BDE"/>
    <w:rsid w:val="00F62C4A"/>
    <w:rsid w:val="00F62CA1"/>
    <w:rsid w:val="00F62DEF"/>
    <w:rsid w:val="00F6366D"/>
    <w:rsid w:val="00F64596"/>
    <w:rsid w:val="00F64A2F"/>
    <w:rsid w:val="00F65769"/>
    <w:rsid w:val="00F65E4E"/>
    <w:rsid w:val="00F66189"/>
    <w:rsid w:val="00F666F5"/>
    <w:rsid w:val="00F66740"/>
    <w:rsid w:val="00F66C51"/>
    <w:rsid w:val="00F66EA2"/>
    <w:rsid w:val="00F67A49"/>
    <w:rsid w:val="00F67AC8"/>
    <w:rsid w:val="00F700B3"/>
    <w:rsid w:val="00F70737"/>
    <w:rsid w:val="00F70E7B"/>
    <w:rsid w:val="00F70F99"/>
    <w:rsid w:val="00F721E4"/>
    <w:rsid w:val="00F73649"/>
    <w:rsid w:val="00F73781"/>
    <w:rsid w:val="00F73DF5"/>
    <w:rsid w:val="00F745CE"/>
    <w:rsid w:val="00F74AA9"/>
    <w:rsid w:val="00F75450"/>
    <w:rsid w:val="00F76207"/>
    <w:rsid w:val="00F763B9"/>
    <w:rsid w:val="00F763BE"/>
    <w:rsid w:val="00F765F3"/>
    <w:rsid w:val="00F76BC0"/>
    <w:rsid w:val="00F803D9"/>
    <w:rsid w:val="00F80782"/>
    <w:rsid w:val="00F80B6F"/>
    <w:rsid w:val="00F80E70"/>
    <w:rsid w:val="00F81061"/>
    <w:rsid w:val="00F810C9"/>
    <w:rsid w:val="00F8146E"/>
    <w:rsid w:val="00F81958"/>
    <w:rsid w:val="00F81A0F"/>
    <w:rsid w:val="00F81CE3"/>
    <w:rsid w:val="00F829D9"/>
    <w:rsid w:val="00F8342F"/>
    <w:rsid w:val="00F836A5"/>
    <w:rsid w:val="00F837AF"/>
    <w:rsid w:val="00F837EC"/>
    <w:rsid w:val="00F83C36"/>
    <w:rsid w:val="00F83E2E"/>
    <w:rsid w:val="00F84F6D"/>
    <w:rsid w:val="00F85BB5"/>
    <w:rsid w:val="00F86897"/>
    <w:rsid w:val="00F876AB"/>
    <w:rsid w:val="00F87936"/>
    <w:rsid w:val="00F87CB6"/>
    <w:rsid w:val="00F87EC9"/>
    <w:rsid w:val="00F87F49"/>
    <w:rsid w:val="00F901C4"/>
    <w:rsid w:val="00F9108B"/>
    <w:rsid w:val="00F91271"/>
    <w:rsid w:val="00F91B81"/>
    <w:rsid w:val="00F91BE8"/>
    <w:rsid w:val="00F91C6B"/>
    <w:rsid w:val="00F91D19"/>
    <w:rsid w:val="00F9246E"/>
    <w:rsid w:val="00F92D32"/>
    <w:rsid w:val="00F92F76"/>
    <w:rsid w:val="00F93DA9"/>
    <w:rsid w:val="00F9420E"/>
    <w:rsid w:val="00F947C0"/>
    <w:rsid w:val="00F94A14"/>
    <w:rsid w:val="00F94BAF"/>
    <w:rsid w:val="00F95248"/>
    <w:rsid w:val="00F9525D"/>
    <w:rsid w:val="00F95A86"/>
    <w:rsid w:val="00F95A9B"/>
    <w:rsid w:val="00F95E4C"/>
    <w:rsid w:val="00F963F7"/>
    <w:rsid w:val="00F97D6C"/>
    <w:rsid w:val="00F97E60"/>
    <w:rsid w:val="00FA07BB"/>
    <w:rsid w:val="00FA0B30"/>
    <w:rsid w:val="00FA10C9"/>
    <w:rsid w:val="00FA1D67"/>
    <w:rsid w:val="00FA2352"/>
    <w:rsid w:val="00FA270F"/>
    <w:rsid w:val="00FA3F21"/>
    <w:rsid w:val="00FA4395"/>
    <w:rsid w:val="00FA4763"/>
    <w:rsid w:val="00FA47AF"/>
    <w:rsid w:val="00FA4816"/>
    <w:rsid w:val="00FA506F"/>
    <w:rsid w:val="00FA5B0E"/>
    <w:rsid w:val="00FA70B4"/>
    <w:rsid w:val="00FA753C"/>
    <w:rsid w:val="00FA7B7A"/>
    <w:rsid w:val="00FA7D9B"/>
    <w:rsid w:val="00FB027D"/>
    <w:rsid w:val="00FB0728"/>
    <w:rsid w:val="00FB15EA"/>
    <w:rsid w:val="00FB1A35"/>
    <w:rsid w:val="00FB1D09"/>
    <w:rsid w:val="00FB1F49"/>
    <w:rsid w:val="00FB22D9"/>
    <w:rsid w:val="00FB2623"/>
    <w:rsid w:val="00FB2DAF"/>
    <w:rsid w:val="00FB3955"/>
    <w:rsid w:val="00FB3E30"/>
    <w:rsid w:val="00FB4037"/>
    <w:rsid w:val="00FB47F1"/>
    <w:rsid w:val="00FB4B22"/>
    <w:rsid w:val="00FB4DAE"/>
    <w:rsid w:val="00FB54CE"/>
    <w:rsid w:val="00FB5574"/>
    <w:rsid w:val="00FB5911"/>
    <w:rsid w:val="00FB5EDC"/>
    <w:rsid w:val="00FB60BE"/>
    <w:rsid w:val="00FB6CD9"/>
    <w:rsid w:val="00FB78A1"/>
    <w:rsid w:val="00FC0852"/>
    <w:rsid w:val="00FC0B8D"/>
    <w:rsid w:val="00FC1584"/>
    <w:rsid w:val="00FC1B94"/>
    <w:rsid w:val="00FC1CC5"/>
    <w:rsid w:val="00FC1F6C"/>
    <w:rsid w:val="00FC2012"/>
    <w:rsid w:val="00FC28EF"/>
    <w:rsid w:val="00FC2EBF"/>
    <w:rsid w:val="00FC31A3"/>
    <w:rsid w:val="00FC3583"/>
    <w:rsid w:val="00FC4988"/>
    <w:rsid w:val="00FC4AE7"/>
    <w:rsid w:val="00FC4B9A"/>
    <w:rsid w:val="00FC4CC5"/>
    <w:rsid w:val="00FC4D1D"/>
    <w:rsid w:val="00FC510E"/>
    <w:rsid w:val="00FC51B0"/>
    <w:rsid w:val="00FC5575"/>
    <w:rsid w:val="00FC558C"/>
    <w:rsid w:val="00FC5650"/>
    <w:rsid w:val="00FC5D8E"/>
    <w:rsid w:val="00FC5F87"/>
    <w:rsid w:val="00FC5FDD"/>
    <w:rsid w:val="00FC647C"/>
    <w:rsid w:val="00FC652D"/>
    <w:rsid w:val="00FC69D7"/>
    <w:rsid w:val="00FC6CAD"/>
    <w:rsid w:val="00FC6F13"/>
    <w:rsid w:val="00FC73A8"/>
    <w:rsid w:val="00FC7FF4"/>
    <w:rsid w:val="00FD06E5"/>
    <w:rsid w:val="00FD0931"/>
    <w:rsid w:val="00FD1209"/>
    <w:rsid w:val="00FD15F1"/>
    <w:rsid w:val="00FD1735"/>
    <w:rsid w:val="00FD18D4"/>
    <w:rsid w:val="00FD19A6"/>
    <w:rsid w:val="00FD1B79"/>
    <w:rsid w:val="00FD21E5"/>
    <w:rsid w:val="00FD3021"/>
    <w:rsid w:val="00FD3028"/>
    <w:rsid w:val="00FD3050"/>
    <w:rsid w:val="00FD394D"/>
    <w:rsid w:val="00FD4AA6"/>
    <w:rsid w:val="00FD4B06"/>
    <w:rsid w:val="00FD5434"/>
    <w:rsid w:val="00FD5798"/>
    <w:rsid w:val="00FD5BE1"/>
    <w:rsid w:val="00FD6391"/>
    <w:rsid w:val="00FD750F"/>
    <w:rsid w:val="00FD7C37"/>
    <w:rsid w:val="00FD7E42"/>
    <w:rsid w:val="00FE09CA"/>
    <w:rsid w:val="00FE0C88"/>
    <w:rsid w:val="00FE10EE"/>
    <w:rsid w:val="00FE1275"/>
    <w:rsid w:val="00FE134F"/>
    <w:rsid w:val="00FE14CB"/>
    <w:rsid w:val="00FE25DB"/>
    <w:rsid w:val="00FE2778"/>
    <w:rsid w:val="00FE2D69"/>
    <w:rsid w:val="00FE338A"/>
    <w:rsid w:val="00FE359B"/>
    <w:rsid w:val="00FE35DF"/>
    <w:rsid w:val="00FE3633"/>
    <w:rsid w:val="00FE39E9"/>
    <w:rsid w:val="00FE3A6C"/>
    <w:rsid w:val="00FE3ACB"/>
    <w:rsid w:val="00FE45CE"/>
    <w:rsid w:val="00FE4760"/>
    <w:rsid w:val="00FE49C4"/>
    <w:rsid w:val="00FE57F7"/>
    <w:rsid w:val="00FE58D5"/>
    <w:rsid w:val="00FE5A0E"/>
    <w:rsid w:val="00FE5CD1"/>
    <w:rsid w:val="00FE5D04"/>
    <w:rsid w:val="00FE5F0E"/>
    <w:rsid w:val="00FE62CD"/>
    <w:rsid w:val="00FE64B3"/>
    <w:rsid w:val="00FE67A4"/>
    <w:rsid w:val="00FE6F87"/>
    <w:rsid w:val="00FE6FE8"/>
    <w:rsid w:val="00FF03D9"/>
    <w:rsid w:val="00FF061A"/>
    <w:rsid w:val="00FF0957"/>
    <w:rsid w:val="00FF0F66"/>
    <w:rsid w:val="00FF1D23"/>
    <w:rsid w:val="00FF2067"/>
    <w:rsid w:val="00FF2091"/>
    <w:rsid w:val="00FF227C"/>
    <w:rsid w:val="00FF29BD"/>
    <w:rsid w:val="00FF2ECD"/>
    <w:rsid w:val="00FF357E"/>
    <w:rsid w:val="00FF3BDD"/>
    <w:rsid w:val="00FF43FF"/>
    <w:rsid w:val="00FF4653"/>
    <w:rsid w:val="00FF47FD"/>
    <w:rsid w:val="00FF4CC4"/>
    <w:rsid w:val="00FF57AC"/>
    <w:rsid w:val="00FF5B71"/>
    <w:rsid w:val="00FF64C1"/>
    <w:rsid w:val="00FF6732"/>
    <w:rsid w:val="00FF69BE"/>
    <w:rsid w:val="00FF6FF9"/>
    <w:rsid w:val="00FF740C"/>
    <w:rsid w:val="00FF751B"/>
    <w:rsid w:val="00FF762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4817" style="mso-height-percent:200;mso-width-relative:margin;mso-height-relative:margin" fillcolor="white">
      <v:fill color="white"/>
      <v:textbox style="mso-fit-shape-to-text:t"/>
    </o:shapedefaults>
    <o:shapelayout v:ext="edit">
      <o:idmap v:ext="edit" data="1"/>
    </o:shapelayout>
  </w:shapeDefaults>
  <w:decimalSymbol w:val="."/>
  <w:listSeparator w:val=","/>
  <w15:docId w15:val="{5E7E0BD4-262E-4A15-8172-0487551F53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Number" w:semiHidden="1" w:unhideWhenUsed="1"/>
    <w:lsdException w:name="List 2"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Subtitle"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103FB"/>
    <w:rPr>
      <w:rFonts w:ascii="Verdana" w:hAnsi="Verdana"/>
      <w:sz w:val="28"/>
      <w:szCs w:val="24"/>
      <w:lang w:eastAsia="en-US"/>
    </w:rPr>
  </w:style>
  <w:style w:type="paragraph" w:styleId="Heading1">
    <w:name w:val="heading 1"/>
    <w:aliases w:val="Numbered - 1,Section,Section Heading,Paragraph No,Oscar Faber 1,RR level 1,SAHeading 1,Headerm,Ch,Ch1,Chapter,Outline1,h1,Se,MPS Standard Heading 1,PA Chapter,numbered indent 1,ni1,Heading.CAPS,NAME,H1,Main Section,Heading 1 Char,NHS Heading 1"/>
    <w:basedOn w:val="Normal"/>
    <w:next w:val="Normal"/>
    <w:qFormat/>
    <w:rsid w:val="00107BCF"/>
    <w:pPr>
      <w:keepNext/>
      <w:jc w:val="both"/>
      <w:outlineLvl w:val="0"/>
    </w:pPr>
    <w:rPr>
      <w:rFonts w:ascii="Helvetica" w:hAnsi="Helvetica"/>
      <w:b/>
      <w:bCs/>
      <w:sz w:val="24"/>
    </w:rPr>
  </w:style>
  <w:style w:type="paragraph" w:styleId="Heading2">
    <w:name w:val="heading 2"/>
    <w:basedOn w:val="Normal"/>
    <w:next w:val="Normal"/>
    <w:qFormat/>
    <w:rsid w:val="004A3B3F"/>
    <w:pPr>
      <w:keepNext/>
      <w:spacing w:before="240" w:after="60"/>
      <w:outlineLvl w:val="1"/>
    </w:pPr>
    <w:rPr>
      <w:rFonts w:ascii="Arial" w:hAnsi="Arial" w:cs="Arial"/>
      <w:b/>
      <w:bCs/>
      <w:i/>
      <w:iCs/>
      <w:szCs w:val="28"/>
    </w:rPr>
  </w:style>
  <w:style w:type="paragraph" w:styleId="Heading3">
    <w:name w:val="heading 3"/>
    <w:aliases w:val="Tribal heading 3,Heading 3 Char,Minor,Level 1 - 1,Numbered para,Outline3,Level 2.1,Oscar Faber 3,SZRptH3,add-phara,A,B,C,Para,(13pt),(12pt),Mia,Mia1,H3,Mi,HAA-SubSection,Apx par,h3,1.2.3.,niveau3,Heading 31,Level 3 Head,h31,Sub-paragraaf,3,l3"/>
    <w:basedOn w:val="Normal"/>
    <w:next w:val="Normal"/>
    <w:link w:val="Heading3Char1"/>
    <w:qFormat/>
    <w:rsid w:val="00107BCF"/>
    <w:pPr>
      <w:keepNext/>
      <w:outlineLvl w:val="2"/>
    </w:pPr>
    <w:rPr>
      <w:b/>
      <w:i/>
      <w:sz w:val="22"/>
      <w:szCs w:val="20"/>
    </w:rPr>
  </w:style>
  <w:style w:type="paragraph" w:styleId="Heading8">
    <w:name w:val="heading 8"/>
    <w:aliases w:val="Legal Level 1.1.1.,N (It),RR level 8,PA Appendix Minor"/>
    <w:basedOn w:val="Normal"/>
    <w:next w:val="Normal"/>
    <w:link w:val="Heading8Char"/>
    <w:qFormat/>
    <w:rsid w:val="00107BCF"/>
    <w:pPr>
      <w:keepNext/>
      <w:outlineLvl w:val="7"/>
    </w:pPr>
    <w:rPr>
      <w:rFonts w:ascii="Times New Roman" w:hAnsi="Times New Roman"/>
      <w:b/>
      <w:b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aliases w:val="Doc Footer"/>
    <w:basedOn w:val="Normal"/>
    <w:link w:val="FooterChar"/>
    <w:uiPriority w:val="99"/>
    <w:rsid w:val="00107BCF"/>
    <w:pPr>
      <w:tabs>
        <w:tab w:val="center" w:pos="4153"/>
        <w:tab w:val="right" w:pos="8306"/>
      </w:tabs>
    </w:pPr>
    <w:rPr>
      <w:rFonts w:ascii="Times New Roman" w:hAnsi="Times New Roman"/>
      <w:sz w:val="24"/>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rsid w:val="00107BCF"/>
    <w:pPr>
      <w:widowControl w:val="0"/>
      <w:overflowPunct w:val="0"/>
      <w:autoSpaceDE w:val="0"/>
      <w:autoSpaceDN w:val="0"/>
      <w:adjustRightInd w:val="0"/>
      <w:textAlignment w:val="baseline"/>
    </w:pPr>
    <w:rPr>
      <w:sz w:val="20"/>
      <w:szCs w:val="20"/>
      <w:lang w:val="en-US"/>
    </w:rPr>
  </w:style>
  <w:style w:type="paragraph" w:styleId="BodyTextIndent">
    <w:name w:val="Body Text Indent"/>
    <w:basedOn w:val="Normal"/>
    <w:rsid w:val="004A3B3F"/>
    <w:pPr>
      <w:spacing w:after="120"/>
      <w:ind w:left="283"/>
    </w:pPr>
  </w:style>
  <w:style w:type="character" w:styleId="PageNumber">
    <w:name w:val="page number"/>
    <w:basedOn w:val="DefaultParagraphFont"/>
    <w:rsid w:val="004A3B3F"/>
  </w:style>
  <w:style w:type="paragraph" w:styleId="Header">
    <w:name w:val="header"/>
    <w:basedOn w:val="Normal"/>
    <w:rsid w:val="003F2027"/>
    <w:pPr>
      <w:tabs>
        <w:tab w:val="center" w:pos="4320"/>
        <w:tab w:val="right" w:pos="8640"/>
      </w:tabs>
    </w:p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3F290F"/>
    <w:pPr>
      <w:ind w:left="720"/>
    </w:pPr>
  </w:style>
  <w:style w:type="paragraph" w:styleId="NormalWeb">
    <w:name w:val="Normal (Web)"/>
    <w:basedOn w:val="Normal"/>
    <w:semiHidden/>
    <w:rsid w:val="00825FDB"/>
    <w:pPr>
      <w:spacing w:before="100" w:beforeAutospacing="1" w:after="100" w:afterAutospacing="1"/>
    </w:pPr>
    <w:rPr>
      <w:rFonts w:ascii="Times New Roman" w:eastAsia="Calibri" w:hAnsi="Times New Roman"/>
      <w:sz w:val="24"/>
      <w:lang w:eastAsia="en-GB"/>
    </w:rPr>
  </w:style>
  <w:style w:type="paragraph" w:styleId="BalloonText">
    <w:name w:val="Balloon Text"/>
    <w:basedOn w:val="Normal"/>
    <w:link w:val="BalloonTextChar"/>
    <w:uiPriority w:val="99"/>
    <w:semiHidden/>
    <w:rsid w:val="00FD7C37"/>
    <w:rPr>
      <w:rFonts w:ascii="Tahoma" w:hAnsi="Tahoma" w:cs="Tahoma"/>
      <w:sz w:val="16"/>
      <w:szCs w:val="16"/>
    </w:rPr>
  </w:style>
  <w:style w:type="table" w:styleId="TableGrid">
    <w:name w:val="Table Grid"/>
    <w:basedOn w:val="TableNormal"/>
    <w:uiPriority w:val="59"/>
    <w:rsid w:val="00C5405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3">
    <w:name w:val="Body Text 3"/>
    <w:basedOn w:val="Normal"/>
    <w:rsid w:val="002A33C4"/>
    <w:pPr>
      <w:spacing w:after="120"/>
    </w:pPr>
    <w:rPr>
      <w:sz w:val="16"/>
      <w:szCs w:val="16"/>
    </w:rPr>
  </w:style>
  <w:style w:type="character" w:customStyle="1" w:styleId="FooterChar">
    <w:name w:val="Footer Char"/>
    <w:aliases w:val="Doc Footer Char"/>
    <w:basedOn w:val="DefaultParagraphFont"/>
    <w:link w:val="Footer"/>
    <w:uiPriority w:val="99"/>
    <w:locked/>
    <w:rsid w:val="004C3386"/>
    <w:rPr>
      <w:sz w:val="24"/>
      <w:szCs w:val="24"/>
      <w:lang w:val="en-GB" w:eastAsia="en-US" w:bidi="ar-SA"/>
    </w:rPr>
  </w:style>
  <w:style w:type="character" w:customStyle="1" w:styleId="Heading8Char">
    <w:name w:val="Heading 8 Char"/>
    <w:aliases w:val="Legal Level 1.1.1. Char,N (It) Char,RR level 8 Char,PA Appendix Minor Char"/>
    <w:basedOn w:val="DefaultParagraphFont"/>
    <w:link w:val="Heading8"/>
    <w:rsid w:val="00352D0D"/>
    <w:rPr>
      <w:b/>
      <w:bCs/>
      <w:sz w:val="24"/>
      <w:szCs w:val="24"/>
      <w:lang w:eastAsia="en-US"/>
    </w:rPr>
  </w:style>
  <w:style w:type="character" w:customStyle="1" w:styleId="Heading3Char1">
    <w:name w:val="Heading 3 Char1"/>
    <w:aliases w:val="Tribal heading 3 Char,Heading 3 Char Char,Minor Char,Level 1 - 1 Char,Numbered para Char,Outline3 Char,Level 2.1 Char,Oscar Faber 3 Char,SZRptH3 Char,add-phara Char,A Char,B Char,C Char,Para Char,(13pt) Char,(12pt) Char,Mia Char,H3 Char"/>
    <w:basedOn w:val="DefaultParagraphFont"/>
    <w:link w:val="Heading3"/>
    <w:rsid w:val="00803070"/>
    <w:rPr>
      <w:rFonts w:ascii="Verdana" w:hAnsi="Verdana"/>
      <w:b/>
      <w:i/>
      <w:sz w:val="22"/>
      <w:lang w:eastAsia="en-US"/>
    </w:rPr>
  </w:style>
  <w:style w:type="character" w:styleId="Hyperlink">
    <w:name w:val="Hyperlink"/>
    <w:basedOn w:val="DefaultParagraphFont"/>
    <w:rsid w:val="0055741E"/>
    <w:rPr>
      <w:color w:val="0000FF"/>
      <w:u w:val="single"/>
    </w:rPr>
  </w:style>
  <w:style w:type="character" w:customStyle="1" w:styleId="BalloonTextChar">
    <w:name w:val="Balloon Text Char"/>
    <w:basedOn w:val="DefaultParagraphFont"/>
    <w:link w:val="BalloonText"/>
    <w:uiPriority w:val="99"/>
    <w:semiHidden/>
    <w:rsid w:val="0078153C"/>
    <w:rPr>
      <w:rFonts w:ascii="Tahoma" w:hAnsi="Tahoma" w:cs="Tahoma"/>
      <w:sz w:val="16"/>
      <w:szCs w:val="16"/>
      <w:lang w:eastAsia="en-US"/>
    </w:rPr>
  </w:style>
  <w:style w:type="paragraph" w:styleId="Revision">
    <w:name w:val="Revision"/>
    <w:hidden/>
    <w:uiPriority w:val="99"/>
    <w:semiHidden/>
    <w:rsid w:val="00283FD1"/>
    <w:rPr>
      <w:rFonts w:ascii="Verdana" w:hAnsi="Verdana"/>
      <w:sz w:val="28"/>
      <w:szCs w:val="24"/>
      <w:lang w:eastAsia="en-US"/>
    </w:rPr>
  </w:style>
  <w:style w:type="paragraph" w:styleId="TOCHeading">
    <w:name w:val="TOC Heading"/>
    <w:basedOn w:val="Heading1"/>
    <w:next w:val="Normal"/>
    <w:uiPriority w:val="39"/>
    <w:unhideWhenUsed/>
    <w:qFormat/>
    <w:rsid w:val="009516B7"/>
    <w:pPr>
      <w:keepLines/>
      <w:spacing w:before="240" w:line="259" w:lineRule="auto"/>
      <w:jc w:val="left"/>
      <w:outlineLvl w:val="9"/>
    </w:pPr>
    <w:rPr>
      <w:rFonts w:asciiTheme="majorHAnsi" w:eastAsiaTheme="majorEastAsia" w:hAnsiTheme="majorHAnsi" w:cstheme="majorBidi"/>
      <w:b w:val="0"/>
      <w:bCs w:val="0"/>
      <w:color w:val="365F91" w:themeColor="accent1" w:themeShade="BF"/>
      <w:sz w:val="32"/>
      <w:szCs w:val="32"/>
      <w:lang w:val="en-US"/>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
    <w:uiPriority w:val="34"/>
    <w:qFormat/>
    <w:locked/>
    <w:rsid w:val="006640E2"/>
    <w:rPr>
      <w:rFonts w:ascii="Verdana" w:hAnsi="Verdana"/>
      <w:sz w:val="28"/>
      <w:szCs w:val="24"/>
      <w:lang w:eastAsia="en-US"/>
    </w:rPr>
  </w:style>
  <w:style w:type="character" w:styleId="CommentReference">
    <w:name w:val="annotation reference"/>
    <w:basedOn w:val="DefaultParagraphFont"/>
    <w:semiHidden/>
    <w:unhideWhenUsed/>
    <w:rsid w:val="0002304B"/>
    <w:rPr>
      <w:sz w:val="16"/>
      <w:szCs w:val="16"/>
    </w:rPr>
  </w:style>
  <w:style w:type="paragraph" w:styleId="CommentText">
    <w:name w:val="annotation text"/>
    <w:basedOn w:val="Normal"/>
    <w:link w:val="CommentTextChar"/>
    <w:semiHidden/>
    <w:unhideWhenUsed/>
    <w:rsid w:val="0002304B"/>
    <w:rPr>
      <w:sz w:val="20"/>
      <w:szCs w:val="20"/>
    </w:rPr>
  </w:style>
  <w:style w:type="character" w:customStyle="1" w:styleId="CommentTextChar">
    <w:name w:val="Comment Text Char"/>
    <w:basedOn w:val="DefaultParagraphFont"/>
    <w:link w:val="CommentText"/>
    <w:semiHidden/>
    <w:rsid w:val="0002304B"/>
    <w:rPr>
      <w:rFonts w:ascii="Verdana" w:hAnsi="Verdana"/>
      <w:lang w:eastAsia="en-US"/>
    </w:rPr>
  </w:style>
  <w:style w:type="paragraph" w:styleId="CommentSubject">
    <w:name w:val="annotation subject"/>
    <w:basedOn w:val="CommentText"/>
    <w:next w:val="CommentText"/>
    <w:link w:val="CommentSubjectChar"/>
    <w:semiHidden/>
    <w:unhideWhenUsed/>
    <w:rsid w:val="0002304B"/>
    <w:rPr>
      <w:b/>
      <w:bCs/>
    </w:rPr>
  </w:style>
  <w:style w:type="character" w:customStyle="1" w:styleId="CommentSubjectChar">
    <w:name w:val="Comment Subject Char"/>
    <w:basedOn w:val="CommentTextChar"/>
    <w:link w:val="CommentSubject"/>
    <w:semiHidden/>
    <w:rsid w:val="0002304B"/>
    <w:rPr>
      <w:rFonts w:ascii="Verdana" w:hAnsi="Verdana"/>
      <w:b/>
      <w:bCs/>
      <w:lang w:eastAsia="en-US"/>
    </w:rPr>
  </w:style>
  <w:style w:type="paragraph" w:customStyle="1" w:styleId="Default">
    <w:name w:val="Default"/>
    <w:rsid w:val="00F66EA2"/>
    <w:pPr>
      <w:autoSpaceDE w:val="0"/>
      <w:autoSpaceDN w:val="0"/>
      <w:adjustRightInd w:val="0"/>
    </w:pPr>
    <w:rPr>
      <w:rFonts w:ascii="Arial" w:hAnsi="Arial" w:cs="Arial"/>
      <w:color w:val="000000"/>
      <w:sz w:val="24"/>
      <w:szCs w:val="24"/>
    </w:rPr>
  </w:style>
  <w:style w:type="character" w:customStyle="1" w:styleId="Style31">
    <w:name w:val="Style31"/>
    <w:basedOn w:val="DefaultParagraphFont"/>
    <w:uiPriority w:val="1"/>
    <w:rsid w:val="00083B7F"/>
    <w:rPr>
      <w:rFonts w:ascii="Arial" w:hAnsi="Arial"/>
      <w:sz w:val="22"/>
    </w:rPr>
  </w:style>
  <w:style w:type="character" w:customStyle="1" w:styleId="Style32">
    <w:name w:val="Style32"/>
    <w:basedOn w:val="DefaultParagraphFont"/>
    <w:uiPriority w:val="1"/>
    <w:rsid w:val="00083B7F"/>
    <w:rPr>
      <w:rFonts w:ascii="Arial" w:hAnsi="Arial"/>
      <w:color w:val="auto"/>
      <w:sz w:val="22"/>
    </w:rPr>
  </w:style>
  <w:style w:type="paragraph" w:styleId="NoSpacing">
    <w:name w:val="No Spacing"/>
    <w:uiPriority w:val="1"/>
    <w:qFormat/>
    <w:rsid w:val="00083B7F"/>
    <w:rPr>
      <w:rFonts w:asciiTheme="minorHAnsi" w:eastAsiaTheme="minorHAnsi" w:hAnsiTheme="minorHAnsi" w:cstheme="minorBidi"/>
      <w:sz w:val="22"/>
      <w:szCs w:val="22"/>
      <w:lang w:val="en-US" w:eastAsia="en-US"/>
    </w:rPr>
  </w:style>
  <w:style w:type="character" w:styleId="PlaceholderText">
    <w:name w:val="Placeholder Text"/>
    <w:basedOn w:val="DefaultParagraphFont"/>
    <w:uiPriority w:val="99"/>
    <w:semiHidden/>
    <w:rsid w:val="00083B7F"/>
    <w:rPr>
      <w:color w:val="808080"/>
    </w:rPr>
  </w:style>
  <w:style w:type="character" w:customStyle="1" w:styleId="Style8">
    <w:name w:val="Style8"/>
    <w:basedOn w:val="DefaultParagraphFont"/>
    <w:uiPriority w:val="1"/>
    <w:rsid w:val="00083B7F"/>
    <w:rPr>
      <w:rFonts w:ascii="Arial" w:hAnsi="Arial"/>
      <w:caps w:val="0"/>
      <w:smallCaps w:val="0"/>
      <w:sz w:val="24"/>
    </w:rPr>
  </w:style>
  <w:style w:type="character" w:customStyle="1" w:styleId="Style17">
    <w:name w:val="Style17"/>
    <w:basedOn w:val="DefaultParagraphFont"/>
    <w:uiPriority w:val="1"/>
    <w:rsid w:val="00083B7F"/>
    <w:rPr>
      <w:rFonts w:ascii="Arial" w:hAnsi="Arial"/>
      <w:caps/>
      <w:smallCaps w:val="0"/>
      <w:color w:val="auto"/>
      <w:sz w:val="22"/>
    </w:rPr>
  </w:style>
  <w:style w:type="character" w:customStyle="1" w:styleId="Style19">
    <w:name w:val="Style19"/>
    <w:basedOn w:val="DefaultParagraphFont"/>
    <w:uiPriority w:val="1"/>
    <w:rsid w:val="00083B7F"/>
    <w:rPr>
      <w:rFonts w:ascii="Arial" w:hAnsi="Arial"/>
      <w:sz w:val="22"/>
    </w:rPr>
  </w:style>
  <w:style w:type="character" w:customStyle="1" w:styleId="Style21">
    <w:name w:val="Style21"/>
    <w:basedOn w:val="DefaultParagraphFont"/>
    <w:uiPriority w:val="1"/>
    <w:rsid w:val="00083B7F"/>
    <w:rPr>
      <w:rFonts w:ascii="Arial Bold" w:hAnsi="Arial Bold"/>
      <w:b/>
      <w:caps/>
      <w:smallCaps w:val="0"/>
      <w:sz w:val="32"/>
    </w:rPr>
  </w:style>
  <w:style w:type="character" w:customStyle="1" w:styleId="Style22">
    <w:name w:val="Style22"/>
    <w:basedOn w:val="DefaultParagraphFont"/>
    <w:uiPriority w:val="1"/>
    <w:rsid w:val="00083B7F"/>
    <w:rPr>
      <w:rFonts w:ascii="Arial" w:hAnsi="Arial"/>
      <w:caps/>
      <w:smallCaps w:val="0"/>
      <w:vanish w:val="0"/>
      <w:sz w:val="22"/>
    </w:rPr>
  </w:style>
  <w:style w:type="character" w:customStyle="1" w:styleId="Style26">
    <w:name w:val="Style26"/>
    <w:basedOn w:val="DefaultParagraphFont"/>
    <w:uiPriority w:val="1"/>
    <w:rsid w:val="00083B7F"/>
    <w:rPr>
      <w:rFonts w:ascii="Arial" w:hAnsi="Arial"/>
      <w:sz w:val="22"/>
    </w:rPr>
  </w:style>
  <w:style w:type="character" w:customStyle="1" w:styleId="Style33">
    <w:name w:val="Style33"/>
    <w:basedOn w:val="DefaultParagraphFont"/>
    <w:uiPriority w:val="1"/>
    <w:rsid w:val="00083B7F"/>
    <w:rPr>
      <w:rFonts w:ascii="Arial" w:hAnsi="Arial"/>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60308">
      <w:bodyDiv w:val="1"/>
      <w:marLeft w:val="0"/>
      <w:marRight w:val="0"/>
      <w:marTop w:val="0"/>
      <w:marBottom w:val="0"/>
      <w:divBdr>
        <w:top w:val="none" w:sz="0" w:space="0" w:color="auto"/>
        <w:left w:val="none" w:sz="0" w:space="0" w:color="auto"/>
        <w:bottom w:val="none" w:sz="0" w:space="0" w:color="auto"/>
        <w:right w:val="none" w:sz="0" w:space="0" w:color="auto"/>
      </w:divBdr>
    </w:div>
    <w:div w:id="26759315">
      <w:bodyDiv w:val="1"/>
      <w:marLeft w:val="0"/>
      <w:marRight w:val="0"/>
      <w:marTop w:val="0"/>
      <w:marBottom w:val="0"/>
      <w:divBdr>
        <w:top w:val="none" w:sz="0" w:space="0" w:color="auto"/>
        <w:left w:val="none" w:sz="0" w:space="0" w:color="auto"/>
        <w:bottom w:val="none" w:sz="0" w:space="0" w:color="auto"/>
        <w:right w:val="none" w:sz="0" w:space="0" w:color="auto"/>
      </w:divBdr>
    </w:div>
    <w:div w:id="32579320">
      <w:bodyDiv w:val="1"/>
      <w:marLeft w:val="0"/>
      <w:marRight w:val="0"/>
      <w:marTop w:val="0"/>
      <w:marBottom w:val="0"/>
      <w:divBdr>
        <w:top w:val="none" w:sz="0" w:space="0" w:color="auto"/>
        <w:left w:val="none" w:sz="0" w:space="0" w:color="auto"/>
        <w:bottom w:val="none" w:sz="0" w:space="0" w:color="auto"/>
        <w:right w:val="none" w:sz="0" w:space="0" w:color="auto"/>
      </w:divBdr>
    </w:div>
    <w:div w:id="40521355">
      <w:bodyDiv w:val="1"/>
      <w:marLeft w:val="0"/>
      <w:marRight w:val="0"/>
      <w:marTop w:val="0"/>
      <w:marBottom w:val="0"/>
      <w:divBdr>
        <w:top w:val="none" w:sz="0" w:space="0" w:color="auto"/>
        <w:left w:val="none" w:sz="0" w:space="0" w:color="auto"/>
        <w:bottom w:val="none" w:sz="0" w:space="0" w:color="auto"/>
        <w:right w:val="none" w:sz="0" w:space="0" w:color="auto"/>
      </w:divBdr>
    </w:div>
    <w:div w:id="55665916">
      <w:bodyDiv w:val="1"/>
      <w:marLeft w:val="0"/>
      <w:marRight w:val="0"/>
      <w:marTop w:val="0"/>
      <w:marBottom w:val="0"/>
      <w:divBdr>
        <w:top w:val="none" w:sz="0" w:space="0" w:color="auto"/>
        <w:left w:val="none" w:sz="0" w:space="0" w:color="auto"/>
        <w:bottom w:val="none" w:sz="0" w:space="0" w:color="auto"/>
        <w:right w:val="none" w:sz="0" w:space="0" w:color="auto"/>
      </w:divBdr>
    </w:div>
    <w:div w:id="71120954">
      <w:bodyDiv w:val="1"/>
      <w:marLeft w:val="0"/>
      <w:marRight w:val="0"/>
      <w:marTop w:val="0"/>
      <w:marBottom w:val="0"/>
      <w:divBdr>
        <w:top w:val="none" w:sz="0" w:space="0" w:color="auto"/>
        <w:left w:val="none" w:sz="0" w:space="0" w:color="auto"/>
        <w:bottom w:val="none" w:sz="0" w:space="0" w:color="auto"/>
        <w:right w:val="none" w:sz="0" w:space="0" w:color="auto"/>
      </w:divBdr>
    </w:div>
    <w:div w:id="75592621">
      <w:bodyDiv w:val="1"/>
      <w:marLeft w:val="0"/>
      <w:marRight w:val="0"/>
      <w:marTop w:val="0"/>
      <w:marBottom w:val="0"/>
      <w:divBdr>
        <w:top w:val="none" w:sz="0" w:space="0" w:color="auto"/>
        <w:left w:val="none" w:sz="0" w:space="0" w:color="auto"/>
        <w:bottom w:val="none" w:sz="0" w:space="0" w:color="auto"/>
        <w:right w:val="none" w:sz="0" w:space="0" w:color="auto"/>
      </w:divBdr>
    </w:div>
    <w:div w:id="79789441">
      <w:bodyDiv w:val="1"/>
      <w:marLeft w:val="0"/>
      <w:marRight w:val="0"/>
      <w:marTop w:val="0"/>
      <w:marBottom w:val="0"/>
      <w:divBdr>
        <w:top w:val="none" w:sz="0" w:space="0" w:color="auto"/>
        <w:left w:val="none" w:sz="0" w:space="0" w:color="auto"/>
        <w:bottom w:val="none" w:sz="0" w:space="0" w:color="auto"/>
        <w:right w:val="none" w:sz="0" w:space="0" w:color="auto"/>
      </w:divBdr>
    </w:div>
    <w:div w:id="103577330">
      <w:bodyDiv w:val="1"/>
      <w:marLeft w:val="0"/>
      <w:marRight w:val="0"/>
      <w:marTop w:val="0"/>
      <w:marBottom w:val="0"/>
      <w:divBdr>
        <w:top w:val="none" w:sz="0" w:space="0" w:color="auto"/>
        <w:left w:val="none" w:sz="0" w:space="0" w:color="auto"/>
        <w:bottom w:val="none" w:sz="0" w:space="0" w:color="auto"/>
        <w:right w:val="none" w:sz="0" w:space="0" w:color="auto"/>
      </w:divBdr>
    </w:div>
    <w:div w:id="112944866">
      <w:bodyDiv w:val="1"/>
      <w:marLeft w:val="0"/>
      <w:marRight w:val="0"/>
      <w:marTop w:val="0"/>
      <w:marBottom w:val="0"/>
      <w:divBdr>
        <w:top w:val="none" w:sz="0" w:space="0" w:color="auto"/>
        <w:left w:val="none" w:sz="0" w:space="0" w:color="auto"/>
        <w:bottom w:val="none" w:sz="0" w:space="0" w:color="auto"/>
        <w:right w:val="none" w:sz="0" w:space="0" w:color="auto"/>
      </w:divBdr>
    </w:div>
    <w:div w:id="123935764">
      <w:bodyDiv w:val="1"/>
      <w:marLeft w:val="0"/>
      <w:marRight w:val="0"/>
      <w:marTop w:val="0"/>
      <w:marBottom w:val="0"/>
      <w:divBdr>
        <w:top w:val="none" w:sz="0" w:space="0" w:color="auto"/>
        <w:left w:val="none" w:sz="0" w:space="0" w:color="auto"/>
        <w:bottom w:val="none" w:sz="0" w:space="0" w:color="auto"/>
        <w:right w:val="none" w:sz="0" w:space="0" w:color="auto"/>
      </w:divBdr>
    </w:div>
    <w:div w:id="129786448">
      <w:bodyDiv w:val="1"/>
      <w:marLeft w:val="0"/>
      <w:marRight w:val="0"/>
      <w:marTop w:val="0"/>
      <w:marBottom w:val="0"/>
      <w:divBdr>
        <w:top w:val="none" w:sz="0" w:space="0" w:color="auto"/>
        <w:left w:val="none" w:sz="0" w:space="0" w:color="auto"/>
        <w:bottom w:val="none" w:sz="0" w:space="0" w:color="auto"/>
        <w:right w:val="none" w:sz="0" w:space="0" w:color="auto"/>
      </w:divBdr>
    </w:div>
    <w:div w:id="135420544">
      <w:bodyDiv w:val="1"/>
      <w:marLeft w:val="0"/>
      <w:marRight w:val="0"/>
      <w:marTop w:val="0"/>
      <w:marBottom w:val="0"/>
      <w:divBdr>
        <w:top w:val="none" w:sz="0" w:space="0" w:color="auto"/>
        <w:left w:val="none" w:sz="0" w:space="0" w:color="auto"/>
        <w:bottom w:val="none" w:sz="0" w:space="0" w:color="auto"/>
        <w:right w:val="none" w:sz="0" w:space="0" w:color="auto"/>
      </w:divBdr>
    </w:div>
    <w:div w:id="150483294">
      <w:bodyDiv w:val="1"/>
      <w:marLeft w:val="0"/>
      <w:marRight w:val="0"/>
      <w:marTop w:val="0"/>
      <w:marBottom w:val="0"/>
      <w:divBdr>
        <w:top w:val="none" w:sz="0" w:space="0" w:color="auto"/>
        <w:left w:val="none" w:sz="0" w:space="0" w:color="auto"/>
        <w:bottom w:val="none" w:sz="0" w:space="0" w:color="auto"/>
        <w:right w:val="none" w:sz="0" w:space="0" w:color="auto"/>
      </w:divBdr>
    </w:div>
    <w:div w:id="167600438">
      <w:bodyDiv w:val="1"/>
      <w:marLeft w:val="0"/>
      <w:marRight w:val="0"/>
      <w:marTop w:val="0"/>
      <w:marBottom w:val="0"/>
      <w:divBdr>
        <w:top w:val="none" w:sz="0" w:space="0" w:color="auto"/>
        <w:left w:val="none" w:sz="0" w:space="0" w:color="auto"/>
        <w:bottom w:val="none" w:sz="0" w:space="0" w:color="auto"/>
        <w:right w:val="none" w:sz="0" w:space="0" w:color="auto"/>
      </w:divBdr>
    </w:div>
    <w:div w:id="173959019">
      <w:bodyDiv w:val="1"/>
      <w:marLeft w:val="0"/>
      <w:marRight w:val="0"/>
      <w:marTop w:val="0"/>
      <w:marBottom w:val="0"/>
      <w:divBdr>
        <w:top w:val="none" w:sz="0" w:space="0" w:color="auto"/>
        <w:left w:val="none" w:sz="0" w:space="0" w:color="auto"/>
        <w:bottom w:val="none" w:sz="0" w:space="0" w:color="auto"/>
        <w:right w:val="none" w:sz="0" w:space="0" w:color="auto"/>
      </w:divBdr>
    </w:div>
    <w:div w:id="206532033">
      <w:bodyDiv w:val="1"/>
      <w:marLeft w:val="0"/>
      <w:marRight w:val="0"/>
      <w:marTop w:val="0"/>
      <w:marBottom w:val="0"/>
      <w:divBdr>
        <w:top w:val="none" w:sz="0" w:space="0" w:color="auto"/>
        <w:left w:val="none" w:sz="0" w:space="0" w:color="auto"/>
        <w:bottom w:val="none" w:sz="0" w:space="0" w:color="auto"/>
        <w:right w:val="none" w:sz="0" w:space="0" w:color="auto"/>
      </w:divBdr>
    </w:div>
    <w:div w:id="212664944">
      <w:bodyDiv w:val="1"/>
      <w:marLeft w:val="0"/>
      <w:marRight w:val="0"/>
      <w:marTop w:val="0"/>
      <w:marBottom w:val="0"/>
      <w:divBdr>
        <w:top w:val="none" w:sz="0" w:space="0" w:color="auto"/>
        <w:left w:val="none" w:sz="0" w:space="0" w:color="auto"/>
        <w:bottom w:val="none" w:sz="0" w:space="0" w:color="auto"/>
        <w:right w:val="none" w:sz="0" w:space="0" w:color="auto"/>
      </w:divBdr>
    </w:div>
    <w:div w:id="225579108">
      <w:bodyDiv w:val="1"/>
      <w:marLeft w:val="0"/>
      <w:marRight w:val="0"/>
      <w:marTop w:val="0"/>
      <w:marBottom w:val="0"/>
      <w:divBdr>
        <w:top w:val="none" w:sz="0" w:space="0" w:color="auto"/>
        <w:left w:val="none" w:sz="0" w:space="0" w:color="auto"/>
        <w:bottom w:val="none" w:sz="0" w:space="0" w:color="auto"/>
        <w:right w:val="none" w:sz="0" w:space="0" w:color="auto"/>
      </w:divBdr>
    </w:div>
    <w:div w:id="246811286">
      <w:bodyDiv w:val="1"/>
      <w:marLeft w:val="0"/>
      <w:marRight w:val="0"/>
      <w:marTop w:val="0"/>
      <w:marBottom w:val="0"/>
      <w:divBdr>
        <w:top w:val="none" w:sz="0" w:space="0" w:color="auto"/>
        <w:left w:val="none" w:sz="0" w:space="0" w:color="auto"/>
        <w:bottom w:val="none" w:sz="0" w:space="0" w:color="auto"/>
        <w:right w:val="none" w:sz="0" w:space="0" w:color="auto"/>
      </w:divBdr>
    </w:div>
    <w:div w:id="277220343">
      <w:bodyDiv w:val="1"/>
      <w:marLeft w:val="0"/>
      <w:marRight w:val="0"/>
      <w:marTop w:val="0"/>
      <w:marBottom w:val="0"/>
      <w:divBdr>
        <w:top w:val="none" w:sz="0" w:space="0" w:color="auto"/>
        <w:left w:val="none" w:sz="0" w:space="0" w:color="auto"/>
        <w:bottom w:val="none" w:sz="0" w:space="0" w:color="auto"/>
        <w:right w:val="none" w:sz="0" w:space="0" w:color="auto"/>
      </w:divBdr>
    </w:div>
    <w:div w:id="305470621">
      <w:bodyDiv w:val="1"/>
      <w:marLeft w:val="0"/>
      <w:marRight w:val="0"/>
      <w:marTop w:val="0"/>
      <w:marBottom w:val="0"/>
      <w:divBdr>
        <w:top w:val="none" w:sz="0" w:space="0" w:color="auto"/>
        <w:left w:val="none" w:sz="0" w:space="0" w:color="auto"/>
        <w:bottom w:val="none" w:sz="0" w:space="0" w:color="auto"/>
        <w:right w:val="none" w:sz="0" w:space="0" w:color="auto"/>
      </w:divBdr>
    </w:div>
    <w:div w:id="309678254">
      <w:bodyDiv w:val="1"/>
      <w:marLeft w:val="0"/>
      <w:marRight w:val="0"/>
      <w:marTop w:val="0"/>
      <w:marBottom w:val="0"/>
      <w:divBdr>
        <w:top w:val="none" w:sz="0" w:space="0" w:color="auto"/>
        <w:left w:val="none" w:sz="0" w:space="0" w:color="auto"/>
        <w:bottom w:val="none" w:sz="0" w:space="0" w:color="auto"/>
        <w:right w:val="none" w:sz="0" w:space="0" w:color="auto"/>
      </w:divBdr>
    </w:div>
    <w:div w:id="310452887">
      <w:bodyDiv w:val="1"/>
      <w:marLeft w:val="0"/>
      <w:marRight w:val="0"/>
      <w:marTop w:val="0"/>
      <w:marBottom w:val="0"/>
      <w:divBdr>
        <w:top w:val="none" w:sz="0" w:space="0" w:color="auto"/>
        <w:left w:val="none" w:sz="0" w:space="0" w:color="auto"/>
        <w:bottom w:val="none" w:sz="0" w:space="0" w:color="auto"/>
        <w:right w:val="none" w:sz="0" w:space="0" w:color="auto"/>
      </w:divBdr>
    </w:div>
    <w:div w:id="313687035">
      <w:bodyDiv w:val="1"/>
      <w:marLeft w:val="0"/>
      <w:marRight w:val="0"/>
      <w:marTop w:val="0"/>
      <w:marBottom w:val="0"/>
      <w:divBdr>
        <w:top w:val="none" w:sz="0" w:space="0" w:color="auto"/>
        <w:left w:val="none" w:sz="0" w:space="0" w:color="auto"/>
        <w:bottom w:val="none" w:sz="0" w:space="0" w:color="auto"/>
        <w:right w:val="none" w:sz="0" w:space="0" w:color="auto"/>
      </w:divBdr>
    </w:div>
    <w:div w:id="379482621">
      <w:bodyDiv w:val="1"/>
      <w:marLeft w:val="0"/>
      <w:marRight w:val="0"/>
      <w:marTop w:val="0"/>
      <w:marBottom w:val="0"/>
      <w:divBdr>
        <w:top w:val="none" w:sz="0" w:space="0" w:color="auto"/>
        <w:left w:val="none" w:sz="0" w:space="0" w:color="auto"/>
        <w:bottom w:val="none" w:sz="0" w:space="0" w:color="auto"/>
        <w:right w:val="none" w:sz="0" w:space="0" w:color="auto"/>
      </w:divBdr>
    </w:div>
    <w:div w:id="385227943">
      <w:bodyDiv w:val="1"/>
      <w:marLeft w:val="0"/>
      <w:marRight w:val="0"/>
      <w:marTop w:val="0"/>
      <w:marBottom w:val="0"/>
      <w:divBdr>
        <w:top w:val="none" w:sz="0" w:space="0" w:color="auto"/>
        <w:left w:val="none" w:sz="0" w:space="0" w:color="auto"/>
        <w:bottom w:val="none" w:sz="0" w:space="0" w:color="auto"/>
        <w:right w:val="none" w:sz="0" w:space="0" w:color="auto"/>
      </w:divBdr>
    </w:div>
    <w:div w:id="404960288">
      <w:bodyDiv w:val="1"/>
      <w:marLeft w:val="0"/>
      <w:marRight w:val="0"/>
      <w:marTop w:val="0"/>
      <w:marBottom w:val="0"/>
      <w:divBdr>
        <w:top w:val="none" w:sz="0" w:space="0" w:color="auto"/>
        <w:left w:val="none" w:sz="0" w:space="0" w:color="auto"/>
        <w:bottom w:val="none" w:sz="0" w:space="0" w:color="auto"/>
        <w:right w:val="none" w:sz="0" w:space="0" w:color="auto"/>
      </w:divBdr>
    </w:div>
    <w:div w:id="410347631">
      <w:bodyDiv w:val="1"/>
      <w:marLeft w:val="0"/>
      <w:marRight w:val="0"/>
      <w:marTop w:val="0"/>
      <w:marBottom w:val="0"/>
      <w:divBdr>
        <w:top w:val="none" w:sz="0" w:space="0" w:color="auto"/>
        <w:left w:val="none" w:sz="0" w:space="0" w:color="auto"/>
        <w:bottom w:val="none" w:sz="0" w:space="0" w:color="auto"/>
        <w:right w:val="none" w:sz="0" w:space="0" w:color="auto"/>
      </w:divBdr>
    </w:div>
    <w:div w:id="414322818">
      <w:bodyDiv w:val="1"/>
      <w:marLeft w:val="0"/>
      <w:marRight w:val="0"/>
      <w:marTop w:val="0"/>
      <w:marBottom w:val="0"/>
      <w:divBdr>
        <w:top w:val="none" w:sz="0" w:space="0" w:color="auto"/>
        <w:left w:val="none" w:sz="0" w:space="0" w:color="auto"/>
        <w:bottom w:val="none" w:sz="0" w:space="0" w:color="auto"/>
        <w:right w:val="none" w:sz="0" w:space="0" w:color="auto"/>
      </w:divBdr>
    </w:div>
    <w:div w:id="414859312">
      <w:bodyDiv w:val="1"/>
      <w:marLeft w:val="0"/>
      <w:marRight w:val="0"/>
      <w:marTop w:val="0"/>
      <w:marBottom w:val="0"/>
      <w:divBdr>
        <w:top w:val="none" w:sz="0" w:space="0" w:color="auto"/>
        <w:left w:val="none" w:sz="0" w:space="0" w:color="auto"/>
        <w:bottom w:val="none" w:sz="0" w:space="0" w:color="auto"/>
        <w:right w:val="none" w:sz="0" w:space="0" w:color="auto"/>
      </w:divBdr>
    </w:div>
    <w:div w:id="438262973">
      <w:bodyDiv w:val="1"/>
      <w:marLeft w:val="0"/>
      <w:marRight w:val="0"/>
      <w:marTop w:val="0"/>
      <w:marBottom w:val="0"/>
      <w:divBdr>
        <w:top w:val="none" w:sz="0" w:space="0" w:color="auto"/>
        <w:left w:val="none" w:sz="0" w:space="0" w:color="auto"/>
        <w:bottom w:val="none" w:sz="0" w:space="0" w:color="auto"/>
        <w:right w:val="none" w:sz="0" w:space="0" w:color="auto"/>
      </w:divBdr>
    </w:div>
    <w:div w:id="453641686">
      <w:bodyDiv w:val="1"/>
      <w:marLeft w:val="0"/>
      <w:marRight w:val="0"/>
      <w:marTop w:val="0"/>
      <w:marBottom w:val="0"/>
      <w:divBdr>
        <w:top w:val="none" w:sz="0" w:space="0" w:color="auto"/>
        <w:left w:val="none" w:sz="0" w:space="0" w:color="auto"/>
        <w:bottom w:val="none" w:sz="0" w:space="0" w:color="auto"/>
        <w:right w:val="none" w:sz="0" w:space="0" w:color="auto"/>
      </w:divBdr>
    </w:div>
    <w:div w:id="458647081">
      <w:bodyDiv w:val="1"/>
      <w:marLeft w:val="0"/>
      <w:marRight w:val="0"/>
      <w:marTop w:val="0"/>
      <w:marBottom w:val="0"/>
      <w:divBdr>
        <w:top w:val="none" w:sz="0" w:space="0" w:color="auto"/>
        <w:left w:val="none" w:sz="0" w:space="0" w:color="auto"/>
        <w:bottom w:val="none" w:sz="0" w:space="0" w:color="auto"/>
        <w:right w:val="none" w:sz="0" w:space="0" w:color="auto"/>
      </w:divBdr>
    </w:div>
    <w:div w:id="471673998">
      <w:bodyDiv w:val="1"/>
      <w:marLeft w:val="0"/>
      <w:marRight w:val="0"/>
      <w:marTop w:val="0"/>
      <w:marBottom w:val="0"/>
      <w:divBdr>
        <w:top w:val="none" w:sz="0" w:space="0" w:color="auto"/>
        <w:left w:val="none" w:sz="0" w:space="0" w:color="auto"/>
        <w:bottom w:val="none" w:sz="0" w:space="0" w:color="auto"/>
        <w:right w:val="none" w:sz="0" w:space="0" w:color="auto"/>
      </w:divBdr>
    </w:div>
    <w:div w:id="473064532">
      <w:bodyDiv w:val="1"/>
      <w:marLeft w:val="0"/>
      <w:marRight w:val="0"/>
      <w:marTop w:val="0"/>
      <w:marBottom w:val="0"/>
      <w:divBdr>
        <w:top w:val="none" w:sz="0" w:space="0" w:color="auto"/>
        <w:left w:val="none" w:sz="0" w:space="0" w:color="auto"/>
        <w:bottom w:val="none" w:sz="0" w:space="0" w:color="auto"/>
        <w:right w:val="none" w:sz="0" w:space="0" w:color="auto"/>
      </w:divBdr>
    </w:div>
    <w:div w:id="494226514">
      <w:bodyDiv w:val="1"/>
      <w:marLeft w:val="0"/>
      <w:marRight w:val="0"/>
      <w:marTop w:val="0"/>
      <w:marBottom w:val="0"/>
      <w:divBdr>
        <w:top w:val="none" w:sz="0" w:space="0" w:color="auto"/>
        <w:left w:val="none" w:sz="0" w:space="0" w:color="auto"/>
        <w:bottom w:val="none" w:sz="0" w:space="0" w:color="auto"/>
        <w:right w:val="none" w:sz="0" w:space="0" w:color="auto"/>
      </w:divBdr>
    </w:div>
    <w:div w:id="508102866">
      <w:bodyDiv w:val="1"/>
      <w:marLeft w:val="0"/>
      <w:marRight w:val="0"/>
      <w:marTop w:val="0"/>
      <w:marBottom w:val="0"/>
      <w:divBdr>
        <w:top w:val="none" w:sz="0" w:space="0" w:color="auto"/>
        <w:left w:val="none" w:sz="0" w:space="0" w:color="auto"/>
        <w:bottom w:val="none" w:sz="0" w:space="0" w:color="auto"/>
        <w:right w:val="none" w:sz="0" w:space="0" w:color="auto"/>
      </w:divBdr>
    </w:div>
    <w:div w:id="515048195">
      <w:bodyDiv w:val="1"/>
      <w:marLeft w:val="0"/>
      <w:marRight w:val="0"/>
      <w:marTop w:val="0"/>
      <w:marBottom w:val="0"/>
      <w:divBdr>
        <w:top w:val="none" w:sz="0" w:space="0" w:color="auto"/>
        <w:left w:val="none" w:sz="0" w:space="0" w:color="auto"/>
        <w:bottom w:val="none" w:sz="0" w:space="0" w:color="auto"/>
        <w:right w:val="none" w:sz="0" w:space="0" w:color="auto"/>
      </w:divBdr>
    </w:div>
    <w:div w:id="536968614">
      <w:bodyDiv w:val="1"/>
      <w:marLeft w:val="0"/>
      <w:marRight w:val="0"/>
      <w:marTop w:val="0"/>
      <w:marBottom w:val="0"/>
      <w:divBdr>
        <w:top w:val="none" w:sz="0" w:space="0" w:color="auto"/>
        <w:left w:val="none" w:sz="0" w:space="0" w:color="auto"/>
        <w:bottom w:val="none" w:sz="0" w:space="0" w:color="auto"/>
        <w:right w:val="none" w:sz="0" w:space="0" w:color="auto"/>
      </w:divBdr>
    </w:div>
    <w:div w:id="548806470">
      <w:bodyDiv w:val="1"/>
      <w:marLeft w:val="0"/>
      <w:marRight w:val="0"/>
      <w:marTop w:val="0"/>
      <w:marBottom w:val="0"/>
      <w:divBdr>
        <w:top w:val="none" w:sz="0" w:space="0" w:color="auto"/>
        <w:left w:val="none" w:sz="0" w:space="0" w:color="auto"/>
        <w:bottom w:val="none" w:sz="0" w:space="0" w:color="auto"/>
        <w:right w:val="none" w:sz="0" w:space="0" w:color="auto"/>
      </w:divBdr>
    </w:div>
    <w:div w:id="551238250">
      <w:bodyDiv w:val="1"/>
      <w:marLeft w:val="0"/>
      <w:marRight w:val="0"/>
      <w:marTop w:val="0"/>
      <w:marBottom w:val="0"/>
      <w:divBdr>
        <w:top w:val="none" w:sz="0" w:space="0" w:color="auto"/>
        <w:left w:val="none" w:sz="0" w:space="0" w:color="auto"/>
        <w:bottom w:val="none" w:sz="0" w:space="0" w:color="auto"/>
        <w:right w:val="none" w:sz="0" w:space="0" w:color="auto"/>
      </w:divBdr>
    </w:div>
    <w:div w:id="589856126">
      <w:bodyDiv w:val="1"/>
      <w:marLeft w:val="0"/>
      <w:marRight w:val="0"/>
      <w:marTop w:val="0"/>
      <w:marBottom w:val="0"/>
      <w:divBdr>
        <w:top w:val="none" w:sz="0" w:space="0" w:color="auto"/>
        <w:left w:val="none" w:sz="0" w:space="0" w:color="auto"/>
        <w:bottom w:val="none" w:sz="0" w:space="0" w:color="auto"/>
        <w:right w:val="none" w:sz="0" w:space="0" w:color="auto"/>
      </w:divBdr>
    </w:div>
    <w:div w:id="594368035">
      <w:bodyDiv w:val="1"/>
      <w:marLeft w:val="0"/>
      <w:marRight w:val="0"/>
      <w:marTop w:val="0"/>
      <w:marBottom w:val="0"/>
      <w:divBdr>
        <w:top w:val="none" w:sz="0" w:space="0" w:color="auto"/>
        <w:left w:val="none" w:sz="0" w:space="0" w:color="auto"/>
        <w:bottom w:val="none" w:sz="0" w:space="0" w:color="auto"/>
        <w:right w:val="none" w:sz="0" w:space="0" w:color="auto"/>
      </w:divBdr>
      <w:divsChild>
        <w:div w:id="348678903">
          <w:marLeft w:val="547"/>
          <w:marRight w:val="0"/>
          <w:marTop w:val="134"/>
          <w:marBottom w:val="0"/>
          <w:divBdr>
            <w:top w:val="none" w:sz="0" w:space="0" w:color="auto"/>
            <w:left w:val="none" w:sz="0" w:space="0" w:color="auto"/>
            <w:bottom w:val="none" w:sz="0" w:space="0" w:color="auto"/>
            <w:right w:val="none" w:sz="0" w:space="0" w:color="auto"/>
          </w:divBdr>
        </w:div>
        <w:div w:id="691733802">
          <w:marLeft w:val="547"/>
          <w:marRight w:val="0"/>
          <w:marTop w:val="134"/>
          <w:marBottom w:val="0"/>
          <w:divBdr>
            <w:top w:val="none" w:sz="0" w:space="0" w:color="auto"/>
            <w:left w:val="none" w:sz="0" w:space="0" w:color="auto"/>
            <w:bottom w:val="none" w:sz="0" w:space="0" w:color="auto"/>
            <w:right w:val="none" w:sz="0" w:space="0" w:color="auto"/>
          </w:divBdr>
        </w:div>
        <w:div w:id="1831752459">
          <w:marLeft w:val="547"/>
          <w:marRight w:val="0"/>
          <w:marTop w:val="134"/>
          <w:marBottom w:val="0"/>
          <w:divBdr>
            <w:top w:val="none" w:sz="0" w:space="0" w:color="auto"/>
            <w:left w:val="none" w:sz="0" w:space="0" w:color="auto"/>
            <w:bottom w:val="none" w:sz="0" w:space="0" w:color="auto"/>
            <w:right w:val="none" w:sz="0" w:space="0" w:color="auto"/>
          </w:divBdr>
        </w:div>
        <w:div w:id="1997492838">
          <w:marLeft w:val="547"/>
          <w:marRight w:val="0"/>
          <w:marTop w:val="134"/>
          <w:marBottom w:val="0"/>
          <w:divBdr>
            <w:top w:val="none" w:sz="0" w:space="0" w:color="auto"/>
            <w:left w:val="none" w:sz="0" w:space="0" w:color="auto"/>
            <w:bottom w:val="none" w:sz="0" w:space="0" w:color="auto"/>
            <w:right w:val="none" w:sz="0" w:space="0" w:color="auto"/>
          </w:divBdr>
        </w:div>
      </w:divsChild>
    </w:div>
    <w:div w:id="599148684">
      <w:bodyDiv w:val="1"/>
      <w:marLeft w:val="0"/>
      <w:marRight w:val="0"/>
      <w:marTop w:val="0"/>
      <w:marBottom w:val="0"/>
      <w:divBdr>
        <w:top w:val="none" w:sz="0" w:space="0" w:color="auto"/>
        <w:left w:val="none" w:sz="0" w:space="0" w:color="auto"/>
        <w:bottom w:val="none" w:sz="0" w:space="0" w:color="auto"/>
        <w:right w:val="none" w:sz="0" w:space="0" w:color="auto"/>
      </w:divBdr>
    </w:div>
    <w:div w:id="619606609">
      <w:bodyDiv w:val="1"/>
      <w:marLeft w:val="0"/>
      <w:marRight w:val="0"/>
      <w:marTop w:val="0"/>
      <w:marBottom w:val="0"/>
      <w:divBdr>
        <w:top w:val="none" w:sz="0" w:space="0" w:color="auto"/>
        <w:left w:val="none" w:sz="0" w:space="0" w:color="auto"/>
        <w:bottom w:val="none" w:sz="0" w:space="0" w:color="auto"/>
        <w:right w:val="none" w:sz="0" w:space="0" w:color="auto"/>
      </w:divBdr>
    </w:div>
    <w:div w:id="626158689">
      <w:bodyDiv w:val="1"/>
      <w:marLeft w:val="0"/>
      <w:marRight w:val="0"/>
      <w:marTop w:val="0"/>
      <w:marBottom w:val="0"/>
      <w:divBdr>
        <w:top w:val="none" w:sz="0" w:space="0" w:color="auto"/>
        <w:left w:val="none" w:sz="0" w:space="0" w:color="auto"/>
        <w:bottom w:val="none" w:sz="0" w:space="0" w:color="auto"/>
        <w:right w:val="none" w:sz="0" w:space="0" w:color="auto"/>
      </w:divBdr>
    </w:div>
    <w:div w:id="628782564">
      <w:bodyDiv w:val="1"/>
      <w:marLeft w:val="0"/>
      <w:marRight w:val="0"/>
      <w:marTop w:val="0"/>
      <w:marBottom w:val="0"/>
      <w:divBdr>
        <w:top w:val="none" w:sz="0" w:space="0" w:color="auto"/>
        <w:left w:val="none" w:sz="0" w:space="0" w:color="auto"/>
        <w:bottom w:val="none" w:sz="0" w:space="0" w:color="auto"/>
        <w:right w:val="none" w:sz="0" w:space="0" w:color="auto"/>
      </w:divBdr>
    </w:div>
    <w:div w:id="635985219">
      <w:bodyDiv w:val="1"/>
      <w:marLeft w:val="0"/>
      <w:marRight w:val="0"/>
      <w:marTop w:val="0"/>
      <w:marBottom w:val="0"/>
      <w:divBdr>
        <w:top w:val="none" w:sz="0" w:space="0" w:color="auto"/>
        <w:left w:val="none" w:sz="0" w:space="0" w:color="auto"/>
        <w:bottom w:val="none" w:sz="0" w:space="0" w:color="auto"/>
        <w:right w:val="none" w:sz="0" w:space="0" w:color="auto"/>
      </w:divBdr>
    </w:div>
    <w:div w:id="636033814">
      <w:bodyDiv w:val="1"/>
      <w:marLeft w:val="0"/>
      <w:marRight w:val="0"/>
      <w:marTop w:val="0"/>
      <w:marBottom w:val="0"/>
      <w:divBdr>
        <w:top w:val="none" w:sz="0" w:space="0" w:color="auto"/>
        <w:left w:val="none" w:sz="0" w:space="0" w:color="auto"/>
        <w:bottom w:val="none" w:sz="0" w:space="0" w:color="auto"/>
        <w:right w:val="none" w:sz="0" w:space="0" w:color="auto"/>
      </w:divBdr>
    </w:div>
    <w:div w:id="641692552">
      <w:bodyDiv w:val="1"/>
      <w:marLeft w:val="0"/>
      <w:marRight w:val="0"/>
      <w:marTop w:val="0"/>
      <w:marBottom w:val="0"/>
      <w:divBdr>
        <w:top w:val="none" w:sz="0" w:space="0" w:color="auto"/>
        <w:left w:val="none" w:sz="0" w:space="0" w:color="auto"/>
        <w:bottom w:val="none" w:sz="0" w:space="0" w:color="auto"/>
        <w:right w:val="none" w:sz="0" w:space="0" w:color="auto"/>
      </w:divBdr>
    </w:div>
    <w:div w:id="647444180">
      <w:bodyDiv w:val="1"/>
      <w:marLeft w:val="0"/>
      <w:marRight w:val="0"/>
      <w:marTop w:val="0"/>
      <w:marBottom w:val="0"/>
      <w:divBdr>
        <w:top w:val="none" w:sz="0" w:space="0" w:color="auto"/>
        <w:left w:val="none" w:sz="0" w:space="0" w:color="auto"/>
        <w:bottom w:val="none" w:sz="0" w:space="0" w:color="auto"/>
        <w:right w:val="none" w:sz="0" w:space="0" w:color="auto"/>
      </w:divBdr>
    </w:div>
    <w:div w:id="678315548">
      <w:bodyDiv w:val="1"/>
      <w:marLeft w:val="0"/>
      <w:marRight w:val="0"/>
      <w:marTop w:val="0"/>
      <w:marBottom w:val="0"/>
      <w:divBdr>
        <w:top w:val="none" w:sz="0" w:space="0" w:color="auto"/>
        <w:left w:val="none" w:sz="0" w:space="0" w:color="auto"/>
        <w:bottom w:val="none" w:sz="0" w:space="0" w:color="auto"/>
        <w:right w:val="none" w:sz="0" w:space="0" w:color="auto"/>
      </w:divBdr>
    </w:div>
    <w:div w:id="679745908">
      <w:bodyDiv w:val="1"/>
      <w:marLeft w:val="0"/>
      <w:marRight w:val="0"/>
      <w:marTop w:val="0"/>
      <w:marBottom w:val="0"/>
      <w:divBdr>
        <w:top w:val="none" w:sz="0" w:space="0" w:color="auto"/>
        <w:left w:val="none" w:sz="0" w:space="0" w:color="auto"/>
        <w:bottom w:val="none" w:sz="0" w:space="0" w:color="auto"/>
        <w:right w:val="none" w:sz="0" w:space="0" w:color="auto"/>
      </w:divBdr>
    </w:div>
    <w:div w:id="680014297">
      <w:bodyDiv w:val="1"/>
      <w:marLeft w:val="0"/>
      <w:marRight w:val="0"/>
      <w:marTop w:val="0"/>
      <w:marBottom w:val="0"/>
      <w:divBdr>
        <w:top w:val="none" w:sz="0" w:space="0" w:color="auto"/>
        <w:left w:val="none" w:sz="0" w:space="0" w:color="auto"/>
        <w:bottom w:val="none" w:sz="0" w:space="0" w:color="auto"/>
        <w:right w:val="none" w:sz="0" w:space="0" w:color="auto"/>
      </w:divBdr>
    </w:div>
    <w:div w:id="685134383">
      <w:bodyDiv w:val="1"/>
      <w:marLeft w:val="0"/>
      <w:marRight w:val="0"/>
      <w:marTop w:val="0"/>
      <w:marBottom w:val="0"/>
      <w:divBdr>
        <w:top w:val="none" w:sz="0" w:space="0" w:color="auto"/>
        <w:left w:val="none" w:sz="0" w:space="0" w:color="auto"/>
        <w:bottom w:val="none" w:sz="0" w:space="0" w:color="auto"/>
        <w:right w:val="none" w:sz="0" w:space="0" w:color="auto"/>
      </w:divBdr>
    </w:div>
    <w:div w:id="693574116">
      <w:bodyDiv w:val="1"/>
      <w:marLeft w:val="0"/>
      <w:marRight w:val="0"/>
      <w:marTop w:val="0"/>
      <w:marBottom w:val="0"/>
      <w:divBdr>
        <w:top w:val="none" w:sz="0" w:space="0" w:color="auto"/>
        <w:left w:val="none" w:sz="0" w:space="0" w:color="auto"/>
        <w:bottom w:val="none" w:sz="0" w:space="0" w:color="auto"/>
        <w:right w:val="none" w:sz="0" w:space="0" w:color="auto"/>
      </w:divBdr>
    </w:div>
    <w:div w:id="773020917">
      <w:bodyDiv w:val="1"/>
      <w:marLeft w:val="0"/>
      <w:marRight w:val="0"/>
      <w:marTop w:val="0"/>
      <w:marBottom w:val="0"/>
      <w:divBdr>
        <w:top w:val="none" w:sz="0" w:space="0" w:color="auto"/>
        <w:left w:val="none" w:sz="0" w:space="0" w:color="auto"/>
        <w:bottom w:val="none" w:sz="0" w:space="0" w:color="auto"/>
        <w:right w:val="none" w:sz="0" w:space="0" w:color="auto"/>
      </w:divBdr>
    </w:div>
    <w:div w:id="776557754">
      <w:bodyDiv w:val="1"/>
      <w:marLeft w:val="0"/>
      <w:marRight w:val="0"/>
      <w:marTop w:val="0"/>
      <w:marBottom w:val="0"/>
      <w:divBdr>
        <w:top w:val="none" w:sz="0" w:space="0" w:color="auto"/>
        <w:left w:val="none" w:sz="0" w:space="0" w:color="auto"/>
        <w:bottom w:val="none" w:sz="0" w:space="0" w:color="auto"/>
        <w:right w:val="none" w:sz="0" w:space="0" w:color="auto"/>
      </w:divBdr>
    </w:div>
    <w:div w:id="782964294">
      <w:bodyDiv w:val="1"/>
      <w:marLeft w:val="0"/>
      <w:marRight w:val="0"/>
      <w:marTop w:val="0"/>
      <w:marBottom w:val="0"/>
      <w:divBdr>
        <w:top w:val="none" w:sz="0" w:space="0" w:color="auto"/>
        <w:left w:val="none" w:sz="0" w:space="0" w:color="auto"/>
        <w:bottom w:val="none" w:sz="0" w:space="0" w:color="auto"/>
        <w:right w:val="none" w:sz="0" w:space="0" w:color="auto"/>
      </w:divBdr>
    </w:div>
    <w:div w:id="785386343">
      <w:bodyDiv w:val="1"/>
      <w:marLeft w:val="0"/>
      <w:marRight w:val="0"/>
      <w:marTop w:val="0"/>
      <w:marBottom w:val="0"/>
      <w:divBdr>
        <w:top w:val="none" w:sz="0" w:space="0" w:color="auto"/>
        <w:left w:val="none" w:sz="0" w:space="0" w:color="auto"/>
        <w:bottom w:val="none" w:sz="0" w:space="0" w:color="auto"/>
        <w:right w:val="none" w:sz="0" w:space="0" w:color="auto"/>
      </w:divBdr>
    </w:div>
    <w:div w:id="787236952">
      <w:bodyDiv w:val="1"/>
      <w:marLeft w:val="0"/>
      <w:marRight w:val="0"/>
      <w:marTop w:val="0"/>
      <w:marBottom w:val="0"/>
      <w:divBdr>
        <w:top w:val="none" w:sz="0" w:space="0" w:color="auto"/>
        <w:left w:val="none" w:sz="0" w:space="0" w:color="auto"/>
        <w:bottom w:val="none" w:sz="0" w:space="0" w:color="auto"/>
        <w:right w:val="none" w:sz="0" w:space="0" w:color="auto"/>
      </w:divBdr>
    </w:div>
    <w:div w:id="844323158">
      <w:bodyDiv w:val="1"/>
      <w:marLeft w:val="0"/>
      <w:marRight w:val="0"/>
      <w:marTop w:val="0"/>
      <w:marBottom w:val="0"/>
      <w:divBdr>
        <w:top w:val="none" w:sz="0" w:space="0" w:color="auto"/>
        <w:left w:val="none" w:sz="0" w:space="0" w:color="auto"/>
        <w:bottom w:val="none" w:sz="0" w:space="0" w:color="auto"/>
        <w:right w:val="none" w:sz="0" w:space="0" w:color="auto"/>
      </w:divBdr>
    </w:div>
    <w:div w:id="851526175">
      <w:bodyDiv w:val="1"/>
      <w:marLeft w:val="0"/>
      <w:marRight w:val="0"/>
      <w:marTop w:val="0"/>
      <w:marBottom w:val="0"/>
      <w:divBdr>
        <w:top w:val="none" w:sz="0" w:space="0" w:color="auto"/>
        <w:left w:val="none" w:sz="0" w:space="0" w:color="auto"/>
        <w:bottom w:val="none" w:sz="0" w:space="0" w:color="auto"/>
        <w:right w:val="none" w:sz="0" w:space="0" w:color="auto"/>
      </w:divBdr>
    </w:div>
    <w:div w:id="861475898">
      <w:bodyDiv w:val="1"/>
      <w:marLeft w:val="0"/>
      <w:marRight w:val="0"/>
      <w:marTop w:val="0"/>
      <w:marBottom w:val="0"/>
      <w:divBdr>
        <w:top w:val="none" w:sz="0" w:space="0" w:color="auto"/>
        <w:left w:val="none" w:sz="0" w:space="0" w:color="auto"/>
        <w:bottom w:val="none" w:sz="0" w:space="0" w:color="auto"/>
        <w:right w:val="none" w:sz="0" w:space="0" w:color="auto"/>
      </w:divBdr>
    </w:div>
    <w:div w:id="878319258">
      <w:bodyDiv w:val="1"/>
      <w:marLeft w:val="0"/>
      <w:marRight w:val="0"/>
      <w:marTop w:val="0"/>
      <w:marBottom w:val="0"/>
      <w:divBdr>
        <w:top w:val="none" w:sz="0" w:space="0" w:color="auto"/>
        <w:left w:val="none" w:sz="0" w:space="0" w:color="auto"/>
        <w:bottom w:val="none" w:sz="0" w:space="0" w:color="auto"/>
        <w:right w:val="none" w:sz="0" w:space="0" w:color="auto"/>
      </w:divBdr>
    </w:div>
    <w:div w:id="897320231">
      <w:bodyDiv w:val="1"/>
      <w:marLeft w:val="0"/>
      <w:marRight w:val="0"/>
      <w:marTop w:val="0"/>
      <w:marBottom w:val="0"/>
      <w:divBdr>
        <w:top w:val="none" w:sz="0" w:space="0" w:color="auto"/>
        <w:left w:val="none" w:sz="0" w:space="0" w:color="auto"/>
        <w:bottom w:val="none" w:sz="0" w:space="0" w:color="auto"/>
        <w:right w:val="none" w:sz="0" w:space="0" w:color="auto"/>
      </w:divBdr>
    </w:div>
    <w:div w:id="901792059">
      <w:bodyDiv w:val="1"/>
      <w:marLeft w:val="0"/>
      <w:marRight w:val="0"/>
      <w:marTop w:val="0"/>
      <w:marBottom w:val="0"/>
      <w:divBdr>
        <w:top w:val="none" w:sz="0" w:space="0" w:color="auto"/>
        <w:left w:val="none" w:sz="0" w:space="0" w:color="auto"/>
        <w:bottom w:val="none" w:sz="0" w:space="0" w:color="auto"/>
        <w:right w:val="none" w:sz="0" w:space="0" w:color="auto"/>
      </w:divBdr>
    </w:div>
    <w:div w:id="912205580">
      <w:bodyDiv w:val="1"/>
      <w:marLeft w:val="0"/>
      <w:marRight w:val="0"/>
      <w:marTop w:val="0"/>
      <w:marBottom w:val="0"/>
      <w:divBdr>
        <w:top w:val="none" w:sz="0" w:space="0" w:color="auto"/>
        <w:left w:val="none" w:sz="0" w:space="0" w:color="auto"/>
        <w:bottom w:val="none" w:sz="0" w:space="0" w:color="auto"/>
        <w:right w:val="none" w:sz="0" w:space="0" w:color="auto"/>
      </w:divBdr>
    </w:div>
    <w:div w:id="959871689">
      <w:bodyDiv w:val="1"/>
      <w:marLeft w:val="0"/>
      <w:marRight w:val="0"/>
      <w:marTop w:val="0"/>
      <w:marBottom w:val="0"/>
      <w:divBdr>
        <w:top w:val="none" w:sz="0" w:space="0" w:color="auto"/>
        <w:left w:val="none" w:sz="0" w:space="0" w:color="auto"/>
        <w:bottom w:val="none" w:sz="0" w:space="0" w:color="auto"/>
        <w:right w:val="none" w:sz="0" w:space="0" w:color="auto"/>
      </w:divBdr>
    </w:div>
    <w:div w:id="966817900">
      <w:bodyDiv w:val="1"/>
      <w:marLeft w:val="0"/>
      <w:marRight w:val="0"/>
      <w:marTop w:val="0"/>
      <w:marBottom w:val="0"/>
      <w:divBdr>
        <w:top w:val="none" w:sz="0" w:space="0" w:color="auto"/>
        <w:left w:val="none" w:sz="0" w:space="0" w:color="auto"/>
        <w:bottom w:val="none" w:sz="0" w:space="0" w:color="auto"/>
        <w:right w:val="none" w:sz="0" w:space="0" w:color="auto"/>
      </w:divBdr>
    </w:div>
    <w:div w:id="968702001">
      <w:bodyDiv w:val="1"/>
      <w:marLeft w:val="0"/>
      <w:marRight w:val="0"/>
      <w:marTop w:val="0"/>
      <w:marBottom w:val="0"/>
      <w:divBdr>
        <w:top w:val="none" w:sz="0" w:space="0" w:color="auto"/>
        <w:left w:val="none" w:sz="0" w:space="0" w:color="auto"/>
        <w:bottom w:val="none" w:sz="0" w:space="0" w:color="auto"/>
        <w:right w:val="none" w:sz="0" w:space="0" w:color="auto"/>
      </w:divBdr>
    </w:div>
    <w:div w:id="1013804552">
      <w:bodyDiv w:val="1"/>
      <w:marLeft w:val="0"/>
      <w:marRight w:val="0"/>
      <w:marTop w:val="0"/>
      <w:marBottom w:val="0"/>
      <w:divBdr>
        <w:top w:val="none" w:sz="0" w:space="0" w:color="auto"/>
        <w:left w:val="none" w:sz="0" w:space="0" w:color="auto"/>
        <w:bottom w:val="none" w:sz="0" w:space="0" w:color="auto"/>
        <w:right w:val="none" w:sz="0" w:space="0" w:color="auto"/>
      </w:divBdr>
    </w:div>
    <w:div w:id="1049232373">
      <w:bodyDiv w:val="1"/>
      <w:marLeft w:val="0"/>
      <w:marRight w:val="0"/>
      <w:marTop w:val="0"/>
      <w:marBottom w:val="0"/>
      <w:divBdr>
        <w:top w:val="none" w:sz="0" w:space="0" w:color="auto"/>
        <w:left w:val="none" w:sz="0" w:space="0" w:color="auto"/>
        <w:bottom w:val="none" w:sz="0" w:space="0" w:color="auto"/>
        <w:right w:val="none" w:sz="0" w:space="0" w:color="auto"/>
      </w:divBdr>
    </w:div>
    <w:div w:id="1053581251">
      <w:bodyDiv w:val="1"/>
      <w:marLeft w:val="0"/>
      <w:marRight w:val="0"/>
      <w:marTop w:val="0"/>
      <w:marBottom w:val="0"/>
      <w:divBdr>
        <w:top w:val="none" w:sz="0" w:space="0" w:color="auto"/>
        <w:left w:val="none" w:sz="0" w:space="0" w:color="auto"/>
        <w:bottom w:val="none" w:sz="0" w:space="0" w:color="auto"/>
        <w:right w:val="none" w:sz="0" w:space="0" w:color="auto"/>
      </w:divBdr>
    </w:div>
    <w:div w:id="1055205011">
      <w:bodyDiv w:val="1"/>
      <w:marLeft w:val="0"/>
      <w:marRight w:val="0"/>
      <w:marTop w:val="0"/>
      <w:marBottom w:val="0"/>
      <w:divBdr>
        <w:top w:val="none" w:sz="0" w:space="0" w:color="auto"/>
        <w:left w:val="none" w:sz="0" w:space="0" w:color="auto"/>
        <w:bottom w:val="none" w:sz="0" w:space="0" w:color="auto"/>
        <w:right w:val="none" w:sz="0" w:space="0" w:color="auto"/>
      </w:divBdr>
    </w:div>
    <w:div w:id="1063063501">
      <w:bodyDiv w:val="1"/>
      <w:marLeft w:val="0"/>
      <w:marRight w:val="0"/>
      <w:marTop w:val="0"/>
      <w:marBottom w:val="0"/>
      <w:divBdr>
        <w:top w:val="none" w:sz="0" w:space="0" w:color="auto"/>
        <w:left w:val="none" w:sz="0" w:space="0" w:color="auto"/>
        <w:bottom w:val="none" w:sz="0" w:space="0" w:color="auto"/>
        <w:right w:val="none" w:sz="0" w:space="0" w:color="auto"/>
      </w:divBdr>
    </w:div>
    <w:div w:id="1079908265">
      <w:bodyDiv w:val="1"/>
      <w:marLeft w:val="0"/>
      <w:marRight w:val="0"/>
      <w:marTop w:val="0"/>
      <w:marBottom w:val="0"/>
      <w:divBdr>
        <w:top w:val="none" w:sz="0" w:space="0" w:color="auto"/>
        <w:left w:val="none" w:sz="0" w:space="0" w:color="auto"/>
        <w:bottom w:val="none" w:sz="0" w:space="0" w:color="auto"/>
        <w:right w:val="none" w:sz="0" w:space="0" w:color="auto"/>
      </w:divBdr>
    </w:div>
    <w:div w:id="1094473766">
      <w:bodyDiv w:val="1"/>
      <w:marLeft w:val="0"/>
      <w:marRight w:val="0"/>
      <w:marTop w:val="0"/>
      <w:marBottom w:val="0"/>
      <w:divBdr>
        <w:top w:val="none" w:sz="0" w:space="0" w:color="auto"/>
        <w:left w:val="none" w:sz="0" w:space="0" w:color="auto"/>
        <w:bottom w:val="none" w:sz="0" w:space="0" w:color="auto"/>
        <w:right w:val="none" w:sz="0" w:space="0" w:color="auto"/>
      </w:divBdr>
    </w:div>
    <w:div w:id="1100562778">
      <w:bodyDiv w:val="1"/>
      <w:marLeft w:val="0"/>
      <w:marRight w:val="0"/>
      <w:marTop w:val="0"/>
      <w:marBottom w:val="0"/>
      <w:divBdr>
        <w:top w:val="none" w:sz="0" w:space="0" w:color="auto"/>
        <w:left w:val="none" w:sz="0" w:space="0" w:color="auto"/>
        <w:bottom w:val="none" w:sz="0" w:space="0" w:color="auto"/>
        <w:right w:val="none" w:sz="0" w:space="0" w:color="auto"/>
      </w:divBdr>
    </w:div>
    <w:div w:id="1112674257">
      <w:bodyDiv w:val="1"/>
      <w:marLeft w:val="0"/>
      <w:marRight w:val="0"/>
      <w:marTop w:val="0"/>
      <w:marBottom w:val="0"/>
      <w:divBdr>
        <w:top w:val="none" w:sz="0" w:space="0" w:color="auto"/>
        <w:left w:val="none" w:sz="0" w:space="0" w:color="auto"/>
        <w:bottom w:val="none" w:sz="0" w:space="0" w:color="auto"/>
        <w:right w:val="none" w:sz="0" w:space="0" w:color="auto"/>
      </w:divBdr>
    </w:div>
    <w:div w:id="1116944971">
      <w:bodyDiv w:val="1"/>
      <w:marLeft w:val="0"/>
      <w:marRight w:val="0"/>
      <w:marTop w:val="0"/>
      <w:marBottom w:val="0"/>
      <w:divBdr>
        <w:top w:val="none" w:sz="0" w:space="0" w:color="auto"/>
        <w:left w:val="none" w:sz="0" w:space="0" w:color="auto"/>
        <w:bottom w:val="none" w:sz="0" w:space="0" w:color="auto"/>
        <w:right w:val="none" w:sz="0" w:space="0" w:color="auto"/>
      </w:divBdr>
    </w:div>
    <w:div w:id="1168981589">
      <w:bodyDiv w:val="1"/>
      <w:marLeft w:val="0"/>
      <w:marRight w:val="0"/>
      <w:marTop w:val="0"/>
      <w:marBottom w:val="0"/>
      <w:divBdr>
        <w:top w:val="none" w:sz="0" w:space="0" w:color="auto"/>
        <w:left w:val="none" w:sz="0" w:space="0" w:color="auto"/>
        <w:bottom w:val="none" w:sz="0" w:space="0" w:color="auto"/>
        <w:right w:val="none" w:sz="0" w:space="0" w:color="auto"/>
      </w:divBdr>
    </w:div>
    <w:div w:id="1175417801">
      <w:bodyDiv w:val="1"/>
      <w:marLeft w:val="0"/>
      <w:marRight w:val="0"/>
      <w:marTop w:val="0"/>
      <w:marBottom w:val="0"/>
      <w:divBdr>
        <w:top w:val="none" w:sz="0" w:space="0" w:color="auto"/>
        <w:left w:val="none" w:sz="0" w:space="0" w:color="auto"/>
        <w:bottom w:val="none" w:sz="0" w:space="0" w:color="auto"/>
        <w:right w:val="none" w:sz="0" w:space="0" w:color="auto"/>
      </w:divBdr>
    </w:div>
    <w:div w:id="1204361950">
      <w:bodyDiv w:val="1"/>
      <w:marLeft w:val="0"/>
      <w:marRight w:val="0"/>
      <w:marTop w:val="0"/>
      <w:marBottom w:val="0"/>
      <w:divBdr>
        <w:top w:val="none" w:sz="0" w:space="0" w:color="auto"/>
        <w:left w:val="none" w:sz="0" w:space="0" w:color="auto"/>
        <w:bottom w:val="none" w:sz="0" w:space="0" w:color="auto"/>
        <w:right w:val="none" w:sz="0" w:space="0" w:color="auto"/>
      </w:divBdr>
    </w:div>
    <w:div w:id="1215240612">
      <w:bodyDiv w:val="1"/>
      <w:marLeft w:val="0"/>
      <w:marRight w:val="0"/>
      <w:marTop w:val="0"/>
      <w:marBottom w:val="0"/>
      <w:divBdr>
        <w:top w:val="none" w:sz="0" w:space="0" w:color="auto"/>
        <w:left w:val="none" w:sz="0" w:space="0" w:color="auto"/>
        <w:bottom w:val="none" w:sz="0" w:space="0" w:color="auto"/>
        <w:right w:val="none" w:sz="0" w:space="0" w:color="auto"/>
      </w:divBdr>
    </w:div>
    <w:div w:id="1230507053">
      <w:bodyDiv w:val="1"/>
      <w:marLeft w:val="0"/>
      <w:marRight w:val="0"/>
      <w:marTop w:val="0"/>
      <w:marBottom w:val="0"/>
      <w:divBdr>
        <w:top w:val="none" w:sz="0" w:space="0" w:color="auto"/>
        <w:left w:val="none" w:sz="0" w:space="0" w:color="auto"/>
        <w:bottom w:val="none" w:sz="0" w:space="0" w:color="auto"/>
        <w:right w:val="none" w:sz="0" w:space="0" w:color="auto"/>
      </w:divBdr>
    </w:div>
    <w:div w:id="1232234843">
      <w:bodyDiv w:val="1"/>
      <w:marLeft w:val="0"/>
      <w:marRight w:val="0"/>
      <w:marTop w:val="0"/>
      <w:marBottom w:val="0"/>
      <w:divBdr>
        <w:top w:val="none" w:sz="0" w:space="0" w:color="auto"/>
        <w:left w:val="none" w:sz="0" w:space="0" w:color="auto"/>
        <w:bottom w:val="none" w:sz="0" w:space="0" w:color="auto"/>
        <w:right w:val="none" w:sz="0" w:space="0" w:color="auto"/>
      </w:divBdr>
    </w:div>
    <w:div w:id="1238714334">
      <w:bodyDiv w:val="1"/>
      <w:marLeft w:val="0"/>
      <w:marRight w:val="0"/>
      <w:marTop w:val="0"/>
      <w:marBottom w:val="0"/>
      <w:divBdr>
        <w:top w:val="none" w:sz="0" w:space="0" w:color="auto"/>
        <w:left w:val="none" w:sz="0" w:space="0" w:color="auto"/>
        <w:bottom w:val="none" w:sz="0" w:space="0" w:color="auto"/>
        <w:right w:val="none" w:sz="0" w:space="0" w:color="auto"/>
      </w:divBdr>
    </w:div>
    <w:div w:id="1256742679">
      <w:bodyDiv w:val="1"/>
      <w:marLeft w:val="0"/>
      <w:marRight w:val="0"/>
      <w:marTop w:val="0"/>
      <w:marBottom w:val="0"/>
      <w:divBdr>
        <w:top w:val="none" w:sz="0" w:space="0" w:color="auto"/>
        <w:left w:val="none" w:sz="0" w:space="0" w:color="auto"/>
        <w:bottom w:val="none" w:sz="0" w:space="0" w:color="auto"/>
        <w:right w:val="none" w:sz="0" w:space="0" w:color="auto"/>
      </w:divBdr>
    </w:div>
    <w:div w:id="1268268399">
      <w:bodyDiv w:val="1"/>
      <w:marLeft w:val="0"/>
      <w:marRight w:val="0"/>
      <w:marTop w:val="0"/>
      <w:marBottom w:val="0"/>
      <w:divBdr>
        <w:top w:val="none" w:sz="0" w:space="0" w:color="auto"/>
        <w:left w:val="none" w:sz="0" w:space="0" w:color="auto"/>
        <w:bottom w:val="none" w:sz="0" w:space="0" w:color="auto"/>
        <w:right w:val="none" w:sz="0" w:space="0" w:color="auto"/>
      </w:divBdr>
    </w:div>
    <w:div w:id="1280381946">
      <w:bodyDiv w:val="1"/>
      <w:marLeft w:val="0"/>
      <w:marRight w:val="0"/>
      <w:marTop w:val="0"/>
      <w:marBottom w:val="0"/>
      <w:divBdr>
        <w:top w:val="none" w:sz="0" w:space="0" w:color="auto"/>
        <w:left w:val="none" w:sz="0" w:space="0" w:color="auto"/>
        <w:bottom w:val="none" w:sz="0" w:space="0" w:color="auto"/>
        <w:right w:val="none" w:sz="0" w:space="0" w:color="auto"/>
      </w:divBdr>
    </w:div>
    <w:div w:id="1286933756">
      <w:bodyDiv w:val="1"/>
      <w:marLeft w:val="0"/>
      <w:marRight w:val="0"/>
      <w:marTop w:val="0"/>
      <w:marBottom w:val="0"/>
      <w:divBdr>
        <w:top w:val="none" w:sz="0" w:space="0" w:color="auto"/>
        <w:left w:val="none" w:sz="0" w:space="0" w:color="auto"/>
        <w:bottom w:val="none" w:sz="0" w:space="0" w:color="auto"/>
        <w:right w:val="none" w:sz="0" w:space="0" w:color="auto"/>
      </w:divBdr>
    </w:div>
    <w:div w:id="1302998129">
      <w:bodyDiv w:val="1"/>
      <w:marLeft w:val="0"/>
      <w:marRight w:val="0"/>
      <w:marTop w:val="0"/>
      <w:marBottom w:val="0"/>
      <w:divBdr>
        <w:top w:val="none" w:sz="0" w:space="0" w:color="auto"/>
        <w:left w:val="none" w:sz="0" w:space="0" w:color="auto"/>
        <w:bottom w:val="none" w:sz="0" w:space="0" w:color="auto"/>
        <w:right w:val="none" w:sz="0" w:space="0" w:color="auto"/>
      </w:divBdr>
    </w:div>
    <w:div w:id="1327124593">
      <w:bodyDiv w:val="1"/>
      <w:marLeft w:val="0"/>
      <w:marRight w:val="0"/>
      <w:marTop w:val="0"/>
      <w:marBottom w:val="0"/>
      <w:divBdr>
        <w:top w:val="none" w:sz="0" w:space="0" w:color="auto"/>
        <w:left w:val="none" w:sz="0" w:space="0" w:color="auto"/>
        <w:bottom w:val="none" w:sz="0" w:space="0" w:color="auto"/>
        <w:right w:val="none" w:sz="0" w:space="0" w:color="auto"/>
      </w:divBdr>
    </w:div>
    <w:div w:id="1332443124">
      <w:bodyDiv w:val="1"/>
      <w:marLeft w:val="0"/>
      <w:marRight w:val="0"/>
      <w:marTop w:val="0"/>
      <w:marBottom w:val="0"/>
      <w:divBdr>
        <w:top w:val="none" w:sz="0" w:space="0" w:color="auto"/>
        <w:left w:val="none" w:sz="0" w:space="0" w:color="auto"/>
        <w:bottom w:val="none" w:sz="0" w:space="0" w:color="auto"/>
        <w:right w:val="none" w:sz="0" w:space="0" w:color="auto"/>
      </w:divBdr>
    </w:div>
    <w:div w:id="1337414603">
      <w:bodyDiv w:val="1"/>
      <w:marLeft w:val="0"/>
      <w:marRight w:val="0"/>
      <w:marTop w:val="0"/>
      <w:marBottom w:val="0"/>
      <w:divBdr>
        <w:top w:val="none" w:sz="0" w:space="0" w:color="auto"/>
        <w:left w:val="none" w:sz="0" w:space="0" w:color="auto"/>
        <w:bottom w:val="none" w:sz="0" w:space="0" w:color="auto"/>
        <w:right w:val="none" w:sz="0" w:space="0" w:color="auto"/>
      </w:divBdr>
    </w:div>
    <w:div w:id="1360742411">
      <w:bodyDiv w:val="1"/>
      <w:marLeft w:val="0"/>
      <w:marRight w:val="0"/>
      <w:marTop w:val="0"/>
      <w:marBottom w:val="0"/>
      <w:divBdr>
        <w:top w:val="none" w:sz="0" w:space="0" w:color="auto"/>
        <w:left w:val="none" w:sz="0" w:space="0" w:color="auto"/>
        <w:bottom w:val="none" w:sz="0" w:space="0" w:color="auto"/>
        <w:right w:val="none" w:sz="0" w:space="0" w:color="auto"/>
      </w:divBdr>
    </w:div>
    <w:div w:id="1361125474">
      <w:bodyDiv w:val="1"/>
      <w:marLeft w:val="0"/>
      <w:marRight w:val="0"/>
      <w:marTop w:val="0"/>
      <w:marBottom w:val="0"/>
      <w:divBdr>
        <w:top w:val="none" w:sz="0" w:space="0" w:color="auto"/>
        <w:left w:val="none" w:sz="0" w:space="0" w:color="auto"/>
        <w:bottom w:val="none" w:sz="0" w:space="0" w:color="auto"/>
        <w:right w:val="none" w:sz="0" w:space="0" w:color="auto"/>
      </w:divBdr>
    </w:div>
    <w:div w:id="1378359844">
      <w:bodyDiv w:val="1"/>
      <w:marLeft w:val="0"/>
      <w:marRight w:val="0"/>
      <w:marTop w:val="0"/>
      <w:marBottom w:val="0"/>
      <w:divBdr>
        <w:top w:val="none" w:sz="0" w:space="0" w:color="auto"/>
        <w:left w:val="none" w:sz="0" w:space="0" w:color="auto"/>
        <w:bottom w:val="none" w:sz="0" w:space="0" w:color="auto"/>
        <w:right w:val="none" w:sz="0" w:space="0" w:color="auto"/>
      </w:divBdr>
    </w:div>
    <w:div w:id="1384282925">
      <w:bodyDiv w:val="1"/>
      <w:marLeft w:val="0"/>
      <w:marRight w:val="0"/>
      <w:marTop w:val="0"/>
      <w:marBottom w:val="0"/>
      <w:divBdr>
        <w:top w:val="none" w:sz="0" w:space="0" w:color="auto"/>
        <w:left w:val="none" w:sz="0" w:space="0" w:color="auto"/>
        <w:bottom w:val="none" w:sz="0" w:space="0" w:color="auto"/>
        <w:right w:val="none" w:sz="0" w:space="0" w:color="auto"/>
      </w:divBdr>
    </w:div>
    <w:div w:id="1405761679">
      <w:bodyDiv w:val="1"/>
      <w:marLeft w:val="0"/>
      <w:marRight w:val="0"/>
      <w:marTop w:val="0"/>
      <w:marBottom w:val="0"/>
      <w:divBdr>
        <w:top w:val="none" w:sz="0" w:space="0" w:color="auto"/>
        <w:left w:val="none" w:sz="0" w:space="0" w:color="auto"/>
        <w:bottom w:val="none" w:sz="0" w:space="0" w:color="auto"/>
        <w:right w:val="none" w:sz="0" w:space="0" w:color="auto"/>
      </w:divBdr>
    </w:div>
    <w:div w:id="1412698118">
      <w:bodyDiv w:val="1"/>
      <w:marLeft w:val="0"/>
      <w:marRight w:val="0"/>
      <w:marTop w:val="0"/>
      <w:marBottom w:val="0"/>
      <w:divBdr>
        <w:top w:val="none" w:sz="0" w:space="0" w:color="auto"/>
        <w:left w:val="none" w:sz="0" w:space="0" w:color="auto"/>
        <w:bottom w:val="none" w:sz="0" w:space="0" w:color="auto"/>
        <w:right w:val="none" w:sz="0" w:space="0" w:color="auto"/>
      </w:divBdr>
    </w:div>
    <w:div w:id="1417747135">
      <w:bodyDiv w:val="1"/>
      <w:marLeft w:val="0"/>
      <w:marRight w:val="0"/>
      <w:marTop w:val="0"/>
      <w:marBottom w:val="0"/>
      <w:divBdr>
        <w:top w:val="none" w:sz="0" w:space="0" w:color="auto"/>
        <w:left w:val="none" w:sz="0" w:space="0" w:color="auto"/>
        <w:bottom w:val="none" w:sz="0" w:space="0" w:color="auto"/>
        <w:right w:val="none" w:sz="0" w:space="0" w:color="auto"/>
      </w:divBdr>
    </w:div>
    <w:div w:id="1427265560">
      <w:bodyDiv w:val="1"/>
      <w:marLeft w:val="0"/>
      <w:marRight w:val="0"/>
      <w:marTop w:val="0"/>
      <w:marBottom w:val="0"/>
      <w:divBdr>
        <w:top w:val="none" w:sz="0" w:space="0" w:color="auto"/>
        <w:left w:val="none" w:sz="0" w:space="0" w:color="auto"/>
        <w:bottom w:val="none" w:sz="0" w:space="0" w:color="auto"/>
        <w:right w:val="none" w:sz="0" w:space="0" w:color="auto"/>
      </w:divBdr>
    </w:div>
    <w:div w:id="1429543292">
      <w:bodyDiv w:val="1"/>
      <w:marLeft w:val="0"/>
      <w:marRight w:val="0"/>
      <w:marTop w:val="0"/>
      <w:marBottom w:val="0"/>
      <w:divBdr>
        <w:top w:val="none" w:sz="0" w:space="0" w:color="auto"/>
        <w:left w:val="none" w:sz="0" w:space="0" w:color="auto"/>
        <w:bottom w:val="none" w:sz="0" w:space="0" w:color="auto"/>
        <w:right w:val="none" w:sz="0" w:space="0" w:color="auto"/>
      </w:divBdr>
    </w:div>
    <w:div w:id="1430345656">
      <w:bodyDiv w:val="1"/>
      <w:marLeft w:val="0"/>
      <w:marRight w:val="0"/>
      <w:marTop w:val="0"/>
      <w:marBottom w:val="0"/>
      <w:divBdr>
        <w:top w:val="none" w:sz="0" w:space="0" w:color="auto"/>
        <w:left w:val="none" w:sz="0" w:space="0" w:color="auto"/>
        <w:bottom w:val="none" w:sz="0" w:space="0" w:color="auto"/>
        <w:right w:val="none" w:sz="0" w:space="0" w:color="auto"/>
      </w:divBdr>
    </w:div>
    <w:div w:id="1431122971">
      <w:bodyDiv w:val="1"/>
      <w:marLeft w:val="0"/>
      <w:marRight w:val="0"/>
      <w:marTop w:val="0"/>
      <w:marBottom w:val="0"/>
      <w:divBdr>
        <w:top w:val="none" w:sz="0" w:space="0" w:color="auto"/>
        <w:left w:val="none" w:sz="0" w:space="0" w:color="auto"/>
        <w:bottom w:val="none" w:sz="0" w:space="0" w:color="auto"/>
        <w:right w:val="none" w:sz="0" w:space="0" w:color="auto"/>
      </w:divBdr>
    </w:div>
    <w:div w:id="1460877082">
      <w:bodyDiv w:val="1"/>
      <w:marLeft w:val="0"/>
      <w:marRight w:val="0"/>
      <w:marTop w:val="0"/>
      <w:marBottom w:val="0"/>
      <w:divBdr>
        <w:top w:val="none" w:sz="0" w:space="0" w:color="auto"/>
        <w:left w:val="none" w:sz="0" w:space="0" w:color="auto"/>
        <w:bottom w:val="none" w:sz="0" w:space="0" w:color="auto"/>
        <w:right w:val="none" w:sz="0" w:space="0" w:color="auto"/>
      </w:divBdr>
    </w:div>
    <w:div w:id="1461067094">
      <w:bodyDiv w:val="1"/>
      <w:marLeft w:val="0"/>
      <w:marRight w:val="0"/>
      <w:marTop w:val="0"/>
      <w:marBottom w:val="0"/>
      <w:divBdr>
        <w:top w:val="none" w:sz="0" w:space="0" w:color="auto"/>
        <w:left w:val="none" w:sz="0" w:space="0" w:color="auto"/>
        <w:bottom w:val="none" w:sz="0" w:space="0" w:color="auto"/>
        <w:right w:val="none" w:sz="0" w:space="0" w:color="auto"/>
      </w:divBdr>
    </w:div>
    <w:div w:id="1463500753">
      <w:bodyDiv w:val="1"/>
      <w:marLeft w:val="0"/>
      <w:marRight w:val="0"/>
      <w:marTop w:val="0"/>
      <w:marBottom w:val="0"/>
      <w:divBdr>
        <w:top w:val="none" w:sz="0" w:space="0" w:color="auto"/>
        <w:left w:val="none" w:sz="0" w:space="0" w:color="auto"/>
        <w:bottom w:val="none" w:sz="0" w:space="0" w:color="auto"/>
        <w:right w:val="none" w:sz="0" w:space="0" w:color="auto"/>
      </w:divBdr>
    </w:div>
    <w:div w:id="1470900621">
      <w:bodyDiv w:val="1"/>
      <w:marLeft w:val="0"/>
      <w:marRight w:val="0"/>
      <w:marTop w:val="0"/>
      <w:marBottom w:val="0"/>
      <w:divBdr>
        <w:top w:val="none" w:sz="0" w:space="0" w:color="auto"/>
        <w:left w:val="none" w:sz="0" w:space="0" w:color="auto"/>
        <w:bottom w:val="none" w:sz="0" w:space="0" w:color="auto"/>
        <w:right w:val="none" w:sz="0" w:space="0" w:color="auto"/>
      </w:divBdr>
    </w:div>
    <w:div w:id="1486240255">
      <w:bodyDiv w:val="1"/>
      <w:marLeft w:val="0"/>
      <w:marRight w:val="0"/>
      <w:marTop w:val="0"/>
      <w:marBottom w:val="0"/>
      <w:divBdr>
        <w:top w:val="none" w:sz="0" w:space="0" w:color="auto"/>
        <w:left w:val="none" w:sz="0" w:space="0" w:color="auto"/>
        <w:bottom w:val="none" w:sz="0" w:space="0" w:color="auto"/>
        <w:right w:val="none" w:sz="0" w:space="0" w:color="auto"/>
      </w:divBdr>
    </w:div>
    <w:div w:id="1496262122">
      <w:bodyDiv w:val="1"/>
      <w:marLeft w:val="0"/>
      <w:marRight w:val="0"/>
      <w:marTop w:val="0"/>
      <w:marBottom w:val="0"/>
      <w:divBdr>
        <w:top w:val="none" w:sz="0" w:space="0" w:color="auto"/>
        <w:left w:val="none" w:sz="0" w:space="0" w:color="auto"/>
        <w:bottom w:val="none" w:sz="0" w:space="0" w:color="auto"/>
        <w:right w:val="none" w:sz="0" w:space="0" w:color="auto"/>
      </w:divBdr>
    </w:div>
    <w:div w:id="1516840044">
      <w:bodyDiv w:val="1"/>
      <w:marLeft w:val="0"/>
      <w:marRight w:val="0"/>
      <w:marTop w:val="0"/>
      <w:marBottom w:val="0"/>
      <w:divBdr>
        <w:top w:val="none" w:sz="0" w:space="0" w:color="auto"/>
        <w:left w:val="none" w:sz="0" w:space="0" w:color="auto"/>
        <w:bottom w:val="none" w:sz="0" w:space="0" w:color="auto"/>
        <w:right w:val="none" w:sz="0" w:space="0" w:color="auto"/>
      </w:divBdr>
    </w:div>
    <w:div w:id="1516847752">
      <w:bodyDiv w:val="1"/>
      <w:marLeft w:val="0"/>
      <w:marRight w:val="0"/>
      <w:marTop w:val="0"/>
      <w:marBottom w:val="0"/>
      <w:divBdr>
        <w:top w:val="none" w:sz="0" w:space="0" w:color="auto"/>
        <w:left w:val="none" w:sz="0" w:space="0" w:color="auto"/>
        <w:bottom w:val="none" w:sz="0" w:space="0" w:color="auto"/>
        <w:right w:val="none" w:sz="0" w:space="0" w:color="auto"/>
      </w:divBdr>
    </w:div>
    <w:div w:id="1520046385">
      <w:bodyDiv w:val="1"/>
      <w:marLeft w:val="0"/>
      <w:marRight w:val="0"/>
      <w:marTop w:val="0"/>
      <w:marBottom w:val="0"/>
      <w:divBdr>
        <w:top w:val="none" w:sz="0" w:space="0" w:color="auto"/>
        <w:left w:val="none" w:sz="0" w:space="0" w:color="auto"/>
        <w:bottom w:val="none" w:sz="0" w:space="0" w:color="auto"/>
        <w:right w:val="none" w:sz="0" w:space="0" w:color="auto"/>
      </w:divBdr>
    </w:div>
    <w:div w:id="1528132963">
      <w:bodyDiv w:val="1"/>
      <w:marLeft w:val="0"/>
      <w:marRight w:val="0"/>
      <w:marTop w:val="0"/>
      <w:marBottom w:val="0"/>
      <w:divBdr>
        <w:top w:val="none" w:sz="0" w:space="0" w:color="auto"/>
        <w:left w:val="none" w:sz="0" w:space="0" w:color="auto"/>
        <w:bottom w:val="none" w:sz="0" w:space="0" w:color="auto"/>
        <w:right w:val="none" w:sz="0" w:space="0" w:color="auto"/>
      </w:divBdr>
    </w:div>
    <w:div w:id="1546866986">
      <w:bodyDiv w:val="1"/>
      <w:marLeft w:val="0"/>
      <w:marRight w:val="0"/>
      <w:marTop w:val="0"/>
      <w:marBottom w:val="0"/>
      <w:divBdr>
        <w:top w:val="none" w:sz="0" w:space="0" w:color="auto"/>
        <w:left w:val="none" w:sz="0" w:space="0" w:color="auto"/>
        <w:bottom w:val="none" w:sz="0" w:space="0" w:color="auto"/>
        <w:right w:val="none" w:sz="0" w:space="0" w:color="auto"/>
      </w:divBdr>
    </w:div>
    <w:div w:id="1554384320">
      <w:bodyDiv w:val="1"/>
      <w:marLeft w:val="0"/>
      <w:marRight w:val="0"/>
      <w:marTop w:val="0"/>
      <w:marBottom w:val="0"/>
      <w:divBdr>
        <w:top w:val="none" w:sz="0" w:space="0" w:color="auto"/>
        <w:left w:val="none" w:sz="0" w:space="0" w:color="auto"/>
        <w:bottom w:val="none" w:sz="0" w:space="0" w:color="auto"/>
        <w:right w:val="none" w:sz="0" w:space="0" w:color="auto"/>
      </w:divBdr>
    </w:div>
    <w:div w:id="1580944926">
      <w:bodyDiv w:val="1"/>
      <w:marLeft w:val="0"/>
      <w:marRight w:val="0"/>
      <w:marTop w:val="0"/>
      <w:marBottom w:val="0"/>
      <w:divBdr>
        <w:top w:val="none" w:sz="0" w:space="0" w:color="auto"/>
        <w:left w:val="none" w:sz="0" w:space="0" w:color="auto"/>
        <w:bottom w:val="none" w:sz="0" w:space="0" w:color="auto"/>
        <w:right w:val="none" w:sz="0" w:space="0" w:color="auto"/>
      </w:divBdr>
    </w:div>
    <w:div w:id="1607421716">
      <w:bodyDiv w:val="1"/>
      <w:marLeft w:val="0"/>
      <w:marRight w:val="0"/>
      <w:marTop w:val="0"/>
      <w:marBottom w:val="0"/>
      <w:divBdr>
        <w:top w:val="none" w:sz="0" w:space="0" w:color="auto"/>
        <w:left w:val="none" w:sz="0" w:space="0" w:color="auto"/>
        <w:bottom w:val="none" w:sz="0" w:space="0" w:color="auto"/>
        <w:right w:val="none" w:sz="0" w:space="0" w:color="auto"/>
      </w:divBdr>
    </w:div>
    <w:div w:id="1611164994">
      <w:bodyDiv w:val="1"/>
      <w:marLeft w:val="0"/>
      <w:marRight w:val="0"/>
      <w:marTop w:val="0"/>
      <w:marBottom w:val="0"/>
      <w:divBdr>
        <w:top w:val="none" w:sz="0" w:space="0" w:color="auto"/>
        <w:left w:val="none" w:sz="0" w:space="0" w:color="auto"/>
        <w:bottom w:val="none" w:sz="0" w:space="0" w:color="auto"/>
        <w:right w:val="none" w:sz="0" w:space="0" w:color="auto"/>
      </w:divBdr>
    </w:div>
    <w:div w:id="1629581658">
      <w:bodyDiv w:val="1"/>
      <w:marLeft w:val="0"/>
      <w:marRight w:val="0"/>
      <w:marTop w:val="0"/>
      <w:marBottom w:val="0"/>
      <w:divBdr>
        <w:top w:val="none" w:sz="0" w:space="0" w:color="auto"/>
        <w:left w:val="none" w:sz="0" w:space="0" w:color="auto"/>
        <w:bottom w:val="none" w:sz="0" w:space="0" w:color="auto"/>
        <w:right w:val="none" w:sz="0" w:space="0" w:color="auto"/>
      </w:divBdr>
    </w:div>
    <w:div w:id="1634556846">
      <w:bodyDiv w:val="1"/>
      <w:marLeft w:val="0"/>
      <w:marRight w:val="0"/>
      <w:marTop w:val="0"/>
      <w:marBottom w:val="0"/>
      <w:divBdr>
        <w:top w:val="none" w:sz="0" w:space="0" w:color="auto"/>
        <w:left w:val="none" w:sz="0" w:space="0" w:color="auto"/>
        <w:bottom w:val="none" w:sz="0" w:space="0" w:color="auto"/>
        <w:right w:val="none" w:sz="0" w:space="0" w:color="auto"/>
      </w:divBdr>
    </w:div>
    <w:div w:id="1635259512">
      <w:bodyDiv w:val="1"/>
      <w:marLeft w:val="0"/>
      <w:marRight w:val="0"/>
      <w:marTop w:val="0"/>
      <w:marBottom w:val="0"/>
      <w:divBdr>
        <w:top w:val="none" w:sz="0" w:space="0" w:color="auto"/>
        <w:left w:val="none" w:sz="0" w:space="0" w:color="auto"/>
        <w:bottom w:val="none" w:sz="0" w:space="0" w:color="auto"/>
        <w:right w:val="none" w:sz="0" w:space="0" w:color="auto"/>
      </w:divBdr>
    </w:div>
    <w:div w:id="1658340322">
      <w:bodyDiv w:val="1"/>
      <w:marLeft w:val="0"/>
      <w:marRight w:val="0"/>
      <w:marTop w:val="0"/>
      <w:marBottom w:val="0"/>
      <w:divBdr>
        <w:top w:val="none" w:sz="0" w:space="0" w:color="auto"/>
        <w:left w:val="none" w:sz="0" w:space="0" w:color="auto"/>
        <w:bottom w:val="none" w:sz="0" w:space="0" w:color="auto"/>
        <w:right w:val="none" w:sz="0" w:space="0" w:color="auto"/>
      </w:divBdr>
    </w:div>
    <w:div w:id="1673412294">
      <w:bodyDiv w:val="1"/>
      <w:marLeft w:val="0"/>
      <w:marRight w:val="0"/>
      <w:marTop w:val="0"/>
      <w:marBottom w:val="0"/>
      <w:divBdr>
        <w:top w:val="none" w:sz="0" w:space="0" w:color="auto"/>
        <w:left w:val="none" w:sz="0" w:space="0" w:color="auto"/>
        <w:bottom w:val="none" w:sz="0" w:space="0" w:color="auto"/>
        <w:right w:val="none" w:sz="0" w:space="0" w:color="auto"/>
      </w:divBdr>
    </w:div>
    <w:div w:id="1673527744">
      <w:bodyDiv w:val="1"/>
      <w:marLeft w:val="0"/>
      <w:marRight w:val="0"/>
      <w:marTop w:val="0"/>
      <w:marBottom w:val="0"/>
      <w:divBdr>
        <w:top w:val="none" w:sz="0" w:space="0" w:color="auto"/>
        <w:left w:val="none" w:sz="0" w:space="0" w:color="auto"/>
        <w:bottom w:val="none" w:sz="0" w:space="0" w:color="auto"/>
        <w:right w:val="none" w:sz="0" w:space="0" w:color="auto"/>
      </w:divBdr>
    </w:div>
    <w:div w:id="1724676570">
      <w:bodyDiv w:val="1"/>
      <w:marLeft w:val="0"/>
      <w:marRight w:val="0"/>
      <w:marTop w:val="0"/>
      <w:marBottom w:val="0"/>
      <w:divBdr>
        <w:top w:val="none" w:sz="0" w:space="0" w:color="auto"/>
        <w:left w:val="none" w:sz="0" w:space="0" w:color="auto"/>
        <w:bottom w:val="none" w:sz="0" w:space="0" w:color="auto"/>
        <w:right w:val="none" w:sz="0" w:space="0" w:color="auto"/>
      </w:divBdr>
    </w:div>
    <w:div w:id="1736586910">
      <w:bodyDiv w:val="1"/>
      <w:marLeft w:val="0"/>
      <w:marRight w:val="0"/>
      <w:marTop w:val="0"/>
      <w:marBottom w:val="0"/>
      <w:divBdr>
        <w:top w:val="none" w:sz="0" w:space="0" w:color="auto"/>
        <w:left w:val="none" w:sz="0" w:space="0" w:color="auto"/>
        <w:bottom w:val="none" w:sz="0" w:space="0" w:color="auto"/>
        <w:right w:val="none" w:sz="0" w:space="0" w:color="auto"/>
      </w:divBdr>
    </w:div>
    <w:div w:id="1741559550">
      <w:bodyDiv w:val="1"/>
      <w:marLeft w:val="0"/>
      <w:marRight w:val="0"/>
      <w:marTop w:val="0"/>
      <w:marBottom w:val="0"/>
      <w:divBdr>
        <w:top w:val="none" w:sz="0" w:space="0" w:color="auto"/>
        <w:left w:val="none" w:sz="0" w:space="0" w:color="auto"/>
        <w:bottom w:val="none" w:sz="0" w:space="0" w:color="auto"/>
        <w:right w:val="none" w:sz="0" w:space="0" w:color="auto"/>
      </w:divBdr>
    </w:div>
    <w:div w:id="1743016387">
      <w:bodyDiv w:val="1"/>
      <w:marLeft w:val="0"/>
      <w:marRight w:val="0"/>
      <w:marTop w:val="0"/>
      <w:marBottom w:val="0"/>
      <w:divBdr>
        <w:top w:val="none" w:sz="0" w:space="0" w:color="auto"/>
        <w:left w:val="none" w:sz="0" w:space="0" w:color="auto"/>
        <w:bottom w:val="none" w:sz="0" w:space="0" w:color="auto"/>
        <w:right w:val="none" w:sz="0" w:space="0" w:color="auto"/>
      </w:divBdr>
    </w:div>
    <w:div w:id="1751612669">
      <w:bodyDiv w:val="1"/>
      <w:marLeft w:val="0"/>
      <w:marRight w:val="0"/>
      <w:marTop w:val="0"/>
      <w:marBottom w:val="0"/>
      <w:divBdr>
        <w:top w:val="none" w:sz="0" w:space="0" w:color="auto"/>
        <w:left w:val="none" w:sz="0" w:space="0" w:color="auto"/>
        <w:bottom w:val="none" w:sz="0" w:space="0" w:color="auto"/>
        <w:right w:val="none" w:sz="0" w:space="0" w:color="auto"/>
      </w:divBdr>
    </w:div>
    <w:div w:id="1763069114">
      <w:bodyDiv w:val="1"/>
      <w:marLeft w:val="0"/>
      <w:marRight w:val="0"/>
      <w:marTop w:val="0"/>
      <w:marBottom w:val="0"/>
      <w:divBdr>
        <w:top w:val="none" w:sz="0" w:space="0" w:color="auto"/>
        <w:left w:val="none" w:sz="0" w:space="0" w:color="auto"/>
        <w:bottom w:val="none" w:sz="0" w:space="0" w:color="auto"/>
        <w:right w:val="none" w:sz="0" w:space="0" w:color="auto"/>
      </w:divBdr>
    </w:div>
    <w:div w:id="1772583196">
      <w:bodyDiv w:val="1"/>
      <w:marLeft w:val="0"/>
      <w:marRight w:val="0"/>
      <w:marTop w:val="0"/>
      <w:marBottom w:val="0"/>
      <w:divBdr>
        <w:top w:val="none" w:sz="0" w:space="0" w:color="auto"/>
        <w:left w:val="none" w:sz="0" w:space="0" w:color="auto"/>
        <w:bottom w:val="none" w:sz="0" w:space="0" w:color="auto"/>
        <w:right w:val="none" w:sz="0" w:space="0" w:color="auto"/>
      </w:divBdr>
    </w:div>
    <w:div w:id="1788888705">
      <w:bodyDiv w:val="1"/>
      <w:marLeft w:val="0"/>
      <w:marRight w:val="0"/>
      <w:marTop w:val="0"/>
      <w:marBottom w:val="0"/>
      <w:divBdr>
        <w:top w:val="none" w:sz="0" w:space="0" w:color="auto"/>
        <w:left w:val="none" w:sz="0" w:space="0" w:color="auto"/>
        <w:bottom w:val="none" w:sz="0" w:space="0" w:color="auto"/>
        <w:right w:val="none" w:sz="0" w:space="0" w:color="auto"/>
      </w:divBdr>
    </w:div>
    <w:div w:id="1790010902">
      <w:bodyDiv w:val="1"/>
      <w:marLeft w:val="0"/>
      <w:marRight w:val="0"/>
      <w:marTop w:val="0"/>
      <w:marBottom w:val="0"/>
      <w:divBdr>
        <w:top w:val="none" w:sz="0" w:space="0" w:color="auto"/>
        <w:left w:val="none" w:sz="0" w:space="0" w:color="auto"/>
        <w:bottom w:val="none" w:sz="0" w:space="0" w:color="auto"/>
        <w:right w:val="none" w:sz="0" w:space="0" w:color="auto"/>
      </w:divBdr>
    </w:div>
    <w:div w:id="1821726799">
      <w:bodyDiv w:val="1"/>
      <w:marLeft w:val="0"/>
      <w:marRight w:val="0"/>
      <w:marTop w:val="0"/>
      <w:marBottom w:val="0"/>
      <w:divBdr>
        <w:top w:val="none" w:sz="0" w:space="0" w:color="auto"/>
        <w:left w:val="none" w:sz="0" w:space="0" w:color="auto"/>
        <w:bottom w:val="none" w:sz="0" w:space="0" w:color="auto"/>
        <w:right w:val="none" w:sz="0" w:space="0" w:color="auto"/>
      </w:divBdr>
    </w:div>
    <w:div w:id="1839269680">
      <w:bodyDiv w:val="1"/>
      <w:marLeft w:val="0"/>
      <w:marRight w:val="0"/>
      <w:marTop w:val="0"/>
      <w:marBottom w:val="0"/>
      <w:divBdr>
        <w:top w:val="none" w:sz="0" w:space="0" w:color="auto"/>
        <w:left w:val="none" w:sz="0" w:space="0" w:color="auto"/>
        <w:bottom w:val="none" w:sz="0" w:space="0" w:color="auto"/>
        <w:right w:val="none" w:sz="0" w:space="0" w:color="auto"/>
      </w:divBdr>
    </w:div>
    <w:div w:id="1842230373">
      <w:bodyDiv w:val="1"/>
      <w:marLeft w:val="0"/>
      <w:marRight w:val="0"/>
      <w:marTop w:val="0"/>
      <w:marBottom w:val="0"/>
      <w:divBdr>
        <w:top w:val="none" w:sz="0" w:space="0" w:color="auto"/>
        <w:left w:val="none" w:sz="0" w:space="0" w:color="auto"/>
        <w:bottom w:val="none" w:sz="0" w:space="0" w:color="auto"/>
        <w:right w:val="none" w:sz="0" w:space="0" w:color="auto"/>
      </w:divBdr>
    </w:div>
    <w:div w:id="1843349945">
      <w:bodyDiv w:val="1"/>
      <w:marLeft w:val="0"/>
      <w:marRight w:val="0"/>
      <w:marTop w:val="0"/>
      <w:marBottom w:val="0"/>
      <w:divBdr>
        <w:top w:val="none" w:sz="0" w:space="0" w:color="auto"/>
        <w:left w:val="none" w:sz="0" w:space="0" w:color="auto"/>
        <w:bottom w:val="none" w:sz="0" w:space="0" w:color="auto"/>
        <w:right w:val="none" w:sz="0" w:space="0" w:color="auto"/>
      </w:divBdr>
    </w:div>
    <w:div w:id="1848323053">
      <w:bodyDiv w:val="1"/>
      <w:marLeft w:val="0"/>
      <w:marRight w:val="0"/>
      <w:marTop w:val="0"/>
      <w:marBottom w:val="0"/>
      <w:divBdr>
        <w:top w:val="none" w:sz="0" w:space="0" w:color="auto"/>
        <w:left w:val="none" w:sz="0" w:space="0" w:color="auto"/>
        <w:bottom w:val="none" w:sz="0" w:space="0" w:color="auto"/>
        <w:right w:val="none" w:sz="0" w:space="0" w:color="auto"/>
      </w:divBdr>
    </w:div>
    <w:div w:id="1856188055">
      <w:bodyDiv w:val="1"/>
      <w:marLeft w:val="0"/>
      <w:marRight w:val="0"/>
      <w:marTop w:val="0"/>
      <w:marBottom w:val="0"/>
      <w:divBdr>
        <w:top w:val="none" w:sz="0" w:space="0" w:color="auto"/>
        <w:left w:val="none" w:sz="0" w:space="0" w:color="auto"/>
        <w:bottom w:val="none" w:sz="0" w:space="0" w:color="auto"/>
        <w:right w:val="none" w:sz="0" w:space="0" w:color="auto"/>
      </w:divBdr>
    </w:div>
    <w:div w:id="1860392021">
      <w:bodyDiv w:val="1"/>
      <w:marLeft w:val="0"/>
      <w:marRight w:val="0"/>
      <w:marTop w:val="0"/>
      <w:marBottom w:val="0"/>
      <w:divBdr>
        <w:top w:val="none" w:sz="0" w:space="0" w:color="auto"/>
        <w:left w:val="none" w:sz="0" w:space="0" w:color="auto"/>
        <w:bottom w:val="none" w:sz="0" w:space="0" w:color="auto"/>
        <w:right w:val="none" w:sz="0" w:space="0" w:color="auto"/>
      </w:divBdr>
    </w:div>
    <w:div w:id="1877890377">
      <w:bodyDiv w:val="1"/>
      <w:marLeft w:val="0"/>
      <w:marRight w:val="0"/>
      <w:marTop w:val="0"/>
      <w:marBottom w:val="0"/>
      <w:divBdr>
        <w:top w:val="none" w:sz="0" w:space="0" w:color="auto"/>
        <w:left w:val="none" w:sz="0" w:space="0" w:color="auto"/>
        <w:bottom w:val="none" w:sz="0" w:space="0" w:color="auto"/>
        <w:right w:val="none" w:sz="0" w:space="0" w:color="auto"/>
      </w:divBdr>
    </w:div>
    <w:div w:id="1878927788">
      <w:bodyDiv w:val="1"/>
      <w:marLeft w:val="0"/>
      <w:marRight w:val="0"/>
      <w:marTop w:val="0"/>
      <w:marBottom w:val="0"/>
      <w:divBdr>
        <w:top w:val="none" w:sz="0" w:space="0" w:color="auto"/>
        <w:left w:val="none" w:sz="0" w:space="0" w:color="auto"/>
        <w:bottom w:val="none" w:sz="0" w:space="0" w:color="auto"/>
        <w:right w:val="none" w:sz="0" w:space="0" w:color="auto"/>
      </w:divBdr>
    </w:div>
    <w:div w:id="1883207478">
      <w:bodyDiv w:val="1"/>
      <w:marLeft w:val="0"/>
      <w:marRight w:val="0"/>
      <w:marTop w:val="0"/>
      <w:marBottom w:val="0"/>
      <w:divBdr>
        <w:top w:val="none" w:sz="0" w:space="0" w:color="auto"/>
        <w:left w:val="none" w:sz="0" w:space="0" w:color="auto"/>
        <w:bottom w:val="none" w:sz="0" w:space="0" w:color="auto"/>
        <w:right w:val="none" w:sz="0" w:space="0" w:color="auto"/>
      </w:divBdr>
    </w:div>
    <w:div w:id="1891069062">
      <w:bodyDiv w:val="1"/>
      <w:marLeft w:val="0"/>
      <w:marRight w:val="0"/>
      <w:marTop w:val="0"/>
      <w:marBottom w:val="0"/>
      <w:divBdr>
        <w:top w:val="none" w:sz="0" w:space="0" w:color="auto"/>
        <w:left w:val="none" w:sz="0" w:space="0" w:color="auto"/>
        <w:bottom w:val="none" w:sz="0" w:space="0" w:color="auto"/>
        <w:right w:val="none" w:sz="0" w:space="0" w:color="auto"/>
      </w:divBdr>
    </w:div>
    <w:div w:id="1911379778">
      <w:bodyDiv w:val="1"/>
      <w:marLeft w:val="0"/>
      <w:marRight w:val="0"/>
      <w:marTop w:val="0"/>
      <w:marBottom w:val="0"/>
      <w:divBdr>
        <w:top w:val="none" w:sz="0" w:space="0" w:color="auto"/>
        <w:left w:val="none" w:sz="0" w:space="0" w:color="auto"/>
        <w:bottom w:val="none" w:sz="0" w:space="0" w:color="auto"/>
        <w:right w:val="none" w:sz="0" w:space="0" w:color="auto"/>
      </w:divBdr>
    </w:div>
    <w:div w:id="1913196784">
      <w:bodyDiv w:val="1"/>
      <w:marLeft w:val="0"/>
      <w:marRight w:val="0"/>
      <w:marTop w:val="0"/>
      <w:marBottom w:val="0"/>
      <w:divBdr>
        <w:top w:val="none" w:sz="0" w:space="0" w:color="auto"/>
        <w:left w:val="none" w:sz="0" w:space="0" w:color="auto"/>
        <w:bottom w:val="none" w:sz="0" w:space="0" w:color="auto"/>
        <w:right w:val="none" w:sz="0" w:space="0" w:color="auto"/>
      </w:divBdr>
    </w:div>
    <w:div w:id="1924028836">
      <w:bodyDiv w:val="1"/>
      <w:marLeft w:val="0"/>
      <w:marRight w:val="0"/>
      <w:marTop w:val="0"/>
      <w:marBottom w:val="0"/>
      <w:divBdr>
        <w:top w:val="none" w:sz="0" w:space="0" w:color="auto"/>
        <w:left w:val="none" w:sz="0" w:space="0" w:color="auto"/>
        <w:bottom w:val="none" w:sz="0" w:space="0" w:color="auto"/>
        <w:right w:val="none" w:sz="0" w:space="0" w:color="auto"/>
      </w:divBdr>
    </w:div>
    <w:div w:id="1929844260">
      <w:bodyDiv w:val="1"/>
      <w:marLeft w:val="0"/>
      <w:marRight w:val="0"/>
      <w:marTop w:val="0"/>
      <w:marBottom w:val="0"/>
      <w:divBdr>
        <w:top w:val="none" w:sz="0" w:space="0" w:color="auto"/>
        <w:left w:val="none" w:sz="0" w:space="0" w:color="auto"/>
        <w:bottom w:val="none" w:sz="0" w:space="0" w:color="auto"/>
        <w:right w:val="none" w:sz="0" w:space="0" w:color="auto"/>
      </w:divBdr>
    </w:div>
    <w:div w:id="1941714264">
      <w:bodyDiv w:val="1"/>
      <w:marLeft w:val="0"/>
      <w:marRight w:val="0"/>
      <w:marTop w:val="0"/>
      <w:marBottom w:val="0"/>
      <w:divBdr>
        <w:top w:val="none" w:sz="0" w:space="0" w:color="auto"/>
        <w:left w:val="none" w:sz="0" w:space="0" w:color="auto"/>
        <w:bottom w:val="none" w:sz="0" w:space="0" w:color="auto"/>
        <w:right w:val="none" w:sz="0" w:space="0" w:color="auto"/>
      </w:divBdr>
    </w:div>
    <w:div w:id="1948732072">
      <w:bodyDiv w:val="1"/>
      <w:marLeft w:val="0"/>
      <w:marRight w:val="0"/>
      <w:marTop w:val="0"/>
      <w:marBottom w:val="0"/>
      <w:divBdr>
        <w:top w:val="none" w:sz="0" w:space="0" w:color="auto"/>
        <w:left w:val="none" w:sz="0" w:space="0" w:color="auto"/>
        <w:bottom w:val="none" w:sz="0" w:space="0" w:color="auto"/>
        <w:right w:val="none" w:sz="0" w:space="0" w:color="auto"/>
      </w:divBdr>
    </w:div>
    <w:div w:id="1951932857">
      <w:bodyDiv w:val="1"/>
      <w:marLeft w:val="0"/>
      <w:marRight w:val="0"/>
      <w:marTop w:val="0"/>
      <w:marBottom w:val="0"/>
      <w:divBdr>
        <w:top w:val="none" w:sz="0" w:space="0" w:color="auto"/>
        <w:left w:val="none" w:sz="0" w:space="0" w:color="auto"/>
        <w:bottom w:val="none" w:sz="0" w:space="0" w:color="auto"/>
        <w:right w:val="none" w:sz="0" w:space="0" w:color="auto"/>
      </w:divBdr>
    </w:div>
    <w:div w:id="1958023437">
      <w:bodyDiv w:val="1"/>
      <w:marLeft w:val="0"/>
      <w:marRight w:val="0"/>
      <w:marTop w:val="0"/>
      <w:marBottom w:val="0"/>
      <w:divBdr>
        <w:top w:val="none" w:sz="0" w:space="0" w:color="auto"/>
        <w:left w:val="none" w:sz="0" w:space="0" w:color="auto"/>
        <w:bottom w:val="none" w:sz="0" w:space="0" w:color="auto"/>
        <w:right w:val="none" w:sz="0" w:space="0" w:color="auto"/>
      </w:divBdr>
    </w:div>
    <w:div w:id="1972009874">
      <w:bodyDiv w:val="1"/>
      <w:marLeft w:val="0"/>
      <w:marRight w:val="0"/>
      <w:marTop w:val="0"/>
      <w:marBottom w:val="0"/>
      <w:divBdr>
        <w:top w:val="none" w:sz="0" w:space="0" w:color="auto"/>
        <w:left w:val="none" w:sz="0" w:space="0" w:color="auto"/>
        <w:bottom w:val="none" w:sz="0" w:space="0" w:color="auto"/>
        <w:right w:val="none" w:sz="0" w:space="0" w:color="auto"/>
      </w:divBdr>
    </w:div>
    <w:div w:id="1979873229">
      <w:bodyDiv w:val="1"/>
      <w:marLeft w:val="0"/>
      <w:marRight w:val="0"/>
      <w:marTop w:val="0"/>
      <w:marBottom w:val="0"/>
      <w:divBdr>
        <w:top w:val="none" w:sz="0" w:space="0" w:color="auto"/>
        <w:left w:val="none" w:sz="0" w:space="0" w:color="auto"/>
        <w:bottom w:val="none" w:sz="0" w:space="0" w:color="auto"/>
        <w:right w:val="none" w:sz="0" w:space="0" w:color="auto"/>
      </w:divBdr>
    </w:div>
    <w:div w:id="1979990981">
      <w:bodyDiv w:val="1"/>
      <w:marLeft w:val="0"/>
      <w:marRight w:val="0"/>
      <w:marTop w:val="0"/>
      <w:marBottom w:val="0"/>
      <w:divBdr>
        <w:top w:val="none" w:sz="0" w:space="0" w:color="auto"/>
        <w:left w:val="none" w:sz="0" w:space="0" w:color="auto"/>
        <w:bottom w:val="none" w:sz="0" w:space="0" w:color="auto"/>
        <w:right w:val="none" w:sz="0" w:space="0" w:color="auto"/>
      </w:divBdr>
    </w:div>
    <w:div w:id="1986466751">
      <w:bodyDiv w:val="1"/>
      <w:marLeft w:val="0"/>
      <w:marRight w:val="0"/>
      <w:marTop w:val="0"/>
      <w:marBottom w:val="0"/>
      <w:divBdr>
        <w:top w:val="none" w:sz="0" w:space="0" w:color="auto"/>
        <w:left w:val="none" w:sz="0" w:space="0" w:color="auto"/>
        <w:bottom w:val="none" w:sz="0" w:space="0" w:color="auto"/>
        <w:right w:val="none" w:sz="0" w:space="0" w:color="auto"/>
      </w:divBdr>
    </w:div>
    <w:div w:id="2018457423">
      <w:bodyDiv w:val="1"/>
      <w:marLeft w:val="0"/>
      <w:marRight w:val="0"/>
      <w:marTop w:val="0"/>
      <w:marBottom w:val="0"/>
      <w:divBdr>
        <w:top w:val="none" w:sz="0" w:space="0" w:color="auto"/>
        <w:left w:val="none" w:sz="0" w:space="0" w:color="auto"/>
        <w:bottom w:val="none" w:sz="0" w:space="0" w:color="auto"/>
        <w:right w:val="none" w:sz="0" w:space="0" w:color="auto"/>
      </w:divBdr>
    </w:div>
    <w:div w:id="2024671209">
      <w:bodyDiv w:val="1"/>
      <w:marLeft w:val="0"/>
      <w:marRight w:val="0"/>
      <w:marTop w:val="0"/>
      <w:marBottom w:val="0"/>
      <w:divBdr>
        <w:top w:val="none" w:sz="0" w:space="0" w:color="auto"/>
        <w:left w:val="none" w:sz="0" w:space="0" w:color="auto"/>
        <w:bottom w:val="none" w:sz="0" w:space="0" w:color="auto"/>
        <w:right w:val="none" w:sz="0" w:space="0" w:color="auto"/>
      </w:divBdr>
    </w:div>
    <w:div w:id="2026588105">
      <w:bodyDiv w:val="1"/>
      <w:marLeft w:val="0"/>
      <w:marRight w:val="0"/>
      <w:marTop w:val="0"/>
      <w:marBottom w:val="0"/>
      <w:divBdr>
        <w:top w:val="none" w:sz="0" w:space="0" w:color="auto"/>
        <w:left w:val="none" w:sz="0" w:space="0" w:color="auto"/>
        <w:bottom w:val="none" w:sz="0" w:space="0" w:color="auto"/>
        <w:right w:val="none" w:sz="0" w:space="0" w:color="auto"/>
      </w:divBdr>
    </w:div>
    <w:div w:id="2030792679">
      <w:bodyDiv w:val="1"/>
      <w:marLeft w:val="0"/>
      <w:marRight w:val="0"/>
      <w:marTop w:val="0"/>
      <w:marBottom w:val="0"/>
      <w:divBdr>
        <w:top w:val="none" w:sz="0" w:space="0" w:color="auto"/>
        <w:left w:val="none" w:sz="0" w:space="0" w:color="auto"/>
        <w:bottom w:val="none" w:sz="0" w:space="0" w:color="auto"/>
        <w:right w:val="none" w:sz="0" w:space="0" w:color="auto"/>
      </w:divBdr>
    </w:div>
    <w:div w:id="2033068880">
      <w:bodyDiv w:val="1"/>
      <w:marLeft w:val="0"/>
      <w:marRight w:val="0"/>
      <w:marTop w:val="0"/>
      <w:marBottom w:val="0"/>
      <w:divBdr>
        <w:top w:val="none" w:sz="0" w:space="0" w:color="auto"/>
        <w:left w:val="none" w:sz="0" w:space="0" w:color="auto"/>
        <w:bottom w:val="none" w:sz="0" w:space="0" w:color="auto"/>
        <w:right w:val="none" w:sz="0" w:space="0" w:color="auto"/>
      </w:divBdr>
    </w:div>
    <w:div w:id="2042247743">
      <w:bodyDiv w:val="1"/>
      <w:marLeft w:val="0"/>
      <w:marRight w:val="0"/>
      <w:marTop w:val="0"/>
      <w:marBottom w:val="0"/>
      <w:divBdr>
        <w:top w:val="none" w:sz="0" w:space="0" w:color="auto"/>
        <w:left w:val="none" w:sz="0" w:space="0" w:color="auto"/>
        <w:bottom w:val="none" w:sz="0" w:space="0" w:color="auto"/>
        <w:right w:val="none" w:sz="0" w:space="0" w:color="auto"/>
      </w:divBdr>
    </w:div>
    <w:div w:id="2083520992">
      <w:bodyDiv w:val="1"/>
      <w:marLeft w:val="0"/>
      <w:marRight w:val="0"/>
      <w:marTop w:val="0"/>
      <w:marBottom w:val="0"/>
      <w:divBdr>
        <w:top w:val="none" w:sz="0" w:space="0" w:color="auto"/>
        <w:left w:val="none" w:sz="0" w:space="0" w:color="auto"/>
        <w:bottom w:val="none" w:sz="0" w:space="0" w:color="auto"/>
        <w:right w:val="none" w:sz="0" w:space="0" w:color="auto"/>
      </w:divBdr>
    </w:div>
    <w:div w:id="2087145448">
      <w:bodyDiv w:val="1"/>
      <w:marLeft w:val="0"/>
      <w:marRight w:val="0"/>
      <w:marTop w:val="0"/>
      <w:marBottom w:val="0"/>
      <w:divBdr>
        <w:top w:val="none" w:sz="0" w:space="0" w:color="auto"/>
        <w:left w:val="none" w:sz="0" w:space="0" w:color="auto"/>
        <w:bottom w:val="none" w:sz="0" w:space="0" w:color="auto"/>
        <w:right w:val="none" w:sz="0" w:space="0" w:color="auto"/>
      </w:divBdr>
    </w:div>
    <w:div w:id="2101102035">
      <w:bodyDiv w:val="1"/>
      <w:marLeft w:val="0"/>
      <w:marRight w:val="0"/>
      <w:marTop w:val="0"/>
      <w:marBottom w:val="0"/>
      <w:divBdr>
        <w:top w:val="none" w:sz="0" w:space="0" w:color="auto"/>
        <w:left w:val="none" w:sz="0" w:space="0" w:color="auto"/>
        <w:bottom w:val="none" w:sz="0" w:space="0" w:color="auto"/>
        <w:right w:val="none" w:sz="0" w:space="0" w:color="auto"/>
      </w:divBdr>
    </w:div>
    <w:div w:id="2124298320">
      <w:bodyDiv w:val="1"/>
      <w:marLeft w:val="0"/>
      <w:marRight w:val="0"/>
      <w:marTop w:val="0"/>
      <w:marBottom w:val="0"/>
      <w:divBdr>
        <w:top w:val="none" w:sz="0" w:space="0" w:color="auto"/>
        <w:left w:val="none" w:sz="0" w:space="0" w:color="auto"/>
        <w:bottom w:val="none" w:sz="0" w:space="0" w:color="auto"/>
        <w:right w:val="none" w:sz="0" w:space="0" w:color="auto"/>
      </w:divBdr>
    </w:div>
    <w:div w:id="2127695609">
      <w:bodyDiv w:val="1"/>
      <w:marLeft w:val="0"/>
      <w:marRight w:val="0"/>
      <w:marTop w:val="0"/>
      <w:marBottom w:val="0"/>
      <w:divBdr>
        <w:top w:val="none" w:sz="0" w:space="0" w:color="auto"/>
        <w:left w:val="none" w:sz="0" w:space="0" w:color="auto"/>
        <w:bottom w:val="none" w:sz="0" w:space="0" w:color="auto"/>
        <w:right w:val="none" w:sz="0" w:space="0" w:color="auto"/>
      </w:divBdr>
    </w:div>
    <w:div w:id="2135319064">
      <w:bodyDiv w:val="1"/>
      <w:marLeft w:val="0"/>
      <w:marRight w:val="0"/>
      <w:marTop w:val="0"/>
      <w:marBottom w:val="0"/>
      <w:divBdr>
        <w:top w:val="none" w:sz="0" w:space="0" w:color="auto"/>
        <w:left w:val="none" w:sz="0" w:space="0" w:color="auto"/>
        <w:bottom w:val="none" w:sz="0" w:space="0" w:color="auto"/>
        <w:right w:val="none" w:sz="0" w:space="0" w:color="auto"/>
      </w:divBdr>
    </w:div>
    <w:div w:id="2144694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chart" Target="charts/chart3.xml"/><Relationship Id="rId26" Type="http://schemas.openxmlformats.org/officeDocument/2006/relationships/chart" Target="charts/chart11.xml"/><Relationship Id="rId3" Type="http://schemas.openxmlformats.org/officeDocument/2006/relationships/styles" Target="styles.xml"/><Relationship Id="rId21" Type="http://schemas.openxmlformats.org/officeDocument/2006/relationships/chart" Target="charts/chart6.xml"/><Relationship Id="rId34" Type="http://schemas.openxmlformats.org/officeDocument/2006/relationships/footer" Target="footer5.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chart" Target="charts/chart2.xml"/><Relationship Id="rId25" Type="http://schemas.openxmlformats.org/officeDocument/2006/relationships/chart" Target="charts/chart10.xml"/><Relationship Id="rId33"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chart" Target="charts/chart5.xml"/><Relationship Id="rId29" Type="http://schemas.openxmlformats.org/officeDocument/2006/relationships/chart" Target="charts/chart1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chart" Target="charts/chart9.xml"/><Relationship Id="rId32" Type="http://schemas.openxmlformats.org/officeDocument/2006/relationships/footer" Target="footer4.xm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3.emf"/><Relationship Id="rId23" Type="http://schemas.openxmlformats.org/officeDocument/2006/relationships/chart" Target="charts/chart8.xml"/><Relationship Id="rId28" Type="http://schemas.openxmlformats.org/officeDocument/2006/relationships/chart" Target="charts/chart13.xml"/><Relationship Id="rId36" Type="http://schemas.openxmlformats.org/officeDocument/2006/relationships/glossaryDocument" Target="glossary/document.xml"/><Relationship Id="rId10" Type="http://schemas.openxmlformats.org/officeDocument/2006/relationships/footer" Target="footer1.xml"/><Relationship Id="rId19" Type="http://schemas.openxmlformats.org/officeDocument/2006/relationships/chart" Target="charts/chart4.xml"/><Relationship Id="rId31" Type="http://schemas.openxmlformats.org/officeDocument/2006/relationships/chart" Target="charts/chart16.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2.emf"/><Relationship Id="rId22" Type="http://schemas.openxmlformats.org/officeDocument/2006/relationships/chart" Target="charts/chart7.xml"/><Relationship Id="rId27" Type="http://schemas.openxmlformats.org/officeDocument/2006/relationships/chart" Target="charts/chart12.xml"/><Relationship Id="rId30" Type="http://schemas.openxmlformats.org/officeDocument/2006/relationships/chart" Target="charts/chart15.xml"/><Relationship Id="rId35"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oleObject" Target="file:///\\7A5B1SRVFIL0001\Work_Finance\mgt%20accts\19-20%20Management%20Accounts\Financial%20Plan\Month%20End\Month%2011\MMR%20ACJ%20M11%20FINAL.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7A5B1SRVFIL0001\Work_Finance\mgt%20accts\19-20%20Management%20Accounts\Financial%20Plan\Month%20End\Month%2011\MMR%20ACJ%20M11%20FINAL.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7A5B1SRVFIL0001\Work_Finance\mgt%20accts\19-20%20Management%20Accounts\Financial%20Plan\Month%20End\Month%2011\MMR%20ACJ%20M11%20FINAL.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7A5B1SRVFIL0001\Work_Finance\mgt%20accts\19-20%20Management%20Accounts\Financial%20Plan\Month%20End\Month%2010\MMR%20ACJ%20M10%20DRAFT.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7A5B1SRVFIL0001\Work_Finance\mgt%20accts\19-20%20Management%20Accounts\Financial%20Plan\Month%20End\Month%2010\MMR%20ACJ%20M10%20DRAFT.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7A5B1SRVFIL0001\Work_Finance\mgt%20accts\19-20%20Management%20Accounts\Financial%20Plan\Month%20End\Month%2011\MMR%20ACJ%20M11%20FINAL.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1" Type="http://schemas.openxmlformats.org/officeDocument/2006/relationships/oleObject" Target="file:///\\7A5B1SRVFIL0001\Work_Finance\Financial%20Accounts\Monitoring%20Returns%202019-20\Working%20papers\Month%2011\Copy%20of%20Financial%20Accounts%20Tables%20for%20Finance%20Report%20M11%202019-20.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7A5B1SRVFIL0001\Work_Finance\Financial%20Accounts\Monitoring%20Returns%202019-20\Working%20papers\Month%2011\Copy%20of%20Financial%20Accounts%20Tables%20for%20Finance%20Report%20M11%202019-20.xlsx" TargetMode="External"/></Relationships>
</file>

<file path=word/charts/_rels/chart2.xml.rels><?xml version="1.0" encoding="UTF-8" standalone="yes"?>
<Relationships xmlns="http://schemas.openxmlformats.org/package/2006/relationships"><Relationship Id="rId3" Type="http://schemas.openxmlformats.org/officeDocument/2006/relationships/oleObject" Target="file:///\\7A5B1SRVFIL0001\Work_Finance\mgt%20accts\19-20%20Management%20Accounts\Financial%20Plan\Month%20End\Month%2011\MMR%20ACJ%20M11%20FINAL.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7A5B1SRVFIL0001\Work_Finance\mgt%20accts\19-20%20Management%20Accounts\Financial%20Plan\Month%20End\Month%2011\MMR%20ACJ%20M11%20FINAL.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7A5B1SRVFIL0001\Work_Finance\mgt%20accts\19-20%20Management%20Accounts\Financial%20Plan\Month%20End\Month%2011\MMR%20ACJ%20M11%20FINAL.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7A5B1SRVFIL0001\Work_Finance\mgt%20accts\19-20%20Management%20Accounts\Financial%20Plan\Month%20End\Month%2011\MMR%20ACJ%20M11%20FINAL.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7A5B1SRVFIL0001\Work_Finance\mgt%20accts\19-20%20Management%20Accounts\Financial%20Plan\Month%20End\Month%2011\MMR%20ACJ%20M11%20FINAL.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7A5B1SRVFIL0001\Work_Finance\mgt%20accts\19-20%20Management%20Accounts\Financial%20Plan\Month%20End\Month%2011\MMR%20ACJ%20M11%20FINAL.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7A5B1SRVFIL0001\Work_Finance\mgt%20accts\19-20%20Management%20Accounts\Financial%20Plan\Month%20End\Month%2011\MMR%20ACJ%20M11%20FINAL.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7A5B1SRVFIL0001\Work_Finance\mgt%20accts\19-20%20Management%20Accounts\Financial%20Plan\Month%20End\Month%2011\MMR%20ACJ%20M11%20FINAL.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Total Pay Expenditure</a:t>
            </a:r>
            <a:r>
              <a:rPr lang="en-GB" baseline="0"/>
              <a:t> £'000</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'3.4a Chart'!$L$2</c:f>
              <c:strCache>
                <c:ptCount val="1"/>
                <c:pt idx="0">
                  <c:v>Plan</c:v>
                </c:pt>
              </c:strCache>
            </c:strRef>
          </c:tx>
          <c:spPr>
            <a:solidFill>
              <a:schemeClr val="accent1"/>
            </a:solidFill>
            <a:ln>
              <a:noFill/>
            </a:ln>
            <a:effectLst/>
          </c:spPr>
          <c:invertIfNegative val="0"/>
          <c:cat>
            <c:strRef>
              <c:f>'3.4a Chart'!$K$3:$K$14</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'3.4a Chart'!$L$3:$L$14</c:f>
              <c:numCache>
                <c:formatCode>_-* #,##0_-;\-* #,##0_-;_-* "-"??_-;_-@_-</c:formatCode>
                <c:ptCount val="12"/>
                <c:pt idx="0">
                  <c:v>43475.003229999995</c:v>
                </c:pt>
                <c:pt idx="1">
                  <c:v>42237.868470000009</c:v>
                </c:pt>
                <c:pt idx="2">
                  <c:v>42108.052129999996</c:v>
                </c:pt>
                <c:pt idx="3">
                  <c:v>42714.038529999998</c:v>
                </c:pt>
                <c:pt idx="4">
                  <c:v>43044.20953</c:v>
                </c:pt>
                <c:pt idx="5">
                  <c:v>42929.404480000005</c:v>
                </c:pt>
                <c:pt idx="6">
                  <c:v>44622.781690000003</c:v>
                </c:pt>
                <c:pt idx="7">
                  <c:v>44456.72464</c:v>
                </c:pt>
                <c:pt idx="8">
                  <c:v>44254.743280000002</c:v>
                </c:pt>
                <c:pt idx="9">
                  <c:v>44121.777780000004</c:v>
                </c:pt>
                <c:pt idx="10">
                  <c:v>44035.625780000002</c:v>
                </c:pt>
                <c:pt idx="11">
                  <c:v>44736.340790000009</c:v>
                </c:pt>
              </c:numCache>
            </c:numRef>
          </c:val>
        </c:ser>
        <c:ser>
          <c:idx val="1"/>
          <c:order val="1"/>
          <c:tx>
            <c:strRef>
              <c:f>'3.4a Chart'!$M$2</c:f>
              <c:strCache>
                <c:ptCount val="1"/>
                <c:pt idx="0">
                  <c:v>Actuals</c:v>
                </c:pt>
              </c:strCache>
            </c:strRef>
          </c:tx>
          <c:spPr>
            <a:solidFill>
              <a:schemeClr val="accent2"/>
            </a:solidFill>
            <a:ln>
              <a:noFill/>
            </a:ln>
            <a:effectLst/>
          </c:spPr>
          <c:invertIfNegative val="0"/>
          <c:cat>
            <c:strRef>
              <c:f>'3.4a Chart'!$K$3:$K$14</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'3.4a Chart'!$M$3:$M$14</c:f>
              <c:numCache>
                <c:formatCode>_-* #,##0_-;\-* #,##0_-;_-* "-"??_-;_-@_-</c:formatCode>
                <c:ptCount val="12"/>
                <c:pt idx="0">
                  <c:v>43794.982980000001</c:v>
                </c:pt>
                <c:pt idx="1">
                  <c:v>42765.970529999962</c:v>
                </c:pt>
                <c:pt idx="2">
                  <c:v>42936.398340000065</c:v>
                </c:pt>
                <c:pt idx="3">
                  <c:v>43898.815800000004</c:v>
                </c:pt>
                <c:pt idx="4">
                  <c:v>43176.960910000031</c:v>
                </c:pt>
                <c:pt idx="5">
                  <c:v>43437.435699999987</c:v>
                </c:pt>
                <c:pt idx="6">
                  <c:v>45733.809500000156</c:v>
                </c:pt>
                <c:pt idx="7">
                  <c:v>44135.485930000061</c:v>
                </c:pt>
                <c:pt idx="8">
                  <c:v>44510.285180000021</c:v>
                </c:pt>
                <c:pt idx="9">
                  <c:v>44573.729400000055</c:v>
                </c:pt>
                <c:pt idx="10">
                  <c:v>44493.413270000019</c:v>
                </c:pt>
              </c:numCache>
            </c:numRef>
          </c:val>
        </c:ser>
        <c:dLbls>
          <c:showLegendKey val="0"/>
          <c:showVal val="0"/>
          <c:showCatName val="0"/>
          <c:showSerName val="0"/>
          <c:showPercent val="0"/>
          <c:showBubbleSize val="0"/>
        </c:dLbls>
        <c:gapWidth val="219"/>
        <c:overlap val="-27"/>
        <c:axId val="603314968"/>
        <c:axId val="603315360"/>
      </c:barChart>
      <c:catAx>
        <c:axId val="6033149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03315360"/>
        <c:crosses val="autoZero"/>
        <c:auto val="1"/>
        <c:lblAlgn val="ctr"/>
        <c:lblOffset val="100"/>
        <c:noMultiLvlLbl val="0"/>
      </c:catAx>
      <c:valAx>
        <c:axId val="603315360"/>
        <c:scaling>
          <c:orientation val="minMax"/>
        </c:scaling>
        <c:delete val="0"/>
        <c:axPos val="l"/>
        <c:majorGridlines>
          <c:spPr>
            <a:ln w="9525" cap="flat" cmpd="sng" algn="ctr">
              <a:solidFill>
                <a:schemeClr val="tx1">
                  <a:lumMod val="15000"/>
                  <a:lumOff val="85000"/>
                </a:schemeClr>
              </a:solidFill>
              <a:round/>
            </a:ln>
            <a:effectLst/>
          </c:spPr>
        </c:majorGridlines>
        <c:numFmt formatCode="_-* #,##0_-;\-* #,##0_-;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033149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19050" cap="flat" cmpd="sng" algn="ctr">
      <a:solidFill>
        <a:schemeClr val="tx2">
          <a:lumMod val="40000"/>
          <a:lumOff val="60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Agency Expenditure by Division £'000</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stacked"/>
        <c:varyColors val="0"/>
        <c:ser>
          <c:idx val="0"/>
          <c:order val="0"/>
          <c:tx>
            <c:strRef>
              <c:f>'3.4e Chart'!$R$36</c:f>
              <c:strCache>
                <c:ptCount val="1"/>
                <c:pt idx="0">
                  <c:v>POW DU</c:v>
                </c:pt>
              </c:strCache>
            </c:strRef>
          </c:tx>
          <c:spPr>
            <a:solidFill>
              <a:schemeClr val="accent1"/>
            </a:solidFill>
            <a:ln>
              <a:noFill/>
            </a:ln>
            <a:effectLst/>
          </c:spPr>
          <c:invertIfNegative val="0"/>
          <c:cat>
            <c:strRef>
              <c:f>'3.4e Chart'!$Q$37:$Q$48</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'3.4e Chart'!$R$37:$R$48</c:f>
              <c:numCache>
                <c:formatCode>_-* #,##0_-;\-* #,##0_-;_-* "-"??_-;_-@_-</c:formatCode>
                <c:ptCount val="12"/>
                <c:pt idx="0">
                  <c:v>251.83356000000001</c:v>
                </c:pt>
                <c:pt idx="1">
                  <c:v>264.26360999999997</c:v>
                </c:pt>
                <c:pt idx="2">
                  <c:v>256.11198999999999</c:v>
                </c:pt>
                <c:pt idx="3">
                  <c:v>264.49796999999995</c:v>
                </c:pt>
                <c:pt idx="4">
                  <c:v>319.49405000000007</c:v>
                </c:pt>
                <c:pt idx="5">
                  <c:v>362.98004000000009</c:v>
                </c:pt>
                <c:pt idx="6">
                  <c:v>340.98232999999999</c:v>
                </c:pt>
                <c:pt idx="7">
                  <c:v>343.75864000000001</c:v>
                </c:pt>
                <c:pt idx="8">
                  <c:v>315.46530000000007</c:v>
                </c:pt>
                <c:pt idx="9">
                  <c:v>385.56043999999997</c:v>
                </c:pt>
                <c:pt idx="10">
                  <c:v>167.14921000000001</c:v>
                </c:pt>
              </c:numCache>
            </c:numRef>
          </c:val>
        </c:ser>
        <c:ser>
          <c:idx val="1"/>
          <c:order val="1"/>
          <c:tx>
            <c:strRef>
              <c:f>'3.4e Chart'!$S$36</c:f>
              <c:strCache>
                <c:ptCount val="1"/>
                <c:pt idx="0">
                  <c:v>Planned</c:v>
                </c:pt>
              </c:strCache>
            </c:strRef>
          </c:tx>
          <c:spPr>
            <a:solidFill>
              <a:schemeClr val="accent2"/>
            </a:solidFill>
            <a:ln>
              <a:noFill/>
            </a:ln>
            <a:effectLst/>
          </c:spPr>
          <c:invertIfNegative val="0"/>
          <c:cat>
            <c:strRef>
              <c:f>'3.4e Chart'!$Q$37:$Q$48</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'3.4e Chart'!$S$37:$S$48</c:f>
              <c:numCache>
                <c:formatCode>_-* #,##0_-;\-* #,##0_-;_-* "-"??_-;_-@_-</c:formatCode>
                <c:ptCount val="12"/>
                <c:pt idx="0">
                  <c:v>165.22600999999997</c:v>
                </c:pt>
                <c:pt idx="1">
                  <c:v>216.4854</c:v>
                </c:pt>
                <c:pt idx="2">
                  <c:v>198.63355000000001</c:v>
                </c:pt>
                <c:pt idx="3">
                  <c:v>219.44812999999996</c:v>
                </c:pt>
                <c:pt idx="4">
                  <c:v>229.0796</c:v>
                </c:pt>
                <c:pt idx="5">
                  <c:v>254.30574999999999</c:v>
                </c:pt>
                <c:pt idx="6">
                  <c:v>234.27783000000002</c:v>
                </c:pt>
                <c:pt idx="7">
                  <c:v>283.63412</c:v>
                </c:pt>
                <c:pt idx="8">
                  <c:v>279.64019999999999</c:v>
                </c:pt>
                <c:pt idx="9">
                  <c:v>305.22340000000003</c:v>
                </c:pt>
                <c:pt idx="10">
                  <c:v>298.29764</c:v>
                </c:pt>
              </c:numCache>
            </c:numRef>
          </c:val>
        </c:ser>
        <c:ser>
          <c:idx val="2"/>
          <c:order val="2"/>
          <c:tx>
            <c:strRef>
              <c:f>'3.4e Chart'!$T$36</c:f>
              <c:strCache>
                <c:ptCount val="1"/>
                <c:pt idx="0">
                  <c:v>PCCC</c:v>
                </c:pt>
              </c:strCache>
            </c:strRef>
          </c:tx>
          <c:spPr>
            <a:solidFill>
              <a:schemeClr val="accent3"/>
            </a:solidFill>
            <a:ln>
              <a:noFill/>
            </a:ln>
            <a:effectLst/>
          </c:spPr>
          <c:invertIfNegative val="0"/>
          <c:cat>
            <c:strRef>
              <c:f>'3.4e Chart'!$Q$37:$Q$48</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'3.4e Chart'!$T$37:$T$48</c:f>
              <c:numCache>
                <c:formatCode>_-* #,##0_-;\-* #,##0_-;_-* "-"??_-;_-@_-</c:formatCode>
                <c:ptCount val="12"/>
                <c:pt idx="0">
                  <c:v>-19.990459999999999</c:v>
                </c:pt>
                <c:pt idx="1">
                  <c:v>38.833120000000008</c:v>
                </c:pt>
                <c:pt idx="2">
                  <c:v>62.509979999999999</c:v>
                </c:pt>
                <c:pt idx="3">
                  <c:v>55.87574</c:v>
                </c:pt>
                <c:pt idx="4">
                  <c:v>52.280119999999997</c:v>
                </c:pt>
                <c:pt idx="5">
                  <c:v>36.729459999999996</c:v>
                </c:pt>
                <c:pt idx="6">
                  <c:v>54.181330000000003</c:v>
                </c:pt>
                <c:pt idx="7">
                  <c:v>90.950949999999992</c:v>
                </c:pt>
                <c:pt idx="8">
                  <c:v>64.125460000000004</c:v>
                </c:pt>
                <c:pt idx="9">
                  <c:v>39.797449999999998</c:v>
                </c:pt>
                <c:pt idx="10">
                  <c:v>47.989629999999998</c:v>
                </c:pt>
              </c:numCache>
            </c:numRef>
          </c:val>
        </c:ser>
        <c:ser>
          <c:idx val="3"/>
          <c:order val="3"/>
          <c:tx>
            <c:strRef>
              <c:f>'3.4e Chart'!$U$36</c:f>
              <c:strCache>
                <c:ptCount val="1"/>
                <c:pt idx="0">
                  <c:v>Unscheduled</c:v>
                </c:pt>
              </c:strCache>
            </c:strRef>
          </c:tx>
          <c:spPr>
            <a:solidFill>
              <a:schemeClr val="accent4"/>
            </a:solidFill>
            <a:ln>
              <a:noFill/>
            </a:ln>
            <a:effectLst/>
          </c:spPr>
          <c:invertIfNegative val="0"/>
          <c:cat>
            <c:strRef>
              <c:f>'3.4e Chart'!$Q$37:$Q$48</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'3.4e Chart'!$U$37:$U$48</c:f>
              <c:numCache>
                <c:formatCode>_-* #,##0_-;\-* #,##0_-;_-* "-"??_-;_-@_-</c:formatCode>
                <c:ptCount val="12"/>
                <c:pt idx="0">
                  <c:v>312.48536999999993</c:v>
                </c:pt>
                <c:pt idx="1">
                  <c:v>413.93462</c:v>
                </c:pt>
                <c:pt idx="2">
                  <c:v>430.31344000000001</c:v>
                </c:pt>
                <c:pt idx="3">
                  <c:v>584.36165000000005</c:v>
                </c:pt>
                <c:pt idx="4">
                  <c:v>442.79005000000006</c:v>
                </c:pt>
                <c:pt idx="5">
                  <c:v>656.59357000000011</c:v>
                </c:pt>
                <c:pt idx="6">
                  <c:v>515.11676</c:v>
                </c:pt>
                <c:pt idx="7">
                  <c:v>390.58449999999999</c:v>
                </c:pt>
                <c:pt idx="8">
                  <c:v>464.40767999999997</c:v>
                </c:pt>
                <c:pt idx="9">
                  <c:v>517.14502000000005</c:v>
                </c:pt>
                <c:pt idx="10">
                  <c:v>541.34345000000008</c:v>
                </c:pt>
              </c:numCache>
            </c:numRef>
          </c:val>
        </c:ser>
        <c:dLbls>
          <c:showLegendKey val="0"/>
          <c:showVal val="0"/>
          <c:showCatName val="0"/>
          <c:showSerName val="0"/>
          <c:showPercent val="0"/>
          <c:showBubbleSize val="0"/>
        </c:dLbls>
        <c:gapWidth val="219"/>
        <c:overlap val="100"/>
        <c:axId val="541813656"/>
        <c:axId val="541814048"/>
      </c:barChart>
      <c:catAx>
        <c:axId val="5418136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41814048"/>
        <c:crosses val="autoZero"/>
        <c:auto val="1"/>
        <c:lblAlgn val="ctr"/>
        <c:lblOffset val="100"/>
        <c:noMultiLvlLbl val="0"/>
      </c:catAx>
      <c:valAx>
        <c:axId val="541814048"/>
        <c:scaling>
          <c:orientation val="minMax"/>
        </c:scaling>
        <c:delete val="0"/>
        <c:axPos val="l"/>
        <c:majorGridlines>
          <c:spPr>
            <a:ln w="9525" cap="flat" cmpd="sng" algn="ctr">
              <a:solidFill>
                <a:schemeClr val="tx1">
                  <a:lumMod val="15000"/>
                  <a:lumOff val="85000"/>
                </a:schemeClr>
              </a:solidFill>
              <a:round/>
            </a:ln>
            <a:effectLst/>
          </c:spPr>
        </c:majorGridlines>
        <c:numFmt formatCode="_-* #,##0_-;\-* #,##0_-;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418136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19050" cap="flat" cmpd="sng" algn="ctr">
      <a:solidFill>
        <a:schemeClr val="tx2">
          <a:lumMod val="40000"/>
          <a:lumOff val="60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Total Pay Expenditure</a:t>
            </a:r>
            <a:r>
              <a:rPr lang="en-GB" baseline="0"/>
              <a:t> £'000</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'3.4f Chart'!$R$2</c:f>
              <c:strCache>
                <c:ptCount val="1"/>
                <c:pt idx="0">
                  <c:v>Plan</c:v>
                </c:pt>
              </c:strCache>
            </c:strRef>
          </c:tx>
          <c:spPr>
            <a:solidFill>
              <a:schemeClr val="accent1"/>
            </a:solidFill>
            <a:ln>
              <a:noFill/>
            </a:ln>
            <a:effectLst/>
          </c:spPr>
          <c:invertIfNegative val="0"/>
          <c:cat>
            <c:strRef>
              <c:f>'3.4f Chart'!$Q$3:$Q$14</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'3.4f Chart'!$R$3:$R$14</c:f>
              <c:numCache>
                <c:formatCode>_-* #,##0_-;\-* #,##0_-;_-* "-"??_-;_-@_-</c:formatCode>
                <c:ptCount val="12"/>
                <c:pt idx="0">
                  <c:v>2007.3520000000001</c:v>
                </c:pt>
                <c:pt idx="1">
                  <c:v>1752.8430000000001</c:v>
                </c:pt>
                <c:pt idx="2">
                  <c:v>1777.1780000000001</c:v>
                </c:pt>
                <c:pt idx="3">
                  <c:v>1828.481</c:v>
                </c:pt>
                <c:pt idx="4">
                  <c:v>1849.472</c:v>
                </c:pt>
                <c:pt idx="5">
                  <c:v>1848.0889999999999</c:v>
                </c:pt>
                <c:pt idx="6">
                  <c:v>1856.0530000000001</c:v>
                </c:pt>
                <c:pt idx="7">
                  <c:v>1943.35</c:v>
                </c:pt>
                <c:pt idx="8">
                  <c:v>1879.0119999999999</c:v>
                </c:pt>
                <c:pt idx="9">
                  <c:v>1848</c:v>
                </c:pt>
                <c:pt idx="10">
                  <c:v>1873.9880000000001</c:v>
                </c:pt>
                <c:pt idx="11">
                  <c:v>1875.7940000000001</c:v>
                </c:pt>
              </c:numCache>
            </c:numRef>
          </c:val>
        </c:ser>
        <c:ser>
          <c:idx val="1"/>
          <c:order val="1"/>
          <c:tx>
            <c:strRef>
              <c:f>'3.4f Chart'!$S$2</c:f>
              <c:strCache>
                <c:ptCount val="1"/>
                <c:pt idx="0">
                  <c:v>Actuals</c:v>
                </c:pt>
              </c:strCache>
            </c:strRef>
          </c:tx>
          <c:spPr>
            <a:solidFill>
              <a:schemeClr val="accent2"/>
            </a:solidFill>
            <a:ln>
              <a:noFill/>
            </a:ln>
            <a:effectLst/>
          </c:spPr>
          <c:invertIfNegative val="0"/>
          <c:cat>
            <c:strRef>
              <c:f>'3.4f Chart'!$Q$3:$Q$14</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'3.4f Chart'!$S$3:$S$14</c:f>
              <c:numCache>
                <c:formatCode>_-* #,##0_-;\-* #,##0_-;_-* "-"??_-;_-@_-</c:formatCode>
                <c:ptCount val="12"/>
                <c:pt idx="0">
                  <c:v>2202.3855899999994</c:v>
                </c:pt>
                <c:pt idx="1">
                  <c:v>2249.9433500000009</c:v>
                </c:pt>
                <c:pt idx="2">
                  <c:v>2252.5687300000009</c:v>
                </c:pt>
                <c:pt idx="3">
                  <c:v>2359.9879000000005</c:v>
                </c:pt>
                <c:pt idx="4">
                  <c:v>2163.4282100000009</c:v>
                </c:pt>
                <c:pt idx="5">
                  <c:v>2209.6179600000005</c:v>
                </c:pt>
                <c:pt idx="6">
                  <c:v>2260.3419900000008</c:v>
                </c:pt>
                <c:pt idx="7">
                  <c:v>2190.9862899999994</c:v>
                </c:pt>
                <c:pt idx="8">
                  <c:v>2270.7150700000007</c:v>
                </c:pt>
                <c:pt idx="9">
                  <c:v>2170.1731600000003</c:v>
                </c:pt>
                <c:pt idx="10">
                  <c:v>2505.9737800000012</c:v>
                </c:pt>
              </c:numCache>
            </c:numRef>
          </c:val>
        </c:ser>
        <c:dLbls>
          <c:showLegendKey val="0"/>
          <c:showVal val="0"/>
          <c:showCatName val="0"/>
          <c:showSerName val="0"/>
          <c:showPercent val="0"/>
          <c:showBubbleSize val="0"/>
        </c:dLbls>
        <c:gapWidth val="219"/>
        <c:overlap val="-27"/>
        <c:axId val="541815224"/>
        <c:axId val="556732016"/>
      </c:barChart>
      <c:catAx>
        <c:axId val="5418152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56732016"/>
        <c:crosses val="autoZero"/>
        <c:auto val="1"/>
        <c:lblAlgn val="ctr"/>
        <c:lblOffset val="100"/>
        <c:noMultiLvlLbl val="0"/>
      </c:catAx>
      <c:valAx>
        <c:axId val="556732016"/>
        <c:scaling>
          <c:orientation val="minMax"/>
          <c:min val="1500"/>
        </c:scaling>
        <c:delete val="0"/>
        <c:axPos val="l"/>
        <c:majorGridlines>
          <c:spPr>
            <a:ln w="9525" cap="flat" cmpd="sng" algn="ctr">
              <a:solidFill>
                <a:schemeClr val="tx1">
                  <a:lumMod val="15000"/>
                  <a:lumOff val="85000"/>
                </a:schemeClr>
              </a:solidFill>
              <a:round/>
            </a:ln>
            <a:effectLst/>
          </c:spPr>
        </c:majorGridlines>
        <c:numFmt formatCode="_-* #,##0_-;\-* #,##0_-;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418152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19050" cap="flat" cmpd="sng" algn="ctr">
      <a:solidFill>
        <a:schemeClr val="tx2">
          <a:lumMod val="40000"/>
          <a:lumOff val="60000"/>
        </a:schemeClr>
      </a:solid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60" b="0" i="0" u="none" strike="noStrike" kern="1200" spc="0" baseline="0">
                <a:solidFill>
                  <a:schemeClr val="tx1">
                    <a:lumMod val="65000"/>
                    <a:lumOff val="35000"/>
                  </a:schemeClr>
                </a:solidFill>
                <a:latin typeface="+mn-lt"/>
                <a:ea typeface="+mn-ea"/>
                <a:cs typeface="+mn-cs"/>
              </a:defRPr>
            </a:pPr>
            <a:r>
              <a:rPr lang="en-US"/>
              <a:t>Current Month % </a:t>
            </a:r>
          </a:p>
        </c:rich>
      </c:tx>
      <c:overlay val="0"/>
      <c:spPr>
        <a:noFill/>
        <a:ln>
          <a:noFill/>
        </a:ln>
        <a:effectLst/>
      </c:spPr>
      <c:txPr>
        <a:bodyPr rot="0" spcFirstLastPara="1" vertOverflow="ellipsis" vert="horz" wrap="square" anchor="ctr" anchorCtr="1"/>
        <a:lstStyle/>
        <a:p>
          <a:pPr>
            <a:defRPr sz="96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doughnutChart>
        <c:varyColors val="1"/>
        <c:ser>
          <c:idx val="3"/>
          <c:order val="0"/>
          <c:tx>
            <c:strRef>
              <c:f>'3.4f Chart'!$Q$32</c:f>
              <c:strCache>
                <c:ptCount val="1"/>
                <c:pt idx="0">
                  <c:v>Current Mth</c:v>
                </c:pt>
              </c:strCache>
            </c:strRef>
          </c:tx>
          <c:dPt>
            <c:idx val="0"/>
            <c:bubble3D val="0"/>
            <c:spPr>
              <a:solidFill>
                <a:schemeClr val="accent1"/>
              </a:solidFill>
              <a:ln>
                <a:noFill/>
              </a:ln>
              <a:effectLst/>
            </c:spPr>
          </c:dPt>
          <c:dPt>
            <c:idx val="1"/>
            <c:bubble3D val="0"/>
            <c:spPr>
              <a:solidFill>
                <a:schemeClr val="accent2"/>
              </a:solidFill>
              <a:ln>
                <a:noFill/>
              </a:ln>
              <a:effectLst/>
            </c:spPr>
          </c:dPt>
          <c:dPt>
            <c:idx val="2"/>
            <c:bubble3D val="0"/>
            <c:spPr>
              <a:solidFill>
                <a:schemeClr val="accent3"/>
              </a:solidFill>
              <a:ln>
                <a:noFill/>
              </a:ln>
              <a:effectLst/>
            </c:spPr>
          </c:dPt>
          <c:dPt>
            <c:idx val="3"/>
            <c:bubble3D val="0"/>
            <c:spPr>
              <a:solidFill>
                <a:schemeClr val="accent4"/>
              </a:solidFill>
              <a:ln>
                <a:noFill/>
              </a:ln>
              <a:effectLst/>
            </c:spPr>
          </c:dPt>
          <c:dLbls>
            <c:dLbl>
              <c:idx val="0"/>
              <c:layout>
                <c:manualLayout>
                  <c:x val="4.7619047619047616E-2"/>
                  <c:y val="-0.13425925925925927"/>
                </c:manualLayout>
              </c:layout>
              <c:showLegendKey val="0"/>
              <c:showVal val="0"/>
              <c:showCatName val="0"/>
              <c:showSerName val="0"/>
              <c:showPercent val="1"/>
              <c:showBubbleSize val="0"/>
              <c:extLst>
                <c:ext xmlns:c15="http://schemas.microsoft.com/office/drawing/2012/chart" uri="{CE6537A1-D6FC-4f65-9D91-7224C49458BB}"/>
              </c:extLst>
            </c:dLbl>
            <c:dLbl>
              <c:idx val="1"/>
              <c:layout>
                <c:manualLayout>
                  <c:x val="7.4404761904761904E-2"/>
                  <c:y val="-9.2592592592592629E-2"/>
                </c:manualLayout>
              </c:layout>
              <c:showLegendKey val="0"/>
              <c:showVal val="0"/>
              <c:showCatName val="0"/>
              <c:showSerName val="0"/>
              <c:showPercent val="1"/>
              <c:showBubbleSize val="0"/>
              <c:extLst>
                <c:ext xmlns:c15="http://schemas.microsoft.com/office/drawing/2012/chart" uri="{CE6537A1-D6FC-4f65-9D91-7224C49458BB}"/>
              </c:extLst>
            </c:dLbl>
            <c:dLbl>
              <c:idx val="2"/>
              <c:layout>
                <c:manualLayout>
                  <c:x val="0.11011904761904762"/>
                  <c:y val="-5.5555555555555601E-2"/>
                </c:manualLayout>
              </c:layout>
              <c:showLegendKey val="0"/>
              <c:showVal val="0"/>
              <c:showCatName val="0"/>
              <c:showSerName val="0"/>
              <c:showPercent val="1"/>
              <c:showBubbleSize val="0"/>
              <c:extLst>
                <c:ext xmlns:c15="http://schemas.microsoft.com/office/drawing/2012/chart" uri="{CE6537A1-D6FC-4f65-9D91-7224C49458BB}"/>
              </c:extLst>
            </c:dLbl>
            <c:dLbl>
              <c:idx val="3"/>
              <c:layout>
                <c:manualLayout>
                  <c:x val="-0.13095238095238096"/>
                  <c:y val="3.7037037037037035E-2"/>
                </c:manualLayout>
              </c:layou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anchor="ctr" anchorCtr="1"/>
              <a:lstStyle/>
              <a:p>
                <a:pPr>
                  <a:defRPr sz="8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'3.4f Chart'!$R$17:$U$17</c:f>
              <c:strCache>
                <c:ptCount val="4"/>
                <c:pt idx="0">
                  <c:v>AGENCY</c:v>
                </c:pt>
                <c:pt idx="1">
                  <c:v>BANK</c:v>
                </c:pt>
                <c:pt idx="2">
                  <c:v>LOCUM</c:v>
                </c:pt>
                <c:pt idx="3">
                  <c:v>SUBSTANTIVE</c:v>
                </c:pt>
              </c:strCache>
            </c:strRef>
          </c:cat>
          <c:val>
            <c:numRef>
              <c:f>'3.4f Chart'!$R$32:$U$32</c:f>
              <c:numCache>
                <c:formatCode>_-* #,##0_-;\-* #,##0_-;_-* "-"??_-;_-@_-</c:formatCode>
                <c:ptCount val="4"/>
                <c:pt idx="0">
                  <c:v>17.098959999999998</c:v>
                </c:pt>
                <c:pt idx="1">
                  <c:v>588.59583000000032</c:v>
                </c:pt>
                <c:pt idx="2">
                  <c:v>0</c:v>
                </c:pt>
                <c:pt idx="3">
                  <c:v>1564.4783699999996</c:v>
                </c:pt>
              </c:numCache>
            </c:numRef>
          </c:val>
        </c:ser>
        <c:dLbls>
          <c:showLegendKey val="0"/>
          <c:showVal val="0"/>
          <c:showCatName val="0"/>
          <c:showSerName val="0"/>
          <c:showPercent val="0"/>
          <c:showBubbleSize val="0"/>
          <c:showLeaderLines val="1"/>
        </c:dLbls>
        <c:firstSliceAng val="0"/>
        <c:holeSize val="71"/>
      </c:doughnutChart>
      <c:spPr>
        <a:noFill/>
        <a:ln>
          <a:noFill/>
        </a:ln>
        <a:effectLst/>
      </c:spPr>
    </c:plotArea>
    <c:legend>
      <c:legendPos val="r"/>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19050" cap="flat" cmpd="sng" algn="ctr">
      <a:solidFill>
        <a:schemeClr val="tx2">
          <a:lumMod val="40000"/>
          <a:lumOff val="60000"/>
        </a:schemeClr>
      </a:solidFill>
      <a:round/>
    </a:ln>
    <a:effectLst/>
  </c:spPr>
  <c:txPr>
    <a:bodyPr/>
    <a:lstStyle/>
    <a:p>
      <a:pPr>
        <a:defRPr sz="800"/>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60" b="0" i="0" u="none" strike="noStrike" kern="1200" spc="0" baseline="0">
                <a:solidFill>
                  <a:schemeClr val="tx1">
                    <a:lumMod val="65000"/>
                    <a:lumOff val="35000"/>
                  </a:schemeClr>
                </a:solidFill>
                <a:latin typeface="+mn-lt"/>
                <a:ea typeface="+mn-ea"/>
                <a:cs typeface="+mn-cs"/>
              </a:defRPr>
            </a:pPr>
            <a:r>
              <a:rPr lang="en-US"/>
              <a:t>Year to Date % </a:t>
            </a:r>
          </a:p>
        </c:rich>
      </c:tx>
      <c:overlay val="0"/>
      <c:spPr>
        <a:noFill/>
        <a:ln>
          <a:noFill/>
        </a:ln>
        <a:effectLst/>
      </c:spPr>
      <c:txPr>
        <a:bodyPr rot="0" spcFirstLastPara="1" vertOverflow="ellipsis" vert="horz" wrap="square" anchor="ctr" anchorCtr="1"/>
        <a:lstStyle/>
        <a:p>
          <a:pPr>
            <a:defRPr sz="96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doughnutChart>
        <c:varyColors val="1"/>
        <c:ser>
          <c:idx val="3"/>
          <c:order val="0"/>
          <c:tx>
            <c:strRef>
              <c:f>'3.4f Chart'!$Q$33</c:f>
              <c:strCache>
                <c:ptCount val="1"/>
                <c:pt idx="0">
                  <c:v>Cummulative</c:v>
                </c:pt>
              </c:strCache>
            </c:strRef>
          </c:tx>
          <c:dPt>
            <c:idx val="0"/>
            <c:bubble3D val="0"/>
            <c:spPr>
              <a:solidFill>
                <a:schemeClr val="accent1"/>
              </a:solidFill>
              <a:ln>
                <a:noFill/>
              </a:ln>
              <a:effectLst/>
            </c:spPr>
          </c:dPt>
          <c:dPt>
            <c:idx val="1"/>
            <c:bubble3D val="0"/>
            <c:spPr>
              <a:solidFill>
                <a:schemeClr val="accent2"/>
              </a:solidFill>
              <a:ln>
                <a:noFill/>
              </a:ln>
              <a:effectLst/>
            </c:spPr>
          </c:dPt>
          <c:dPt>
            <c:idx val="2"/>
            <c:bubble3D val="0"/>
            <c:spPr>
              <a:solidFill>
                <a:schemeClr val="accent3"/>
              </a:solidFill>
              <a:ln>
                <a:noFill/>
              </a:ln>
              <a:effectLst/>
            </c:spPr>
          </c:dPt>
          <c:dPt>
            <c:idx val="3"/>
            <c:bubble3D val="0"/>
            <c:spPr>
              <a:solidFill>
                <a:schemeClr val="accent4"/>
              </a:solidFill>
              <a:ln>
                <a:noFill/>
              </a:ln>
              <a:effectLst/>
            </c:spPr>
          </c:dPt>
          <c:dLbls>
            <c:dLbl>
              <c:idx val="0"/>
              <c:layout>
                <c:manualLayout>
                  <c:x val="4.7619047619047616E-2"/>
                  <c:y val="-0.13425925925925927"/>
                </c:manualLayout>
              </c:layout>
              <c:showLegendKey val="0"/>
              <c:showVal val="0"/>
              <c:showCatName val="0"/>
              <c:showSerName val="0"/>
              <c:showPercent val="1"/>
              <c:showBubbleSize val="0"/>
              <c:extLst>
                <c:ext xmlns:c15="http://schemas.microsoft.com/office/drawing/2012/chart" uri="{CE6537A1-D6FC-4f65-9D91-7224C49458BB}"/>
              </c:extLst>
            </c:dLbl>
            <c:dLbl>
              <c:idx val="1"/>
              <c:layout>
                <c:manualLayout>
                  <c:x val="7.4404761904761904E-2"/>
                  <c:y val="-9.2592592592592629E-2"/>
                </c:manualLayout>
              </c:layout>
              <c:showLegendKey val="0"/>
              <c:showVal val="0"/>
              <c:showCatName val="0"/>
              <c:showSerName val="0"/>
              <c:showPercent val="1"/>
              <c:showBubbleSize val="0"/>
              <c:extLst>
                <c:ext xmlns:c15="http://schemas.microsoft.com/office/drawing/2012/chart" uri="{CE6537A1-D6FC-4f65-9D91-7224C49458BB}"/>
              </c:extLst>
            </c:dLbl>
            <c:dLbl>
              <c:idx val="2"/>
              <c:layout>
                <c:manualLayout>
                  <c:x val="0.11011904761904762"/>
                  <c:y val="-5.5555555555555601E-2"/>
                </c:manualLayout>
              </c:layout>
              <c:showLegendKey val="0"/>
              <c:showVal val="0"/>
              <c:showCatName val="0"/>
              <c:showSerName val="0"/>
              <c:showPercent val="1"/>
              <c:showBubbleSize val="0"/>
              <c:extLst>
                <c:ext xmlns:c15="http://schemas.microsoft.com/office/drawing/2012/chart" uri="{CE6537A1-D6FC-4f65-9D91-7224C49458BB}"/>
              </c:extLst>
            </c:dLbl>
            <c:dLbl>
              <c:idx val="3"/>
              <c:layout>
                <c:manualLayout>
                  <c:x val="-0.13095238095238096"/>
                  <c:y val="3.7037037037037035E-2"/>
                </c:manualLayout>
              </c:layou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anchor="ctr" anchorCtr="1"/>
              <a:lstStyle/>
              <a:p>
                <a:pPr>
                  <a:defRPr sz="8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'3.4f Chart'!$R$17:$U$17</c:f>
              <c:strCache>
                <c:ptCount val="4"/>
                <c:pt idx="0">
                  <c:v>AGENCY</c:v>
                </c:pt>
                <c:pt idx="1">
                  <c:v>BANK</c:v>
                </c:pt>
                <c:pt idx="2">
                  <c:v>LOCUM</c:v>
                </c:pt>
                <c:pt idx="3">
                  <c:v>SUBSTANTIVE</c:v>
                </c:pt>
              </c:strCache>
            </c:strRef>
          </c:cat>
          <c:val>
            <c:numRef>
              <c:f>'3.4f Chart'!$R$33:$U$33</c:f>
              <c:numCache>
                <c:formatCode>_-* #,##0_-;\-* #,##0_-;_-* "-"??_-;_-@_-</c:formatCode>
                <c:ptCount val="4"/>
                <c:pt idx="0">
                  <c:v>322.03386999999998</c:v>
                </c:pt>
                <c:pt idx="1">
                  <c:v>6293.0013299999991</c:v>
                </c:pt>
                <c:pt idx="2">
                  <c:v>0</c:v>
                </c:pt>
                <c:pt idx="3">
                  <c:v>15715.147560000003</c:v>
                </c:pt>
              </c:numCache>
            </c:numRef>
          </c:val>
        </c:ser>
        <c:dLbls>
          <c:showLegendKey val="0"/>
          <c:showVal val="0"/>
          <c:showCatName val="0"/>
          <c:showSerName val="0"/>
          <c:showPercent val="0"/>
          <c:showBubbleSize val="0"/>
          <c:showLeaderLines val="1"/>
        </c:dLbls>
        <c:firstSliceAng val="0"/>
        <c:holeSize val="71"/>
      </c:doughnutChart>
      <c:spPr>
        <a:noFill/>
        <a:ln>
          <a:noFill/>
        </a:ln>
        <a:effectLst/>
      </c:spPr>
    </c:plotArea>
    <c:legend>
      <c:legendPos val="r"/>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19050" cap="flat" cmpd="sng" algn="ctr">
      <a:solidFill>
        <a:schemeClr val="tx2">
          <a:lumMod val="40000"/>
          <a:lumOff val="60000"/>
        </a:schemeClr>
      </a:solidFill>
      <a:round/>
    </a:ln>
    <a:effectLst/>
  </c:spPr>
  <c:txPr>
    <a:bodyPr/>
    <a:lstStyle/>
    <a:p>
      <a:pPr>
        <a:defRPr sz="800"/>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Total Non Pay Expenditure</a:t>
            </a:r>
            <a:r>
              <a:rPr lang="en-GB" baseline="0"/>
              <a:t> £'000</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'3.5a Chart'!$L$2</c:f>
              <c:strCache>
                <c:ptCount val="1"/>
                <c:pt idx="0">
                  <c:v>Plan</c:v>
                </c:pt>
              </c:strCache>
            </c:strRef>
          </c:tx>
          <c:spPr>
            <a:solidFill>
              <a:schemeClr val="accent1"/>
            </a:solidFill>
            <a:ln>
              <a:noFill/>
            </a:ln>
            <a:effectLst/>
          </c:spPr>
          <c:invertIfNegative val="0"/>
          <c:cat>
            <c:strRef>
              <c:f>'3.5a Chart'!$K$3:$K$14</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'3.5a Chart'!$L$3:$L$14</c:f>
              <c:numCache>
                <c:formatCode>_-* #,##0_-;\-* #,##0_-;_-* "-"??_-;_-@_-</c:formatCode>
                <c:ptCount val="12"/>
                <c:pt idx="0">
                  <c:v>47552.713000000003</c:v>
                </c:pt>
                <c:pt idx="1">
                  <c:v>49239.762000000002</c:v>
                </c:pt>
                <c:pt idx="2">
                  <c:v>49266.053</c:v>
                </c:pt>
                <c:pt idx="3">
                  <c:v>52618.968269999998</c:v>
                </c:pt>
                <c:pt idx="4">
                  <c:v>50601.48</c:v>
                </c:pt>
                <c:pt idx="5">
                  <c:v>49580.241999999998</c:v>
                </c:pt>
                <c:pt idx="6">
                  <c:v>52693.392810000005</c:v>
                </c:pt>
                <c:pt idx="7">
                  <c:v>56696.86</c:v>
                </c:pt>
                <c:pt idx="8">
                  <c:v>55347.968000000001</c:v>
                </c:pt>
                <c:pt idx="9">
                  <c:v>53060.932999999997</c:v>
                </c:pt>
                <c:pt idx="10">
                  <c:v>53685.855029999999</c:v>
                </c:pt>
                <c:pt idx="11">
                  <c:v>56085.480899999995</c:v>
                </c:pt>
              </c:numCache>
            </c:numRef>
          </c:val>
        </c:ser>
        <c:ser>
          <c:idx val="1"/>
          <c:order val="1"/>
          <c:tx>
            <c:strRef>
              <c:f>'3.5a Chart'!$M$2</c:f>
              <c:strCache>
                <c:ptCount val="1"/>
                <c:pt idx="0">
                  <c:v>Actuals</c:v>
                </c:pt>
              </c:strCache>
            </c:strRef>
          </c:tx>
          <c:spPr>
            <a:solidFill>
              <a:schemeClr val="accent2"/>
            </a:solidFill>
            <a:ln>
              <a:noFill/>
            </a:ln>
            <a:effectLst/>
          </c:spPr>
          <c:invertIfNegative val="0"/>
          <c:cat>
            <c:strRef>
              <c:f>'3.5a Chart'!$K$3:$K$14</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'3.5a Chart'!$M$3:$M$14</c:f>
              <c:numCache>
                <c:formatCode>_-* #,##0_-;\-* #,##0_-;_-* "-"??_-;_-@_-</c:formatCode>
                <c:ptCount val="12"/>
                <c:pt idx="0">
                  <c:v>47499.760519999982</c:v>
                </c:pt>
                <c:pt idx="1">
                  <c:v>49222.166590000001</c:v>
                </c:pt>
                <c:pt idx="2">
                  <c:v>48997.975960000003</c:v>
                </c:pt>
                <c:pt idx="3">
                  <c:v>54242.332510000058</c:v>
                </c:pt>
                <c:pt idx="4">
                  <c:v>50771.457719999991</c:v>
                </c:pt>
                <c:pt idx="5">
                  <c:v>51946.057220000097</c:v>
                </c:pt>
                <c:pt idx="6">
                  <c:v>53559.842620000134</c:v>
                </c:pt>
                <c:pt idx="7">
                  <c:v>55764.236620000142</c:v>
                </c:pt>
                <c:pt idx="8">
                  <c:v>55867.842759999985</c:v>
                </c:pt>
                <c:pt idx="9">
                  <c:v>52312.135789999957</c:v>
                </c:pt>
                <c:pt idx="10">
                  <c:v>55233.441840000007</c:v>
                </c:pt>
              </c:numCache>
            </c:numRef>
          </c:val>
        </c:ser>
        <c:dLbls>
          <c:showLegendKey val="0"/>
          <c:showVal val="0"/>
          <c:showCatName val="0"/>
          <c:showSerName val="0"/>
          <c:showPercent val="0"/>
          <c:showBubbleSize val="0"/>
        </c:dLbls>
        <c:gapWidth val="219"/>
        <c:overlap val="-27"/>
        <c:axId val="601515296"/>
        <c:axId val="601515688"/>
      </c:barChart>
      <c:catAx>
        <c:axId val="6015152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01515688"/>
        <c:crosses val="autoZero"/>
        <c:auto val="1"/>
        <c:lblAlgn val="ctr"/>
        <c:lblOffset val="100"/>
        <c:noMultiLvlLbl val="0"/>
      </c:catAx>
      <c:valAx>
        <c:axId val="601515688"/>
        <c:scaling>
          <c:orientation val="minMax"/>
          <c:min val="30000"/>
        </c:scaling>
        <c:delete val="0"/>
        <c:axPos val="l"/>
        <c:majorGridlines>
          <c:spPr>
            <a:ln w="9525" cap="flat" cmpd="sng" algn="ctr">
              <a:solidFill>
                <a:schemeClr val="tx1">
                  <a:lumMod val="15000"/>
                  <a:lumOff val="85000"/>
                </a:schemeClr>
              </a:solidFill>
              <a:round/>
            </a:ln>
            <a:effectLst/>
          </c:spPr>
        </c:majorGridlines>
        <c:numFmt formatCode="_-* #,##0_-;\-* #,##0_-;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015152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19050" cap="flat" cmpd="sng" algn="ctr">
      <a:solidFill>
        <a:schemeClr val="tx2">
          <a:lumMod val="40000"/>
          <a:lumOff val="60000"/>
        </a:schemeClr>
      </a:solidFill>
      <a:round/>
    </a:ln>
    <a:effectLst/>
  </c:spPr>
  <c:txPr>
    <a:bodyPr/>
    <a:lstStyle/>
    <a:p>
      <a:pPr>
        <a:defRPr/>
      </a:pPr>
      <a:endParaRPr lang="en-US"/>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a:solidFill>
                  <a:schemeClr val="tx1">
                    <a:lumMod val="50000"/>
                    <a:lumOff val="50000"/>
                  </a:schemeClr>
                </a:solidFill>
              </a:defRPr>
            </a:pPr>
            <a:r>
              <a:rPr lang="en-US" sz="1400">
                <a:solidFill>
                  <a:schemeClr val="tx1">
                    <a:lumMod val="50000"/>
                    <a:lumOff val="50000"/>
                  </a:schemeClr>
                </a:solidFill>
              </a:rPr>
              <a:t>Capital Expenditure £'000</a:t>
            </a:r>
          </a:p>
        </c:rich>
      </c:tx>
      <c:overlay val="0"/>
    </c:title>
    <c:autoTitleDeleted val="0"/>
    <c:plotArea>
      <c:layout/>
      <c:lineChart>
        <c:grouping val="standard"/>
        <c:varyColors val="0"/>
        <c:ser>
          <c:idx val="0"/>
          <c:order val="0"/>
          <c:tx>
            <c:strRef>
              <c:f>'3.11 Capital'!$C$7</c:f>
              <c:strCache>
                <c:ptCount val="1"/>
                <c:pt idx="0">
                  <c:v>Forecast Cumulative Spend £'000</c:v>
                </c:pt>
              </c:strCache>
            </c:strRef>
          </c:tx>
          <c:spPr>
            <a:ln w="28575" cap="rnd">
              <a:solidFill>
                <a:schemeClr val="accent1"/>
              </a:solidFill>
              <a:round/>
            </a:ln>
            <a:effectLst/>
          </c:spPr>
          <c:marker>
            <c:symbol val="none"/>
          </c:marker>
          <c:cat>
            <c:numRef>
              <c:f>'3.11 Capital'!$B$8:$B$19</c:f>
              <c:numCache>
                <c:formatCode>mmm\-yy</c:formatCode>
                <c:ptCount val="12"/>
                <c:pt idx="0">
                  <c:v>43556</c:v>
                </c:pt>
                <c:pt idx="1">
                  <c:v>43586</c:v>
                </c:pt>
                <c:pt idx="2">
                  <c:v>43617</c:v>
                </c:pt>
                <c:pt idx="3">
                  <c:v>43647</c:v>
                </c:pt>
                <c:pt idx="4">
                  <c:v>43678</c:v>
                </c:pt>
                <c:pt idx="5">
                  <c:v>43709</c:v>
                </c:pt>
                <c:pt idx="6">
                  <c:v>43739</c:v>
                </c:pt>
                <c:pt idx="7">
                  <c:v>43770</c:v>
                </c:pt>
                <c:pt idx="8">
                  <c:v>43800</c:v>
                </c:pt>
                <c:pt idx="9">
                  <c:v>43831</c:v>
                </c:pt>
                <c:pt idx="10">
                  <c:v>43862</c:v>
                </c:pt>
                <c:pt idx="11">
                  <c:v>43891</c:v>
                </c:pt>
              </c:numCache>
            </c:numRef>
          </c:cat>
          <c:val>
            <c:numRef>
              <c:f>'3.11 Capital'!$C$8:$C$19</c:f>
              <c:numCache>
                <c:formatCode>#,##0_ ;\-#,##0\ </c:formatCode>
                <c:ptCount val="12"/>
                <c:pt idx="0">
                  <c:v>2071</c:v>
                </c:pt>
                <c:pt idx="1">
                  <c:v>3269.4</c:v>
                </c:pt>
                <c:pt idx="2">
                  <c:v>4559.3</c:v>
                </c:pt>
                <c:pt idx="3">
                  <c:v>6918</c:v>
                </c:pt>
                <c:pt idx="4">
                  <c:v>8942.4</c:v>
                </c:pt>
                <c:pt idx="5">
                  <c:v>10234.739099999999</c:v>
                </c:pt>
                <c:pt idx="6">
                  <c:v>13248.454419999998</c:v>
                </c:pt>
                <c:pt idx="7">
                  <c:v>15143.454419999998</c:v>
                </c:pt>
                <c:pt idx="8">
                  <c:v>18374.85442</c:v>
                </c:pt>
                <c:pt idx="9">
                  <c:v>22686.254419999997</c:v>
                </c:pt>
                <c:pt idx="10">
                  <c:v>28066.704419999998</c:v>
                </c:pt>
                <c:pt idx="11">
                  <c:v>40398.104419999996</c:v>
                </c:pt>
              </c:numCache>
            </c:numRef>
          </c:val>
          <c:smooth val="0"/>
        </c:ser>
        <c:ser>
          <c:idx val="1"/>
          <c:order val="1"/>
          <c:tx>
            <c:strRef>
              <c:f>'3.11 Capital'!$D$7</c:f>
              <c:strCache>
                <c:ptCount val="1"/>
                <c:pt idx="0">
                  <c:v>Actual Cumulative Spend £'000</c:v>
                </c:pt>
              </c:strCache>
            </c:strRef>
          </c:tx>
          <c:spPr>
            <a:ln w="28575" cap="rnd">
              <a:solidFill>
                <a:schemeClr val="accent2"/>
              </a:solidFill>
              <a:round/>
            </a:ln>
            <a:effectLst/>
          </c:spPr>
          <c:marker>
            <c:symbol val="none"/>
          </c:marker>
          <c:cat>
            <c:numRef>
              <c:f>'3.11 Capital'!$B$8:$B$19</c:f>
              <c:numCache>
                <c:formatCode>mmm\-yy</c:formatCode>
                <c:ptCount val="12"/>
                <c:pt idx="0">
                  <c:v>43556</c:v>
                </c:pt>
                <c:pt idx="1">
                  <c:v>43586</c:v>
                </c:pt>
                <c:pt idx="2">
                  <c:v>43617</c:v>
                </c:pt>
                <c:pt idx="3">
                  <c:v>43647</c:v>
                </c:pt>
                <c:pt idx="4">
                  <c:v>43678</c:v>
                </c:pt>
                <c:pt idx="5">
                  <c:v>43709</c:v>
                </c:pt>
                <c:pt idx="6">
                  <c:v>43739</c:v>
                </c:pt>
                <c:pt idx="7">
                  <c:v>43770</c:v>
                </c:pt>
                <c:pt idx="8">
                  <c:v>43800</c:v>
                </c:pt>
                <c:pt idx="9">
                  <c:v>43831</c:v>
                </c:pt>
                <c:pt idx="10">
                  <c:v>43862</c:v>
                </c:pt>
                <c:pt idx="11">
                  <c:v>43891</c:v>
                </c:pt>
              </c:numCache>
            </c:numRef>
          </c:cat>
          <c:val>
            <c:numRef>
              <c:f>'3.11 Capital'!$D$8:$D$19</c:f>
              <c:numCache>
                <c:formatCode>#,##0_ ;\-#,##0\ </c:formatCode>
                <c:ptCount val="12"/>
                <c:pt idx="0">
                  <c:v>2071</c:v>
                </c:pt>
                <c:pt idx="1">
                  <c:v>3269.4</c:v>
                </c:pt>
                <c:pt idx="2">
                  <c:v>4559.3999999999996</c:v>
                </c:pt>
                <c:pt idx="3">
                  <c:v>6918</c:v>
                </c:pt>
                <c:pt idx="4">
                  <c:v>8942.4</c:v>
                </c:pt>
                <c:pt idx="5">
                  <c:v>10235</c:v>
                </c:pt>
                <c:pt idx="6">
                  <c:v>13248</c:v>
                </c:pt>
                <c:pt idx="7">
                  <c:v>15144</c:v>
                </c:pt>
                <c:pt idx="8">
                  <c:v>18374</c:v>
                </c:pt>
                <c:pt idx="9">
                  <c:v>22687</c:v>
                </c:pt>
                <c:pt idx="10">
                  <c:v>28068</c:v>
                </c:pt>
              </c:numCache>
            </c:numRef>
          </c:val>
          <c:smooth val="0"/>
        </c:ser>
        <c:dLbls>
          <c:showLegendKey val="0"/>
          <c:showVal val="0"/>
          <c:showCatName val="0"/>
          <c:showSerName val="0"/>
          <c:showPercent val="0"/>
          <c:showBubbleSize val="0"/>
        </c:dLbls>
        <c:smooth val="0"/>
        <c:axId val="601516080"/>
        <c:axId val="601516472"/>
      </c:lineChart>
      <c:dateAx>
        <c:axId val="601516080"/>
        <c:scaling>
          <c:orientation val="minMax"/>
        </c:scaling>
        <c:delete val="0"/>
        <c:axPos val="b"/>
        <c:numFmt formatCode="mmm\-yy"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01516472"/>
        <c:crosses val="autoZero"/>
        <c:auto val="1"/>
        <c:lblOffset val="100"/>
        <c:baseTimeUnit val="months"/>
      </c:dateAx>
      <c:valAx>
        <c:axId val="601516472"/>
        <c:scaling>
          <c:orientation val="minMax"/>
        </c:scaling>
        <c:delete val="0"/>
        <c:axPos val="l"/>
        <c:majorGridlines>
          <c:spPr>
            <a:ln w="9525" cap="flat" cmpd="sng" algn="ctr">
              <a:solidFill>
                <a:schemeClr val="tx1">
                  <a:lumMod val="15000"/>
                  <a:lumOff val="85000"/>
                </a:schemeClr>
              </a:solidFill>
              <a:round/>
            </a:ln>
            <a:effectLst/>
          </c:spPr>
        </c:majorGridlines>
        <c:numFmt formatCode="#,##0_ ;\-#,##0\ " sourceLinked="1"/>
        <c:majorTickMark val="none"/>
        <c:minorTickMark val="none"/>
        <c:tickLblPos val="nextTo"/>
        <c:spPr>
          <a:ln w="6350">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01516080"/>
        <c:crosses val="autoZero"/>
        <c:crossBetween val="between"/>
      </c:valAx>
      <c:spPr>
        <a:noFill/>
        <a:ln w="25400">
          <a:noFill/>
        </a:ln>
      </c:spPr>
    </c:plotArea>
    <c:legend>
      <c:legendPos val="b"/>
      <c:overlay val="0"/>
      <c:spPr>
        <a:noFill/>
        <a:ln w="25400">
          <a:noFill/>
        </a:ln>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19050" cap="flat" cmpd="sng" algn="ctr">
      <a:solidFill>
        <a:schemeClr val="tx2">
          <a:lumMod val="40000"/>
          <a:lumOff val="60000"/>
        </a:schemeClr>
      </a:solidFill>
      <a:round/>
    </a:ln>
    <a:effectLst/>
  </c:spPr>
  <c:txPr>
    <a:bodyPr/>
    <a:lstStyle/>
    <a:p>
      <a:pPr>
        <a:defRPr/>
      </a:pPr>
      <a:endParaRPr lang="en-US"/>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30 Day Public Sector Payment Policy</a:t>
            </a:r>
          </a:p>
        </c:rich>
      </c:tx>
      <c:overlay val="0"/>
      <c:spPr>
        <a:noFill/>
        <a:ln w="25400">
          <a:noFill/>
        </a:ln>
      </c:spPr>
    </c:title>
    <c:autoTitleDeleted val="0"/>
    <c:plotArea>
      <c:layout/>
      <c:barChart>
        <c:barDir val="col"/>
        <c:grouping val="clustered"/>
        <c:varyColors val="0"/>
        <c:ser>
          <c:idx val="0"/>
          <c:order val="0"/>
          <c:tx>
            <c:strRef>
              <c:f>'3.12 PSPP'!$E$10</c:f>
              <c:strCache>
                <c:ptCount val="1"/>
                <c:pt idx="0">
                  <c:v>Actual Mth</c:v>
                </c:pt>
              </c:strCache>
            </c:strRef>
          </c:tx>
          <c:spPr>
            <a:solidFill>
              <a:srgbClr val="5B9BD5"/>
            </a:solidFill>
            <a:ln w="25400">
              <a:noFill/>
            </a:ln>
          </c:spPr>
          <c:invertIfNegative val="0"/>
          <c:cat>
            <c:strRef>
              <c:f>'3.12 PSPP'!$B$11:$B$22</c:f>
              <c:strCache>
                <c:ptCount val="12"/>
                <c:pt idx="0">
                  <c:v>April</c:v>
                </c:pt>
                <c:pt idx="1">
                  <c:v>May</c:v>
                </c:pt>
                <c:pt idx="2">
                  <c:v>June</c:v>
                </c:pt>
                <c:pt idx="3">
                  <c:v>July</c:v>
                </c:pt>
                <c:pt idx="4">
                  <c:v>August</c:v>
                </c:pt>
                <c:pt idx="5">
                  <c:v>September</c:v>
                </c:pt>
                <c:pt idx="6">
                  <c:v>October</c:v>
                </c:pt>
                <c:pt idx="7">
                  <c:v>November</c:v>
                </c:pt>
                <c:pt idx="8">
                  <c:v>December</c:v>
                </c:pt>
                <c:pt idx="9">
                  <c:v>January</c:v>
                </c:pt>
                <c:pt idx="10">
                  <c:v>February</c:v>
                </c:pt>
                <c:pt idx="11">
                  <c:v>March</c:v>
                </c:pt>
              </c:strCache>
            </c:strRef>
          </c:cat>
          <c:val>
            <c:numRef>
              <c:f>'3.12 PSPP'!$E$11:$E$22</c:f>
              <c:numCache>
                <c:formatCode>0.0%</c:formatCode>
                <c:ptCount val="12"/>
                <c:pt idx="0">
                  <c:v>0.96199999999999997</c:v>
                </c:pt>
                <c:pt idx="1">
                  <c:v>0.94299999999999995</c:v>
                </c:pt>
                <c:pt idx="2">
                  <c:v>0.96499999999999997</c:v>
                </c:pt>
                <c:pt idx="3">
                  <c:v>0.96299999999999997</c:v>
                </c:pt>
                <c:pt idx="4">
                  <c:v>0.97</c:v>
                </c:pt>
                <c:pt idx="5">
                  <c:v>0.94199999999999995</c:v>
                </c:pt>
                <c:pt idx="6">
                  <c:v>0.96899999999999997</c:v>
                </c:pt>
                <c:pt idx="7">
                  <c:v>0.96499999999999997</c:v>
                </c:pt>
                <c:pt idx="8">
                  <c:v>0.95799999999999996</c:v>
                </c:pt>
                <c:pt idx="9">
                  <c:v>0.93200000000000005</c:v>
                </c:pt>
                <c:pt idx="10">
                  <c:v>0.89300000000000002</c:v>
                </c:pt>
              </c:numCache>
            </c:numRef>
          </c:val>
        </c:ser>
        <c:ser>
          <c:idx val="1"/>
          <c:order val="1"/>
          <c:tx>
            <c:strRef>
              <c:f>'3.12 PSPP'!$F$10</c:f>
              <c:strCache>
                <c:ptCount val="1"/>
                <c:pt idx="0">
                  <c:v>Actual YTD</c:v>
                </c:pt>
              </c:strCache>
            </c:strRef>
          </c:tx>
          <c:spPr>
            <a:solidFill>
              <a:srgbClr val="ED7D31"/>
            </a:solidFill>
            <a:ln w="25400">
              <a:noFill/>
            </a:ln>
          </c:spPr>
          <c:invertIfNegative val="0"/>
          <c:cat>
            <c:strRef>
              <c:f>'3.12 PSPP'!$B$11:$B$22</c:f>
              <c:strCache>
                <c:ptCount val="12"/>
                <c:pt idx="0">
                  <c:v>April</c:v>
                </c:pt>
                <c:pt idx="1">
                  <c:v>May</c:v>
                </c:pt>
                <c:pt idx="2">
                  <c:v>June</c:v>
                </c:pt>
                <c:pt idx="3">
                  <c:v>July</c:v>
                </c:pt>
                <c:pt idx="4">
                  <c:v>August</c:v>
                </c:pt>
                <c:pt idx="5">
                  <c:v>September</c:v>
                </c:pt>
                <c:pt idx="6">
                  <c:v>October</c:v>
                </c:pt>
                <c:pt idx="7">
                  <c:v>November</c:v>
                </c:pt>
                <c:pt idx="8">
                  <c:v>December</c:v>
                </c:pt>
                <c:pt idx="9">
                  <c:v>January</c:v>
                </c:pt>
                <c:pt idx="10">
                  <c:v>February</c:v>
                </c:pt>
                <c:pt idx="11">
                  <c:v>March</c:v>
                </c:pt>
              </c:strCache>
            </c:strRef>
          </c:cat>
          <c:val>
            <c:numRef>
              <c:f>'3.12 PSPP'!$F$11:$F$22</c:f>
              <c:numCache>
                <c:formatCode>0.0%</c:formatCode>
                <c:ptCount val="12"/>
                <c:pt idx="0">
                  <c:v>0.96199999999999997</c:v>
                </c:pt>
                <c:pt idx="1">
                  <c:v>0.95199999999999996</c:v>
                </c:pt>
                <c:pt idx="2">
                  <c:v>0.95799999999999996</c:v>
                </c:pt>
                <c:pt idx="3">
                  <c:v>0.95899999999999996</c:v>
                </c:pt>
                <c:pt idx="4">
                  <c:v>0.96199999999999997</c:v>
                </c:pt>
                <c:pt idx="5">
                  <c:v>0.95899999999999996</c:v>
                </c:pt>
                <c:pt idx="6">
                  <c:v>0.96099999999999997</c:v>
                </c:pt>
                <c:pt idx="7">
                  <c:v>0.96199999999999997</c:v>
                </c:pt>
                <c:pt idx="8">
                  <c:v>0.96099999999999997</c:v>
                </c:pt>
                <c:pt idx="9">
                  <c:v>0.95799999999999996</c:v>
                </c:pt>
                <c:pt idx="10">
                  <c:v>0.95299999999999996</c:v>
                </c:pt>
              </c:numCache>
            </c:numRef>
          </c:val>
        </c:ser>
        <c:dLbls>
          <c:showLegendKey val="0"/>
          <c:showVal val="0"/>
          <c:showCatName val="0"/>
          <c:showSerName val="0"/>
          <c:showPercent val="0"/>
          <c:showBubbleSize val="0"/>
        </c:dLbls>
        <c:gapWidth val="219"/>
        <c:axId val="541288216"/>
        <c:axId val="541288608"/>
      </c:barChart>
      <c:lineChart>
        <c:grouping val="standard"/>
        <c:varyColors val="0"/>
        <c:ser>
          <c:idx val="2"/>
          <c:order val="2"/>
          <c:tx>
            <c:strRef>
              <c:f>'3.12 PSPP'!$G$10</c:f>
              <c:strCache>
                <c:ptCount val="1"/>
                <c:pt idx="0">
                  <c:v>Target</c:v>
                </c:pt>
              </c:strCache>
            </c:strRef>
          </c:tx>
          <c:spPr>
            <a:ln w="25400">
              <a:solidFill>
                <a:srgbClr val="FF0000"/>
              </a:solidFill>
              <a:prstDash val="solid"/>
            </a:ln>
          </c:spPr>
          <c:marker>
            <c:symbol val="none"/>
          </c:marker>
          <c:cat>
            <c:strRef>
              <c:f>'3.12 PSPP'!$B$11:$B$22</c:f>
              <c:strCache>
                <c:ptCount val="12"/>
                <c:pt idx="0">
                  <c:v>April</c:v>
                </c:pt>
                <c:pt idx="1">
                  <c:v>May</c:v>
                </c:pt>
                <c:pt idx="2">
                  <c:v>June</c:v>
                </c:pt>
                <c:pt idx="3">
                  <c:v>July</c:v>
                </c:pt>
                <c:pt idx="4">
                  <c:v>August</c:v>
                </c:pt>
                <c:pt idx="5">
                  <c:v>September</c:v>
                </c:pt>
                <c:pt idx="6">
                  <c:v>October</c:v>
                </c:pt>
                <c:pt idx="7">
                  <c:v>November</c:v>
                </c:pt>
                <c:pt idx="8">
                  <c:v>December</c:v>
                </c:pt>
                <c:pt idx="9">
                  <c:v>January</c:v>
                </c:pt>
                <c:pt idx="10">
                  <c:v>February</c:v>
                </c:pt>
                <c:pt idx="11">
                  <c:v>March</c:v>
                </c:pt>
              </c:strCache>
            </c:strRef>
          </c:cat>
          <c:val>
            <c:numRef>
              <c:f>'3.12 PSPP'!$G$11:$G$22</c:f>
              <c:numCache>
                <c:formatCode>0.0%</c:formatCode>
                <c:ptCount val="12"/>
                <c:pt idx="0">
                  <c:v>0.95</c:v>
                </c:pt>
                <c:pt idx="1">
                  <c:v>0.95</c:v>
                </c:pt>
                <c:pt idx="2">
                  <c:v>0.95</c:v>
                </c:pt>
                <c:pt idx="3">
                  <c:v>0.95</c:v>
                </c:pt>
                <c:pt idx="4">
                  <c:v>0.95</c:v>
                </c:pt>
                <c:pt idx="5">
                  <c:v>0.95</c:v>
                </c:pt>
                <c:pt idx="6">
                  <c:v>0.95</c:v>
                </c:pt>
                <c:pt idx="7">
                  <c:v>0.95</c:v>
                </c:pt>
                <c:pt idx="8">
                  <c:v>0.95</c:v>
                </c:pt>
                <c:pt idx="9">
                  <c:v>0.95</c:v>
                </c:pt>
                <c:pt idx="10">
                  <c:v>0.95</c:v>
                </c:pt>
                <c:pt idx="11">
                  <c:v>0.95</c:v>
                </c:pt>
              </c:numCache>
            </c:numRef>
          </c:val>
          <c:smooth val="0"/>
        </c:ser>
        <c:dLbls>
          <c:showLegendKey val="0"/>
          <c:showVal val="0"/>
          <c:showCatName val="0"/>
          <c:showSerName val="0"/>
          <c:showPercent val="0"/>
          <c:showBubbleSize val="0"/>
        </c:dLbls>
        <c:marker val="1"/>
        <c:smooth val="0"/>
        <c:axId val="541288216"/>
        <c:axId val="541288608"/>
      </c:lineChart>
      <c:catAx>
        <c:axId val="5412882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41288608"/>
        <c:crosses val="autoZero"/>
        <c:auto val="1"/>
        <c:lblAlgn val="ctr"/>
        <c:lblOffset val="100"/>
        <c:noMultiLvlLbl val="0"/>
      </c:catAx>
      <c:valAx>
        <c:axId val="541288608"/>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ln w="6350">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41288216"/>
        <c:crosses val="autoZero"/>
        <c:crossBetween val="between"/>
      </c:valAx>
      <c:spPr>
        <a:noFill/>
        <a:ln w="25400">
          <a:noFill/>
        </a:ln>
      </c:spPr>
    </c:plotArea>
    <c:legend>
      <c:legendPos val="b"/>
      <c:overlay val="0"/>
      <c:spPr>
        <a:noFill/>
        <a:ln w="25400">
          <a:noFill/>
        </a:ln>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19050" cap="flat" cmpd="sng" algn="ctr">
      <a:solidFill>
        <a:schemeClr val="tx2">
          <a:lumMod val="40000"/>
          <a:lumOff val="60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Agency &amp; Bank Expenditure £'000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stacked"/>
        <c:varyColors val="0"/>
        <c:ser>
          <c:idx val="0"/>
          <c:order val="0"/>
          <c:tx>
            <c:strRef>
              <c:f>'3.4a Chart'!$L$17</c:f>
              <c:strCache>
                <c:ptCount val="1"/>
                <c:pt idx="0">
                  <c:v>AGENCY</c:v>
                </c:pt>
              </c:strCache>
            </c:strRef>
          </c:tx>
          <c:spPr>
            <a:solidFill>
              <a:schemeClr val="accent1"/>
            </a:solidFill>
            <a:ln>
              <a:noFill/>
            </a:ln>
            <a:effectLst/>
          </c:spPr>
          <c:invertIfNegative val="0"/>
          <c:cat>
            <c:strRef>
              <c:f>'3.4a Chart'!$K$18:$K$29</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'3.4a Chart'!$L$18:$L$29</c:f>
              <c:numCache>
                <c:formatCode>_-* #,##0_-;\-* #,##0_-;_-* "-"??_-;_-@_-</c:formatCode>
                <c:ptCount val="12"/>
                <c:pt idx="0">
                  <c:v>2741.3424999999984</c:v>
                </c:pt>
                <c:pt idx="1">
                  <c:v>3191.9174300000004</c:v>
                </c:pt>
                <c:pt idx="2">
                  <c:v>3092.0507899999993</c:v>
                </c:pt>
                <c:pt idx="3">
                  <c:v>3546.8636400000005</c:v>
                </c:pt>
                <c:pt idx="4">
                  <c:v>3501.74449</c:v>
                </c:pt>
                <c:pt idx="5">
                  <c:v>3455.4667099999988</c:v>
                </c:pt>
                <c:pt idx="6">
                  <c:v>3765.39525</c:v>
                </c:pt>
                <c:pt idx="7">
                  <c:v>3277.1334900000006</c:v>
                </c:pt>
                <c:pt idx="8">
                  <c:v>3485.8167599999992</c:v>
                </c:pt>
                <c:pt idx="9">
                  <c:v>3602.5684599999995</c:v>
                </c:pt>
                <c:pt idx="10">
                  <c:v>3598.3666399999997</c:v>
                </c:pt>
              </c:numCache>
            </c:numRef>
          </c:val>
        </c:ser>
        <c:ser>
          <c:idx val="1"/>
          <c:order val="1"/>
          <c:tx>
            <c:strRef>
              <c:f>'3.4a Chart'!$M$17</c:f>
              <c:strCache>
                <c:ptCount val="1"/>
                <c:pt idx="0">
                  <c:v>BANK</c:v>
                </c:pt>
              </c:strCache>
            </c:strRef>
          </c:tx>
          <c:spPr>
            <a:solidFill>
              <a:schemeClr val="accent2"/>
            </a:solidFill>
            <a:ln>
              <a:noFill/>
            </a:ln>
            <a:effectLst/>
          </c:spPr>
          <c:invertIfNegative val="0"/>
          <c:cat>
            <c:strRef>
              <c:f>'3.4a Chart'!$K$18:$K$29</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'3.4a Chart'!$M$18:$M$29</c:f>
              <c:numCache>
                <c:formatCode>_-* #,##0_-;\-* #,##0_-;_-* "-"??_-;_-@_-</c:formatCode>
                <c:ptCount val="12"/>
                <c:pt idx="0">
                  <c:v>1094.4134999999987</c:v>
                </c:pt>
                <c:pt idx="1">
                  <c:v>1232.0813699999997</c:v>
                </c:pt>
                <c:pt idx="2">
                  <c:v>1222.6753400000018</c:v>
                </c:pt>
                <c:pt idx="3">
                  <c:v>1327.4323800000011</c:v>
                </c:pt>
                <c:pt idx="4">
                  <c:v>1105.4132600000003</c:v>
                </c:pt>
                <c:pt idx="5">
                  <c:v>1117.2394199999999</c:v>
                </c:pt>
                <c:pt idx="6">
                  <c:v>1291.59914</c:v>
                </c:pt>
                <c:pt idx="7">
                  <c:v>1068.0407099999998</c:v>
                </c:pt>
                <c:pt idx="8">
                  <c:v>1091.6218100000019</c:v>
                </c:pt>
                <c:pt idx="9">
                  <c:v>1124.4100700000017</c:v>
                </c:pt>
                <c:pt idx="10">
                  <c:v>1162.1318600000006</c:v>
                </c:pt>
              </c:numCache>
            </c:numRef>
          </c:val>
        </c:ser>
        <c:dLbls>
          <c:showLegendKey val="0"/>
          <c:showVal val="0"/>
          <c:showCatName val="0"/>
          <c:showSerName val="0"/>
          <c:showPercent val="0"/>
          <c:showBubbleSize val="0"/>
        </c:dLbls>
        <c:gapWidth val="150"/>
        <c:overlap val="100"/>
        <c:axId val="554958360"/>
        <c:axId val="554958752"/>
      </c:barChart>
      <c:catAx>
        <c:axId val="5549583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54958752"/>
        <c:crosses val="autoZero"/>
        <c:auto val="1"/>
        <c:lblAlgn val="ctr"/>
        <c:lblOffset val="100"/>
        <c:noMultiLvlLbl val="0"/>
      </c:catAx>
      <c:valAx>
        <c:axId val="554958752"/>
        <c:scaling>
          <c:orientation val="minMax"/>
        </c:scaling>
        <c:delete val="0"/>
        <c:axPos val="l"/>
        <c:majorGridlines>
          <c:spPr>
            <a:ln w="9525" cap="flat" cmpd="sng" algn="ctr">
              <a:solidFill>
                <a:schemeClr val="tx1">
                  <a:lumMod val="15000"/>
                  <a:lumOff val="85000"/>
                </a:schemeClr>
              </a:solidFill>
              <a:round/>
            </a:ln>
            <a:effectLst/>
          </c:spPr>
        </c:majorGridlines>
        <c:numFmt formatCode="_-* #,##0_-;\-* #,##0_-;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549583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19050" cap="flat" cmpd="sng" algn="ctr">
      <a:solidFill>
        <a:schemeClr val="tx2">
          <a:lumMod val="40000"/>
          <a:lumOff val="60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Total Medical Pay Expenditure</a:t>
            </a:r>
            <a:r>
              <a:rPr lang="en-GB" baseline="0"/>
              <a:t> £'000</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'3.4d Chart'!$R$2</c:f>
              <c:strCache>
                <c:ptCount val="1"/>
                <c:pt idx="0">
                  <c:v>Plan</c:v>
                </c:pt>
              </c:strCache>
            </c:strRef>
          </c:tx>
          <c:spPr>
            <a:solidFill>
              <a:schemeClr val="accent1"/>
            </a:solidFill>
            <a:ln>
              <a:noFill/>
            </a:ln>
            <a:effectLst/>
          </c:spPr>
          <c:invertIfNegative val="0"/>
          <c:cat>
            <c:strRef>
              <c:f>'3.4d Chart'!$Q$3:$Q$14</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'3.4d Chart'!$R$3:$R$14</c:f>
              <c:numCache>
                <c:formatCode>_-* #,##0_-;\-* #,##0_-;_-* "-"??_-;_-@_-</c:formatCode>
                <c:ptCount val="12"/>
                <c:pt idx="0">
                  <c:v>10473.665000000001</c:v>
                </c:pt>
                <c:pt idx="1">
                  <c:v>10573.301670000001</c:v>
                </c:pt>
                <c:pt idx="2">
                  <c:v>10901.02233</c:v>
                </c:pt>
                <c:pt idx="3">
                  <c:v>10977.90533</c:v>
                </c:pt>
                <c:pt idx="4">
                  <c:v>11146.59433</c:v>
                </c:pt>
                <c:pt idx="5">
                  <c:v>10844.617920000001</c:v>
                </c:pt>
                <c:pt idx="6">
                  <c:v>12785.21393</c:v>
                </c:pt>
                <c:pt idx="7">
                  <c:v>11034.46233</c:v>
                </c:pt>
                <c:pt idx="8">
                  <c:v>11140.45133</c:v>
                </c:pt>
                <c:pt idx="9">
                  <c:v>11348.083329999999</c:v>
                </c:pt>
                <c:pt idx="10">
                  <c:v>11304.473330000001</c:v>
                </c:pt>
                <c:pt idx="11">
                  <c:v>11915.210359999999</c:v>
                </c:pt>
              </c:numCache>
            </c:numRef>
          </c:val>
        </c:ser>
        <c:ser>
          <c:idx val="1"/>
          <c:order val="1"/>
          <c:tx>
            <c:strRef>
              <c:f>'3.4d Chart'!$S$2</c:f>
              <c:strCache>
                <c:ptCount val="1"/>
                <c:pt idx="0">
                  <c:v>Actuals</c:v>
                </c:pt>
              </c:strCache>
            </c:strRef>
          </c:tx>
          <c:spPr>
            <a:solidFill>
              <a:schemeClr val="accent2"/>
            </a:solidFill>
            <a:ln>
              <a:noFill/>
            </a:ln>
            <a:effectLst/>
          </c:spPr>
          <c:invertIfNegative val="0"/>
          <c:cat>
            <c:strRef>
              <c:f>'3.4d Chart'!$Q$3:$Q$14</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'3.4d Chart'!$S$3:$S$14</c:f>
              <c:numCache>
                <c:formatCode>_-* #,##0_-;\-* #,##0_-;_-* "-"??_-;_-@_-</c:formatCode>
                <c:ptCount val="12"/>
                <c:pt idx="0">
                  <c:v>10992.253880000007</c:v>
                </c:pt>
                <c:pt idx="1">
                  <c:v>10943.786129999991</c:v>
                </c:pt>
                <c:pt idx="2">
                  <c:v>10805.892769999995</c:v>
                </c:pt>
                <c:pt idx="3">
                  <c:v>11405.063249999994</c:v>
                </c:pt>
                <c:pt idx="4">
                  <c:v>11240.392649999996</c:v>
                </c:pt>
                <c:pt idx="5">
                  <c:v>11029.791389999995</c:v>
                </c:pt>
                <c:pt idx="6">
                  <c:v>12981.734680000003</c:v>
                </c:pt>
                <c:pt idx="7">
                  <c:v>11405.04472</c:v>
                </c:pt>
                <c:pt idx="8">
                  <c:v>11552.7273</c:v>
                </c:pt>
                <c:pt idx="9">
                  <c:v>11632.469419999996</c:v>
                </c:pt>
                <c:pt idx="10">
                  <c:v>11474.454620000004</c:v>
                </c:pt>
              </c:numCache>
            </c:numRef>
          </c:val>
        </c:ser>
        <c:dLbls>
          <c:showLegendKey val="0"/>
          <c:showVal val="0"/>
          <c:showCatName val="0"/>
          <c:showSerName val="0"/>
          <c:showPercent val="0"/>
          <c:showBubbleSize val="0"/>
        </c:dLbls>
        <c:gapWidth val="219"/>
        <c:overlap val="-27"/>
        <c:axId val="554959536"/>
        <c:axId val="603179048"/>
      </c:barChart>
      <c:catAx>
        <c:axId val="5549595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03179048"/>
        <c:crosses val="autoZero"/>
        <c:auto val="1"/>
        <c:lblAlgn val="ctr"/>
        <c:lblOffset val="100"/>
        <c:noMultiLvlLbl val="0"/>
      </c:catAx>
      <c:valAx>
        <c:axId val="603179048"/>
        <c:scaling>
          <c:orientation val="minMax"/>
          <c:min val="10000"/>
        </c:scaling>
        <c:delete val="0"/>
        <c:axPos val="l"/>
        <c:majorGridlines>
          <c:spPr>
            <a:ln w="9525" cap="flat" cmpd="sng" algn="ctr">
              <a:solidFill>
                <a:schemeClr val="tx1">
                  <a:lumMod val="15000"/>
                  <a:lumOff val="85000"/>
                </a:schemeClr>
              </a:solidFill>
              <a:round/>
            </a:ln>
            <a:effectLst/>
          </c:spPr>
        </c:majorGridlines>
        <c:numFmt formatCode="_-* #,##0_-;\-* #,##0_-;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549595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19050" cap="flat" cmpd="sng" algn="ctr">
      <a:solidFill>
        <a:schemeClr val="tx2">
          <a:lumMod val="40000"/>
          <a:lumOff val="60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60" b="0" i="0" u="none" strike="noStrike" kern="1200" spc="0" baseline="0">
                <a:solidFill>
                  <a:schemeClr val="tx1">
                    <a:lumMod val="65000"/>
                    <a:lumOff val="35000"/>
                  </a:schemeClr>
                </a:solidFill>
                <a:latin typeface="+mn-lt"/>
                <a:ea typeface="+mn-ea"/>
                <a:cs typeface="+mn-cs"/>
              </a:defRPr>
            </a:pPr>
            <a:r>
              <a:rPr lang="en-US"/>
              <a:t>Current Month % </a:t>
            </a:r>
          </a:p>
        </c:rich>
      </c:tx>
      <c:overlay val="0"/>
      <c:spPr>
        <a:noFill/>
        <a:ln>
          <a:noFill/>
        </a:ln>
        <a:effectLst/>
      </c:spPr>
      <c:txPr>
        <a:bodyPr rot="0" spcFirstLastPara="1" vertOverflow="ellipsis" vert="horz" wrap="square" anchor="ctr" anchorCtr="1"/>
        <a:lstStyle/>
        <a:p>
          <a:pPr>
            <a:defRPr sz="96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doughnutChart>
        <c:varyColors val="1"/>
        <c:ser>
          <c:idx val="3"/>
          <c:order val="0"/>
          <c:tx>
            <c:strRef>
              <c:f>'3.4d Chart'!$Q$32</c:f>
              <c:strCache>
                <c:ptCount val="1"/>
                <c:pt idx="0">
                  <c:v>Current Mth</c:v>
                </c:pt>
              </c:strCache>
            </c:strRef>
          </c:tx>
          <c:dPt>
            <c:idx val="0"/>
            <c:bubble3D val="0"/>
            <c:spPr>
              <a:solidFill>
                <a:schemeClr val="accent1"/>
              </a:solidFill>
              <a:ln>
                <a:noFill/>
              </a:ln>
              <a:effectLst/>
            </c:spPr>
          </c:dPt>
          <c:dPt>
            <c:idx val="1"/>
            <c:bubble3D val="0"/>
            <c:spPr>
              <a:solidFill>
                <a:schemeClr val="accent2"/>
              </a:solidFill>
              <a:ln>
                <a:noFill/>
              </a:ln>
              <a:effectLst/>
            </c:spPr>
          </c:dPt>
          <c:dPt>
            <c:idx val="2"/>
            <c:bubble3D val="0"/>
            <c:spPr>
              <a:solidFill>
                <a:schemeClr val="accent3"/>
              </a:solidFill>
              <a:ln>
                <a:noFill/>
              </a:ln>
              <a:effectLst/>
            </c:spPr>
          </c:dPt>
          <c:dPt>
            <c:idx val="3"/>
            <c:bubble3D val="0"/>
            <c:spPr>
              <a:solidFill>
                <a:schemeClr val="accent4"/>
              </a:solidFill>
              <a:ln>
                <a:noFill/>
              </a:ln>
              <a:effectLst/>
            </c:spPr>
          </c:dPt>
          <c:dLbls>
            <c:dLbl>
              <c:idx val="0"/>
              <c:layout>
                <c:manualLayout>
                  <c:x val="4.7619047619047616E-2"/>
                  <c:y val="-0.13425925925925927"/>
                </c:manualLayout>
              </c:layout>
              <c:showLegendKey val="0"/>
              <c:showVal val="0"/>
              <c:showCatName val="0"/>
              <c:showSerName val="0"/>
              <c:showPercent val="1"/>
              <c:showBubbleSize val="0"/>
              <c:extLst>
                <c:ext xmlns:c15="http://schemas.microsoft.com/office/drawing/2012/chart" uri="{CE6537A1-D6FC-4f65-9D91-7224C49458BB}"/>
              </c:extLst>
            </c:dLbl>
            <c:dLbl>
              <c:idx val="1"/>
              <c:layout>
                <c:manualLayout>
                  <c:x val="7.4404761904761904E-2"/>
                  <c:y val="-9.2592592592592629E-2"/>
                </c:manualLayout>
              </c:layout>
              <c:showLegendKey val="0"/>
              <c:showVal val="0"/>
              <c:showCatName val="0"/>
              <c:showSerName val="0"/>
              <c:showPercent val="1"/>
              <c:showBubbleSize val="0"/>
              <c:extLst>
                <c:ext xmlns:c15="http://schemas.microsoft.com/office/drawing/2012/chart" uri="{CE6537A1-D6FC-4f65-9D91-7224C49458BB}"/>
              </c:extLst>
            </c:dLbl>
            <c:dLbl>
              <c:idx val="2"/>
              <c:layout>
                <c:manualLayout>
                  <c:x val="0.11011904761904762"/>
                  <c:y val="-5.5555555555555601E-2"/>
                </c:manualLayout>
              </c:layout>
              <c:showLegendKey val="0"/>
              <c:showVal val="0"/>
              <c:showCatName val="0"/>
              <c:showSerName val="0"/>
              <c:showPercent val="1"/>
              <c:showBubbleSize val="0"/>
              <c:extLst>
                <c:ext xmlns:c15="http://schemas.microsoft.com/office/drawing/2012/chart" uri="{CE6537A1-D6FC-4f65-9D91-7224C49458BB}"/>
              </c:extLst>
            </c:dLbl>
            <c:dLbl>
              <c:idx val="3"/>
              <c:layout>
                <c:manualLayout>
                  <c:x val="-0.13095238095238096"/>
                  <c:y val="3.7037037037037035E-2"/>
                </c:manualLayout>
              </c:layou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anchor="ctr" anchorCtr="1"/>
              <a:lstStyle/>
              <a:p>
                <a:pPr>
                  <a:defRPr sz="8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'3.4d Chart'!$R$17:$U$17</c:f>
              <c:strCache>
                <c:ptCount val="4"/>
                <c:pt idx="0">
                  <c:v>AGENCY</c:v>
                </c:pt>
                <c:pt idx="1">
                  <c:v>BANK</c:v>
                </c:pt>
                <c:pt idx="2">
                  <c:v>LOCUM</c:v>
                </c:pt>
                <c:pt idx="3">
                  <c:v>SUBSTANTIVE</c:v>
                </c:pt>
              </c:strCache>
            </c:strRef>
          </c:cat>
          <c:val>
            <c:numRef>
              <c:f>'3.4d Chart'!$R$32:$U$32</c:f>
              <c:numCache>
                <c:formatCode>_-* #,##0_-;\-* #,##0_-;_-* "-"??_-;_-@_-</c:formatCode>
                <c:ptCount val="4"/>
                <c:pt idx="0">
                  <c:v>1519.9988800000003</c:v>
                </c:pt>
                <c:pt idx="1">
                  <c:v>4</c:v>
                </c:pt>
                <c:pt idx="2">
                  <c:v>952.69188000000042</c:v>
                </c:pt>
                <c:pt idx="3">
                  <c:v>9001.7638600000028</c:v>
                </c:pt>
              </c:numCache>
            </c:numRef>
          </c:val>
        </c:ser>
        <c:dLbls>
          <c:showLegendKey val="0"/>
          <c:showVal val="0"/>
          <c:showCatName val="0"/>
          <c:showSerName val="0"/>
          <c:showPercent val="0"/>
          <c:showBubbleSize val="0"/>
          <c:showLeaderLines val="1"/>
        </c:dLbls>
        <c:firstSliceAng val="0"/>
        <c:holeSize val="71"/>
      </c:doughnutChart>
      <c:spPr>
        <a:noFill/>
        <a:ln>
          <a:noFill/>
        </a:ln>
        <a:effectLst/>
      </c:spPr>
    </c:plotArea>
    <c:legend>
      <c:legendPos val="r"/>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19050" cap="flat" cmpd="sng" algn="ctr">
      <a:solidFill>
        <a:schemeClr val="tx2">
          <a:lumMod val="40000"/>
          <a:lumOff val="60000"/>
        </a:schemeClr>
      </a:solidFill>
      <a:round/>
    </a:ln>
    <a:effectLst/>
  </c:spPr>
  <c:txPr>
    <a:bodyPr/>
    <a:lstStyle/>
    <a:p>
      <a:pPr>
        <a:defRPr sz="800"/>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60" b="0" i="0" u="none" strike="noStrike" kern="1200" spc="0" baseline="0">
                <a:solidFill>
                  <a:schemeClr val="tx1">
                    <a:lumMod val="65000"/>
                    <a:lumOff val="35000"/>
                  </a:schemeClr>
                </a:solidFill>
                <a:latin typeface="+mn-lt"/>
                <a:ea typeface="+mn-ea"/>
                <a:cs typeface="+mn-cs"/>
              </a:defRPr>
            </a:pPr>
            <a:r>
              <a:rPr lang="en-US"/>
              <a:t>Year to Date % </a:t>
            </a:r>
          </a:p>
        </c:rich>
      </c:tx>
      <c:overlay val="0"/>
      <c:spPr>
        <a:noFill/>
        <a:ln>
          <a:noFill/>
        </a:ln>
        <a:effectLst/>
      </c:spPr>
      <c:txPr>
        <a:bodyPr rot="0" spcFirstLastPara="1" vertOverflow="ellipsis" vert="horz" wrap="square" anchor="ctr" anchorCtr="1"/>
        <a:lstStyle/>
        <a:p>
          <a:pPr>
            <a:defRPr sz="96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doughnutChart>
        <c:varyColors val="1"/>
        <c:ser>
          <c:idx val="3"/>
          <c:order val="0"/>
          <c:tx>
            <c:strRef>
              <c:f>'3.4d Chart'!$Q$33</c:f>
              <c:strCache>
                <c:ptCount val="1"/>
                <c:pt idx="0">
                  <c:v>Cummulative</c:v>
                </c:pt>
              </c:strCache>
            </c:strRef>
          </c:tx>
          <c:dPt>
            <c:idx val="0"/>
            <c:bubble3D val="0"/>
            <c:spPr>
              <a:solidFill>
                <a:schemeClr val="accent1"/>
              </a:solidFill>
              <a:ln>
                <a:noFill/>
              </a:ln>
              <a:effectLst/>
            </c:spPr>
          </c:dPt>
          <c:dPt>
            <c:idx val="1"/>
            <c:bubble3D val="0"/>
            <c:spPr>
              <a:solidFill>
                <a:schemeClr val="accent2"/>
              </a:solidFill>
              <a:ln>
                <a:noFill/>
              </a:ln>
              <a:effectLst/>
            </c:spPr>
          </c:dPt>
          <c:dPt>
            <c:idx val="2"/>
            <c:bubble3D val="0"/>
            <c:spPr>
              <a:solidFill>
                <a:schemeClr val="accent3"/>
              </a:solidFill>
              <a:ln>
                <a:noFill/>
              </a:ln>
              <a:effectLst/>
            </c:spPr>
          </c:dPt>
          <c:dPt>
            <c:idx val="3"/>
            <c:bubble3D val="0"/>
            <c:spPr>
              <a:solidFill>
                <a:schemeClr val="accent4"/>
              </a:solidFill>
              <a:ln>
                <a:noFill/>
              </a:ln>
              <a:effectLst/>
            </c:spPr>
          </c:dPt>
          <c:dLbls>
            <c:dLbl>
              <c:idx val="0"/>
              <c:layout>
                <c:manualLayout>
                  <c:x val="4.7619047619047616E-2"/>
                  <c:y val="-0.13425925925925927"/>
                </c:manualLayout>
              </c:layout>
              <c:showLegendKey val="0"/>
              <c:showVal val="0"/>
              <c:showCatName val="0"/>
              <c:showSerName val="0"/>
              <c:showPercent val="1"/>
              <c:showBubbleSize val="0"/>
              <c:extLst>
                <c:ext xmlns:c15="http://schemas.microsoft.com/office/drawing/2012/chart" uri="{CE6537A1-D6FC-4f65-9D91-7224C49458BB}"/>
              </c:extLst>
            </c:dLbl>
            <c:dLbl>
              <c:idx val="1"/>
              <c:layout>
                <c:manualLayout>
                  <c:x val="7.4404761904761904E-2"/>
                  <c:y val="-9.2592592592592629E-2"/>
                </c:manualLayout>
              </c:layout>
              <c:showLegendKey val="0"/>
              <c:showVal val="0"/>
              <c:showCatName val="0"/>
              <c:showSerName val="0"/>
              <c:showPercent val="1"/>
              <c:showBubbleSize val="0"/>
              <c:extLst>
                <c:ext xmlns:c15="http://schemas.microsoft.com/office/drawing/2012/chart" uri="{CE6537A1-D6FC-4f65-9D91-7224C49458BB}"/>
              </c:extLst>
            </c:dLbl>
            <c:dLbl>
              <c:idx val="2"/>
              <c:layout>
                <c:manualLayout>
                  <c:x val="0.11011904761904762"/>
                  <c:y val="-5.5555555555555601E-2"/>
                </c:manualLayout>
              </c:layout>
              <c:showLegendKey val="0"/>
              <c:showVal val="0"/>
              <c:showCatName val="0"/>
              <c:showSerName val="0"/>
              <c:showPercent val="1"/>
              <c:showBubbleSize val="0"/>
              <c:extLst>
                <c:ext xmlns:c15="http://schemas.microsoft.com/office/drawing/2012/chart" uri="{CE6537A1-D6FC-4f65-9D91-7224C49458BB}"/>
              </c:extLst>
            </c:dLbl>
            <c:dLbl>
              <c:idx val="3"/>
              <c:layout>
                <c:manualLayout>
                  <c:x val="-0.13095238095238096"/>
                  <c:y val="3.7037037037037035E-2"/>
                </c:manualLayout>
              </c:layou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anchor="ctr" anchorCtr="1"/>
              <a:lstStyle/>
              <a:p>
                <a:pPr>
                  <a:defRPr sz="8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'3.4d Chart'!$R$17:$U$17</c:f>
              <c:strCache>
                <c:ptCount val="4"/>
                <c:pt idx="0">
                  <c:v>AGENCY</c:v>
                </c:pt>
                <c:pt idx="1">
                  <c:v>BANK</c:v>
                </c:pt>
                <c:pt idx="2">
                  <c:v>LOCUM</c:v>
                </c:pt>
                <c:pt idx="3">
                  <c:v>SUBSTANTIVE</c:v>
                </c:pt>
              </c:strCache>
            </c:strRef>
          </c:cat>
          <c:val>
            <c:numRef>
              <c:f>'3.4d Chart'!$R$33:$U$33</c:f>
              <c:numCache>
                <c:formatCode>_-* #,##0_-;\-* #,##0_-;_-* "-"??_-;_-@_-</c:formatCode>
                <c:ptCount val="4"/>
                <c:pt idx="0">
                  <c:v>18074.329699999998</c:v>
                </c:pt>
                <c:pt idx="1">
                  <c:v>10</c:v>
                </c:pt>
                <c:pt idx="2">
                  <c:v>9929.6845599999997</c:v>
                </c:pt>
                <c:pt idx="3">
                  <c:v>97459.596549999987</c:v>
                </c:pt>
              </c:numCache>
            </c:numRef>
          </c:val>
        </c:ser>
        <c:dLbls>
          <c:showLegendKey val="0"/>
          <c:showVal val="0"/>
          <c:showCatName val="0"/>
          <c:showSerName val="0"/>
          <c:showPercent val="0"/>
          <c:showBubbleSize val="0"/>
          <c:showLeaderLines val="1"/>
        </c:dLbls>
        <c:firstSliceAng val="0"/>
        <c:holeSize val="71"/>
      </c:doughnutChart>
      <c:spPr>
        <a:noFill/>
        <a:ln>
          <a:noFill/>
        </a:ln>
        <a:effectLst/>
      </c:spPr>
    </c:plotArea>
    <c:legend>
      <c:legendPos val="r"/>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19050" cap="flat" cmpd="sng" algn="ctr">
      <a:solidFill>
        <a:schemeClr val="tx2">
          <a:lumMod val="40000"/>
          <a:lumOff val="60000"/>
        </a:schemeClr>
      </a:solidFill>
      <a:round/>
    </a:ln>
    <a:effectLst/>
  </c:spPr>
  <c:txPr>
    <a:bodyPr/>
    <a:lstStyle/>
    <a:p>
      <a:pPr>
        <a:defRPr sz="800"/>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Agency Expenditure by Grade £'000</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stacked"/>
        <c:varyColors val="0"/>
        <c:ser>
          <c:idx val="0"/>
          <c:order val="0"/>
          <c:tx>
            <c:strRef>
              <c:f>'3.4d Chart'!$R$36</c:f>
              <c:strCache>
                <c:ptCount val="1"/>
                <c:pt idx="0">
                  <c:v>Consultant</c:v>
                </c:pt>
              </c:strCache>
            </c:strRef>
          </c:tx>
          <c:spPr>
            <a:solidFill>
              <a:schemeClr val="accent1"/>
            </a:solidFill>
            <a:ln>
              <a:noFill/>
            </a:ln>
            <a:effectLst/>
          </c:spPr>
          <c:invertIfNegative val="0"/>
          <c:cat>
            <c:strRef>
              <c:f>'3.4d Chart'!$Q$37:$Q$48</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'3.4d Chart'!$R$37:$R$48</c:f>
              <c:numCache>
                <c:formatCode>_-* #,##0_-;\-* #,##0_-;_-* "-"??_-;_-@_-</c:formatCode>
                <c:ptCount val="12"/>
                <c:pt idx="0">
                  <c:v>659.85576000000015</c:v>
                </c:pt>
                <c:pt idx="1">
                  <c:v>644.76978999999994</c:v>
                </c:pt>
                <c:pt idx="2">
                  <c:v>586.60711000000003</c:v>
                </c:pt>
                <c:pt idx="3">
                  <c:v>852.49317000000008</c:v>
                </c:pt>
                <c:pt idx="4">
                  <c:v>880.1909999999998</c:v>
                </c:pt>
                <c:pt idx="5">
                  <c:v>698.87560999999994</c:v>
                </c:pt>
                <c:pt idx="6">
                  <c:v>809.82587000000001</c:v>
                </c:pt>
                <c:pt idx="7">
                  <c:v>571.54069000000015</c:v>
                </c:pt>
                <c:pt idx="8">
                  <c:v>579.09534999999994</c:v>
                </c:pt>
                <c:pt idx="9">
                  <c:v>674.96006000000011</c:v>
                </c:pt>
                <c:pt idx="10">
                  <c:v>619.56105999999977</c:v>
                </c:pt>
              </c:numCache>
            </c:numRef>
          </c:val>
        </c:ser>
        <c:ser>
          <c:idx val="1"/>
          <c:order val="1"/>
          <c:tx>
            <c:strRef>
              <c:f>'3.4d Chart'!$S$36</c:f>
              <c:strCache>
                <c:ptCount val="1"/>
                <c:pt idx="0">
                  <c:v>Career Grade</c:v>
                </c:pt>
              </c:strCache>
            </c:strRef>
          </c:tx>
          <c:spPr>
            <a:solidFill>
              <a:schemeClr val="accent2"/>
            </a:solidFill>
            <a:ln>
              <a:noFill/>
            </a:ln>
            <a:effectLst/>
          </c:spPr>
          <c:invertIfNegative val="0"/>
          <c:cat>
            <c:strRef>
              <c:f>'3.4d Chart'!$Q$37:$Q$48</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'3.4d Chart'!$S$37:$S$48</c:f>
              <c:numCache>
                <c:formatCode>_-* #,##0_-;\-* #,##0_-;_-* "-"??_-;_-@_-</c:formatCode>
                <c:ptCount val="12"/>
                <c:pt idx="0">
                  <c:v>97.200910000000007</c:v>
                </c:pt>
                <c:pt idx="1">
                  <c:v>114.56103000000002</c:v>
                </c:pt>
                <c:pt idx="2">
                  <c:v>123.37795999999999</c:v>
                </c:pt>
                <c:pt idx="3">
                  <c:v>87.774690000000007</c:v>
                </c:pt>
                <c:pt idx="4">
                  <c:v>93.01397</c:v>
                </c:pt>
                <c:pt idx="5">
                  <c:v>108.45089</c:v>
                </c:pt>
                <c:pt idx="6">
                  <c:v>151.46333999999996</c:v>
                </c:pt>
                <c:pt idx="7">
                  <c:v>56.690719999999992</c:v>
                </c:pt>
                <c:pt idx="8">
                  <c:v>94.16624000000003</c:v>
                </c:pt>
                <c:pt idx="9">
                  <c:v>174.29358000000002</c:v>
                </c:pt>
                <c:pt idx="10">
                  <c:v>158.22749999999996</c:v>
                </c:pt>
              </c:numCache>
            </c:numRef>
          </c:val>
        </c:ser>
        <c:ser>
          <c:idx val="2"/>
          <c:order val="2"/>
          <c:tx>
            <c:strRef>
              <c:f>'3.4d Chart'!$T$36</c:f>
              <c:strCache>
                <c:ptCount val="1"/>
                <c:pt idx="0">
                  <c:v>Training Grade</c:v>
                </c:pt>
              </c:strCache>
            </c:strRef>
          </c:tx>
          <c:spPr>
            <a:solidFill>
              <a:schemeClr val="accent3"/>
            </a:solidFill>
            <a:ln>
              <a:noFill/>
            </a:ln>
            <a:effectLst/>
          </c:spPr>
          <c:invertIfNegative val="0"/>
          <c:cat>
            <c:strRef>
              <c:f>'3.4d Chart'!$Q$37:$Q$48</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'3.4d Chart'!$T$37:$T$48</c:f>
              <c:numCache>
                <c:formatCode>_-* #,##0_-;\-* #,##0_-;_-* "-"??_-;_-@_-</c:formatCode>
                <c:ptCount val="12"/>
                <c:pt idx="0">
                  <c:v>833.74637000000018</c:v>
                </c:pt>
                <c:pt idx="1">
                  <c:v>890.58045000000004</c:v>
                </c:pt>
                <c:pt idx="2">
                  <c:v>772.92793000000006</c:v>
                </c:pt>
                <c:pt idx="3">
                  <c:v>806.84889999999996</c:v>
                </c:pt>
                <c:pt idx="4">
                  <c:v>854.25882999999999</c:v>
                </c:pt>
                <c:pt idx="5">
                  <c:v>744.64366000000007</c:v>
                </c:pt>
                <c:pt idx="6">
                  <c:v>1101.7247399999997</c:v>
                </c:pt>
                <c:pt idx="7">
                  <c:v>808.26858000000004</c:v>
                </c:pt>
                <c:pt idx="8">
                  <c:v>902.61298999999974</c:v>
                </c:pt>
                <c:pt idx="9">
                  <c:v>705.34544000000017</c:v>
                </c:pt>
                <c:pt idx="10">
                  <c:v>742.2103199999998</c:v>
                </c:pt>
              </c:numCache>
            </c:numRef>
          </c:val>
        </c:ser>
        <c:ser>
          <c:idx val="3"/>
          <c:order val="3"/>
          <c:tx>
            <c:strRef>
              <c:f>'3.4d Chart'!$U$36</c:f>
              <c:strCache>
                <c:ptCount val="1"/>
                <c:pt idx="0">
                  <c:v>Other</c:v>
                </c:pt>
              </c:strCache>
            </c:strRef>
          </c:tx>
          <c:spPr>
            <a:solidFill>
              <a:schemeClr val="accent4"/>
            </a:solidFill>
            <a:ln>
              <a:noFill/>
            </a:ln>
            <a:effectLst/>
          </c:spPr>
          <c:invertIfNegative val="0"/>
          <c:cat>
            <c:strRef>
              <c:f>'3.4d Chart'!$Q$37:$Q$48</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'3.4d Chart'!$U$37:$U$48</c:f>
              <c:numCache>
                <c:formatCode>_-* #,##0_-;\-* #,##0_-;_-* "-"??_-;_-@_-</c:formatCode>
                <c:ptCount val="12"/>
                <c:pt idx="0">
                  <c:v>48.644080000000002</c:v>
                </c:pt>
                <c:pt idx="1">
                  <c:v>-7.0765600000000006</c:v>
                </c:pt>
                <c:pt idx="2">
                  <c:v>0.64900000000000002</c:v>
                </c:pt>
                <c:pt idx="3">
                  <c:v>0</c:v>
                </c:pt>
                <c:pt idx="4">
                  <c:v>18.844620000000003</c:v>
                </c:pt>
                <c:pt idx="5">
                  <c:v>0.2</c:v>
                </c:pt>
                <c:pt idx="6">
                  <c:v>0.1</c:v>
                </c:pt>
                <c:pt idx="7">
                  <c:v>12.604049999999999</c:v>
                </c:pt>
                <c:pt idx="8">
                  <c:v>0</c:v>
                </c:pt>
                <c:pt idx="9">
                  <c:v>0.2</c:v>
                </c:pt>
                <c:pt idx="10">
                  <c:v>0</c:v>
                </c:pt>
              </c:numCache>
            </c:numRef>
          </c:val>
        </c:ser>
        <c:dLbls>
          <c:showLegendKey val="0"/>
          <c:showVal val="0"/>
          <c:showCatName val="0"/>
          <c:showSerName val="0"/>
          <c:showPercent val="0"/>
          <c:showBubbleSize val="0"/>
        </c:dLbls>
        <c:gapWidth val="219"/>
        <c:overlap val="100"/>
        <c:axId val="605274120"/>
        <c:axId val="605274512"/>
      </c:barChart>
      <c:catAx>
        <c:axId val="6052741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05274512"/>
        <c:crosses val="autoZero"/>
        <c:auto val="1"/>
        <c:lblAlgn val="ctr"/>
        <c:lblOffset val="100"/>
        <c:noMultiLvlLbl val="0"/>
      </c:catAx>
      <c:valAx>
        <c:axId val="605274512"/>
        <c:scaling>
          <c:orientation val="minMax"/>
        </c:scaling>
        <c:delete val="0"/>
        <c:axPos val="l"/>
        <c:majorGridlines>
          <c:spPr>
            <a:ln w="9525" cap="flat" cmpd="sng" algn="ctr">
              <a:solidFill>
                <a:schemeClr val="tx1">
                  <a:lumMod val="15000"/>
                  <a:lumOff val="85000"/>
                </a:schemeClr>
              </a:solidFill>
              <a:round/>
            </a:ln>
            <a:effectLst/>
          </c:spPr>
        </c:majorGridlines>
        <c:numFmt formatCode="_-* #,##0_-;\-* #,##0_-;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052741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19050" cap="flat" cmpd="sng" algn="ctr">
      <a:solidFill>
        <a:schemeClr val="tx2">
          <a:lumMod val="40000"/>
          <a:lumOff val="60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Total Pay Expenditure</a:t>
            </a:r>
            <a:r>
              <a:rPr lang="en-GB" baseline="0"/>
              <a:t> £'000</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'3.4e Chart'!$R$2</c:f>
              <c:strCache>
                <c:ptCount val="1"/>
                <c:pt idx="0">
                  <c:v>Plan</c:v>
                </c:pt>
              </c:strCache>
            </c:strRef>
          </c:tx>
          <c:spPr>
            <a:solidFill>
              <a:schemeClr val="accent1"/>
            </a:solidFill>
            <a:ln>
              <a:noFill/>
            </a:ln>
            <a:effectLst/>
          </c:spPr>
          <c:invertIfNegative val="0"/>
          <c:cat>
            <c:strRef>
              <c:f>'3.4e Chart'!$Q$3:$Q$14</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'3.4e Chart'!$R$3:$R$14</c:f>
              <c:numCache>
                <c:formatCode>_-* #,##0_-;\-* #,##0_-;_-* "-"??_-;_-@_-</c:formatCode>
                <c:ptCount val="12"/>
                <c:pt idx="0">
                  <c:v>4108.6790000000001</c:v>
                </c:pt>
                <c:pt idx="1">
                  <c:v>4118.9639999999999</c:v>
                </c:pt>
                <c:pt idx="2">
                  <c:v>4044.8150000000001</c:v>
                </c:pt>
                <c:pt idx="3">
                  <c:v>3986.877</c:v>
                </c:pt>
                <c:pt idx="4">
                  <c:v>4034.84</c:v>
                </c:pt>
                <c:pt idx="5">
                  <c:v>4499.3370000000004</c:v>
                </c:pt>
                <c:pt idx="6">
                  <c:v>4103.348</c:v>
                </c:pt>
                <c:pt idx="7">
                  <c:v>4369.308</c:v>
                </c:pt>
                <c:pt idx="8">
                  <c:v>4274.616</c:v>
                </c:pt>
                <c:pt idx="9">
                  <c:v>4298.5420000000004</c:v>
                </c:pt>
                <c:pt idx="10">
                  <c:v>4301.027</c:v>
                </c:pt>
                <c:pt idx="11">
                  <c:v>4306.1592199999996</c:v>
                </c:pt>
              </c:numCache>
            </c:numRef>
          </c:val>
        </c:ser>
        <c:ser>
          <c:idx val="1"/>
          <c:order val="1"/>
          <c:tx>
            <c:strRef>
              <c:f>'3.4e Chart'!$S$2</c:f>
              <c:strCache>
                <c:ptCount val="1"/>
                <c:pt idx="0">
                  <c:v>Actuals</c:v>
                </c:pt>
              </c:strCache>
            </c:strRef>
          </c:tx>
          <c:spPr>
            <a:solidFill>
              <a:schemeClr val="accent2"/>
            </a:solidFill>
            <a:ln>
              <a:noFill/>
            </a:ln>
            <a:effectLst/>
          </c:spPr>
          <c:invertIfNegative val="0"/>
          <c:cat>
            <c:strRef>
              <c:f>'3.4e Chart'!$Q$3:$Q$14</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'3.4e Chart'!$S$3:$S$14</c:f>
              <c:numCache>
                <c:formatCode>_-* #,##0_-;\-* #,##0_-;_-* "-"??_-;_-@_-</c:formatCode>
                <c:ptCount val="12"/>
                <c:pt idx="0">
                  <c:v>4061.8789600000009</c:v>
                </c:pt>
                <c:pt idx="1">
                  <c:v>4130.7746899999956</c:v>
                </c:pt>
                <c:pt idx="2">
                  <c:v>4196.4469100000015</c:v>
                </c:pt>
                <c:pt idx="3">
                  <c:v>4360.0132400000011</c:v>
                </c:pt>
                <c:pt idx="4">
                  <c:v>4181.1543899999988</c:v>
                </c:pt>
                <c:pt idx="5">
                  <c:v>4440.5380800000003</c:v>
                </c:pt>
                <c:pt idx="6">
                  <c:v>4316.0052600000035</c:v>
                </c:pt>
                <c:pt idx="7">
                  <c:v>4232.0923200000007</c:v>
                </c:pt>
                <c:pt idx="8">
                  <c:v>4273.1729500000001</c:v>
                </c:pt>
                <c:pt idx="9">
                  <c:v>4399.780749999999</c:v>
                </c:pt>
                <c:pt idx="10">
                  <c:v>4261.9804599999979</c:v>
                </c:pt>
              </c:numCache>
            </c:numRef>
          </c:val>
        </c:ser>
        <c:dLbls>
          <c:showLegendKey val="0"/>
          <c:showVal val="0"/>
          <c:showCatName val="0"/>
          <c:showSerName val="0"/>
          <c:showPercent val="0"/>
          <c:showBubbleSize val="0"/>
        </c:dLbls>
        <c:gapWidth val="219"/>
        <c:overlap val="-27"/>
        <c:axId val="603180224"/>
        <c:axId val="652646520"/>
      </c:barChart>
      <c:catAx>
        <c:axId val="6031802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52646520"/>
        <c:crosses val="autoZero"/>
        <c:auto val="1"/>
        <c:lblAlgn val="ctr"/>
        <c:lblOffset val="100"/>
        <c:noMultiLvlLbl val="0"/>
      </c:catAx>
      <c:valAx>
        <c:axId val="652646520"/>
        <c:scaling>
          <c:orientation val="minMax"/>
        </c:scaling>
        <c:delete val="0"/>
        <c:axPos val="l"/>
        <c:majorGridlines>
          <c:spPr>
            <a:ln w="9525" cap="flat" cmpd="sng" algn="ctr">
              <a:solidFill>
                <a:schemeClr val="tx1">
                  <a:lumMod val="15000"/>
                  <a:lumOff val="85000"/>
                </a:schemeClr>
              </a:solidFill>
              <a:round/>
            </a:ln>
            <a:effectLst/>
          </c:spPr>
        </c:majorGridlines>
        <c:numFmt formatCode="_-* #,##0_-;\-* #,##0_-;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031802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19050" cap="flat" cmpd="sng" algn="ctr">
      <a:solidFill>
        <a:schemeClr val="tx2">
          <a:lumMod val="40000"/>
          <a:lumOff val="60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60" b="0" i="0" u="none" strike="noStrike" kern="1200" spc="0" baseline="0">
                <a:solidFill>
                  <a:schemeClr val="tx1">
                    <a:lumMod val="65000"/>
                    <a:lumOff val="35000"/>
                  </a:schemeClr>
                </a:solidFill>
                <a:latin typeface="+mn-lt"/>
                <a:ea typeface="+mn-ea"/>
                <a:cs typeface="+mn-cs"/>
              </a:defRPr>
            </a:pPr>
            <a:r>
              <a:rPr lang="en-US"/>
              <a:t>Current Month % </a:t>
            </a:r>
          </a:p>
        </c:rich>
      </c:tx>
      <c:overlay val="0"/>
      <c:spPr>
        <a:noFill/>
        <a:ln>
          <a:noFill/>
        </a:ln>
        <a:effectLst/>
      </c:spPr>
      <c:txPr>
        <a:bodyPr rot="0" spcFirstLastPara="1" vertOverflow="ellipsis" vert="horz" wrap="square" anchor="ctr" anchorCtr="1"/>
        <a:lstStyle/>
        <a:p>
          <a:pPr>
            <a:defRPr sz="96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doughnutChart>
        <c:varyColors val="1"/>
        <c:ser>
          <c:idx val="3"/>
          <c:order val="0"/>
          <c:tx>
            <c:strRef>
              <c:f>'3.4e Chart'!$Q$32</c:f>
              <c:strCache>
                <c:ptCount val="1"/>
                <c:pt idx="0">
                  <c:v>Current Mth</c:v>
                </c:pt>
              </c:strCache>
            </c:strRef>
          </c:tx>
          <c:dPt>
            <c:idx val="0"/>
            <c:bubble3D val="0"/>
            <c:spPr>
              <a:solidFill>
                <a:schemeClr val="accent1"/>
              </a:solidFill>
              <a:ln>
                <a:noFill/>
              </a:ln>
              <a:effectLst/>
            </c:spPr>
          </c:dPt>
          <c:dPt>
            <c:idx val="1"/>
            <c:bubble3D val="0"/>
            <c:spPr>
              <a:solidFill>
                <a:schemeClr val="accent2"/>
              </a:solidFill>
              <a:ln>
                <a:noFill/>
              </a:ln>
              <a:effectLst/>
            </c:spPr>
          </c:dPt>
          <c:dPt>
            <c:idx val="2"/>
            <c:bubble3D val="0"/>
            <c:spPr>
              <a:solidFill>
                <a:schemeClr val="accent3"/>
              </a:solidFill>
              <a:ln>
                <a:noFill/>
              </a:ln>
              <a:effectLst/>
            </c:spPr>
          </c:dPt>
          <c:dPt>
            <c:idx val="3"/>
            <c:bubble3D val="0"/>
            <c:spPr>
              <a:solidFill>
                <a:schemeClr val="accent4"/>
              </a:solidFill>
              <a:ln>
                <a:noFill/>
              </a:ln>
              <a:effectLst/>
            </c:spPr>
          </c:dPt>
          <c:dLbls>
            <c:dLbl>
              <c:idx val="0"/>
              <c:layout>
                <c:manualLayout>
                  <c:x val="4.7619047619047616E-2"/>
                  <c:y val="-0.13425925925925927"/>
                </c:manualLayout>
              </c:layout>
              <c:showLegendKey val="0"/>
              <c:showVal val="0"/>
              <c:showCatName val="0"/>
              <c:showSerName val="0"/>
              <c:showPercent val="1"/>
              <c:showBubbleSize val="0"/>
              <c:extLst>
                <c:ext xmlns:c15="http://schemas.microsoft.com/office/drawing/2012/chart" uri="{CE6537A1-D6FC-4f65-9D91-7224C49458BB}"/>
              </c:extLst>
            </c:dLbl>
            <c:dLbl>
              <c:idx val="1"/>
              <c:layout>
                <c:manualLayout>
                  <c:x val="7.4404761904761904E-2"/>
                  <c:y val="-9.2592592592592629E-2"/>
                </c:manualLayout>
              </c:layout>
              <c:showLegendKey val="0"/>
              <c:showVal val="0"/>
              <c:showCatName val="0"/>
              <c:showSerName val="0"/>
              <c:showPercent val="1"/>
              <c:showBubbleSize val="0"/>
              <c:extLst>
                <c:ext xmlns:c15="http://schemas.microsoft.com/office/drawing/2012/chart" uri="{CE6537A1-D6FC-4f65-9D91-7224C49458BB}"/>
              </c:extLst>
            </c:dLbl>
            <c:dLbl>
              <c:idx val="2"/>
              <c:layout>
                <c:manualLayout>
                  <c:x val="0.11011904761904762"/>
                  <c:y val="-5.5555555555555601E-2"/>
                </c:manualLayout>
              </c:layout>
              <c:showLegendKey val="0"/>
              <c:showVal val="0"/>
              <c:showCatName val="0"/>
              <c:showSerName val="0"/>
              <c:showPercent val="1"/>
              <c:showBubbleSize val="0"/>
              <c:extLst>
                <c:ext xmlns:c15="http://schemas.microsoft.com/office/drawing/2012/chart" uri="{CE6537A1-D6FC-4f65-9D91-7224C49458BB}"/>
              </c:extLst>
            </c:dLbl>
            <c:dLbl>
              <c:idx val="3"/>
              <c:layout>
                <c:manualLayout>
                  <c:x val="-0.13095238095238096"/>
                  <c:y val="3.7037037037037035E-2"/>
                </c:manualLayout>
              </c:layou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anchor="ctr" anchorCtr="1"/>
              <a:lstStyle/>
              <a:p>
                <a:pPr>
                  <a:defRPr sz="8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'3.4e Chart'!$R$17:$U$17</c:f>
              <c:strCache>
                <c:ptCount val="4"/>
                <c:pt idx="0">
                  <c:v>AGENCY</c:v>
                </c:pt>
                <c:pt idx="1">
                  <c:v>BANK</c:v>
                </c:pt>
                <c:pt idx="2">
                  <c:v>LOCUM</c:v>
                </c:pt>
                <c:pt idx="3">
                  <c:v>SUBSTANTIVE</c:v>
                </c:pt>
              </c:strCache>
            </c:strRef>
          </c:cat>
          <c:val>
            <c:numRef>
              <c:f>'3.4e Chart'!$R$32:$U$32</c:f>
              <c:numCache>
                <c:formatCode>_-* #,##0_-;\-* #,##0_-;_-* "-"??_-;_-@_-</c:formatCode>
                <c:ptCount val="4"/>
                <c:pt idx="0">
                  <c:v>1054.7799300000001</c:v>
                </c:pt>
                <c:pt idx="1">
                  <c:v>46.807660000000006</c:v>
                </c:pt>
                <c:pt idx="2">
                  <c:v>0</c:v>
                </c:pt>
                <c:pt idx="3">
                  <c:v>3160.3928699999979</c:v>
                </c:pt>
              </c:numCache>
            </c:numRef>
          </c:val>
        </c:ser>
        <c:dLbls>
          <c:showLegendKey val="0"/>
          <c:showVal val="0"/>
          <c:showCatName val="0"/>
          <c:showSerName val="0"/>
          <c:showPercent val="0"/>
          <c:showBubbleSize val="0"/>
          <c:showLeaderLines val="1"/>
        </c:dLbls>
        <c:firstSliceAng val="0"/>
        <c:holeSize val="71"/>
      </c:doughnutChart>
      <c:spPr>
        <a:noFill/>
        <a:ln>
          <a:noFill/>
        </a:ln>
        <a:effectLst/>
      </c:spPr>
    </c:plotArea>
    <c:legend>
      <c:legendPos val="r"/>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19050" cap="flat" cmpd="sng" algn="ctr">
      <a:solidFill>
        <a:schemeClr val="tx2">
          <a:lumMod val="40000"/>
          <a:lumOff val="60000"/>
        </a:schemeClr>
      </a:solidFill>
      <a:round/>
    </a:ln>
    <a:effectLst/>
  </c:spPr>
  <c:txPr>
    <a:bodyPr/>
    <a:lstStyle/>
    <a:p>
      <a:pPr>
        <a:defRPr sz="800"/>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60" b="0" i="0" u="none" strike="noStrike" kern="1200" spc="0" baseline="0">
                <a:solidFill>
                  <a:schemeClr val="tx1">
                    <a:lumMod val="65000"/>
                    <a:lumOff val="35000"/>
                  </a:schemeClr>
                </a:solidFill>
                <a:latin typeface="+mn-lt"/>
                <a:ea typeface="+mn-ea"/>
                <a:cs typeface="+mn-cs"/>
              </a:defRPr>
            </a:pPr>
            <a:r>
              <a:rPr lang="en-US"/>
              <a:t>Year to Date % </a:t>
            </a:r>
          </a:p>
        </c:rich>
      </c:tx>
      <c:overlay val="0"/>
      <c:spPr>
        <a:noFill/>
        <a:ln>
          <a:noFill/>
        </a:ln>
        <a:effectLst/>
      </c:spPr>
      <c:txPr>
        <a:bodyPr rot="0" spcFirstLastPara="1" vertOverflow="ellipsis" vert="horz" wrap="square" anchor="ctr" anchorCtr="1"/>
        <a:lstStyle/>
        <a:p>
          <a:pPr>
            <a:defRPr sz="96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doughnutChart>
        <c:varyColors val="1"/>
        <c:ser>
          <c:idx val="3"/>
          <c:order val="0"/>
          <c:tx>
            <c:strRef>
              <c:f>'3.4e Chart'!$Q$33</c:f>
              <c:strCache>
                <c:ptCount val="1"/>
                <c:pt idx="0">
                  <c:v>Cummulative</c:v>
                </c:pt>
              </c:strCache>
            </c:strRef>
          </c:tx>
          <c:dPt>
            <c:idx val="0"/>
            <c:bubble3D val="0"/>
            <c:spPr>
              <a:solidFill>
                <a:schemeClr val="accent1"/>
              </a:solidFill>
              <a:ln>
                <a:noFill/>
              </a:ln>
              <a:effectLst/>
            </c:spPr>
          </c:dPt>
          <c:dPt>
            <c:idx val="1"/>
            <c:bubble3D val="0"/>
            <c:spPr>
              <a:solidFill>
                <a:schemeClr val="accent2"/>
              </a:solidFill>
              <a:ln>
                <a:noFill/>
              </a:ln>
              <a:effectLst/>
            </c:spPr>
          </c:dPt>
          <c:dPt>
            <c:idx val="2"/>
            <c:bubble3D val="0"/>
            <c:spPr>
              <a:solidFill>
                <a:schemeClr val="accent3"/>
              </a:solidFill>
              <a:ln>
                <a:noFill/>
              </a:ln>
              <a:effectLst/>
            </c:spPr>
          </c:dPt>
          <c:dPt>
            <c:idx val="3"/>
            <c:bubble3D val="0"/>
            <c:spPr>
              <a:solidFill>
                <a:schemeClr val="accent4"/>
              </a:solidFill>
              <a:ln>
                <a:noFill/>
              </a:ln>
              <a:effectLst/>
            </c:spPr>
          </c:dPt>
          <c:dLbls>
            <c:dLbl>
              <c:idx val="0"/>
              <c:layout>
                <c:manualLayout>
                  <c:x val="4.7619047619047616E-2"/>
                  <c:y val="-0.13425925925925927"/>
                </c:manualLayout>
              </c:layout>
              <c:showLegendKey val="0"/>
              <c:showVal val="0"/>
              <c:showCatName val="0"/>
              <c:showSerName val="0"/>
              <c:showPercent val="1"/>
              <c:showBubbleSize val="0"/>
              <c:extLst>
                <c:ext xmlns:c15="http://schemas.microsoft.com/office/drawing/2012/chart" uri="{CE6537A1-D6FC-4f65-9D91-7224C49458BB}"/>
              </c:extLst>
            </c:dLbl>
            <c:dLbl>
              <c:idx val="1"/>
              <c:layout>
                <c:manualLayout>
                  <c:x val="7.4404761904761904E-2"/>
                  <c:y val="-9.2592592592592629E-2"/>
                </c:manualLayout>
              </c:layout>
              <c:showLegendKey val="0"/>
              <c:showVal val="0"/>
              <c:showCatName val="0"/>
              <c:showSerName val="0"/>
              <c:showPercent val="1"/>
              <c:showBubbleSize val="0"/>
              <c:extLst>
                <c:ext xmlns:c15="http://schemas.microsoft.com/office/drawing/2012/chart" uri="{CE6537A1-D6FC-4f65-9D91-7224C49458BB}"/>
              </c:extLst>
            </c:dLbl>
            <c:dLbl>
              <c:idx val="2"/>
              <c:layout>
                <c:manualLayout>
                  <c:x val="0.11011904761904762"/>
                  <c:y val="-5.5555555555555601E-2"/>
                </c:manualLayout>
              </c:layout>
              <c:showLegendKey val="0"/>
              <c:showVal val="0"/>
              <c:showCatName val="0"/>
              <c:showSerName val="0"/>
              <c:showPercent val="1"/>
              <c:showBubbleSize val="0"/>
              <c:extLst>
                <c:ext xmlns:c15="http://schemas.microsoft.com/office/drawing/2012/chart" uri="{CE6537A1-D6FC-4f65-9D91-7224C49458BB}"/>
              </c:extLst>
            </c:dLbl>
            <c:dLbl>
              <c:idx val="3"/>
              <c:layout>
                <c:manualLayout>
                  <c:x val="-0.13095238095238096"/>
                  <c:y val="3.7037037037037035E-2"/>
                </c:manualLayout>
              </c:layou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anchor="ctr" anchorCtr="1"/>
              <a:lstStyle/>
              <a:p>
                <a:pPr>
                  <a:defRPr sz="8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'3.4e Chart'!$R$17:$U$17</c:f>
              <c:strCache>
                <c:ptCount val="4"/>
                <c:pt idx="0">
                  <c:v>AGENCY</c:v>
                </c:pt>
                <c:pt idx="1">
                  <c:v>BANK</c:v>
                </c:pt>
                <c:pt idx="2">
                  <c:v>LOCUM</c:v>
                </c:pt>
                <c:pt idx="3">
                  <c:v>SUBSTANTIVE</c:v>
                </c:pt>
              </c:strCache>
            </c:strRef>
          </c:cat>
          <c:val>
            <c:numRef>
              <c:f>'3.4e Chart'!$R$33:$U$33</c:f>
              <c:numCache>
                <c:formatCode>_-* #,##0_-;\-* #,##0_-;_-* "-"??_-;_-@_-</c:formatCode>
                <c:ptCount val="4"/>
                <c:pt idx="0">
                  <c:v>11748.707660000002</c:v>
                </c:pt>
                <c:pt idx="1">
                  <c:v>572.88613999999995</c:v>
                </c:pt>
                <c:pt idx="2">
                  <c:v>0</c:v>
                </c:pt>
                <c:pt idx="3">
                  <c:v>34532.244209999997</c:v>
                </c:pt>
              </c:numCache>
            </c:numRef>
          </c:val>
        </c:ser>
        <c:dLbls>
          <c:showLegendKey val="0"/>
          <c:showVal val="0"/>
          <c:showCatName val="0"/>
          <c:showSerName val="0"/>
          <c:showPercent val="0"/>
          <c:showBubbleSize val="0"/>
          <c:showLeaderLines val="1"/>
        </c:dLbls>
        <c:firstSliceAng val="0"/>
        <c:holeSize val="71"/>
      </c:doughnutChart>
      <c:spPr>
        <a:noFill/>
        <a:ln>
          <a:noFill/>
        </a:ln>
        <a:effectLst/>
      </c:spPr>
    </c:plotArea>
    <c:legend>
      <c:legendPos val="r"/>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19050" cap="flat" cmpd="sng" algn="ctr">
      <a:solidFill>
        <a:schemeClr val="tx2">
          <a:lumMod val="40000"/>
          <a:lumOff val="60000"/>
        </a:schemeClr>
      </a:solidFill>
      <a:round/>
    </a:ln>
    <a:effectLst/>
  </c:spPr>
  <c:txPr>
    <a:bodyPr/>
    <a:lstStyle/>
    <a:p>
      <a:pPr>
        <a:defRPr sz="800"/>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987A5A694EE8443F9604607F35AF94DA"/>
        <w:category>
          <w:name w:val="General"/>
          <w:gallery w:val="placeholder"/>
        </w:category>
        <w:types>
          <w:type w:val="bbPlcHdr"/>
        </w:types>
        <w:behaviors>
          <w:behavior w:val="content"/>
        </w:behaviors>
        <w:guid w:val="{15B15199-538C-4805-B740-80174F238EA6}"/>
      </w:docPartPr>
      <w:docPartBody>
        <w:p w:rsidR="00EA624B" w:rsidRDefault="003B75CD" w:rsidP="003B75CD">
          <w:pPr>
            <w:pStyle w:val="987A5A694EE8443F9604607F35AF94DA"/>
          </w:pPr>
          <w:r w:rsidRPr="00E23B12">
            <w:rPr>
              <w:rStyle w:val="PlaceholderText"/>
              <w:rFonts w:ascii="Verdana" w:hAnsi="Verdana"/>
              <w:sz w:val="24"/>
              <w:szCs w:val="24"/>
            </w:rPr>
            <w:t>Choose an item.</w:t>
          </w:r>
        </w:p>
      </w:docPartBody>
    </w:docPart>
    <w:docPart>
      <w:docPartPr>
        <w:name w:val="10FB2D1BBA7C43838499C3A8D6A1E0A7"/>
        <w:category>
          <w:name w:val="General"/>
          <w:gallery w:val="placeholder"/>
        </w:category>
        <w:types>
          <w:type w:val="bbPlcHdr"/>
        </w:types>
        <w:behaviors>
          <w:behavior w:val="content"/>
        </w:behaviors>
        <w:guid w:val="{E275A9EB-3067-40D4-A894-8698FC905677}"/>
      </w:docPartPr>
      <w:docPartBody>
        <w:p w:rsidR="00EA624B" w:rsidRDefault="003B75CD" w:rsidP="003B75CD">
          <w:pPr>
            <w:pStyle w:val="10FB2D1BBA7C43838499C3A8D6A1E0A7"/>
          </w:pPr>
          <w:r w:rsidRPr="00E23B12">
            <w:rPr>
              <w:rStyle w:val="PlaceholderText"/>
              <w:rFonts w:ascii="Verdana" w:hAnsi="Verdana"/>
              <w:sz w:val="24"/>
              <w:szCs w:val="24"/>
            </w:rPr>
            <w:t>Choose an item.</w:t>
          </w:r>
        </w:p>
      </w:docPartBody>
    </w:docPart>
    <w:docPart>
      <w:docPartPr>
        <w:name w:val="D586FD882EDF44FEAE925709C0826600"/>
        <w:category>
          <w:name w:val="General"/>
          <w:gallery w:val="placeholder"/>
        </w:category>
        <w:types>
          <w:type w:val="bbPlcHdr"/>
        </w:types>
        <w:behaviors>
          <w:behavior w:val="content"/>
        </w:behaviors>
        <w:guid w:val="{CA820863-FAAA-4FCB-A076-EB1CEB2E0BA3}"/>
      </w:docPartPr>
      <w:docPartBody>
        <w:p w:rsidR="00EA624B" w:rsidRDefault="003B75CD" w:rsidP="003B75CD">
          <w:pPr>
            <w:pStyle w:val="D586FD882EDF44FEAE925709C0826600"/>
          </w:pPr>
          <w:r w:rsidRPr="00E23B12">
            <w:rPr>
              <w:rStyle w:val="PlaceholderText"/>
              <w:rFonts w:ascii="Verdana" w:hAnsi="Verdana"/>
              <w:sz w:val="24"/>
              <w:szCs w:val="24"/>
            </w:rPr>
            <w:t>Choose an item.</w:t>
          </w:r>
        </w:p>
      </w:docPartBody>
    </w:docPart>
    <w:docPart>
      <w:docPartPr>
        <w:name w:val="70488F4BB29A4D93A15374AE30F5A400"/>
        <w:category>
          <w:name w:val="General"/>
          <w:gallery w:val="placeholder"/>
        </w:category>
        <w:types>
          <w:type w:val="bbPlcHdr"/>
        </w:types>
        <w:behaviors>
          <w:behavior w:val="content"/>
        </w:behaviors>
        <w:guid w:val="{C5070215-FC1B-4CB2-9234-2AC4A6E0BD74}"/>
      </w:docPartPr>
      <w:docPartBody>
        <w:p w:rsidR="00EA624B" w:rsidRDefault="003B75CD" w:rsidP="003B75CD">
          <w:pPr>
            <w:pStyle w:val="70488F4BB29A4D93A15374AE30F5A400"/>
          </w:pPr>
          <w:r w:rsidRPr="00E23B12">
            <w:rPr>
              <w:rStyle w:val="PlaceholderText"/>
              <w:rFonts w:ascii="Verdana" w:hAnsi="Verdana"/>
              <w:sz w:val="24"/>
              <w:szCs w:val="24"/>
            </w:rPr>
            <w:t>Choose an item.</w:t>
          </w:r>
        </w:p>
      </w:docPartBody>
    </w:docPart>
    <w:docPart>
      <w:docPartPr>
        <w:name w:val="CA2594274A1645F4B95FBA7C53744926"/>
        <w:category>
          <w:name w:val="General"/>
          <w:gallery w:val="placeholder"/>
        </w:category>
        <w:types>
          <w:type w:val="bbPlcHdr"/>
        </w:types>
        <w:behaviors>
          <w:behavior w:val="content"/>
        </w:behaviors>
        <w:guid w:val="{70DBE427-17AC-454E-8929-7376A38DEA50}"/>
      </w:docPartPr>
      <w:docPartBody>
        <w:p w:rsidR="00EA624B" w:rsidRDefault="003B75CD" w:rsidP="003B75CD">
          <w:pPr>
            <w:pStyle w:val="CA2594274A1645F4B95FBA7C53744926"/>
          </w:pPr>
          <w:r w:rsidRPr="00E23B12">
            <w:rPr>
              <w:rStyle w:val="PlaceholderText"/>
              <w:rFonts w:ascii="Verdana" w:hAnsi="Verdana"/>
              <w:sz w:val="24"/>
              <w:szCs w:val="24"/>
            </w:rPr>
            <w:t>Choose an item.</w:t>
          </w:r>
        </w:p>
      </w:docPartBody>
    </w:docPart>
    <w:docPart>
      <w:docPartPr>
        <w:name w:val="874D4821CB60462F82314D212CA3A916"/>
        <w:category>
          <w:name w:val="General"/>
          <w:gallery w:val="placeholder"/>
        </w:category>
        <w:types>
          <w:type w:val="bbPlcHdr"/>
        </w:types>
        <w:behaviors>
          <w:behavior w:val="content"/>
        </w:behaviors>
        <w:guid w:val="{A496B545-53B8-41CD-BB2F-90DB570A1571}"/>
      </w:docPartPr>
      <w:docPartBody>
        <w:p w:rsidR="00EA624B" w:rsidRDefault="003B75CD" w:rsidP="003B75CD">
          <w:pPr>
            <w:pStyle w:val="874D4821CB60462F82314D212CA3A916"/>
          </w:pPr>
          <w:r w:rsidRPr="00E23B12">
            <w:rPr>
              <w:rStyle w:val="PlaceholderText"/>
              <w:rFonts w:ascii="Verdana" w:hAnsi="Verdana"/>
              <w:sz w:val="24"/>
              <w:szCs w:val="24"/>
            </w:rPr>
            <w:t>Choose an item.</w:t>
          </w:r>
        </w:p>
      </w:docPartBody>
    </w:docPart>
    <w:docPart>
      <w:docPartPr>
        <w:name w:val="CF0A542D868B4D90856DF1F6E6880E2B"/>
        <w:category>
          <w:name w:val="General"/>
          <w:gallery w:val="placeholder"/>
        </w:category>
        <w:types>
          <w:type w:val="bbPlcHdr"/>
        </w:types>
        <w:behaviors>
          <w:behavior w:val="content"/>
        </w:behaviors>
        <w:guid w:val="{436C54AE-19BD-41DC-B982-F0B5B5BED46A}"/>
      </w:docPartPr>
      <w:docPartBody>
        <w:p w:rsidR="00EA624B" w:rsidRDefault="003B75CD" w:rsidP="003B75CD">
          <w:pPr>
            <w:pStyle w:val="CF0A542D868B4D90856DF1F6E6880E2B"/>
          </w:pPr>
          <w:r w:rsidRPr="00E23B12">
            <w:rPr>
              <w:rStyle w:val="PlaceholderText"/>
              <w:rFonts w:ascii="Verdana" w:hAnsi="Verdana"/>
              <w:sz w:val="24"/>
              <w:szCs w:val="24"/>
            </w:rPr>
            <w:t>Choose an item.</w:t>
          </w:r>
        </w:p>
      </w:docPartBody>
    </w:docPart>
    <w:docPart>
      <w:docPartPr>
        <w:name w:val="1C20CB925126441BB3DB43C70B9638E0"/>
        <w:category>
          <w:name w:val="General"/>
          <w:gallery w:val="placeholder"/>
        </w:category>
        <w:types>
          <w:type w:val="bbPlcHdr"/>
        </w:types>
        <w:behaviors>
          <w:behavior w:val="content"/>
        </w:behaviors>
        <w:guid w:val="{013AA073-594B-4B77-9613-DDB6E438CC55}"/>
      </w:docPartPr>
      <w:docPartBody>
        <w:p w:rsidR="00EA624B" w:rsidRDefault="003B75CD" w:rsidP="003B75CD">
          <w:pPr>
            <w:pStyle w:val="1C20CB925126441BB3DB43C70B9638E0"/>
          </w:pPr>
          <w:r w:rsidRPr="00E23B12">
            <w:rPr>
              <w:rStyle w:val="PlaceholderText"/>
              <w:rFonts w:ascii="Verdana" w:hAnsi="Verdana"/>
              <w:sz w:val="24"/>
              <w:szCs w:val="24"/>
            </w:rPr>
            <w:t>Choose an item.</w:t>
          </w:r>
        </w:p>
      </w:docPartBody>
    </w:docPart>
    <w:docPart>
      <w:docPartPr>
        <w:name w:val="5A857D87480B4330AA258E5535CEF8A6"/>
        <w:category>
          <w:name w:val="General"/>
          <w:gallery w:val="placeholder"/>
        </w:category>
        <w:types>
          <w:type w:val="bbPlcHdr"/>
        </w:types>
        <w:behaviors>
          <w:behavior w:val="content"/>
        </w:behaviors>
        <w:guid w:val="{71B40F58-FC9A-4405-87FE-DE8723203BC5}"/>
      </w:docPartPr>
      <w:docPartBody>
        <w:p w:rsidR="00EA624B" w:rsidRDefault="003B75CD" w:rsidP="003B75CD">
          <w:pPr>
            <w:pStyle w:val="5A857D87480B4330AA258E5535CEF8A6"/>
          </w:pPr>
          <w:r w:rsidRPr="00E23B12">
            <w:rPr>
              <w:rStyle w:val="PlaceholderText"/>
              <w:rFonts w:ascii="Verdana" w:hAnsi="Verdana"/>
              <w:sz w:val="24"/>
              <w:szCs w:val="24"/>
            </w:rPr>
            <w:t>Choose an item.</w:t>
          </w:r>
        </w:p>
      </w:docPartBody>
    </w:docPart>
    <w:docPart>
      <w:docPartPr>
        <w:name w:val="CD63DFF8C8E3446E8D3739AEB2331610"/>
        <w:category>
          <w:name w:val="General"/>
          <w:gallery w:val="placeholder"/>
        </w:category>
        <w:types>
          <w:type w:val="bbPlcHdr"/>
        </w:types>
        <w:behaviors>
          <w:behavior w:val="content"/>
        </w:behaviors>
        <w:guid w:val="{4A0EF4F3-1DBC-4190-BBE0-BBBB6C317493}"/>
      </w:docPartPr>
      <w:docPartBody>
        <w:p w:rsidR="00EA624B" w:rsidRDefault="003B75CD" w:rsidP="003B75CD">
          <w:pPr>
            <w:pStyle w:val="CD63DFF8C8E3446E8D3739AEB2331610"/>
          </w:pPr>
          <w:r w:rsidRPr="005A0836">
            <w:rPr>
              <w:rStyle w:val="PlaceholderText"/>
              <w:rFonts w:ascii="Verdana" w:hAnsi="Verdana"/>
              <w:sz w:val="24"/>
              <w:szCs w:val="24"/>
            </w:rPr>
            <w:t>Choose an item.</w:t>
          </w:r>
        </w:p>
      </w:docPartBody>
    </w:docPart>
    <w:docPart>
      <w:docPartPr>
        <w:name w:val="C8B63219FC6E44FF826A4D06F3C24933"/>
        <w:category>
          <w:name w:val="General"/>
          <w:gallery w:val="placeholder"/>
        </w:category>
        <w:types>
          <w:type w:val="bbPlcHdr"/>
        </w:types>
        <w:behaviors>
          <w:behavior w:val="content"/>
        </w:behaviors>
        <w:guid w:val="{CC7DF4BD-71DA-4D7A-9E60-A12C3B4103DA}"/>
      </w:docPartPr>
      <w:docPartBody>
        <w:p w:rsidR="00EA624B" w:rsidRDefault="003B75CD" w:rsidP="003B75CD">
          <w:pPr>
            <w:pStyle w:val="C8B63219FC6E44FF826A4D06F3C24933"/>
          </w:pPr>
          <w:r w:rsidRPr="00E23B12">
            <w:rPr>
              <w:rStyle w:val="PlaceholderText"/>
              <w:rFonts w:ascii="Verdana" w:hAnsi="Verdana"/>
              <w:sz w:val="24"/>
              <w:szCs w:val="24"/>
            </w:rPr>
            <w:t>Choose an item.</w:t>
          </w:r>
        </w:p>
      </w:docPartBody>
    </w:docPart>
    <w:docPart>
      <w:docPartPr>
        <w:name w:val="EEEEC1ED36BE4BBA80CE888DF3B62882"/>
        <w:category>
          <w:name w:val="General"/>
          <w:gallery w:val="placeholder"/>
        </w:category>
        <w:types>
          <w:type w:val="bbPlcHdr"/>
        </w:types>
        <w:behaviors>
          <w:behavior w:val="content"/>
        </w:behaviors>
        <w:guid w:val="{59B544BB-F76A-45C3-876F-D03F6D43C749}"/>
      </w:docPartPr>
      <w:docPartBody>
        <w:p w:rsidR="00EA624B" w:rsidRDefault="003B75CD" w:rsidP="003B75CD">
          <w:pPr>
            <w:pStyle w:val="EEEEC1ED36BE4BBA80CE888DF3B62882"/>
          </w:pPr>
          <w:r w:rsidRPr="00E23B12">
            <w:rPr>
              <w:rStyle w:val="PlaceholderText"/>
              <w:rFonts w:ascii="Verdana" w:hAnsi="Verdana"/>
              <w:sz w:val="24"/>
              <w:szCs w:val="24"/>
            </w:rPr>
            <w:t>Choose an item.</w:t>
          </w:r>
        </w:p>
      </w:docPartBody>
    </w:docPart>
    <w:docPart>
      <w:docPartPr>
        <w:name w:val="9158C81CD7FA4A10976325DEA00DBF5B"/>
        <w:category>
          <w:name w:val="General"/>
          <w:gallery w:val="placeholder"/>
        </w:category>
        <w:types>
          <w:type w:val="bbPlcHdr"/>
        </w:types>
        <w:behaviors>
          <w:behavior w:val="content"/>
        </w:behaviors>
        <w:guid w:val="{3FB3FBC1-DAFE-401F-BFFB-71194DF58CCC}"/>
      </w:docPartPr>
      <w:docPartBody>
        <w:p w:rsidR="00EA624B" w:rsidRDefault="003B75CD" w:rsidP="003B75CD">
          <w:pPr>
            <w:pStyle w:val="9158C81CD7FA4A10976325DEA00DBF5B"/>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50402020202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75CD"/>
    <w:rsid w:val="00125732"/>
    <w:rsid w:val="002D2F70"/>
    <w:rsid w:val="003516CE"/>
    <w:rsid w:val="003B75CD"/>
    <w:rsid w:val="00581723"/>
    <w:rsid w:val="006413BB"/>
    <w:rsid w:val="00681EB9"/>
    <w:rsid w:val="006E7B5E"/>
    <w:rsid w:val="0077192B"/>
    <w:rsid w:val="008D158E"/>
    <w:rsid w:val="00913351"/>
    <w:rsid w:val="00915B47"/>
    <w:rsid w:val="00B5265A"/>
    <w:rsid w:val="00BA4302"/>
    <w:rsid w:val="00C06348"/>
    <w:rsid w:val="00D5131F"/>
    <w:rsid w:val="00D51E25"/>
    <w:rsid w:val="00E844DA"/>
    <w:rsid w:val="00EA624B"/>
    <w:rsid w:val="00F82B1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B75CD"/>
    <w:rPr>
      <w:color w:val="808080"/>
    </w:rPr>
  </w:style>
  <w:style w:type="paragraph" w:customStyle="1" w:styleId="987A5A694EE8443F9604607F35AF94DA">
    <w:name w:val="987A5A694EE8443F9604607F35AF94DA"/>
    <w:rsid w:val="003B75CD"/>
  </w:style>
  <w:style w:type="paragraph" w:customStyle="1" w:styleId="10FB2D1BBA7C43838499C3A8D6A1E0A7">
    <w:name w:val="10FB2D1BBA7C43838499C3A8D6A1E0A7"/>
    <w:rsid w:val="003B75CD"/>
  </w:style>
  <w:style w:type="paragraph" w:customStyle="1" w:styleId="D586FD882EDF44FEAE925709C0826600">
    <w:name w:val="D586FD882EDF44FEAE925709C0826600"/>
    <w:rsid w:val="003B75CD"/>
  </w:style>
  <w:style w:type="paragraph" w:customStyle="1" w:styleId="70488F4BB29A4D93A15374AE30F5A400">
    <w:name w:val="70488F4BB29A4D93A15374AE30F5A400"/>
    <w:rsid w:val="003B75CD"/>
  </w:style>
  <w:style w:type="paragraph" w:customStyle="1" w:styleId="CA2594274A1645F4B95FBA7C53744926">
    <w:name w:val="CA2594274A1645F4B95FBA7C53744926"/>
    <w:rsid w:val="003B75CD"/>
  </w:style>
  <w:style w:type="paragraph" w:customStyle="1" w:styleId="874D4821CB60462F82314D212CA3A916">
    <w:name w:val="874D4821CB60462F82314D212CA3A916"/>
    <w:rsid w:val="003B75CD"/>
  </w:style>
  <w:style w:type="paragraph" w:customStyle="1" w:styleId="CF0A542D868B4D90856DF1F6E6880E2B">
    <w:name w:val="CF0A542D868B4D90856DF1F6E6880E2B"/>
    <w:rsid w:val="003B75CD"/>
  </w:style>
  <w:style w:type="paragraph" w:customStyle="1" w:styleId="13407F2B53CB45F7BB373C3A414F0218">
    <w:name w:val="13407F2B53CB45F7BB373C3A414F0218"/>
    <w:rsid w:val="003B75CD"/>
  </w:style>
  <w:style w:type="paragraph" w:customStyle="1" w:styleId="33096136E58541BC911ED4DD4FA131EB">
    <w:name w:val="33096136E58541BC911ED4DD4FA131EB"/>
    <w:rsid w:val="003B75CD"/>
  </w:style>
  <w:style w:type="paragraph" w:customStyle="1" w:styleId="BD3FE66F218F463C8E8DE61588B4AE95">
    <w:name w:val="BD3FE66F218F463C8E8DE61588B4AE95"/>
    <w:rsid w:val="003B75CD"/>
  </w:style>
  <w:style w:type="paragraph" w:customStyle="1" w:styleId="3EF02681CCCA4816A252CC51B2A978DE">
    <w:name w:val="3EF02681CCCA4816A252CC51B2A978DE"/>
    <w:rsid w:val="003B75CD"/>
  </w:style>
  <w:style w:type="paragraph" w:customStyle="1" w:styleId="F61A93BE64C0465FB89F3329187B512A">
    <w:name w:val="F61A93BE64C0465FB89F3329187B512A"/>
    <w:rsid w:val="003B75CD"/>
  </w:style>
  <w:style w:type="paragraph" w:customStyle="1" w:styleId="DACF1F99CF9F4FE1B8100FE9A040BEAF">
    <w:name w:val="DACF1F99CF9F4FE1B8100FE9A040BEAF"/>
    <w:rsid w:val="003B75CD"/>
  </w:style>
  <w:style w:type="paragraph" w:customStyle="1" w:styleId="1C20CB925126441BB3DB43C70B9638E0">
    <w:name w:val="1C20CB925126441BB3DB43C70B9638E0"/>
    <w:rsid w:val="003B75CD"/>
  </w:style>
  <w:style w:type="paragraph" w:customStyle="1" w:styleId="5A857D87480B4330AA258E5535CEF8A6">
    <w:name w:val="5A857D87480B4330AA258E5535CEF8A6"/>
    <w:rsid w:val="003B75CD"/>
  </w:style>
  <w:style w:type="paragraph" w:customStyle="1" w:styleId="CD63DFF8C8E3446E8D3739AEB2331610">
    <w:name w:val="CD63DFF8C8E3446E8D3739AEB2331610"/>
    <w:rsid w:val="003B75CD"/>
  </w:style>
  <w:style w:type="paragraph" w:customStyle="1" w:styleId="C8B63219FC6E44FF826A4D06F3C24933">
    <w:name w:val="C8B63219FC6E44FF826A4D06F3C24933"/>
    <w:rsid w:val="003B75CD"/>
  </w:style>
  <w:style w:type="paragraph" w:customStyle="1" w:styleId="EEEEC1ED36BE4BBA80CE888DF3B62882">
    <w:name w:val="EEEEC1ED36BE4BBA80CE888DF3B62882"/>
    <w:rsid w:val="003B75CD"/>
  </w:style>
  <w:style w:type="paragraph" w:customStyle="1" w:styleId="9158C81CD7FA4A10976325DEA00DBF5B">
    <w:name w:val="9158C81CD7FA4A10976325DEA00DBF5B"/>
    <w:rsid w:val="003B75C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49CB20DF-FBE9-4351-BD7C-CCCB99A477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E087824B</Template>
  <TotalTime>134</TotalTime>
  <Pages>3</Pages>
  <Words>4393</Words>
  <Characters>25041</Characters>
  <Application>Microsoft Office Word</Application>
  <DocSecurity>0</DocSecurity>
  <Lines>208</Lines>
  <Paragraphs>58</Paragraphs>
  <ScaleCrop>false</ScaleCrop>
  <HeadingPairs>
    <vt:vector size="2" baseType="variant">
      <vt:variant>
        <vt:lpstr>Title</vt:lpstr>
      </vt:variant>
      <vt:variant>
        <vt:i4>1</vt:i4>
      </vt:variant>
    </vt:vector>
  </HeadingPairs>
  <TitlesOfParts>
    <vt:vector size="1" baseType="lpstr">
      <vt:lpstr>CWM TAF NHS TRUST</vt:lpstr>
    </vt:vector>
  </TitlesOfParts>
  <Company>Cwm Taf Health Board</Company>
  <LinksUpToDate>false</LinksUpToDate>
  <CharactersWithSpaces>29376</CharactersWithSpaces>
  <SharedDoc>false</SharedDoc>
  <HLinks>
    <vt:vector size="6" baseType="variant">
      <vt:variant>
        <vt:i4>6422543</vt:i4>
      </vt:variant>
      <vt:variant>
        <vt:i4>0</vt:i4>
      </vt:variant>
      <vt:variant>
        <vt:i4>0</vt:i4>
      </vt:variant>
      <vt:variant>
        <vt:i4>5</vt:i4>
      </vt:variant>
      <vt:variant>
        <vt:lpwstr>mailto:mark.thomas5@wales.nhs.uk</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CWM TAF NHS TRUST</dc:title>
  <dc:subject/>
  <dc:creator>debbie owen</dc:creator>
  <cp:keywords/>
  <dc:description/>
  <cp:lastModifiedBy>Emma Walters (Cwm Taf UHB - Corporate Services)</cp:lastModifiedBy>
  <cp:revision>9</cp:revision>
  <cp:lastPrinted>2019-12-13T18:12:00Z</cp:lastPrinted>
  <dcterms:created xsi:type="dcterms:W3CDTF">2020-03-18T10:26:00Z</dcterms:created>
  <dcterms:modified xsi:type="dcterms:W3CDTF">2020-03-20T15:43:00Z</dcterms:modified>
</cp:coreProperties>
</file>