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hart7.xml" ContentType="application/vnd.openxmlformats-officedocument.drawingml.chart+xml"/>
  <Override PartName="/word/charts/chart8.xml" ContentType="application/vnd.openxmlformats-officedocument.drawingml.chart+xml"/>
  <Override PartName="/word/charts/chart9.xml" ContentType="application/vnd.openxmlformats-officedocument.drawingml.chart+xml"/>
  <Override PartName="/word/charts/chart10.xml" ContentType="application/vnd.openxmlformats-officedocument.drawingml.chart+xml"/>
  <Override PartName="/word/charts/chart11.xml" ContentType="application/vnd.openxmlformats-officedocument.drawingml.chart+xml"/>
  <Override PartName="/word/charts/chart12.xml" ContentType="application/vnd.openxmlformats-officedocument.drawingml.chart+xml"/>
  <Override PartName="/word/charts/chart13.xml" ContentType="application/vnd.openxmlformats-officedocument.drawingml.chart+xml"/>
  <Override PartName="/word/charts/chart14.xml" ContentType="application/vnd.openxmlformats-officedocument.drawingml.chart+xml"/>
  <Override PartName="/word/charts/chart15.xml" ContentType="application/vnd.openxmlformats-officedocument.drawingml.chart+xml"/>
  <Override PartName="/word/charts/chart16.xml" ContentType="application/vnd.openxmlformats-officedocument.drawingml.chart+xml"/>
  <Override PartName="/word/charts/chart17.xml" ContentType="application/vnd.openxmlformats-officedocument.drawingml.chart+xml"/>
  <Override PartName="/word/charts/chart18.xml" ContentType="application/vnd.openxmlformats-officedocument.drawingml.chart+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pPr w:leftFromText="180" w:rightFromText="180" w:horzAnchor="page" w:tblpX="781" w:tblpY="-1185"/>
        <w:tblW w:w="104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780"/>
        <w:gridCol w:w="8"/>
        <w:gridCol w:w="2280"/>
        <w:gridCol w:w="1461"/>
        <w:gridCol w:w="653"/>
        <w:gridCol w:w="2359"/>
        <w:gridCol w:w="563"/>
        <w:gridCol w:w="1386"/>
      </w:tblGrid>
      <w:tr w:rsidR="000027CA" w:rsidRPr="002854EC" w:rsidTr="00185E22">
        <w:trPr>
          <w:trHeight w:val="113"/>
        </w:trPr>
        <w:tc>
          <w:tcPr>
            <w:tcW w:w="10490" w:type="dxa"/>
            <w:gridSpan w:val="8"/>
            <w:tcBorders>
              <w:top w:val="nil"/>
              <w:left w:val="nil"/>
              <w:bottom w:val="single" w:sz="4" w:space="0" w:color="auto"/>
              <w:right w:val="nil"/>
            </w:tcBorders>
            <w:shd w:val="clear" w:color="auto" w:fill="auto"/>
          </w:tcPr>
          <w:p w:rsidR="000027CA" w:rsidRPr="002854EC" w:rsidRDefault="000027CA" w:rsidP="000027CA">
            <w:pPr>
              <w:keepNext/>
              <w:rPr>
                <w:rFonts w:ascii="Verdana" w:hAnsi="Verdana" w:cs="Arial"/>
                <w:noProof/>
                <w:color w:val="FFFFFF"/>
                <w:sz w:val="20"/>
                <w:lang w:eastAsia="en-GB"/>
              </w:rPr>
            </w:pPr>
            <w:bookmarkStart w:id="0" w:name="_GoBack"/>
            <w:bookmarkEnd w:id="0"/>
          </w:p>
        </w:tc>
      </w:tr>
      <w:tr w:rsidR="007D414A" w:rsidRPr="002854EC" w:rsidTr="00185E22">
        <w:trPr>
          <w:trHeight w:val="113"/>
        </w:trPr>
        <w:tc>
          <w:tcPr>
            <w:tcW w:w="10490" w:type="dxa"/>
            <w:gridSpan w:val="8"/>
            <w:tcBorders>
              <w:top w:val="single" w:sz="4" w:space="0" w:color="auto"/>
              <w:left w:val="single" w:sz="4" w:space="0" w:color="auto"/>
              <w:bottom w:val="single" w:sz="4" w:space="0" w:color="auto"/>
              <w:right w:val="single" w:sz="4" w:space="0" w:color="auto"/>
            </w:tcBorders>
            <w:shd w:val="clear" w:color="auto" w:fill="1F497D" w:themeFill="text2"/>
          </w:tcPr>
          <w:p w:rsidR="00E327EA" w:rsidRPr="002854EC" w:rsidRDefault="00684F9A" w:rsidP="000027CA">
            <w:pPr>
              <w:keepNext/>
              <w:rPr>
                <w:rFonts w:ascii="Verdana" w:hAnsi="Verdana" w:cs="Arial"/>
                <w:color w:val="FFFFFF"/>
                <w:sz w:val="20"/>
              </w:rPr>
            </w:pPr>
            <w:r w:rsidRPr="002854EC">
              <w:rPr>
                <w:rFonts w:ascii="Verdana" w:hAnsi="Verdana" w:cs="Arial"/>
                <w:noProof/>
                <w:color w:val="FFFFFF"/>
                <w:sz w:val="20"/>
                <w:lang w:eastAsia="en-GB"/>
              </w:rPr>
              <w:drawing>
                <wp:inline distT="0" distB="0" distL="0" distR="0" wp14:anchorId="49D4DE5C" wp14:editId="6274C896">
                  <wp:extent cx="1244009" cy="1287780"/>
                  <wp:effectExtent l="0" t="0" r="0" b="762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maternity1.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1256320" cy="1300525"/>
                          </a:xfrm>
                          <a:prstGeom prst="rect">
                            <a:avLst/>
                          </a:prstGeom>
                        </pic:spPr>
                      </pic:pic>
                    </a:graphicData>
                  </a:graphic>
                </wp:inline>
              </w:drawing>
            </w:r>
            <w:r w:rsidR="00851E3A">
              <w:rPr>
                <w:rFonts w:ascii="Verdana" w:hAnsi="Verdana" w:cs="Arial"/>
                <w:color w:val="FFFFFF"/>
                <w:sz w:val="20"/>
              </w:rPr>
              <w:t xml:space="preserve">                       </w:t>
            </w:r>
            <w:r w:rsidRPr="002854EC">
              <w:rPr>
                <w:rFonts w:ascii="Verdana" w:hAnsi="Verdana" w:cs="Arial"/>
                <w:color w:val="FFFFFF"/>
                <w:sz w:val="20"/>
              </w:rPr>
              <w:t>MATERNITY IMPROVEMENT PROGRAMME</w:t>
            </w:r>
            <w:r w:rsidR="000027CA">
              <w:rPr>
                <w:rFonts w:ascii="Verdana" w:hAnsi="Verdana" w:cs="Arial"/>
                <w:color w:val="FFFFFF"/>
                <w:sz w:val="20"/>
              </w:rPr>
              <w:t xml:space="preserve">  </w:t>
            </w:r>
          </w:p>
          <w:p w:rsidR="00270AA3" w:rsidRPr="002854EC" w:rsidRDefault="00E327EA" w:rsidP="000027CA">
            <w:pPr>
              <w:keepNext/>
              <w:jc w:val="center"/>
              <w:rPr>
                <w:rFonts w:ascii="Verdana" w:hAnsi="Verdana" w:cs="Arial"/>
                <w:color w:val="FFFFFF"/>
                <w:sz w:val="20"/>
              </w:rPr>
            </w:pPr>
            <w:r w:rsidRPr="002854EC">
              <w:rPr>
                <w:rFonts w:ascii="Verdana" w:hAnsi="Verdana" w:cs="Arial"/>
                <w:color w:val="FFFFFF"/>
                <w:sz w:val="20"/>
              </w:rPr>
              <w:t>HIGHLIGHT REPORT</w:t>
            </w:r>
            <w:r w:rsidR="00975196" w:rsidRPr="002854EC">
              <w:rPr>
                <w:rFonts w:ascii="Verdana" w:hAnsi="Verdana" w:cs="Arial"/>
                <w:color w:val="FFFFFF"/>
                <w:sz w:val="20"/>
              </w:rPr>
              <w:t xml:space="preserve"> –</w:t>
            </w:r>
            <w:r w:rsidR="00215574" w:rsidRPr="002854EC">
              <w:rPr>
                <w:rFonts w:ascii="Verdana" w:hAnsi="Verdana" w:cs="Arial"/>
                <w:color w:val="FFFFFF"/>
                <w:sz w:val="20"/>
              </w:rPr>
              <w:t xml:space="preserve"> </w:t>
            </w:r>
            <w:r w:rsidR="00270AA3" w:rsidRPr="002854EC">
              <w:rPr>
                <w:rFonts w:ascii="Verdana" w:hAnsi="Verdana" w:cs="Arial"/>
                <w:color w:val="FFFFFF"/>
                <w:sz w:val="20"/>
              </w:rPr>
              <w:t xml:space="preserve">Safe &amp; Effective Care </w:t>
            </w:r>
            <w:r w:rsidR="00215574" w:rsidRPr="002854EC">
              <w:rPr>
                <w:rFonts w:ascii="Verdana" w:hAnsi="Verdana" w:cs="Arial"/>
                <w:color w:val="FFFFFF"/>
                <w:sz w:val="20"/>
              </w:rPr>
              <w:t>Project</w:t>
            </w:r>
          </w:p>
        </w:tc>
      </w:tr>
      <w:tr w:rsidR="007D414A" w:rsidRPr="00C43634" w:rsidTr="00185E22">
        <w:trPr>
          <w:trHeight w:val="123"/>
        </w:trPr>
        <w:tc>
          <w:tcPr>
            <w:tcW w:w="1788" w:type="dxa"/>
            <w:gridSpan w:val="2"/>
            <w:tcBorders>
              <w:top w:val="single" w:sz="4" w:space="0" w:color="auto"/>
              <w:left w:val="single" w:sz="4" w:space="0" w:color="auto"/>
              <w:bottom w:val="single" w:sz="4" w:space="0" w:color="auto"/>
              <w:right w:val="single" w:sz="4" w:space="0" w:color="auto"/>
            </w:tcBorders>
            <w:shd w:val="clear" w:color="auto" w:fill="E0E0E0"/>
          </w:tcPr>
          <w:p w:rsidR="007D414A" w:rsidRPr="00C43634" w:rsidRDefault="00C21734" w:rsidP="000027CA">
            <w:pPr>
              <w:keepNext/>
              <w:rPr>
                <w:rFonts w:ascii="Verdana" w:hAnsi="Verdana" w:cs="Arial"/>
                <w:b/>
                <w:sz w:val="20"/>
              </w:rPr>
            </w:pPr>
            <w:r w:rsidRPr="00C43634">
              <w:rPr>
                <w:rFonts w:ascii="Verdana" w:hAnsi="Verdana" w:cs="Arial"/>
                <w:b/>
                <w:sz w:val="20"/>
              </w:rPr>
              <w:t>Completed by</w:t>
            </w:r>
          </w:p>
        </w:tc>
        <w:tc>
          <w:tcPr>
            <w:tcW w:w="2280" w:type="dxa"/>
            <w:tcBorders>
              <w:top w:val="single" w:sz="4" w:space="0" w:color="auto"/>
              <w:left w:val="single" w:sz="4" w:space="0" w:color="auto"/>
              <w:bottom w:val="single" w:sz="4" w:space="0" w:color="auto"/>
              <w:right w:val="single" w:sz="4" w:space="0" w:color="auto"/>
            </w:tcBorders>
          </w:tcPr>
          <w:p w:rsidR="00215574" w:rsidRPr="00C43634" w:rsidRDefault="00782F87" w:rsidP="000027CA">
            <w:pPr>
              <w:keepNext/>
              <w:rPr>
                <w:rFonts w:ascii="Verdana" w:hAnsi="Verdana" w:cs="Arial"/>
                <w:color w:val="000000" w:themeColor="text1"/>
                <w:sz w:val="20"/>
              </w:rPr>
            </w:pPr>
            <w:r>
              <w:rPr>
                <w:rFonts w:ascii="Verdana" w:hAnsi="Verdana" w:cs="Arial"/>
                <w:color w:val="000000" w:themeColor="text1"/>
                <w:sz w:val="20"/>
              </w:rPr>
              <w:t>Valerie Wilson</w:t>
            </w:r>
            <w:r w:rsidR="00B24FB5">
              <w:rPr>
                <w:rFonts w:ascii="Verdana" w:hAnsi="Verdana" w:cs="Arial"/>
                <w:color w:val="000000" w:themeColor="text1"/>
                <w:sz w:val="20"/>
              </w:rPr>
              <w:t>/Kath Doughton</w:t>
            </w:r>
            <w:r w:rsidR="00825F90">
              <w:rPr>
                <w:rFonts w:ascii="Verdana" w:hAnsi="Verdana" w:cs="Arial"/>
                <w:color w:val="000000" w:themeColor="text1"/>
                <w:sz w:val="20"/>
              </w:rPr>
              <w:t>/Kathy Greaves</w:t>
            </w:r>
          </w:p>
        </w:tc>
        <w:tc>
          <w:tcPr>
            <w:tcW w:w="2114" w:type="dxa"/>
            <w:gridSpan w:val="2"/>
            <w:tcBorders>
              <w:top w:val="single" w:sz="4" w:space="0" w:color="auto"/>
              <w:left w:val="single" w:sz="4" w:space="0" w:color="auto"/>
              <w:bottom w:val="single" w:sz="4" w:space="0" w:color="auto"/>
              <w:right w:val="single" w:sz="4" w:space="0" w:color="auto"/>
            </w:tcBorders>
            <w:shd w:val="clear" w:color="auto" w:fill="E0E0E0"/>
          </w:tcPr>
          <w:p w:rsidR="007D414A" w:rsidRPr="00C43634" w:rsidRDefault="007D414A" w:rsidP="000027CA">
            <w:pPr>
              <w:keepNext/>
              <w:rPr>
                <w:rFonts w:ascii="Verdana" w:hAnsi="Verdana" w:cs="Arial"/>
                <w:b/>
                <w:color w:val="000000" w:themeColor="text1"/>
                <w:sz w:val="20"/>
              </w:rPr>
            </w:pPr>
            <w:r w:rsidRPr="00C43634">
              <w:rPr>
                <w:rFonts w:ascii="Verdana" w:hAnsi="Verdana" w:cs="Arial"/>
                <w:b/>
                <w:color w:val="000000" w:themeColor="text1"/>
                <w:sz w:val="20"/>
              </w:rPr>
              <w:t>Reporting period:</w:t>
            </w:r>
          </w:p>
        </w:tc>
        <w:tc>
          <w:tcPr>
            <w:tcW w:w="2359" w:type="dxa"/>
            <w:tcBorders>
              <w:top w:val="single" w:sz="4" w:space="0" w:color="auto"/>
              <w:left w:val="single" w:sz="4" w:space="0" w:color="auto"/>
              <w:bottom w:val="single" w:sz="4" w:space="0" w:color="auto"/>
              <w:right w:val="single" w:sz="4" w:space="0" w:color="auto"/>
            </w:tcBorders>
          </w:tcPr>
          <w:p w:rsidR="007D414A" w:rsidRPr="00C43634" w:rsidRDefault="00C34A84" w:rsidP="000027CA">
            <w:pPr>
              <w:keepNext/>
              <w:rPr>
                <w:rFonts w:ascii="Verdana" w:hAnsi="Verdana" w:cs="Arial"/>
                <w:color w:val="000000" w:themeColor="text1"/>
                <w:sz w:val="20"/>
              </w:rPr>
            </w:pPr>
            <w:r>
              <w:rPr>
                <w:rFonts w:ascii="Verdana" w:hAnsi="Verdana" w:cs="Arial"/>
                <w:color w:val="000000" w:themeColor="text1"/>
                <w:sz w:val="20"/>
              </w:rPr>
              <w:t>January 2020</w:t>
            </w:r>
          </w:p>
        </w:tc>
        <w:tc>
          <w:tcPr>
            <w:tcW w:w="563" w:type="dxa"/>
            <w:tcBorders>
              <w:top w:val="single" w:sz="4" w:space="0" w:color="auto"/>
              <w:left w:val="single" w:sz="4" w:space="0" w:color="auto"/>
              <w:bottom w:val="single" w:sz="4" w:space="0" w:color="auto"/>
              <w:right w:val="single" w:sz="4" w:space="0" w:color="auto"/>
            </w:tcBorders>
            <w:shd w:val="clear" w:color="auto" w:fill="E0E0E0"/>
          </w:tcPr>
          <w:p w:rsidR="007D414A" w:rsidRPr="00C43634" w:rsidRDefault="007D414A" w:rsidP="000027CA">
            <w:pPr>
              <w:keepNext/>
              <w:rPr>
                <w:rFonts w:ascii="Verdana" w:hAnsi="Verdana" w:cs="Arial"/>
                <w:b/>
                <w:sz w:val="20"/>
              </w:rPr>
            </w:pPr>
            <w:r w:rsidRPr="00C43634">
              <w:rPr>
                <w:rFonts w:ascii="Verdana" w:hAnsi="Verdana" w:cs="Arial"/>
                <w:b/>
                <w:sz w:val="20"/>
              </w:rPr>
              <w:t>To:</w:t>
            </w:r>
          </w:p>
        </w:tc>
        <w:tc>
          <w:tcPr>
            <w:tcW w:w="1386" w:type="dxa"/>
            <w:tcBorders>
              <w:top w:val="single" w:sz="4" w:space="0" w:color="auto"/>
              <w:left w:val="single" w:sz="4" w:space="0" w:color="auto"/>
              <w:bottom w:val="single" w:sz="4" w:space="0" w:color="auto"/>
              <w:right w:val="single" w:sz="4" w:space="0" w:color="auto"/>
            </w:tcBorders>
          </w:tcPr>
          <w:p w:rsidR="007D414A" w:rsidRPr="00C43634" w:rsidRDefault="00C34A84" w:rsidP="000027CA">
            <w:pPr>
              <w:keepNext/>
              <w:rPr>
                <w:rFonts w:ascii="Verdana" w:hAnsi="Verdana" w:cs="Arial"/>
                <w:color w:val="808080"/>
                <w:sz w:val="20"/>
              </w:rPr>
            </w:pPr>
            <w:r w:rsidRPr="00C34A84">
              <w:rPr>
                <w:rFonts w:ascii="Verdana" w:hAnsi="Verdana" w:cs="Arial"/>
                <w:color w:val="000000" w:themeColor="text1"/>
                <w:sz w:val="20"/>
              </w:rPr>
              <w:t>March 2020</w:t>
            </w:r>
          </w:p>
        </w:tc>
      </w:tr>
      <w:tr w:rsidR="007D414A" w:rsidRPr="00C43634" w:rsidTr="00185E22">
        <w:trPr>
          <w:trHeight w:val="109"/>
        </w:trPr>
        <w:tc>
          <w:tcPr>
            <w:tcW w:w="1780" w:type="dxa"/>
            <w:tcBorders>
              <w:top w:val="single" w:sz="4" w:space="0" w:color="auto"/>
              <w:left w:val="single" w:sz="4" w:space="0" w:color="auto"/>
              <w:bottom w:val="single" w:sz="4" w:space="0" w:color="auto"/>
              <w:right w:val="single" w:sz="4" w:space="0" w:color="auto"/>
            </w:tcBorders>
            <w:shd w:val="clear" w:color="auto" w:fill="E0E0E0"/>
          </w:tcPr>
          <w:p w:rsidR="007D414A" w:rsidRPr="00C43634" w:rsidRDefault="007D414A" w:rsidP="000027CA">
            <w:pPr>
              <w:keepNext/>
              <w:rPr>
                <w:rFonts w:ascii="Verdana" w:hAnsi="Verdana" w:cs="Arial"/>
                <w:b/>
                <w:sz w:val="20"/>
              </w:rPr>
            </w:pPr>
            <w:r w:rsidRPr="00C43634">
              <w:rPr>
                <w:rFonts w:ascii="Verdana" w:hAnsi="Verdana" w:cs="Arial"/>
                <w:b/>
                <w:sz w:val="20"/>
              </w:rPr>
              <w:t xml:space="preserve">Date Completed: </w:t>
            </w:r>
          </w:p>
        </w:tc>
        <w:tc>
          <w:tcPr>
            <w:tcW w:w="4402" w:type="dxa"/>
            <w:gridSpan w:val="4"/>
            <w:tcBorders>
              <w:top w:val="single" w:sz="4" w:space="0" w:color="auto"/>
              <w:left w:val="single" w:sz="4" w:space="0" w:color="auto"/>
              <w:bottom w:val="single" w:sz="4" w:space="0" w:color="auto"/>
              <w:right w:val="single" w:sz="4" w:space="0" w:color="auto"/>
            </w:tcBorders>
          </w:tcPr>
          <w:p w:rsidR="007D414A" w:rsidRPr="00C43634" w:rsidRDefault="00C34A84" w:rsidP="000027CA">
            <w:pPr>
              <w:keepNext/>
              <w:rPr>
                <w:rFonts w:ascii="Verdana" w:hAnsi="Verdana" w:cs="Arial"/>
                <w:b/>
                <w:sz w:val="20"/>
              </w:rPr>
            </w:pPr>
            <w:r>
              <w:rPr>
                <w:rFonts w:ascii="Verdana" w:hAnsi="Verdana" w:cs="Arial"/>
                <w:b/>
                <w:sz w:val="20"/>
              </w:rPr>
              <w:t>04/03/2020</w:t>
            </w:r>
          </w:p>
        </w:tc>
        <w:tc>
          <w:tcPr>
            <w:tcW w:w="2359" w:type="dxa"/>
            <w:tcBorders>
              <w:top w:val="single" w:sz="4" w:space="0" w:color="auto"/>
              <w:left w:val="single" w:sz="4" w:space="0" w:color="auto"/>
              <w:bottom w:val="single" w:sz="4" w:space="0" w:color="auto"/>
              <w:right w:val="single" w:sz="4" w:space="0" w:color="auto"/>
            </w:tcBorders>
            <w:shd w:val="clear" w:color="auto" w:fill="E0E0E0"/>
          </w:tcPr>
          <w:p w:rsidR="007D414A" w:rsidRPr="00C43634" w:rsidRDefault="007D414A" w:rsidP="000027CA">
            <w:pPr>
              <w:keepNext/>
              <w:rPr>
                <w:rFonts w:ascii="Verdana" w:hAnsi="Verdana" w:cs="Arial"/>
                <w:b/>
                <w:sz w:val="20"/>
              </w:rPr>
            </w:pPr>
            <w:r w:rsidRPr="00C43634">
              <w:rPr>
                <w:rFonts w:ascii="Verdana" w:hAnsi="Verdana" w:cs="Arial"/>
                <w:b/>
                <w:sz w:val="20"/>
              </w:rPr>
              <w:t xml:space="preserve">Next </w:t>
            </w:r>
            <w:r w:rsidR="00A12A63" w:rsidRPr="00C43634">
              <w:rPr>
                <w:rFonts w:ascii="Verdana" w:hAnsi="Verdana" w:cs="Arial"/>
                <w:b/>
                <w:sz w:val="20"/>
              </w:rPr>
              <w:t>Review Me</w:t>
            </w:r>
            <w:r w:rsidRPr="00C43634">
              <w:rPr>
                <w:rFonts w:ascii="Verdana" w:hAnsi="Verdana" w:cs="Arial"/>
                <w:b/>
                <w:sz w:val="20"/>
              </w:rPr>
              <w:t>eting:</w:t>
            </w:r>
          </w:p>
        </w:tc>
        <w:tc>
          <w:tcPr>
            <w:tcW w:w="1949" w:type="dxa"/>
            <w:gridSpan w:val="2"/>
            <w:tcBorders>
              <w:top w:val="single" w:sz="4" w:space="0" w:color="auto"/>
              <w:left w:val="single" w:sz="4" w:space="0" w:color="auto"/>
              <w:bottom w:val="single" w:sz="4" w:space="0" w:color="auto"/>
              <w:right w:val="single" w:sz="4" w:space="0" w:color="auto"/>
            </w:tcBorders>
          </w:tcPr>
          <w:p w:rsidR="007D414A" w:rsidRPr="00C43634" w:rsidRDefault="007D414A" w:rsidP="000027CA">
            <w:pPr>
              <w:keepNext/>
              <w:rPr>
                <w:rFonts w:ascii="Verdana" w:hAnsi="Verdana" w:cs="Arial"/>
                <w:b/>
                <w:sz w:val="20"/>
              </w:rPr>
            </w:pPr>
          </w:p>
        </w:tc>
      </w:tr>
      <w:tr w:rsidR="001846E2" w:rsidRPr="00C43634" w:rsidTr="00185E22">
        <w:trPr>
          <w:trHeight w:val="56"/>
        </w:trPr>
        <w:tc>
          <w:tcPr>
            <w:tcW w:w="1780" w:type="dxa"/>
            <w:tcBorders>
              <w:top w:val="single" w:sz="4" w:space="0" w:color="auto"/>
              <w:left w:val="single" w:sz="4" w:space="0" w:color="auto"/>
              <w:bottom w:val="single" w:sz="4" w:space="0" w:color="auto"/>
              <w:right w:val="single" w:sz="4" w:space="0" w:color="auto"/>
            </w:tcBorders>
            <w:shd w:val="clear" w:color="auto" w:fill="E0E0E0"/>
          </w:tcPr>
          <w:p w:rsidR="001846E2" w:rsidRPr="00C43634" w:rsidRDefault="001846E2" w:rsidP="000027CA">
            <w:pPr>
              <w:rPr>
                <w:rFonts w:ascii="Verdana" w:hAnsi="Verdana" w:cs="Arial"/>
                <w:b/>
                <w:sz w:val="20"/>
              </w:rPr>
            </w:pPr>
            <w:r w:rsidRPr="00C43634">
              <w:rPr>
                <w:rFonts w:ascii="Verdana" w:hAnsi="Verdana" w:cs="Arial"/>
                <w:b/>
                <w:sz w:val="20"/>
              </w:rPr>
              <w:t>Current status</w:t>
            </w:r>
          </w:p>
        </w:tc>
        <w:tc>
          <w:tcPr>
            <w:tcW w:w="8710" w:type="dxa"/>
            <w:gridSpan w:val="7"/>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1846E2" w:rsidRPr="00C43634" w:rsidRDefault="001846E2" w:rsidP="000027CA">
            <w:pPr>
              <w:rPr>
                <w:rFonts w:ascii="Verdana" w:hAnsi="Verdana" w:cs="Arial"/>
                <w:b/>
                <w:sz w:val="20"/>
              </w:rPr>
            </w:pPr>
            <w:r w:rsidRPr="00C43634">
              <w:rPr>
                <w:rFonts w:ascii="Verdana" w:hAnsi="Verdana" w:cs="Arial"/>
                <w:b/>
                <w:sz w:val="20"/>
              </w:rPr>
              <w:t>Headlines:</w:t>
            </w:r>
          </w:p>
        </w:tc>
      </w:tr>
      <w:tr w:rsidR="007D414A" w:rsidRPr="00C43634" w:rsidTr="002A72F4">
        <w:trPr>
          <w:trHeight w:val="1579"/>
        </w:trPr>
        <w:tc>
          <w:tcPr>
            <w:tcW w:w="1780" w:type="dxa"/>
            <w:tcBorders>
              <w:top w:val="single" w:sz="4" w:space="0" w:color="auto"/>
              <w:left w:val="single" w:sz="4" w:space="0" w:color="auto"/>
              <w:bottom w:val="single" w:sz="4" w:space="0" w:color="auto"/>
              <w:right w:val="single" w:sz="4" w:space="0" w:color="auto"/>
            </w:tcBorders>
          </w:tcPr>
          <w:tbl>
            <w:tblPr>
              <w:tblStyle w:val="TableGrid"/>
              <w:tblpPr w:leftFromText="180" w:rightFromText="180" w:vertAnchor="text" w:horzAnchor="margin" w:tblpXSpec="center" w:tblpY="-96"/>
              <w:tblOverlap w:val="never"/>
              <w:tblW w:w="0" w:type="auto"/>
              <w:tblLayout w:type="fixed"/>
              <w:tblLook w:val="01E0" w:firstRow="1" w:lastRow="1" w:firstColumn="1" w:lastColumn="1" w:noHBand="0" w:noVBand="0"/>
            </w:tblPr>
            <w:tblGrid>
              <w:gridCol w:w="539"/>
            </w:tblGrid>
            <w:tr w:rsidR="000C000F" w:rsidRPr="00C43634" w:rsidTr="000C000F">
              <w:trPr>
                <w:trHeight w:val="109"/>
              </w:trPr>
              <w:tc>
                <w:tcPr>
                  <w:tcW w:w="539" w:type="dxa"/>
                  <w:shd w:val="clear" w:color="auto" w:fill="FF0000"/>
                </w:tcPr>
                <w:p w:rsidR="000C000F" w:rsidRPr="00C43634" w:rsidRDefault="000C000F" w:rsidP="000C000F">
                  <w:pPr>
                    <w:jc w:val="center"/>
                    <w:rPr>
                      <w:rFonts w:ascii="Verdana" w:hAnsi="Verdana" w:cs="Arial"/>
                      <w:b/>
                      <w:sz w:val="20"/>
                    </w:rPr>
                  </w:pPr>
                </w:p>
                <w:p w:rsidR="000C000F" w:rsidRPr="00C43634" w:rsidRDefault="000C000F" w:rsidP="000C000F">
                  <w:pPr>
                    <w:jc w:val="center"/>
                    <w:rPr>
                      <w:rFonts w:ascii="Verdana" w:hAnsi="Verdana" w:cs="Arial"/>
                      <w:b/>
                      <w:sz w:val="20"/>
                    </w:rPr>
                  </w:pPr>
                  <w:r w:rsidRPr="00C43634">
                    <w:rPr>
                      <w:rFonts w:ascii="Verdana" w:hAnsi="Verdana" w:cs="Arial"/>
                      <w:b/>
                      <w:sz w:val="20"/>
                    </w:rPr>
                    <w:t>R</w:t>
                  </w:r>
                </w:p>
              </w:tc>
            </w:tr>
            <w:tr w:rsidR="000C000F" w:rsidRPr="00C43634" w:rsidTr="000C000F">
              <w:trPr>
                <w:trHeight w:val="113"/>
              </w:trPr>
              <w:tc>
                <w:tcPr>
                  <w:tcW w:w="539" w:type="dxa"/>
                  <w:shd w:val="clear" w:color="auto" w:fill="FF9900"/>
                </w:tcPr>
                <w:p w:rsidR="000C000F" w:rsidRPr="00C43634" w:rsidRDefault="000C000F" w:rsidP="000C000F">
                  <w:pPr>
                    <w:jc w:val="center"/>
                    <w:rPr>
                      <w:rFonts w:ascii="Verdana" w:hAnsi="Verdana" w:cs="Arial"/>
                      <w:b/>
                      <w:sz w:val="20"/>
                    </w:rPr>
                  </w:pPr>
                </w:p>
                <w:p w:rsidR="000C000F" w:rsidRPr="00C43634" w:rsidRDefault="000C000F" w:rsidP="000C000F">
                  <w:pPr>
                    <w:jc w:val="center"/>
                    <w:rPr>
                      <w:rFonts w:ascii="Verdana" w:hAnsi="Verdana" w:cs="Arial"/>
                      <w:b/>
                      <w:sz w:val="20"/>
                    </w:rPr>
                  </w:pPr>
                  <w:r w:rsidRPr="00C43634">
                    <w:rPr>
                      <w:rFonts w:ascii="Verdana" w:hAnsi="Verdana" w:cs="Arial"/>
                      <w:b/>
                      <w:sz w:val="20"/>
                    </w:rPr>
                    <w:t>A</w:t>
                  </w:r>
                </w:p>
              </w:tc>
            </w:tr>
            <w:tr w:rsidR="000C000F" w:rsidRPr="00C43634" w:rsidTr="000C000F">
              <w:trPr>
                <w:trHeight w:val="109"/>
              </w:trPr>
              <w:tc>
                <w:tcPr>
                  <w:tcW w:w="539" w:type="dxa"/>
                  <w:shd w:val="clear" w:color="auto" w:fill="99CC00"/>
                </w:tcPr>
                <w:p w:rsidR="000C000F" w:rsidRPr="00C43634" w:rsidRDefault="000C000F" w:rsidP="000C000F">
                  <w:pPr>
                    <w:jc w:val="center"/>
                    <w:rPr>
                      <w:rFonts w:ascii="Verdana" w:hAnsi="Verdana" w:cs="Arial"/>
                      <w:b/>
                      <w:sz w:val="20"/>
                    </w:rPr>
                  </w:pPr>
                  <w:r w:rsidRPr="00C43634">
                    <w:rPr>
                      <w:rFonts w:ascii="Verdana" w:hAnsi="Verdana" w:cs="Arial"/>
                      <w:noProof/>
                      <w:sz w:val="20"/>
                      <w:lang w:eastAsia="en-GB"/>
                    </w:rPr>
                    <mc:AlternateContent>
                      <mc:Choice Requires="wps">
                        <w:drawing>
                          <wp:anchor distT="0" distB="0" distL="114300" distR="114300" simplePos="0" relativeHeight="251659264" behindDoc="0" locked="0" layoutInCell="1" allowOverlap="1" wp14:anchorId="444A2381" wp14:editId="6B40D631">
                            <wp:simplePos x="0" y="0"/>
                            <wp:positionH relativeFrom="column">
                              <wp:posOffset>-80010</wp:posOffset>
                            </wp:positionH>
                            <wp:positionV relativeFrom="paragraph">
                              <wp:posOffset>23495</wp:posOffset>
                            </wp:positionV>
                            <wp:extent cx="372745" cy="340995"/>
                            <wp:effectExtent l="20955" t="19050" r="15875" b="20955"/>
                            <wp:wrapNone/>
                            <wp:docPr id="2" name="Oval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72745" cy="340995"/>
                                    </a:xfrm>
                                    <a:prstGeom prst="ellipse">
                                      <a:avLst/>
                                    </a:prstGeom>
                                    <a:noFill/>
                                    <a:ln w="28575">
                                      <a:solidFill>
                                        <a:srgbClr val="0000FF"/>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w14:anchorId="20E63A56" id="Oval 13" o:spid="_x0000_s1026" style="position:absolute;margin-left:-6.3pt;margin-top:1.85pt;width:29.35pt;height:26.8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" filled="f" strokecolor="blue" strokeweight="2.25pt"/>
                        </w:pict>
                      </mc:Fallback>
                    </mc:AlternateContent>
                  </w:r>
                </w:p>
                <w:p w:rsidR="000C000F" w:rsidRPr="00C43634" w:rsidRDefault="000C000F" w:rsidP="000C000F">
                  <w:pPr>
                    <w:jc w:val="center"/>
                    <w:rPr>
                      <w:rFonts w:ascii="Verdana" w:hAnsi="Verdana" w:cs="Arial"/>
                      <w:b/>
                      <w:sz w:val="20"/>
                    </w:rPr>
                  </w:pPr>
                  <w:r w:rsidRPr="00C43634">
                    <w:rPr>
                      <w:rFonts w:ascii="Verdana" w:hAnsi="Verdana" w:cs="Arial"/>
                      <w:b/>
                      <w:sz w:val="20"/>
                    </w:rPr>
                    <w:t>G</w:t>
                  </w:r>
                </w:p>
              </w:tc>
            </w:tr>
          </w:tbl>
          <w:p w:rsidR="007D414A" w:rsidRPr="00C43634" w:rsidRDefault="007D414A" w:rsidP="000027CA">
            <w:pPr>
              <w:rPr>
                <w:rFonts w:ascii="Verdana" w:hAnsi="Verdana" w:cs="Arial"/>
                <w:sz w:val="20"/>
              </w:rPr>
            </w:pPr>
          </w:p>
        </w:tc>
        <w:tc>
          <w:tcPr>
            <w:tcW w:w="8710" w:type="dxa"/>
            <w:gridSpan w:val="7"/>
            <w:tcBorders>
              <w:top w:val="single" w:sz="4" w:space="0" w:color="auto"/>
              <w:left w:val="single" w:sz="4" w:space="0" w:color="auto"/>
              <w:bottom w:val="single" w:sz="4" w:space="0" w:color="auto"/>
              <w:right w:val="single" w:sz="4" w:space="0" w:color="auto"/>
            </w:tcBorders>
          </w:tcPr>
          <w:p w:rsidR="00C34A84" w:rsidRPr="00C34A84" w:rsidRDefault="00C34A84" w:rsidP="00C34A84">
            <w:pPr>
              <w:pStyle w:val="ListParagraph"/>
              <w:numPr>
                <w:ilvl w:val="0"/>
                <w:numId w:val="4"/>
              </w:numPr>
              <w:rPr>
                <w:rFonts w:ascii="Verdana" w:hAnsi="Verdana" w:cs="Arial"/>
                <w:sz w:val="20"/>
              </w:rPr>
            </w:pPr>
            <w:r w:rsidRPr="00C34A84">
              <w:rPr>
                <w:rFonts w:ascii="Verdana" w:hAnsi="Verdana" w:cs="Arial"/>
                <w:sz w:val="20"/>
              </w:rPr>
              <w:t xml:space="preserve">Details of recommendations </w:t>
            </w:r>
            <w:r w:rsidR="000C000F">
              <w:rPr>
                <w:rFonts w:ascii="Verdana" w:hAnsi="Verdana" w:cs="Arial"/>
                <w:sz w:val="20"/>
              </w:rPr>
              <w:t xml:space="preserve">agreed and </w:t>
            </w:r>
            <w:r w:rsidRPr="00C34A84">
              <w:rPr>
                <w:rFonts w:ascii="Verdana" w:hAnsi="Verdana" w:cs="Arial"/>
                <w:sz w:val="20"/>
              </w:rPr>
              <w:t>signed off at IMSOP assurance visit held on 18/02/2020</w:t>
            </w:r>
          </w:p>
          <w:p w:rsidR="00C34A84" w:rsidRPr="00C34A84" w:rsidRDefault="00C34A84" w:rsidP="00C34A84">
            <w:pPr>
              <w:pStyle w:val="ListParagraph"/>
              <w:numPr>
                <w:ilvl w:val="0"/>
                <w:numId w:val="4"/>
              </w:numPr>
              <w:rPr>
                <w:rFonts w:ascii="Verdana" w:hAnsi="Verdana" w:cs="Arial"/>
                <w:sz w:val="20"/>
              </w:rPr>
            </w:pPr>
            <w:r w:rsidRPr="00C34A84">
              <w:rPr>
                <w:rFonts w:ascii="Verdana" w:hAnsi="Verdana" w:cs="Arial"/>
                <w:sz w:val="20"/>
              </w:rPr>
              <w:t>Future suggested actions</w:t>
            </w:r>
          </w:p>
          <w:p w:rsidR="003F3EA0" w:rsidRPr="00C43634" w:rsidRDefault="003F3EA0" w:rsidP="00C34A84">
            <w:pPr>
              <w:pStyle w:val="ListParagraph"/>
              <w:rPr>
                <w:rFonts w:ascii="Verdana" w:hAnsi="Verdana" w:cs="Arial"/>
                <w:sz w:val="20"/>
              </w:rPr>
            </w:pPr>
          </w:p>
        </w:tc>
      </w:tr>
      <w:tr w:rsidR="007D414A" w:rsidRPr="00C43634" w:rsidTr="00185E22">
        <w:trPr>
          <w:trHeight w:val="15"/>
        </w:trPr>
        <w:tc>
          <w:tcPr>
            <w:tcW w:w="5529" w:type="dxa"/>
            <w:gridSpan w:val="4"/>
            <w:tcBorders>
              <w:top w:val="single" w:sz="4" w:space="0" w:color="auto"/>
              <w:left w:val="single" w:sz="4" w:space="0" w:color="auto"/>
              <w:bottom w:val="single" w:sz="4" w:space="0" w:color="auto"/>
              <w:right w:val="single" w:sz="4" w:space="0" w:color="auto"/>
            </w:tcBorders>
            <w:shd w:val="clear" w:color="auto" w:fill="D9D9D9"/>
          </w:tcPr>
          <w:p w:rsidR="007D414A" w:rsidRPr="00C43634" w:rsidRDefault="007D414A" w:rsidP="000027CA">
            <w:pPr>
              <w:keepNext/>
              <w:rPr>
                <w:rFonts w:ascii="Verdana" w:hAnsi="Verdana" w:cs="Arial"/>
                <w:b/>
                <w:sz w:val="20"/>
              </w:rPr>
            </w:pPr>
            <w:r w:rsidRPr="00C43634">
              <w:rPr>
                <w:rFonts w:ascii="Verdana" w:hAnsi="Verdana" w:cs="Arial"/>
                <w:b/>
                <w:sz w:val="20"/>
              </w:rPr>
              <w:t xml:space="preserve">Key Achievements </w:t>
            </w:r>
            <w:r w:rsidR="005A35FD" w:rsidRPr="00C43634">
              <w:rPr>
                <w:rFonts w:ascii="Verdana" w:hAnsi="Verdana" w:cs="Arial"/>
                <w:b/>
                <w:sz w:val="20"/>
              </w:rPr>
              <w:t>This Quarter</w:t>
            </w:r>
          </w:p>
        </w:tc>
        <w:tc>
          <w:tcPr>
            <w:tcW w:w="4961" w:type="dxa"/>
            <w:gridSpan w:val="4"/>
            <w:tcBorders>
              <w:top w:val="single" w:sz="4" w:space="0" w:color="auto"/>
              <w:left w:val="single" w:sz="4" w:space="0" w:color="auto"/>
              <w:bottom w:val="single" w:sz="4" w:space="0" w:color="auto"/>
              <w:right w:val="single" w:sz="4" w:space="0" w:color="auto"/>
            </w:tcBorders>
            <w:shd w:val="clear" w:color="auto" w:fill="D9D9D9"/>
          </w:tcPr>
          <w:p w:rsidR="007D414A" w:rsidRPr="00C43634" w:rsidRDefault="00732225" w:rsidP="000027CA">
            <w:pPr>
              <w:keepNext/>
              <w:rPr>
                <w:rFonts w:ascii="Verdana" w:hAnsi="Verdana" w:cs="Arial"/>
                <w:b/>
                <w:sz w:val="20"/>
              </w:rPr>
            </w:pPr>
            <w:r w:rsidRPr="00C43634">
              <w:rPr>
                <w:rFonts w:ascii="Verdana" w:hAnsi="Verdana" w:cs="Arial"/>
                <w:b/>
                <w:sz w:val="20"/>
              </w:rPr>
              <w:t xml:space="preserve">Project Plan: Proposed Achievements </w:t>
            </w:r>
            <w:r w:rsidR="005A35FD" w:rsidRPr="00C43634">
              <w:rPr>
                <w:rFonts w:ascii="Verdana" w:hAnsi="Verdana" w:cs="Arial"/>
                <w:b/>
                <w:sz w:val="20"/>
              </w:rPr>
              <w:t>Next Quarter</w:t>
            </w:r>
          </w:p>
        </w:tc>
      </w:tr>
      <w:tr w:rsidR="007D414A" w:rsidRPr="00C43634" w:rsidTr="001E30D9">
        <w:trPr>
          <w:trHeight w:val="91"/>
        </w:trPr>
        <w:tc>
          <w:tcPr>
            <w:tcW w:w="5529" w:type="dxa"/>
            <w:gridSpan w:val="4"/>
            <w:tcBorders>
              <w:top w:val="single" w:sz="4" w:space="0" w:color="auto"/>
              <w:left w:val="single" w:sz="4" w:space="0" w:color="auto"/>
              <w:bottom w:val="single" w:sz="4" w:space="0" w:color="auto"/>
              <w:right w:val="single" w:sz="4" w:space="0" w:color="auto"/>
            </w:tcBorders>
          </w:tcPr>
          <w:p w:rsidR="00567C4B" w:rsidRPr="00452C6D" w:rsidRDefault="00567C4B" w:rsidP="00567C4B">
            <w:pPr>
              <w:pStyle w:val="DfESBullets"/>
              <w:numPr>
                <w:ilvl w:val="0"/>
                <w:numId w:val="0"/>
              </w:numPr>
              <w:spacing w:after="0"/>
              <w:rPr>
                <w:rFonts w:ascii="Verdana" w:hAnsi="Verdana" w:cs="Arial"/>
                <w:color w:val="000000" w:themeColor="text1"/>
                <w:sz w:val="20"/>
                <w:u w:val="single"/>
              </w:rPr>
            </w:pPr>
            <w:r w:rsidRPr="00452C6D">
              <w:rPr>
                <w:rFonts w:ascii="Verdana" w:hAnsi="Verdana" w:cs="Arial"/>
                <w:color w:val="000000" w:themeColor="text1"/>
                <w:sz w:val="20"/>
                <w:u w:val="single"/>
              </w:rPr>
              <w:t>IMSOP validated and approved the following recommendations as complete</w:t>
            </w:r>
            <w:r>
              <w:rPr>
                <w:rFonts w:ascii="Verdana" w:hAnsi="Verdana" w:cs="Arial"/>
                <w:color w:val="000000" w:themeColor="text1"/>
                <w:sz w:val="20"/>
                <w:u w:val="single"/>
              </w:rPr>
              <w:t xml:space="preserve"> – 18/02/2020</w:t>
            </w:r>
            <w:r w:rsidRPr="00452C6D">
              <w:rPr>
                <w:rFonts w:ascii="Verdana" w:hAnsi="Verdana" w:cs="Arial"/>
                <w:color w:val="000000" w:themeColor="text1"/>
                <w:sz w:val="20"/>
                <w:u w:val="single"/>
              </w:rPr>
              <w:t xml:space="preserve">.  </w:t>
            </w:r>
          </w:p>
          <w:p w:rsidR="00C34A84" w:rsidRPr="00C34A84" w:rsidRDefault="00C34A84" w:rsidP="00C34A84">
            <w:pPr>
              <w:widowControl/>
              <w:overflowPunct/>
              <w:autoSpaceDE/>
              <w:autoSpaceDN/>
              <w:adjustRightInd/>
              <w:jc w:val="both"/>
              <w:textAlignment w:val="auto"/>
              <w:rPr>
                <w:rFonts w:ascii="Verdana" w:hAnsi="Verdana" w:cs="Arial"/>
                <w:color w:val="000000" w:themeColor="text1"/>
                <w:sz w:val="20"/>
              </w:rPr>
            </w:pPr>
          </w:p>
          <w:p w:rsidR="000128E9" w:rsidRPr="000128E9" w:rsidRDefault="00C34A84" w:rsidP="00C34A84">
            <w:pPr>
              <w:pStyle w:val="ListParagraph"/>
              <w:widowControl/>
              <w:numPr>
                <w:ilvl w:val="0"/>
                <w:numId w:val="33"/>
              </w:numPr>
              <w:overflowPunct/>
              <w:autoSpaceDE/>
              <w:autoSpaceDN/>
              <w:adjustRightInd/>
              <w:ind w:left="176" w:hanging="284"/>
              <w:contextualSpacing w:val="0"/>
              <w:jc w:val="both"/>
              <w:textAlignment w:val="auto"/>
              <w:rPr>
                <w:rFonts w:ascii="Verdana" w:hAnsi="Verdana" w:cs="Arial"/>
                <w:color w:val="000000" w:themeColor="text1"/>
                <w:sz w:val="20"/>
              </w:rPr>
            </w:pPr>
            <w:r w:rsidRPr="00C34A84">
              <w:rPr>
                <w:rFonts w:ascii="Verdana" w:hAnsi="Verdana" w:cs="Arial"/>
                <w:b/>
                <w:color w:val="000000" w:themeColor="text1"/>
                <w:sz w:val="20"/>
              </w:rPr>
              <w:t>DU Report</w:t>
            </w:r>
            <w:r>
              <w:rPr>
                <w:rFonts w:ascii="Verdana" w:hAnsi="Verdana" w:cs="Arial"/>
                <w:color w:val="000000" w:themeColor="text1"/>
                <w:sz w:val="20"/>
              </w:rPr>
              <w:t xml:space="preserve"> – Simply the current process for review of an incident – </w:t>
            </w:r>
            <w:r w:rsidRPr="008B5CA8">
              <w:rPr>
                <w:rFonts w:ascii="Verdana" w:hAnsi="Verdana" w:cs="Arial"/>
                <w:b/>
                <w:color w:val="000000" w:themeColor="text1"/>
                <w:sz w:val="20"/>
              </w:rPr>
              <w:t>agreed partial completion</w:t>
            </w:r>
            <w:r w:rsidR="008B5CA8">
              <w:rPr>
                <w:rFonts w:ascii="Verdana" w:hAnsi="Verdana" w:cs="Arial"/>
                <w:b/>
                <w:color w:val="000000" w:themeColor="text1"/>
                <w:sz w:val="20"/>
              </w:rPr>
              <w:t xml:space="preserve"> further evidence required</w:t>
            </w:r>
            <w:r w:rsidR="001E30D9">
              <w:rPr>
                <w:rFonts w:ascii="Verdana" w:hAnsi="Verdana" w:cs="Arial"/>
                <w:b/>
                <w:color w:val="000000" w:themeColor="text1"/>
                <w:sz w:val="20"/>
              </w:rPr>
              <w:t xml:space="preserve"> – 6 months</w:t>
            </w:r>
          </w:p>
          <w:p w:rsidR="000128E9" w:rsidRPr="000128E9" w:rsidRDefault="000128E9" w:rsidP="000128E9">
            <w:pPr>
              <w:pStyle w:val="ListParagraph"/>
              <w:widowControl/>
              <w:overflowPunct/>
              <w:autoSpaceDE/>
              <w:autoSpaceDN/>
              <w:adjustRightInd/>
              <w:ind w:left="176"/>
              <w:contextualSpacing w:val="0"/>
              <w:jc w:val="both"/>
              <w:textAlignment w:val="auto"/>
              <w:rPr>
                <w:rFonts w:ascii="Verdana" w:hAnsi="Verdana" w:cs="Arial"/>
                <w:color w:val="000000" w:themeColor="text1"/>
                <w:sz w:val="20"/>
              </w:rPr>
            </w:pPr>
          </w:p>
          <w:p w:rsidR="000128E9" w:rsidRPr="008B5CA8" w:rsidRDefault="000128E9" w:rsidP="000128E9">
            <w:pPr>
              <w:pStyle w:val="ListParagraph"/>
              <w:widowControl/>
              <w:numPr>
                <w:ilvl w:val="0"/>
                <w:numId w:val="33"/>
              </w:numPr>
              <w:overflowPunct/>
              <w:autoSpaceDE/>
              <w:autoSpaceDN/>
              <w:adjustRightInd/>
              <w:ind w:left="176" w:hanging="284"/>
              <w:contextualSpacing w:val="0"/>
              <w:jc w:val="both"/>
              <w:textAlignment w:val="auto"/>
              <w:rPr>
                <w:rFonts w:ascii="Verdana" w:hAnsi="Verdana" w:cs="Arial"/>
                <w:color w:val="000000" w:themeColor="text1"/>
                <w:sz w:val="20"/>
              </w:rPr>
            </w:pPr>
            <w:r>
              <w:rPr>
                <w:rFonts w:ascii="Verdana" w:hAnsi="Verdana" w:cs="Arial"/>
                <w:b/>
                <w:color w:val="000000" w:themeColor="text1"/>
                <w:sz w:val="20"/>
              </w:rPr>
              <w:t>DU Report (1, 2019):</w:t>
            </w:r>
            <w:r>
              <w:rPr>
                <w:rFonts w:ascii="Verdana" w:hAnsi="Verdana" w:cs="Arial"/>
                <w:color w:val="000000" w:themeColor="text1"/>
                <w:sz w:val="20"/>
              </w:rPr>
              <w:t xml:space="preserve"> Use learning to inform improvement via the newly developing governance arrangements – </w:t>
            </w:r>
            <w:r w:rsidRPr="00C34A84">
              <w:rPr>
                <w:rFonts w:ascii="Verdana" w:hAnsi="Verdana" w:cs="Arial"/>
                <w:b/>
                <w:i/>
                <w:color w:val="000000" w:themeColor="text1"/>
                <w:sz w:val="20"/>
              </w:rPr>
              <w:t>agreed sign off as complete</w:t>
            </w:r>
          </w:p>
          <w:p w:rsidR="00C34A84" w:rsidRPr="008B5CA8" w:rsidRDefault="00C34A84" w:rsidP="008B5CA8">
            <w:pPr>
              <w:widowControl/>
              <w:overflowPunct/>
              <w:autoSpaceDE/>
              <w:autoSpaceDN/>
              <w:adjustRightInd/>
              <w:jc w:val="both"/>
              <w:textAlignment w:val="auto"/>
              <w:rPr>
                <w:rFonts w:ascii="Verdana" w:hAnsi="Verdana" w:cs="Arial"/>
                <w:color w:val="000000" w:themeColor="text1"/>
                <w:sz w:val="20"/>
              </w:rPr>
            </w:pPr>
            <w:r w:rsidRPr="008B5CA8">
              <w:rPr>
                <w:rFonts w:ascii="Verdana" w:hAnsi="Verdana" w:cs="Arial"/>
                <w:color w:val="000000" w:themeColor="text1"/>
                <w:sz w:val="20"/>
              </w:rPr>
              <w:t xml:space="preserve">  </w:t>
            </w:r>
          </w:p>
          <w:p w:rsidR="00C34A84" w:rsidRDefault="00C34A84" w:rsidP="008B5CA8">
            <w:pPr>
              <w:pStyle w:val="ListParagraph"/>
              <w:widowControl/>
              <w:numPr>
                <w:ilvl w:val="0"/>
                <w:numId w:val="33"/>
              </w:numPr>
              <w:overflowPunct/>
              <w:autoSpaceDE/>
              <w:autoSpaceDN/>
              <w:adjustRightInd/>
              <w:ind w:left="176" w:hanging="284"/>
              <w:contextualSpacing w:val="0"/>
              <w:jc w:val="both"/>
              <w:textAlignment w:val="auto"/>
              <w:rPr>
                <w:rFonts w:ascii="Verdana" w:hAnsi="Verdana" w:cs="Arial"/>
                <w:color w:val="000000" w:themeColor="text1"/>
                <w:sz w:val="20"/>
              </w:rPr>
            </w:pPr>
            <w:r>
              <w:rPr>
                <w:rFonts w:ascii="Verdana" w:hAnsi="Verdana" w:cs="Arial"/>
                <w:b/>
                <w:color w:val="000000" w:themeColor="text1"/>
                <w:sz w:val="20"/>
              </w:rPr>
              <w:t>DU Report</w:t>
            </w:r>
            <w:r w:rsidR="008B5CA8">
              <w:rPr>
                <w:rFonts w:ascii="Verdana" w:hAnsi="Verdana" w:cs="Arial"/>
                <w:b/>
                <w:color w:val="000000" w:themeColor="text1"/>
                <w:sz w:val="20"/>
              </w:rPr>
              <w:t xml:space="preserve"> (2, 2019):</w:t>
            </w:r>
            <w:r>
              <w:rPr>
                <w:rFonts w:ascii="Verdana" w:hAnsi="Verdana" w:cs="Arial"/>
                <w:b/>
                <w:color w:val="000000" w:themeColor="text1"/>
                <w:sz w:val="20"/>
              </w:rPr>
              <w:t xml:space="preserve"> </w:t>
            </w:r>
            <w:r w:rsidRPr="00C34A84">
              <w:rPr>
                <w:rFonts w:ascii="Verdana" w:hAnsi="Verdana" w:cs="Arial"/>
                <w:color w:val="000000" w:themeColor="text1"/>
                <w:sz w:val="20"/>
              </w:rPr>
              <w:t>Complete the reviews of 43 incidents</w:t>
            </w:r>
            <w:r>
              <w:rPr>
                <w:rFonts w:ascii="Verdana" w:hAnsi="Verdana" w:cs="Arial"/>
                <w:b/>
                <w:color w:val="000000" w:themeColor="text1"/>
                <w:sz w:val="20"/>
              </w:rPr>
              <w:t xml:space="preserve"> - </w:t>
            </w:r>
            <w:r w:rsidR="00782F87" w:rsidRPr="00C34A84">
              <w:rPr>
                <w:rFonts w:ascii="Verdana" w:hAnsi="Verdana" w:cs="Arial"/>
                <w:b/>
                <w:i/>
                <w:color w:val="000000" w:themeColor="text1"/>
                <w:sz w:val="20"/>
              </w:rPr>
              <w:t xml:space="preserve"> agreed sign off as complete</w:t>
            </w:r>
            <w:r w:rsidR="00782F87">
              <w:rPr>
                <w:rFonts w:ascii="Verdana" w:hAnsi="Verdana" w:cs="Arial"/>
                <w:color w:val="000000" w:themeColor="text1"/>
                <w:sz w:val="20"/>
              </w:rPr>
              <w:t xml:space="preserve"> </w:t>
            </w:r>
            <w:r w:rsidR="008B5CA8">
              <w:rPr>
                <w:rFonts w:ascii="Verdana" w:hAnsi="Verdana" w:cs="Arial"/>
                <w:color w:val="000000" w:themeColor="text1"/>
                <w:sz w:val="20"/>
              </w:rPr>
              <w:t xml:space="preserve">as these cases </w:t>
            </w:r>
            <w:r w:rsidR="00782F87">
              <w:rPr>
                <w:rFonts w:ascii="Verdana" w:hAnsi="Verdana" w:cs="Arial"/>
                <w:color w:val="000000" w:themeColor="text1"/>
                <w:sz w:val="20"/>
              </w:rPr>
              <w:t>now fall under</w:t>
            </w:r>
            <w:r w:rsidR="008B5CA8">
              <w:rPr>
                <w:rFonts w:ascii="Verdana" w:hAnsi="Verdana" w:cs="Arial"/>
                <w:color w:val="000000" w:themeColor="text1"/>
                <w:sz w:val="20"/>
              </w:rPr>
              <w:t xml:space="preserve"> the</w:t>
            </w:r>
            <w:r w:rsidR="00782F87">
              <w:rPr>
                <w:rFonts w:ascii="Verdana" w:hAnsi="Verdana" w:cs="Arial"/>
                <w:color w:val="000000" w:themeColor="text1"/>
                <w:sz w:val="20"/>
              </w:rPr>
              <w:t xml:space="preserve"> clinical review process and are no longer being investigated by the HB </w:t>
            </w:r>
          </w:p>
          <w:p w:rsidR="008B5CA8" w:rsidRPr="008B5CA8" w:rsidRDefault="008B5CA8" w:rsidP="008B5CA8">
            <w:pPr>
              <w:widowControl/>
              <w:overflowPunct/>
              <w:autoSpaceDE/>
              <w:autoSpaceDN/>
              <w:adjustRightInd/>
              <w:jc w:val="both"/>
              <w:textAlignment w:val="auto"/>
              <w:rPr>
                <w:rFonts w:ascii="Verdana" w:hAnsi="Verdana" w:cs="Arial"/>
                <w:color w:val="000000" w:themeColor="text1"/>
                <w:sz w:val="20"/>
              </w:rPr>
            </w:pPr>
          </w:p>
          <w:p w:rsidR="00782F87" w:rsidRDefault="00782F87" w:rsidP="00782F87">
            <w:pPr>
              <w:pStyle w:val="ListParagraph"/>
              <w:widowControl/>
              <w:numPr>
                <w:ilvl w:val="0"/>
                <w:numId w:val="33"/>
              </w:numPr>
              <w:overflowPunct/>
              <w:autoSpaceDE/>
              <w:autoSpaceDN/>
              <w:adjustRightInd/>
              <w:ind w:left="176" w:hanging="284"/>
              <w:contextualSpacing w:val="0"/>
              <w:jc w:val="both"/>
              <w:textAlignment w:val="auto"/>
              <w:rPr>
                <w:rFonts w:ascii="Verdana" w:hAnsi="Verdana" w:cs="Arial"/>
                <w:color w:val="000000" w:themeColor="text1"/>
                <w:sz w:val="20"/>
              </w:rPr>
            </w:pPr>
            <w:r w:rsidRPr="00C34A84">
              <w:rPr>
                <w:rFonts w:ascii="Verdana" w:hAnsi="Verdana" w:cs="Arial"/>
                <w:b/>
                <w:color w:val="000000" w:themeColor="text1"/>
                <w:sz w:val="20"/>
              </w:rPr>
              <w:t>DU Report</w:t>
            </w:r>
            <w:r w:rsidR="008B5CA8">
              <w:rPr>
                <w:rFonts w:ascii="Verdana" w:hAnsi="Verdana" w:cs="Arial"/>
                <w:b/>
                <w:color w:val="000000" w:themeColor="text1"/>
                <w:sz w:val="20"/>
              </w:rPr>
              <w:t xml:space="preserve"> (3, 2019):</w:t>
            </w:r>
            <w:r>
              <w:rPr>
                <w:rFonts w:ascii="Verdana" w:hAnsi="Verdana" w:cs="Arial"/>
                <w:b/>
                <w:color w:val="000000" w:themeColor="text1"/>
                <w:sz w:val="20"/>
              </w:rPr>
              <w:t xml:space="preserve"> </w:t>
            </w:r>
            <w:r>
              <w:rPr>
                <w:rFonts w:ascii="Verdana" w:hAnsi="Verdana" w:cs="Arial"/>
                <w:color w:val="000000" w:themeColor="text1"/>
                <w:sz w:val="20"/>
              </w:rPr>
              <w:t xml:space="preserve">Ensure governance process are consistent - </w:t>
            </w:r>
            <w:r w:rsidRPr="00C34A84">
              <w:rPr>
                <w:rFonts w:ascii="Verdana" w:hAnsi="Verdana" w:cs="Arial"/>
                <w:b/>
                <w:i/>
                <w:color w:val="000000" w:themeColor="text1"/>
                <w:sz w:val="20"/>
              </w:rPr>
              <w:t xml:space="preserve">agreed sign off </w:t>
            </w:r>
            <w:r w:rsidR="001E30D9">
              <w:rPr>
                <w:rFonts w:ascii="Verdana" w:hAnsi="Verdana" w:cs="Arial"/>
                <w:b/>
                <w:i/>
                <w:color w:val="000000" w:themeColor="text1"/>
                <w:sz w:val="20"/>
              </w:rPr>
              <w:t xml:space="preserve">IMSOP Business Manager to confirm with DU </w:t>
            </w:r>
            <w:r>
              <w:rPr>
                <w:rFonts w:ascii="Verdana" w:hAnsi="Verdana" w:cs="Arial"/>
                <w:color w:val="000000" w:themeColor="text1"/>
                <w:sz w:val="20"/>
              </w:rPr>
              <w:t xml:space="preserve">  </w:t>
            </w:r>
          </w:p>
          <w:p w:rsidR="008B5CA8" w:rsidRPr="008B5CA8" w:rsidRDefault="008B5CA8" w:rsidP="008B5CA8">
            <w:pPr>
              <w:widowControl/>
              <w:overflowPunct/>
              <w:autoSpaceDE/>
              <w:autoSpaceDN/>
              <w:adjustRightInd/>
              <w:jc w:val="both"/>
              <w:textAlignment w:val="auto"/>
              <w:rPr>
                <w:rFonts w:ascii="Verdana" w:hAnsi="Verdana" w:cs="Arial"/>
                <w:color w:val="000000" w:themeColor="text1"/>
                <w:sz w:val="20"/>
              </w:rPr>
            </w:pPr>
          </w:p>
          <w:p w:rsidR="001E30D9" w:rsidRPr="001E30D9" w:rsidRDefault="008B5CA8" w:rsidP="001E30D9">
            <w:pPr>
              <w:pStyle w:val="ListParagraph"/>
              <w:widowControl/>
              <w:numPr>
                <w:ilvl w:val="0"/>
                <w:numId w:val="33"/>
              </w:numPr>
              <w:overflowPunct/>
              <w:autoSpaceDE/>
              <w:autoSpaceDN/>
              <w:adjustRightInd/>
              <w:ind w:left="176" w:hanging="284"/>
              <w:contextualSpacing w:val="0"/>
              <w:jc w:val="both"/>
              <w:textAlignment w:val="auto"/>
              <w:rPr>
                <w:rFonts w:ascii="Verdana" w:hAnsi="Verdana" w:cs="Arial"/>
                <w:color w:val="000000" w:themeColor="text1"/>
                <w:sz w:val="20"/>
              </w:rPr>
            </w:pPr>
            <w:r w:rsidRPr="001E30D9">
              <w:rPr>
                <w:rFonts w:ascii="Verdana" w:hAnsi="Verdana" w:cs="Arial"/>
                <w:b/>
                <w:color w:val="000000" w:themeColor="text1"/>
                <w:sz w:val="20"/>
              </w:rPr>
              <w:t xml:space="preserve">DU Report (4, 2019): </w:t>
            </w:r>
            <w:r w:rsidRPr="001E30D9">
              <w:rPr>
                <w:rFonts w:ascii="Verdana" w:hAnsi="Verdana" w:cs="Arial"/>
                <w:color w:val="000000" w:themeColor="text1"/>
                <w:sz w:val="20"/>
              </w:rPr>
              <w:t xml:space="preserve">Ensure sustainable change in the midwifery reporting process for incidents - </w:t>
            </w:r>
            <w:r w:rsidRPr="001E30D9">
              <w:rPr>
                <w:rFonts w:ascii="Verdana" w:hAnsi="Verdana" w:cs="Arial"/>
                <w:b/>
                <w:color w:val="000000" w:themeColor="text1"/>
                <w:sz w:val="20"/>
              </w:rPr>
              <w:t xml:space="preserve"> agreed partial completion this will be covered under RCOG Rec 7.51</w:t>
            </w:r>
          </w:p>
          <w:p w:rsidR="001E30D9" w:rsidRPr="001E30D9" w:rsidRDefault="001E30D9" w:rsidP="001E30D9">
            <w:pPr>
              <w:pStyle w:val="ListParagraph"/>
              <w:rPr>
                <w:rFonts w:ascii="Verdana" w:hAnsi="Verdana" w:cs="Arial"/>
                <w:b/>
                <w:color w:val="000000" w:themeColor="text1"/>
                <w:sz w:val="20"/>
              </w:rPr>
            </w:pPr>
          </w:p>
          <w:p w:rsidR="001E30D9" w:rsidRDefault="001E30D9" w:rsidP="001E30D9">
            <w:pPr>
              <w:pStyle w:val="ListParagraph"/>
              <w:widowControl/>
              <w:numPr>
                <w:ilvl w:val="0"/>
                <w:numId w:val="33"/>
              </w:numPr>
              <w:overflowPunct/>
              <w:autoSpaceDE/>
              <w:autoSpaceDN/>
              <w:adjustRightInd/>
              <w:ind w:left="176" w:hanging="284"/>
              <w:contextualSpacing w:val="0"/>
              <w:jc w:val="both"/>
              <w:textAlignment w:val="auto"/>
              <w:rPr>
                <w:rFonts w:ascii="Verdana" w:hAnsi="Verdana" w:cs="Arial"/>
                <w:color w:val="000000" w:themeColor="text1"/>
                <w:sz w:val="20"/>
              </w:rPr>
            </w:pPr>
            <w:r w:rsidRPr="001E30D9">
              <w:rPr>
                <w:rFonts w:ascii="Verdana" w:hAnsi="Verdana" w:cs="Arial"/>
                <w:b/>
                <w:color w:val="000000" w:themeColor="text1"/>
                <w:sz w:val="20"/>
              </w:rPr>
              <w:t xml:space="preserve">Rec 7.14: </w:t>
            </w:r>
            <w:r w:rsidRPr="001E30D9">
              <w:rPr>
                <w:rFonts w:ascii="Verdana" w:hAnsi="Verdana" w:cs="Arial"/>
                <w:color w:val="000000" w:themeColor="text1"/>
                <w:sz w:val="20"/>
              </w:rPr>
              <w:t>Consultant meetings are regular in frequency</w:t>
            </w:r>
            <w:r>
              <w:rPr>
                <w:rFonts w:ascii="Verdana" w:hAnsi="Verdana" w:cs="Arial"/>
                <w:color w:val="000000" w:themeColor="text1"/>
                <w:sz w:val="20"/>
              </w:rPr>
              <w:t xml:space="preserve"> -</w:t>
            </w:r>
            <w:r w:rsidRPr="00C34A84">
              <w:rPr>
                <w:rFonts w:ascii="Verdana" w:hAnsi="Verdana" w:cs="Arial"/>
                <w:b/>
                <w:i/>
                <w:color w:val="000000" w:themeColor="text1"/>
                <w:sz w:val="20"/>
              </w:rPr>
              <w:t xml:space="preserve"> agreed sign off as complete</w:t>
            </w:r>
            <w:r>
              <w:rPr>
                <w:rFonts w:ascii="Verdana" w:hAnsi="Verdana" w:cs="Arial"/>
                <w:color w:val="000000" w:themeColor="text1"/>
                <w:sz w:val="20"/>
              </w:rPr>
              <w:t xml:space="preserve">  </w:t>
            </w:r>
          </w:p>
          <w:p w:rsidR="0022652C" w:rsidRPr="0022652C" w:rsidRDefault="0022652C" w:rsidP="0022652C">
            <w:pPr>
              <w:pStyle w:val="ListParagraph"/>
              <w:rPr>
                <w:rFonts w:ascii="Verdana" w:hAnsi="Verdana" w:cs="Arial"/>
                <w:color w:val="000000" w:themeColor="text1"/>
                <w:sz w:val="20"/>
              </w:rPr>
            </w:pPr>
          </w:p>
          <w:p w:rsidR="0022652C" w:rsidRPr="0022652C" w:rsidRDefault="0022652C" w:rsidP="0022652C">
            <w:pPr>
              <w:pStyle w:val="ListParagraph"/>
              <w:widowControl/>
              <w:numPr>
                <w:ilvl w:val="0"/>
                <w:numId w:val="33"/>
              </w:numPr>
              <w:overflowPunct/>
              <w:autoSpaceDE/>
              <w:autoSpaceDN/>
              <w:adjustRightInd/>
              <w:ind w:left="176" w:hanging="284"/>
              <w:jc w:val="both"/>
              <w:textAlignment w:val="auto"/>
              <w:rPr>
                <w:rFonts w:ascii="Verdana" w:hAnsi="Verdana" w:cs="Arial"/>
                <w:color w:val="000000" w:themeColor="text1"/>
                <w:sz w:val="20"/>
              </w:rPr>
            </w:pPr>
            <w:r w:rsidRPr="0022652C">
              <w:rPr>
                <w:rFonts w:ascii="Verdana" w:hAnsi="Verdana" w:cs="Arial"/>
                <w:b/>
                <w:color w:val="000000" w:themeColor="text1"/>
                <w:sz w:val="20"/>
              </w:rPr>
              <w:t>Rec 7.16:</w:t>
            </w:r>
            <w:r w:rsidRPr="0022652C">
              <w:rPr>
                <w:rFonts w:ascii="Verdana" w:hAnsi="Verdana" w:cs="Arial"/>
                <w:color w:val="000000" w:themeColor="text1"/>
                <w:sz w:val="20"/>
              </w:rPr>
              <w:t xml:space="preserve"> additional information submitted with a view to sign off. </w:t>
            </w:r>
          </w:p>
          <w:p w:rsidR="001E30D9" w:rsidRPr="0022652C" w:rsidRDefault="001E30D9" w:rsidP="0022652C">
            <w:pPr>
              <w:pStyle w:val="ListParagraph"/>
              <w:widowControl/>
              <w:overflowPunct/>
              <w:autoSpaceDE/>
              <w:autoSpaceDN/>
              <w:adjustRightInd/>
              <w:ind w:left="176"/>
              <w:contextualSpacing w:val="0"/>
              <w:jc w:val="both"/>
              <w:textAlignment w:val="auto"/>
              <w:rPr>
                <w:rFonts w:ascii="Verdana" w:hAnsi="Verdana" w:cs="Arial"/>
                <w:color w:val="000000" w:themeColor="text1"/>
                <w:sz w:val="20"/>
              </w:rPr>
            </w:pPr>
          </w:p>
          <w:p w:rsidR="00955FF9" w:rsidRDefault="008B5CA8" w:rsidP="00955FF9">
            <w:pPr>
              <w:pStyle w:val="ListParagraph"/>
              <w:widowControl/>
              <w:numPr>
                <w:ilvl w:val="0"/>
                <w:numId w:val="33"/>
              </w:numPr>
              <w:overflowPunct/>
              <w:autoSpaceDE/>
              <w:autoSpaceDN/>
              <w:adjustRightInd/>
              <w:ind w:left="176" w:hanging="284"/>
              <w:contextualSpacing w:val="0"/>
              <w:jc w:val="both"/>
              <w:textAlignment w:val="auto"/>
              <w:rPr>
                <w:rFonts w:ascii="Verdana" w:hAnsi="Verdana" w:cs="Arial"/>
                <w:color w:val="000000" w:themeColor="text1"/>
                <w:sz w:val="20"/>
              </w:rPr>
            </w:pPr>
            <w:r w:rsidRPr="008B5CA8">
              <w:rPr>
                <w:rFonts w:ascii="Verdana" w:hAnsi="Verdana" w:cs="Arial"/>
                <w:b/>
                <w:color w:val="000000" w:themeColor="text1"/>
                <w:sz w:val="20"/>
              </w:rPr>
              <w:t>Rec 7.</w:t>
            </w:r>
            <w:r>
              <w:rPr>
                <w:rFonts w:ascii="Verdana" w:hAnsi="Verdana" w:cs="Arial"/>
                <w:b/>
                <w:color w:val="000000" w:themeColor="text1"/>
                <w:sz w:val="20"/>
              </w:rPr>
              <w:t>21</w:t>
            </w:r>
            <w:r w:rsidRPr="008B5CA8">
              <w:rPr>
                <w:rFonts w:ascii="Verdana" w:hAnsi="Verdana" w:cs="Arial"/>
                <w:b/>
                <w:color w:val="000000" w:themeColor="text1"/>
                <w:sz w:val="20"/>
              </w:rPr>
              <w:t>:</w:t>
            </w:r>
            <w:r w:rsidR="00955FF9">
              <w:rPr>
                <w:rFonts w:ascii="Verdana" w:hAnsi="Verdana" w:cs="Arial"/>
                <w:b/>
                <w:color w:val="000000" w:themeColor="text1"/>
                <w:sz w:val="20"/>
              </w:rPr>
              <w:t xml:space="preserve"> </w:t>
            </w:r>
            <w:r w:rsidR="00955FF9" w:rsidRPr="008B5CA8">
              <w:rPr>
                <w:rFonts w:ascii="Verdana" w:hAnsi="Verdana" w:cs="Arial"/>
                <w:b/>
                <w:color w:val="000000" w:themeColor="text1"/>
                <w:sz w:val="20"/>
              </w:rPr>
              <w:t xml:space="preserve"> </w:t>
            </w:r>
            <w:r w:rsidR="000128E9" w:rsidRPr="000128E9">
              <w:rPr>
                <w:rFonts w:ascii="Verdana" w:hAnsi="Verdana" w:cs="Arial"/>
                <w:b/>
                <w:color w:val="000000" w:themeColor="text1"/>
                <w:sz w:val="20"/>
              </w:rPr>
              <w:t>agreed sign off complete</w:t>
            </w:r>
          </w:p>
          <w:p w:rsidR="001E30D9" w:rsidRPr="001E30D9" w:rsidRDefault="001E30D9" w:rsidP="001E30D9">
            <w:pPr>
              <w:pStyle w:val="ListParagraph"/>
              <w:rPr>
                <w:rFonts w:ascii="Verdana" w:hAnsi="Verdana" w:cs="Arial"/>
                <w:color w:val="000000" w:themeColor="text1"/>
                <w:sz w:val="20"/>
              </w:rPr>
            </w:pPr>
          </w:p>
          <w:p w:rsidR="00906BF3" w:rsidRDefault="001E30D9" w:rsidP="001E30D9">
            <w:pPr>
              <w:pStyle w:val="ListParagraph"/>
              <w:widowControl/>
              <w:numPr>
                <w:ilvl w:val="0"/>
                <w:numId w:val="33"/>
              </w:numPr>
              <w:overflowPunct/>
              <w:autoSpaceDE/>
              <w:autoSpaceDN/>
              <w:adjustRightInd/>
              <w:ind w:left="176" w:hanging="284"/>
              <w:contextualSpacing w:val="0"/>
              <w:jc w:val="both"/>
              <w:textAlignment w:val="auto"/>
              <w:rPr>
                <w:rFonts w:ascii="Verdana" w:hAnsi="Verdana" w:cs="Arial"/>
                <w:color w:val="000000" w:themeColor="text1"/>
                <w:sz w:val="20"/>
              </w:rPr>
            </w:pPr>
            <w:r w:rsidRPr="001E30D9">
              <w:rPr>
                <w:rFonts w:ascii="Verdana" w:hAnsi="Verdana" w:cs="Arial"/>
                <w:b/>
                <w:color w:val="000000" w:themeColor="text1"/>
                <w:sz w:val="20"/>
              </w:rPr>
              <w:t>Rec 7.</w:t>
            </w:r>
            <w:r>
              <w:rPr>
                <w:rFonts w:ascii="Verdana" w:hAnsi="Verdana" w:cs="Arial"/>
                <w:b/>
                <w:color w:val="000000" w:themeColor="text1"/>
                <w:sz w:val="20"/>
              </w:rPr>
              <w:t>66</w:t>
            </w:r>
            <w:r>
              <w:rPr>
                <w:rFonts w:ascii="Verdana" w:hAnsi="Verdana" w:cs="Arial"/>
                <w:color w:val="000000" w:themeColor="text1"/>
                <w:sz w:val="20"/>
              </w:rPr>
              <w:t xml:space="preserve"> – IMSOP Business Manager to confirm </w:t>
            </w:r>
          </w:p>
          <w:p w:rsidR="009A04ED" w:rsidRDefault="009A04ED" w:rsidP="009A04ED">
            <w:pPr>
              <w:pStyle w:val="ListParagraph"/>
              <w:rPr>
                <w:rFonts w:ascii="Verdana" w:hAnsi="Verdana" w:cs="Arial"/>
                <w:color w:val="000000" w:themeColor="text1"/>
                <w:sz w:val="20"/>
              </w:rPr>
            </w:pPr>
          </w:p>
          <w:p w:rsidR="000128E9" w:rsidRDefault="000128E9" w:rsidP="000128E9">
            <w:pPr>
              <w:rPr>
                <w:rFonts w:ascii="Verdana" w:hAnsi="Verdana" w:cs="Arial"/>
                <w:color w:val="000000" w:themeColor="text1"/>
                <w:sz w:val="20"/>
              </w:rPr>
            </w:pPr>
          </w:p>
          <w:p w:rsidR="00734844" w:rsidRDefault="00734844" w:rsidP="000128E9">
            <w:pPr>
              <w:rPr>
                <w:rFonts w:ascii="Verdana" w:hAnsi="Verdana" w:cs="Arial"/>
                <w:b/>
                <w:color w:val="000000" w:themeColor="text1"/>
                <w:sz w:val="20"/>
              </w:rPr>
            </w:pPr>
          </w:p>
          <w:p w:rsidR="00734844" w:rsidRDefault="00734844" w:rsidP="000128E9">
            <w:pPr>
              <w:rPr>
                <w:rFonts w:ascii="Verdana" w:hAnsi="Verdana" w:cs="Arial"/>
                <w:b/>
                <w:color w:val="000000" w:themeColor="text1"/>
                <w:sz w:val="20"/>
              </w:rPr>
            </w:pPr>
          </w:p>
          <w:p w:rsidR="00734844" w:rsidRDefault="00734844" w:rsidP="000128E9">
            <w:pPr>
              <w:rPr>
                <w:rFonts w:ascii="Verdana" w:hAnsi="Verdana" w:cs="Arial"/>
                <w:b/>
                <w:color w:val="000000" w:themeColor="text1"/>
                <w:sz w:val="20"/>
              </w:rPr>
            </w:pPr>
          </w:p>
          <w:p w:rsidR="002A72F4" w:rsidRPr="009A04ED" w:rsidRDefault="002A72F4" w:rsidP="009A04ED">
            <w:pPr>
              <w:pStyle w:val="ListParagraph"/>
              <w:rPr>
                <w:rFonts w:ascii="Verdana" w:hAnsi="Verdana" w:cs="Arial"/>
                <w:color w:val="000000" w:themeColor="text1"/>
                <w:sz w:val="20"/>
              </w:rPr>
            </w:pPr>
          </w:p>
          <w:p w:rsidR="009A04ED" w:rsidRPr="009A04ED" w:rsidRDefault="009A04ED" w:rsidP="009A04ED">
            <w:pPr>
              <w:widowControl/>
              <w:overflowPunct/>
              <w:autoSpaceDE/>
              <w:autoSpaceDN/>
              <w:adjustRightInd/>
              <w:jc w:val="both"/>
              <w:textAlignment w:val="auto"/>
              <w:rPr>
                <w:rFonts w:ascii="Verdana" w:hAnsi="Verdana" w:cs="Arial"/>
                <w:color w:val="000000" w:themeColor="text1"/>
                <w:sz w:val="20"/>
              </w:rPr>
            </w:pPr>
          </w:p>
        </w:tc>
        <w:tc>
          <w:tcPr>
            <w:tcW w:w="4961" w:type="dxa"/>
            <w:gridSpan w:val="4"/>
            <w:tcBorders>
              <w:top w:val="single" w:sz="4" w:space="0" w:color="auto"/>
              <w:left w:val="single" w:sz="4" w:space="0" w:color="auto"/>
              <w:bottom w:val="single" w:sz="4" w:space="0" w:color="auto"/>
              <w:right w:val="single" w:sz="4" w:space="0" w:color="auto"/>
            </w:tcBorders>
          </w:tcPr>
          <w:p w:rsidR="008B5CA8" w:rsidRDefault="00C34A84" w:rsidP="00C34A84">
            <w:pPr>
              <w:pStyle w:val="DfESBullets"/>
              <w:numPr>
                <w:ilvl w:val="0"/>
                <w:numId w:val="33"/>
              </w:numPr>
              <w:spacing w:after="0"/>
              <w:ind w:left="494" w:hanging="425"/>
              <w:rPr>
                <w:rFonts w:ascii="Verdana" w:hAnsi="Verdana" w:cs="Arial"/>
                <w:color w:val="000000" w:themeColor="text1"/>
                <w:sz w:val="20"/>
              </w:rPr>
            </w:pPr>
            <w:r w:rsidRPr="00C34A84">
              <w:rPr>
                <w:rFonts w:ascii="Verdana" w:hAnsi="Verdana" w:cs="Arial"/>
                <w:b/>
                <w:color w:val="000000" w:themeColor="text1"/>
                <w:sz w:val="20"/>
              </w:rPr>
              <w:lastRenderedPageBreak/>
              <w:t>DU Report</w:t>
            </w:r>
            <w:r>
              <w:rPr>
                <w:rFonts w:ascii="Verdana" w:hAnsi="Verdana" w:cs="Arial"/>
                <w:color w:val="000000" w:themeColor="text1"/>
                <w:sz w:val="20"/>
              </w:rPr>
              <w:t xml:space="preserve"> – further evidence required on training undertaken</w:t>
            </w:r>
            <w:r w:rsidR="00693BB0">
              <w:rPr>
                <w:rFonts w:ascii="Verdana" w:hAnsi="Verdana" w:cs="Arial"/>
                <w:color w:val="000000" w:themeColor="text1"/>
                <w:sz w:val="20"/>
              </w:rPr>
              <w:t xml:space="preserve"> with regards to incidents</w:t>
            </w:r>
            <w:r>
              <w:rPr>
                <w:rFonts w:ascii="Verdana" w:hAnsi="Verdana" w:cs="Arial"/>
                <w:color w:val="000000" w:themeColor="text1"/>
                <w:sz w:val="20"/>
              </w:rPr>
              <w:t>,</w:t>
            </w:r>
          </w:p>
          <w:p w:rsidR="001E30D9" w:rsidRDefault="001E30D9" w:rsidP="001E30D9">
            <w:pPr>
              <w:pStyle w:val="DfESBullets"/>
              <w:numPr>
                <w:ilvl w:val="0"/>
                <w:numId w:val="0"/>
              </w:numPr>
              <w:spacing w:after="0"/>
              <w:ind w:left="494"/>
              <w:rPr>
                <w:rFonts w:ascii="Verdana" w:hAnsi="Verdana" w:cs="Arial"/>
                <w:color w:val="000000" w:themeColor="text1"/>
                <w:sz w:val="20"/>
              </w:rPr>
            </w:pPr>
          </w:p>
          <w:p w:rsidR="00693BB0" w:rsidRDefault="00734844" w:rsidP="00C34A84">
            <w:pPr>
              <w:pStyle w:val="DfESBullets"/>
              <w:numPr>
                <w:ilvl w:val="0"/>
                <w:numId w:val="33"/>
              </w:numPr>
              <w:spacing w:after="0"/>
              <w:ind w:left="494" w:hanging="425"/>
              <w:rPr>
                <w:rFonts w:ascii="Verdana" w:hAnsi="Verdana" w:cs="Arial"/>
                <w:color w:val="000000" w:themeColor="text1"/>
                <w:sz w:val="20"/>
              </w:rPr>
            </w:pPr>
            <w:r>
              <w:rPr>
                <w:rFonts w:ascii="Verdana" w:hAnsi="Verdana" w:cs="Arial"/>
                <w:b/>
                <w:color w:val="000000" w:themeColor="text1"/>
                <w:sz w:val="20"/>
              </w:rPr>
              <w:t xml:space="preserve">Rec </w:t>
            </w:r>
            <w:r w:rsidR="00693BB0" w:rsidRPr="00693BB0">
              <w:rPr>
                <w:rFonts w:ascii="Verdana" w:hAnsi="Verdana" w:cs="Arial"/>
                <w:b/>
                <w:color w:val="000000" w:themeColor="text1"/>
                <w:sz w:val="20"/>
              </w:rPr>
              <w:t>7.1</w:t>
            </w:r>
            <w:r w:rsidR="00693BB0">
              <w:rPr>
                <w:rFonts w:ascii="Verdana" w:hAnsi="Verdana" w:cs="Arial"/>
                <w:color w:val="000000" w:themeColor="text1"/>
                <w:sz w:val="20"/>
              </w:rPr>
              <w:t>– progress the review of systems in place for data collection and validation</w:t>
            </w:r>
          </w:p>
          <w:p w:rsidR="001E30D9" w:rsidRDefault="001E30D9" w:rsidP="001E30D9">
            <w:pPr>
              <w:pStyle w:val="DfESBullets"/>
              <w:numPr>
                <w:ilvl w:val="0"/>
                <w:numId w:val="0"/>
              </w:numPr>
              <w:spacing w:after="0"/>
              <w:ind w:left="494"/>
              <w:rPr>
                <w:rFonts w:ascii="Verdana" w:hAnsi="Verdana" w:cs="Arial"/>
                <w:color w:val="000000" w:themeColor="text1"/>
                <w:sz w:val="20"/>
              </w:rPr>
            </w:pPr>
          </w:p>
          <w:p w:rsidR="001E30D9" w:rsidRPr="001E30D9" w:rsidRDefault="00734844" w:rsidP="001E30D9">
            <w:pPr>
              <w:pStyle w:val="DfESBullets"/>
              <w:numPr>
                <w:ilvl w:val="0"/>
                <w:numId w:val="33"/>
              </w:numPr>
              <w:spacing w:after="0"/>
              <w:ind w:left="459" w:hanging="426"/>
              <w:rPr>
                <w:rFonts w:ascii="Verdana" w:hAnsi="Verdana" w:cs="Arial"/>
                <w:color w:val="000000" w:themeColor="text1"/>
                <w:sz w:val="20"/>
              </w:rPr>
            </w:pPr>
            <w:r>
              <w:rPr>
                <w:rFonts w:ascii="Verdana" w:hAnsi="Verdana" w:cs="Arial"/>
                <w:b/>
                <w:color w:val="000000" w:themeColor="text1"/>
                <w:sz w:val="20"/>
              </w:rPr>
              <w:t>Rec</w:t>
            </w:r>
            <w:r w:rsidR="00693BB0" w:rsidRPr="001E30D9">
              <w:rPr>
                <w:rFonts w:ascii="Verdana" w:hAnsi="Verdana" w:cs="Arial"/>
                <w:b/>
                <w:color w:val="000000" w:themeColor="text1"/>
                <w:sz w:val="20"/>
              </w:rPr>
              <w:t xml:space="preserve"> 7.2 – </w:t>
            </w:r>
            <w:r w:rsidR="00693BB0" w:rsidRPr="001E30D9">
              <w:rPr>
                <w:rFonts w:ascii="Verdana" w:hAnsi="Verdana" w:cs="Arial"/>
                <w:color w:val="000000" w:themeColor="text1"/>
                <w:sz w:val="20"/>
              </w:rPr>
              <w:t>Review of all</w:t>
            </w:r>
            <w:r w:rsidR="00693BB0" w:rsidRPr="001E30D9">
              <w:rPr>
                <w:rFonts w:ascii="Verdana" w:hAnsi="Verdana" w:cs="Arial"/>
                <w:b/>
                <w:color w:val="000000" w:themeColor="text1"/>
                <w:sz w:val="20"/>
              </w:rPr>
              <w:t xml:space="preserve"> </w:t>
            </w:r>
            <w:r w:rsidR="00693BB0" w:rsidRPr="001E30D9">
              <w:rPr>
                <w:rFonts w:ascii="Verdana" w:hAnsi="Verdana" w:cs="Arial"/>
                <w:color w:val="000000" w:themeColor="text1"/>
                <w:sz w:val="20"/>
              </w:rPr>
              <w:t>Maternity Unit guidelines to ensure a multidisciplinary approach</w:t>
            </w:r>
            <w:r w:rsidR="001E30D9">
              <w:t xml:space="preserve"> </w:t>
            </w:r>
          </w:p>
          <w:p w:rsidR="001E30D9" w:rsidRPr="001E30D9" w:rsidRDefault="001E30D9" w:rsidP="001E30D9">
            <w:pPr>
              <w:pStyle w:val="DfESBullets"/>
              <w:numPr>
                <w:ilvl w:val="0"/>
                <w:numId w:val="0"/>
              </w:numPr>
              <w:spacing w:after="0"/>
              <w:rPr>
                <w:rFonts w:ascii="Verdana" w:hAnsi="Verdana" w:cs="Arial"/>
                <w:b/>
                <w:color w:val="000000" w:themeColor="text1"/>
                <w:sz w:val="20"/>
              </w:rPr>
            </w:pPr>
          </w:p>
          <w:p w:rsidR="001E30D9" w:rsidRDefault="00734844" w:rsidP="001E30D9">
            <w:pPr>
              <w:pStyle w:val="DfESBullets"/>
              <w:numPr>
                <w:ilvl w:val="0"/>
                <w:numId w:val="33"/>
              </w:numPr>
              <w:spacing w:after="0"/>
              <w:ind w:left="459" w:hanging="426"/>
              <w:rPr>
                <w:rFonts w:ascii="Verdana" w:hAnsi="Verdana" w:cs="Arial"/>
                <w:color w:val="000000" w:themeColor="text1"/>
                <w:sz w:val="20"/>
              </w:rPr>
            </w:pPr>
            <w:r>
              <w:rPr>
                <w:rFonts w:ascii="Verdana" w:hAnsi="Verdana" w:cs="Arial"/>
                <w:b/>
                <w:color w:val="000000" w:themeColor="text1"/>
                <w:sz w:val="20"/>
              </w:rPr>
              <w:t>Rec</w:t>
            </w:r>
            <w:r w:rsidR="001E30D9" w:rsidRPr="001E30D9">
              <w:rPr>
                <w:rFonts w:ascii="Verdana" w:hAnsi="Verdana" w:cs="Arial"/>
                <w:b/>
                <w:color w:val="000000" w:themeColor="text1"/>
                <w:sz w:val="20"/>
              </w:rPr>
              <w:t xml:space="preserve"> 7.7</w:t>
            </w:r>
            <w:r w:rsidR="001E30D9">
              <w:rPr>
                <w:rFonts w:ascii="Verdana" w:hAnsi="Verdana" w:cs="Arial"/>
                <w:color w:val="000000" w:themeColor="text1"/>
                <w:sz w:val="20"/>
              </w:rPr>
              <w:t xml:space="preserve"> - </w:t>
            </w:r>
            <w:r w:rsidR="001E30D9" w:rsidRPr="001E30D9">
              <w:rPr>
                <w:rFonts w:ascii="Verdana" w:hAnsi="Verdana" w:cs="Arial"/>
                <w:color w:val="000000" w:themeColor="text1"/>
                <w:sz w:val="20"/>
              </w:rPr>
              <w:t xml:space="preserve"> Ensure an environment of privacy and dignity is provided for  women &amp; families undergoing miscarriage and abortion</w:t>
            </w:r>
          </w:p>
          <w:p w:rsidR="001E30D9" w:rsidRDefault="001E30D9" w:rsidP="001E30D9">
            <w:pPr>
              <w:pStyle w:val="DfESBullets"/>
              <w:numPr>
                <w:ilvl w:val="0"/>
                <w:numId w:val="0"/>
              </w:numPr>
              <w:spacing w:after="0"/>
              <w:rPr>
                <w:rFonts w:ascii="Verdana" w:hAnsi="Verdana" w:cs="Arial"/>
                <w:color w:val="000000" w:themeColor="text1"/>
                <w:sz w:val="20"/>
              </w:rPr>
            </w:pPr>
          </w:p>
          <w:p w:rsidR="009A04ED" w:rsidRPr="009A04ED" w:rsidRDefault="009A04ED" w:rsidP="009A04ED">
            <w:pPr>
              <w:pStyle w:val="ListParagraph"/>
              <w:rPr>
                <w:rFonts w:ascii="Verdana" w:hAnsi="Verdana" w:cs="Arial"/>
                <w:color w:val="000000" w:themeColor="text1"/>
                <w:sz w:val="20"/>
              </w:rPr>
            </w:pPr>
          </w:p>
          <w:p w:rsidR="009A04ED" w:rsidRDefault="00734844" w:rsidP="009A04ED">
            <w:pPr>
              <w:pStyle w:val="ListParagraph"/>
              <w:widowControl/>
              <w:numPr>
                <w:ilvl w:val="0"/>
                <w:numId w:val="33"/>
              </w:numPr>
              <w:overflowPunct/>
              <w:autoSpaceDE/>
              <w:autoSpaceDN/>
              <w:adjustRightInd/>
              <w:ind w:left="459" w:hanging="426"/>
              <w:contextualSpacing w:val="0"/>
              <w:jc w:val="both"/>
              <w:textAlignment w:val="auto"/>
              <w:rPr>
                <w:rFonts w:ascii="Verdana" w:hAnsi="Verdana" w:cs="Arial"/>
                <w:color w:val="000000" w:themeColor="text1"/>
                <w:sz w:val="20"/>
              </w:rPr>
            </w:pPr>
            <w:r>
              <w:rPr>
                <w:rFonts w:ascii="Verdana" w:hAnsi="Verdana" w:cs="Arial"/>
                <w:b/>
                <w:color w:val="000000" w:themeColor="text1"/>
                <w:sz w:val="20"/>
              </w:rPr>
              <w:t>Rec</w:t>
            </w:r>
            <w:r w:rsidR="009A04ED" w:rsidRPr="009A04ED">
              <w:rPr>
                <w:rFonts w:ascii="Verdana" w:hAnsi="Verdana" w:cs="Arial"/>
                <w:b/>
                <w:color w:val="000000" w:themeColor="text1"/>
                <w:sz w:val="20"/>
              </w:rPr>
              <w:t xml:space="preserve"> 7.19, 7.21, 7.23, 7.51</w:t>
            </w:r>
            <w:r w:rsidR="009A04ED">
              <w:rPr>
                <w:rFonts w:ascii="Verdana" w:hAnsi="Verdana" w:cs="Arial"/>
                <w:color w:val="000000" w:themeColor="text1"/>
                <w:sz w:val="20"/>
              </w:rPr>
              <w:t xml:space="preserve"> – PTR process in relation to concerns, claims, patient safety incidents,</w:t>
            </w:r>
          </w:p>
          <w:p w:rsidR="009A04ED" w:rsidRPr="009A04ED" w:rsidRDefault="009A04ED" w:rsidP="009A04ED">
            <w:pPr>
              <w:pStyle w:val="ListParagraph"/>
              <w:rPr>
                <w:rFonts w:ascii="Verdana" w:hAnsi="Verdana" w:cs="Arial"/>
                <w:color w:val="000000" w:themeColor="text1"/>
                <w:sz w:val="20"/>
              </w:rPr>
            </w:pPr>
          </w:p>
          <w:p w:rsidR="00BD011B" w:rsidRDefault="00734844" w:rsidP="00C34A84">
            <w:pPr>
              <w:pStyle w:val="DfESBullets"/>
              <w:numPr>
                <w:ilvl w:val="0"/>
                <w:numId w:val="33"/>
              </w:numPr>
              <w:spacing w:after="0"/>
              <w:ind w:left="494" w:hanging="425"/>
              <w:rPr>
                <w:rFonts w:ascii="Verdana" w:hAnsi="Verdana" w:cs="Arial"/>
                <w:color w:val="000000" w:themeColor="text1"/>
                <w:sz w:val="20"/>
              </w:rPr>
            </w:pPr>
            <w:r>
              <w:rPr>
                <w:rFonts w:ascii="Verdana" w:hAnsi="Verdana" w:cs="Arial"/>
                <w:b/>
                <w:color w:val="000000" w:themeColor="text1"/>
                <w:sz w:val="20"/>
              </w:rPr>
              <w:t>Rec</w:t>
            </w:r>
            <w:r w:rsidR="00BD011B" w:rsidRPr="00BD011B">
              <w:rPr>
                <w:rFonts w:ascii="Verdana" w:hAnsi="Verdana" w:cs="Arial"/>
                <w:b/>
                <w:color w:val="000000" w:themeColor="text1"/>
                <w:sz w:val="20"/>
              </w:rPr>
              <w:t xml:space="preserve"> 7.55</w:t>
            </w:r>
            <w:r w:rsidR="00BD011B">
              <w:rPr>
                <w:rFonts w:ascii="Verdana" w:hAnsi="Verdana" w:cs="Arial"/>
                <w:color w:val="000000" w:themeColor="text1"/>
                <w:sz w:val="20"/>
              </w:rPr>
              <w:t xml:space="preserve"> – Review effectiveness of bereavement services</w:t>
            </w:r>
          </w:p>
          <w:p w:rsidR="009A04ED" w:rsidRDefault="009A04ED" w:rsidP="009A04ED">
            <w:pPr>
              <w:pStyle w:val="ListParagraph"/>
              <w:rPr>
                <w:rFonts w:ascii="Verdana" w:hAnsi="Verdana" w:cs="Arial"/>
                <w:color w:val="000000" w:themeColor="text1"/>
                <w:sz w:val="20"/>
              </w:rPr>
            </w:pPr>
          </w:p>
          <w:p w:rsidR="001863F8" w:rsidRPr="008F1EC5" w:rsidRDefault="001863F8" w:rsidP="00176071">
            <w:pPr>
              <w:pStyle w:val="DfESBullets"/>
              <w:numPr>
                <w:ilvl w:val="0"/>
                <w:numId w:val="0"/>
              </w:numPr>
              <w:spacing w:after="0"/>
              <w:ind w:left="494"/>
              <w:rPr>
                <w:rFonts w:ascii="Verdana" w:hAnsi="Verdana" w:cs="Arial"/>
                <w:color w:val="000000" w:themeColor="text1"/>
                <w:sz w:val="20"/>
              </w:rPr>
            </w:pPr>
          </w:p>
        </w:tc>
      </w:tr>
      <w:tr w:rsidR="00734844" w:rsidRPr="00C43634" w:rsidTr="00734844">
        <w:trPr>
          <w:trHeight w:val="37"/>
        </w:trPr>
        <w:tc>
          <w:tcPr>
            <w:tcW w:w="5529" w:type="dxa"/>
            <w:gridSpan w:val="4"/>
            <w:tcBorders>
              <w:top w:val="single" w:sz="4" w:space="0" w:color="auto"/>
              <w:left w:val="single" w:sz="4" w:space="0" w:color="auto"/>
              <w:bottom w:val="single" w:sz="4" w:space="0" w:color="auto"/>
              <w:right w:val="single" w:sz="4" w:space="0" w:color="auto"/>
            </w:tcBorders>
            <w:shd w:val="clear" w:color="auto" w:fill="BFBFBF" w:themeFill="background1" w:themeFillShade="BF"/>
          </w:tcPr>
          <w:tbl>
            <w:tblPr>
              <w:tblpPr w:leftFromText="180" w:rightFromText="180" w:horzAnchor="page" w:tblpX="781" w:tblpY="-1185"/>
              <w:tblW w:w="104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529"/>
              <w:gridCol w:w="4961"/>
            </w:tblGrid>
            <w:tr w:rsidR="00734844" w:rsidRPr="00FE79F1" w:rsidTr="00BA7B50">
              <w:trPr>
                <w:trHeight w:val="15"/>
              </w:trPr>
              <w:tc>
                <w:tcPr>
                  <w:tcW w:w="5529" w:type="dxa"/>
                  <w:tcBorders>
                    <w:top w:val="single" w:sz="4" w:space="0" w:color="auto"/>
                    <w:left w:val="single" w:sz="4" w:space="0" w:color="auto"/>
                    <w:bottom w:val="single" w:sz="4" w:space="0" w:color="auto"/>
                    <w:right w:val="single" w:sz="4" w:space="0" w:color="auto"/>
                  </w:tcBorders>
                  <w:shd w:val="clear" w:color="auto" w:fill="D9D9D9"/>
                </w:tcPr>
                <w:p w:rsidR="00734844" w:rsidRPr="00FE79F1" w:rsidRDefault="00734844" w:rsidP="00825F90">
                  <w:pPr>
                    <w:keepNext/>
                    <w:rPr>
                      <w:rFonts w:ascii="Verdana" w:hAnsi="Verdana" w:cs="Arial"/>
                      <w:b/>
                      <w:sz w:val="20"/>
                    </w:rPr>
                  </w:pPr>
                  <w:r>
                    <w:rPr>
                      <w:rFonts w:ascii="Verdana" w:hAnsi="Verdana" w:cs="Arial"/>
                      <w:b/>
                      <w:sz w:val="20"/>
                    </w:rPr>
                    <w:t xml:space="preserve">Recommendations verified on 16/12/19 </w:t>
                  </w:r>
                  <w:r w:rsidR="00825F90">
                    <w:rPr>
                      <w:rFonts w:ascii="Verdana" w:hAnsi="Verdana" w:cs="Arial"/>
                      <w:b/>
                      <w:sz w:val="20"/>
                    </w:rPr>
                    <w:t xml:space="preserve">which are </w:t>
                  </w:r>
                  <w:r>
                    <w:rPr>
                      <w:rFonts w:ascii="Verdana" w:hAnsi="Verdana" w:cs="Arial"/>
                      <w:b/>
                      <w:sz w:val="20"/>
                    </w:rPr>
                    <w:t>now considered closed:</w:t>
                  </w:r>
                </w:p>
              </w:tc>
              <w:tc>
                <w:tcPr>
                  <w:tcW w:w="4961" w:type="dxa"/>
                  <w:tcBorders>
                    <w:top w:val="single" w:sz="4" w:space="0" w:color="auto"/>
                    <w:left w:val="single" w:sz="4" w:space="0" w:color="auto"/>
                    <w:bottom w:val="single" w:sz="4" w:space="0" w:color="auto"/>
                    <w:right w:val="single" w:sz="4" w:space="0" w:color="auto"/>
                  </w:tcBorders>
                  <w:shd w:val="clear" w:color="auto" w:fill="D9D9D9"/>
                </w:tcPr>
                <w:p w:rsidR="00734844" w:rsidRPr="00FE79F1" w:rsidRDefault="00734844" w:rsidP="00734844">
                  <w:pPr>
                    <w:keepNext/>
                    <w:rPr>
                      <w:rFonts w:ascii="Verdana" w:hAnsi="Verdana" w:cs="Arial"/>
                      <w:b/>
                      <w:sz w:val="20"/>
                    </w:rPr>
                  </w:pPr>
                  <w:r w:rsidRPr="00FE79F1">
                    <w:rPr>
                      <w:rFonts w:ascii="Verdana" w:hAnsi="Verdana" w:cs="Arial"/>
                      <w:b/>
                      <w:sz w:val="20"/>
                    </w:rPr>
                    <w:t>Project Plan: Proposed Achievements Next Quarter</w:t>
                  </w:r>
                </w:p>
              </w:tc>
            </w:tr>
          </w:tbl>
          <w:p w:rsidR="00734844" w:rsidRPr="00C43634" w:rsidRDefault="00734844" w:rsidP="00734844">
            <w:pPr>
              <w:pStyle w:val="DfESBullets"/>
              <w:numPr>
                <w:ilvl w:val="0"/>
                <w:numId w:val="0"/>
              </w:numPr>
              <w:spacing w:after="0"/>
              <w:rPr>
                <w:rFonts w:ascii="Verdana" w:hAnsi="Verdana" w:cs="Arial"/>
                <w:b/>
                <w:sz w:val="20"/>
              </w:rPr>
            </w:pPr>
          </w:p>
        </w:tc>
        <w:tc>
          <w:tcPr>
            <w:tcW w:w="4961" w:type="dxa"/>
            <w:gridSpan w:val="4"/>
            <w:tcBorders>
              <w:top w:val="single" w:sz="4" w:space="0" w:color="auto"/>
              <w:left w:val="single" w:sz="4" w:space="0" w:color="auto"/>
              <w:bottom w:val="single" w:sz="4" w:space="0" w:color="auto"/>
              <w:right w:val="single" w:sz="4" w:space="0" w:color="auto"/>
            </w:tcBorders>
            <w:shd w:val="clear" w:color="auto" w:fill="BFBFBF" w:themeFill="background1" w:themeFillShade="BF"/>
          </w:tcPr>
          <w:tbl>
            <w:tblPr>
              <w:tblpPr w:leftFromText="180" w:rightFromText="180" w:horzAnchor="page" w:tblpX="781" w:tblpY="-1185"/>
              <w:tblW w:w="104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529"/>
              <w:gridCol w:w="4961"/>
            </w:tblGrid>
            <w:tr w:rsidR="00734844" w:rsidRPr="00FE79F1" w:rsidTr="00BA7B50">
              <w:trPr>
                <w:trHeight w:val="15"/>
              </w:trPr>
              <w:tc>
                <w:tcPr>
                  <w:tcW w:w="5529" w:type="dxa"/>
                  <w:tcBorders>
                    <w:top w:val="single" w:sz="4" w:space="0" w:color="auto"/>
                    <w:left w:val="single" w:sz="4" w:space="0" w:color="auto"/>
                    <w:bottom w:val="single" w:sz="4" w:space="0" w:color="auto"/>
                    <w:right w:val="single" w:sz="4" w:space="0" w:color="auto"/>
                  </w:tcBorders>
                  <w:shd w:val="clear" w:color="auto" w:fill="D9D9D9"/>
                </w:tcPr>
                <w:p w:rsidR="00734844" w:rsidRPr="00FE79F1" w:rsidRDefault="00734844" w:rsidP="00734844">
                  <w:pPr>
                    <w:keepNext/>
                    <w:rPr>
                      <w:rFonts w:ascii="Verdana" w:hAnsi="Verdana" w:cs="Arial"/>
                      <w:b/>
                      <w:sz w:val="20"/>
                    </w:rPr>
                  </w:pPr>
                </w:p>
              </w:tc>
              <w:tc>
                <w:tcPr>
                  <w:tcW w:w="4961" w:type="dxa"/>
                  <w:tcBorders>
                    <w:top w:val="single" w:sz="4" w:space="0" w:color="auto"/>
                    <w:left w:val="single" w:sz="4" w:space="0" w:color="auto"/>
                    <w:bottom w:val="single" w:sz="4" w:space="0" w:color="auto"/>
                    <w:right w:val="single" w:sz="4" w:space="0" w:color="auto"/>
                  </w:tcBorders>
                  <w:shd w:val="clear" w:color="auto" w:fill="D9D9D9"/>
                </w:tcPr>
                <w:p w:rsidR="00734844" w:rsidRPr="00FE79F1" w:rsidRDefault="00734844" w:rsidP="00734844">
                  <w:pPr>
                    <w:keepNext/>
                    <w:rPr>
                      <w:rFonts w:ascii="Verdana" w:hAnsi="Verdana" w:cs="Arial"/>
                      <w:b/>
                      <w:sz w:val="20"/>
                    </w:rPr>
                  </w:pPr>
                  <w:r w:rsidRPr="00FE79F1">
                    <w:rPr>
                      <w:rFonts w:ascii="Verdana" w:hAnsi="Verdana" w:cs="Arial"/>
                      <w:b/>
                      <w:sz w:val="20"/>
                    </w:rPr>
                    <w:t>Project Plan: Proposed Achievements Next Quarter</w:t>
                  </w:r>
                </w:p>
              </w:tc>
            </w:tr>
          </w:tbl>
          <w:p w:rsidR="00734844" w:rsidRPr="00C43634" w:rsidRDefault="00734844" w:rsidP="00734844">
            <w:pPr>
              <w:pStyle w:val="DfESBullets"/>
              <w:numPr>
                <w:ilvl w:val="0"/>
                <w:numId w:val="0"/>
              </w:numPr>
              <w:spacing w:after="0"/>
              <w:rPr>
                <w:rFonts w:ascii="Verdana" w:hAnsi="Verdana" w:cs="Arial"/>
                <w:b/>
                <w:sz w:val="20"/>
              </w:rPr>
            </w:pPr>
          </w:p>
        </w:tc>
      </w:tr>
      <w:tr w:rsidR="00734844" w:rsidRPr="00C43634" w:rsidTr="00734844">
        <w:trPr>
          <w:trHeight w:val="37"/>
        </w:trPr>
        <w:tc>
          <w:tcPr>
            <w:tcW w:w="5529" w:type="dxa"/>
            <w:gridSpan w:val="4"/>
            <w:tcBorders>
              <w:top w:val="single" w:sz="4" w:space="0" w:color="auto"/>
              <w:left w:val="single" w:sz="4" w:space="0" w:color="auto"/>
              <w:bottom w:val="single" w:sz="4" w:space="0" w:color="auto"/>
              <w:right w:val="single" w:sz="4" w:space="0" w:color="auto"/>
            </w:tcBorders>
            <w:shd w:val="clear" w:color="auto" w:fill="auto"/>
          </w:tcPr>
          <w:p w:rsidR="00734844" w:rsidRDefault="00734844" w:rsidP="00734844">
            <w:pPr>
              <w:rPr>
                <w:rFonts w:ascii="Verdana" w:hAnsi="Verdana" w:cs="Arial"/>
                <w:b/>
                <w:color w:val="000000" w:themeColor="text1"/>
                <w:sz w:val="20"/>
              </w:rPr>
            </w:pPr>
          </w:p>
          <w:p w:rsidR="00734844" w:rsidRDefault="00734844" w:rsidP="00734844">
            <w:pPr>
              <w:rPr>
                <w:rFonts w:ascii="Verdana" w:hAnsi="Verdana" w:cs="Arial"/>
                <w:color w:val="000000" w:themeColor="text1"/>
                <w:sz w:val="20"/>
              </w:rPr>
            </w:pPr>
            <w:r w:rsidRPr="00734844">
              <w:rPr>
                <w:rFonts w:ascii="Verdana" w:hAnsi="Verdana" w:cs="Arial"/>
                <w:b/>
                <w:color w:val="000000" w:themeColor="text1"/>
                <w:sz w:val="20"/>
              </w:rPr>
              <w:t>Rec</w:t>
            </w:r>
            <w:r>
              <w:rPr>
                <w:rFonts w:ascii="Verdana" w:hAnsi="Verdana" w:cs="Arial"/>
                <w:b/>
                <w:color w:val="000000" w:themeColor="text1"/>
                <w:sz w:val="20"/>
              </w:rPr>
              <w:t xml:space="preserve">: </w:t>
            </w:r>
            <w:r w:rsidRPr="00734844">
              <w:rPr>
                <w:rFonts w:ascii="Verdana" w:hAnsi="Verdana" w:cs="Arial"/>
                <w:color w:val="000000" w:themeColor="text1"/>
                <w:sz w:val="20"/>
              </w:rPr>
              <w:t xml:space="preserve"> 7.1, 7.4, 7.9, 7.10, 7.11, 7.12, 7.14, 7.23, 7.26, 7.36, 7.38, 7.59, 7.60, 7.61, 7.65</w:t>
            </w:r>
          </w:p>
          <w:p w:rsidR="00734844" w:rsidRDefault="00734844" w:rsidP="00734844">
            <w:pPr>
              <w:rPr>
                <w:rFonts w:ascii="Verdana" w:hAnsi="Verdana" w:cs="Arial"/>
                <w:color w:val="000000" w:themeColor="text1"/>
                <w:sz w:val="20"/>
              </w:rPr>
            </w:pPr>
          </w:p>
          <w:p w:rsidR="00734844" w:rsidRPr="00734844" w:rsidRDefault="00734844" w:rsidP="00734844">
            <w:pPr>
              <w:rPr>
                <w:rFonts w:ascii="Verdana" w:hAnsi="Verdana" w:cs="Arial"/>
                <w:color w:val="000000" w:themeColor="text1"/>
                <w:sz w:val="20"/>
              </w:rPr>
            </w:pPr>
          </w:p>
        </w:tc>
        <w:tc>
          <w:tcPr>
            <w:tcW w:w="4961" w:type="dxa"/>
            <w:gridSpan w:val="4"/>
            <w:tcBorders>
              <w:top w:val="single" w:sz="4" w:space="0" w:color="auto"/>
              <w:left w:val="single" w:sz="4" w:space="0" w:color="auto"/>
              <w:bottom w:val="single" w:sz="4" w:space="0" w:color="auto"/>
              <w:right w:val="single" w:sz="4" w:space="0" w:color="auto"/>
            </w:tcBorders>
            <w:shd w:val="clear" w:color="auto" w:fill="auto"/>
          </w:tcPr>
          <w:p w:rsidR="00734844" w:rsidRPr="00C43634" w:rsidRDefault="00734844" w:rsidP="000027CA">
            <w:pPr>
              <w:pStyle w:val="DfESBullets"/>
              <w:numPr>
                <w:ilvl w:val="0"/>
                <w:numId w:val="0"/>
              </w:numPr>
              <w:spacing w:after="0"/>
              <w:rPr>
                <w:rFonts w:ascii="Verdana" w:hAnsi="Verdana" w:cs="Arial"/>
                <w:b/>
                <w:sz w:val="20"/>
              </w:rPr>
            </w:pPr>
          </w:p>
        </w:tc>
      </w:tr>
      <w:tr w:rsidR="00FC6F21" w:rsidRPr="00C43634" w:rsidTr="00185E22">
        <w:trPr>
          <w:trHeight w:val="37"/>
        </w:trPr>
        <w:tc>
          <w:tcPr>
            <w:tcW w:w="10490" w:type="dxa"/>
            <w:gridSpan w:val="8"/>
            <w:tcBorders>
              <w:top w:val="single" w:sz="4" w:space="0" w:color="auto"/>
              <w:left w:val="single" w:sz="4" w:space="0" w:color="auto"/>
              <w:bottom w:val="single" w:sz="4" w:space="0" w:color="auto"/>
              <w:right w:val="single" w:sz="4" w:space="0" w:color="auto"/>
            </w:tcBorders>
            <w:shd w:val="clear" w:color="auto" w:fill="BFBFBF" w:themeFill="background1" w:themeFillShade="BF"/>
          </w:tcPr>
          <w:p w:rsidR="00434B49" w:rsidRPr="00C43634" w:rsidRDefault="00434B49" w:rsidP="000027CA">
            <w:pPr>
              <w:pStyle w:val="DfESBullets"/>
              <w:numPr>
                <w:ilvl w:val="0"/>
                <w:numId w:val="0"/>
              </w:numPr>
              <w:spacing w:after="0"/>
              <w:rPr>
                <w:rFonts w:ascii="Verdana" w:hAnsi="Verdana" w:cs="Arial"/>
                <w:b/>
                <w:sz w:val="20"/>
              </w:rPr>
            </w:pPr>
          </w:p>
          <w:p w:rsidR="00FC6F21" w:rsidRPr="00C43634" w:rsidRDefault="00FC6F21" w:rsidP="000027CA">
            <w:pPr>
              <w:pStyle w:val="DfESBullets"/>
              <w:numPr>
                <w:ilvl w:val="0"/>
                <w:numId w:val="0"/>
              </w:numPr>
              <w:spacing w:after="0"/>
              <w:rPr>
                <w:rFonts w:ascii="Verdana" w:hAnsi="Verdana" w:cs="Arial"/>
                <w:sz w:val="20"/>
              </w:rPr>
            </w:pPr>
            <w:r w:rsidRPr="00C43634">
              <w:rPr>
                <w:rFonts w:ascii="Verdana" w:hAnsi="Verdana" w:cs="Arial"/>
                <w:b/>
                <w:sz w:val="20"/>
              </w:rPr>
              <w:t>Self-Assessment Against Maturity Matrix</w:t>
            </w:r>
          </w:p>
        </w:tc>
      </w:tr>
      <w:tr w:rsidR="00DC214C" w:rsidRPr="00C43634" w:rsidTr="00185E22">
        <w:trPr>
          <w:trHeight w:val="618"/>
        </w:trPr>
        <w:tc>
          <w:tcPr>
            <w:tcW w:w="10490" w:type="dxa"/>
            <w:gridSpan w:val="8"/>
            <w:tcBorders>
              <w:top w:val="single" w:sz="4" w:space="0" w:color="auto"/>
              <w:left w:val="single" w:sz="4" w:space="0" w:color="auto"/>
              <w:bottom w:val="single" w:sz="4" w:space="0" w:color="auto"/>
              <w:right w:val="single" w:sz="4" w:space="0" w:color="auto"/>
            </w:tcBorders>
          </w:tcPr>
          <w:p w:rsidR="00DC214C" w:rsidRPr="00932A66" w:rsidRDefault="00DC214C" w:rsidP="000027CA">
            <w:pPr>
              <w:pStyle w:val="DfESBullets"/>
              <w:numPr>
                <w:ilvl w:val="0"/>
                <w:numId w:val="0"/>
              </w:numPr>
              <w:spacing w:after="0"/>
              <w:rPr>
                <w:rFonts w:ascii="Verdana" w:hAnsi="Verdana" w:cs="Arial"/>
                <w:color w:val="000000" w:themeColor="text1"/>
                <w:sz w:val="20"/>
              </w:rPr>
            </w:pPr>
          </w:p>
          <w:p w:rsidR="00DC214C" w:rsidRPr="00932A66" w:rsidRDefault="00EB447F" w:rsidP="000027CA">
            <w:pPr>
              <w:pStyle w:val="DfESBullets"/>
              <w:numPr>
                <w:ilvl w:val="0"/>
                <w:numId w:val="0"/>
              </w:numPr>
              <w:spacing w:after="0"/>
              <w:rPr>
                <w:rFonts w:ascii="Verdana" w:hAnsi="Verdana" w:cs="Arial"/>
                <w:color w:val="000000" w:themeColor="text1"/>
                <w:sz w:val="20"/>
              </w:rPr>
            </w:pPr>
            <w:r w:rsidRPr="00932A66">
              <w:rPr>
                <w:rFonts w:ascii="Verdana" w:hAnsi="Verdana" w:cs="Arial"/>
                <w:color w:val="000000" w:themeColor="text1"/>
                <w:sz w:val="20"/>
              </w:rPr>
              <w:t xml:space="preserve">The Health Board is able to evidence </w:t>
            </w:r>
            <w:r w:rsidRPr="00932A66">
              <w:rPr>
                <w:rFonts w:ascii="Verdana" w:hAnsi="Verdana" w:cs="Arial"/>
                <w:color w:val="000000" w:themeColor="text1"/>
                <w:sz w:val="20"/>
                <w:u w:val="single"/>
              </w:rPr>
              <w:t>early progress</w:t>
            </w:r>
            <w:r w:rsidRPr="00932A66">
              <w:rPr>
                <w:rFonts w:ascii="Verdana" w:hAnsi="Verdana" w:cs="Arial"/>
                <w:color w:val="000000" w:themeColor="text1"/>
                <w:sz w:val="20"/>
              </w:rPr>
              <w:t xml:space="preserve"> against the maturity matrix: </w:t>
            </w:r>
          </w:p>
          <w:p w:rsidR="00EB447F" w:rsidRPr="00932A66" w:rsidRDefault="00EB447F" w:rsidP="000027CA">
            <w:pPr>
              <w:pStyle w:val="DfESBullets"/>
              <w:numPr>
                <w:ilvl w:val="0"/>
                <w:numId w:val="0"/>
              </w:numPr>
              <w:spacing w:after="0"/>
              <w:rPr>
                <w:rFonts w:ascii="Verdana" w:hAnsi="Verdana" w:cs="Arial"/>
                <w:color w:val="000000" w:themeColor="text1"/>
                <w:sz w:val="20"/>
              </w:rPr>
            </w:pPr>
          </w:p>
          <w:p w:rsidR="00DC214C" w:rsidRPr="00932A66" w:rsidRDefault="00DC214C" w:rsidP="000027CA">
            <w:pPr>
              <w:pStyle w:val="ListParagraph"/>
              <w:numPr>
                <w:ilvl w:val="0"/>
                <w:numId w:val="22"/>
              </w:numPr>
              <w:rPr>
                <w:rFonts w:ascii="Verdana" w:hAnsi="Verdana" w:cs="Arial"/>
                <w:color w:val="000000" w:themeColor="text1"/>
                <w:sz w:val="20"/>
              </w:rPr>
            </w:pPr>
            <w:r w:rsidRPr="00932A66">
              <w:rPr>
                <w:rFonts w:ascii="Verdana" w:hAnsi="Verdana" w:cs="Arial"/>
                <w:color w:val="000000" w:themeColor="text1"/>
                <w:sz w:val="20"/>
              </w:rPr>
              <w:t>The health board has a developing quality governance structure and has full engagement from all of the MDT.</w:t>
            </w:r>
          </w:p>
          <w:p w:rsidR="00DC214C" w:rsidRPr="00932A66" w:rsidRDefault="00DC214C" w:rsidP="000027CA">
            <w:pPr>
              <w:pStyle w:val="ListParagraph"/>
              <w:numPr>
                <w:ilvl w:val="0"/>
                <w:numId w:val="22"/>
              </w:numPr>
              <w:rPr>
                <w:rFonts w:ascii="Verdana" w:hAnsi="Verdana" w:cs="Arial"/>
                <w:color w:val="000000" w:themeColor="text1"/>
                <w:sz w:val="20"/>
              </w:rPr>
            </w:pPr>
            <w:r w:rsidRPr="00932A66">
              <w:rPr>
                <w:rFonts w:ascii="Verdana" w:hAnsi="Verdana" w:cs="Arial"/>
                <w:color w:val="000000" w:themeColor="text1"/>
                <w:sz w:val="20"/>
              </w:rPr>
              <w:t>The health board has a developing quality dashboard and monitors key indicators.</w:t>
            </w:r>
          </w:p>
          <w:p w:rsidR="00DC214C" w:rsidRPr="00932A66" w:rsidRDefault="00DC214C" w:rsidP="000027CA">
            <w:pPr>
              <w:pStyle w:val="ListParagraph"/>
              <w:numPr>
                <w:ilvl w:val="0"/>
                <w:numId w:val="22"/>
              </w:numPr>
              <w:rPr>
                <w:rFonts w:ascii="Verdana" w:hAnsi="Verdana" w:cs="Arial"/>
                <w:color w:val="000000" w:themeColor="text1"/>
                <w:sz w:val="20"/>
              </w:rPr>
            </w:pPr>
            <w:r w:rsidRPr="00932A66">
              <w:rPr>
                <w:rFonts w:ascii="Verdana" w:hAnsi="Verdana" w:cs="Arial"/>
                <w:color w:val="000000" w:themeColor="text1"/>
                <w:sz w:val="20"/>
              </w:rPr>
              <w:t>Clinical incidents are reported and investigated appropriately and learning is focussed on individual incidents.  Changes in practice are recommended but there is limited evidence that these changes are implemented and/or impact on future safety.</w:t>
            </w:r>
          </w:p>
          <w:p w:rsidR="00434B49" w:rsidRPr="00C43634" w:rsidRDefault="00DC214C" w:rsidP="000027CA">
            <w:pPr>
              <w:pStyle w:val="ListParagraph"/>
              <w:numPr>
                <w:ilvl w:val="0"/>
                <w:numId w:val="22"/>
              </w:numPr>
              <w:rPr>
                <w:rFonts w:ascii="Verdana" w:hAnsi="Verdana" w:cs="Arial"/>
                <w:color w:val="FF0000"/>
                <w:sz w:val="20"/>
              </w:rPr>
            </w:pPr>
            <w:r w:rsidRPr="00932A66">
              <w:rPr>
                <w:rFonts w:ascii="Verdana" w:hAnsi="Verdana" w:cs="Arial"/>
                <w:color w:val="000000" w:themeColor="text1"/>
                <w:sz w:val="20"/>
              </w:rPr>
              <w:t>Responsibility for patient safety and governance is limited to a few key individuals in the maternity service.</w:t>
            </w:r>
          </w:p>
        </w:tc>
      </w:tr>
      <w:tr w:rsidR="00693BB0" w:rsidRPr="00C43634" w:rsidTr="00185E22">
        <w:trPr>
          <w:trHeight w:val="618"/>
        </w:trPr>
        <w:tc>
          <w:tcPr>
            <w:tcW w:w="10490" w:type="dxa"/>
            <w:gridSpan w:val="8"/>
            <w:tcBorders>
              <w:top w:val="single" w:sz="4" w:space="0" w:color="auto"/>
              <w:left w:val="single" w:sz="4" w:space="0" w:color="auto"/>
              <w:bottom w:val="single" w:sz="4" w:space="0" w:color="auto"/>
              <w:right w:val="single" w:sz="4" w:space="0" w:color="auto"/>
            </w:tcBorders>
          </w:tcPr>
          <w:tbl>
            <w:tblPr>
              <w:tblpPr w:leftFromText="180" w:rightFromText="180" w:horzAnchor="margin" w:tblpXSpec="center" w:tblpY="-945"/>
              <w:tblW w:w="107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246"/>
              <w:gridCol w:w="5522"/>
            </w:tblGrid>
            <w:tr w:rsidR="00693BB0" w:rsidRPr="007100AA" w:rsidTr="00185E22">
              <w:tc>
                <w:tcPr>
                  <w:tcW w:w="5246" w:type="dxa"/>
                  <w:tcBorders>
                    <w:top w:val="single" w:sz="4" w:space="0" w:color="auto"/>
                    <w:left w:val="single" w:sz="4" w:space="0" w:color="auto"/>
                    <w:bottom w:val="single" w:sz="4" w:space="0" w:color="auto"/>
                    <w:right w:val="single" w:sz="4" w:space="0" w:color="auto"/>
                  </w:tcBorders>
                  <w:shd w:val="clear" w:color="auto" w:fill="FF0000"/>
                </w:tcPr>
                <w:p w:rsidR="00693BB0" w:rsidRPr="007100AA" w:rsidRDefault="00693BB0" w:rsidP="00693BB0">
                  <w:pPr>
                    <w:keepNext/>
                    <w:rPr>
                      <w:rFonts w:ascii="Verdana" w:hAnsi="Verdana" w:cs="Arial"/>
                      <w:b/>
                      <w:sz w:val="20"/>
                    </w:rPr>
                  </w:pPr>
                  <w:r w:rsidRPr="007100AA">
                    <w:rPr>
                      <w:rFonts w:ascii="Verdana" w:hAnsi="Verdana" w:cs="Arial"/>
                      <w:b/>
                      <w:sz w:val="20"/>
                    </w:rPr>
                    <w:t>Slippage and remedial action</w:t>
                  </w:r>
                </w:p>
              </w:tc>
              <w:tc>
                <w:tcPr>
                  <w:tcW w:w="5522" w:type="dxa"/>
                  <w:tcBorders>
                    <w:top w:val="single" w:sz="4" w:space="0" w:color="auto"/>
                    <w:left w:val="single" w:sz="4" w:space="0" w:color="auto"/>
                    <w:bottom w:val="single" w:sz="4" w:space="0" w:color="auto"/>
                    <w:right w:val="single" w:sz="4" w:space="0" w:color="auto"/>
                  </w:tcBorders>
                  <w:shd w:val="clear" w:color="auto" w:fill="FF0000"/>
                </w:tcPr>
                <w:p w:rsidR="00693BB0" w:rsidRPr="007100AA" w:rsidRDefault="00693BB0" w:rsidP="00693BB0">
                  <w:pPr>
                    <w:keepNext/>
                    <w:rPr>
                      <w:rFonts w:ascii="Verdana" w:hAnsi="Verdana" w:cs="Arial"/>
                      <w:b/>
                      <w:sz w:val="20"/>
                    </w:rPr>
                  </w:pPr>
                  <w:r w:rsidRPr="007100AA">
                    <w:rPr>
                      <w:rFonts w:ascii="Verdana" w:hAnsi="Verdana" w:cs="Arial"/>
                      <w:b/>
                      <w:sz w:val="20"/>
                    </w:rPr>
                    <w:t>Issue or concerns</w:t>
                  </w:r>
                </w:p>
              </w:tc>
            </w:tr>
            <w:tr w:rsidR="00693BB0" w:rsidRPr="007100AA" w:rsidTr="00693BB0">
              <w:trPr>
                <w:trHeight w:val="1445"/>
              </w:trPr>
              <w:tc>
                <w:tcPr>
                  <w:tcW w:w="5246" w:type="dxa"/>
                  <w:tcBorders>
                    <w:top w:val="single" w:sz="4" w:space="0" w:color="auto"/>
                    <w:left w:val="single" w:sz="4" w:space="0" w:color="auto"/>
                    <w:bottom w:val="single" w:sz="4" w:space="0" w:color="auto"/>
                    <w:right w:val="single" w:sz="4" w:space="0" w:color="auto"/>
                  </w:tcBorders>
                  <w:shd w:val="clear" w:color="auto" w:fill="auto"/>
                </w:tcPr>
                <w:p w:rsidR="00693BB0" w:rsidRPr="007100AA" w:rsidRDefault="00693BB0" w:rsidP="00693BB0">
                  <w:pPr>
                    <w:keepNext/>
                    <w:rPr>
                      <w:rFonts w:ascii="Verdana" w:hAnsi="Verdana" w:cs="Arial"/>
                      <w:b/>
                      <w:sz w:val="20"/>
                    </w:rPr>
                  </w:pPr>
                  <w:r>
                    <w:rPr>
                      <w:rFonts w:ascii="Verdana" w:hAnsi="Verdana" w:cs="Arial"/>
                      <w:b/>
                      <w:sz w:val="20"/>
                    </w:rPr>
                    <w:t xml:space="preserve">RCOG Rec 7.7: </w:t>
                  </w:r>
                  <w:r w:rsidRPr="00693BB0">
                    <w:rPr>
                      <w:rFonts w:ascii="Verdana" w:hAnsi="Verdana" w:cs="Arial"/>
                      <w:sz w:val="20"/>
                    </w:rPr>
                    <w:t>Ensure an environment of privacy and dignity of care for women undergoing abortion or miscarriage</w:t>
                  </w:r>
                </w:p>
              </w:tc>
              <w:tc>
                <w:tcPr>
                  <w:tcW w:w="5522" w:type="dxa"/>
                  <w:tcBorders>
                    <w:top w:val="single" w:sz="4" w:space="0" w:color="auto"/>
                    <w:left w:val="single" w:sz="4" w:space="0" w:color="auto"/>
                    <w:bottom w:val="single" w:sz="4" w:space="0" w:color="auto"/>
                    <w:right w:val="single" w:sz="4" w:space="0" w:color="auto"/>
                  </w:tcBorders>
                  <w:shd w:val="clear" w:color="auto" w:fill="auto"/>
                </w:tcPr>
                <w:p w:rsidR="00693BB0" w:rsidRDefault="00693BB0" w:rsidP="00693BB0">
                  <w:pPr>
                    <w:keepNext/>
                    <w:rPr>
                      <w:rFonts w:ascii="Verdana" w:hAnsi="Verdana" w:cs="Arial"/>
                      <w:sz w:val="20"/>
                    </w:rPr>
                  </w:pPr>
                  <w:r>
                    <w:rPr>
                      <w:rFonts w:ascii="Verdana" w:hAnsi="Verdana" w:cs="Arial"/>
                      <w:sz w:val="20"/>
                    </w:rPr>
                    <w:t>Significant work has been undertaken in the form of:</w:t>
                  </w:r>
                </w:p>
                <w:p w:rsidR="00693BB0" w:rsidRDefault="00185E22" w:rsidP="00185E22">
                  <w:pPr>
                    <w:pStyle w:val="ListParagraph"/>
                    <w:keepNext/>
                    <w:numPr>
                      <w:ilvl w:val="0"/>
                      <w:numId w:val="36"/>
                    </w:numPr>
                    <w:rPr>
                      <w:rFonts w:ascii="Verdana" w:hAnsi="Verdana" w:cs="Arial"/>
                      <w:sz w:val="20"/>
                    </w:rPr>
                  </w:pPr>
                  <w:r>
                    <w:rPr>
                      <w:rFonts w:ascii="Verdana" w:hAnsi="Verdana" w:cs="Arial"/>
                      <w:sz w:val="20"/>
                    </w:rPr>
                    <w:t>D</w:t>
                  </w:r>
                  <w:r w:rsidR="00693BB0" w:rsidRPr="00185E22">
                    <w:rPr>
                      <w:rFonts w:ascii="Verdana" w:hAnsi="Verdana" w:cs="Arial"/>
                      <w:sz w:val="20"/>
                    </w:rPr>
                    <w:t>evelopment of a business case</w:t>
                  </w:r>
                </w:p>
                <w:p w:rsidR="00185E22" w:rsidRDefault="00185E22" w:rsidP="00185E22">
                  <w:pPr>
                    <w:pStyle w:val="ListParagraph"/>
                    <w:keepNext/>
                    <w:numPr>
                      <w:ilvl w:val="0"/>
                      <w:numId w:val="36"/>
                    </w:numPr>
                    <w:rPr>
                      <w:rFonts w:ascii="Verdana" w:hAnsi="Verdana" w:cs="Arial"/>
                      <w:sz w:val="20"/>
                    </w:rPr>
                  </w:pPr>
                  <w:r>
                    <w:rPr>
                      <w:rFonts w:ascii="Verdana" w:hAnsi="Verdana" w:cs="Arial"/>
                      <w:sz w:val="20"/>
                    </w:rPr>
                    <w:t xml:space="preserve">Identifying a dedicated space on the PCH </w:t>
                  </w:r>
                </w:p>
                <w:p w:rsidR="00185E22" w:rsidRDefault="00185E22" w:rsidP="00185E22">
                  <w:pPr>
                    <w:pStyle w:val="ListParagraph"/>
                    <w:keepNext/>
                    <w:rPr>
                      <w:rFonts w:ascii="Verdana" w:hAnsi="Verdana" w:cs="Arial"/>
                      <w:sz w:val="20"/>
                    </w:rPr>
                  </w:pPr>
                  <w:r>
                    <w:rPr>
                      <w:rFonts w:ascii="Verdana" w:hAnsi="Verdana" w:cs="Arial"/>
                      <w:sz w:val="20"/>
                    </w:rPr>
                    <w:t>site</w:t>
                  </w:r>
                </w:p>
                <w:p w:rsidR="00185E22" w:rsidRDefault="00185E22" w:rsidP="00185E22">
                  <w:pPr>
                    <w:pStyle w:val="ListParagraph"/>
                    <w:keepNext/>
                    <w:numPr>
                      <w:ilvl w:val="0"/>
                      <w:numId w:val="36"/>
                    </w:numPr>
                    <w:rPr>
                      <w:rFonts w:ascii="Verdana" w:hAnsi="Verdana" w:cs="Arial"/>
                      <w:sz w:val="20"/>
                    </w:rPr>
                  </w:pPr>
                  <w:r>
                    <w:rPr>
                      <w:rFonts w:ascii="Verdana" w:hAnsi="Verdana" w:cs="Arial"/>
                      <w:sz w:val="20"/>
                    </w:rPr>
                    <w:t>escalation to the Head of Midwifery/</w:t>
                  </w:r>
                  <w:r w:rsidRPr="00185E22">
                    <w:rPr>
                      <w:rFonts w:ascii="Verdana" w:hAnsi="Verdana" w:cs="Arial"/>
                      <w:sz w:val="20"/>
                    </w:rPr>
                    <w:t>Service Group General Manager</w:t>
                  </w:r>
                </w:p>
                <w:p w:rsidR="00185E22" w:rsidRDefault="00185E22" w:rsidP="00185E22">
                  <w:pPr>
                    <w:pStyle w:val="ListParagraph"/>
                    <w:keepNext/>
                    <w:numPr>
                      <w:ilvl w:val="0"/>
                      <w:numId w:val="36"/>
                    </w:numPr>
                    <w:rPr>
                      <w:rFonts w:ascii="Verdana" w:hAnsi="Verdana" w:cs="Arial"/>
                      <w:sz w:val="20"/>
                    </w:rPr>
                  </w:pPr>
                  <w:r>
                    <w:rPr>
                      <w:rFonts w:ascii="Verdana" w:hAnsi="Verdana" w:cs="Arial"/>
                      <w:sz w:val="20"/>
                    </w:rPr>
                    <w:t xml:space="preserve">Flagged on the risk register </w:t>
                  </w:r>
                </w:p>
                <w:p w:rsidR="00D576EA" w:rsidRDefault="00D576EA" w:rsidP="00D576EA">
                  <w:pPr>
                    <w:keepNext/>
                    <w:rPr>
                      <w:rFonts w:ascii="Verdana" w:hAnsi="Verdana" w:cs="Arial"/>
                      <w:sz w:val="20"/>
                    </w:rPr>
                  </w:pPr>
                </w:p>
                <w:p w:rsidR="00825F90" w:rsidRDefault="00D576EA" w:rsidP="00D576EA">
                  <w:pPr>
                    <w:keepNext/>
                    <w:rPr>
                      <w:rFonts w:ascii="Verdana" w:hAnsi="Verdana" w:cs="Arial"/>
                      <w:sz w:val="20"/>
                    </w:rPr>
                  </w:pPr>
                  <w:r>
                    <w:rPr>
                      <w:rFonts w:ascii="Verdana" w:hAnsi="Verdana" w:cs="Arial"/>
                      <w:sz w:val="20"/>
                    </w:rPr>
                    <w:t xml:space="preserve">This is currently no available space on the PCH </w:t>
                  </w:r>
                </w:p>
                <w:p w:rsidR="00D576EA" w:rsidRPr="00D576EA" w:rsidRDefault="00D576EA" w:rsidP="00D576EA">
                  <w:pPr>
                    <w:keepNext/>
                    <w:rPr>
                      <w:rFonts w:ascii="Verdana" w:hAnsi="Verdana" w:cs="Arial"/>
                      <w:sz w:val="20"/>
                    </w:rPr>
                  </w:pPr>
                  <w:r>
                    <w:rPr>
                      <w:rFonts w:ascii="Verdana" w:hAnsi="Verdana" w:cs="Arial"/>
                      <w:sz w:val="20"/>
                    </w:rPr>
                    <w:t>Site.</w:t>
                  </w:r>
                </w:p>
                <w:p w:rsidR="00693BB0" w:rsidRPr="007100AA" w:rsidRDefault="00693BB0" w:rsidP="00693BB0">
                  <w:pPr>
                    <w:keepNext/>
                    <w:rPr>
                      <w:rFonts w:ascii="Verdana" w:hAnsi="Verdana" w:cs="Arial"/>
                      <w:sz w:val="20"/>
                    </w:rPr>
                  </w:pPr>
                  <w:r>
                    <w:rPr>
                      <w:rFonts w:ascii="Verdana" w:hAnsi="Verdana" w:cs="Arial"/>
                      <w:sz w:val="20"/>
                    </w:rPr>
                    <w:t xml:space="preserve"> </w:t>
                  </w:r>
                </w:p>
              </w:tc>
            </w:tr>
          </w:tbl>
          <w:p w:rsidR="00693BB0" w:rsidRPr="00932A66" w:rsidRDefault="00693BB0" w:rsidP="000027CA">
            <w:pPr>
              <w:pStyle w:val="DfESBullets"/>
              <w:numPr>
                <w:ilvl w:val="0"/>
                <w:numId w:val="0"/>
              </w:numPr>
              <w:spacing w:after="0"/>
              <w:rPr>
                <w:rFonts w:ascii="Verdana" w:hAnsi="Verdana" w:cs="Arial"/>
                <w:color w:val="000000" w:themeColor="text1"/>
                <w:sz w:val="20"/>
              </w:rPr>
            </w:pPr>
          </w:p>
        </w:tc>
      </w:tr>
    </w:tbl>
    <w:p w:rsidR="00C77FBA" w:rsidRDefault="00C77FBA" w:rsidP="000027CA">
      <w:pPr>
        <w:pStyle w:val="DfESBullets"/>
        <w:numPr>
          <w:ilvl w:val="0"/>
          <w:numId w:val="0"/>
        </w:numPr>
        <w:tabs>
          <w:tab w:val="left" w:pos="3315"/>
        </w:tabs>
        <w:spacing w:before="100" w:beforeAutospacing="1" w:after="0"/>
        <w:jc w:val="both"/>
        <w:rPr>
          <w:rFonts w:ascii="Verdana" w:hAnsi="Verdana" w:cs="Arial"/>
          <w:b/>
          <w:sz w:val="20"/>
        </w:rPr>
      </w:pPr>
    </w:p>
    <w:p w:rsidR="00C77FBA" w:rsidRPr="00C77FBA" w:rsidRDefault="00C77FBA" w:rsidP="00C77FBA"/>
    <w:p w:rsidR="00C77FBA" w:rsidRPr="00C77FBA" w:rsidRDefault="00C77FBA" w:rsidP="00C77FBA"/>
    <w:p w:rsidR="00C77FBA" w:rsidRPr="00C77FBA" w:rsidRDefault="00C77FBA" w:rsidP="00C77FBA"/>
    <w:p w:rsidR="00C77FBA" w:rsidRDefault="00C77FBA" w:rsidP="00C77FBA"/>
    <w:p w:rsidR="00C77FBA" w:rsidRDefault="00C77FBA" w:rsidP="00C77FBA">
      <w:pPr>
        <w:tabs>
          <w:tab w:val="left" w:pos="1965"/>
        </w:tabs>
        <w:sectPr w:rsidR="00C77FBA" w:rsidSect="00215574">
          <w:pgSz w:w="11906" w:h="16838" w:code="9"/>
          <w:pgMar w:top="0" w:right="1797" w:bottom="1361" w:left="1797" w:header="709" w:footer="709" w:gutter="0"/>
          <w:cols w:space="708"/>
          <w:docGrid w:linePitch="360"/>
        </w:sectPr>
      </w:pPr>
      <w:r>
        <w:tab/>
      </w:r>
    </w:p>
    <w:p w:rsidR="00C77FBA" w:rsidRDefault="00C77FBA" w:rsidP="00C77FBA">
      <w:pPr>
        <w:tabs>
          <w:tab w:val="left" w:pos="1965"/>
        </w:tabs>
      </w:pPr>
    </w:p>
    <w:p w:rsidR="00C77FBA" w:rsidRPr="00C77FBA" w:rsidRDefault="00C77FBA" w:rsidP="00C77FBA">
      <w:pPr>
        <w:jc w:val="center"/>
        <w:rPr>
          <w:rFonts w:asciiTheme="minorHAnsi" w:hAnsiTheme="minorHAnsi"/>
          <w:u w:val="single"/>
        </w:rPr>
      </w:pPr>
      <w:r w:rsidRPr="00C77FBA">
        <w:rPr>
          <w:rFonts w:asciiTheme="minorHAnsi" w:hAnsiTheme="minorHAnsi"/>
          <w:u w:val="single"/>
        </w:rPr>
        <w:t>Monthly Maternity Monitoring Indicators</w:t>
      </w:r>
    </w:p>
    <w:p w:rsidR="00C77FBA" w:rsidRDefault="00C77FBA" w:rsidP="00C77FBA">
      <w:pPr>
        <w:rPr>
          <w:rFonts w:asciiTheme="minorHAnsi" w:hAnsiTheme="minorHAnsi"/>
          <w:u w:val="single"/>
        </w:rPr>
      </w:pPr>
    </w:p>
    <w:p w:rsidR="00B97F89" w:rsidRPr="00B97F89" w:rsidRDefault="00B97F89" w:rsidP="00B97F89">
      <w:pPr>
        <w:rPr>
          <w:rFonts w:asciiTheme="minorHAnsi" w:hAnsiTheme="minorHAnsi"/>
          <w:szCs w:val="24"/>
          <w:u w:val="single"/>
        </w:rPr>
      </w:pPr>
      <w:r w:rsidRPr="00B97F89">
        <w:rPr>
          <w:rFonts w:asciiTheme="minorHAnsi" w:hAnsiTheme="minorHAnsi"/>
          <w:szCs w:val="24"/>
          <w:u w:val="single"/>
        </w:rPr>
        <w:t>February 2010</w:t>
      </w:r>
    </w:p>
    <w:p w:rsidR="00B97F89" w:rsidRPr="00B97F89" w:rsidRDefault="00B97F89" w:rsidP="00B97F89">
      <w:pPr>
        <w:rPr>
          <w:rFonts w:asciiTheme="minorHAnsi" w:hAnsiTheme="minorHAnsi"/>
          <w:szCs w:val="24"/>
        </w:rPr>
      </w:pPr>
      <w:r w:rsidRPr="00B97F89">
        <w:rPr>
          <w:rFonts w:asciiTheme="minorHAnsi" w:hAnsiTheme="minorHAnsi"/>
          <w:szCs w:val="24"/>
        </w:rPr>
        <w:t>PCH = Prince Charles Hospital Obstetric Unit, Tair Afon Birth Centre, Home (Cynon and Merthyr localities) and Other (births in transit from Cynon and Merthyr localities)</w:t>
      </w:r>
    </w:p>
    <w:p w:rsidR="00B97F89" w:rsidRPr="00B97F89" w:rsidRDefault="00B97F89" w:rsidP="00B97F89">
      <w:pPr>
        <w:rPr>
          <w:rFonts w:asciiTheme="minorHAnsi" w:hAnsiTheme="minorHAnsi"/>
          <w:szCs w:val="24"/>
        </w:rPr>
      </w:pPr>
      <w:r w:rsidRPr="00B97F89">
        <w:rPr>
          <w:rFonts w:asciiTheme="minorHAnsi" w:hAnsiTheme="minorHAnsi"/>
          <w:szCs w:val="24"/>
        </w:rPr>
        <w:t>POW = Princess of Wales Hospital Obstetric Unit, Bluebell Suite, Room 3, Ward 12, Home (Bridgend locality) and Born in Transit.</w:t>
      </w:r>
    </w:p>
    <w:p w:rsidR="00B97F89" w:rsidRPr="00B97F89" w:rsidRDefault="00B97F89" w:rsidP="00B97F89">
      <w:pPr>
        <w:rPr>
          <w:rFonts w:asciiTheme="minorHAnsi" w:hAnsiTheme="minorHAnsi"/>
          <w:szCs w:val="24"/>
        </w:rPr>
      </w:pPr>
      <w:r w:rsidRPr="00B97F89">
        <w:rPr>
          <w:rFonts w:asciiTheme="minorHAnsi" w:hAnsiTheme="minorHAnsi"/>
          <w:szCs w:val="24"/>
        </w:rPr>
        <w:t>RGH = Tirion Birth Centre at the Royal Glamorgan Hospital, Home (Rhondda and Taff localities) and Other (births in transit from Rhondda and Taff localities)</w:t>
      </w:r>
    </w:p>
    <w:p w:rsidR="00B97F89" w:rsidRPr="00B97F89" w:rsidRDefault="00B97F89" w:rsidP="00B97F89">
      <w:pPr>
        <w:rPr>
          <w:rFonts w:asciiTheme="minorHAnsi" w:hAnsiTheme="minorHAnsi"/>
          <w:szCs w:val="24"/>
        </w:rPr>
      </w:pPr>
      <w:r w:rsidRPr="00B97F89">
        <w:rPr>
          <w:rFonts w:asciiTheme="minorHAnsi" w:hAnsiTheme="minorHAnsi"/>
          <w:szCs w:val="24"/>
        </w:rPr>
        <w:t>Births = babies born</w:t>
      </w:r>
    </w:p>
    <w:p w:rsidR="00B97F89" w:rsidRPr="00B97F89" w:rsidRDefault="00B97F89" w:rsidP="00B97F89">
      <w:pPr>
        <w:rPr>
          <w:rFonts w:asciiTheme="minorHAnsi" w:hAnsiTheme="minorHAnsi"/>
          <w:szCs w:val="24"/>
        </w:rPr>
      </w:pPr>
      <w:r w:rsidRPr="00B97F89">
        <w:rPr>
          <w:rFonts w:asciiTheme="minorHAnsi" w:hAnsiTheme="minorHAnsi"/>
          <w:szCs w:val="24"/>
        </w:rPr>
        <w:t>Women = women delivering</w:t>
      </w:r>
    </w:p>
    <w:p w:rsidR="00B97F89" w:rsidRPr="00B97F89" w:rsidRDefault="00B97F89" w:rsidP="00B97F89">
      <w:pPr>
        <w:rPr>
          <w:rFonts w:asciiTheme="minorHAnsi" w:hAnsiTheme="minorHAnsi"/>
          <w:szCs w:val="24"/>
          <w:u w:val="single"/>
        </w:rPr>
      </w:pPr>
    </w:p>
    <w:p w:rsidR="00B97F89" w:rsidRPr="00B97F89" w:rsidRDefault="00B97F89" w:rsidP="00B97F89">
      <w:pPr>
        <w:rPr>
          <w:rFonts w:asciiTheme="minorHAnsi" w:hAnsiTheme="minorHAnsi"/>
          <w:szCs w:val="24"/>
          <w:u w:val="single"/>
        </w:rPr>
      </w:pPr>
      <w:r w:rsidRPr="00B97F89">
        <w:rPr>
          <w:rFonts w:asciiTheme="minorHAnsi" w:hAnsiTheme="minorHAnsi"/>
          <w:szCs w:val="24"/>
          <w:u w:val="single"/>
        </w:rPr>
        <w:t>Total Births</w:t>
      </w:r>
    </w:p>
    <w:p w:rsidR="00B97F89" w:rsidRDefault="00B97F89" w:rsidP="00B97F89">
      <w:pPr>
        <w:rPr>
          <w:rFonts w:asciiTheme="minorHAnsi" w:hAnsiTheme="minorHAnsi"/>
          <w:szCs w:val="24"/>
        </w:rPr>
      </w:pPr>
      <w:r w:rsidRPr="00B97F89">
        <w:rPr>
          <w:rFonts w:asciiTheme="minorHAnsi" w:hAnsiTheme="minorHAnsi"/>
          <w:szCs w:val="24"/>
        </w:rPr>
        <w:t>During February 2020, there were 3 sets of twins born to 365 women.</w:t>
      </w:r>
    </w:p>
    <w:p w:rsidR="00B97F89" w:rsidRPr="00B97F89" w:rsidRDefault="00B97F89" w:rsidP="00B97F89">
      <w:pPr>
        <w:rPr>
          <w:rFonts w:asciiTheme="minorHAnsi" w:hAnsiTheme="minorHAnsi"/>
          <w:szCs w:val="24"/>
        </w:rPr>
      </w:pPr>
    </w:p>
    <w:p w:rsidR="00B97F89" w:rsidRDefault="00B97F89" w:rsidP="00B97F89">
      <w:pPr>
        <w:rPr>
          <w:u w:val="single"/>
        </w:rPr>
      </w:pPr>
      <w:r>
        <w:rPr>
          <w:noProof/>
          <w:lang w:eastAsia="en-GB"/>
        </w:rPr>
        <w:drawing>
          <wp:inline distT="0" distB="0" distL="0" distR="0" wp14:anchorId="67DF5EC0" wp14:editId="7F42C8A8">
            <wp:extent cx="5731510" cy="3851011"/>
            <wp:effectExtent l="0" t="0" r="21590" b="16510"/>
            <wp:docPr id="20" name="Chart 20"/>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B97F89" w:rsidRDefault="00B97F89" w:rsidP="00B97F89">
      <w:pPr>
        <w:rPr>
          <w:u w:val="single"/>
        </w:rPr>
      </w:pPr>
    </w:p>
    <w:p w:rsidR="00B97F89" w:rsidRDefault="00B97F89" w:rsidP="00B97F89">
      <w:pPr>
        <w:rPr>
          <w:u w:val="single"/>
        </w:rPr>
      </w:pPr>
    </w:p>
    <w:p w:rsidR="00B97F89" w:rsidRDefault="00B97F89" w:rsidP="00B97F89">
      <w:pPr>
        <w:rPr>
          <w:u w:val="single"/>
        </w:rPr>
      </w:pPr>
      <w:r>
        <w:rPr>
          <w:u w:val="single"/>
        </w:rPr>
        <w:br w:type="page"/>
      </w:r>
    </w:p>
    <w:p w:rsidR="00B97F89" w:rsidRDefault="00B97F89" w:rsidP="00B97F89">
      <w:pPr>
        <w:rPr>
          <w:rFonts w:asciiTheme="minorHAnsi" w:hAnsiTheme="minorHAnsi"/>
          <w:u w:val="single"/>
        </w:rPr>
      </w:pPr>
    </w:p>
    <w:p w:rsidR="00B97F89" w:rsidRPr="00B97F89" w:rsidRDefault="00B97F89" w:rsidP="00B97F89">
      <w:pPr>
        <w:rPr>
          <w:rFonts w:asciiTheme="minorHAnsi" w:hAnsiTheme="minorHAnsi"/>
          <w:u w:val="single"/>
        </w:rPr>
      </w:pPr>
      <w:r w:rsidRPr="00B97F89">
        <w:rPr>
          <w:rFonts w:asciiTheme="minorHAnsi" w:hAnsiTheme="minorHAnsi"/>
          <w:u w:val="single"/>
        </w:rPr>
        <w:t>% of New initial Assessments carried out by 10 completed weeks, by month booked</w:t>
      </w:r>
    </w:p>
    <w:p w:rsidR="00B97F89" w:rsidRDefault="00B97F89" w:rsidP="00B97F89">
      <w:pPr>
        <w:rPr>
          <w:u w:val="single"/>
        </w:rPr>
      </w:pPr>
      <w:r>
        <w:rPr>
          <w:noProof/>
          <w:lang w:eastAsia="en-GB"/>
        </w:rPr>
        <w:drawing>
          <wp:inline distT="0" distB="0" distL="0" distR="0" wp14:anchorId="4018DE3A" wp14:editId="15122107">
            <wp:extent cx="5734050" cy="3619500"/>
            <wp:effectExtent l="0" t="0" r="19050" b="19050"/>
            <wp:docPr id="3" name="Chart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B97F89" w:rsidRDefault="00B97F89" w:rsidP="00B97F89">
      <w:pPr>
        <w:rPr>
          <w:sz w:val="20"/>
        </w:rPr>
      </w:pPr>
    </w:p>
    <w:p w:rsidR="00B97F89" w:rsidRPr="00AA49AE" w:rsidRDefault="00B97F89" w:rsidP="00B97F89">
      <w:pPr>
        <w:rPr>
          <w:sz w:val="20"/>
        </w:rPr>
      </w:pPr>
      <w:r w:rsidRPr="00AA49AE">
        <w:rPr>
          <w:sz w:val="20"/>
        </w:rPr>
        <w:t>Run chart going back to 2018 - Former CT only</w:t>
      </w:r>
    </w:p>
    <w:p w:rsidR="00B97F89" w:rsidRPr="002A016F" w:rsidRDefault="00B97F89" w:rsidP="00B97F89">
      <w:r>
        <w:rPr>
          <w:noProof/>
          <w:lang w:eastAsia="en-GB"/>
        </w:rPr>
        <w:drawing>
          <wp:inline distT="0" distB="0" distL="0" distR="0" wp14:anchorId="7389C7BB" wp14:editId="07C04800">
            <wp:extent cx="5731510" cy="1842770"/>
            <wp:effectExtent l="19050" t="19050" r="21590" b="2413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ookings10Wks_Feb20.png"/>
                    <pic:cNvPicPr/>
                  </pic:nvPicPr>
                  <pic:blipFill>
                    <a:blip r:embed="rId11">
                      <a:extLst>
                        <a:ext uri="{28A0092B-C50C-407E-A947-70E740481C1C}">
                          <a14:useLocalDpi xmlns:a14="http://schemas.microsoft.com/office/drawing/2010/main" val="0"/>
                        </a:ext>
                      </a:extLst>
                    </a:blip>
                    <a:stretch>
                      <a:fillRect/>
                    </a:stretch>
                  </pic:blipFill>
                  <pic:spPr>
                    <a:xfrm>
                      <a:off x="0" y="0"/>
                      <a:ext cx="5731510" cy="1842770"/>
                    </a:xfrm>
                    <a:prstGeom prst="rect">
                      <a:avLst/>
                    </a:prstGeom>
                    <a:ln w="9525">
                      <a:solidFill>
                        <a:schemeClr val="tx1"/>
                      </a:solidFill>
                    </a:ln>
                  </pic:spPr>
                </pic:pic>
              </a:graphicData>
            </a:graphic>
          </wp:inline>
        </w:drawing>
      </w:r>
    </w:p>
    <w:p w:rsidR="00B97F89" w:rsidRDefault="00B97F89" w:rsidP="00B97F89">
      <w:pPr>
        <w:rPr>
          <w:u w:val="single"/>
        </w:rPr>
      </w:pPr>
    </w:p>
    <w:p w:rsidR="00B97F89" w:rsidRPr="00B97F89" w:rsidRDefault="00B97F89" w:rsidP="00B97F89">
      <w:pPr>
        <w:rPr>
          <w:rFonts w:asciiTheme="minorHAnsi" w:hAnsiTheme="minorHAnsi"/>
          <w:szCs w:val="24"/>
          <w:u w:val="single"/>
        </w:rPr>
      </w:pPr>
      <w:r w:rsidRPr="00B97F89">
        <w:rPr>
          <w:rFonts w:asciiTheme="minorHAnsi" w:hAnsiTheme="minorHAnsi"/>
          <w:szCs w:val="24"/>
          <w:u w:val="single"/>
        </w:rPr>
        <w:t xml:space="preserve">Midwifery and Consultant Led Care at Initial Assessment </w:t>
      </w:r>
    </w:p>
    <w:p w:rsidR="00B97F89" w:rsidRPr="00B97F89" w:rsidRDefault="00B97F89" w:rsidP="00B97F89">
      <w:pPr>
        <w:rPr>
          <w:rFonts w:asciiTheme="minorHAnsi" w:hAnsiTheme="minorHAnsi"/>
          <w:szCs w:val="24"/>
        </w:rPr>
      </w:pPr>
      <w:r w:rsidRPr="00B97F89">
        <w:rPr>
          <w:rFonts w:asciiTheme="minorHAnsi" w:hAnsiTheme="minorHAnsi"/>
          <w:szCs w:val="24"/>
        </w:rPr>
        <w:t xml:space="preserve"> Jan 2018-Mar 2019 - Former CT,  Apr 2019 onwards CTM</w:t>
      </w:r>
    </w:p>
    <w:p w:rsidR="00B97F89" w:rsidRDefault="00B97F89" w:rsidP="00B97F89">
      <w:pPr>
        <w:rPr>
          <w:u w:val="single"/>
        </w:rPr>
      </w:pPr>
      <w:r w:rsidRPr="00C374DE">
        <w:rPr>
          <w:noProof/>
          <w:lang w:eastAsia="en-GB"/>
        </w:rPr>
        <w:drawing>
          <wp:inline distT="0" distB="0" distL="0" distR="0" wp14:anchorId="7696CD3D" wp14:editId="124C8191">
            <wp:extent cx="5731510" cy="1564640"/>
            <wp:effectExtent l="19050" t="19050" r="21590" b="16510"/>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LCVsCLC_Feb20.png"/>
                    <pic:cNvPicPr/>
                  </pic:nvPicPr>
                  <pic:blipFill>
                    <a:blip r:embed="rId12">
                      <a:extLst>
                        <a:ext uri="{28A0092B-C50C-407E-A947-70E740481C1C}">
                          <a14:useLocalDpi xmlns:a14="http://schemas.microsoft.com/office/drawing/2010/main" val="0"/>
                        </a:ext>
                      </a:extLst>
                    </a:blip>
                    <a:stretch>
                      <a:fillRect/>
                    </a:stretch>
                  </pic:blipFill>
                  <pic:spPr>
                    <a:xfrm>
                      <a:off x="0" y="0"/>
                      <a:ext cx="5731510" cy="1564640"/>
                    </a:xfrm>
                    <a:prstGeom prst="rect">
                      <a:avLst/>
                    </a:prstGeom>
                    <a:ln w="9525">
                      <a:solidFill>
                        <a:schemeClr val="tx1"/>
                      </a:solidFill>
                    </a:ln>
                  </pic:spPr>
                </pic:pic>
              </a:graphicData>
            </a:graphic>
          </wp:inline>
        </w:drawing>
      </w:r>
    </w:p>
    <w:p w:rsidR="00B97F89" w:rsidRDefault="00B97F89" w:rsidP="00B97F89">
      <w:pPr>
        <w:rPr>
          <w:u w:val="single"/>
        </w:rPr>
      </w:pPr>
    </w:p>
    <w:p w:rsidR="00B97F89" w:rsidRDefault="00B97F89" w:rsidP="00B97F89">
      <w:pPr>
        <w:rPr>
          <w:u w:val="single"/>
        </w:rPr>
      </w:pPr>
    </w:p>
    <w:p w:rsidR="00B97F89" w:rsidRDefault="00B97F89" w:rsidP="00B97F89">
      <w:pPr>
        <w:rPr>
          <w:u w:val="single"/>
        </w:rPr>
      </w:pPr>
    </w:p>
    <w:p w:rsidR="00B97F89" w:rsidRDefault="00B97F89" w:rsidP="00B97F89">
      <w:pPr>
        <w:rPr>
          <w:u w:val="single"/>
        </w:rPr>
      </w:pPr>
    </w:p>
    <w:p w:rsidR="00B97F89" w:rsidRDefault="00B97F89" w:rsidP="00B97F89">
      <w:pPr>
        <w:rPr>
          <w:u w:val="single"/>
        </w:rPr>
      </w:pPr>
    </w:p>
    <w:p w:rsidR="00B97F89" w:rsidRDefault="00B97F89" w:rsidP="00B97F89">
      <w:pPr>
        <w:rPr>
          <w:u w:val="single"/>
        </w:rPr>
      </w:pPr>
    </w:p>
    <w:p w:rsidR="00B97F89" w:rsidRDefault="00B97F89" w:rsidP="00B97F89">
      <w:pPr>
        <w:rPr>
          <w:u w:val="single"/>
        </w:rPr>
      </w:pPr>
    </w:p>
    <w:p w:rsidR="00B97F89" w:rsidRDefault="00B97F89" w:rsidP="00B97F89">
      <w:pPr>
        <w:rPr>
          <w:u w:val="single"/>
        </w:rPr>
      </w:pPr>
    </w:p>
    <w:p w:rsidR="00B97F89" w:rsidRDefault="00B97F89" w:rsidP="00B97F89">
      <w:pPr>
        <w:rPr>
          <w:u w:val="single"/>
        </w:rPr>
      </w:pPr>
    </w:p>
    <w:p w:rsidR="00B97F89" w:rsidRDefault="00B97F89" w:rsidP="00B97F89">
      <w:pPr>
        <w:rPr>
          <w:u w:val="single"/>
        </w:rPr>
      </w:pPr>
    </w:p>
    <w:p w:rsidR="00B97F89" w:rsidRPr="00B97F89" w:rsidRDefault="00B97F89" w:rsidP="00B97F89">
      <w:pPr>
        <w:rPr>
          <w:rFonts w:asciiTheme="minorHAnsi" w:hAnsiTheme="minorHAnsi"/>
          <w:szCs w:val="24"/>
          <w:u w:val="single"/>
        </w:rPr>
      </w:pPr>
      <w:r w:rsidRPr="00B97F89">
        <w:rPr>
          <w:rFonts w:asciiTheme="minorHAnsi" w:hAnsiTheme="minorHAnsi"/>
          <w:szCs w:val="24"/>
          <w:u w:val="single"/>
        </w:rPr>
        <w:t>Inductions of Labour</w:t>
      </w:r>
    </w:p>
    <w:p w:rsidR="00B97F89" w:rsidRPr="00B97F89" w:rsidRDefault="00B97F89" w:rsidP="00B97F89">
      <w:pPr>
        <w:rPr>
          <w:rFonts w:asciiTheme="minorHAnsi" w:hAnsiTheme="minorHAnsi"/>
          <w:szCs w:val="24"/>
        </w:rPr>
      </w:pPr>
      <w:r w:rsidRPr="00B97F89">
        <w:rPr>
          <w:rFonts w:asciiTheme="minorHAnsi" w:hAnsiTheme="minorHAnsi"/>
          <w:szCs w:val="24"/>
        </w:rPr>
        <w:t xml:space="preserve">Numerator: </w:t>
      </w:r>
      <w:r w:rsidRPr="00B97F89">
        <w:rPr>
          <w:rFonts w:asciiTheme="minorHAnsi" w:hAnsiTheme="minorHAnsi"/>
          <w:szCs w:val="24"/>
        </w:rPr>
        <w:tab/>
        <w:t>Total number of women induced</w:t>
      </w:r>
    </w:p>
    <w:p w:rsidR="00B97F89" w:rsidRPr="00B97F89" w:rsidRDefault="00B97F89" w:rsidP="00B97F89">
      <w:pPr>
        <w:rPr>
          <w:rFonts w:asciiTheme="minorHAnsi" w:hAnsiTheme="minorHAnsi"/>
          <w:szCs w:val="24"/>
        </w:rPr>
      </w:pPr>
      <w:r w:rsidRPr="00B97F89">
        <w:rPr>
          <w:rFonts w:asciiTheme="minorHAnsi" w:hAnsiTheme="minorHAnsi"/>
          <w:szCs w:val="24"/>
        </w:rPr>
        <w:t>Denominator:</w:t>
      </w:r>
      <w:r w:rsidRPr="00B97F89">
        <w:rPr>
          <w:rFonts w:asciiTheme="minorHAnsi" w:hAnsiTheme="minorHAnsi"/>
          <w:szCs w:val="24"/>
        </w:rPr>
        <w:tab/>
        <w:t>Total number of women delivering</w:t>
      </w:r>
    </w:p>
    <w:p w:rsidR="00B97F89" w:rsidRPr="00B97F89" w:rsidRDefault="00B97F89" w:rsidP="00B97F89">
      <w:pPr>
        <w:rPr>
          <w:rFonts w:asciiTheme="minorHAnsi" w:hAnsiTheme="minorHAnsi"/>
          <w:szCs w:val="24"/>
        </w:rPr>
      </w:pPr>
      <w:r w:rsidRPr="00B97F89">
        <w:rPr>
          <w:rFonts w:asciiTheme="minorHAnsi" w:hAnsiTheme="minorHAnsi"/>
          <w:szCs w:val="24"/>
        </w:rPr>
        <w:t>Goal:</w:t>
      </w:r>
      <w:r w:rsidRPr="00B97F89">
        <w:rPr>
          <w:rFonts w:asciiTheme="minorHAnsi" w:hAnsiTheme="minorHAnsi"/>
          <w:szCs w:val="24"/>
        </w:rPr>
        <w:tab/>
      </w:r>
      <w:r w:rsidRPr="00B97F89">
        <w:rPr>
          <w:rFonts w:asciiTheme="minorHAnsi" w:hAnsiTheme="minorHAnsi"/>
          <w:szCs w:val="24"/>
        </w:rPr>
        <w:tab/>
        <w:t>20.0%</w:t>
      </w:r>
    </w:p>
    <w:p w:rsidR="00B97F89" w:rsidRDefault="00B97F89" w:rsidP="00B97F89"/>
    <w:p w:rsidR="00B97F89" w:rsidRDefault="00B97F89" w:rsidP="00B97F89">
      <w:r>
        <w:rPr>
          <w:noProof/>
          <w:lang w:eastAsia="en-GB"/>
        </w:rPr>
        <w:drawing>
          <wp:inline distT="0" distB="0" distL="0" distR="0" wp14:anchorId="1C135A70" wp14:editId="64946F13">
            <wp:extent cx="5781675" cy="3600450"/>
            <wp:effectExtent l="0" t="0" r="9525" b="0"/>
            <wp:docPr id="1"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B97F89" w:rsidRDefault="00B97F89" w:rsidP="00B97F89"/>
    <w:p w:rsidR="00B97F89" w:rsidRPr="00B97F89" w:rsidRDefault="00B97F89" w:rsidP="00B97F89">
      <w:pPr>
        <w:rPr>
          <w:rFonts w:asciiTheme="minorHAnsi" w:hAnsiTheme="minorHAnsi"/>
          <w:u w:val="single"/>
        </w:rPr>
      </w:pPr>
      <w:r w:rsidRPr="00B97F89">
        <w:rPr>
          <w:rFonts w:asciiTheme="minorHAnsi" w:hAnsiTheme="minorHAnsi"/>
          <w:u w:val="single"/>
        </w:rPr>
        <w:t>Normal Births</w:t>
      </w:r>
    </w:p>
    <w:p w:rsidR="00B97F89" w:rsidRPr="00B97F89" w:rsidRDefault="00B97F89" w:rsidP="00B97F89">
      <w:pPr>
        <w:rPr>
          <w:rFonts w:asciiTheme="minorHAnsi" w:hAnsiTheme="minorHAnsi"/>
          <w:sz w:val="20"/>
        </w:rPr>
      </w:pPr>
      <w:r w:rsidRPr="00B97F89">
        <w:rPr>
          <w:rFonts w:asciiTheme="minorHAnsi" w:hAnsiTheme="minorHAnsi"/>
          <w:sz w:val="20"/>
        </w:rPr>
        <w:t>Numerator:</w:t>
      </w:r>
      <w:r w:rsidRPr="00B97F89">
        <w:rPr>
          <w:rFonts w:asciiTheme="minorHAnsi" w:hAnsiTheme="minorHAnsi"/>
          <w:sz w:val="20"/>
        </w:rPr>
        <w:tab/>
        <w:t>Total number of SVD births</w:t>
      </w:r>
    </w:p>
    <w:p w:rsidR="00B97F89" w:rsidRPr="00B97F89" w:rsidRDefault="00B97F89" w:rsidP="00B97F89">
      <w:pPr>
        <w:rPr>
          <w:rFonts w:asciiTheme="minorHAnsi" w:hAnsiTheme="minorHAnsi"/>
          <w:sz w:val="20"/>
        </w:rPr>
      </w:pPr>
      <w:r w:rsidRPr="00B97F89">
        <w:rPr>
          <w:rFonts w:asciiTheme="minorHAnsi" w:hAnsiTheme="minorHAnsi"/>
          <w:sz w:val="20"/>
        </w:rPr>
        <w:t>Denominator:</w:t>
      </w:r>
      <w:r w:rsidRPr="00B97F89">
        <w:rPr>
          <w:rFonts w:asciiTheme="minorHAnsi" w:hAnsiTheme="minorHAnsi"/>
          <w:sz w:val="20"/>
        </w:rPr>
        <w:tab/>
        <w:t>Total number of births</w:t>
      </w:r>
    </w:p>
    <w:p w:rsidR="00B97F89" w:rsidRPr="00B97F89" w:rsidRDefault="00B97F89" w:rsidP="00B97F89">
      <w:pPr>
        <w:rPr>
          <w:rFonts w:asciiTheme="minorHAnsi" w:hAnsiTheme="minorHAnsi"/>
          <w:sz w:val="20"/>
        </w:rPr>
      </w:pPr>
      <w:r w:rsidRPr="00B97F89">
        <w:rPr>
          <w:rFonts w:asciiTheme="minorHAnsi" w:hAnsiTheme="minorHAnsi"/>
          <w:sz w:val="20"/>
        </w:rPr>
        <w:t>Goal:</w:t>
      </w:r>
      <w:r w:rsidRPr="00B97F89">
        <w:rPr>
          <w:rFonts w:asciiTheme="minorHAnsi" w:hAnsiTheme="minorHAnsi"/>
          <w:sz w:val="20"/>
        </w:rPr>
        <w:tab/>
      </w:r>
      <w:r w:rsidRPr="00B97F89">
        <w:rPr>
          <w:rFonts w:asciiTheme="minorHAnsi" w:hAnsiTheme="minorHAnsi"/>
          <w:sz w:val="20"/>
        </w:rPr>
        <w:tab/>
        <w:t>60.0%</w:t>
      </w:r>
    </w:p>
    <w:p w:rsidR="00B97F89" w:rsidRDefault="00B97F89" w:rsidP="00B97F89"/>
    <w:p w:rsidR="00B97F89" w:rsidRDefault="00B97F89" w:rsidP="00B97F89">
      <w:r>
        <w:rPr>
          <w:noProof/>
          <w:lang w:eastAsia="en-GB"/>
        </w:rPr>
        <w:drawing>
          <wp:inline distT="0" distB="0" distL="0" distR="0" wp14:anchorId="54ABBB30" wp14:editId="271FE9A1">
            <wp:extent cx="5731510" cy="3524250"/>
            <wp:effectExtent l="0" t="0" r="2540" b="0"/>
            <wp:docPr id="6" name="Chart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B97F89" w:rsidRDefault="00B97F89" w:rsidP="00B97F89"/>
    <w:p w:rsidR="00B97F89" w:rsidRDefault="00B97F89" w:rsidP="00B97F89">
      <w:pPr>
        <w:rPr>
          <w:u w:val="single"/>
        </w:rPr>
      </w:pPr>
      <w:r>
        <w:rPr>
          <w:u w:val="single"/>
        </w:rPr>
        <w:br w:type="page"/>
      </w:r>
    </w:p>
    <w:p w:rsidR="00B97F89" w:rsidRDefault="00B97F89" w:rsidP="00B97F89">
      <w:pPr>
        <w:rPr>
          <w:u w:val="single"/>
        </w:rPr>
      </w:pPr>
    </w:p>
    <w:p w:rsidR="00B97F89" w:rsidRDefault="00B97F89" w:rsidP="00B97F89">
      <w:pPr>
        <w:rPr>
          <w:u w:val="single"/>
        </w:rPr>
      </w:pPr>
    </w:p>
    <w:p w:rsidR="00B97F89" w:rsidRPr="00B97F89" w:rsidRDefault="00B97F89" w:rsidP="00B97F89">
      <w:pPr>
        <w:rPr>
          <w:rFonts w:asciiTheme="minorHAnsi" w:hAnsiTheme="minorHAnsi"/>
          <w:u w:val="single"/>
        </w:rPr>
      </w:pPr>
      <w:r w:rsidRPr="00B97F89">
        <w:rPr>
          <w:rFonts w:asciiTheme="minorHAnsi" w:hAnsiTheme="minorHAnsi"/>
          <w:u w:val="single"/>
        </w:rPr>
        <w:t>Low Risk Women Commencing NLP</w:t>
      </w:r>
    </w:p>
    <w:p w:rsidR="00B97F89" w:rsidRPr="00B97F89" w:rsidRDefault="00B97F89" w:rsidP="00B97F89">
      <w:pPr>
        <w:rPr>
          <w:rFonts w:asciiTheme="minorHAnsi" w:hAnsiTheme="minorHAnsi"/>
          <w:sz w:val="20"/>
        </w:rPr>
      </w:pPr>
      <w:r w:rsidRPr="00B97F89">
        <w:rPr>
          <w:rFonts w:asciiTheme="minorHAnsi" w:hAnsiTheme="minorHAnsi"/>
          <w:sz w:val="20"/>
        </w:rPr>
        <w:t>Numerator:</w:t>
      </w:r>
      <w:r w:rsidRPr="00B97F89">
        <w:rPr>
          <w:rFonts w:asciiTheme="minorHAnsi" w:hAnsiTheme="minorHAnsi"/>
          <w:sz w:val="20"/>
        </w:rPr>
        <w:tab/>
        <w:t>Total number of women commencing NLP</w:t>
      </w:r>
    </w:p>
    <w:p w:rsidR="00B97F89" w:rsidRPr="00B97F89" w:rsidRDefault="00B97F89" w:rsidP="00B97F89">
      <w:pPr>
        <w:rPr>
          <w:rFonts w:asciiTheme="minorHAnsi" w:hAnsiTheme="minorHAnsi"/>
          <w:sz w:val="20"/>
        </w:rPr>
      </w:pPr>
      <w:r w:rsidRPr="00B97F89">
        <w:rPr>
          <w:rFonts w:asciiTheme="minorHAnsi" w:hAnsiTheme="minorHAnsi"/>
          <w:sz w:val="20"/>
        </w:rPr>
        <w:t>Denominator:</w:t>
      </w:r>
      <w:r w:rsidRPr="00B97F89">
        <w:rPr>
          <w:rFonts w:asciiTheme="minorHAnsi" w:hAnsiTheme="minorHAnsi"/>
          <w:sz w:val="20"/>
        </w:rPr>
        <w:tab/>
        <w:t>Total number of women delivering</w:t>
      </w:r>
    </w:p>
    <w:p w:rsidR="00B97F89" w:rsidRPr="00B97F89" w:rsidRDefault="00B97F89" w:rsidP="00B97F89">
      <w:pPr>
        <w:rPr>
          <w:rFonts w:asciiTheme="minorHAnsi" w:hAnsiTheme="minorHAnsi"/>
          <w:sz w:val="20"/>
        </w:rPr>
      </w:pPr>
      <w:r w:rsidRPr="00B97F89">
        <w:rPr>
          <w:rFonts w:asciiTheme="minorHAnsi" w:hAnsiTheme="minorHAnsi"/>
          <w:sz w:val="20"/>
        </w:rPr>
        <w:t>Goal:</w:t>
      </w:r>
      <w:r w:rsidRPr="00B97F89">
        <w:rPr>
          <w:rFonts w:asciiTheme="minorHAnsi" w:hAnsiTheme="minorHAnsi"/>
          <w:sz w:val="20"/>
        </w:rPr>
        <w:tab/>
      </w:r>
      <w:r w:rsidRPr="00B97F89">
        <w:rPr>
          <w:rFonts w:asciiTheme="minorHAnsi" w:hAnsiTheme="minorHAnsi"/>
          <w:sz w:val="20"/>
        </w:rPr>
        <w:tab/>
        <w:t>35.0%</w:t>
      </w:r>
    </w:p>
    <w:p w:rsidR="00B97F89" w:rsidRDefault="00B97F89" w:rsidP="00B97F89"/>
    <w:p w:rsidR="00B97F89" w:rsidRDefault="00B97F89" w:rsidP="00B97F89">
      <w:r>
        <w:rPr>
          <w:noProof/>
          <w:lang w:eastAsia="en-GB"/>
        </w:rPr>
        <w:drawing>
          <wp:inline distT="0" distB="0" distL="0" distR="0" wp14:anchorId="37DCF9D0" wp14:editId="33687D06">
            <wp:extent cx="5829300" cy="3305175"/>
            <wp:effectExtent l="0" t="0" r="19050" b="9525"/>
            <wp:docPr id="7" name="Chart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B97F89" w:rsidRDefault="00B97F89" w:rsidP="00B97F89"/>
    <w:p w:rsidR="00B97F89" w:rsidRPr="00B97F89" w:rsidRDefault="00B97F89" w:rsidP="00B97F89">
      <w:pPr>
        <w:rPr>
          <w:rFonts w:asciiTheme="minorHAnsi" w:hAnsiTheme="minorHAnsi"/>
          <w:szCs w:val="24"/>
          <w:u w:val="single"/>
        </w:rPr>
      </w:pPr>
      <w:r w:rsidRPr="00B97F89">
        <w:rPr>
          <w:rFonts w:asciiTheme="minorHAnsi" w:hAnsiTheme="minorHAnsi"/>
          <w:szCs w:val="24"/>
          <w:u w:val="single"/>
        </w:rPr>
        <w:t>Low Risk Women Commencing and Completing NLP</w:t>
      </w:r>
    </w:p>
    <w:p w:rsidR="00B97F89" w:rsidRPr="00B97F89" w:rsidRDefault="00B97F89" w:rsidP="00B97F89">
      <w:pPr>
        <w:rPr>
          <w:rFonts w:asciiTheme="minorHAnsi" w:hAnsiTheme="minorHAnsi"/>
          <w:szCs w:val="24"/>
        </w:rPr>
      </w:pPr>
      <w:r w:rsidRPr="00B97F89">
        <w:rPr>
          <w:rFonts w:asciiTheme="minorHAnsi" w:hAnsiTheme="minorHAnsi"/>
          <w:szCs w:val="24"/>
        </w:rPr>
        <w:t>Numerator:</w:t>
      </w:r>
      <w:r w:rsidRPr="00B97F89">
        <w:rPr>
          <w:rFonts w:asciiTheme="minorHAnsi" w:hAnsiTheme="minorHAnsi"/>
          <w:szCs w:val="24"/>
        </w:rPr>
        <w:tab/>
        <w:t>Total number of women completed NLP</w:t>
      </w:r>
    </w:p>
    <w:p w:rsidR="00B97F89" w:rsidRPr="00B97F89" w:rsidRDefault="00B97F89" w:rsidP="00B97F89">
      <w:pPr>
        <w:rPr>
          <w:rFonts w:asciiTheme="minorHAnsi" w:hAnsiTheme="minorHAnsi"/>
          <w:szCs w:val="24"/>
        </w:rPr>
      </w:pPr>
      <w:r w:rsidRPr="00B97F89">
        <w:rPr>
          <w:rFonts w:asciiTheme="minorHAnsi" w:hAnsiTheme="minorHAnsi"/>
          <w:szCs w:val="24"/>
        </w:rPr>
        <w:t>Denominator:</w:t>
      </w:r>
      <w:r w:rsidRPr="00B97F89">
        <w:rPr>
          <w:rFonts w:asciiTheme="minorHAnsi" w:hAnsiTheme="minorHAnsi"/>
          <w:szCs w:val="24"/>
        </w:rPr>
        <w:tab/>
        <w:t>Total number of women commenced NLP</w:t>
      </w:r>
    </w:p>
    <w:p w:rsidR="00B97F89" w:rsidRPr="00B97F89" w:rsidRDefault="00B97F89" w:rsidP="00B97F89">
      <w:pPr>
        <w:rPr>
          <w:rFonts w:asciiTheme="minorHAnsi" w:hAnsiTheme="minorHAnsi"/>
          <w:szCs w:val="24"/>
        </w:rPr>
      </w:pPr>
      <w:r w:rsidRPr="00B97F89">
        <w:rPr>
          <w:rFonts w:asciiTheme="minorHAnsi" w:hAnsiTheme="minorHAnsi"/>
          <w:szCs w:val="24"/>
        </w:rPr>
        <w:t>Goal:</w:t>
      </w:r>
      <w:r w:rsidRPr="00B97F89">
        <w:rPr>
          <w:rFonts w:asciiTheme="minorHAnsi" w:hAnsiTheme="minorHAnsi"/>
          <w:szCs w:val="24"/>
        </w:rPr>
        <w:tab/>
      </w:r>
      <w:r w:rsidRPr="00B97F89">
        <w:rPr>
          <w:rFonts w:asciiTheme="minorHAnsi" w:hAnsiTheme="minorHAnsi"/>
          <w:szCs w:val="24"/>
        </w:rPr>
        <w:tab/>
        <w:t>30.0%</w:t>
      </w:r>
    </w:p>
    <w:p w:rsidR="00B97F89" w:rsidRDefault="00B97F89" w:rsidP="00B97F89"/>
    <w:p w:rsidR="00B97F89" w:rsidRDefault="00B97F89" w:rsidP="00B97F89">
      <w:r>
        <w:rPr>
          <w:noProof/>
          <w:lang w:eastAsia="en-GB"/>
        </w:rPr>
        <w:drawing>
          <wp:inline distT="0" distB="0" distL="0" distR="0" wp14:anchorId="4A912E90" wp14:editId="3EB42CEB">
            <wp:extent cx="5734050" cy="3152775"/>
            <wp:effectExtent l="0" t="0" r="19050" b="9525"/>
            <wp:docPr id="8" name="Chart 8"/>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00B97F89" w:rsidRDefault="00B97F89" w:rsidP="00B97F89">
      <w:pPr>
        <w:rPr>
          <w:u w:val="single"/>
        </w:rPr>
      </w:pPr>
    </w:p>
    <w:p w:rsidR="00B97F89" w:rsidRDefault="00B97F89" w:rsidP="00B97F89">
      <w:pPr>
        <w:rPr>
          <w:u w:val="single"/>
        </w:rPr>
      </w:pPr>
    </w:p>
    <w:p w:rsidR="00B97F89" w:rsidRDefault="00B97F89" w:rsidP="00B97F89">
      <w:pPr>
        <w:rPr>
          <w:u w:val="single"/>
        </w:rPr>
      </w:pPr>
    </w:p>
    <w:p w:rsidR="00B97F89" w:rsidRDefault="00B97F89" w:rsidP="00B97F89">
      <w:pPr>
        <w:rPr>
          <w:u w:val="single"/>
        </w:rPr>
      </w:pPr>
    </w:p>
    <w:p w:rsidR="00B97F89" w:rsidRDefault="00B97F89" w:rsidP="00B97F89">
      <w:pPr>
        <w:rPr>
          <w:u w:val="single"/>
        </w:rPr>
      </w:pPr>
    </w:p>
    <w:p w:rsidR="00B97F89" w:rsidRDefault="00B97F89" w:rsidP="00B97F89">
      <w:pPr>
        <w:rPr>
          <w:u w:val="single"/>
        </w:rPr>
      </w:pPr>
    </w:p>
    <w:p w:rsidR="00B97F89" w:rsidRDefault="00B97F89" w:rsidP="00B97F89">
      <w:pPr>
        <w:rPr>
          <w:u w:val="single"/>
        </w:rPr>
      </w:pPr>
    </w:p>
    <w:p w:rsidR="00B97F89" w:rsidRDefault="00B97F89" w:rsidP="00B97F89">
      <w:pPr>
        <w:rPr>
          <w:u w:val="single"/>
        </w:rPr>
      </w:pPr>
    </w:p>
    <w:p w:rsidR="00B97F89" w:rsidRPr="00B97F89" w:rsidRDefault="00B97F89" w:rsidP="00B97F89">
      <w:pPr>
        <w:rPr>
          <w:rFonts w:asciiTheme="minorHAnsi" w:hAnsiTheme="minorHAnsi"/>
          <w:szCs w:val="24"/>
          <w:u w:val="single"/>
        </w:rPr>
      </w:pPr>
      <w:r w:rsidRPr="00B97F89">
        <w:rPr>
          <w:rFonts w:asciiTheme="minorHAnsi" w:hAnsiTheme="minorHAnsi"/>
          <w:szCs w:val="24"/>
          <w:u w:val="single"/>
        </w:rPr>
        <w:t>VBAC Attempted:</w:t>
      </w:r>
    </w:p>
    <w:p w:rsidR="00B97F89" w:rsidRPr="00B97F89" w:rsidRDefault="00B97F89" w:rsidP="00B97F89">
      <w:pPr>
        <w:ind w:left="1440" w:hanging="1440"/>
        <w:rPr>
          <w:rFonts w:asciiTheme="minorHAnsi" w:hAnsiTheme="minorHAnsi"/>
          <w:szCs w:val="24"/>
        </w:rPr>
      </w:pPr>
      <w:r w:rsidRPr="00B97F89">
        <w:rPr>
          <w:rFonts w:asciiTheme="minorHAnsi" w:hAnsiTheme="minorHAnsi"/>
          <w:szCs w:val="24"/>
        </w:rPr>
        <w:t>Total number of women with a previous CS deliverin</w:t>
      </w:r>
      <w:r>
        <w:rPr>
          <w:rFonts w:asciiTheme="minorHAnsi" w:hAnsiTheme="minorHAnsi"/>
          <w:szCs w:val="24"/>
        </w:rPr>
        <w:t xml:space="preserve">g by all modes, except Category </w:t>
      </w:r>
      <w:r w:rsidRPr="00B97F89">
        <w:rPr>
          <w:rFonts w:asciiTheme="minorHAnsi" w:hAnsiTheme="minorHAnsi"/>
          <w:szCs w:val="24"/>
        </w:rPr>
        <w:t>4 CS.</w:t>
      </w:r>
      <w:r>
        <w:rPr>
          <w:rFonts w:asciiTheme="minorHAnsi" w:hAnsiTheme="minorHAnsi"/>
          <w:szCs w:val="24"/>
        </w:rPr>
        <w:t xml:space="preserve">  </w:t>
      </w:r>
      <w:r w:rsidRPr="00B97F89">
        <w:rPr>
          <w:rFonts w:asciiTheme="minorHAnsi" w:hAnsiTheme="minorHAnsi"/>
          <w:szCs w:val="24"/>
        </w:rPr>
        <w:t>No goal set</w:t>
      </w:r>
    </w:p>
    <w:p w:rsidR="00B97F89" w:rsidRDefault="00B97F89" w:rsidP="00B97F89"/>
    <w:p w:rsidR="00B97F89" w:rsidRDefault="00B97F89" w:rsidP="00B97F89">
      <w:r>
        <w:rPr>
          <w:noProof/>
          <w:lang w:eastAsia="en-GB"/>
        </w:rPr>
        <w:drawing>
          <wp:inline distT="0" distB="0" distL="0" distR="0" wp14:anchorId="212C0EB6" wp14:editId="323D1FB4">
            <wp:extent cx="5734050" cy="3305175"/>
            <wp:effectExtent l="0" t="0" r="19050" b="9525"/>
            <wp:docPr id="9" name="Chart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rsidR="00B97F89" w:rsidRDefault="00B97F89" w:rsidP="00B97F89"/>
    <w:p w:rsidR="00B97F89" w:rsidRPr="00B97F89" w:rsidRDefault="00B97F89" w:rsidP="00B97F89">
      <w:pPr>
        <w:rPr>
          <w:rFonts w:asciiTheme="minorHAnsi" w:hAnsiTheme="minorHAnsi"/>
          <w:szCs w:val="24"/>
          <w:u w:val="single"/>
        </w:rPr>
      </w:pPr>
      <w:r w:rsidRPr="00B97F89">
        <w:rPr>
          <w:rFonts w:asciiTheme="minorHAnsi" w:hAnsiTheme="minorHAnsi"/>
          <w:szCs w:val="24"/>
          <w:u w:val="single"/>
        </w:rPr>
        <w:t>VBAC Success</w:t>
      </w:r>
    </w:p>
    <w:p w:rsidR="00B97F89" w:rsidRPr="00B97F89" w:rsidRDefault="00B97F89" w:rsidP="00B97F89">
      <w:pPr>
        <w:ind w:left="1440" w:hanging="1440"/>
        <w:rPr>
          <w:rFonts w:asciiTheme="minorHAnsi" w:hAnsiTheme="minorHAnsi"/>
          <w:szCs w:val="24"/>
        </w:rPr>
      </w:pPr>
      <w:r w:rsidRPr="00B97F89">
        <w:rPr>
          <w:rFonts w:asciiTheme="minorHAnsi" w:hAnsiTheme="minorHAnsi"/>
          <w:szCs w:val="24"/>
        </w:rPr>
        <w:t>Numerator:</w:t>
      </w:r>
      <w:r w:rsidRPr="00B97F89">
        <w:rPr>
          <w:rFonts w:asciiTheme="minorHAnsi" w:hAnsiTheme="minorHAnsi"/>
          <w:szCs w:val="24"/>
        </w:rPr>
        <w:tab/>
        <w:t>Total number of women with a previous CS delivering vaginally</w:t>
      </w:r>
    </w:p>
    <w:p w:rsidR="00B97F89" w:rsidRPr="00B97F89" w:rsidRDefault="00B97F89" w:rsidP="00B97F89">
      <w:pPr>
        <w:ind w:left="1440" w:hanging="1440"/>
        <w:rPr>
          <w:rFonts w:asciiTheme="minorHAnsi" w:hAnsiTheme="minorHAnsi"/>
          <w:szCs w:val="24"/>
        </w:rPr>
      </w:pPr>
      <w:r w:rsidRPr="00B97F89">
        <w:rPr>
          <w:rFonts w:asciiTheme="minorHAnsi" w:hAnsiTheme="minorHAnsi"/>
          <w:szCs w:val="24"/>
        </w:rPr>
        <w:t>Denominator:</w:t>
      </w:r>
      <w:r w:rsidRPr="00B97F89">
        <w:rPr>
          <w:rFonts w:asciiTheme="minorHAnsi" w:hAnsiTheme="minorHAnsi"/>
          <w:szCs w:val="24"/>
        </w:rPr>
        <w:tab/>
        <w:t>Total number of women with a previous CS delivering by all modes except Category 4 CS</w:t>
      </w:r>
    </w:p>
    <w:p w:rsidR="00B97F89" w:rsidRPr="00B97F89" w:rsidRDefault="00B97F89" w:rsidP="00B97F89">
      <w:pPr>
        <w:ind w:left="1440" w:hanging="1440"/>
        <w:rPr>
          <w:rFonts w:asciiTheme="minorHAnsi" w:hAnsiTheme="minorHAnsi"/>
          <w:szCs w:val="24"/>
        </w:rPr>
      </w:pPr>
      <w:r w:rsidRPr="00B97F89">
        <w:rPr>
          <w:rFonts w:asciiTheme="minorHAnsi" w:hAnsiTheme="minorHAnsi"/>
          <w:szCs w:val="24"/>
        </w:rPr>
        <w:t>Goal:</w:t>
      </w:r>
      <w:r w:rsidRPr="00B97F89">
        <w:rPr>
          <w:rFonts w:asciiTheme="minorHAnsi" w:hAnsiTheme="minorHAnsi"/>
          <w:szCs w:val="24"/>
        </w:rPr>
        <w:tab/>
        <w:t>75.0%</w:t>
      </w:r>
    </w:p>
    <w:p w:rsidR="00B97F89" w:rsidRDefault="00B97F89" w:rsidP="00B97F89">
      <w:pPr>
        <w:ind w:left="1440" w:hanging="1440"/>
      </w:pPr>
    </w:p>
    <w:p w:rsidR="00B97F89" w:rsidRDefault="00B97F89" w:rsidP="00B97F89">
      <w:r>
        <w:rPr>
          <w:noProof/>
          <w:lang w:eastAsia="en-GB"/>
        </w:rPr>
        <w:drawing>
          <wp:inline distT="0" distB="0" distL="0" distR="0" wp14:anchorId="6DF61015" wp14:editId="13D3F1B7">
            <wp:extent cx="5734050" cy="3333750"/>
            <wp:effectExtent l="0" t="0" r="19050" b="19050"/>
            <wp:docPr id="10" name="Chart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rsidR="00B97F89" w:rsidRDefault="00B97F89" w:rsidP="00B97F89">
      <w:pPr>
        <w:rPr>
          <w:u w:val="single"/>
        </w:rPr>
      </w:pPr>
    </w:p>
    <w:p w:rsidR="00B97F89" w:rsidRDefault="00B97F89" w:rsidP="00B97F89">
      <w:pPr>
        <w:rPr>
          <w:u w:val="single"/>
        </w:rPr>
      </w:pPr>
    </w:p>
    <w:p w:rsidR="00B97F89" w:rsidRDefault="00B97F89" w:rsidP="00B97F89">
      <w:pPr>
        <w:rPr>
          <w:u w:val="single"/>
        </w:rPr>
      </w:pPr>
    </w:p>
    <w:p w:rsidR="00B97F89" w:rsidRDefault="00B97F89" w:rsidP="00B97F89">
      <w:pPr>
        <w:rPr>
          <w:u w:val="single"/>
        </w:rPr>
      </w:pPr>
    </w:p>
    <w:p w:rsidR="00B97F89" w:rsidRDefault="00B97F89" w:rsidP="00B97F89">
      <w:pPr>
        <w:rPr>
          <w:u w:val="single"/>
        </w:rPr>
      </w:pPr>
    </w:p>
    <w:p w:rsidR="00B97F89" w:rsidRPr="00B97F89" w:rsidRDefault="00B97F89" w:rsidP="00B97F89">
      <w:pPr>
        <w:rPr>
          <w:rFonts w:asciiTheme="minorHAnsi" w:hAnsiTheme="minorHAnsi"/>
          <w:szCs w:val="24"/>
          <w:u w:val="single"/>
        </w:rPr>
      </w:pPr>
      <w:r w:rsidRPr="00B97F89">
        <w:rPr>
          <w:rFonts w:asciiTheme="minorHAnsi" w:hAnsiTheme="minorHAnsi"/>
          <w:szCs w:val="24"/>
          <w:u w:val="single"/>
        </w:rPr>
        <w:t>Instrumental Deliveries</w:t>
      </w:r>
    </w:p>
    <w:p w:rsidR="00B97F89" w:rsidRPr="00B97F89" w:rsidRDefault="00B97F89" w:rsidP="00B97F89">
      <w:pPr>
        <w:rPr>
          <w:rFonts w:asciiTheme="minorHAnsi" w:hAnsiTheme="minorHAnsi"/>
          <w:szCs w:val="24"/>
        </w:rPr>
      </w:pPr>
      <w:r w:rsidRPr="00B97F89">
        <w:rPr>
          <w:rFonts w:asciiTheme="minorHAnsi" w:hAnsiTheme="minorHAnsi"/>
          <w:szCs w:val="24"/>
        </w:rPr>
        <w:t>Numerator:</w:t>
      </w:r>
      <w:r w:rsidRPr="00B97F89">
        <w:rPr>
          <w:rFonts w:asciiTheme="minorHAnsi" w:hAnsiTheme="minorHAnsi"/>
          <w:szCs w:val="24"/>
        </w:rPr>
        <w:tab/>
        <w:t>Total number of forceps or ventouse births</w:t>
      </w:r>
    </w:p>
    <w:p w:rsidR="00B97F89" w:rsidRPr="00B97F89" w:rsidRDefault="00B97F89" w:rsidP="00B97F89">
      <w:pPr>
        <w:rPr>
          <w:rFonts w:asciiTheme="minorHAnsi" w:hAnsiTheme="minorHAnsi"/>
          <w:szCs w:val="24"/>
        </w:rPr>
      </w:pPr>
      <w:r w:rsidRPr="00B97F89">
        <w:rPr>
          <w:rFonts w:asciiTheme="minorHAnsi" w:hAnsiTheme="minorHAnsi"/>
          <w:szCs w:val="24"/>
        </w:rPr>
        <w:t>Denominator:</w:t>
      </w:r>
      <w:r w:rsidRPr="00B97F89">
        <w:rPr>
          <w:rFonts w:asciiTheme="minorHAnsi" w:hAnsiTheme="minorHAnsi"/>
          <w:szCs w:val="24"/>
        </w:rPr>
        <w:tab/>
        <w:t>Total number of births</w:t>
      </w:r>
    </w:p>
    <w:p w:rsidR="00B97F89" w:rsidRPr="00B97F89" w:rsidRDefault="00B97F89" w:rsidP="00B97F89">
      <w:pPr>
        <w:rPr>
          <w:rFonts w:asciiTheme="minorHAnsi" w:hAnsiTheme="minorHAnsi"/>
          <w:szCs w:val="24"/>
        </w:rPr>
      </w:pPr>
      <w:r w:rsidRPr="00B97F89">
        <w:rPr>
          <w:rFonts w:asciiTheme="minorHAnsi" w:hAnsiTheme="minorHAnsi"/>
          <w:szCs w:val="24"/>
        </w:rPr>
        <w:t>Goal:</w:t>
      </w:r>
      <w:r w:rsidRPr="00B97F89">
        <w:rPr>
          <w:rFonts w:asciiTheme="minorHAnsi" w:hAnsiTheme="minorHAnsi"/>
          <w:szCs w:val="24"/>
        </w:rPr>
        <w:tab/>
      </w:r>
      <w:r w:rsidRPr="00B97F89">
        <w:rPr>
          <w:rFonts w:asciiTheme="minorHAnsi" w:hAnsiTheme="minorHAnsi"/>
          <w:szCs w:val="24"/>
        </w:rPr>
        <w:tab/>
        <w:t>10.0% - 14.0%</w:t>
      </w:r>
    </w:p>
    <w:p w:rsidR="00B97F89" w:rsidRPr="00B97F89" w:rsidRDefault="00B97F89" w:rsidP="00B97F89">
      <w:pPr>
        <w:rPr>
          <w:rFonts w:asciiTheme="minorHAnsi" w:hAnsiTheme="minorHAnsi"/>
          <w:szCs w:val="24"/>
        </w:rPr>
      </w:pPr>
    </w:p>
    <w:p w:rsidR="00B97F89" w:rsidRDefault="00B97F89" w:rsidP="00B97F89">
      <w:r>
        <w:rPr>
          <w:noProof/>
          <w:lang w:eastAsia="en-GB"/>
        </w:rPr>
        <w:drawing>
          <wp:inline distT="0" distB="0" distL="0" distR="0" wp14:anchorId="44ECA52A" wp14:editId="49A29C12">
            <wp:extent cx="5731510" cy="3006436"/>
            <wp:effectExtent l="0" t="0" r="2540" b="3810"/>
            <wp:docPr id="11" name="Chart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rsidR="00B97F89" w:rsidRDefault="00B97F89" w:rsidP="00B97F89"/>
    <w:p w:rsidR="00B97F89" w:rsidRDefault="00B97F89" w:rsidP="00B97F89">
      <w:pPr>
        <w:rPr>
          <w:u w:val="single"/>
        </w:rPr>
      </w:pPr>
    </w:p>
    <w:p w:rsidR="00B97F89" w:rsidRPr="00B97F89" w:rsidRDefault="00B97F89" w:rsidP="00B97F89">
      <w:pPr>
        <w:rPr>
          <w:rFonts w:asciiTheme="minorHAnsi" w:hAnsiTheme="minorHAnsi"/>
          <w:szCs w:val="24"/>
          <w:u w:val="single"/>
        </w:rPr>
      </w:pPr>
      <w:r w:rsidRPr="00B97F89">
        <w:rPr>
          <w:rFonts w:asciiTheme="minorHAnsi" w:hAnsiTheme="minorHAnsi"/>
          <w:szCs w:val="24"/>
          <w:u w:val="single"/>
        </w:rPr>
        <w:t>Elective CS – Category 4</w:t>
      </w:r>
    </w:p>
    <w:p w:rsidR="00B97F89" w:rsidRPr="00B97F89" w:rsidRDefault="00B97F89" w:rsidP="00B97F89">
      <w:pPr>
        <w:rPr>
          <w:rFonts w:asciiTheme="minorHAnsi" w:hAnsiTheme="minorHAnsi"/>
          <w:szCs w:val="24"/>
        </w:rPr>
      </w:pPr>
      <w:r w:rsidRPr="00B97F89">
        <w:rPr>
          <w:rFonts w:asciiTheme="minorHAnsi" w:hAnsiTheme="minorHAnsi"/>
          <w:szCs w:val="24"/>
        </w:rPr>
        <w:t>Numerator:</w:t>
      </w:r>
      <w:r w:rsidRPr="00B97F89">
        <w:rPr>
          <w:rFonts w:asciiTheme="minorHAnsi" w:hAnsiTheme="minorHAnsi"/>
          <w:szCs w:val="24"/>
        </w:rPr>
        <w:tab/>
        <w:t>Total number of women delivering by Category 4</w:t>
      </w:r>
    </w:p>
    <w:p w:rsidR="00B97F89" w:rsidRPr="00B97F89" w:rsidRDefault="00B97F89" w:rsidP="00B97F89">
      <w:pPr>
        <w:rPr>
          <w:rFonts w:asciiTheme="minorHAnsi" w:hAnsiTheme="minorHAnsi"/>
          <w:szCs w:val="24"/>
        </w:rPr>
      </w:pPr>
      <w:r w:rsidRPr="00B97F89">
        <w:rPr>
          <w:rFonts w:asciiTheme="minorHAnsi" w:hAnsiTheme="minorHAnsi"/>
          <w:szCs w:val="24"/>
        </w:rPr>
        <w:t>Denominator:</w:t>
      </w:r>
      <w:r w:rsidRPr="00B97F89">
        <w:rPr>
          <w:rFonts w:asciiTheme="minorHAnsi" w:hAnsiTheme="minorHAnsi"/>
          <w:szCs w:val="24"/>
        </w:rPr>
        <w:tab/>
        <w:t>Total number of women delivering</w:t>
      </w:r>
    </w:p>
    <w:p w:rsidR="00B97F89" w:rsidRPr="00B97F89" w:rsidRDefault="00B97F89" w:rsidP="00B97F89">
      <w:pPr>
        <w:rPr>
          <w:rFonts w:asciiTheme="minorHAnsi" w:hAnsiTheme="minorHAnsi"/>
          <w:szCs w:val="24"/>
        </w:rPr>
      </w:pPr>
      <w:r w:rsidRPr="00B97F89">
        <w:rPr>
          <w:rFonts w:asciiTheme="minorHAnsi" w:hAnsiTheme="minorHAnsi"/>
          <w:szCs w:val="24"/>
        </w:rPr>
        <w:t>Goal:</w:t>
      </w:r>
      <w:r w:rsidRPr="00B97F89">
        <w:rPr>
          <w:rFonts w:asciiTheme="minorHAnsi" w:hAnsiTheme="minorHAnsi"/>
          <w:szCs w:val="24"/>
        </w:rPr>
        <w:tab/>
      </w:r>
      <w:r w:rsidRPr="00B97F89">
        <w:rPr>
          <w:rFonts w:asciiTheme="minorHAnsi" w:hAnsiTheme="minorHAnsi"/>
          <w:szCs w:val="24"/>
        </w:rPr>
        <w:tab/>
        <w:t>10.0%</w:t>
      </w:r>
    </w:p>
    <w:p w:rsidR="00B97F89" w:rsidRPr="00B97F89" w:rsidRDefault="00B97F89" w:rsidP="00B97F89">
      <w:pPr>
        <w:rPr>
          <w:rFonts w:asciiTheme="minorHAnsi" w:hAnsiTheme="minorHAnsi"/>
          <w:noProof/>
          <w:szCs w:val="24"/>
          <w:lang w:eastAsia="en-GB"/>
        </w:rPr>
      </w:pPr>
      <w:r w:rsidRPr="00B97F89">
        <w:rPr>
          <w:rFonts w:asciiTheme="minorHAnsi" w:hAnsiTheme="minorHAnsi"/>
          <w:noProof/>
          <w:szCs w:val="24"/>
          <w:lang w:eastAsia="en-GB"/>
        </w:rPr>
        <w:t>Please note:</w:t>
      </w:r>
      <w:r w:rsidRPr="00B97F89">
        <w:rPr>
          <w:rFonts w:asciiTheme="minorHAnsi" w:hAnsiTheme="minorHAnsi"/>
          <w:noProof/>
          <w:szCs w:val="24"/>
          <w:lang w:eastAsia="en-GB"/>
        </w:rPr>
        <w:tab/>
        <w:t>Previously reported Electives as Category 3 and 4, now reporting as Category 4 only</w:t>
      </w:r>
    </w:p>
    <w:p w:rsidR="00B97F89" w:rsidRPr="00AA49AE" w:rsidRDefault="00B97F89" w:rsidP="00B97F89">
      <w:pPr>
        <w:rPr>
          <w:noProof/>
          <w:sz w:val="20"/>
          <w:lang w:eastAsia="en-GB"/>
        </w:rPr>
      </w:pPr>
    </w:p>
    <w:p w:rsidR="00B97F89" w:rsidRDefault="00B97F89" w:rsidP="00B97F89">
      <w:r>
        <w:rPr>
          <w:noProof/>
          <w:lang w:eastAsia="en-GB"/>
        </w:rPr>
        <w:drawing>
          <wp:inline distT="0" distB="0" distL="0" distR="0" wp14:anchorId="3689359C" wp14:editId="48DA6F4C">
            <wp:extent cx="5734050" cy="2981325"/>
            <wp:effectExtent l="0" t="0" r="19050" b="9525"/>
            <wp:docPr id="12" name="Chart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rsidR="00B97F89" w:rsidRDefault="00B97F89" w:rsidP="00B97F89"/>
    <w:p w:rsidR="00B97F89" w:rsidRDefault="00B97F89" w:rsidP="00B97F89">
      <w:pPr>
        <w:rPr>
          <w:rFonts w:asciiTheme="minorHAnsi" w:hAnsiTheme="minorHAnsi"/>
          <w:szCs w:val="24"/>
          <w:u w:val="single"/>
        </w:rPr>
      </w:pPr>
    </w:p>
    <w:p w:rsidR="00B97F89" w:rsidRDefault="00B97F89" w:rsidP="00B97F89">
      <w:pPr>
        <w:rPr>
          <w:rFonts w:asciiTheme="minorHAnsi" w:hAnsiTheme="minorHAnsi"/>
          <w:szCs w:val="24"/>
          <w:u w:val="single"/>
        </w:rPr>
      </w:pPr>
    </w:p>
    <w:p w:rsidR="00B97F89" w:rsidRDefault="00B97F89" w:rsidP="00B97F89">
      <w:pPr>
        <w:rPr>
          <w:rFonts w:asciiTheme="minorHAnsi" w:hAnsiTheme="minorHAnsi"/>
          <w:szCs w:val="24"/>
          <w:u w:val="single"/>
        </w:rPr>
      </w:pPr>
    </w:p>
    <w:p w:rsidR="00B97F89" w:rsidRDefault="00B97F89" w:rsidP="00B97F89">
      <w:pPr>
        <w:rPr>
          <w:rFonts w:asciiTheme="minorHAnsi" w:hAnsiTheme="minorHAnsi"/>
          <w:szCs w:val="24"/>
          <w:u w:val="single"/>
        </w:rPr>
      </w:pPr>
    </w:p>
    <w:p w:rsidR="00B97F89" w:rsidRDefault="00B97F89" w:rsidP="00B97F89">
      <w:pPr>
        <w:rPr>
          <w:rFonts w:asciiTheme="minorHAnsi" w:hAnsiTheme="minorHAnsi"/>
          <w:szCs w:val="24"/>
          <w:u w:val="single"/>
        </w:rPr>
      </w:pPr>
    </w:p>
    <w:p w:rsidR="00B97F89" w:rsidRDefault="00B97F89" w:rsidP="00B97F89">
      <w:pPr>
        <w:rPr>
          <w:rFonts w:asciiTheme="minorHAnsi" w:hAnsiTheme="minorHAnsi"/>
          <w:szCs w:val="24"/>
          <w:u w:val="single"/>
        </w:rPr>
      </w:pPr>
    </w:p>
    <w:p w:rsidR="00B97F89" w:rsidRPr="00B97F89" w:rsidRDefault="00B97F89" w:rsidP="00B97F89">
      <w:pPr>
        <w:rPr>
          <w:rFonts w:asciiTheme="minorHAnsi" w:hAnsiTheme="minorHAnsi"/>
          <w:szCs w:val="24"/>
          <w:u w:val="single"/>
        </w:rPr>
      </w:pPr>
      <w:r w:rsidRPr="00B97F89">
        <w:rPr>
          <w:rFonts w:asciiTheme="minorHAnsi" w:hAnsiTheme="minorHAnsi"/>
          <w:szCs w:val="24"/>
          <w:u w:val="single"/>
        </w:rPr>
        <w:t>Emergency CS – Categories 1, 2 &amp; 3</w:t>
      </w:r>
    </w:p>
    <w:p w:rsidR="00B97F89" w:rsidRPr="00B97F89" w:rsidRDefault="00B97F89" w:rsidP="00B97F89">
      <w:pPr>
        <w:rPr>
          <w:rFonts w:asciiTheme="minorHAnsi" w:hAnsiTheme="minorHAnsi"/>
          <w:szCs w:val="24"/>
        </w:rPr>
      </w:pPr>
    </w:p>
    <w:p w:rsidR="00B97F89" w:rsidRPr="00B97F89" w:rsidRDefault="00B97F89" w:rsidP="00B97F89">
      <w:pPr>
        <w:rPr>
          <w:rFonts w:asciiTheme="minorHAnsi" w:hAnsiTheme="minorHAnsi"/>
          <w:szCs w:val="24"/>
        </w:rPr>
      </w:pPr>
      <w:r w:rsidRPr="00B97F89">
        <w:rPr>
          <w:rFonts w:asciiTheme="minorHAnsi" w:hAnsiTheme="minorHAnsi"/>
          <w:szCs w:val="24"/>
        </w:rPr>
        <w:t>Numerator:</w:t>
      </w:r>
      <w:r w:rsidRPr="00B97F89">
        <w:rPr>
          <w:rFonts w:asciiTheme="minorHAnsi" w:hAnsiTheme="minorHAnsi"/>
          <w:szCs w:val="24"/>
        </w:rPr>
        <w:tab/>
        <w:t>Total number of women delivering by Category 1, 2 or 3</w:t>
      </w:r>
    </w:p>
    <w:p w:rsidR="00B97F89" w:rsidRPr="00B97F89" w:rsidRDefault="00B97F89" w:rsidP="00B97F89">
      <w:pPr>
        <w:rPr>
          <w:rFonts w:asciiTheme="minorHAnsi" w:hAnsiTheme="minorHAnsi"/>
          <w:szCs w:val="24"/>
        </w:rPr>
      </w:pPr>
      <w:r w:rsidRPr="00B97F89">
        <w:rPr>
          <w:rFonts w:asciiTheme="minorHAnsi" w:hAnsiTheme="minorHAnsi"/>
          <w:szCs w:val="24"/>
        </w:rPr>
        <w:t>Denominator:</w:t>
      </w:r>
      <w:r w:rsidRPr="00B97F89">
        <w:rPr>
          <w:rFonts w:asciiTheme="minorHAnsi" w:hAnsiTheme="minorHAnsi"/>
          <w:szCs w:val="24"/>
        </w:rPr>
        <w:tab/>
        <w:t>Total number of women delivering</w:t>
      </w:r>
    </w:p>
    <w:p w:rsidR="00B97F89" w:rsidRPr="00B97F89" w:rsidRDefault="00B97F89" w:rsidP="00B97F89">
      <w:pPr>
        <w:rPr>
          <w:rFonts w:asciiTheme="minorHAnsi" w:hAnsiTheme="minorHAnsi"/>
          <w:szCs w:val="24"/>
        </w:rPr>
      </w:pPr>
      <w:r w:rsidRPr="00B97F89">
        <w:rPr>
          <w:rFonts w:asciiTheme="minorHAnsi" w:hAnsiTheme="minorHAnsi"/>
          <w:szCs w:val="24"/>
        </w:rPr>
        <w:t>Goal:</w:t>
      </w:r>
      <w:r w:rsidRPr="00B97F89">
        <w:rPr>
          <w:rFonts w:asciiTheme="minorHAnsi" w:hAnsiTheme="minorHAnsi"/>
          <w:szCs w:val="24"/>
        </w:rPr>
        <w:tab/>
      </w:r>
      <w:r w:rsidRPr="00B97F89">
        <w:rPr>
          <w:rFonts w:asciiTheme="minorHAnsi" w:hAnsiTheme="minorHAnsi"/>
          <w:szCs w:val="24"/>
        </w:rPr>
        <w:tab/>
        <w:t>15.0%</w:t>
      </w:r>
    </w:p>
    <w:p w:rsidR="00B97F89" w:rsidRPr="00B97F89" w:rsidRDefault="00B97F89" w:rsidP="00B97F89">
      <w:pPr>
        <w:rPr>
          <w:rFonts w:asciiTheme="minorHAnsi" w:hAnsiTheme="minorHAnsi"/>
          <w:szCs w:val="24"/>
        </w:rPr>
      </w:pPr>
      <w:r w:rsidRPr="00B97F89">
        <w:rPr>
          <w:rFonts w:asciiTheme="minorHAnsi" w:hAnsiTheme="minorHAnsi"/>
          <w:szCs w:val="24"/>
        </w:rPr>
        <w:t>Please note:</w:t>
      </w:r>
      <w:r w:rsidRPr="00B97F89">
        <w:rPr>
          <w:rFonts w:asciiTheme="minorHAnsi" w:hAnsiTheme="minorHAnsi"/>
          <w:szCs w:val="24"/>
        </w:rPr>
        <w:tab/>
        <w:t>Previously reported Emergencies as Category 1 and 2, now reporting as Categories 1, 2 and 3</w:t>
      </w:r>
    </w:p>
    <w:p w:rsidR="00B97F89" w:rsidRPr="00AA49AE" w:rsidRDefault="00B97F89" w:rsidP="00B97F89">
      <w:pPr>
        <w:rPr>
          <w:sz w:val="20"/>
        </w:rPr>
      </w:pPr>
    </w:p>
    <w:p w:rsidR="00B97F89" w:rsidRDefault="00B97F89" w:rsidP="00B97F89">
      <w:r>
        <w:rPr>
          <w:noProof/>
          <w:lang w:eastAsia="en-GB"/>
        </w:rPr>
        <w:drawing>
          <wp:inline distT="0" distB="0" distL="0" distR="0" wp14:anchorId="7EEC9757" wp14:editId="5576D18D">
            <wp:extent cx="5734050" cy="3381375"/>
            <wp:effectExtent l="0" t="0" r="19050" b="9525"/>
            <wp:docPr id="13" name="Chart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rsidR="00B97F89" w:rsidRDefault="00B97F89" w:rsidP="00B97F89">
      <w:pPr>
        <w:rPr>
          <w:u w:val="single"/>
        </w:rPr>
      </w:pPr>
    </w:p>
    <w:p w:rsidR="00B97F89" w:rsidRDefault="00B97F89" w:rsidP="00B97F89">
      <w:pPr>
        <w:rPr>
          <w:u w:val="single"/>
        </w:rPr>
      </w:pPr>
    </w:p>
    <w:p w:rsidR="00B97F89" w:rsidRPr="00B97F89" w:rsidRDefault="00B97F89" w:rsidP="00B97F89">
      <w:pPr>
        <w:rPr>
          <w:rFonts w:asciiTheme="minorHAnsi" w:hAnsiTheme="minorHAnsi"/>
          <w:szCs w:val="24"/>
          <w:u w:val="single"/>
        </w:rPr>
      </w:pPr>
      <w:r w:rsidRPr="00B97F89">
        <w:rPr>
          <w:rFonts w:asciiTheme="minorHAnsi" w:hAnsiTheme="minorHAnsi"/>
          <w:szCs w:val="24"/>
          <w:u w:val="single"/>
        </w:rPr>
        <w:t>Total CS</w:t>
      </w:r>
    </w:p>
    <w:p w:rsidR="00B97F89" w:rsidRPr="00B97F89" w:rsidRDefault="00B97F89" w:rsidP="00B97F89">
      <w:pPr>
        <w:rPr>
          <w:rFonts w:asciiTheme="minorHAnsi" w:hAnsiTheme="minorHAnsi"/>
          <w:szCs w:val="24"/>
        </w:rPr>
      </w:pPr>
      <w:r w:rsidRPr="00B97F89">
        <w:rPr>
          <w:rFonts w:asciiTheme="minorHAnsi" w:hAnsiTheme="minorHAnsi"/>
          <w:szCs w:val="24"/>
        </w:rPr>
        <w:t>Numerator:</w:t>
      </w:r>
      <w:r w:rsidRPr="00B97F89">
        <w:rPr>
          <w:rFonts w:asciiTheme="minorHAnsi" w:hAnsiTheme="minorHAnsi"/>
          <w:szCs w:val="24"/>
        </w:rPr>
        <w:tab/>
        <w:t>Total number of women delivering by any category of CS</w:t>
      </w:r>
    </w:p>
    <w:p w:rsidR="00B97F89" w:rsidRPr="00B97F89" w:rsidRDefault="00B97F89" w:rsidP="00B97F89">
      <w:pPr>
        <w:rPr>
          <w:rFonts w:asciiTheme="minorHAnsi" w:hAnsiTheme="minorHAnsi"/>
          <w:szCs w:val="24"/>
        </w:rPr>
      </w:pPr>
      <w:r w:rsidRPr="00B97F89">
        <w:rPr>
          <w:rFonts w:asciiTheme="minorHAnsi" w:hAnsiTheme="minorHAnsi"/>
          <w:szCs w:val="24"/>
        </w:rPr>
        <w:t>Denominator:</w:t>
      </w:r>
      <w:r w:rsidRPr="00B97F89">
        <w:rPr>
          <w:rFonts w:asciiTheme="minorHAnsi" w:hAnsiTheme="minorHAnsi"/>
          <w:szCs w:val="24"/>
        </w:rPr>
        <w:tab/>
        <w:t>Total number of women delivering</w:t>
      </w:r>
    </w:p>
    <w:p w:rsidR="00B97F89" w:rsidRPr="00B97F89" w:rsidRDefault="00B97F89" w:rsidP="00B97F89">
      <w:pPr>
        <w:rPr>
          <w:rFonts w:asciiTheme="minorHAnsi" w:hAnsiTheme="minorHAnsi"/>
          <w:szCs w:val="24"/>
        </w:rPr>
      </w:pPr>
      <w:r w:rsidRPr="00B97F89">
        <w:rPr>
          <w:rFonts w:asciiTheme="minorHAnsi" w:hAnsiTheme="minorHAnsi"/>
          <w:szCs w:val="24"/>
        </w:rPr>
        <w:t>Goal:</w:t>
      </w:r>
      <w:r w:rsidRPr="00B97F89">
        <w:rPr>
          <w:rFonts w:asciiTheme="minorHAnsi" w:hAnsiTheme="minorHAnsi"/>
          <w:szCs w:val="24"/>
        </w:rPr>
        <w:tab/>
      </w:r>
      <w:r w:rsidRPr="00B97F89">
        <w:rPr>
          <w:rFonts w:asciiTheme="minorHAnsi" w:hAnsiTheme="minorHAnsi"/>
          <w:szCs w:val="24"/>
        </w:rPr>
        <w:tab/>
        <w:t>25.0%</w:t>
      </w:r>
    </w:p>
    <w:p w:rsidR="00B97F89" w:rsidRDefault="00B97F89" w:rsidP="00B97F89">
      <w:r>
        <w:t xml:space="preserve"> </w:t>
      </w:r>
      <w:r>
        <w:rPr>
          <w:noProof/>
          <w:lang w:eastAsia="en-GB"/>
        </w:rPr>
        <w:drawing>
          <wp:inline distT="0" distB="0" distL="0" distR="0" wp14:anchorId="4A51EC42" wp14:editId="06FDDC5C">
            <wp:extent cx="5731510" cy="3248025"/>
            <wp:effectExtent l="0" t="0" r="2540" b="9525"/>
            <wp:docPr id="14" name="Chart 14"/>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r>
        <w:br w:type="page"/>
      </w:r>
    </w:p>
    <w:p w:rsidR="00B97F89" w:rsidRDefault="00B97F89" w:rsidP="00B97F89">
      <w:pPr>
        <w:rPr>
          <w:rFonts w:asciiTheme="minorHAnsi" w:hAnsiTheme="minorHAnsi"/>
          <w:szCs w:val="24"/>
          <w:u w:val="single"/>
        </w:rPr>
      </w:pPr>
    </w:p>
    <w:p w:rsidR="00B97F89" w:rsidRDefault="00B97F89" w:rsidP="00B97F89">
      <w:pPr>
        <w:rPr>
          <w:rFonts w:asciiTheme="minorHAnsi" w:hAnsiTheme="minorHAnsi"/>
          <w:szCs w:val="24"/>
          <w:u w:val="single"/>
        </w:rPr>
      </w:pPr>
    </w:p>
    <w:p w:rsidR="00B97F89" w:rsidRPr="00B97F89" w:rsidRDefault="00B97F89" w:rsidP="00B97F89">
      <w:pPr>
        <w:rPr>
          <w:rFonts w:asciiTheme="minorHAnsi" w:hAnsiTheme="minorHAnsi"/>
          <w:szCs w:val="24"/>
          <w:u w:val="single"/>
        </w:rPr>
      </w:pPr>
      <w:r w:rsidRPr="00B97F89">
        <w:rPr>
          <w:rFonts w:asciiTheme="minorHAnsi" w:hAnsiTheme="minorHAnsi"/>
          <w:szCs w:val="24"/>
          <w:u w:val="single"/>
        </w:rPr>
        <w:t>3</w:t>
      </w:r>
      <w:r w:rsidRPr="00B97F89">
        <w:rPr>
          <w:rFonts w:asciiTheme="minorHAnsi" w:hAnsiTheme="minorHAnsi"/>
          <w:szCs w:val="24"/>
          <w:u w:val="single"/>
          <w:vertAlign w:val="superscript"/>
        </w:rPr>
        <w:t>rd</w:t>
      </w:r>
      <w:r w:rsidRPr="00B97F89">
        <w:rPr>
          <w:rFonts w:asciiTheme="minorHAnsi" w:hAnsiTheme="minorHAnsi"/>
          <w:szCs w:val="24"/>
          <w:u w:val="single"/>
        </w:rPr>
        <w:t>/4</w:t>
      </w:r>
      <w:r w:rsidRPr="00B97F89">
        <w:rPr>
          <w:rFonts w:asciiTheme="minorHAnsi" w:hAnsiTheme="minorHAnsi"/>
          <w:szCs w:val="24"/>
          <w:u w:val="single"/>
          <w:vertAlign w:val="superscript"/>
        </w:rPr>
        <w:t>th</w:t>
      </w:r>
      <w:r w:rsidRPr="00B97F89">
        <w:rPr>
          <w:rFonts w:asciiTheme="minorHAnsi" w:hAnsiTheme="minorHAnsi"/>
          <w:szCs w:val="24"/>
          <w:u w:val="single"/>
        </w:rPr>
        <w:t xml:space="preserve"> Degree Tear</w:t>
      </w:r>
    </w:p>
    <w:p w:rsidR="00B97F89" w:rsidRPr="00B97F89" w:rsidRDefault="00B97F89" w:rsidP="00B97F89">
      <w:pPr>
        <w:rPr>
          <w:rFonts w:asciiTheme="minorHAnsi" w:hAnsiTheme="minorHAnsi"/>
          <w:szCs w:val="24"/>
        </w:rPr>
      </w:pPr>
    </w:p>
    <w:p w:rsidR="00B97F89" w:rsidRPr="00B97F89" w:rsidRDefault="00B97F89" w:rsidP="00B97F89">
      <w:pPr>
        <w:ind w:left="1440" w:hanging="1440"/>
        <w:rPr>
          <w:rFonts w:asciiTheme="minorHAnsi" w:hAnsiTheme="minorHAnsi"/>
          <w:szCs w:val="24"/>
        </w:rPr>
      </w:pPr>
      <w:r w:rsidRPr="00B97F89">
        <w:rPr>
          <w:rFonts w:asciiTheme="minorHAnsi" w:hAnsiTheme="minorHAnsi"/>
          <w:szCs w:val="24"/>
        </w:rPr>
        <w:t>Numerator:</w:t>
      </w:r>
      <w:r w:rsidRPr="00B97F89">
        <w:rPr>
          <w:rFonts w:asciiTheme="minorHAnsi" w:hAnsiTheme="minorHAnsi"/>
          <w:szCs w:val="24"/>
        </w:rPr>
        <w:tab/>
        <w:t>Total number of women delivering having a vaginal delivery with 3</w:t>
      </w:r>
      <w:r w:rsidRPr="00B97F89">
        <w:rPr>
          <w:rFonts w:asciiTheme="minorHAnsi" w:hAnsiTheme="minorHAnsi"/>
          <w:szCs w:val="24"/>
          <w:vertAlign w:val="superscript"/>
        </w:rPr>
        <w:t>rd</w:t>
      </w:r>
      <w:r w:rsidRPr="00B97F89">
        <w:rPr>
          <w:rFonts w:asciiTheme="minorHAnsi" w:hAnsiTheme="minorHAnsi"/>
          <w:szCs w:val="24"/>
        </w:rPr>
        <w:t xml:space="preserve"> or 4</w:t>
      </w:r>
      <w:r w:rsidRPr="00B97F89">
        <w:rPr>
          <w:rFonts w:asciiTheme="minorHAnsi" w:hAnsiTheme="minorHAnsi"/>
          <w:szCs w:val="24"/>
          <w:vertAlign w:val="superscript"/>
        </w:rPr>
        <w:t>th</w:t>
      </w:r>
      <w:r w:rsidRPr="00B97F89">
        <w:rPr>
          <w:rFonts w:asciiTheme="minorHAnsi" w:hAnsiTheme="minorHAnsi"/>
          <w:szCs w:val="24"/>
        </w:rPr>
        <w:t xml:space="preserve"> degree tear</w:t>
      </w:r>
    </w:p>
    <w:p w:rsidR="00B97F89" w:rsidRPr="00B97F89" w:rsidRDefault="00B97F89" w:rsidP="00B97F89">
      <w:pPr>
        <w:ind w:left="1440" w:hanging="1440"/>
        <w:rPr>
          <w:rFonts w:asciiTheme="minorHAnsi" w:hAnsiTheme="minorHAnsi"/>
          <w:szCs w:val="24"/>
        </w:rPr>
      </w:pPr>
      <w:r w:rsidRPr="00B97F89">
        <w:rPr>
          <w:rFonts w:asciiTheme="minorHAnsi" w:hAnsiTheme="minorHAnsi"/>
          <w:szCs w:val="24"/>
        </w:rPr>
        <w:t>Denominator:</w:t>
      </w:r>
      <w:r w:rsidRPr="00B97F89">
        <w:rPr>
          <w:rFonts w:asciiTheme="minorHAnsi" w:hAnsiTheme="minorHAnsi"/>
          <w:szCs w:val="24"/>
        </w:rPr>
        <w:tab/>
        <w:t>Total number of women having a vaginal delivery</w:t>
      </w:r>
    </w:p>
    <w:p w:rsidR="00B97F89" w:rsidRDefault="00B97F89" w:rsidP="00B97F89">
      <w:pPr>
        <w:ind w:left="1440" w:hanging="1440"/>
      </w:pPr>
    </w:p>
    <w:p w:rsidR="00B97F89" w:rsidRDefault="00B97F89" w:rsidP="00B97F89">
      <w:pPr>
        <w:ind w:left="1440" w:hanging="1440"/>
      </w:pPr>
      <w:r>
        <w:rPr>
          <w:noProof/>
          <w:lang w:eastAsia="en-GB"/>
        </w:rPr>
        <w:drawing>
          <wp:inline distT="0" distB="0" distL="0" distR="0" wp14:anchorId="3BCEBB50" wp14:editId="4C9499AB">
            <wp:extent cx="5731510" cy="3283528"/>
            <wp:effectExtent l="0" t="0" r="2540" b="12700"/>
            <wp:docPr id="15" name="Chart 15"/>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rsidR="00B97F89" w:rsidRDefault="00B97F89" w:rsidP="00B97F89">
      <w:pPr>
        <w:ind w:left="1440" w:hanging="1440"/>
        <w:rPr>
          <w:u w:val="single"/>
        </w:rPr>
      </w:pPr>
    </w:p>
    <w:p w:rsidR="00B97F89" w:rsidRDefault="00B97F89" w:rsidP="00B97F89">
      <w:pPr>
        <w:rPr>
          <w:u w:val="single"/>
        </w:rPr>
      </w:pPr>
    </w:p>
    <w:p w:rsidR="00B97F89" w:rsidRDefault="00B97F89" w:rsidP="00B97F89"/>
    <w:p w:rsidR="00B97F89" w:rsidRPr="003C69DB" w:rsidRDefault="00B97F89" w:rsidP="00B97F89">
      <w:pPr>
        <w:tabs>
          <w:tab w:val="left" w:pos="1222"/>
        </w:tabs>
        <w:rPr>
          <w:u w:val="single"/>
        </w:rPr>
      </w:pPr>
      <w:r w:rsidRPr="003C69DB">
        <w:rPr>
          <w:u w:val="single"/>
        </w:rPr>
        <w:t>Massive PPH &gt;2L</w:t>
      </w:r>
    </w:p>
    <w:p w:rsidR="00B97F89" w:rsidRPr="000E6865" w:rsidRDefault="00B97F89" w:rsidP="00B97F89">
      <w:pPr>
        <w:ind w:left="1440" w:hanging="1440"/>
        <w:rPr>
          <w:sz w:val="20"/>
        </w:rPr>
      </w:pPr>
      <w:r w:rsidRPr="000E6865">
        <w:rPr>
          <w:sz w:val="20"/>
        </w:rPr>
        <w:t>Numerator:</w:t>
      </w:r>
      <w:r w:rsidRPr="000E6865">
        <w:rPr>
          <w:sz w:val="20"/>
        </w:rPr>
        <w:tab/>
        <w:t>Total number of women having an intrapartum blood loss &gt;2000ml</w:t>
      </w:r>
    </w:p>
    <w:p w:rsidR="00B97F89" w:rsidRPr="000E6865" w:rsidRDefault="00B97F89" w:rsidP="00B97F89">
      <w:pPr>
        <w:ind w:left="1440" w:hanging="1440"/>
        <w:rPr>
          <w:sz w:val="20"/>
        </w:rPr>
      </w:pPr>
      <w:r w:rsidRPr="000E6865">
        <w:rPr>
          <w:sz w:val="20"/>
        </w:rPr>
        <w:t>Denominator:</w:t>
      </w:r>
      <w:r w:rsidRPr="000E6865">
        <w:rPr>
          <w:sz w:val="20"/>
        </w:rPr>
        <w:tab/>
        <w:t>Total number of women delivering</w:t>
      </w:r>
    </w:p>
    <w:p w:rsidR="00B97F89" w:rsidRDefault="00B97F89" w:rsidP="00B97F89">
      <w:pPr>
        <w:ind w:left="1440" w:hanging="1440"/>
      </w:pPr>
    </w:p>
    <w:p w:rsidR="00B97F89" w:rsidRDefault="00B97F89" w:rsidP="00B97F89">
      <w:pPr>
        <w:ind w:left="1440" w:hanging="1440"/>
      </w:pPr>
      <w:r>
        <w:rPr>
          <w:noProof/>
          <w:lang w:eastAsia="en-GB"/>
        </w:rPr>
        <w:drawing>
          <wp:inline distT="0" distB="0" distL="0" distR="0" wp14:anchorId="3EC0506D" wp14:editId="72DA2E93">
            <wp:extent cx="5731510" cy="3851011"/>
            <wp:effectExtent l="0" t="0" r="21590" b="16510"/>
            <wp:docPr id="16" name="Chart 16"/>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rsidR="00B97F89" w:rsidRDefault="00B97F89" w:rsidP="00B97F89">
      <w:pPr>
        <w:ind w:left="1440" w:hanging="1440"/>
      </w:pPr>
    </w:p>
    <w:p w:rsidR="00B97F89" w:rsidRDefault="00B97F89" w:rsidP="00B97F89">
      <w:pPr>
        <w:ind w:left="1440" w:hanging="1440"/>
      </w:pPr>
    </w:p>
    <w:p w:rsidR="00B97F89" w:rsidRDefault="00B97F89" w:rsidP="00B97F89">
      <w:pPr>
        <w:ind w:left="1440" w:hanging="1440"/>
      </w:pPr>
    </w:p>
    <w:p w:rsidR="00B97F89" w:rsidRPr="003C69DB" w:rsidRDefault="00B97F89" w:rsidP="00B97F89">
      <w:pPr>
        <w:ind w:left="1440" w:hanging="1440"/>
        <w:rPr>
          <w:u w:val="single"/>
        </w:rPr>
      </w:pPr>
      <w:r w:rsidRPr="003C69DB">
        <w:rPr>
          <w:u w:val="single"/>
        </w:rPr>
        <w:t>Failed Instrumental</w:t>
      </w:r>
    </w:p>
    <w:p w:rsidR="00B97F89" w:rsidRDefault="00B97F89" w:rsidP="00B97F89">
      <w:pPr>
        <w:ind w:left="1440" w:hanging="1440"/>
      </w:pPr>
    </w:p>
    <w:p w:rsidR="00B97F89" w:rsidRPr="000E6865" w:rsidRDefault="00B97F89" w:rsidP="00B97F89">
      <w:pPr>
        <w:ind w:left="1440" w:hanging="1440"/>
        <w:rPr>
          <w:sz w:val="20"/>
        </w:rPr>
      </w:pPr>
      <w:r w:rsidRPr="000E6865">
        <w:rPr>
          <w:sz w:val="20"/>
        </w:rPr>
        <w:t>Numerator:</w:t>
      </w:r>
      <w:r w:rsidRPr="000E6865">
        <w:rPr>
          <w:sz w:val="20"/>
        </w:rPr>
        <w:tab/>
        <w:t>Total number of births attempted instrumental delivery and failed</w:t>
      </w:r>
    </w:p>
    <w:p w:rsidR="00B97F89" w:rsidRPr="000E6865" w:rsidRDefault="00B97F89" w:rsidP="00B97F89">
      <w:pPr>
        <w:ind w:left="1440" w:hanging="1440"/>
        <w:rPr>
          <w:sz w:val="20"/>
        </w:rPr>
      </w:pPr>
      <w:r w:rsidRPr="000E6865">
        <w:rPr>
          <w:sz w:val="20"/>
        </w:rPr>
        <w:t>Denominator:</w:t>
      </w:r>
      <w:r w:rsidRPr="000E6865">
        <w:rPr>
          <w:sz w:val="20"/>
        </w:rPr>
        <w:tab/>
        <w:t>Total number of births attempted instrumental delivery</w:t>
      </w:r>
    </w:p>
    <w:p w:rsidR="00B97F89" w:rsidRDefault="00B97F89" w:rsidP="00B97F89">
      <w:pPr>
        <w:ind w:left="1440" w:hanging="1440"/>
        <w:rPr>
          <w:sz w:val="20"/>
        </w:rPr>
      </w:pPr>
      <w:r w:rsidRPr="000E6865">
        <w:rPr>
          <w:sz w:val="20"/>
        </w:rPr>
        <w:t>Goal:</w:t>
      </w:r>
      <w:r w:rsidRPr="000E6865">
        <w:rPr>
          <w:sz w:val="20"/>
        </w:rPr>
        <w:tab/>
        <w:t>12.0%</w:t>
      </w:r>
    </w:p>
    <w:p w:rsidR="00911F8B" w:rsidRPr="000E6865" w:rsidRDefault="00911F8B" w:rsidP="00B97F89">
      <w:pPr>
        <w:ind w:left="1440" w:hanging="1440"/>
        <w:rPr>
          <w:sz w:val="20"/>
        </w:rPr>
      </w:pPr>
    </w:p>
    <w:p w:rsidR="00B97F89" w:rsidRDefault="00911F8B" w:rsidP="00B97F89">
      <w:pPr>
        <w:ind w:left="1440" w:hanging="1440"/>
      </w:pPr>
      <w:r>
        <w:rPr>
          <w:noProof/>
          <w:lang w:eastAsia="en-GB"/>
        </w:rPr>
        <w:drawing>
          <wp:inline distT="0" distB="0" distL="0" distR="0" wp14:anchorId="3D2C4B9A" wp14:editId="1299A6BD">
            <wp:extent cx="5278120" cy="3036118"/>
            <wp:effectExtent l="0" t="0" r="17780" b="12065"/>
            <wp:docPr id="17" name="Chart 17"/>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rsidR="00B97F89" w:rsidRDefault="00B97F89" w:rsidP="00B97F89">
      <w:pPr>
        <w:ind w:left="1440" w:hanging="1440"/>
      </w:pPr>
    </w:p>
    <w:p w:rsidR="006D4FAD" w:rsidRDefault="006D4FAD" w:rsidP="00B97F89">
      <w:pPr>
        <w:ind w:left="1440" w:hanging="1440"/>
        <w:rPr>
          <w:u w:val="single"/>
        </w:rPr>
      </w:pPr>
    </w:p>
    <w:p w:rsidR="00B97F89" w:rsidRDefault="00B97F89" w:rsidP="00B97F89">
      <w:pPr>
        <w:ind w:left="1440" w:hanging="1440"/>
        <w:rPr>
          <w:u w:val="single"/>
        </w:rPr>
      </w:pPr>
      <w:r w:rsidRPr="00D90981">
        <w:rPr>
          <w:u w:val="single"/>
        </w:rPr>
        <w:t>Term Admissions to Neonatal Unit</w:t>
      </w:r>
    </w:p>
    <w:p w:rsidR="00B97F89" w:rsidRDefault="00B97F89" w:rsidP="00B97F89">
      <w:pPr>
        <w:ind w:left="1440" w:hanging="1440"/>
        <w:rPr>
          <w:u w:val="single"/>
        </w:rPr>
      </w:pPr>
    </w:p>
    <w:p w:rsidR="00B97F89" w:rsidRPr="000E6865" w:rsidRDefault="00B97F89" w:rsidP="00B97F89">
      <w:pPr>
        <w:ind w:left="1440" w:hanging="1440"/>
        <w:rPr>
          <w:sz w:val="20"/>
        </w:rPr>
      </w:pPr>
      <w:r w:rsidRPr="000E6865">
        <w:rPr>
          <w:sz w:val="20"/>
        </w:rPr>
        <w:t>Total number of term (&gt;=37 weeks gestation) babies admitted to Neonatal Unit.</w:t>
      </w:r>
    </w:p>
    <w:p w:rsidR="00B97F89" w:rsidRDefault="00B97F89" w:rsidP="00B97F89">
      <w:pPr>
        <w:ind w:left="1440" w:hanging="1440"/>
      </w:pPr>
    </w:p>
    <w:p w:rsidR="00B97F89" w:rsidRDefault="00B97F89" w:rsidP="00B97F89">
      <w:pPr>
        <w:ind w:left="1440" w:hanging="1440"/>
      </w:pPr>
      <w:r>
        <w:rPr>
          <w:noProof/>
          <w:lang w:eastAsia="en-GB"/>
        </w:rPr>
        <w:drawing>
          <wp:inline distT="0" distB="0" distL="0" distR="0" wp14:anchorId="39405B09" wp14:editId="74F14900">
            <wp:extent cx="5731510" cy="3851011"/>
            <wp:effectExtent l="0" t="0" r="21590" b="16510"/>
            <wp:docPr id="18" name="Chart 18"/>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rsidR="00B97F89" w:rsidRDefault="00B97F89" w:rsidP="00B97F89">
      <w:pPr>
        <w:ind w:left="1440" w:hanging="1440"/>
      </w:pPr>
    </w:p>
    <w:p w:rsidR="00B97F89" w:rsidRDefault="00B97F89" w:rsidP="00B97F89">
      <w:pPr>
        <w:ind w:left="1440" w:hanging="1440"/>
      </w:pPr>
    </w:p>
    <w:p w:rsidR="00B97F89" w:rsidRDefault="00B97F89" w:rsidP="00B97F89">
      <w:pPr>
        <w:ind w:left="1440" w:hanging="1440"/>
        <w:rPr>
          <w:u w:val="single"/>
        </w:rPr>
      </w:pPr>
      <w:r w:rsidRPr="00EB49CD">
        <w:rPr>
          <w:u w:val="single"/>
        </w:rPr>
        <w:lastRenderedPageBreak/>
        <w:t>Stillbirths</w:t>
      </w:r>
    </w:p>
    <w:p w:rsidR="00B97F89" w:rsidRPr="00EB49CD" w:rsidRDefault="00B97F89" w:rsidP="00B97F89">
      <w:pPr>
        <w:ind w:left="1440" w:hanging="1440"/>
        <w:rPr>
          <w:u w:val="single"/>
        </w:rPr>
      </w:pPr>
    </w:p>
    <w:p w:rsidR="00B97F89" w:rsidRPr="000E6865" w:rsidRDefault="00B97F89" w:rsidP="00B97F89">
      <w:pPr>
        <w:ind w:left="1440" w:hanging="1440"/>
        <w:rPr>
          <w:sz w:val="20"/>
        </w:rPr>
      </w:pPr>
      <w:r w:rsidRPr="000E6865">
        <w:rPr>
          <w:sz w:val="20"/>
        </w:rPr>
        <w:t>Total number of stillbirths</w:t>
      </w:r>
    </w:p>
    <w:p w:rsidR="00B97F89" w:rsidRDefault="00B97F89" w:rsidP="00B97F89">
      <w:pPr>
        <w:ind w:left="1440" w:hanging="1440"/>
      </w:pPr>
    </w:p>
    <w:p w:rsidR="00B97F89" w:rsidRDefault="00B97F89" w:rsidP="00B97F89">
      <w:pPr>
        <w:rPr>
          <w:u w:val="single"/>
        </w:rPr>
      </w:pPr>
      <w:r>
        <w:rPr>
          <w:noProof/>
          <w:lang w:eastAsia="en-GB"/>
        </w:rPr>
        <w:drawing>
          <wp:inline distT="0" distB="0" distL="0" distR="0" wp14:anchorId="678A71F2" wp14:editId="45422EF3">
            <wp:extent cx="5731510" cy="3308816"/>
            <wp:effectExtent l="0" t="0" r="21590" b="25400"/>
            <wp:docPr id="22" name="Chart 22"/>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rsidR="00B97F89" w:rsidRPr="00EB49CD" w:rsidRDefault="00B97F89" w:rsidP="00B97F89">
      <w:pPr>
        <w:ind w:left="1440" w:hanging="1440"/>
        <w:rPr>
          <w:u w:val="single"/>
        </w:rPr>
      </w:pPr>
      <w:r>
        <w:rPr>
          <w:u w:val="single"/>
        </w:rPr>
        <w:t xml:space="preserve">Early </w:t>
      </w:r>
      <w:r w:rsidRPr="00EB49CD">
        <w:rPr>
          <w:u w:val="single"/>
        </w:rPr>
        <w:t>Neonatal Deaths (</w:t>
      </w:r>
      <w:r>
        <w:rPr>
          <w:u w:val="single"/>
        </w:rPr>
        <w:t>&lt;=7 days</w:t>
      </w:r>
      <w:r w:rsidRPr="00EB49CD">
        <w:rPr>
          <w:u w:val="single"/>
        </w:rPr>
        <w:t>)</w:t>
      </w:r>
    </w:p>
    <w:p w:rsidR="00B97F89" w:rsidRDefault="00B97F89" w:rsidP="00B97F89">
      <w:pPr>
        <w:ind w:left="1440" w:hanging="1440"/>
      </w:pPr>
    </w:p>
    <w:p w:rsidR="00B97F89" w:rsidRPr="000E6865" w:rsidRDefault="00B97F89" w:rsidP="00B97F89">
      <w:pPr>
        <w:ind w:left="1440" w:hanging="1440"/>
        <w:rPr>
          <w:sz w:val="20"/>
        </w:rPr>
      </w:pPr>
      <w:r w:rsidRPr="000E6865">
        <w:rPr>
          <w:sz w:val="20"/>
        </w:rPr>
        <w:t>Total number of neonatal deaths within 7 days of birth.</w:t>
      </w:r>
    </w:p>
    <w:p w:rsidR="00B97F89" w:rsidRDefault="00B97F89" w:rsidP="00B97F89">
      <w:pPr>
        <w:ind w:left="1440" w:hanging="1440"/>
      </w:pPr>
    </w:p>
    <w:p w:rsidR="00B97F89" w:rsidRPr="00D90981" w:rsidRDefault="00B97F89" w:rsidP="00B97F89">
      <w:pPr>
        <w:ind w:left="1440" w:hanging="1440"/>
      </w:pPr>
      <w:r>
        <w:rPr>
          <w:noProof/>
          <w:lang w:eastAsia="en-GB"/>
        </w:rPr>
        <w:drawing>
          <wp:inline distT="0" distB="0" distL="0" distR="0" wp14:anchorId="170FF88C" wp14:editId="5ABEC549">
            <wp:extent cx="5731510" cy="3308816"/>
            <wp:effectExtent l="0" t="0" r="21590" b="25400"/>
            <wp:docPr id="23" name="Chart 23"/>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p>
    <w:p w:rsidR="006D4FAD" w:rsidRDefault="006D4FAD" w:rsidP="005167A0">
      <w:pPr>
        <w:ind w:left="1440" w:hanging="1440"/>
      </w:pPr>
    </w:p>
    <w:p w:rsidR="006D4FAD" w:rsidRPr="006D4FAD" w:rsidRDefault="006D4FAD" w:rsidP="006D4FAD"/>
    <w:p w:rsidR="006D4FAD" w:rsidRPr="006D4FAD" w:rsidRDefault="006D4FAD" w:rsidP="006D4FAD"/>
    <w:p w:rsidR="006D4FAD" w:rsidRPr="006D4FAD" w:rsidRDefault="006D4FAD" w:rsidP="006D4FAD"/>
    <w:p w:rsidR="006D4FAD" w:rsidRPr="006D4FAD" w:rsidRDefault="006D4FAD" w:rsidP="006D4FAD"/>
    <w:p w:rsidR="006D4FAD" w:rsidRPr="006D4FAD" w:rsidRDefault="006D4FAD" w:rsidP="006D4FAD"/>
    <w:p w:rsidR="006D4FAD" w:rsidRDefault="006D4FAD" w:rsidP="006D4FAD"/>
    <w:p w:rsidR="00DC214C" w:rsidRPr="006D4FAD" w:rsidRDefault="00DC214C" w:rsidP="006D4FAD">
      <w:pPr>
        <w:sectPr w:rsidR="00DC214C" w:rsidRPr="006D4FAD" w:rsidSect="00215574">
          <w:pgSz w:w="11906" w:h="16838" w:code="9"/>
          <w:pgMar w:top="0" w:right="1797" w:bottom="1361" w:left="1797" w:header="709" w:footer="709" w:gutter="0"/>
          <w:cols w:space="708"/>
          <w:docGrid w:linePitch="360"/>
        </w:sectPr>
      </w:pPr>
    </w:p>
    <w:tbl>
      <w:tblPr>
        <w:tblW w:w="5385" w:type="pct"/>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79"/>
        <w:gridCol w:w="1475"/>
        <w:gridCol w:w="1418"/>
        <w:gridCol w:w="1274"/>
        <w:gridCol w:w="2121"/>
        <w:gridCol w:w="7655"/>
      </w:tblGrid>
      <w:tr w:rsidR="00911F8B" w:rsidRPr="00911F8B" w:rsidTr="00911F8B">
        <w:trPr>
          <w:trHeight w:val="255"/>
        </w:trPr>
        <w:tc>
          <w:tcPr>
            <w:tcW w:w="5000" w:type="pct"/>
            <w:gridSpan w:val="6"/>
            <w:shd w:val="clear" w:color="000000" w:fill="70AD47"/>
            <w:noWrap/>
            <w:vAlign w:val="bottom"/>
            <w:hideMark/>
          </w:tcPr>
          <w:p w:rsidR="00911F8B" w:rsidRPr="00911F8B" w:rsidRDefault="00911F8B" w:rsidP="00911F8B">
            <w:pPr>
              <w:widowControl/>
              <w:overflowPunct/>
              <w:autoSpaceDE/>
              <w:autoSpaceDN/>
              <w:adjustRightInd/>
              <w:jc w:val="center"/>
              <w:textAlignment w:val="auto"/>
              <w:rPr>
                <w:rFonts w:cs="Arial"/>
                <w:b/>
                <w:bCs/>
                <w:color w:val="000000"/>
                <w:sz w:val="20"/>
                <w:lang w:eastAsia="en-GB"/>
              </w:rPr>
            </w:pPr>
            <w:r w:rsidRPr="00911F8B">
              <w:rPr>
                <w:rFonts w:cs="Arial"/>
                <w:b/>
                <w:bCs/>
                <w:color w:val="000000"/>
                <w:sz w:val="20"/>
                <w:lang w:eastAsia="en-GB"/>
              </w:rPr>
              <w:lastRenderedPageBreak/>
              <w:t xml:space="preserve">Safe &amp; Effective Care - Master Action Plan &amp; Evidence </w:t>
            </w:r>
          </w:p>
        </w:tc>
      </w:tr>
      <w:tr w:rsidR="00911F8B" w:rsidRPr="00911F8B" w:rsidTr="00AD5294">
        <w:trPr>
          <w:trHeight w:val="765"/>
        </w:trPr>
        <w:tc>
          <w:tcPr>
            <w:tcW w:w="359" w:type="pct"/>
            <w:shd w:val="clear" w:color="000000" w:fill="E2EFDA"/>
            <w:vAlign w:val="bottom"/>
            <w:hideMark/>
          </w:tcPr>
          <w:p w:rsidR="00911F8B" w:rsidRPr="00911F8B" w:rsidRDefault="00911F8B" w:rsidP="00911F8B">
            <w:pPr>
              <w:widowControl/>
              <w:overflowPunct/>
              <w:autoSpaceDE/>
              <w:autoSpaceDN/>
              <w:adjustRightInd/>
              <w:jc w:val="center"/>
              <w:textAlignment w:val="auto"/>
              <w:rPr>
                <w:rFonts w:cs="Arial"/>
                <w:b/>
                <w:bCs/>
                <w:color w:val="000000"/>
                <w:sz w:val="20"/>
                <w:lang w:eastAsia="en-GB"/>
              </w:rPr>
            </w:pPr>
            <w:r w:rsidRPr="00911F8B">
              <w:rPr>
                <w:rFonts w:cs="Arial"/>
                <w:b/>
                <w:bCs/>
                <w:color w:val="000000"/>
                <w:sz w:val="20"/>
                <w:lang w:eastAsia="en-GB"/>
              </w:rPr>
              <w:t xml:space="preserve">RCOG Reference </w:t>
            </w:r>
          </w:p>
        </w:tc>
        <w:tc>
          <w:tcPr>
            <w:tcW w:w="491" w:type="pct"/>
            <w:shd w:val="clear" w:color="000000" w:fill="E2EFDA"/>
            <w:vAlign w:val="bottom"/>
            <w:hideMark/>
          </w:tcPr>
          <w:p w:rsidR="00911F8B" w:rsidRPr="00911F8B" w:rsidRDefault="00911F8B" w:rsidP="00911F8B">
            <w:pPr>
              <w:widowControl/>
              <w:overflowPunct/>
              <w:autoSpaceDE/>
              <w:autoSpaceDN/>
              <w:adjustRightInd/>
              <w:jc w:val="center"/>
              <w:textAlignment w:val="auto"/>
              <w:rPr>
                <w:rFonts w:cs="Arial"/>
                <w:b/>
                <w:bCs/>
                <w:color w:val="000000"/>
                <w:sz w:val="20"/>
                <w:lang w:eastAsia="en-GB"/>
              </w:rPr>
            </w:pPr>
            <w:r w:rsidRPr="00911F8B">
              <w:rPr>
                <w:rFonts w:cs="Arial"/>
                <w:b/>
                <w:bCs/>
                <w:color w:val="000000"/>
                <w:sz w:val="20"/>
                <w:lang w:eastAsia="en-GB"/>
              </w:rPr>
              <w:t xml:space="preserve">Health Board Proposed Status </w:t>
            </w:r>
          </w:p>
        </w:tc>
        <w:tc>
          <w:tcPr>
            <w:tcW w:w="472" w:type="pct"/>
            <w:shd w:val="clear" w:color="000000" w:fill="E2EFDA"/>
            <w:vAlign w:val="bottom"/>
            <w:hideMark/>
          </w:tcPr>
          <w:p w:rsidR="00911F8B" w:rsidRPr="00911F8B" w:rsidRDefault="00911F8B" w:rsidP="00911F8B">
            <w:pPr>
              <w:widowControl/>
              <w:overflowPunct/>
              <w:autoSpaceDE/>
              <w:autoSpaceDN/>
              <w:adjustRightInd/>
              <w:jc w:val="center"/>
              <w:textAlignment w:val="auto"/>
              <w:rPr>
                <w:rFonts w:cs="Arial"/>
                <w:b/>
                <w:bCs/>
                <w:color w:val="000000"/>
                <w:sz w:val="20"/>
                <w:lang w:eastAsia="en-GB"/>
              </w:rPr>
            </w:pPr>
            <w:r w:rsidRPr="00911F8B">
              <w:rPr>
                <w:rFonts w:cs="Arial"/>
                <w:b/>
                <w:bCs/>
                <w:color w:val="000000"/>
                <w:sz w:val="20"/>
                <w:lang w:eastAsia="en-GB"/>
              </w:rPr>
              <w:t xml:space="preserve">IMSOP validated and approved </w:t>
            </w:r>
          </w:p>
        </w:tc>
        <w:tc>
          <w:tcPr>
            <w:tcW w:w="424" w:type="pct"/>
            <w:shd w:val="clear" w:color="000000" w:fill="E2EFDA"/>
            <w:vAlign w:val="bottom"/>
            <w:hideMark/>
          </w:tcPr>
          <w:p w:rsidR="00911F8B" w:rsidRPr="00911F8B" w:rsidRDefault="00911F8B" w:rsidP="00911F8B">
            <w:pPr>
              <w:widowControl/>
              <w:overflowPunct/>
              <w:autoSpaceDE/>
              <w:autoSpaceDN/>
              <w:adjustRightInd/>
              <w:jc w:val="center"/>
              <w:textAlignment w:val="auto"/>
              <w:rPr>
                <w:rFonts w:cs="Arial"/>
                <w:b/>
                <w:bCs/>
                <w:color w:val="000000"/>
                <w:sz w:val="20"/>
                <w:lang w:eastAsia="en-GB"/>
              </w:rPr>
            </w:pPr>
            <w:r w:rsidRPr="00911F8B">
              <w:rPr>
                <w:rFonts w:cs="Arial"/>
                <w:b/>
                <w:bCs/>
                <w:color w:val="000000"/>
                <w:sz w:val="20"/>
                <w:lang w:eastAsia="en-GB"/>
              </w:rPr>
              <w:t xml:space="preserve">Status Trajectory/ follow-Up </w:t>
            </w:r>
          </w:p>
        </w:tc>
        <w:tc>
          <w:tcPr>
            <w:tcW w:w="706" w:type="pct"/>
            <w:shd w:val="clear" w:color="000000" w:fill="E2EFDA"/>
            <w:noWrap/>
            <w:vAlign w:val="bottom"/>
            <w:hideMark/>
          </w:tcPr>
          <w:p w:rsidR="00911F8B" w:rsidRPr="00911F8B" w:rsidRDefault="00911F8B" w:rsidP="00911F8B">
            <w:pPr>
              <w:widowControl/>
              <w:overflowPunct/>
              <w:autoSpaceDE/>
              <w:autoSpaceDN/>
              <w:adjustRightInd/>
              <w:jc w:val="center"/>
              <w:textAlignment w:val="auto"/>
              <w:rPr>
                <w:rFonts w:cs="Arial"/>
                <w:b/>
                <w:bCs/>
                <w:color w:val="000000"/>
                <w:sz w:val="20"/>
                <w:lang w:eastAsia="en-GB"/>
              </w:rPr>
            </w:pPr>
            <w:r w:rsidRPr="00911F8B">
              <w:rPr>
                <w:rFonts w:cs="Arial"/>
                <w:b/>
                <w:bCs/>
                <w:color w:val="000000"/>
                <w:sz w:val="20"/>
                <w:lang w:eastAsia="en-GB"/>
              </w:rPr>
              <w:t xml:space="preserve">Recommendation </w:t>
            </w:r>
          </w:p>
        </w:tc>
        <w:tc>
          <w:tcPr>
            <w:tcW w:w="2548" w:type="pct"/>
            <w:shd w:val="clear" w:color="000000" w:fill="E2EFDA"/>
            <w:vAlign w:val="bottom"/>
            <w:hideMark/>
          </w:tcPr>
          <w:p w:rsidR="00911F8B" w:rsidRPr="00911F8B" w:rsidRDefault="00911F8B" w:rsidP="00911F8B">
            <w:pPr>
              <w:widowControl/>
              <w:overflowPunct/>
              <w:autoSpaceDE/>
              <w:autoSpaceDN/>
              <w:adjustRightInd/>
              <w:jc w:val="center"/>
              <w:textAlignment w:val="auto"/>
              <w:rPr>
                <w:rFonts w:cs="Arial"/>
                <w:b/>
                <w:bCs/>
                <w:color w:val="000000"/>
                <w:sz w:val="20"/>
                <w:lang w:eastAsia="en-GB"/>
              </w:rPr>
            </w:pPr>
            <w:r w:rsidRPr="00911F8B">
              <w:rPr>
                <w:rFonts w:cs="Arial"/>
                <w:b/>
                <w:bCs/>
                <w:color w:val="000000"/>
                <w:sz w:val="20"/>
                <w:lang w:eastAsia="en-GB"/>
              </w:rPr>
              <w:t xml:space="preserve">Current Status ( Jan 20), Examples of assurance evidence </w:t>
            </w:r>
          </w:p>
        </w:tc>
      </w:tr>
      <w:tr w:rsidR="00911F8B" w:rsidRPr="00911F8B" w:rsidTr="00AD5294">
        <w:trPr>
          <w:trHeight w:val="3045"/>
        </w:trPr>
        <w:tc>
          <w:tcPr>
            <w:tcW w:w="359" w:type="pct"/>
            <w:shd w:val="clear" w:color="000000" w:fill="E2EFDA"/>
            <w:hideMark/>
          </w:tcPr>
          <w:p w:rsidR="00911F8B" w:rsidRPr="00911F8B" w:rsidRDefault="00911F8B" w:rsidP="00911F8B">
            <w:pPr>
              <w:widowControl/>
              <w:overflowPunct/>
              <w:autoSpaceDE/>
              <w:autoSpaceDN/>
              <w:adjustRightInd/>
              <w:jc w:val="center"/>
              <w:textAlignment w:val="auto"/>
              <w:rPr>
                <w:rFonts w:cs="Arial"/>
                <w:b/>
                <w:bCs/>
                <w:sz w:val="20"/>
                <w:lang w:eastAsia="en-GB"/>
              </w:rPr>
            </w:pPr>
            <w:r w:rsidRPr="00911F8B">
              <w:rPr>
                <w:rFonts w:cs="Arial"/>
                <w:b/>
                <w:bCs/>
                <w:sz w:val="20"/>
                <w:lang w:eastAsia="en-GB"/>
              </w:rPr>
              <w:t>RCOG Rec  7.1</w:t>
            </w:r>
          </w:p>
        </w:tc>
        <w:tc>
          <w:tcPr>
            <w:tcW w:w="491" w:type="pct"/>
            <w:shd w:val="clear" w:color="auto" w:fill="auto"/>
            <w:hideMark/>
          </w:tcPr>
          <w:p w:rsidR="00911F8B" w:rsidRPr="00911F8B" w:rsidRDefault="00911F8B" w:rsidP="00911F8B">
            <w:pPr>
              <w:widowControl/>
              <w:overflowPunct/>
              <w:autoSpaceDE/>
              <w:autoSpaceDN/>
              <w:adjustRightInd/>
              <w:jc w:val="center"/>
              <w:textAlignment w:val="auto"/>
              <w:rPr>
                <w:rFonts w:cs="Arial"/>
                <w:color w:val="000000"/>
                <w:sz w:val="20"/>
                <w:lang w:eastAsia="en-GB"/>
              </w:rPr>
            </w:pPr>
            <w:r w:rsidRPr="00911F8B">
              <w:rPr>
                <w:rFonts w:cs="Arial"/>
                <w:color w:val="000000"/>
                <w:sz w:val="20"/>
                <w:lang w:eastAsia="en-GB"/>
              </w:rPr>
              <w:t>In progress</w:t>
            </w:r>
          </w:p>
        </w:tc>
        <w:tc>
          <w:tcPr>
            <w:tcW w:w="472" w:type="pct"/>
            <w:shd w:val="clear" w:color="auto" w:fill="auto"/>
            <w:hideMark/>
          </w:tcPr>
          <w:p w:rsidR="00911F8B" w:rsidRPr="00911F8B" w:rsidRDefault="00911F8B" w:rsidP="00911F8B">
            <w:pPr>
              <w:widowControl/>
              <w:overflowPunct/>
              <w:autoSpaceDE/>
              <w:autoSpaceDN/>
              <w:adjustRightInd/>
              <w:jc w:val="center"/>
              <w:textAlignment w:val="auto"/>
              <w:rPr>
                <w:rFonts w:cs="Arial"/>
                <w:color w:val="000000"/>
                <w:sz w:val="20"/>
                <w:lang w:eastAsia="en-GB"/>
              </w:rPr>
            </w:pPr>
            <w:r w:rsidRPr="00911F8B">
              <w:rPr>
                <w:rFonts w:cs="Arial"/>
                <w:color w:val="000000"/>
                <w:sz w:val="20"/>
                <w:lang w:eastAsia="en-GB"/>
              </w:rPr>
              <w:t> </w:t>
            </w:r>
          </w:p>
        </w:tc>
        <w:tc>
          <w:tcPr>
            <w:tcW w:w="424" w:type="pct"/>
            <w:shd w:val="clear" w:color="auto" w:fill="auto"/>
            <w:hideMark/>
          </w:tcPr>
          <w:p w:rsidR="00911F8B" w:rsidRPr="00911F8B" w:rsidRDefault="00911F8B" w:rsidP="00911F8B">
            <w:pPr>
              <w:widowControl/>
              <w:overflowPunct/>
              <w:autoSpaceDE/>
              <w:autoSpaceDN/>
              <w:adjustRightInd/>
              <w:jc w:val="center"/>
              <w:textAlignment w:val="auto"/>
              <w:rPr>
                <w:rFonts w:cs="Arial"/>
                <w:color w:val="000000"/>
                <w:sz w:val="20"/>
                <w:lang w:eastAsia="en-GB"/>
              </w:rPr>
            </w:pPr>
            <w:r w:rsidRPr="00911F8B">
              <w:rPr>
                <w:rFonts w:cs="Arial"/>
                <w:color w:val="000000"/>
                <w:sz w:val="20"/>
                <w:lang w:eastAsia="en-GB"/>
              </w:rPr>
              <w:t>30/05/2020</w:t>
            </w:r>
          </w:p>
        </w:tc>
        <w:tc>
          <w:tcPr>
            <w:tcW w:w="706" w:type="pct"/>
            <w:shd w:val="clear" w:color="auto" w:fill="auto"/>
            <w:hideMark/>
          </w:tcPr>
          <w:p w:rsidR="00911F8B" w:rsidRPr="00911F8B" w:rsidRDefault="00911F8B" w:rsidP="00911F8B">
            <w:pPr>
              <w:widowControl/>
              <w:overflowPunct/>
              <w:autoSpaceDE/>
              <w:autoSpaceDN/>
              <w:adjustRightInd/>
              <w:textAlignment w:val="auto"/>
              <w:rPr>
                <w:rFonts w:cs="Arial"/>
                <w:color w:val="000000"/>
                <w:sz w:val="20"/>
                <w:lang w:eastAsia="en-GB"/>
              </w:rPr>
            </w:pPr>
            <w:r w:rsidRPr="00911F8B">
              <w:rPr>
                <w:rFonts w:cs="Arial"/>
                <w:color w:val="000000"/>
                <w:sz w:val="20"/>
                <w:lang w:eastAsia="en-GB"/>
              </w:rPr>
              <w:t>Urgently review the systems in place for:</w:t>
            </w:r>
            <w:r w:rsidRPr="00911F8B">
              <w:rPr>
                <w:rFonts w:cs="Arial"/>
                <w:color w:val="000000"/>
                <w:sz w:val="20"/>
                <w:lang w:eastAsia="en-GB"/>
              </w:rPr>
              <w:br/>
              <w:t>•Data collection</w:t>
            </w:r>
            <w:r w:rsidRPr="00911F8B">
              <w:rPr>
                <w:rFonts w:cs="Arial"/>
                <w:color w:val="000000"/>
                <w:sz w:val="20"/>
                <w:lang w:eastAsia="en-GB"/>
              </w:rPr>
              <w:br/>
              <w:t>•Clinical validation</w:t>
            </w:r>
            <w:r w:rsidRPr="00911F8B">
              <w:rPr>
                <w:rFonts w:cs="Arial"/>
                <w:color w:val="000000"/>
                <w:sz w:val="20"/>
                <w:lang w:eastAsia="en-GB"/>
              </w:rPr>
              <w:br/>
              <w:t>•Checking the accuracy of data used to monitor clinical practice and outcomes</w:t>
            </w:r>
            <w:r w:rsidRPr="00911F8B">
              <w:rPr>
                <w:rFonts w:cs="Arial"/>
                <w:color w:val="000000"/>
                <w:sz w:val="20"/>
                <w:lang w:eastAsia="en-GB"/>
              </w:rPr>
              <w:br/>
              <w:t>•What information is supplied to national audits</w:t>
            </w:r>
          </w:p>
          <w:p w:rsidR="00911F8B" w:rsidRPr="00911F8B" w:rsidRDefault="00911F8B" w:rsidP="00911F8B">
            <w:pPr>
              <w:rPr>
                <w:rFonts w:cs="Arial"/>
                <w:sz w:val="20"/>
                <w:lang w:eastAsia="en-GB"/>
              </w:rPr>
            </w:pPr>
          </w:p>
        </w:tc>
        <w:tc>
          <w:tcPr>
            <w:tcW w:w="2548" w:type="pct"/>
            <w:shd w:val="clear" w:color="auto" w:fill="auto"/>
            <w:hideMark/>
          </w:tcPr>
          <w:p w:rsidR="00911F8B" w:rsidRPr="00911F8B" w:rsidRDefault="00911F8B" w:rsidP="00911F8B">
            <w:pPr>
              <w:widowControl/>
              <w:overflowPunct/>
              <w:autoSpaceDE/>
              <w:autoSpaceDN/>
              <w:adjustRightInd/>
              <w:spacing w:after="240"/>
              <w:textAlignment w:val="auto"/>
              <w:rPr>
                <w:rFonts w:cs="Arial"/>
                <w:sz w:val="20"/>
                <w:lang w:eastAsia="en-GB"/>
              </w:rPr>
            </w:pPr>
            <w:r w:rsidRPr="00911F8B">
              <w:rPr>
                <w:rFonts w:cs="Arial"/>
                <w:b/>
                <w:bCs/>
                <w:sz w:val="20"/>
                <w:lang w:eastAsia="en-GB"/>
              </w:rPr>
              <w:t>Evidenced through:</w:t>
            </w:r>
            <w:r w:rsidRPr="00911F8B">
              <w:rPr>
                <w:rFonts w:cs="Arial"/>
                <w:sz w:val="20"/>
                <w:lang w:eastAsia="en-GB"/>
              </w:rPr>
              <w:t xml:space="preserve"> </w:t>
            </w:r>
            <w:r w:rsidRPr="00911F8B">
              <w:rPr>
                <w:rFonts w:cs="Arial"/>
                <w:sz w:val="20"/>
                <w:lang w:eastAsia="en-GB"/>
              </w:rPr>
              <w:br/>
              <w:t xml:space="preserve">• MITS has been upgraded to incorporate </w:t>
            </w:r>
            <w:r w:rsidRPr="00911F8B">
              <w:rPr>
                <w:rFonts w:cs="Arial"/>
                <w:sz w:val="20"/>
                <w:u w:val="single"/>
                <w:lang w:eastAsia="en-GB"/>
              </w:rPr>
              <w:t>partial</w:t>
            </w:r>
            <w:r w:rsidRPr="00911F8B">
              <w:rPr>
                <w:rFonts w:cs="Arial"/>
                <w:sz w:val="20"/>
                <w:lang w:eastAsia="en-GB"/>
              </w:rPr>
              <w:t xml:space="preserve"> Trigger List. </w:t>
            </w:r>
            <w:r w:rsidRPr="00911F8B">
              <w:rPr>
                <w:rFonts w:cs="Arial"/>
                <w:sz w:val="20"/>
                <w:lang w:eastAsia="en-GB"/>
              </w:rPr>
              <w:br/>
              <w:t>•Audit plan for 2019/20 and achievement/progress of the plan</w:t>
            </w:r>
            <w:r w:rsidRPr="00911F8B">
              <w:rPr>
                <w:rFonts w:cs="Arial"/>
                <w:sz w:val="20"/>
                <w:lang w:eastAsia="en-GB"/>
              </w:rPr>
              <w:br/>
              <w:t>• Performance Scorecard devised and in use.</w:t>
            </w:r>
            <w:r w:rsidRPr="00911F8B">
              <w:rPr>
                <w:rFonts w:cs="Arial"/>
                <w:sz w:val="20"/>
                <w:lang w:eastAsia="en-GB"/>
              </w:rPr>
              <w:br/>
              <w:t>• Reporting to National Audits:</w:t>
            </w:r>
            <w:r w:rsidRPr="00911F8B">
              <w:rPr>
                <w:rFonts w:cs="Arial"/>
                <w:sz w:val="20"/>
                <w:lang w:eastAsia="en-GB"/>
              </w:rPr>
              <w:br/>
              <w:t>• MBRRACE</w:t>
            </w:r>
            <w:r w:rsidRPr="00911F8B">
              <w:rPr>
                <w:rFonts w:cs="Arial"/>
                <w:sz w:val="20"/>
                <w:lang w:eastAsia="en-GB"/>
              </w:rPr>
              <w:br/>
              <w:t>• Each Baby Counts</w:t>
            </w:r>
            <w:r w:rsidRPr="00911F8B">
              <w:rPr>
                <w:rFonts w:cs="Arial"/>
                <w:sz w:val="20"/>
                <w:lang w:eastAsia="en-GB"/>
              </w:rPr>
              <w:br/>
            </w:r>
            <w:r w:rsidRPr="00911F8B">
              <w:rPr>
                <w:rFonts w:cs="Arial"/>
                <w:sz w:val="20"/>
                <w:lang w:eastAsia="en-GB"/>
              </w:rPr>
              <w:br/>
            </w:r>
            <w:r w:rsidRPr="00911F8B">
              <w:rPr>
                <w:rFonts w:cs="Arial"/>
                <w:color w:val="FF0000"/>
                <w:sz w:val="20"/>
                <w:u w:val="single"/>
                <w:lang w:eastAsia="en-GB"/>
              </w:rPr>
              <w:t xml:space="preserve">Further evidence required:Next quarter </w:t>
            </w:r>
            <w:r w:rsidRPr="00911F8B">
              <w:rPr>
                <w:rFonts w:cs="Arial"/>
                <w:color w:val="FF0000"/>
                <w:sz w:val="20"/>
                <w:u w:val="single"/>
                <w:lang w:eastAsia="en-GB"/>
              </w:rPr>
              <w:br/>
            </w:r>
            <w:r w:rsidRPr="00911F8B">
              <w:rPr>
                <w:rFonts w:cs="Arial"/>
                <w:color w:val="FF0000"/>
                <w:sz w:val="20"/>
                <w:lang w:eastAsia="en-GB"/>
              </w:rPr>
              <w:t xml:space="preserve">work identified in feedback from Nick Lyons/Mark Townsend requested 19/02/20 - Mark T leading on investment in Qlik Sense and coding of data </w:t>
            </w:r>
            <w:r w:rsidRPr="00911F8B">
              <w:rPr>
                <w:rFonts w:cs="Arial"/>
                <w:color w:val="FF0000"/>
                <w:sz w:val="20"/>
                <w:lang w:eastAsia="en-GB"/>
              </w:rPr>
              <w:br/>
              <w:t>• Evidence of additional coding capacity posts</w:t>
            </w:r>
            <w:r w:rsidRPr="00911F8B">
              <w:rPr>
                <w:rFonts w:cs="Arial"/>
                <w:color w:val="FF0000"/>
                <w:sz w:val="20"/>
                <w:lang w:eastAsia="en-GB"/>
              </w:rPr>
              <w:br/>
              <w:t>• Evidence of improvements in quality of coding and data entry - through reduction of clinician contact in d</w:t>
            </w:r>
            <w:r>
              <w:rPr>
                <w:rFonts w:cs="Arial"/>
                <w:color w:val="FF0000"/>
                <w:sz w:val="20"/>
                <w:lang w:eastAsia="en-GB"/>
              </w:rPr>
              <w:t>ouble checking process</w:t>
            </w:r>
          </w:p>
        </w:tc>
      </w:tr>
      <w:tr w:rsidR="00911F8B" w:rsidRPr="00911F8B" w:rsidTr="00AD5294">
        <w:trPr>
          <w:trHeight w:val="1755"/>
        </w:trPr>
        <w:tc>
          <w:tcPr>
            <w:tcW w:w="359" w:type="pct"/>
            <w:shd w:val="clear" w:color="000000" w:fill="E2EFDA"/>
            <w:hideMark/>
          </w:tcPr>
          <w:p w:rsidR="00911F8B" w:rsidRPr="00911F8B" w:rsidRDefault="00911F8B" w:rsidP="00911F8B">
            <w:pPr>
              <w:widowControl/>
              <w:overflowPunct/>
              <w:autoSpaceDE/>
              <w:autoSpaceDN/>
              <w:adjustRightInd/>
              <w:jc w:val="center"/>
              <w:textAlignment w:val="auto"/>
              <w:rPr>
                <w:rFonts w:cs="Arial"/>
                <w:b/>
                <w:bCs/>
                <w:sz w:val="20"/>
                <w:lang w:eastAsia="en-GB"/>
              </w:rPr>
            </w:pPr>
            <w:r w:rsidRPr="00911F8B">
              <w:rPr>
                <w:rFonts w:cs="Arial"/>
                <w:b/>
                <w:bCs/>
                <w:sz w:val="20"/>
                <w:lang w:eastAsia="en-GB"/>
              </w:rPr>
              <w:t>RCOG Rec:  7.2</w:t>
            </w:r>
          </w:p>
        </w:tc>
        <w:tc>
          <w:tcPr>
            <w:tcW w:w="491" w:type="pct"/>
            <w:shd w:val="clear" w:color="auto" w:fill="auto"/>
            <w:hideMark/>
          </w:tcPr>
          <w:p w:rsidR="00911F8B" w:rsidRPr="00911F8B" w:rsidRDefault="00911F8B" w:rsidP="00911F8B">
            <w:pPr>
              <w:widowControl/>
              <w:overflowPunct/>
              <w:autoSpaceDE/>
              <w:autoSpaceDN/>
              <w:adjustRightInd/>
              <w:jc w:val="center"/>
              <w:textAlignment w:val="auto"/>
              <w:rPr>
                <w:rFonts w:cs="Arial"/>
                <w:color w:val="000000"/>
                <w:sz w:val="20"/>
                <w:lang w:eastAsia="en-GB"/>
              </w:rPr>
            </w:pPr>
            <w:r w:rsidRPr="00911F8B">
              <w:rPr>
                <w:rFonts w:cs="Arial"/>
                <w:color w:val="000000"/>
                <w:sz w:val="20"/>
                <w:lang w:eastAsia="en-GB"/>
              </w:rPr>
              <w:t>In progress</w:t>
            </w:r>
          </w:p>
        </w:tc>
        <w:tc>
          <w:tcPr>
            <w:tcW w:w="472" w:type="pct"/>
            <w:shd w:val="clear" w:color="auto" w:fill="auto"/>
            <w:hideMark/>
          </w:tcPr>
          <w:p w:rsidR="00911F8B" w:rsidRPr="00911F8B" w:rsidRDefault="00911F8B" w:rsidP="00911F8B">
            <w:pPr>
              <w:widowControl/>
              <w:overflowPunct/>
              <w:autoSpaceDE/>
              <w:autoSpaceDN/>
              <w:adjustRightInd/>
              <w:jc w:val="center"/>
              <w:textAlignment w:val="auto"/>
              <w:rPr>
                <w:rFonts w:cs="Arial"/>
                <w:b/>
                <w:bCs/>
                <w:color w:val="FF0000"/>
                <w:sz w:val="20"/>
                <w:lang w:eastAsia="en-GB"/>
              </w:rPr>
            </w:pPr>
            <w:r w:rsidRPr="00911F8B">
              <w:rPr>
                <w:rFonts w:cs="Arial"/>
                <w:b/>
                <w:bCs/>
                <w:color w:val="FF0000"/>
                <w:sz w:val="20"/>
                <w:lang w:eastAsia="en-GB"/>
              </w:rPr>
              <w:t xml:space="preserve">Further Evidence for Consideration </w:t>
            </w:r>
            <w:r w:rsidRPr="00911F8B">
              <w:rPr>
                <w:rFonts w:cs="Arial"/>
                <w:b/>
                <w:bCs/>
                <w:color w:val="FF0000"/>
                <w:sz w:val="20"/>
                <w:lang w:eastAsia="en-GB"/>
              </w:rPr>
              <w:br/>
              <w:t>09/03/2020</w:t>
            </w:r>
          </w:p>
        </w:tc>
        <w:tc>
          <w:tcPr>
            <w:tcW w:w="424" w:type="pct"/>
            <w:shd w:val="clear" w:color="auto" w:fill="auto"/>
            <w:hideMark/>
          </w:tcPr>
          <w:p w:rsidR="00911F8B" w:rsidRPr="00911F8B" w:rsidRDefault="00911F8B" w:rsidP="00911F8B">
            <w:pPr>
              <w:widowControl/>
              <w:overflowPunct/>
              <w:autoSpaceDE/>
              <w:autoSpaceDN/>
              <w:adjustRightInd/>
              <w:jc w:val="center"/>
              <w:textAlignment w:val="auto"/>
              <w:rPr>
                <w:rFonts w:cs="Arial"/>
                <w:color w:val="000000"/>
                <w:sz w:val="20"/>
                <w:lang w:eastAsia="en-GB"/>
              </w:rPr>
            </w:pPr>
            <w:r w:rsidRPr="00911F8B">
              <w:rPr>
                <w:rFonts w:cs="Arial"/>
                <w:color w:val="000000"/>
                <w:sz w:val="20"/>
                <w:lang w:eastAsia="en-GB"/>
              </w:rPr>
              <w:t> </w:t>
            </w:r>
          </w:p>
        </w:tc>
        <w:tc>
          <w:tcPr>
            <w:tcW w:w="706" w:type="pct"/>
            <w:shd w:val="clear" w:color="auto" w:fill="auto"/>
            <w:hideMark/>
          </w:tcPr>
          <w:p w:rsidR="00911F8B" w:rsidRPr="00911F8B" w:rsidRDefault="00911F8B" w:rsidP="00911F8B">
            <w:pPr>
              <w:widowControl/>
              <w:overflowPunct/>
              <w:autoSpaceDE/>
              <w:autoSpaceDN/>
              <w:adjustRightInd/>
              <w:textAlignment w:val="auto"/>
              <w:rPr>
                <w:rFonts w:cs="Arial"/>
                <w:color w:val="000000"/>
                <w:sz w:val="20"/>
                <w:lang w:eastAsia="en-GB"/>
              </w:rPr>
            </w:pPr>
            <w:r w:rsidRPr="00911F8B">
              <w:rPr>
                <w:rFonts w:cs="Arial"/>
                <w:color w:val="000000"/>
                <w:sz w:val="20"/>
                <w:lang w:eastAsia="en-GB"/>
              </w:rPr>
              <w:t>Ensure all guidelines are up to date, reviewed and ratified by nominated obstetric lead and senior midwife</w:t>
            </w:r>
            <w:r w:rsidRPr="00911F8B">
              <w:rPr>
                <w:rFonts w:cs="Arial"/>
                <w:color w:val="000000"/>
                <w:sz w:val="20"/>
                <w:lang w:eastAsia="en-GB"/>
              </w:rPr>
              <w:br/>
            </w:r>
            <w:r w:rsidRPr="00911F8B">
              <w:rPr>
                <w:rFonts w:cs="Arial"/>
                <w:color w:val="000000"/>
                <w:sz w:val="20"/>
                <w:lang w:eastAsia="en-GB"/>
              </w:rPr>
              <w:br/>
              <w:t>Any Maternity guidelines developed which contain the administration of medication will require approval by a Pharmacy Lead.</w:t>
            </w:r>
          </w:p>
        </w:tc>
        <w:tc>
          <w:tcPr>
            <w:tcW w:w="2548" w:type="pct"/>
            <w:shd w:val="clear" w:color="auto" w:fill="auto"/>
            <w:hideMark/>
          </w:tcPr>
          <w:p w:rsidR="00911F8B" w:rsidRPr="00911F8B" w:rsidRDefault="00911F8B" w:rsidP="00911F8B">
            <w:pPr>
              <w:widowControl/>
              <w:overflowPunct/>
              <w:autoSpaceDE/>
              <w:autoSpaceDN/>
              <w:adjustRightInd/>
              <w:textAlignment w:val="auto"/>
              <w:rPr>
                <w:rFonts w:cs="Arial"/>
                <w:sz w:val="20"/>
                <w:lang w:eastAsia="en-GB"/>
              </w:rPr>
            </w:pPr>
            <w:r w:rsidRPr="00911F8B">
              <w:rPr>
                <w:rFonts w:cs="Arial"/>
                <w:b/>
                <w:bCs/>
                <w:color w:val="FF0000"/>
                <w:sz w:val="20"/>
                <w:lang w:eastAsia="en-GB"/>
              </w:rPr>
              <w:br/>
              <w:t>Further Evidence for Consideration 04/03/2020:</w:t>
            </w:r>
            <w:r w:rsidRPr="00911F8B">
              <w:rPr>
                <w:rFonts w:cs="Arial"/>
                <w:b/>
                <w:bCs/>
                <w:color w:val="FF0000"/>
                <w:sz w:val="20"/>
                <w:lang w:eastAsia="en-GB"/>
              </w:rPr>
              <w:br/>
            </w:r>
            <w:r w:rsidRPr="00911F8B">
              <w:rPr>
                <w:rFonts w:cs="Arial"/>
                <w:color w:val="000000"/>
                <w:sz w:val="20"/>
                <w:lang w:eastAsia="en-GB"/>
              </w:rPr>
              <w:t>Lead midwife identified to look at implementing a consistent and co-ordinated approach to development, approval and monitoring of guidlines</w:t>
            </w:r>
            <w:r w:rsidRPr="00911F8B">
              <w:rPr>
                <w:rFonts w:cs="Arial"/>
                <w:color w:val="000000"/>
                <w:sz w:val="20"/>
                <w:lang w:eastAsia="en-GB"/>
              </w:rPr>
              <w:br/>
              <w:t>All maternity policies which contain administration of medication are approved via the Medicines Ethics committee which meets on a 12 weekly basis</w:t>
            </w:r>
            <w:r w:rsidRPr="00911F8B">
              <w:rPr>
                <w:rFonts w:cs="Arial"/>
                <w:color w:val="000000"/>
                <w:sz w:val="20"/>
                <w:lang w:eastAsia="en-GB"/>
              </w:rPr>
              <w:br/>
              <w:t xml:space="preserve">Lead Obstetric Consultant is also in the process of establishing a guidelines group </w:t>
            </w:r>
          </w:p>
        </w:tc>
      </w:tr>
      <w:tr w:rsidR="00911F8B" w:rsidRPr="00911F8B" w:rsidTr="00AD5294">
        <w:trPr>
          <w:trHeight w:val="70"/>
        </w:trPr>
        <w:tc>
          <w:tcPr>
            <w:tcW w:w="359" w:type="pct"/>
            <w:shd w:val="clear" w:color="000000" w:fill="E2EFDA"/>
            <w:hideMark/>
          </w:tcPr>
          <w:p w:rsidR="00911F8B" w:rsidRPr="00911F8B" w:rsidRDefault="00911F8B" w:rsidP="00911F8B">
            <w:pPr>
              <w:widowControl/>
              <w:overflowPunct/>
              <w:autoSpaceDE/>
              <w:autoSpaceDN/>
              <w:adjustRightInd/>
              <w:jc w:val="center"/>
              <w:textAlignment w:val="auto"/>
              <w:rPr>
                <w:rFonts w:cs="Arial"/>
                <w:b/>
                <w:bCs/>
                <w:sz w:val="20"/>
                <w:lang w:eastAsia="en-GB"/>
              </w:rPr>
            </w:pPr>
            <w:r w:rsidRPr="00911F8B">
              <w:rPr>
                <w:rFonts w:cs="Arial"/>
                <w:b/>
                <w:bCs/>
                <w:sz w:val="20"/>
                <w:lang w:eastAsia="en-GB"/>
              </w:rPr>
              <w:t>RCOG Rec: 7.16</w:t>
            </w:r>
          </w:p>
        </w:tc>
        <w:tc>
          <w:tcPr>
            <w:tcW w:w="491" w:type="pct"/>
            <w:shd w:val="clear" w:color="auto" w:fill="auto"/>
            <w:hideMark/>
          </w:tcPr>
          <w:p w:rsidR="00911F8B" w:rsidRPr="00911F8B" w:rsidRDefault="00911F8B" w:rsidP="00911F8B">
            <w:pPr>
              <w:widowControl/>
              <w:overflowPunct/>
              <w:autoSpaceDE/>
              <w:autoSpaceDN/>
              <w:adjustRightInd/>
              <w:jc w:val="center"/>
              <w:textAlignment w:val="auto"/>
              <w:rPr>
                <w:rFonts w:cs="Arial"/>
                <w:color w:val="000000"/>
                <w:sz w:val="20"/>
                <w:lang w:eastAsia="en-GB"/>
              </w:rPr>
            </w:pPr>
            <w:r w:rsidRPr="00911F8B">
              <w:rPr>
                <w:rFonts w:cs="Arial"/>
                <w:color w:val="000000"/>
                <w:sz w:val="20"/>
                <w:lang w:eastAsia="en-GB"/>
              </w:rPr>
              <w:t> </w:t>
            </w:r>
          </w:p>
        </w:tc>
        <w:tc>
          <w:tcPr>
            <w:tcW w:w="472" w:type="pct"/>
            <w:shd w:val="clear" w:color="auto" w:fill="auto"/>
            <w:hideMark/>
          </w:tcPr>
          <w:p w:rsidR="00911F8B" w:rsidRPr="00911F8B" w:rsidRDefault="00911F8B" w:rsidP="00911F8B">
            <w:pPr>
              <w:widowControl/>
              <w:overflowPunct/>
              <w:autoSpaceDE/>
              <w:autoSpaceDN/>
              <w:adjustRightInd/>
              <w:jc w:val="center"/>
              <w:textAlignment w:val="auto"/>
              <w:rPr>
                <w:rFonts w:cs="Arial"/>
                <w:b/>
                <w:bCs/>
                <w:color w:val="FF0000"/>
                <w:sz w:val="20"/>
                <w:lang w:eastAsia="en-GB"/>
              </w:rPr>
            </w:pPr>
            <w:r w:rsidRPr="00911F8B">
              <w:rPr>
                <w:rFonts w:cs="Arial"/>
                <w:b/>
                <w:bCs/>
                <w:color w:val="FF0000"/>
                <w:sz w:val="20"/>
                <w:lang w:eastAsia="en-GB"/>
              </w:rPr>
              <w:t xml:space="preserve">Further Evidence for Consideration </w:t>
            </w:r>
            <w:r w:rsidRPr="00911F8B">
              <w:rPr>
                <w:rFonts w:cs="Arial"/>
                <w:b/>
                <w:bCs/>
                <w:color w:val="FF0000"/>
                <w:sz w:val="20"/>
                <w:lang w:eastAsia="en-GB"/>
              </w:rPr>
              <w:br/>
              <w:t>09/03/2020</w:t>
            </w:r>
          </w:p>
        </w:tc>
        <w:tc>
          <w:tcPr>
            <w:tcW w:w="424" w:type="pct"/>
            <w:shd w:val="clear" w:color="auto" w:fill="auto"/>
            <w:hideMark/>
          </w:tcPr>
          <w:p w:rsidR="00911F8B" w:rsidRPr="00911F8B" w:rsidRDefault="00911F8B" w:rsidP="00911F8B">
            <w:pPr>
              <w:widowControl/>
              <w:overflowPunct/>
              <w:autoSpaceDE/>
              <w:autoSpaceDN/>
              <w:adjustRightInd/>
              <w:jc w:val="center"/>
              <w:textAlignment w:val="auto"/>
              <w:rPr>
                <w:rFonts w:cs="Arial"/>
                <w:color w:val="000000"/>
                <w:sz w:val="20"/>
                <w:lang w:eastAsia="en-GB"/>
              </w:rPr>
            </w:pPr>
            <w:r w:rsidRPr="00911F8B">
              <w:rPr>
                <w:rFonts w:cs="Arial"/>
                <w:color w:val="000000"/>
                <w:sz w:val="20"/>
                <w:lang w:eastAsia="en-GB"/>
              </w:rPr>
              <w:t> </w:t>
            </w:r>
          </w:p>
        </w:tc>
        <w:tc>
          <w:tcPr>
            <w:tcW w:w="706" w:type="pct"/>
            <w:shd w:val="clear" w:color="auto" w:fill="auto"/>
            <w:vAlign w:val="center"/>
            <w:hideMark/>
          </w:tcPr>
          <w:p w:rsidR="00911F8B" w:rsidRPr="00911F8B" w:rsidRDefault="00911F8B" w:rsidP="00911F8B">
            <w:pPr>
              <w:widowControl/>
              <w:overflowPunct/>
              <w:autoSpaceDE/>
              <w:autoSpaceDN/>
              <w:adjustRightInd/>
              <w:spacing w:after="240"/>
              <w:textAlignment w:val="auto"/>
              <w:rPr>
                <w:rFonts w:cs="Arial"/>
                <w:color w:val="000000"/>
                <w:sz w:val="20"/>
                <w:lang w:eastAsia="en-GB"/>
              </w:rPr>
            </w:pPr>
            <w:r w:rsidRPr="00911F8B">
              <w:rPr>
                <w:rFonts w:cs="Arial"/>
                <w:color w:val="000000"/>
                <w:sz w:val="20"/>
                <w:lang w:eastAsia="en-GB"/>
              </w:rPr>
              <w:br/>
              <w:t xml:space="preserve">Consultant availability: ensure that consultants obstetricians  are immediately available when on call (maximum 30 minutes from call out </w:t>
            </w:r>
            <w:r w:rsidRPr="00911F8B">
              <w:rPr>
                <w:rFonts w:cs="Arial"/>
                <w:color w:val="000000"/>
                <w:sz w:val="20"/>
                <w:lang w:eastAsia="en-GB"/>
              </w:rPr>
              <w:lastRenderedPageBreak/>
              <w:t>to being present)</w:t>
            </w:r>
            <w:r w:rsidRPr="00911F8B">
              <w:rPr>
                <w:rFonts w:cs="Arial"/>
                <w:color w:val="000000"/>
                <w:sz w:val="20"/>
                <w:lang w:eastAsia="en-GB"/>
              </w:rPr>
              <w:br/>
            </w:r>
            <w:r w:rsidRPr="00911F8B">
              <w:rPr>
                <w:rFonts w:cs="Arial"/>
                <w:color w:val="000000"/>
                <w:sz w:val="20"/>
                <w:lang w:eastAsia="en-GB"/>
              </w:rPr>
              <w:br/>
            </w:r>
            <w:r w:rsidRPr="00911F8B">
              <w:rPr>
                <w:rFonts w:cs="Arial"/>
                <w:color w:val="000000"/>
                <w:sz w:val="20"/>
                <w:lang w:eastAsia="en-GB"/>
              </w:rPr>
              <w:br/>
            </w:r>
            <w:r w:rsidRPr="00911F8B">
              <w:rPr>
                <w:rFonts w:cs="Arial"/>
                <w:color w:val="000000"/>
                <w:sz w:val="20"/>
                <w:lang w:eastAsia="en-GB"/>
              </w:rPr>
              <w:br/>
            </w:r>
            <w:r w:rsidRPr="00911F8B">
              <w:rPr>
                <w:rFonts w:cs="Arial"/>
                <w:color w:val="000000"/>
                <w:sz w:val="20"/>
                <w:lang w:eastAsia="en-GB"/>
              </w:rPr>
              <w:br/>
            </w:r>
            <w:r w:rsidRPr="00911F8B">
              <w:rPr>
                <w:rFonts w:cs="Arial"/>
                <w:color w:val="000000"/>
                <w:sz w:val="20"/>
                <w:lang w:eastAsia="en-GB"/>
              </w:rPr>
              <w:br/>
            </w:r>
            <w:r w:rsidRPr="00911F8B">
              <w:rPr>
                <w:rFonts w:cs="Arial"/>
                <w:color w:val="000000"/>
                <w:sz w:val="20"/>
                <w:lang w:eastAsia="en-GB"/>
              </w:rPr>
              <w:br/>
            </w:r>
            <w:r w:rsidRPr="00911F8B">
              <w:rPr>
                <w:rFonts w:cs="Arial"/>
                <w:color w:val="000000"/>
                <w:sz w:val="20"/>
                <w:lang w:eastAsia="en-GB"/>
              </w:rPr>
              <w:br/>
            </w:r>
            <w:r w:rsidRPr="00911F8B">
              <w:rPr>
                <w:rFonts w:cs="Arial"/>
                <w:color w:val="000000"/>
                <w:sz w:val="20"/>
                <w:lang w:eastAsia="en-GB"/>
              </w:rPr>
              <w:br/>
            </w:r>
            <w:r w:rsidRPr="00911F8B">
              <w:rPr>
                <w:rFonts w:cs="Arial"/>
                <w:color w:val="000000"/>
                <w:sz w:val="20"/>
                <w:lang w:eastAsia="en-GB"/>
              </w:rPr>
              <w:br/>
            </w:r>
          </w:p>
        </w:tc>
        <w:tc>
          <w:tcPr>
            <w:tcW w:w="2548" w:type="pct"/>
            <w:shd w:val="clear" w:color="auto" w:fill="auto"/>
            <w:hideMark/>
          </w:tcPr>
          <w:p w:rsidR="00AD5294" w:rsidRDefault="00911F8B" w:rsidP="00911F8B">
            <w:pPr>
              <w:widowControl/>
              <w:overflowPunct/>
              <w:autoSpaceDE/>
              <w:autoSpaceDN/>
              <w:adjustRightInd/>
              <w:textAlignment w:val="auto"/>
              <w:rPr>
                <w:rFonts w:cs="Arial"/>
                <w:color w:val="000000"/>
                <w:sz w:val="20"/>
                <w:lang w:eastAsia="en-GB"/>
              </w:rPr>
            </w:pPr>
            <w:r w:rsidRPr="00911F8B">
              <w:rPr>
                <w:rFonts w:cs="Arial"/>
                <w:b/>
                <w:bCs/>
                <w:color w:val="000000"/>
                <w:sz w:val="20"/>
                <w:lang w:eastAsia="en-GB"/>
              </w:rPr>
              <w:lastRenderedPageBreak/>
              <w:t>V</w:t>
            </w:r>
            <w:r w:rsidRPr="00911F8B">
              <w:rPr>
                <w:rFonts w:cs="Arial"/>
                <w:color w:val="000000"/>
                <w:sz w:val="20"/>
                <w:lang w:eastAsia="en-GB"/>
              </w:rPr>
              <w:t>ia incident reviews the risk team are monitoring the number of occasions the consultant is called – ‘out of hours’ and arrives within the 30 minute recommended response time. This will be reported to the risk midwife for recording purposes.</w:t>
            </w:r>
            <w:r w:rsidRPr="00911F8B">
              <w:rPr>
                <w:rFonts w:cs="Arial"/>
                <w:color w:val="000000"/>
                <w:sz w:val="20"/>
                <w:lang w:eastAsia="en-GB"/>
              </w:rPr>
              <w:br/>
            </w:r>
            <w:r w:rsidRPr="00911F8B">
              <w:rPr>
                <w:rFonts w:cs="Arial"/>
                <w:color w:val="000000"/>
                <w:sz w:val="20"/>
                <w:lang w:eastAsia="en-GB"/>
              </w:rPr>
              <w:br/>
            </w:r>
            <w:r w:rsidRPr="00911F8B">
              <w:rPr>
                <w:rFonts w:cs="Arial"/>
                <w:b/>
                <w:color w:val="000000"/>
                <w:sz w:val="20"/>
                <w:lang w:eastAsia="en-GB"/>
              </w:rPr>
              <w:t>11/02/20: Meeting KD &amp; ZA</w:t>
            </w:r>
            <w:r w:rsidRPr="00911F8B">
              <w:rPr>
                <w:rFonts w:cs="Arial"/>
                <w:b/>
                <w:color w:val="000000"/>
                <w:sz w:val="20"/>
                <w:lang w:eastAsia="en-GB"/>
              </w:rPr>
              <w:br/>
            </w:r>
            <w:r w:rsidRPr="00911F8B">
              <w:rPr>
                <w:rFonts w:cs="Arial"/>
                <w:color w:val="000000"/>
                <w:sz w:val="20"/>
                <w:lang w:eastAsia="en-GB"/>
              </w:rPr>
              <w:t>Audit commenced mid-December with a focus on response times for consultants during emergency call outs.</w:t>
            </w:r>
            <w:r w:rsidRPr="00911F8B">
              <w:rPr>
                <w:rFonts w:cs="Arial"/>
                <w:color w:val="000000"/>
                <w:sz w:val="20"/>
                <w:lang w:eastAsia="en-GB"/>
              </w:rPr>
              <w:br/>
              <w:t xml:space="preserve">Findings will be shared </w:t>
            </w:r>
            <w:r w:rsidRPr="00911F8B">
              <w:rPr>
                <w:rFonts w:cs="Arial"/>
                <w:color w:val="000000"/>
                <w:sz w:val="20"/>
                <w:lang w:eastAsia="en-GB"/>
              </w:rPr>
              <w:br/>
            </w:r>
            <w:r w:rsidRPr="00911F8B">
              <w:rPr>
                <w:rFonts w:cs="Arial"/>
                <w:color w:val="000000"/>
                <w:sz w:val="20"/>
                <w:lang w:eastAsia="en-GB"/>
              </w:rPr>
              <w:br/>
            </w:r>
            <w:r w:rsidRPr="00911F8B">
              <w:rPr>
                <w:rFonts w:cs="Arial"/>
                <w:color w:val="000000"/>
                <w:sz w:val="20"/>
                <w:lang w:eastAsia="en-GB"/>
              </w:rPr>
              <w:lastRenderedPageBreak/>
              <w:t>18/02/2020: IMSOP Checking Visit</w:t>
            </w:r>
            <w:r w:rsidRPr="00911F8B">
              <w:rPr>
                <w:rFonts w:cs="Arial"/>
                <w:color w:val="000000"/>
                <w:sz w:val="20"/>
                <w:lang w:eastAsia="en-GB"/>
              </w:rPr>
              <w:br/>
              <w:t>Complete ongoing monitoring by HB</w:t>
            </w:r>
            <w:r w:rsidRPr="00911F8B">
              <w:rPr>
                <w:rFonts w:cs="Arial"/>
                <w:color w:val="000000"/>
                <w:sz w:val="20"/>
                <w:lang w:eastAsia="en-GB"/>
              </w:rPr>
              <w:br/>
              <w:t xml:space="preserve">Duties of on call consultant </w:t>
            </w:r>
            <w:r w:rsidRPr="00911F8B">
              <w:rPr>
                <w:rFonts w:cs="Arial"/>
                <w:color w:val="000000"/>
                <w:sz w:val="20"/>
                <w:lang w:eastAsia="en-GB"/>
              </w:rPr>
              <w:br/>
              <w:t xml:space="preserve">Jump call escalation policy implemented </w:t>
            </w:r>
            <w:r w:rsidRPr="00911F8B">
              <w:rPr>
                <w:rFonts w:cs="Arial"/>
                <w:color w:val="000000"/>
                <w:sz w:val="20"/>
                <w:lang w:eastAsia="en-GB"/>
              </w:rPr>
              <w:br/>
            </w:r>
            <w:r w:rsidRPr="00911F8B">
              <w:rPr>
                <w:rFonts w:cs="Arial"/>
                <w:color w:val="000000"/>
                <w:sz w:val="20"/>
                <w:lang w:eastAsia="en-GB"/>
              </w:rPr>
              <w:br/>
            </w:r>
            <w:r w:rsidRPr="00911F8B">
              <w:rPr>
                <w:rFonts w:cs="Arial"/>
                <w:b/>
                <w:bCs/>
                <w:color w:val="FF0000"/>
                <w:sz w:val="20"/>
                <w:lang w:eastAsia="en-GB"/>
              </w:rPr>
              <w:t>Further Evidence for Consideration 04/03/2020:</w:t>
            </w:r>
            <w:r w:rsidRPr="00911F8B">
              <w:rPr>
                <w:rFonts w:cs="Arial"/>
                <w:b/>
                <w:bCs/>
                <w:color w:val="FF0000"/>
                <w:sz w:val="20"/>
                <w:lang w:eastAsia="en-GB"/>
              </w:rPr>
              <w:br/>
            </w:r>
            <w:r w:rsidRPr="00911F8B">
              <w:rPr>
                <w:rFonts w:cs="Arial"/>
                <w:color w:val="000000"/>
                <w:sz w:val="20"/>
                <w:lang w:eastAsia="en-GB"/>
              </w:rPr>
              <w:t xml:space="preserve">This is an RCOG recommendation – the UHB report weekly on RG government and rotas are available </w:t>
            </w:r>
            <w:r w:rsidRPr="00911F8B">
              <w:rPr>
                <w:rFonts w:cs="Arial"/>
                <w:color w:val="000000"/>
                <w:sz w:val="20"/>
                <w:lang w:eastAsia="en-GB"/>
              </w:rPr>
              <w:br/>
            </w:r>
            <w:hyperlink r:id="rId29" w:history="1">
              <w:r w:rsidRPr="008F1F87">
                <w:rPr>
                  <w:rStyle w:val="Hyperlink"/>
                  <w:rFonts w:cs="Arial"/>
                  <w:sz w:val="20"/>
                  <w:lang w:eastAsia="en-GB"/>
                </w:rPr>
                <w:t>https://www.rcog.org.uk/globalassets/documents/guidelines/wprsaferchildbirthreport2007.pdf</w:t>
              </w:r>
            </w:hyperlink>
            <w:r>
              <w:rPr>
                <w:rFonts w:cs="Arial"/>
                <w:color w:val="000000"/>
                <w:sz w:val="20"/>
                <w:lang w:eastAsia="en-GB"/>
              </w:rPr>
              <w:t xml:space="preserve">, </w:t>
            </w:r>
          </w:p>
          <w:p w:rsidR="00911F8B" w:rsidRPr="00911F8B" w:rsidRDefault="00911F8B" w:rsidP="00911F8B">
            <w:pPr>
              <w:widowControl/>
              <w:overflowPunct/>
              <w:autoSpaceDE/>
              <w:autoSpaceDN/>
              <w:adjustRightInd/>
              <w:textAlignment w:val="auto"/>
              <w:rPr>
                <w:rFonts w:cs="Arial"/>
                <w:b/>
                <w:bCs/>
                <w:sz w:val="20"/>
                <w:lang w:eastAsia="en-GB"/>
              </w:rPr>
            </w:pPr>
            <w:r>
              <w:rPr>
                <w:rFonts w:cs="Arial"/>
                <w:color w:val="000000"/>
                <w:sz w:val="20"/>
                <w:lang w:eastAsia="en-GB"/>
              </w:rPr>
              <w:t>Consultant on</w:t>
            </w:r>
            <w:r w:rsidR="00AD5294">
              <w:rPr>
                <w:rFonts w:cs="Arial"/>
                <w:color w:val="000000"/>
                <w:sz w:val="20"/>
                <w:lang w:eastAsia="en-GB"/>
              </w:rPr>
              <w:t>-</w:t>
            </w:r>
            <w:r>
              <w:rPr>
                <w:rFonts w:cs="Arial"/>
                <w:color w:val="000000"/>
                <w:sz w:val="20"/>
                <w:lang w:eastAsia="en-GB"/>
              </w:rPr>
              <w:t>call policy</w:t>
            </w:r>
          </w:p>
        </w:tc>
      </w:tr>
      <w:tr w:rsidR="00911F8B" w:rsidRPr="00911F8B" w:rsidTr="00AD5294">
        <w:trPr>
          <w:trHeight w:val="1815"/>
        </w:trPr>
        <w:tc>
          <w:tcPr>
            <w:tcW w:w="359" w:type="pct"/>
            <w:shd w:val="clear" w:color="000000" w:fill="E2EFDA"/>
            <w:hideMark/>
          </w:tcPr>
          <w:p w:rsidR="00911F8B" w:rsidRPr="00911F8B" w:rsidRDefault="00911F8B" w:rsidP="00911F8B">
            <w:pPr>
              <w:widowControl/>
              <w:overflowPunct/>
              <w:autoSpaceDE/>
              <w:autoSpaceDN/>
              <w:adjustRightInd/>
              <w:jc w:val="center"/>
              <w:textAlignment w:val="auto"/>
              <w:rPr>
                <w:rFonts w:cs="Arial"/>
                <w:b/>
                <w:bCs/>
                <w:color w:val="000000"/>
                <w:sz w:val="20"/>
                <w:lang w:eastAsia="en-GB"/>
              </w:rPr>
            </w:pPr>
            <w:r w:rsidRPr="00911F8B">
              <w:rPr>
                <w:rFonts w:cs="Arial"/>
                <w:b/>
                <w:bCs/>
                <w:color w:val="000000"/>
                <w:sz w:val="20"/>
                <w:lang w:eastAsia="en-GB"/>
              </w:rPr>
              <w:lastRenderedPageBreak/>
              <w:t>RCOG Rec:  7.7</w:t>
            </w:r>
          </w:p>
        </w:tc>
        <w:tc>
          <w:tcPr>
            <w:tcW w:w="491" w:type="pct"/>
            <w:shd w:val="clear" w:color="auto" w:fill="auto"/>
            <w:noWrap/>
            <w:hideMark/>
          </w:tcPr>
          <w:p w:rsidR="00911F8B" w:rsidRPr="00911F8B" w:rsidRDefault="00911F8B" w:rsidP="00911F8B">
            <w:pPr>
              <w:widowControl/>
              <w:overflowPunct/>
              <w:autoSpaceDE/>
              <w:autoSpaceDN/>
              <w:adjustRightInd/>
              <w:jc w:val="center"/>
              <w:textAlignment w:val="auto"/>
              <w:rPr>
                <w:rFonts w:cs="Arial"/>
                <w:color w:val="000000"/>
                <w:sz w:val="20"/>
                <w:lang w:eastAsia="en-GB"/>
              </w:rPr>
            </w:pPr>
            <w:r w:rsidRPr="00911F8B">
              <w:rPr>
                <w:rFonts w:cs="Arial"/>
                <w:color w:val="000000"/>
                <w:sz w:val="20"/>
                <w:lang w:eastAsia="en-GB"/>
              </w:rPr>
              <w:t>Not progressing</w:t>
            </w:r>
          </w:p>
        </w:tc>
        <w:tc>
          <w:tcPr>
            <w:tcW w:w="472" w:type="pct"/>
            <w:shd w:val="clear" w:color="auto" w:fill="auto"/>
            <w:hideMark/>
          </w:tcPr>
          <w:p w:rsidR="00911F8B" w:rsidRPr="00911F8B" w:rsidRDefault="00911F8B" w:rsidP="00911F8B">
            <w:pPr>
              <w:widowControl/>
              <w:overflowPunct/>
              <w:autoSpaceDE/>
              <w:autoSpaceDN/>
              <w:adjustRightInd/>
              <w:jc w:val="center"/>
              <w:textAlignment w:val="auto"/>
              <w:rPr>
                <w:rFonts w:cs="Arial"/>
                <w:b/>
                <w:bCs/>
                <w:color w:val="FF0000"/>
                <w:sz w:val="20"/>
                <w:lang w:eastAsia="en-GB"/>
              </w:rPr>
            </w:pPr>
            <w:r w:rsidRPr="00911F8B">
              <w:rPr>
                <w:rFonts w:cs="Arial"/>
                <w:b/>
                <w:bCs/>
                <w:color w:val="FF0000"/>
                <w:sz w:val="20"/>
                <w:lang w:eastAsia="en-GB"/>
              </w:rPr>
              <w:t xml:space="preserve">For Consideration </w:t>
            </w:r>
            <w:r w:rsidRPr="00911F8B">
              <w:rPr>
                <w:rFonts w:cs="Arial"/>
                <w:b/>
                <w:bCs/>
                <w:color w:val="FF0000"/>
                <w:sz w:val="20"/>
                <w:lang w:eastAsia="en-GB"/>
              </w:rPr>
              <w:br/>
              <w:t>09/03/2020</w:t>
            </w:r>
          </w:p>
        </w:tc>
        <w:tc>
          <w:tcPr>
            <w:tcW w:w="424" w:type="pct"/>
            <w:shd w:val="clear" w:color="auto" w:fill="auto"/>
            <w:noWrap/>
            <w:hideMark/>
          </w:tcPr>
          <w:p w:rsidR="00911F8B" w:rsidRPr="00911F8B" w:rsidRDefault="00911F8B" w:rsidP="00911F8B">
            <w:pPr>
              <w:widowControl/>
              <w:overflowPunct/>
              <w:autoSpaceDE/>
              <w:autoSpaceDN/>
              <w:adjustRightInd/>
              <w:jc w:val="center"/>
              <w:textAlignment w:val="auto"/>
              <w:rPr>
                <w:rFonts w:cs="Arial"/>
                <w:color w:val="000000"/>
                <w:sz w:val="20"/>
                <w:lang w:eastAsia="en-GB"/>
              </w:rPr>
            </w:pPr>
            <w:r w:rsidRPr="00911F8B">
              <w:rPr>
                <w:rFonts w:cs="Arial"/>
                <w:color w:val="000000"/>
                <w:sz w:val="20"/>
                <w:lang w:eastAsia="en-GB"/>
              </w:rPr>
              <w:t>01/03/2020</w:t>
            </w:r>
          </w:p>
        </w:tc>
        <w:tc>
          <w:tcPr>
            <w:tcW w:w="706" w:type="pct"/>
            <w:shd w:val="clear" w:color="auto" w:fill="auto"/>
            <w:hideMark/>
          </w:tcPr>
          <w:p w:rsidR="00911F8B" w:rsidRPr="00911F8B" w:rsidRDefault="00911F8B" w:rsidP="00911F8B">
            <w:pPr>
              <w:widowControl/>
              <w:overflowPunct/>
              <w:autoSpaceDE/>
              <w:autoSpaceDN/>
              <w:adjustRightInd/>
              <w:textAlignment w:val="auto"/>
              <w:rPr>
                <w:rFonts w:cs="Arial"/>
                <w:color w:val="000000"/>
                <w:sz w:val="20"/>
                <w:lang w:eastAsia="en-GB"/>
              </w:rPr>
            </w:pPr>
            <w:r w:rsidRPr="00911F8B">
              <w:rPr>
                <w:rFonts w:cs="Arial"/>
                <w:color w:val="000000"/>
                <w:sz w:val="20"/>
                <w:lang w:eastAsia="en-GB"/>
              </w:rPr>
              <w:t>Ensure an environment of privacy and dignity of care for women undergoing abortion or miscarriage in line with agreed national standards of care.</w:t>
            </w:r>
          </w:p>
        </w:tc>
        <w:tc>
          <w:tcPr>
            <w:tcW w:w="2548" w:type="pct"/>
            <w:shd w:val="clear" w:color="auto" w:fill="auto"/>
            <w:hideMark/>
          </w:tcPr>
          <w:p w:rsidR="00911F8B" w:rsidRPr="00911F8B" w:rsidRDefault="00911F8B" w:rsidP="00911F8B">
            <w:pPr>
              <w:widowControl/>
              <w:overflowPunct/>
              <w:autoSpaceDE/>
              <w:autoSpaceDN/>
              <w:adjustRightInd/>
              <w:spacing w:after="240"/>
              <w:textAlignment w:val="auto"/>
              <w:rPr>
                <w:rFonts w:cs="Arial"/>
                <w:color w:val="000000"/>
                <w:sz w:val="20"/>
                <w:lang w:eastAsia="en-GB"/>
              </w:rPr>
            </w:pPr>
            <w:r w:rsidRPr="00911F8B">
              <w:rPr>
                <w:rFonts w:cs="Arial"/>
                <w:b/>
                <w:bCs/>
                <w:color w:val="FF0000"/>
                <w:sz w:val="20"/>
                <w:lang w:eastAsia="en-GB"/>
              </w:rPr>
              <w:t>Update 04/03/2020:</w:t>
            </w:r>
            <w:r w:rsidRPr="00911F8B">
              <w:rPr>
                <w:rFonts w:cs="Arial"/>
                <w:color w:val="000000"/>
                <w:sz w:val="20"/>
                <w:lang w:eastAsia="en-GB"/>
              </w:rPr>
              <w:br/>
              <w:t>Significant work has been undertaken in the form of:</w:t>
            </w:r>
            <w:r w:rsidRPr="00911F8B">
              <w:rPr>
                <w:rFonts w:cs="Arial"/>
                <w:color w:val="000000"/>
                <w:sz w:val="20"/>
                <w:lang w:eastAsia="en-GB"/>
              </w:rPr>
              <w:br/>
              <w:t>• Development of a business case</w:t>
            </w:r>
            <w:r w:rsidRPr="00911F8B">
              <w:rPr>
                <w:rFonts w:cs="Arial"/>
                <w:color w:val="000000"/>
                <w:sz w:val="20"/>
                <w:lang w:eastAsia="en-GB"/>
              </w:rPr>
              <w:br/>
              <w:t>• escalation to the Head of Midwifery/Service Group General Manager</w:t>
            </w:r>
            <w:r w:rsidRPr="00911F8B">
              <w:rPr>
                <w:rFonts w:cs="Arial"/>
                <w:color w:val="000000"/>
                <w:sz w:val="20"/>
                <w:lang w:eastAsia="en-GB"/>
              </w:rPr>
              <w:br/>
              <w:t xml:space="preserve">• Flagged on the risk register </w:t>
            </w:r>
            <w:r w:rsidRPr="00911F8B">
              <w:rPr>
                <w:rFonts w:cs="Arial"/>
                <w:color w:val="000000"/>
                <w:sz w:val="20"/>
                <w:lang w:eastAsia="en-GB"/>
              </w:rPr>
              <w:br/>
            </w:r>
            <w:r w:rsidRPr="00911F8B">
              <w:rPr>
                <w:rFonts w:cs="Arial"/>
                <w:color w:val="000000"/>
                <w:sz w:val="20"/>
                <w:lang w:eastAsia="en-GB"/>
              </w:rPr>
              <w:br/>
              <w:t>*</w:t>
            </w:r>
            <w:r w:rsidRPr="00911F8B">
              <w:rPr>
                <w:rFonts w:cs="Arial"/>
                <w:b/>
                <w:bCs/>
                <w:i/>
                <w:iCs/>
                <w:color w:val="000000"/>
                <w:sz w:val="20"/>
                <w:lang w:eastAsia="en-GB"/>
              </w:rPr>
              <w:t>No dedicated space on the PCH site**</w:t>
            </w:r>
          </w:p>
        </w:tc>
      </w:tr>
      <w:tr w:rsidR="00911F8B" w:rsidRPr="00911F8B" w:rsidTr="00AD5294">
        <w:trPr>
          <w:trHeight w:val="3810"/>
        </w:trPr>
        <w:tc>
          <w:tcPr>
            <w:tcW w:w="359" w:type="pct"/>
            <w:shd w:val="clear" w:color="000000" w:fill="E2EFDA"/>
            <w:hideMark/>
          </w:tcPr>
          <w:p w:rsidR="00911F8B" w:rsidRPr="00911F8B" w:rsidRDefault="00911F8B" w:rsidP="00911F8B">
            <w:pPr>
              <w:widowControl/>
              <w:overflowPunct/>
              <w:autoSpaceDE/>
              <w:autoSpaceDN/>
              <w:adjustRightInd/>
              <w:jc w:val="center"/>
              <w:textAlignment w:val="auto"/>
              <w:rPr>
                <w:rFonts w:cs="Arial"/>
                <w:b/>
                <w:bCs/>
                <w:color w:val="000000"/>
                <w:sz w:val="20"/>
                <w:lang w:eastAsia="en-GB"/>
              </w:rPr>
            </w:pPr>
            <w:r w:rsidRPr="00911F8B">
              <w:rPr>
                <w:rFonts w:cs="Arial"/>
                <w:b/>
                <w:bCs/>
                <w:color w:val="000000"/>
                <w:sz w:val="20"/>
                <w:lang w:eastAsia="en-GB"/>
              </w:rPr>
              <w:t>RCOG Rec: 7.19, 7.21, 7.23</w:t>
            </w:r>
          </w:p>
        </w:tc>
        <w:tc>
          <w:tcPr>
            <w:tcW w:w="491" w:type="pct"/>
            <w:shd w:val="clear" w:color="auto" w:fill="auto"/>
            <w:noWrap/>
            <w:hideMark/>
          </w:tcPr>
          <w:p w:rsidR="00911F8B" w:rsidRPr="00911F8B" w:rsidRDefault="00911F8B" w:rsidP="00911F8B">
            <w:pPr>
              <w:widowControl/>
              <w:overflowPunct/>
              <w:autoSpaceDE/>
              <w:autoSpaceDN/>
              <w:adjustRightInd/>
              <w:jc w:val="center"/>
              <w:textAlignment w:val="auto"/>
              <w:rPr>
                <w:rFonts w:cs="Arial"/>
                <w:color w:val="000000"/>
                <w:sz w:val="20"/>
                <w:lang w:eastAsia="en-GB"/>
              </w:rPr>
            </w:pPr>
            <w:r w:rsidRPr="00911F8B">
              <w:rPr>
                <w:rFonts w:cs="Arial"/>
                <w:color w:val="000000"/>
                <w:sz w:val="20"/>
                <w:lang w:eastAsia="en-GB"/>
              </w:rPr>
              <w:t>In progress</w:t>
            </w:r>
          </w:p>
        </w:tc>
        <w:tc>
          <w:tcPr>
            <w:tcW w:w="472" w:type="pct"/>
            <w:shd w:val="clear" w:color="auto" w:fill="auto"/>
            <w:hideMark/>
          </w:tcPr>
          <w:p w:rsidR="00911F8B" w:rsidRPr="00911F8B" w:rsidRDefault="00911F8B" w:rsidP="00911F8B">
            <w:pPr>
              <w:widowControl/>
              <w:overflowPunct/>
              <w:autoSpaceDE/>
              <w:autoSpaceDN/>
              <w:adjustRightInd/>
              <w:jc w:val="center"/>
              <w:textAlignment w:val="auto"/>
              <w:rPr>
                <w:rFonts w:cs="Arial"/>
                <w:color w:val="000000"/>
                <w:sz w:val="20"/>
                <w:lang w:eastAsia="en-GB"/>
              </w:rPr>
            </w:pPr>
            <w:r w:rsidRPr="00911F8B">
              <w:rPr>
                <w:rFonts w:cs="Arial"/>
                <w:color w:val="000000"/>
                <w:sz w:val="20"/>
                <w:lang w:eastAsia="en-GB"/>
              </w:rPr>
              <w:t> </w:t>
            </w:r>
          </w:p>
        </w:tc>
        <w:tc>
          <w:tcPr>
            <w:tcW w:w="424" w:type="pct"/>
            <w:shd w:val="clear" w:color="auto" w:fill="auto"/>
            <w:noWrap/>
            <w:hideMark/>
          </w:tcPr>
          <w:p w:rsidR="00911F8B" w:rsidRPr="00911F8B" w:rsidRDefault="00911F8B" w:rsidP="00911F8B">
            <w:pPr>
              <w:widowControl/>
              <w:overflowPunct/>
              <w:autoSpaceDE/>
              <w:autoSpaceDN/>
              <w:adjustRightInd/>
              <w:jc w:val="center"/>
              <w:textAlignment w:val="auto"/>
              <w:rPr>
                <w:rFonts w:cs="Arial"/>
                <w:color w:val="000000"/>
                <w:sz w:val="20"/>
                <w:lang w:eastAsia="en-GB"/>
              </w:rPr>
            </w:pPr>
            <w:r w:rsidRPr="00911F8B">
              <w:rPr>
                <w:rFonts w:cs="Arial"/>
                <w:color w:val="000000"/>
                <w:sz w:val="20"/>
                <w:lang w:eastAsia="en-GB"/>
              </w:rPr>
              <w:t>01/06/2020</w:t>
            </w:r>
          </w:p>
        </w:tc>
        <w:tc>
          <w:tcPr>
            <w:tcW w:w="706" w:type="pct"/>
            <w:shd w:val="clear" w:color="auto" w:fill="auto"/>
            <w:hideMark/>
          </w:tcPr>
          <w:p w:rsidR="00911F8B" w:rsidRPr="00911F8B" w:rsidRDefault="00911F8B" w:rsidP="00911F8B">
            <w:pPr>
              <w:widowControl/>
              <w:overflowPunct/>
              <w:autoSpaceDE/>
              <w:autoSpaceDN/>
              <w:adjustRightInd/>
              <w:textAlignment w:val="auto"/>
              <w:rPr>
                <w:rFonts w:cs="Arial"/>
                <w:color w:val="000000"/>
                <w:sz w:val="20"/>
                <w:lang w:eastAsia="en-GB"/>
              </w:rPr>
            </w:pPr>
            <w:r w:rsidRPr="00911F8B">
              <w:rPr>
                <w:rFonts w:cs="Arial"/>
                <w:color w:val="000000"/>
                <w:sz w:val="20"/>
                <w:lang w:eastAsia="en-GB"/>
              </w:rPr>
              <w:t>Ensure that a system for the identification, grading and investigation of SI’s is embedded in practice through:</w:t>
            </w:r>
            <w:r w:rsidRPr="00911F8B">
              <w:rPr>
                <w:rFonts w:cs="Arial"/>
                <w:color w:val="000000"/>
                <w:sz w:val="20"/>
                <w:lang w:eastAsia="en-GB"/>
              </w:rPr>
              <w:br/>
              <w:t>•Appropriate training to key staff members</w:t>
            </w:r>
            <w:r w:rsidRPr="00911F8B">
              <w:rPr>
                <w:rFonts w:cs="Arial"/>
                <w:color w:val="000000"/>
                <w:sz w:val="20"/>
                <w:lang w:eastAsia="en-GB"/>
              </w:rPr>
              <w:br/>
              <w:t>•Making investigations multidisciplinary and including external assessors.</w:t>
            </w:r>
          </w:p>
        </w:tc>
        <w:tc>
          <w:tcPr>
            <w:tcW w:w="2548" w:type="pct"/>
            <w:shd w:val="clear" w:color="auto" w:fill="auto"/>
            <w:hideMark/>
          </w:tcPr>
          <w:p w:rsidR="00911F8B" w:rsidRPr="00911F8B" w:rsidRDefault="00911F8B" w:rsidP="00911F8B">
            <w:pPr>
              <w:widowControl/>
              <w:overflowPunct/>
              <w:autoSpaceDE/>
              <w:autoSpaceDN/>
              <w:adjustRightInd/>
              <w:spacing w:after="240"/>
              <w:textAlignment w:val="auto"/>
              <w:rPr>
                <w:rFonts w:cs="Arial"/>
                <w:b/>
                <w:bCs/>
                <w:sz w:val="20"/>
                <w:lang w:eastAsia="en-GB"/>
              </w:rPr>
            </w:pPr>
            <w:r w:rsidRPr="00911F8B">
              <w:rPr>
                <w:rFonts w:cs="Arial"/>
                <w:b/>
                <w:bCs/>
                <w:sz w:val="20"/>
                <w:lang w:eastAsia="en-GB"/>
              </w:rPr>
              <w:t xml:space="preserve">Evidenced Through: </w:t>
            </w:r>
            <w:r w:rsidRPr="00911F8B">
              <w:rPr>
                <w:rFonts w:cs="Arial"/>
                <w:sz w:val="20"/>
                <w:lang w:eastAsia="en-GB"/>
              </w:rPr>
              <w:br/>
              <w:t xml:space="preserve">• The SI trigger list is available for senior midwifery staff and the clinical director and labour ward leads. </w:t>
            </w:r>
            <w:r w:rsidRPr="00911F8B">
              <w:rPr>
                <w:rFonts w:cs="Arial"/>
                <w:sz w:val="20"/>
                <w:lang w:eastAsia="en-GB"/>
              </w:rPr>
              <w:br/>
              <w:t>• The senior team all have access to Datix and will review all reported incidents within 24 hours (working days) to determine any requiring further investigation and possible SI reporting.</w:t>
            </w:r>
            <w:r w:rsidRPr="00911F8B">
              <w:rPr>
                <w:rFonts w:cs="Arial"/>
                <w:sz w:val="20"/>
                <w:lang w:eastAsia="en-GB"/>
              </w:rPr>
              <w:br/>
              <w:t>• MDT clinical incident meetings have been established to review incidents and identify any requiring SI reporting</w:t>
            </w:r>
            <w:r w:rsidRPr="00911F8B">
              <w:rPr>
                <w:rFonts w:cs="Arial"/>
                <w:sz w:val="20"/>
                <w:lang w:eastAsia="en-GB"/>
              </w:rPr>
              <w:br/>
              <w:t xml:space="preserve">• Incidents which staff consider ‘serious’ are reported to the senior midwifery staff – in and out of hours via the senior midwife on call rota </w:t>
            </w:r>
            <w:r w:rsidRPr="00911F8B">
              <w:rPr>
                <w:rFonts w:cs="Arial"/>
                <w:sz w:val="20"/>
                <w:lang w:eastAsia="en-GB"/>
              </w:rPr>
              <w:br/>
              <w:t>• There are a group of staff requiring RCA training which has been escalated to the corporate patient safety team who are currently sourcing the training.</w:t>
            </w:r>
            <w:r w:rsidRPr="00911F8B">
              <w:rPr>
                <w:rFonts w:cs="Arial"/>
                <w:sz w:val="20"/>
                <w:lang w:eastAsia="en-GB"/>
              </w:rPr>
              <w:br/>
              <w:t>• 03/12/19 Update: Draft SI trigger list from WG.</w:t>
            </w:r>
            <w:r w:rsidRPr="00911F8B">
              <w:rPr>
                <w:rFonts w:cs="Arial"/>
                <w:sz w:val="20"/>
                <w:lang w:eastAsia="en-GB"/>
              </w:rPr>
              <w:br/>
            </w:r>
            <w:r w:rsidRPr="00911F8B">
              <w:rPr>
                <w:rFonts w:cs="Arial"/>
                <w:sz w:val="20"/>
                <w:lang w:eastAsia="en-GB"/>
              </w:rPr>
              <w:br/>
            </w:r>
            <w:r w:rsidRPr="00911F8B">
              <w:rPr>
                <w:rFonts w:cs="Arial"/>
                <w:b/>
                <w:bCs/>
                <w:color w:val="FF0000"/>
                <w:sz w:val="20"/>
                <w:lang w:eastAsia="en-GB"/>
              </w:rPr>
              <w:t>Update 04/03/20: Further Evidence for next quarter</w:t>
            </w:r>
            <w:r w:rsidRPr="00911F8B">
              <w:rPr>
                <w:rFonts w:cs="Arial"/>
                <w:b/>
                <w:bCs/>
                <w:color w:val="FF0000"/>
                <w:sz w:val="20"/>
                <w:lang w:eastAsia="en-GB"/>
              </w:rPr>
              <w:br/>
            </w:r>
            <w:r w:rsidRPr="00911F8B">
              <w:rPr>
                <w:rFonts w:cs="Arial"/>
                <w:color w:val="000000"/>
                <w:sz w:val="20"/>
                <w:lang w:eastAsia="en-GB"/>
              </w:rPr>
              <w:t>Flow charts which clearly outcline process for SI's</w:t>
            </w:r>
            <w:r w:rsidRPr="00911F8B">
              <w:rPr>
                <w:rFonts w:cs="Arial"/>
                <w:color w:val="000000"/>
                <w:sz w:val="20"/>
                <w:lang w:eastAsia="en-GB"/>
              </w:rPr>
              <w:br/>
              <w:t xml:space="preserve">Reporting on themes </w:t>
            </w:r>
            <w:r w:rsidRPr="00911F8B">
              <w:rPr>
                <w:rFonts w:cs="Arial"/>
                <w:color w:val="000000"/>
                <w:sz w:val="20"/>
                <w:lang w:eastAsia="en-GB"/>
              </w:rPr>
              <w:br/>
              <w:t>Establishment of a learning to Improve Group</w:t>
            </w:r>
            <w:r w:rsidRPr="00911F8B">
              <w:rPr>
                <w:rFonts w:cs="Arial"/>
                <w:color w:val="000000"/>
                <w:sz w:val="20"/>
                <w:lang w:eastAsia="en-GB"/>
              </w:rPr>
              <w:br/>
              <w:t xml:space="preserve">Quarterly Impact Assessments </w:t>
            </w:r>
            <w:r w:rsidRPr="00911F8B">
              <w:rPr>
                <w:rFonts w:cs="Arial"/>
                <w:b/>
                <w:bCs/>
                <w:sz w:val="20"/>
                <w:lang w:eastAsia="en-GB"/>
              </w:rPr>
              <w:br/>
            </w:r>
          </w:p>
        </w:tc>
      </w:tr>
      <w:tr w:rsidR="00911F8B" w:rsidRPr="00911F8B" w:rsidTr="00AD5294">
        <w:trPr>
          <w:trHeight w:val="2670"/>
        </w:trPr>
        <w:tc>
          <w:tcPr>
            <w:tcW w:w="359" w:type="pct"/>
            <w:shd w:val="clear" w:color="000000" w:fill="E2EFDA"/>
            <w:hideMark/>
          </w:tcPr>
          <w:p w:rsidR="00911F8B" w:rsidRPr="00911F8B" w:rsidRDefault="00911F8B" w:rsidP="00911F8B">
            <w:pPr>
              <w:widowControl/>
              <w:overflowPunct/>
              <w:autoSpaceDE/>
              <w:autoSpaceDN/>
              <w:adjustRightInd/>
              <w:jc w:val="center"/>
              <w:textAlignment w:val="auto"/>
              <w:rPr>
                <w:rFonts w:cs="Arial"/>
                <w:b/>
                <w:bCs/>
                <w:sz w:val="20"/>
                <w:lang w:eastAsia="en-GB"/>
              </w:rPr>
            </w:pPr>
            <w:r w:rsidRPr="00911F8B">
              <w:rPr>
                <w:rFonts w:cs="Arial"/>
                <w:b/>
                <w:bCs/>
                <w:sz w:val="20"/>
                <w:lang w:eastAsia="en-GB"/>
              </w:rPr>
              <w:lastRenderedPageBreak/>
              <w:t>RCOG Rec: 7.20</w:t>
            </w:r>
          </w:p>
        </w:tc>
        <w:tc>
          <w:tcPr>
            <w:tcW w:w="491" w:type="pct"/>
            <w:shd w:val="clear" w:color="auto" w:fill="auto"/>
            <w:hideMark/>
          </w:tcPr>
          <w:p w:rsidR="00911F8B" w:rsidRPr="00911F8B" w:rsidRDefault="00911F8B" w:rsidP="00911F8B">
            <w:pPr>
              <w:widowControl/>
              <w:overflowPunct/>
              <w:autoSpaceDE/>
              <w:autoSpaceDN/>
              <w:adjustRightInd/>
              <w:textAlignment w:val="auto"/>
              <w:rPr>
                <w:rFonts w:cs="Arial"/>
                <w:color w:val="000000"/>
                <w:sz w:val="20"/>
                <w:lang w:eastAsia="en-GB"/>
              </w:rPr>
            </w:pPr>
            <w:r w:rsidRPr="00911F8B">
              <w:rPr>
                <w:rFonts w:cs="Arial"/>
                <w:color w:val="000000"/>
                <w:sz w:val="20"/>
                <w:lang w:eastAsia="en-GB"/>
              </w:rPr>
              <w:t xml:space="preserve">In progress </w:t>
            </w:r>
          </w:p>
        </w:tc>
        <w:tc>
          <w:tcPr>
            <w:tcW w:w="472" w:type="pct"/>
            <w:shd w:val="clear" w:color="auto" w:fill="auto"/>
            <w:hideMark/>
          </w:tcPr>
          <w:p w:rsidR="00911F8B" w:rsidRPr="00911F8B" w:rsidRDefault="00911F8B" w:rsidP="00911F8B">
            <w:pPr>
              <w:widowControl/>
              <w:overflowPunct/>
              <w:autoSpaceDE/>
              <w:autoSpaceDN/>
              <w:adjustRightInd/>
              <w:textAlignment w:val="auto"/>
              <w:rPr>
                <w:rFonts w:cs="Arial"/>
                <w:color w:val="000000"/>
                <w:sz w:val="20"/>
                <w:lang w:eastAsia="en-GB"/>
              </w:rPr>
            </w:pPr>
            <w:r w:rsidRPr="00911F8B">
              <w:rPr>
                <w:rFonts w:cs="Arial"/>
                <w:color w:val="000000"/>
                <w:sz w:val="20"/>
                <w:lang w:eastAsia="en-GB"/>
              </w:rPr>
              <w:t> </w:t>
            </w:r>
          </w:p>
        </w:tc>
        <w:tc>
          <w:tcPr>
            <w:tcW w:w="424" w:type="pct"/>
            <w:shd w:val="clear" w:color="auto" w:fill="auto"/>
            <w:hideMark/>
          </w:tcPr>
          <w:p w:rsidR="00911F8B" w:rsidRPr="00911F8B" w:rsidRDefault="00911F8B" w:rsidP="00911F8B">
            <w:pPr>
              <w:widowControl/>
              <w:overflowPunct/>
              <w:autoSpaceDE/>
              <w:autoSpaceDN/>
              <w:adjustRightInd/>
              <w:textAlignment w:val="auto"/>
              <w:rPr>
                <w:rFonts w:cs="Arial"/>
                <w:color w:val="000000"/>
                <w:sz w:val="20"/>
                <w:lang w:eastAsia="en-GB"/>
              </w:rPr>
            </w:pPr>
            <w:r w:rsidRPr="00911F8B">
              <w:rPr>
                <w:rFonts w:cs="Arial"/>
                <w:color w:val="000000"/>
                <w:sz w:val="20"/>
                <w:lang w:eastAsia="en-GB"/>
              </w:rPr>
              <w:t xml:space="preserve">  </w:t>
            </w:r>
          </w:p>
        </w:tc>
        <w:tc>
          <w:tcPr>
            <w:tcW w:w="706" w:type="pct"/>
            <w:shd w:val="clear" w:color="auto" w:fill="auto"/>
            <w:hideMark/>
          </w:tcPr>
          <w:p w:rsidR="00911F8B" w:rsidRPr="00911F8B" w:rsidRDefault="00911F8B" w:rsidP="00911F8B">
            <w:pPr>
              <w:widowControl/>
              <w:overflowPunct/>
              <w:autoSpaceDE/>
              <w:autoSpaceDN/>
              <w:adjustRightInd/>
              <w:textAlignment w:val="auto"/>
              <w:rPr>
                <w:rFonts w:cs="Arial"/>
                <w:color w:val="000000"/>
                <w:sz w:val="20"/>
                <w:lang w:eastAsia="en-GB"/>
              </w:rPr>
            </w:pPr>
            <w:r w:rsidRPr="00911F8B">
              <w:rPr>
                <w:rFonts w:cs="Arial"/>
                <w:color w:val="000000"/>
                <w:sz w:val="20"/>
                <w:lang w:eastAsia="en-GB"/>
              </w:rPr>
              <w:t>Actively seek to remove the ‘blame culture’ to allow all staff to develop a willingness to report and learn from Sis.</w:t>
            </w:r>
          </w:p>
        </w:tc>
        <w:tc>
          <w:tcPr>
            <w:tcW w:w="2548" w:type="pct"/>
            <w:shd w:val="clear" w:color="auto" w:fill="auto"/>
            <w:hideMark/>
          </w:tcPr>
          <w:p w:rsidR="00911F8B" w:rsidRPr="00911F8B" w:rsidRDefault="00911F8B" w:rsidP="00911F8B">
            <w:pPr>
              <w:widowControl/>
              <w:overflowPunct/>
              <w:autoSpaceDE/>
              <w:autoSpaceDN/>
              <w:adjustRightInd/>
              <w:textAlignment w:val="auto"/>
              <w:rPr>
                <w:rFonts w:cs="Arial"/>
                <w:sz w:val="20"/>
                <w:lang w:eastAsia="en-GB"/>
              </w:rPr>
            </w:pPr>
            <w:r w:rsidRPr="00911F8B">
              <w:rPr>
                <w:rFonts w:cs="Arial"/>
                <w:b/>
                <w:bCs/>
                <w:sz w:val="20"/>
                <w:lang w:eastAsia="en-GB"/>
              </w:rPr>
              <w:t>Evidenced Through:</w:t>
            </w:r>
            <w:r w:rsidRPr="00911F8B">
              <w:rPr>
                <w:rFonts w:cs="Arial"/>
                <w:sz w:val="20"/>
                <w:lang w:eastAsia="en-GB"/>
              </w:rPr>
              <w:br/>
              <w:t xml:space="preserve">• Governance infrastructure developed to support no blame culture. Learning from SI's, complaints and patient stories now being used more openly at governance days. Staff feedback at PCH is that safety briefings can still feel critical and bruising.  </w:t>
            </w:r>
            <w:r w:rsidRPr="00911F8B">
              <w:rPr>
                <w:rFonts w:cs="Arial"/>
                <w:sz w:val="20"/>
                <w:lang w:eastAsia="en-GB"/>
              </w:rPr>
              <w:br/>
              <w:t xml:space="preserve">• Need to build in work programme that includes how to give and receive feedback </w:t>
            </w:r>
            <w:r w:rsidRPr="00911F8B">
              <w:rPr>
                <w:rFonts w:cs="Arial"/>
                <w:sz w:val="20"/>
                <w:lang w:eastAsia="en-GB"/>
              </w:rPr>
              <w:br/>
              <w:t xml:space="preserve">03/12/2019 Update: External agencies providing training to all staff. Plan currently being completed.  </w:t>
            </w:r>
            <w:r w:rsidRPr="00911F8B">
              <w:rPr>
                <w:rFonts w:cs="Arial"/>
                <w:sz w:val="20"/>
                <w:lang w:eastAsia="en-GB"/>
              </w:rPr>
              <w:br/>
              <w:t xml:space="preserve">OD Programme </w:t>
            </w:r>
            <w:r w:rsidRPr="00911F8B">
              <w:rPr>
                <w:rFonts w:cs="Arial"/>
                <w:sz w:val="20"/>
                <w:lang w:eastAsia="en-GB"/>
              </w:rPr>
              <w:br/>
              <w:t xml:space="preserve">New management team </w:t>
            </w:r>
            <w:r w:rsidRPr="00911F8B">
              <w:rPr>
                <w:rFonts w:cs="Arial"/>
                <w:sz w:val="20"/>
                <w:lang w:eastAsia="en-GB"/>
              </w:rPr>
              <w:br/>
              <w:t>H</w:t>
            </w:r>
            <w:r>
              <w:rPr>
                <w:rFonts w:cs="Arial"/>
                <w:sz w:val="20"/>
                <w:lang w:eastAsia="en-GB"/>
              </w:rPr>
              <w:t xml:space="preserve">EIW feedback </w:t>
            </w:r>
            <w:r>
              <w:rPr>
                <w:rFonts w:cs="Arial"/>
                <w:sz w:val="20"/>
                <w:lang w:eastAsia="en-GB"/>
              </w:rPr>
              <w:br/>
              <w:t xml:space="preserve">Datix training </w:t>
            </w:r>
            <w:r>
              <w:rPr>
                <w:rFonts w:cs="Arial"/>
                <w:sz w:val="20"/>
                <w:lang w:eastAsia="en-GB"/>
              </w:rPr>
              <w:br/>
            </w:r>
            <w:r>
              <w:rPr>
                <w:rFonts w:cs="Arial"/>
                <w:sz w:val="20"/>
                <w:lang w:eastAsia="en-GB"/>
              </w:rPr>
              <w:br/>
            </w:r>
          </w:p>
        </w:tc>
      </w:tr>
      <w:tr w:rsidR="00911F8B" w:rsidRPr="00911F8B" w:rsidTr="00AD5294">
        <w:trPr>
          <w:trHeight w:val="2445"/>
        </w:trPr>
        <w:tc>
          <w:tcPr>
            <w:tcW w:w="359" w:type="pct"/>
            <w:shd w:val="clear" w:color="000000" w:fill="E2EFDA"/>
            <w:hideMark/>
          </w:tcPr>
          <w:p w:rsidR="00911F8B" w:rsidRPr="00911F8B" w:rsidRDefault="00911F8B" w:rsidP="00911F8B">
            <w:pPr>
              <w:widowControl/>
              <w:overflowPunct/>
              <w:autoSpaceDE/>
              <w:autoSpaceDN/>
              <w:adjustRightInd/>
              <w:jc w:val="center"/>
              <w:textAlignment w:val="auto"/>
              <w:rPr>
                <w:rFonts w:cs="Arial"/>
                <w:b/>
                <w:bCs/>
                <w:sz w:val="20"/>
                <w:lang w:eastAsia="en-GB"/>
              </w:rPr>
            </w:pPr>
            <w:r w:rsidRPr="00911F8B">
              <w:rPr>
                <w:rFonts w:cs="Arial"/>
                <w:b/>
                <w:bCs/>
                <w:sz w:val="20"/>
                <w:lang w:eastAsia="en-GB"/>
              </w:rPr>
              <w:t xml:space="preserve">RCOG Rec: </w:t>
            </w:r>
            <w:r w:rsidRPr="00911F8B">
              <w:rPr>
                <w:rFonts w:cs="Arial"/>
                <w:b/>
                <w:bCs/>
                <w:sz w:val="20"/>
                <w:lang w:eastAsia="en-GB"/>
              </w:rPr>
              <w:br/>
              <w:t xml:space="preserve"> 7.27</w:t>
            </w:r>
          </w:p>
        </w:tc>
        <w:tc>
          <w:tcPr>
            <w:tcW w:w="491" w:type="pct"/>
            <w:shd w:val="clear" w:color="auto" w:fill="auto"/>
            <w:hideMark/>
          </w:tcPr>
          <w:p w:rsidR="00911F8B" w:rsidRPr="00911F8B" w:rsidRDefault="00911F8B" w:rsidP="00911F8B">
            <w:pPr>
              <w:widowControl/>
              <w:overflowPunct/>
              <w:autoSpaceDE/>
              <w:autoSpaceDN/>
              <w:adjustRightInd/>
              <w:textAlignment w:val="auto"/>
              <w:rPr>
                <w:rFonts w:cs="Arial"/>
                <w:color w:val="000000"/>
                <w:sz w:val="20"/>
                <w:lang w:eastAsia="en-GB"/>
              </w:rPr>
            </w:pPr>
            <w:r w:rsidRPr="00911F8B">
              <w:rPr>
                <w:rFonts w:cs="Arial"/>
                <w:color w:val="000000"/>
                <w:sz w:val="20"/>
                <w:lang w:eastAsia="en-GB"/>
              </w:rPr>
              <w:t xml:space="preserve">In progress </w:t>
            </w:r>
          </w:p>
        </w:tc>
        <w:tc>
          <w:tcPr>
            <w:tcW w:w="472" w:type="pct"/>
            <w:shd w:val="clear" w:color="auto" w:fill="auto"/>
            <w:hideMark/>
          </w:tcPr>
          <w:p w:rsidR="00911F8B" w:rsidRPr="00911F8B" w:rsidRDefault="00911F8B" w:rsidP="00911F8B">
            <w:pPr>
              <w:widowControl/>
              <w:overflowPunct/>
              <w:autoSpaceDE/>
              <w:autoSpaceDN/>
              <w:adjustRightInd/>
              <w:jc w:val="center"/>
              <w:textAlignment w:val="auto"/>
              <w:rPr>
                <w:rFonts w:cs="Arial"/>
                <w:b/>
                <w:bCs/>
                <w:color w:val="FF0000"/>
                <w:sz w:val="20"/>
                <w:lang w:eastAsia="en-GB"/>
              </w:rPr>
            </w:pPr>
            <w:r w:rsidRPr="00911F8B">
              <w:rPr>
                <w:rFonts w:cs="Arial"/>
                <w:b/>
                <w:bCs/>
                <w:color w:val="FF0000"/>
                <w:sz w:val="20"/>
                <w:lang w:eastAsia="en-GB"/>
              </w:rPr>
              <w:t xml:space="preserve">Further Evidence for Consideration </w:t>
            </w:r>
            <w:r w:rsidRPr="00911F8B">
              <w:rPr>
                <w:rFonts w:cs="Arial"/>
                <w:b/>
                <w:bCs/>
                <w:color w:val="FF0000"/>
                <w:sz w:val="20"/>
                <w:lang w:eastAsia="en-GB"/>
              </w:rPr>
              <w:br/>
              <w:t>09/03/2020</w:t>
            </w:r>
          </w:p>
        </w:tc>
        <w:tc>
          <w:tcPr>
            <w:tcW w:w="424" w:type="pct"/>
            <w:shd w:val="clear" w:color="auto" w:fill="auto"/>
            <w:hideMark/>
          </w:tcPr>
          <w:p w:rsidR="00911F8B" w:rsidRPr="00911F8B" w:rsidRDefault="00911F8B" w:rsidP="00911F8B">
            <w:pPr>
              <w:widowControl/>
              <w:overflowPunct/>
              <w:autoSpaceDE/>
              <w:autoSpaceDN/>
              <w:adjustRightInd/>
              <w:textAlignment w:val="auto"/>
              <w:rPr>
                <w:rFonts w:cs="Arial"/>
                <w:color w:val="000000"/>
                <w:sz w:val="20"/>
                <w:lang w:eastAsia="en-GB"/>
              </w:rPr>
            </w:pPr>
            <w:r w:rsidRPr="00911F8B">
              <w:rPr>
                <w:rFonts w:cs="Arial"/>
                <w:color w:val="000000"/>
                <w:sz w:val="20"/>
                <w:lang w:eastAsia="en-GB"/>
              </w:rPr>
              <w:t> </w:t>
            </w:r>
          </w:p>
        </w:tc>
        <w:tc>
          <w:tcPr>
            <w:tcW w:w="706" w:type="pct"/>
            <w:shd w:val="clear" w:color="auto" w:fill="auto"/>
            <w:hideMark/>
          </w:tcPr>
          <w:p w:rsidR="00911F8B" w:rsidRDefault="00911F8B" w:rsidP="00911F8B">
            <w:pPr>
              <w:widowControl/>
              <w:overflowPunct/>
              <w:autoSpaceDE/>
              <w:autoSpaceDN/>
              <w:adjustRightInd/>
              <w:textAlignment w:val="auto"/>
              <w:rPr>
                <w:rFonts w:cs="Arial"/>
                <w:color w:val="000000"/>
                <w:sz w:val="20"/>
                <w:lang w:eastAsia="en-GB"/>
              </w:rPr>
            </w:pPr>
            <w:r w:rsidRPr="00911F8B">
              <w:rPr>
                <w:rFonts w:cs="Arial"/>
                <w:color w:val="000000"/>
                <w:sz w:val="20"/>
                <w:lang w:eastAsia="en-GB"/>
              </w:rPr>
              <w:t>Consider extra resource to the Maternity Governance and Risk team to ensure:</w:t>
            </w:r>
            <w:r w:rsidRPr="00911F8B">
              <w:rPr>
                <w:rFonts w:cs="Arial"/>
                <w:color w:val="000000"/>
                <w:sz w:val="20"/>
                <w:lang w:eastAsia="en-GB"/>
              </w:rPr>
              <w:br/>
              <w:t>• Workload is manageable</w:t>
            </w:r>
            <w:r w:rsidRPr="00911F8B">
              <w:rPr>
                <w:rFonts w:cs="Arial"/>
                <w:color w:val="000000"/>
                <w:sz w:val="20"/>
                <w:lang w:eastAsia="en-GB"/>
              </w:rPr>
              <w:br/>
              <w:t>• That Datix are reviewed, graded and actioned in an appropriate and timely manner</w:t>
            </w:r>
          </w:p>
          <w:p w:rsidR="00245EB3" w:rsidRPr="00911F8B" w:rsidRDefault="00245EB3" w:rsidP="00911F8B">
            <w:pPr>
              <w:widowControl/>
              <w:overflowPunct/>
              <w:autoSpaceDE/>
              <w:autoSpaceDN/>
              <w:adjustRightInd/>
              <w:textAlignment w:val="auto"/>
              <w:rPr>
                <w:rFonts w:cs="Arial"/>
                <w:color w:val="000000"/>
                <w:sz w:val="20"/>
                <w:lang w:eastAsia="en-GB"/>
              </w:rPr>
            </w:pPr>
          </w:p>
        </w:tc>
        <w:tc>
          <w:tcPr>
            <w:tcW w:w="2548" w:type="pct"/>
            <w:shd w:val="clear" w:color="auto" w:fill="auto"/>
            <w:hideMark/>
          </w:tcPr>
          <w:p w:rsidR="00911F8B" w:rsidRPr="00AD5294" w:rsidRDefault="00911F8B" w:rsidP="00AD5294">
            <w:pPr>
              <w:widowControl/>
              <w:overflowPunct/>
              <w:autoSpaceDE/>
              <w:autoSpaceDN/>
              <w:adjustRightInd/>
              <w:spacing w:after="240"/>
              <w:textAlignment w:val="auto"/>
              <w:rPr>
                <w:rFonts w:cs="Arial"/>
                <w:color w:val="000000"/>
                <w:sz w:val="20"/>
                <w:lang w:eastAsia="en-GB"/>
              </w:rPr>
            </w:pPr>
            <w:r w:rsidRPr="00AD5294">
              <w:rPr>
                <w:rFonts w:cs="Arial"/>
                <w:b/>
                <w:bCs/>
                <w:color w:val="FF0000"/>
                <w:sz w:val="20"/>
                <w:lang w:eastAsia="en-GB"/>
              </w:rPr>
              <w:t>Additional Evidence: 04/03/2020</w:t>
            </w:r>
            <w:r w:rsidRPr="00AD5294">
              <w:rPr>
                <w:rFonts w:cs="Arial"/>
                <w:b/>
                <w:bCs/>
                <w:sz w:val="20"/>
                <w:lang w:eastAsia="en-GB"/>
              </w:rPr>
              <w:br/>
            </w:r>
            <w:r w:rsidRPr="00AD5294">
              <w:rPr>
                <w:rFonts w:cs="Arial"/>
                <w:color w:val="000000"/>
                <w:sz w:val="20"/>
                <w:lang w:eastAsia="en-GB"/>
              </w:rPr>
              <w:t xml:space="preserve">Lead midwife for Governance has been appointed </w:t>
            </w:r>
            <w:r w:rsidRPr="00AD5294">
              <w:rPr>
                <w:rFonts w:cs="Arial"/>
                <w:color w:val="000000"/>
                <w:sz w:val="20"/>
                <w:lang w:eastAsia="en-GB"/>
              </w:rPr>
              <w:br/>
              <w:t xml:space="preserve">Putting Things Right Team has been established which includes a Complaints Handler, Administrative Support, Claims Manager </w:t>
            </w:r>
            <w:r w:rsidRPr="00AD5294">
              <w:rPr>
                <w:rFonts w:cs="Arial"/>
                <w:color w:val="000000"/>
                <w:sz w:val="20"/>
                <w:lang w:eastAsia="en-GB"/>
              </w:rPr>
              <w:br/>
              <w:t>All new complaints are managed under PTR and performance is monitored on a weekly basis</w:t>
            </w:r>
            <w:r w:rsidR="00AD5294">
              <w:rPr>
                <w:rFonts w:cs="Arial"/>
                <w:color w:val="000000"/>
                <w:sz w:val="20"/>
                <w:lang w:eastAsia="en-GB"/>
              </w:rPr>
              <w:t xml:space="preserve"> via weekly reports to Executive Group, Corporate Team and Maternity Team</w:t>
            </w:r>
          </w:p>
          <w:p w:rsidR="00AD5294" w:rsidRPr="00AD5294" w:rsidRDefault="00AD5294" w:rsidP="00AD5294">
            <w:pPr>
              <w:widowControl/>
              <w:overflowPunct/>
              <w:autoSpaceDE/>
              <w:autoSpaceDN/>
              <w:adjustRightInd/>
              <w:spacing w:after="240"/>
              <w:textAlignment w:val="auto"/>
              <w:rPr>
                <w:rFonts w:cs="Arial"/>
                <w:sz w:val="20"/>
                <w:lang w:eastAsia="en-GB"/>
              </w:rPr>
            </w:pPr>
          </w:p>
        </w:tc>
      </w:tr>
      <w:tr w:rsidR="00911F8B" w:rsidRPr="00911F8B" w:rsidTr="00AD5294">
        <w:trPr>
          <w:trHeight w:val="134"/>
        </w:trPr>
        <w:tc>
          <w:tcPr>
            <w:tcW w:w="359" w:type="pct"/>
            <w:shd w:val="clear" w:color="000000" w:fill="E2EFDA"/>
            <w:hideMark/>
          </w:tcPr>
          <w:p w:rsidR="00911F8B" w:rsidRPr="00911F8B" w:rsidRDefault="00911F8B" w:rsidP="00911F8B">
            <w:pPr>
              <w:widowControl/>
              <w:overflowPunct/>
              <w:autoSpaceDE/>
              <w:autoSpaceDN/>
              <w:adjustRightInd/>
              <w:spacing w:after="240"/>
              <w:jc w:val="center"/>
              <w:textAlignment w:val="auto"/>
              <w:rPr>
                <w:rFonts w:cs="Arial"/>
                <w:color w:val="000000"/>
                <w:sz w:val="20"/>
                <w:lang w:eastAsia="en-GB"/>
              </w:rPr>
            </w:pPr>
            <w:r w:rsidRPr="00911F8B">
              <w:rPr>
                <w:rFonts w:cs="Arial"/>
                <w:b/>
                <w:bCs/>
                <w:color w:val="000000"/>
                <w:sz w:val="20"/>
                <w:lang w:eastAsia="en-GB"/>
              </w:rPr>
              <w:t>RCOG Rec:  7.51</w:t>
            </w:r>
            <w:r w:rsidR="009A6D21">
              <w:rPr>
                <w:rFonts w:cs="Arial"/>
                <w:color w:val="000000"/>
                <w:sz w:val="20"/>
                <w:lang w:eastAsia="en-GB"/>
              </w:rPr>
              <w:br/>
            </w:r>
            <w:r w:rsidR="009A6D21">
              <w:rPr>
                <w:rFonts w:cs="Arial"/>
                <w:color w:val="000000"/>
                <w:sz w:val="20"/>
                <w:lang w:eastAsia="en-GB"/>
              </w:rPr>
              <w:br/>
            </w:r>
            <w:r w:rsidR="009A6D21">
              <w:rPr>
                <w:rFonts w:cs="Arial"/>
                <w:color w:val="000000"/>
                <w:sz w:val="20"/>
                <w:lang w:eastAsia="en-GB"/>
              </w:rPr>
              <w:br/>
            </w:r>
            <w:r w:rsidR="009A6D21">
              <w:rPr>
                <w:rFonts w:cs="Arial"/>
                <w:color w:val="000000"/>
                <w:sz w:val="20"/>
                <w:lang w:eastAsia="en-GB"/>
              </w:rPr>
              <w:br/>
            </w:r>
            <w:r w:rsidR="009A6D21">
              <w:rPr>
                <w:rFonts w:cs="Arial"/>
                <w:color w:val="000000"/>
                <w:sz w:val="20"/>
                <w:lang w:eastAsia="en-GB"/>
              </w:rPr>
              <w:br/>
            </w:r>
            <w:r w:rsidR="009A6D21">
              <w:rPr>
                <w:rFonts w:cs="Arial"/>
                <w:color w:val="000000"/>
                <w:sz w:val="20"/>
                <w:lang w:eastAsia="en-GB"/>
              </w:rPr>
              <w:br/>
            </w:r>
            <w:r w:rsidR="009A6D21">
              <w:rPr>
                <w:rFonts w:cs="Arial"/>
                <w:color w:val="000000"/>
                <w:sz w:val="20"/>
                <w:lang w:eastAsia="en-GB"/>
              </w:rPr>
              <w:br/>
            </w:r>
            <w:r w:rsidR="009A6D21">
              <w:rPr>
                <w:rFonts w:cs="Arial"/>
                <w:color w:val="000000"/>
                <w:sz w:val="20"/>
                <w:lang w:eastAsia="en-GB"/>
              </w:rPr>
              <w:br/>
            </w:r>
            <w:r w:rsidR="009A6D21">
              <w:rPr>
                <w:rFonts w:cs="Arial"/>
                <w:color w:val="000000"/>
                <w:sz w:val="20"/>
                <w:lang w:eastAsia="en-GB"/>
              </w:rPr>
              <w:br/>
            </w:r>
            <w:r w:rsidRPr="00911F8B">
              <w:rPr>
                <w:rFonts w:cs="Arial"/>
                <w:color w:val="000000"/>
                <w:sz w:val="20"/>
                <w:lang w:eastAsia="en-GB"/>
              </w:rPr>
              <w:br/>
            </w:r>
            <w:r w:rsidRPr="00911F8B">
              <w:rPr>
                <w:rFonts w:cs="Arial"/>
                <w:color w:val="000000"/>
                <w:sz w:val="20"/>
                <w:lang w:eastAsia="en-GB"/>
              </w:rPr>
              <w:br/>
            </w:r>
            <w:r w:rsidRPr="00911F8B">
              <w:rPr>
                <w:rFonts w:cs="Arial"/>
                <w:color w:val="000000"/>
                <w:sz w:val="20"/>
                <w:lang w:eastAsia="en-GB"/>
              </w:rPr>
              <w:br/>
            </w:r>
            <w:r w:rsidRPr="00911F8B">
              <w:rPr>
                <w:rFonts w:cs="Arial"/>
                <w:color w:val="000000"/>
                <w:sz w:val="20"/>
                <w:lang w:eastAsia="en-GB"/>
              </w:rPr>
              <w:br/>
            </w:r>
            <w:r w:rsidRPr="00911F8B">
              <w:rPr>
                <w:rFonts w:cs="Arial"/>
                <w:color w:val="000000"/>
                <w:sz w:val="20"/>
                <w:lang w:eastAsia="en-GB"/>
              </w:rPr>
              <w:br/>
            </w:r>
          </w:p>
        </w:tc>
        <w:tc>
          <w:tcPr>
            <w:tcW w:w="491" w:type="pct"/>
            <w:shd w:val="clear" w:color="auto" w:fill="auto"/>
            <w:noWrap/>
            <w:hideMark/>
          </w:tcPr>
          <w:p w:rsidR="00911F8B" w:rsidRPr="00911F8B" w:rsidRDefault="00911F8B" w:rsidP="00911F8B">
            <w:pPr>
              <w:widowControl/>
              <w:overflowPunct/>
              <w:autoSpaceDE/>
              <w:autoSpaceDN/>
              <w:adjustRightInd/>
              <w:jc w:val="center"/>
              <w:textAlignment w:val="auto"/>
              <w:rPr>
                <w:rFonts w:cs="Arial"/>
                <w:color w:val="000000"/>
                <w:sz w:val="20"/>
                <w:lang w:eastAsia="en-GB"/>
              </w:rPr>
            </w:pPr>
            <w:r w:rsidRPr="00911F8B">
              <w:rPr>
                <w:rFonts w:cs="Arial"/>
                <w:color w:val="000000"/>
                <w:sz w:val="20"/>
                <w:lang w:eastAsia="en-GB"/>
              </w:rPr>
              <w:t>In progress</w:t>
            </w:r>
          </w:p>
        </w:tc>
        <w:tc>
          <w:tcPr>
            <w:tcW w:w="472" w:type="pct"/>
            <w:shd w:val="clear" w:color="auto" w:fill="auto"/>
            <w:noWrap/>
            <w:hideMark/>
          </w:tcPr>
          <w:p w:rsidR="00911F8B" w:rsidRPr="00911F8B" w:rsidRDefault="00911F8B" w:rsidP="00911F8B">
            <w:pPr>
              <w:widowControl/>
              <w:overflowPunct/>
              <w:autoSpaceDE/>
              <w:autoSpaceDN/>
              <w:adjustRightInd/>
              <w:jc w:val="center"/>
              <w:textAlignment w:val="auto"/>
              <w:rPr>
                <w:rFonts w:cs="Arial"/>
                <w:color w:val="000000"/>
                <w:sz w:val="20"/>
                <w:lang w:eastAsia="en-GB"/>
              </w:rPr>
            </w:pPr>
            <w:r w:rsidRPr="00911F8B">
              <w:rPr>
                <w:rFonts w:cs="Arial"/>
                <w:color w:val="000000"/>
                <w:sz w:val="20"/>
                <w:lang w:eastAsia="en-GB"/>
              </w:rPr>
              <w:t> </w:t>
            </w:r>
          </w:p>
        </w:tc>
        <w:tc>
          <w:tcPr>
            <w:tcW w:w="424" w:type="pct"/>
            <w:shd w:val="clear" w:color="auto" w:fill="auto"/>
            <w:hideMark/>
          </w:tcPr>
          <w:p w:rsidR="00911F8B" w:rsidRDefault="009A6D21" w:rsidP="00911F8B">
            <w:pPr>
              <w:widowControl/>
              <w:overflowPunct/>
              <w:autoSpaceDE/>
              <w:autoSpaceDN/>
              <w:adjustRightInd/>
              <w:jc w:val="center"/>
              <w:textAlignment w:val="auto"/>
              <w:rPr>
                <w:rFonts w:cs="Arial"/>
                <w:b/>
                <w:bCs/>
                <w:color w:val="000000"/>
                <w:sz w:val="20"/>
                <w:lang w:eastAsia="en-GB"/>
              </w:rPr>
            </w:pPr>
            <w:r>
              <w:rPr>
                <w:rFonts w:cs="Arial"/>
                <w:b/>
                <w:bCs/>
                <w:color w:val="000000"/>
                <w:sz w:val="20"/>
                <w:lang w:eastAsia="en-GB"/>
              </w:rPr>
              <w:t>Ongoing</w:t>
            </w:r>
          </w:p>
          <w:p w:rsidR="00911F8B" w:rsidRPr="00911F8B" w:rsidRDefault="00911F8B" w:rsidP="00911F8B">
            <w:pPr>
              <w:rPr>
                <w:rFonts w:cs="Arial"/>
                <w:sz w:val="20"/>
                <w:lang w:eastAsia="en-GB"/>
              </w:rPr>
            </w:pPr>
          </w:p>
          <w:p w:rsidR="00911F8B" w:rsidRPr="00911F8B" w:rsidRDefault="00911F8B" w:rsidP="00911F8B">
            <w:pPr>
              <w:rPr>
                <w:rFonts w:cs="Arial"/>
                <w:sz w:val="20"/>
                <w:lang w:eastAsia="en-GB"/>
              </w:rPr>
            </w:pPr>
          </w:p>
          <w:p w:rsidR="00911F8B" w:rsidRPr="00911F8B" w:rsidRDefault="00911F8B" w:rsidP="00911F8B">
            <w:pPr>
              <w:rPr>
                <w:rFonts w:cs="Arial"/>
                <w:sz w:val="20"/>
                <w:lang w:eastAsia="en-GB"/>
              </w:rPr>
            </w:pPr>
          </w:p>
          <w:p w:rsidR="00911F8B" w:rsidRPr="00911F8B" w:rsidRDefault="00911F8B" w:rsidP="00911F8B">
            <w:pPr>
              <w:rPr>
                <w:rFonts w:cs="Arial"/>
                <w:sz w:val="20"/>
                <w:lang w:eastAsia="en-GB"/>
              </w:rPr>
            </w:pPr>
          </w:p>
          <w:p w:rsidR="00911F8B" w:rsidRPr="00911F8B" w:rsidRDefault="00911F8B" w:rsidP="00911F8B">
            <w:pPr>
              <w:rPr>
                <w:rFonts w:cs="Arial"/>
                <w:sz w:val="20"/>
                <w:lang w:eastAsia="en-GB"/>
              </w:rPr>
            </w:pPr>
          </w:p>
          <w:p w:rsidR="00911F8B" w:rsidRPr="00911F8B" w:rsidRDefault="00911F8B" w:rsidP="00911F8B">
            <w:pPr>
              <w:rPr>
                <w:rFonts w:cs="Arial"/>
                <w:sz w:val="20"/>
                <w:lang w:eastAsia="en-GB"/>
              </w:rPr>
            </w:pPr>
          </w:p>
          <w:p w:rsidR="00911F8B" w:rsidRPr="00911F8B" w:rsidRDefault="00911F8B" w:rsidP="00911F8B">
            <w:pPr>
              <w:rPr>
                <w:rFonts w:cs="Arial"/>
                <w:sz w:val="20"/>
                <w:lang w:eastAsia="en-GB"/>
              </w:rPr>
            </w:pPr>
          </w:p>
          <w:p w:rsidR="00911F8B" w:rsidRPr="00911F8B" w:rsidRDefault="00911F8B" w:rsidP="00911F8B">
            <w:pPr>
              <w:rPr>
                <w:rFonts w:cs="Arial"/>
                <w:sz w:val="20"/>
                <w:lang w:eastAsia="en-GB"/>
              </w:rPr>
            </w:pPr>
          </w:p>
          <w:p w:rsidR="00911F8B" w:rsidRPr="00911F8B" w:rsidRDefault="00911F8B" w:rsidP="00911F8B">
            <w:pPr>
              <w:rPr>
                <w:rFonts w:cs="Arial"/>
                <w:sz w:val="20"/>
                <w:lang w:eastAsia="en-GB"/>
              </w:rPr>
            </w:pPr>
          </w:p>
          <w:p w:rsidR="00911F8B" w:rsidRPr="00911F8B" w:rsidRDefault="00911F8B" w:rsidP="00911F8B">
            <w:pPr>
              <w:rPr>
                <w:rFonts w:cs="Arial"/>
                <w:sz w:val="20"/>
                <w:lang w:eastAsia="en-GB"/>
              </w:rPr>
            </w:pPr>
          </w:p>
          <w:p w:rsidR="00911F8B" w:rsidRPr="00911F8B" w:rsidRDefault="00911F8B" w:rsidP="00911F8B">
            <w:pPr>
              <w:rPr>
                <w:rFonts w:cs="Arial"/>
                <w:sz w:val="20"/>
                <w:lang w:eastAsia="en-GB"/>
              </w:rPr>
            </w:pPr>
          </w:p>
          <w:p w:rsidR="00911F8B" w:rsidRPr="00911F8B" w:rsidRDefault="00911F8B" w:rsidP="00911F8B">
            <w:pPr>
              <w:rPr>
                <w:rFonts w:cs="Arial"/>
                <w:sz w:val="20"/>
                <w:lang w:eastAsia="en-GB"/>
              </w:rPr>
            </w:pPr>
          </w:p>
          <w:p w:rsidR="00911F8B" w:rsidRPr="00911F8B" w:rsidRDefault="00911F8B" w:rsidP="00911F8B">
            <w:pPr>
              <w:rPr>
                <w:rFonts w:cs="Arial"/>
                <w:sz w:val="20"/>
                <w:lang w:eastAsia="en-GB"/>
              </w:rPr>
            </w:pPr>
          </w:p>
        </w:tc>
        <w:tc>
          <w:tcPr>
            <w:tcW w:w="706" w:type="pct"/>
            <w:shd w:val="clear" w:color="auto" w:fill="auto"/>
            <w:hideMark/>
          </w:tcPr>
          <w:p w:rsidR="00911F8B" w:rsidRDefault="00911F8B" w:rsidP="00911F8B">
            <w:pPr>
              <w:widowControl/>
              <w:overflowPunct/>
              <w:autoSpaceDE/>
              <w:autoSpaceDN/>
              <w:adjustRightInd/>
              <w:spacing w:after="240"/>
              <w:textAlignment w:val="auto"/>
              <w:rPr>
                <w:rFonts w:cs="Arial"/>
                <w:color w:val="000000"/>
                <w:sz w:val="20"/>
                <w:lang w:eastAsia="en-GB"/>
              </w:rPr>
            </w:pPr>
            <w:r w:rsidRPr="00911F8B">
              <w:rPr>
                <w:rFonts w:cs="Arial"/>
                <w:color w:val="000000"/>
                <w:sz w:val="20"/>
                <w:lang w:eastAsia="en-GB"/>
              </w:rPr>
              <w:t>Ensure responses to complaints and concerns is core to the work being undertaken to improve governance and patient safety:</w:t>
            </w:r>
            <w:r w:rsidRPr="00911F8B">
              <w:rPr>
                <w:rFonts w:cs="Arial"/>
                <w:color w:val="000000"/>
                <w:sz w:val="20"/>
                <w:lang w:eastAsia="en-GB"/>
              </w:rPr>
              <w:br/>
            </w:r>
          </w:p>
          <w:p w:rsidR="00911F8B" w:rsidRPr="00911F8B" w:rsidRDefault="00911F8B" w:rsidP="00911F8B">
            <w:pPr>
              <w:rPr>
                <w:rFonts w:cs="Arial"/>
                <w:sz w:val="20"/>
                <w:lang w:eastAsia="en-GB"/>
              </w:rPr>
            </w:pPr>
          </w:p>
          <w:p w:rsidR="00911F8B" w:rsidRPr="00911F8B" w:rsidRDefault="00911F8B" w:rsidP="00911F8B">
            <w:pPr>
              <w:rPr>
                <w:rFonts w:cs="Arial"/>
                <w:sz w:val="20"/>
                <w:lang w:eastAsia="en-GB"/>
              </w:rPr>
            </w:pPr>
          </w:p>
          <w:p w:rsidR="00911F8B" w:rsidRPr="00911F8B" w:rsidRDefault="00911F8B" w:rsidP="00911F8B">
            <w:pPr>
              <w:rPr>
                <w:rFonts w:cs="Arial"/>
                <w:sz w:val="20"/>
                <w:lang w:eastAsia="en-GB"/>
              </w:rPr>
            </w:pPr>
          </w:p>
          <w:p w:rsidR="009A6D21" w:rsidRDefault="009A6D21" w:rsidP="00911F8B">
            <w:pPr>
              <w:rPr>
                <w:rFonts w:cs="Arial"/>
                <w:sz w:val="20"/>
                <w:lang w:eastAsia="en-GB"/>
              </w:rPr>
            </w:pPr>
          </w:p>
          <w:p w:rsidR="009A6D21" w:rsidRPr="009A6D21" w:rsidRDefault="009A6D21" w:rsidP="009A6D21">
            <w:pPr>
              <w:rPr>
                <w:rFonts w:cs="Arial"/>
                <w:sz w:val="20"/>
                <w:lang w:eastAsia="en-GB"/>
              </w:rPr>
            </w:pPr>
          </w:p>
          <w:p w:rsidR="00911F8B" w:rsidRPr="009A6D21" w:rsidRDefault="00911F8B" w:rsidP="009A6D21">
            <w:pPr>
              <w:rPr>
                <w:rFonts w:cs="Arial"/>
                <w:sz w:val="20"/>
                <w:lang w:eastAsia="en-GB"/>
              </w:rPr>
            </w:pPr>
          </w:p>
        </w:tc>
        <w:tc>
          <w:tcPr>
            <w:tcW w:w="2548" w:type="pct"/>
            <w:shd w:val="clear" w:color="auto" w:fill="auto"/>
            <w:hideMark/>
          </w:tcPr>
          <w:p w:rsidR="00245EB3" w:rsidRPr="009A6D21" w:rsidRDefault="00245EB3" w:rsidP="00245EB3">
            <w:pPr>
              <w:widowControl/>
              <w:overflowPunct/>
              <w:autoSpaceDE/>
              <w:autoSpaceDN/>
              <w:adjustRightInd/>
              <w:spacing w:after="240"/>
              <w:textAlignment w:val="auto"/>
              <w:rPr>
                <w:rFonts w:cs="Arial"/>
                <w:b/>
                <w:bCs/>
                <w:color w:val="FF0000"/>
                <w:sz w:val="20"/>
                <w:lang w:eastAsia="en-GB"/>
              </w:rPr>
            </w:pPr>
            <w:r w:rsidRPr="009A6D21">
              <w:rPr>
                <w:rFonts w:cs="Arial"/>
                <w:b/>
                <w:bCs/>
                <w:color w:val="FF0000"/>
                <w:sz w:val="20"/>
                <w:lang w:eastAsia="en-GB"/>
              </w:rPr>
              <w:t>Update 04</w:t>
            </w:r>
            <w:r w:rsidR="00911F8B" w:rsidRPr="00911F8B">
              <w:rPr>
                <w:rFonts w:cs="Arial"/>
                <w:b/>
                <w:bCs/>
                <w:color w:val="FF0000"/>
                <w:sz w:val="20"/>
                <w:lang w:eastAsia="en-GB"/>
              </w:rPr>
              <w:t>/</w:t>
            </w:r>
            <w:r w:rsidRPr="009A6D21">
              <w:rPr>
                <w:rFonts w:cs="Arial"/>
                <w:b/>
                <w:bCs/>
                <w:color w:val="FF0000"/>
                <w:sz w:val="20"/>
                <w:lang w:eastAsia="en-GB"/>
              </w:rPr>
              <w:t>03/2020</w:t>
            </w:r>
          </w:p>
          <w:p w:rsidR="00245EB3" w:rsidRPr="009A6D21" w:rsidRDefault="00245EB3" w:rsidP="009A6D21">
            <w:pPr>
              <w:widowControl/>
              <w:tabs>
                <w:tab w:val="left" w:pos="4200"/>
              </w:tabs>
              <w:overflowPunct/>
              <w:autoSpaceDE/>
              <w:autoSpaceDN/>
              <w:adjustRightInd/>
              <w:spacing w:after="240"/>
              <w:textAlignment w:val="auto"/>
              <w:rPr>
                <w:rFonts w:cs="Arial"/>
                <w:bCs/>
                <w:sz w:val="20"/>
                <w:lang w:eastAsia="en-GB"/>
              </w:rPr>
            </w:pPr>
            <w:r w:rsidRPr="009A6D21">
              <w:rPr>
                <w:rFonts w:cs="Arial"/>
                <w:bCs/>
                <w:sz w:val="20"/>
                <w:lang w:eastAsia="en-GB"/>
              </w:rPr>
              <w:t>Evidence notes from Governance Day</w:t>
            </w:r>
            <w:r w:rsidR="009A6D21" w:rsidRPr="009A6D21">
              <w:rPr>
                <w:rFonts w:cs="Arial"/>
                <w:bCs/>
                <w:sz w:val="20"/>
                <w:lang w:eastAsia="en-GB"/>
              </w:rPr>
              <w:tab/>
            </w:r>
          </w:p>
          <w:p w:rsidR="009A6D21" w:rsidRDefault="009A6D21" w:rsidP="009A6D21">
            <w:pPr>
              <w:widowControl/>
              <w:tabs>
                <w:tab w:val="left" w:pos="4200"/>
              </w:tabs>
              <w:overflowPunct/>
              <w:autoSpaceDE/>
              <w:autoSpaceDN/>
              <w:adjustRightInd/>
              <w:spacing w:after="240"/>
              <w:textAlignment w:val="auto"/>
              <w:rPr>
                <w:rFonts w:cs="Arial"/>
                <w:bCs/>
                <w:sz w:val="20"/>
                <w:lang w:eastAsia="en-GB"/>
              </w:rPr>
            </w:pPr>
            <w:r w:rsidRPr="009A6D21">
              <w:rPr>
                <w:rFonts w:cs="Arial"/>
                <w:bCs/>
                <w:sz w:val="20"/>
                <w:lang w:eastAsia="en-GB"/>
              </w:rPr>
              <w:t>Establishment of PTR Team</w:t>
            </w:r>
          </w:p>
          <w:p w:rsidR="009A6D21" w:rsidRPr="009A6D21" w:rsidRDefault="009A6D21" w:rsidP="009A6D21">
            <w:pPr>
              <w:widowControl/>
              <w:tabs>
                <w:tab w:val="left" w:pos="4200"/>
              </w:tabs>
              <w:overflowPunct/>
              <w:autoSpaceDE/>
              <w:autoSpaceDN/>
              <w:adjustRightInd/>
              <w:spacing w:after="240"/>
              <w:textAlignment w:val="auto"/>
              <w:rPr>
                <w:rFonts w:cs="Arial"/>
                <w:bCs/>
                <w:sz w:val="20"/>
                <w:lang w:eastAsia="en-GB"/>
              </w:rPr>
            </w:pPr>
            <w:r>
              <w:rPr>
                <w:rFonts w:cs="Arial"/>
                <w:bCs/>
                <w:sz w:val="20"/>
                <w:lang w:eastAsia="en-GB"/>
              </w:rPr>
              <w:t>Weekly scrutiny of performance and response to target time</w:t>
            </w:r>
            <w:r w:rsidRPr="009A6D21">
              <w:rPr>
                <w:rFonts w:cs="Arial"/>
                <w:bCs/>
                <w:sz w:val="20"/>
                <w:lang w:eastAsia="en-GB"/>
              </w:rPr>
              <w:t xml:space="preserve"> </w:t>
            </w:r>
          </w:p>
          <w:p w:rsidR="009A6D21" w:rsidRDefault="009A6D21" w:rsidP="00245EB3">
            <w:pPr>
              <w:widowControl/>
              <w:overflowPunct/>
              <w:autoSpaceDE/>
              <w:autoSpaceDN/>
              <w:adjustRightInd/>
              <w:spacing w:after="240"/>
              <w:textAlignment w:val="auto"/>
              <w:rPr>
                <w:rFonts w:cs="Arial"/>
                <w:b/>
                <w:bCs/>
                <w:sz w:val="20"/>
                <w:lang w:eastAsia="en-GB"/>
              </w:rPr>
            </w:pPr>
          </w:p>
          <w:p w:rsidR="00245EB3" w:rsidRDefault="00245EB3" w:rsidP="00245EB3">
            <w:pPr>
              <w:widowControl/>
              <w:overflowPunct/>
              <w:autoSpaceDE/>
              <w:autoSpaceDN/>
              <w:adjustRightInd/>
              <w:spacing w:after="240"/>
              <w:textAlignment w:val="auto"/>
              <w:rPr>
                <w:rFonts w:cs="Arial"/>
                <w:b/>
                <w:bCs/>
                <w:sz w:val="20"/>
                <w:lang w:eastAsia="en-GB"/>
              </w:rPr>
            </w:pPr>
          </w:p>
          <w:p w:rsidR="00911F8B" w:rsidRPr="009A6D21" w:rsidRDefault="00911F8B" w:rsidP="009A6D21">
            <w:pPr>
              <w:widowControl/>
              <w:overflowPunct/>
              <w:autoSpaceDE/>
              <w:autoSpaceDN/>
              <w:adjustRightInd/>
              <w:spacing w:after="240"/>
              <w:textAlignment w:val="auto"/>
              <w:rPr>
                <w:rFonts w:cs="Arial"/>
                <w:sz w:val="20"/>
                <w:lang w:eastAsia="en-GB"/>
              </w:rPr>
            </w:pPr>
          </w:p>
        </w:tc>
      </w:tr>
      <w:tr w:rsidR="00911F8B" w:rsidRPr="00911F8B" w:rsidTr="00AD5294">
        <w:trPr>
          <w:trHeight w:val="4620"/>
        </w:trPr>
        <w:tc>
          <w:tcPr>
            <w:tcW w:w="359" w:type="pct"/>
            <w:shd w:val="clear" w:color="000000" w:fill="E2EFDA"/>
            <w:hideMark/>
          </w:tcPr>
          <w:p w:rsidR="00911F8B" w:rsidRPr="00911F8B" w:rsidRDefault="00911F8B" w:rsidP="00911F8B">
            <w:pPr>
              <w:widowControl/>
              <w:overflowPunct/>
              <w:autoSpaceDE/>
              <w:autoSpaceDN/>
              <w:adjustRightInd/>
              <w:jc w:val="center"/>
              <w:textAlignment w:val="auto"/>
              <w:rPr>
                <w:rFonts w:cs="Arial"/>
                <w:b/>
                <w:bCs/>
                <w:color w:val="000000"/>
                <w:sz w:val="20"/>
                <w:lang w:eastAsia="en-GB"/>
              </w:rPr>
            </w:pPr>
            <w:r w:rsidRPr="00911F8B">
              <w:rPr>
                <w:rFonts w:cs="Arial"/>
                <w:b/>
                <w:bCs/>
                <w:color w:val="000000"/>
                <w:sz w:val="20"/>
                <w:lang w:eastAsia="en-GB"/>
              </w:rPr>
              <w:lastRenderedPageBreak/>
              <w:t>RCOG Rec: 7.55</w:t>
            </w:r>
          </w:p>
        </w:tc>
        <w:tc>
          <w:tcPr>
            <w:tcW w:w="491" w:type="pct"/>
            <w:shd w:val="clear" w:color="auto" w:fill="auto"/>
            <w:noWrap/>
            <w:hideMark/>
          </w:tcPr>
          <w:p w:rsidR="00911F8B" w:rsidRPr="00911F8B" w:rsidRDefault="00911F8B" w:rsidP="00911F8B">
            <w:pPr>
              <w:widowControl/>
              <w:overflowPunct/>
              <w:autoSpaceDE/>
              <w:autoSpaceDN/>
              <w:adjustRightInd/>
              <w:jc w:val="center"/>
              <w:textAlignment w:val="auto"/>
              <w:rPr>
                <w:rFonts w:cs="Arial"/>
                <w:color w:val="000000"/>
                <w:sz w:val="20"/>
                <w:lang w:eastAsia="en-GB"/>
              </w:rPr>
            </w:pPr>
            <w:r w:rsidRPr="00911F8B">
              <w:rPr>
                <w:rFonts w:cs="Arial"/>
                <w:color w:val="000000"/>
                <w:sz w:val="20"/>
                <w:lang w:eastAsia="en-GB"/>
              </w:rPr>
              <w:t>In progress</w:t>
            </w:r>
          </w:p>
        </w:tc>
        <w:tc>
          <w:tcPr>
            <w:tcW w:w="472" w:type="pct"/>
            <w:shd w:val="clear" w:color="auto" w:fill="auto"/>
            <w:hideMark/>
          </w:tcPr>
          <w:p w:rsidR="00911F8B" w:rsidRPr="00911F8B" w:rsidRDefault="00911F8B" w:rsidP="00911F8B">
            <w:pPr>
              <w:widowControl/>
              <w:overflowPunct/>
              <w:autoSpaceDE/>
              <w:autoSpaceDN/>
              <w:adjustRightInd/>
              <w:jc w:val="center"/>
              <w:textAlignment w:val="auto"/>
              <w:rPr>
                <w:rFonts w:cs="Arial"/>
                <w:b/>
                <w:bCs/>
                <w:color w:val="FF0000"/>
                <w:sz w:val="20"/>
                <w:lang w:eastAsia="en-GB"/>
              </w:rPr>
            </w:pPr>
            <w:r w:rsidRPr="00911F8B">
              <w:rPr>
                <w:rFonts w:cs="Arial"/>
                <w:b/>
                <w:bCs/>
                <w:color w:val="FF0000"/>
                <w:sz w:val="20"/>
                <w:lang w:eastAsia="en-GB"/>
              </w:rPr>
              <w:t xml:space="preserve">Further Evidence for Consideration </w:t>
            </w:r>
            <w:r w:rsidRPr="00911F8B">
              <w:rPr>
                <w:rFonts w:cs="Arial"/>
                <w:b/>
                <w:bCs/>
                <w:color w:val="FF0000"/>
                <w:sz w:val="20"/>
                <w:lang w:eastAsia="en-GB"/>
              </w:rPr>
              <w:br/>
              <w:t>09/03/2020</w:t>
            </w:r>
          </w:p>
        </w:tc>
        <w:tc>
          <w:tcPr>
            <w:tcW w:w="424" w:type="pct"/>
            <w:shd w:val="clear" w:color="auto" w:fill="auto"/>
            <w:noWrap/>
            <w:hideMark/>
          </w:tcPr>
          <w:p w:rsidR="00911F8B" w:rsidRPr="00911F8B" w:rsidRDefault="00911F8B" w:rsidP="00911F8B">
            <w:pPr>
              <w:widowControl/>
              <w:overflowPunct/>
              <w:autoSpaceDE/>
              <w:autoSpaceDN/>
              <w:adjustRightInd/>
              <w:jc w:val="center"/>
              <w:textAlignment w:val="auto"/>
              <w:rPr>
                <w:rFonts w:cs="Arial"/>
                <w:b/>
                <w:bCs/>
                <w:color w:val="000000"/>
                <w:sz w:val="20"/>
                <w:lang w:eastAsia="en-GB"/>
              </w:rPr>
            </w:pPr>
            <w:r w:rsidRPr="00911F8B">
              <w:rPr>
                <w:rFonts w:cs="Arial"/>
                <w:b/>
                <w:bCs/>
                <w:color w:val="000000"/>
                <w:sz w:val="20"/>
                <w:lang w:eastAsia="en-GB"/>
              </w:rPr>
              <w:t> </w:t>
            </w:r>
          </w:p>
        </w:tc>
        <w:tc>
          <w:tcPr>
            <w:tcW w:w="706" w:type="pct"/>
            <w:shd w:val="clear" w:color="auto" w:fill="auto"/>
            <w:hideMark/>
          </w:tcPr>
          <w:p w:rsidR="00911F8B" w:rsidRPr="00911F8B" w:rsidRDefault="00911F8B" w:rsidP="00911F8B">
            <w:pPr>
              <w:widowControl/>
              <w:overflowPunct/>
              <w:autoSpaceDE/>
              <w:autoSpaceDN/>
              <w:adjustRightInd/>
              <w:textAlignment w:val="auto"/>
              <w:rPr>
                <w:rFonts w:cs="Arial"/>
                <w:color w:val="000000"/>
                <w:sz w:val="20"/>
                <w:lang w:eastAsia="en-GB"/>
              </w:rPr>
            </w:pPr>
            <w:r w:rsidRPr="00911F8B">
              <w:rPr>
                <w:rFonts w:cs="Arial"/>
                <w:color w:val="000000"/>
                <w:sz w:val="20"/>
                <w:lang w:eastAsia="en-GB"/>
              </w:rPr>
              <w:t>Review the level and effectiveness of the bereavement service</w:t>
            </w:r>
            <w:r w:rsidRPr="00911F8B">
              <w:rPr>
                <w:rFonts w:cs="Arial"/>
                <w:color w:val="000000"/>
                <w:sz w:val="20"/>
                <w:lang w:eastAsia="en-GB"/>
              </w:rPr>
              <w:br/>
              <w:t>• Ensure that appropriate support and counselling is available for all families as required</w:t>
            </w:r>
            <w:r w:rsidRPr="00911F8B">
              <w:rPr>
                <w:rFonts w:cs="Arial"/>
                <w:color w:val="000000"/>
                <w:sz w:val="20"/>
                <w:lang w:eastAsia="en-GB"/>
              </w:rPr>
              <w:br/>
              <w:t>•Consider implementing the National Bereavement Care Pathway that has been developed by SANDS in collaboration with stakeholders including women and their families, RCOG and RCM.</w:t>
            </w:r>
          </w:p>
        </w:tc>
        <w:tc>
          <w:tcPr>
            <w:tcW w:w="2548" w:type="pct"/>
            <w:shd w:val="clear" w:color="auto" w:fill="auto"/>
            <w:hideMark/>
          </w:tcPr>
          <w:p w:rsidR="00911F8B" w:rsidRPr="00911F8B" w:rsidRDefault="00911F8B" w:rsidP="00AD5294">
            <w:pPr>
              <w:widowControl/>
              <w:overflowPunct/>
              <w:autoSpaceDE/>
              <w:autoSpaceDN/>
              <w:adjustRightInd/>
              <w:textAlignment w:val="auto"/>
              <w:rPr>
                <w:rFonts w:cs="Arial"/>
                <w:sz w:val="20"/>
                <w:lang w:eastAsia="en-GB"/>
              </w:rPr>
            </w:pPr>
            <w:r w:rsidRPr="00911F8B">
              <w:rPr>
                <w:rFonts w:cs="Arial"/>
                <w:sz w:val="20"/>
                <w:lang w:eastAsia="en-GB"/>
              </w:rPr>
              <w:br/>
            </w:r>
            <w:r w:rsidRPr="00911F8B">
              <w:rPr>
                <w:rFonts w:cs="Arial"/>
                <w:b/>
                <w:bCs/>
                <w:color w:val="FF0000"/>
                <w:sz w:val="20"/>
                <w:lang w:eastAsia="en-GB"/>
              </w:rPr>
              <w:t>Additional Evidence: 04/03/2020</w:t>
            </w:r>
            <w:r w:rsidRPr="00911F8B">
              <w:rPr>
                <w:rFonts w:cs="Arial"/>
                <w:sz w:val="20"/>
                <w:lang w:eastAsia="en-GB"/>
              </w:rPr>
              <w:br/>
              <w:t>Bereavement Champions across sites</w:t>
            </w:r>
            <w:r w:rsidRPr="00911F8B">
              <w:rPr>
                <w:rFonts w:cs="Arial"/>
                <w:sz w:val="20"/>
                <w:lang w:eastAsia="en-GB"/>
              </w:rPr>
              <w:br/>
              <w:t>Packs available for staff which relate to "getting it right first time"</w:t>
            </w:r>
            <w:r w:rsidRPr="00911F8B">
              <w:rPr>
                <w:rFonts w:cs="Arial"/>
                <w:sz w:val="20"/>
                <w:lang w:eastAsia="en-GB"/>
              </w:rPr>
              <w:br/>
              <w:t>Staff are offered a de-briefing with Bereavement Midwife  (reflect &amp; Learning)</w:t>
            </w:r>
          </w:p>
        </w:tc>
      </w:tr>
      <w:tr w:rsidR="00911F8B" w:rsidRPr="00911F8B" w:rsidTr="00AD5294">
        <w:trPr>
          <w:trHeight w:val="70"/>
        </w:trPr>
        <w:tc>
          <w:tcPr>
            <w:tcW w:w="359" w:type="pct"/>
            <w:shd w:val="clear" w:color="000000" w:fill="E2EFDA"/>
            <w:vAlign w:val="bottom"/>
            <w:hideMark/>
          </w:tcPr>
          <w:p w:rsidR="00911F8B" w:rsidRPr="00911F8B" w:rsidRDefault="00AD5294" w:rsidP="00245EB3">
            <w:pPr>
              <w:widowControl/>
              <w:overflowPunct/>
              <w:autoSpaceDE/>
              <w:autoSpaceDN/>
              <w:adjustRightInd/>
              <w:spacing w:after="240"/>
              <w:textAlignment w:val="auto"/>
              <w:rPr>
                <w:rFonts w:cs="Arial"/>
                <w:color w:val="000000"/>
                <w:sz w:val="20"/>
                <w:lang w:eastAsia="en-GB"/>
              </w:rPr>
            </w:pPr>
            <w:r>
              <w:rPr>
                <w:rFonts w:cs="Arial"/>
                <w:color w:val="000000"/>
                <w:sz w:val="20"/>
                <w:lang w:eastAsia="en-GB"/>
              </w:rPr>
              <w:t>Updated risk register is reviewed at Board level</w:t>
            </w:r>
            <w:r w:rsidR="00911F8B" w:rsidRPr="00911F8B">
              <w:rPr>
                <w:rFonts w:cs="Arial"/>
                <w:color w:val="000000"/>
                <w:sz w:val="20"/>
                <w:lang w:eastAsia="en-GB"/>
              </w:rPr>
              <w:br/>
            </w:r>
            <w:r w:rsidR="00911F8B" w:rsidRPr="00911F8B">
              <w:rPr>
                <w:rFonts w:cs="Arial"/>
                <w:color w:val="000000"/>
                <w:sz w:val="20"/>
                <w:lang w:eastAsia="en-GB"/>
              </w:rPr>
              <w:br/>
            </w:r>
            <w:r w:rsidR="00911F8B" w:rsidRPr="00911F8B">
              <w:rPr>
                <w:rFonts w:cs="Arial"/>
                <w:color w:val="000000"/>
                <w:sz w:val="20"/>
                <w:lang w:eastAsia="en-GB"/>
              </w:rPr>
              <w:br/>
            </w:r>
            <w:r w:rsidR="00911F8B" w:rsidRPr="00911F8B">
              <w:rPr>
                <w:rFonts w:cs="Arial"/>
                <w:color w:val="000000"/>
                <w:sz w:val="20"/>
                <w:lang w:eastAsia="en-GB"/>
              </w:rPr>
              <w:br/>
            </w:r>
            <w:r w:rsidR="00911F8B" w:rsidRPr="00911F8B">
              <w:rPr>
                <w:rFonts w:cs="Arial"/>
                <w:color w:val="000000"/>
                <w:sz w:val="20"/>
                <w:lang w:eastAsia="en-GB"/>
              </w:rPr>
              <w:br/>
            </w:r>
            <w:r w:rsidR="00911F8B" w:rsidRPr="00911F8B">
              <w:rPr>
                <w:rFonts w:cs="Arial"/>
                <w:color w:val="000000"/>
                <w:sz w:val="20"/>
                <w:lang w:eastAsia="en-GB"/>
              </w:rPr>
              <w:br/>
            </w:r>
            <w:r w:rsidR="00911F8B" w:rsidRPr="00911F8B">
              <w:rPr>
                <w:rFonts w:cs="Arial"/>
                <w:color w:val="000000"/>
                <w:sz w:val="20"/>
                <w:lang w:eastAsia="en-GB"/>
              </w:rPr>
              <w:br/>
            </w:r>
            <w:r w:rsidR="00911F8B" w:rsidRPr="00911F8B">
              <w:rPr>
                <w:rFonts w:cs="Arial"/>
                <w:color w:val="000000"/>
                <w:sz w:val="20"/>
                <w:lang w:eastAsia="en-GB"/>
              </w:rPr>
              <w:br/>
            </w:r>
          </w:p>
        </w:tc>
        <w:tc>
          <w:tcPr>
            <w:tcW w:w="491" w:type="pct"/>
            <w:shd w:val="clear" w:color="auto" w:fill="auto"/>
            <w:noWrap/>
          </w:tcPr>
          <w:p w:rsidR="00911F8B" w:rsidRPr="00911F8B" w:rsidRDefault="00AD5294" w:rsidP="00911F8B">
            <w:pPr>
              <w:widowControl/>
              <w:overflowPunct/>
              <w:autoSpaceDE/>
              <w:autoSpaceDN/>
              <w:adjustRightInd/>
              <w:jc w:val="center"/>
              <w:textAlignment w:val="auto"/>
              <w:rPr>
                <w:rFonts w:cs="Arial"/>
                <w:color w:val="000000"/>
                <w:sz w:val="20"/>
                <w:lang w:eastAsia="en-GB"/>
              </w:rPr>
            </w:pPr>
            <w:r>
              <w:rPr>
                <w:rFonts w:cs="Arial"/>
                <w:color w:val="000000"/>
                <w:sz w:val="20"/>
                <w:lang w:eastAsia="en-GB"/>
              </w:rPr>
              <w:t>In progress</w:t>
            </w:r>
          </w:p>
        </w:tc>
        <w:tc>
          <w:tcPr>
            <w:tcW w:w="472" w:type="pct"/>
            <w:shd w:val="clear" w:color="auto" w:fill="auto"/>
            <w:noWrap/>
          </w:tcPr>
          <w:p w:rsidR="00911F8B" w:rsidRPr="00911F8B" w:rsidRDefault="00911F8B" w:rsidP="00911F8B">
            <w:pPr>
              <w:widowControl/>
              <w:overflowPunct/>
              <w:autoSpaceDE/>
              <w:autoSpaceDN/>
              <w:adjustRightInd/>
              <w:jc w:val="center"/>
              <w:textAlignment w:val="auto"/>
              <w:rPr>
                <w:rFonts w:cs="Arial"/>
                <w:color w:val="000000"/>
                <w:sz w:val="20"/>
                <w:lang w:eastAsia="en-GB"/>
              </w:rPr>
            </w:pPr>
          </w:p>
        </w:tc>
        <w:tc>
          <w:tcPr>
            <w:tcW w:w="424" w:type="pct"/>
            <w:shd w:val="clear" w:color="auto" w:fill="auto"/>
            <w:noWrap/>
          </w:tcPr>
          <w:p w:rsidR="00911F8B" w:rsidRPr="00911F8B" w:rsidRDefault="00911F8B" w:rsidP="00911F8B">
            <w:pPr>
              <w:widowControl/>
              <w:overflowPunct/>
              <w:autoSpaceDE/>
              <w:autoSpaceDN/>
              <w:adjustRightInd/>
              <w:jc w:val="center"/>
              <w:textAlignment w:val="auto"/>
              <w:rPr>
                <w:rFonts w:cs="Arial"/>
                <w:b/>
                <w:bCs/>
                <w:color w:val="000000"/>
                <w:sz w:val="20"/>
                <w:lang w:eastAsia="en-GB"/>
              </w:rPr>
            </w:pPr>
          </w:p>
        </w:tc>
        <w:tc>
          <w:tcPr>
            <w:tcW w:w="706" w:type="pct"/>
            <w:shd w:val="clear" w:color="auto" w:fill="auto"/>
          </w:tcPr>
          <w:p w:rsidR="00911F8B" w:rsidRPr="00911F8B" w:rsidRDefault="00911F8B" w:rsidP="00911F8B">
            <w:pPr>
              <w:widowControl/>
              <w:overflowPunct/>
              <w:autoSpaceDE/>
              <w:autoSpaceDN/>
              <w:adjustRightInd/>
              <w:textAlignment w:val="auto"/>
              <w:rPr>
                <w:rFonts w:cs="Arial"/>
                <w:color w:val="000000"/>
                <w:sz w:val="20"/>
                <w:lang w:eastAsia="en-GB"/>
              </w:rPr>
            </w:pPr>
          </w:p>
        </w:tc>
        <w:tc>
          <w:tcPr>
            <w:tcW w:w="2548" w:type="pct"/>
            <w:shd w:val="clear" w:color="auto" w:fill="auto"/>
          </w:tcPr>
          <w:p w:rsidR="009A6D21" w:rsidRDefault="00AD5294" w:rsidP="00AD5294">
            <w:pPr>
              <w:widowControl/>
              <w:overflowPunct/>
              <w:autoSpaceDE/>
              <w:autoSpaceDN/>
              <w:adjustRightInd/>
              <w:textAlignment w:val="auto"/>
              <w:rPr>
                <w:rFonts w:cs="Arial"/>
                <w:b/>
                <w:bCs/>
                <w:color w:val="FF0000"/>
                <w:sz w:val="20"/>
              </w:rPr>
            </w:pPr>
            <w:r>
              <w:rPr>
                <w:rFonts w:cs="Arial"/>
                <w:b/>
                <w:bCs/>
                <w:color w:val="000000"/>
                <w:sz w:val="20"/>
              </w:rPr>
              <w:t>Update: 11/02/20 Meeting KD &amp; ZA</w:t>
            </w:r>
            <w:r>
              <w:rPr>
                <w:rFonts w:cs="Arial"/>
                <w:b/>
                <w:bCs/>
                <w:color w:val="000000"/>
                <w:sz w:val="20"/>
              </w:rPr>
              <w:br/>
            </w:r>
            <w:r>
              <w:rPr>
                <w:rFonts w:cs="Arial"/>
                <w:color w:val="000000"/>
                <w:sz w:val="20"/>
              </w:rPr>
              <w:t xml:space="preserve">Risk register is </w:t>
            </w:r>
            <w:r w:rsidR="009A6D21">
              <w:rPr>
                <w:rFonts w:cs="Arial"/>
                <w:color w:val="000000"/>
                <w:sz w:val="20"/>
              </w:rPr>
              <w:t>monitored</w:t>
            </w:r>
            <w:r>
              <w:rPr>
                <w:rFonts w:cs="Arial"/>
                <w:color w:val="000000"/>
                <w:sz w:val="20"/>
              </w:rPr>
              <w:t xml:space="preserve"> and discussed via MIB and shared at Board meetings </w:t>
            </w:r>
            <w:r>
              <w:rPr>
                <w:rFonts w:cs="Arial"/>
                <w:color w:val="000000"/>
                <w:sz w:val="20"/>
              </w:rPr>
              <w:br/>
            </w:r>
            <w:r>
              <w:rPr>
                <w:rFonts w:cs="Arial"/>
                <w:b/>
                <w:bCs/>
                <w:color w:val="000000"/>
                <w:sz w:val="20"/>
              </w:rPr>
              <w:br/>
              <w:t>18/02/2020: IMSOP Checking Visit</w:t>
            </w:r>
            <w:r>
              <w:rPr>
                <w:rFonts w:cs="Arial"/>
                <w:b/>
                <w:bCs/>
                <w:color w:val="FF0000"/>
                <w:sz w:val="20"/>
              </w:rPr>
              <w:br/>
            </w:r>
            <w:r>
              <w:rPr>
                <w:rFonts w:cs="Arial"/>
                <w:color w:val="000000"/>
                <w:sz w:val="20"/>
              </w:rPr>
              <w:t>Complete HB ongoing monitoring</w:t>
            </w:r>
            <w:r>
              <w:rPr>
                <w:rFonts w:cs="Arial"/>
                <w:color w:val="000000"/>
                <w:sz w:val="20"/>
              </w:rPr>
              <w:br/>
              <w:t>Risk register is live on datix system is always evolving</w:t>
            </w:r>
            <w:r>
              <w:rPr>
                <w:rFonts w:cs="Arial"/>
                <w:color w:val="000000"/>
                <w:sz w:val="20"/>
              </w:rPr>
              <w:br/>
              <w:t>Ward to board reporting where key risks are highlighted - needs further development</w:t>
            </w:r>
            <w:r>
              <w:rPr>
                <w:rFonts w:cs="Arial"/>
                <w:color w:val="000000"/>
                <w:sz w:val="20"/>
              </w:rPr>
              <w:br/>
              <w:t xml:space="preserve">New risk register in HB </w:t>
            </w:r>
            <w:r>
              <w:rPr>
                <w:rFonts w:cs="Arial"/>
                <w:color w:val="000000"/>
                <w:sz w:val="20"/>
              </w:rPr>
              <w:br/>
              <w:t>Reviewed Q&amp;S Committee</w:t>
            </w:r>
            <w:r w:rsidR="009A6D21">
              <w:rPr>
                <w:rFonts w:cs="Arial"/>
                <w:b/>
                <w:bCs/>
                <w:color w:val="FF0000"/>
                <w:sz w:val="20"/>
              </w:rPr>
              <w:br/>
            </w:r>
          </w:p>
          <w:p w:rsidR="00AD5294" w:rsidRDefault="00AD5294" w:rsidP="00AD5294">
            <w:pPr>
              <w:widowControl/>
              <w:overflowPunct/>
              <w:autoSpaceDE/>
              <w:autoSpaceDN/>
              <w:adjustRightInd/>
              <w:textAlignment w:val="auto"/>
              <w:rPr>
                <w:rFonts w:cs="Arial"/>
                <w:color w:val="000000"/>
                <w:sz w:val="20"/>
                <w:lang w:eastAsia="en-GB"/>
              </w:rPr>
            </w:pPr>
            <w:r>
              <w:rPr>
                <w:rFonts w:cs="Arial"/>
                <w:b/>
                <w:bCs/>
                <w:color w:val="FF0000"/>
                <w:sz w:val="20"/>
              </w:rPr>
              <w:t>Additional Evidence: 04/03/2020</w:t>
            </w:r>
            <w:r>
              <w:rPr>
                <w:rFonts w:cs="Arial"/>
                <w:b/>
                <w:bCs/>
                <w:color w:val="FF0000"/>
                <w:sz w:val="20"/>
              </w:rPr>
              <w:br/>
            </w:r>
            <w:r>
              <w:rPr>
                <w:rFonts w:cs="Arial"/>
                <w:b/>
                <w:bCs/>
                <w:color w:val="000000"/>
                <w:sz w:val="20"/>
              </w:rPr>
              <w:t>Evidence of direct regular review of risk process at Board level</w:t>
            </w:r>
          </w:p>
          <w:p w:rsidR="00911F8B" w:rsidRPr="00911F8B" w:rsidRDefault="00911F8B" w:rsidP="00245EB3">
            <w:pPr>
              <w:widowControl/>
              <w:overflowPunct/>
              <w:autoSpaceDE/>
              <w:autoSpaceDN/>
              <w:adjustRightInd/>
              <w:textAlignment w:val="auto"/>
              <w:rPr>
                <w:rFonts w:cs="Arial"/>
                <w:color w:val="000000"/>
                <w:sz w:val="20"/>
                <w:lang w:eastAsia="en-GB"/>
              </w:rPr>
            </w:pPr>
          </w:p>
        </w:tc>
      </w:tr>
    </w:tbl>
    <w:p w:rsidR="00E40373" w:rsidRPr="00C43634" w:rsidRDefault="00E40373" w:rsidP="006C0335">
      <w:pPr>
        <w:rPr>
          <w:rFonts w:ascii="Verdana" w:hAnsi="Verdana" w:cs="Arial"/>
          <w:sz w:val="20"/>
        </w:rPr>
      </w:pPr>
    </w:p>
    <w:sectPr w:rsidR="00E40373" w:rsidRPr="00C43634" w:rsidSect="00911F8B">
      <w:pgSz w:w="16838" w:h="11906" w:orient="landscape"/>
      <w:pgMar w:top="851" w:right="1440" w:bottom="851" w:left="1440" w:header="454"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E647C6" w:rsidRDefault="00E647C6">
      <w:r>
        <w:separator/>
      </w:r>
    </w:p>
  </w:endnote>
  <w:endnote w:type="continuationSeparator" w:id="0">
    <w:p w:rsidR="00E647C6" w:rsidRDefault="00E647C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Marlett">
    <w:panose1 w:val="00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MS Shell Dlg">
    <w:panose1 w:val="020B0604020202020204"/>
    <w:charset w:val="00"/>
    <w:family w:val="swiss"/>
    <w:pitch w:val="variable"/>
    <w:sig w:usb0="E1002AFF" w:usb1="C0000002" w:usb2="00000008" w:usb3="00000000" w:csb0="000101FF" w:csb1="00000000"/>
  </w:font>
  <w:font w:name="Verdana">
    <w:panose1 w:val="020B0604030504040204"/>
    <w:charset w:val="00"/>
    <w:family w:val="swiss"/>
    <w:pitch w:val="variable"/>
    <w:sig w:usb0="A10006FF" w:usb1="4000205B" w:usb2="0000001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E647C6" w:rsidRDefault="00E647C6">
      <w:r>
        <w:separator/>
      </w:r>
    </w:p>
  </w:footnote>
  <w:footnote w:type="continuationSeparator" w:id="0">
    <w:p w:rsidR="00E647C6" w:rsidRDefault="00E647C6">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724CCD"/>
    <w:multiLevelType w:val="hybridMultilevel"/>
    <w:tmpl w:val="5620749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77B2E10"/>
    <w:multiLevelType w:val="hybridMultilevel"/>
    <w:tmpl w:val="8DD0CD7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7FB4BAC"/>
    <w:multiLevelType w:val="hybridMultilevel"/>
    <w:tmpl w:val="908481E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85600F2"/>
    <w:multiLevelType w:val="hybridMultilevel"/>
    <w:tmpl w:val="E68E7716"/>
    <w:lvl w:ilvl="0" w:tplc="0044B0DA">
      <w:start w:val="1"/>
      <w:numFmt w:val="bullet"/>
      <w:lvlText w:val=""/>
      <w:lvlJc w:val="left"/>
      <w:pPr>
        <w:tabs>
          <w:tab w:val="num" w:pos="357"/>
        </w:tabs>
        <w:ind w:left="357" w:hanging="357"/>
      </w:pPr>
      <w:rPr>
        <w:rFonts w:ascii="Symbol" w:hAnsi="Symbol" w:hint="default"/>
        <w:color w:val="000000"/>
      </w:rPr>
    </w:lvl>
    <w:lvl w:ilvl="1" w:tplc="08090003">
      <w:start w:val="1"/>
      <w:numFmt w:val="bullet"/>
      <w:lvlText w:val="o"/>
      <w:lvlJc w:val="left"/>
      <w:pPr>
        <w:tabs>
          <w:tab w:val="num" w:pos="1440"/>
        </w:tabs>
        <w:ind w:left="1440" w:hanging="360"/>
      </w:pPr>
      <w:rPr>
        <w:rFonts w:ascii="Courier New" w:hAnsi="Courier New" w:hint="default"/>
      </w:rPr>
    </w:lvl>
    <w:lvl w:ilvl="2" w:tplc="08090005">
      <w:start w:val="1"/>
      <w:numFmt w:val="bullet"/>
      <w:lvlText w:val=""/>
      <w:lvlJc w:val="left"/>
      <w:pPr>
        <w:tabs>
          <w:tab w:val="num" w:pos="2160"/>
        </w:tabs>
        <w:ind w:left="2160" w:hanging="360"/>
      </w:pPr>
      <w:rPr>
        <w:rFonts w:ascii="Wingdings" w:hAnsi="Wingdings" w:hint="default"/>
      </w:rPr>
    </w:lvl>
    <w:lvl w:ilvl="3" w:tplc="08090001">
      <w:start w:val="1"/>
      <w:numFmt w:val="bullet"/>
      <w:lvlText w:val=""/>
      <w:lvlJc w:val="left"/>
      <w:pPr>
        <w:tabs>
          <w:tab w:val="num" w:pos="2880"/>
        </w:tabs>
        <w:ind w:left="2880" w:hanging="360"/>
      </w:pPr>
      <w:rPr>
        <w:rFonts w:ascii="Symbol" w:hAnsi="Symbol" w:hint="default"/>
      </w:rPr>
    </w:lvl>
    <w:lvl w:ilvl="4" w:tplc="08090003">
      <w:start w:val="1"/>
      <w:numFmt w:val="bullet"/>
      <w:lvlText w:val="o"/>
      <w:lvlJc w:val="left"/>
      <w:pPr>
        <w:tabs>
          <w:tab w:val="num" w:pos="3600"/>
        </w:tabs>
        <w:ind w:left="3600" w:hanging="360"/>
      </w:pPr>
      <w:rPr>
        <w:rFonts w:ascii="Courier New" w:hAnsi="Courier New" w:hint="default"/>
      </w:rPr>
    </w:lvl>
    <w:lvl w:ilvl="5" w:tplc="08090005">
      <w:start w:val="1"/>
      <w:numFmt w:val="bullet"/>
      <w:lvlText w:val=""/>
      <w:lvlJc w:val="left"/>
      <w:pPr>
        <w:tabs>
          <w:tab w:val="num" w:pos="4320"/>
        </w:tabs>
        <w:ind w:left="4320" w:hanging="360"/>
      </w:pPr>
      <w:rPr>
        <w:rFonts w:ascii="Wingdings" w:hAnsi="Wingdings" w:hint="default"/>
      </w:rPr>
    </w:lvl>
    <w:lvl w:ilvl="6" w:tplc="08090001">
      <w:start w:val="1"/>
      <w:numFmt w:val="bullet"/>
      <w:lvlText w:val=""/>
      <w:lvlJc w:val="left"/>
      <w:pPr>
        <w:tabs>
          <w:tab w:val="num" w:pos="5040"/>
        </w:tabs>
        <w:ind w:left="5040" w:hanging="360"/>
      </w:pPr>
      <w:rPr>
        <w:rFonts w:ascii="Symbol" w:hAnsi="Symbol" w:hint="default"/>
      </w:rPr>
    </w:lvl>
    <w:lvl w:ilvl="7" w:tplc="08090003">
      <w:start w:val="1"/>
      <w:numFmt w:val="bullet"/>
      <w:lvlText w:val="o"/>
      <w:lvlJc w:val="left"/>
      <w:pPr>
        <w:tabs>
          <w:tab w:val="num" w:pos="5760"/>
        </w:tabs>
        <w:ind w:left="5760" w:hanging="360"/>
      </w:pPr>
      <w:rPr>
        <w:rFonts w:ascii="Courier New" w:hAnsi="Courier New" w:hint="default"/>
      </w:rPr>
    </w:lvl>
    <w:lvl w:ilvl="8" w:tplc="08090005">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0FA3113D"/>
    <w:multiLevelType w:val="hybridMultilevel"/>
    <w:tmpl w:val="EE2CCA2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08F773A"/>
    <w:multiLevelType w:val="hybridMultilevel"/>
    <w:tmpl w:val="9C0E41D6"/>
    <w:lvl w:ilvl="0" w:tplc="0809000D">
      <w:start w:val="1"/>
      <w:numFmt w:val="bullet"/>
      <w:lvlText w:val=""/>
      <w:lvlJc w:val="left"/>
      <w:pPr>
        <w:ind w:left="360" w:hanging="360"/>
      </w:pPr>
      <w:rPr>
        <w:rFonts w:ascii="Wingdings" w:hAnsi="Wingdings"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6" w15:restartNumberingAfterBreak="0">
    <w:nsid w:val="1381642E"/>
    <w:multiLevelType w:val="hybridMultilevel"/>
    <w:tmpl w:val="2DF20DE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7677CBD"/>
    <w:multiLevelType w:val="hybridMultilevel"/>
    <w:tmpl w:val="73B2D59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AD065A2"/>
    <w:multiLevelType w:val="hybridMultilevel"/>
    <w:tmpl w:val="893431D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1DC65A05"/>
    <w:multiLevelType w:val="hybridMultilevel"/>
    <w:tmpl w:val="7250F83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1F831E7F"/>
    <w:multiLevelType w:val="hybridMultilevel"/>
    <w:tmpl w:val="7AD6DB8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23D1355F"/>
    <w:multiLevelType w:val="hybridMultilevel"/>
    <w:tmpl w:val="5FB8720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2" w15:restartNumberingAfterBreak="0">
    <w:nsid w:val="260B2529"/>
    <w:multiLevelType w:val="multilevel"/>
    <w:tmpl w:val="65722B18"/>
    <w:lvl w:ilvl="0">
      <w:start w:val="1"/>
      <w:numFmt w:val="decimal"/>
      <w:lvlRestart w:val="0"/>
      <w:pStyle w:val="DfESOutNumbered"/>
      <w:lvlText w:val="%1."/>
      <w:lvlJc w:val="left"/>
      <w:pPr>
        <w:tabs>
          <w:tab w:val="num" w:pos="720"/>
        </w:tabs>
      </w:pPr>
      <w:rPr>
        <w:rFonts w:cs="Times New Roman" w:hint="default"/>
      </w:rPr>
    </w:lvl>
    <w:lvl w:ilvl="1">
      <w:start w:val="1"/>
      <w:numFmt w:val="lowerLetter"/>
      <w:lvlText w:val="%2."/>
      <w:lvlJc w:val="left"/>
      <w:pPr>
        <w:tabs>
          <w:tab w:val="num" w:pos="1440"/>
        </w:tabs>
        <w:ind w:left="1440" w:hanging="720"/>
      </w:pPr>
      <w:rPr>
        <w:rFonts w:cs="Times New Roman" w:hint="default"/>
      </w:rPr>
    </w:lvl>
    <w:lvl w:ilvl="2">
      <w:start w:val="1"/>
      <w:numFmt w:val="lowerRoman"/>
      <w:lvlText w:val="%3)"/>
      <w:lvlJc w:val="left"/>
      <w:pPr>
        <w:tabs>
          <w:tab w:val="num" w:pos="2160"/>
        </w:tabs>
        <w:ind w:left="2160" w:hanging="720"/>
      </w:pPr>
      <w:rPr>
        <w:rFonts w:ascii="Arial" w:hAnsi="Arial" w:cs="Times New Roman" w:hint="default"/>
        <w:color w:val="auto"/>
        <w:sz w:val="22"/>
        <w:szCs w:val="22"/>
      </w:rPr>
    </w:lvl>
    <w:lvl w:ilvl="3">
      <w:start w:val="1"/>
      <w:numFmt w:val="lowerLetter"/>
      <w:lvlText w:val="%4)"/>
      <w:lvlJc w:val="left"/>
      <w:pPr>
        <w:tabs>
          <w:tab w:val="num" w:pos="2880"/>
        </w:tabs>
        <w:ind w:left="2880" w:hanging="720"/>
      </w:pPr>
      <w:rPr>
        <w:rFonts w:cs="Times New Roman" w:hint="default"/>
      </w:rPr>
    </w:lvl>
    <w:lvl w:ilvl="4">
      <w:start w:val="1"/>
      <w:numFmt w:val="decimal"/>
      <w:lvlText w:val="(%5)"/>
      <w:lvlJc w:val="left"/>
      <w:pPr>
        <w:tabs>
          <w:tab w:val="num" w:pos="3600"/>
        </w:tabs>
        <w:ind w:left="3600" w:hanging="720"/>
      </w:pPr>
      <w:rPr>
        <w:rFonts w:cs="Times New Roman" w:hint="default"/>
      </w:rPr>
    </w:lvl>
    <w:lvl w:ilvl="5">
      <w:start w:val="1"/>
      <w:numFmt w:val="lowerRoman"/>
      <w:lvlText w:val="(%6)"/>
      <w:lvlJc w:val="left"/>
      <w:pPr>
        <w:tabs>
          <w:tab w:val="num" w:pos="4320"/>
        </w:tabs>
        <w:ind w:left="4320" w:hanging="720"/>
      </w:pPr>
      <w:rPr>
        <w:rFonts w:cs="Times New Roman" w:hint="default"/>
      </w:rPr>
    </w:lvl>
    <w:lvl w:ilvl="6">
      <w:start w:val="1"/>
      <w:numFmt w:val="decimal"/>
      <w:lvlText w:val="%7."/>
      <w:lvlJc w:val="left"/>
      <w:pPr>
        <w:tabs>
          <w:tab w:val="num" w:pos="5040"/>
        </w:tabs>
        <w:ind w:left="5040" w:hanging="720"/>
      </w:pPr>
      <w:rPr>
        <w:rFonts w:cs="Times New Roman" w:hint="default"/>
      </w:rPr>
    </w:lvl>
    <w:lvl w:ilvl="7">
      <w:start w:val="1"/>
      <w:numFmt w:val="lowerLetter"/>
      <w:lvlText w:val="%8."/>
      <w:lvlJc w:val="left"/>
      <w:pPr>
        <w:tabs>
          <w:tab w:val="num" w:pos="5760"/>
        </w:tabs>
        <w:ind w:left="5760" w:hanging="720"/>
      </w:pPr>
      <w:rPr>
        <w:rFonts w:cs="Times New Roman" w:hint="default"/>
      </w:rPr>
    </w:lvl>
    <w:lvl w:ilvl="8">
      <w:start w:val="1"/>
      <w:numFmt w:val="lowerRoman"/>
      <w:lvlText w:val="%9."/>
      <w:lvlJc w:val="left"/>
      <w:pPr>
        <w:tabs>
          <w:tab w:val="num" w:pos="6480"/>
        </w:tabs>
        <w:ind w:left="6480" w:hanging="720"/>
      </w:pPr>
      <w:rPr>
        <w:rFonts w:cs="Times New Roman" w:hint="default"/>
      </w:rPr>
    </w:lvl>
  </w:abstractNum>
  <w:abstractNum w:abstractNumId="13" w15:restartNumberingAfterBreak="0">
    <w:nsid w:val="27802278"/>
    <w:multiLevelType w:val="hybridMultilevel"/>
    <w:tmpl w:val="04E40D7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32010A11"/>
    <w:multiLevelType w:val="hybridMultilevel"/>
    <w:tmpl w:val="DEAE469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367D27E9"/>
    <w:multiLevelType w:val="hybridMultilevel"/>
    <w:tmpl w:val="D9227DD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36AB0D93"/>
    <w:multiLevelType w:val="hybridMultilevel"/>
    <w:tmpl w:val="70783A3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7" w15:restartNumberingAfterBreak="0">
    <w:nsid w:val="399E2478"/>
    <w:multiLevelType w:val="hybridMultilevel"/>
    <w:tmpl w:val="38F447F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3C443978"/>
    <w:multiLevelType w:val="hybridMultilevel"/>
    <w:tmpl w:val="EB4A2B26"/>
    <w:lvl w:ilvl="0" w:tplc="08090001">
      <w:start w:val="1"/>
      <w:numFmt w:val="bullet"/>
      <w:lvlText w:val=""/>
      <w:lvlJc w:val="left"/>
      <w:pPr>
        <w:ind w:left="1155" w:hanging="360"/>
      </w:pPr>
      <w:rPr>
        <w:rFonts w:ascii="Symbol" w:hAnsi="Symbol" w:hint="default"/>
      </w:rPr>
    </w:lvl>
    <w:lvl w:ilvl="1" w:tplc="08090003" w:tentative="1">
      <w:start w:val="1"/>
      <w:numFmt w:val="bullet"/>
      <w:lvlText w:val="o"/>
      <w:lvlJc w:val="left"/>
      <w:pPr>
        <w:ind w:left="1875" w:hanging="360"/>
      </w:pPr>
      <w:rPr>
        <w:rFonts w:ascii="Courier New" w:hAnsi="Courier New" w:cs="Courier New" w:hint="default"/>
      </w:rPr>
    </w:lvl>
    <w:lvl w:ilvl="2" w:tplc="08090005" w:tentative="1">
      <w:start w:val="1"/>
      <w:numFmt w:val="bullet"/>
      <w:lvlText w:val=""/>
      <w:lvlJc w:val="left"/>
      <w:pPr>
        <w:ind w:left="2595" w:hanging="360"/>
      </w:pPr>
      <w:rPr>
        <w:rFonts w:ascii="Wingdings" w:hAnsi="Wingdings" w:hint="default"/>
      </w:rPr>
    </w:lvl>
    <w:lvl w:ilvl="3" w:tplc="08090001" w:tentative="1">
      <w:start w:val="1"/>
      <w:numFmt w:val="bullet"/>
      <w:lvlText w:val=""/>
      <w:lvlJc w:val="left"/>
      <w:pPr>
        <w:ind w:left="3315" w:hanging="360"/>
      </w:pPr>
      <w:rPr>
        <w:rFonts w:ascii="Symbol" w:hAnsi="Symbol" w:hint="default"/>
      </w:rPr>
    </w:lvl>
    <w:lvl w:ilvl="4" w:tplc="08090003" w:tentative="1">
      <w:start w:val="1"/>
      <w:numFmt w:val="bullet"/>
      <w:lvlText w:val="o"/>
      <w:lvlJc w:val="left"/>
      <w:pPr>
        <w:ind w:left="4035" w:hanging="360"/>
      </w:pPr>
      <w:rPr>
        <w:rFonts w:ascii="Courier New" w:hAnsi="Courier New" w:cs="Courier New" w:hint="default"/>
      </w:rPr>
    </w:lvl>
    <w:lvl w:ilvl="5" w:tplc="08090005" w:tentative="1">
      <w:start w:val="1"/>
      <w:numFmt w:val="bullet"/>
      <w:lvlText w:val=""/>
      <w:lvlJc w:val="left"/>
      <w:pPr>
        <w:ind w:left="4755" w:hanging="360"/>
      </w:pPr>
      <w:rPr>
        <w:rFonts w:ascii="Wingdings" w:hAnsi="Wingdings" w:hint="default"/>
      </w:rPr>
    </w:lvl>
    <w:lvl w:ilvl="6" w:tplc="08090001" w:tentative="1">
      <w:start w:val="1"/>
      <w:numFmt w:val="bullet"/>
      <w:lvlText w:val=""/>
      <w:lvlJc w:val="left"/>
      <w:pPr>
        <w:ind w:left="5475" w:hanging="360"/>
      </w:pPr>
      <w:rPr>
        <w:rFonts w:ascii="Symbol" w:hAnsi="Symbol" w:hint="default"/>
      </w:rPr>
    </w:lvl>
    <w:lvl w:ilvl="7" w:tplc="08090003" w:tentative="1">
      <w:start w:val="1"/>
      <w:numFmt w:val="bullet"/>
      <w:lvlText w:val="o"/>
      <w:lvlJc w:val="left"/>
      <w:pPr>
        <w:ind w:left="6195" w:hanging="360"/>
      </w:pPr>
      <w:rPr>
        <w:rFonts w:ascii="Courier New" w:hAnsi="Courier New" w:cs="Courier New" w:hint="default"/>
      </w:rPr>
    </w:lvl>
    <w:lvl w:ilvl="8" w:tplc="08090005" w:tentative="1">
      <w:start w:val="1"/>
      <w:numFmt w:val="bullet"/>
      <w:lvlText w:val=""/>
      <w:lvlJc w:val="left"/>
      <w:pPr>
        <w:ind w:left="6915" w:hanging="360"/>
      </w:pPr>
      <w:rPr>
        <w:rFonts w:ascii="Wingdings" w:hAnsi="Wingdings" w:hint="default"/>
      </w:rPr>
    </w:lvl>
  </w:abstractNum>
  <w:abstractNum w:abstractNumId="19" w15:restartNumberingAfterBreak="0">
    <w:nsid w:val="3C7939E2"/>
    <w:multiLevelType w:val="hybridMultilevel"/>
    <w:tmpl w:val="45A0828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40467495"/>
    <w:multiLevelType w:val="hybridMultilevel"/>
    <w:tmpl w:val="A96E4EF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45DE1A95"/>
    <w:multiLevelType w:val="hybridMultilevel"/>
    <w:tmpl w:val="6B7626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46AB56B6"/>
    <w:multiLevelType w:val="hybridMultilevel"/>
    <w:tmpl w:val="A0820AF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47B529C0"/>
    <w:multiLevelType w:val="hybridMultilevel"/>
    <w:tmpl w:val="DA7A2A04"/>
    <w:lvl w:ilvl="0" w:tplc="BBBED8EC">
      <w:start w:val="1"/>
      <w:numFmt w:val="bullet"/>
      <w:lvlRestart w:val="0"/>
      <w:pStyle w:val="DfESBullets"/>
      <w:lvlText w:val=""/>
      <w:lvlJc w:val="left"/>
      <w:pPr>
        <w:tabs>
          <w:tab w:val="num" w:pos="720"/>
        </w:tabs>
        <w:ind w:left="720" w:hanging="360"/>
      </w:pPr>
      <w:rPr>
        <w:rFonts w:ascii="Symbol" w:hAnsi="Symbol" w:hint="default"/>
      </w:rPr>
    </w:lvl>
    <w:lvl w:ilvl="1" w:tplc="04090003">
      <w:start w:val="1"/>
      <w:numFmt w:val="bullet"/>
      <w:lvlText w:val="o"/>
      <w:lvlJc w:val="left"/>
      <w:pPr>
        <w:tabs>
          <w:tab w:val="num" w:pos="1440"/>
        </w:tabs>
        <w:ind w:left="1440" w:hanging="360"/>
      </w:pPr>
      <w:rPr>
        <w:rFonts w:ascii="Courier New" w:hAnsi="Courier New" w:hint="default"/>
      </w:rPr>
    </w:lvl>
    <w:lvl w:ilvl="2" w:tplc="04090005">
      <w:start w:val="1"/>
      <w:numFmt w:val="bullet"/>
      <w:lvlText w:val=""/>
      <w:lvlJc w:val="left"/>
      <w:pPr>
        <w:tabs>
          <w:tab w:val="num" w:pos="2160"/>
        </w:tabs>
        <w:ind w:left="2160" w:hanging="360"/>
      </w:pPr>
      <w:rPr>
        <w:rFonts w:ascii="Marlett" w:hAnsi="Marlett"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hint="default"/>
      </w:rPr>
    </w:lvl>
    <w:lvl w:ilvl="5" w:tplc="04090005">
      <w:start w:val="1"/>
      <w:numFmt w:val="bullet"/>
      <w:lvlText w:val=""/>
      <w:lvlJc w:val="left"/>
      <w:pPr>
        <w:tabs>
          <w:tab w:val="num" w:pos="4320"/>
        </w:tabs>
        <w:ind w:left="4320" w:hanging="360"/>
      </w:pPr>
      <w:rPr>
        <w:rFonts w:ascii="Marlett" w:hAnsi="Marlett"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hint="default"/>
      </w:rPr>
    </w:lvl>
    <w:lvl w:ilvl="8" w:tplc="04090005">
      <w:start w:val="1"/>
      <w:numFmt w:val="bullet"/>
      <w:lvlText w:val=""/>
      <w:lvlJc w:val="left"/>
      <w:pPr>
        <w:tabs>
          <w:tab w:val="num" w:pos="6480"/>
        </w:tabs>
        <w:ind w:left="6480" w:hanging="360"/>
      </w:pPr>
      <w:rPr>
        <w:rFonts w:ascii="Marlett" w:hAnsi="Marlett" w:hint="default"/>
      </w:rPr>
    </w:lvl>
  </w:abstractNum>
  <w:abstractNum w:abstractNumId="24" w15:restartNumberingAfterBreak="0">
    <w:nsid w:val="49E64276"/>
    <w:multiLevelType w:val="hybridMultilevel"/>
    <w:tmpl w:val="04B294FC"/>
    <w:lvl w:ilvl="0" w:tplc="431E4998">
      <w:start w:val="1"/>
      <w:numFmt w:val="bullet"/>
      <w:lvlText w:val=""/>
      <w:lvlJc w:val="left"/>
      <w:pPr>
        <w:ind w:left="360" w:hanging="360"/>
      </w:pPr>
      <w:rPr>
        <w:rFonts w:ascii="Wingdings" w:hAnsi="Wingdings"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5" w15:restartNumberingAfterBreak="0">
    <w:nsid w:val="4EE740F9"/>
    <w:multiLevelType w:val="hybridMultilevel"/>
    <w:tmpl w:val="6EB80C4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62437233"/>
    <w:multiLevelType w:val="hybridMultilevel"/>
    <w:tmpl w:val="7B8AE458"/>
    <w:lvl w:ilvl="0" w:tplc="08090001">
      <w:start w:val="1"/>
      <w:numFmt w:val="bullet"/>
      <w:lvlText w:val=""/>
      <w:lvlJc w:val="left"/>
      <w:pPr>
        <w:tabs>
          <w:tab w:val="num" w:pos="360"/>
        </w:tabs>
        <w:ind w:left="360" w:hanging="360"/>
      </w:pPr>
      <w:rPr>
        <w:rFonts w:ascii="Symbol" w:hAnsi="Symbol" w:hint="default"/>
      </w:rPr>
    </w:lvl>
    <w:lvl w:ilvl="1" w:tplc="08090003">
      <w:start w:val="1"/>
      <w:numFmt w:val="bullet"/>
      <w:lvlText w:val="o"/>
      <w:lvlJc w:val="left"/>
      <w:pPr>
        <w:tabs>
          <w:tab w:val="num" w:pos="1080"/>
        </w:tabs>
        <w:ind w:left="1080" w:hanging="360"/>
      </w:pPr>
      <w:rPr>
        <w:rFonts w:ascii="Courier New" w:hAnsi="Courier New" w:hint="default"/>
      </w:rPr>
    </w:lvl>
    <w:lvl w:ilvl="2" w:tplc="08090005">
      <w:start w:val="1"/>
      <w:numFmt w:val="bullet"/>
      <w:lvlText w:val=""/>
      <w:lvlJc w:val="left"/>
      <w:pPr>
        <w:tabs>
          <w:tab w:val="num" w:pos="1800"/>
        </w:tabs>
        <w:ind w:left="1800" w:hanging="360"/>
      </w:pPr>
      <w:rPr>
        <w:rFonts w:ascii="Wingdings" w:hAnsi="Wingdings" w:hint="default"/>
      </w:rPr>
    </w:lvl>
    <w:lvl w:ilvl="3" w:tplc="08090001">
      <w:start w:val="1"/>
      <w:numFmt w:val="bullet"/>
      <w:lvlText w:val=""/>
      <w:lvlJc w:val="left"/>
      <w:pPr>
        <w:tabs>
          <w:tab w:val="num" w:pos="2520"/>
        </w:tabs>
        <w:ind w:left="2520" w:hanging="360"/>
      </w:pPr>
      <w:rPr>
        <w:rFonts w:ascii="Symbol" w:hAnsi="Symbol" w:hint="default"/>
      </w:rPr>
    </w:lvl>
    <w:lvl w:ilvl="4" w:tplc="08090003">
      <w:start w:val="1"/>
      <w:numFmt w:val="bullet"/>
      <w:lvlText w:val="o"/>
      <w:lvlJc w:val="left"/>
      <w:pPr>
        <w:tabs>
          <w:tab w:val="num" w:pos="3240"/>
        </w:tabs>
        <w:ind w:left="3240" w:hanging="360"/>
      </w:pPr>
      <w:rPr>
        <w:rFonts w:ascii="Courier New" w:hAnsi="Courier New" w:hint="default"/>
      </w:rPr>
    </w:lvl>
    <w:lvl w:ilvl="5" w:tplc="08090005">
      <w:start w:val="1"/>
      <w:numFmt w:val="bullet"/>
      <w:lvlText w:val=""/>
      <w:lvlJc w:val="left"/>
      <w:pPr>
        <w:tabs>
          <w:tab w:val="num" w:pos="3960"/>
        </w:tabs>
        <w:ind w:left="3960" w:hanging="360"/>
      </w:pPr>
      <w:rPr>
        <w:rFonts w:ascii="Wingdings" w:hAnsi="Wingdings" w:hint="default"/>
      </w:rPr>
    </w:lvl>
    <w:lvl w:ilvl="6" w:tplc="08090001">
      <w:start w:val="1"/>
      <w:numFmt w:val="bullet"/>
      <w:lvlText w:val=""/>
      <w:lvlJc w:val="left"/>
      <w:pPr>
        <w:tabs>
          <w:tab w:val="num" w:pos="4680"/>
        </w:tabs>
        <w:ind w:left="4680" w:hanging="360"/>
      </w:pPr>
      <w:rPr>
        <w:rFonts w:ascii="Symbol" w:hAnsi="Symbol" w:hint="default"/>
      </w:rPr>
    </w:lvl>
    <w:lvl w:ilvl="7" w:tplc="08090003">
      <w:start w:val="1"/>
      <w:numFmt w:val="bullet"/>
      <w:lvlText w:val="o"/>
      <w:lvlJc w:val="left"/>
      <w:pPr>
        <w:tabs>
          <w:tab w:val="num" w:pos="5400"/>
        </w:tabs>
        <w:ind w:left="5400" w:hanging="360"/>
      </w:pPr>
      <w:rPr>
        <w:rFonts w:ascii="Courier New" w:hAnsi="Courier New" w:hint="default"/>
      </w:rPr>
    </w:lvl>
    <w:lvl w:ilvl="8" w:tplc="08090005">
      <w:start w:val="1"/>
      <w:numFmt w:val="bullet"/>
      <w:lvlText w:val=""/>
      <w:lvlJc w:val="left"/>
      <w:pPr>
        <w:tabs>
          <w:tab w:val="num" w:pos="6120"/>
        </w:tabs>
        <w:ind w:left="6120" w:hanging="360"/>
      </w:pPr>
      <w:rPr>
        <w:rFonts w:ascii="Wingdings" w:hAnsi="Wingdings" w:hint="default"/>
      </w:rPr>
    </w:lvl>
  </w:abstractNum>
  <w:abstractNum w:abstractNumId="27" w15:restartNumberingAfterBreak="0">
    <w:nsid w:val="656B17F5"/>
    <w:multiLevelType w:val="hybridMultilevel"/>
    <w:tmpl w:val="AB962C5A"/>
    <w:lvl w:ilvl="0" w:tplc="EBE8D5B6">
      <w:start w:val="1"/>
      <w:numFmt w:val="bullet"/>
      <w:lvlText w:val=""/>
      <w:lvlJc w:val="left"/>
      <w:pPr>
        <w:ind w:left="360" w:hanging="360"/>
      </w:pPr>
      <w:rPr>
        <w:rFonts w:ascii="Wingdings" w:hAnsi="Wingdings" w:hint="default"/>
        <w:color w:val="000000" w:themeColor="text1"/>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8" w15:restartNumberingAfterBreak="0">
    <w:nsid w:val="68D86EA9"/>
    <w:multiLevelType w:val="hybridMultilevel"/>
    <w:tmpl w:val="501A4F8C"/>
    <w:lvl w:ilvl="0" w:tplc="08090001">
      <w:start w:val="1"/>
      <w:numFmt w:val="bullet"/>
      <w:lvlText w:val=""/>
      <w:lvlJc w:val="left"/>
      <w:pPr>
        <w:ind w:left="780" w:hanging="360"/>
      </w:pPr>
      <w:rPr>
        <w:rFonts w:ascii="Symbol" w:hAnsi="Symbol" w:hint="default"/>
      </w:rPr>
    </w:lvl>
    <w:lvl w:ilvl="1" w:tplc="08090003" w:tentative="1">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29" w15:restartNumberingAfterBreak="0">
    <w:nsid w:val="6DB519DF"/>
    <w:multiLevelType w:val="hybridMultilevel"/>
    <w:tmpl w:val="567E7A4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7003680E"/>
    <w:multiLevelType w:val="hybridMultilevel"/>
    <w:tmpl w:val="4288CC0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70AF3932"/>
    <w:multiLevelType w:val="hybridMultilevel"/>
    <w:tmpl w:val="FA3440F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716B6811"/>
    <w:multiLevelType w:val="hybridMultilevel"/>
    <w:tmpl w:val="4B80F72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3" w15:restartNumberingAfterBreak="0">
    <w:nsid w:val="7237744D"/>
    <w:multiLevelType w:val="hybridMultilevel"/>
    <w:tmpl w:val="05C22E5E"/>
    <w:lvl w:ilvl="0" w:tplc="431E4998">
      <w:start w:val="1"/>
      <w:numFmt w:val="bullet"/>
      <w:lvlText w:val=""/>
      <w:lvlJc w:val="left"/>
      <w:pPr>
        <w:ind w:left="360" w:hanging="360"/>
      </w:pPr>
      <w:rPr>
        <w:rFonts w:ascii="Wingdings" w:hAnsi="Wingdings"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4" w15:restartNumberingAfterBreak="0">
    <w:nsid w:val="76EA4797"/>
    <w:multiLevelType w:val="hybridMultilevel"/>
    <w:tmpl w:val="6A0EF3B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7A9A41B0"/>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36" w15:restartNumberingAfterBreak="0">
    <w:nsid w:val="7DB278F1"/>
    <w:multiLevelType w:val="hybridMultilevel"/>
    <w:tmpl w:val="312CEF2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abstractNumId w:val="23"/>
  </w:num>
  <w:num w:numId="2">
    <w:abstractNumId w:val="12"/>
  </w:num>
  <w:num w:numId="3">
    <w:abstractNumId w:val="26"/>
  </w:num>
  <w:num w:numId="4">
    <w:abstractNumId w:val="17"/>
  </w:num>
  <w:num w:numId="5">
    <w:abstractNumId w:val="32"/>
  </w:num>
  <w:num w:numId="6">
    <w:abstractNumId w:val="11"/>
  </w:num>
  <w:num w:numId="7">
    <w:abstractNumId w:val="31"/>
  </w:num>
  <w:num w:numId="8">
    <w:abstractNumId w:val="2"/>
  </w:num>
  <w:num w:numId="9">
    <w:abstractNumId w:val="21"/>
  </w:num>
  <w:num w:numId="10">
    <w:abstractNumId w:val="9"/>
  </w:num>
  <w:num w:numId="11">
    <w:abstractNumId w:val="13"/>
  </w:num>
  <w:num w:numId="12">
    <w:abstractNumId w:val="20"/>
  </w:num>
  <w:num w:numId="13">
    <w:abstractNumId w:val="28"/>
  </w:num>
  <w:num w:numId="14">
    <w:abstractNumId w:val="1"/>
  </w:num>
  <w:num w:numId="15">
    <w:abstractNumId w:val="25"/>
  </w:num>
  <w:num w:numId="16">
    <w:abstractNumId w:val="7"/>
  </w:num>
  <w:num w:numId="17">
    <w:abstractNumId w:val="6"/>
  </w:num>
  <w:num w:numId="18">
    <w:abstractNumId w:val="15"/>
  </w:num>
  <w:num w:numId="19">
    <w:abstractNumId w:val="36"/>
  </w:num>
  <w:num w:numId="20">
    <w:abstractNumId w:val="22"/>
  </w:num>
  <w:num w:numId="21">
    <w:abstractNumId w:val="19"/>
  </w:num>
  <w:num w:numId="22">
    <w:abstractNumId w:val="27"/>
  </w:num>
  <w:num w:numId="23">
    <w:abstractNumId w:val="24"/>
  </w:num>
  <w:num w:numId="24">
    <w:abstractNumId w:val="33"/>
  </w:num>
  <w:num w:numId="25">
    <w:abstractNumId w:val="5"/>
  </w:num>
  <w:num w:numId="26">
    <w:abstractNumId w:val="16"/>
  </w:num>
  <w:num w:numId="27">
    <w:abstractNumId w:val="3"/>
  </w:num>
  <w:num w:numId="28">
    <w:abstractNumId w:val="18"/>
  </w:num>
  <w:num w:numId="29">
    <w:abstractNumId w:val="4"/>
  </w:num>
  <w:num w:numId="30">
    <w:abstractNumId w:val="0"/>
  </w:num>
  <w:num w:numId="31">
    <w:abstractNumId w:val="10"/>
  </w:num>
  <w:num w:numId="32">
    <w:abstractNumId w:val="35"/>
  </w:num>
  <w:num w:numId="33">
    <w:abstractNumId w:val="34"/>
  </w:num>
  <w:num w:numId="34">
    <w:abstractNumId w:val="29"/>
  </w:num>
  <w:num w:numId="35">
    <w:abstractNumId w:val="14"/>
  </w:num>
  <w:num w:numId="36">
    <w:abstractNumId w:val="8"/>
  </w:num>
  <w:num w:numId="37">
    <w:abstractNumId w:val="30"/>
  </w:num>
  <w:numIdMacAtCleanup w:val="2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oNotHyphenateCaps/>
  <w:noPunctuationKerning/>
  <w:characterSpacingControl w:val="doNotCompress"/>
  <w:doNotValidateAgainstSchema/>
  <w:doNotDemarcateInvalidXml/>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02059"/>
    <w:rsid w:val="00002059"/>
    <w:rsid w:val="000027CA"/>
    <w:rsid w:val="00006890"/>
    <w:rsid w:val="000070F3"/>
    <w:rsid w:val="00011F78"/>
    <w:rsid w:val="000128E9"/>
    <w:rsid w:val="000214F3"/>
    <w:rsid w:val="00022140"/>
    <w:rsid w:val="00022DB6"/>
    <w:rsid w:val="0002490A"/>
    <w:rsid w:val="00027424"/>
    <w:rsid w:val="00030733"/>
    <w:rsid w:val="000319C6"/>
    <w:rsid w:val="00035469"/>
    <w:rsid w:val="00041864"/>
    <w:rsid w:val="0004557B"/>
    <w:rsid w:val="00046811"/>
    <w:rsid w:val="0005504D"/>
    <w:rsid w:val="00055408"/>
    <w:rsid w:val="000637F4"/>
    <w:rsid w:val="000651EE"/>
    <w:rsid w:val="00065421"/>
    <w:rsid w:val="000673A4"/>
    <w:rsid w:val="0007020D"/>
    <w:rsid w:val="00071CF4"/>
    <w:rsid w:val="00074359"/>
    <w:rsid w:val="00081242"/>
    <w:rsid w:val="000833EF"/>
    <w:rsid w:val="00083B0F"/>
    <w:rsid w:val="000872E0"/>
    <w:rsid w:val="00090AFA"/>
    <w:rsid w:val="0009535A"/>
    <w:rsid w:val="00096C74"/>
    <w:rsid w:val="000A15E2"/>
    <w:rsid w:val="000A3377"/>
    <w:rsid w:val="000A50CF"/>
    <w:rsid w:val="000B1468"/>
    <w:rsid w:val="000B14F7"/>
    <w:rsid w:val="000B30AD"/>
    <w:rsid w:val="000C000F"/>
    <w:rsid w:val="000C1BD6"/>
    <w:rsid w:val="000D0CB1"/>
    <w:rsid w:val="000D13CE"/>
    <w:rsid w:val="000D2574"/>
    <w:rsid w:val="000E0331"/>
    <w:rsid w:val="000E23E4"/>
    <w:rsid w:val="000E4A1D"/>
    <w:rsid w:val="000F0035"/>
    <w:rsid w:val="000F1F13"/>
    <w:rsid w:val="000F4E59"/>
    <w:rsid w:val="00100941"/>
    <w:rsid w:val="00105D12"/>
    <w:rsid w:val="00115C08"/>
    <w:rsid w:val="00122B40"/>
    <w:rsid w:val="0012309F"/>
    <w:rsid w:val="001366BB"/>
    <w:rsid w:val="00136D54"/>
    <w:rsid w:val="001372F2"/>
    <w:rsid w:val="001452DF"/>
    <w:rsid w:val="001475DA"/>
    <w:rsid w:val="00154DA3"/>
    <w:rsid w:val="00156134"/>
    <w:rsid w:val="00164A80"/>
    <w:rsid w:val="00171D26"/>
    <w:rsid w:val="00172FC6"/>
    <w:rsid w:val="00176071"/>
    <w:rsid w:val="00177C87"/>
    <w:rsid w:val="00180A06"/>
    <w:rsid w:val="00182783"/>
    <w:rsid w:val="001846E2"/>
    <w:rsid w:val="001857BD"/>
    <w:rsid w:val="00185E22"/>
    <w:rsid w:val="001863F8"/>
    <w:rsid w:val="00191D32"/>
    <w:rsid w:val="00193050"/>
    <w:rsid w:val="00193C2A"/>
    <w:rsid w:val="00194AAA"/>
    <w:rsid w:val="00195F8E"/>
    <w:rsid w:val="001A3675"/>
    <w:rsid w:val="001A54FA"/>
    <w:rsid w:val="001A63AA"/>
    <w:rsid w:val="001B05C8"/>
    <w:rsid w:val="001B1A93"/>
    <w:rsid w:val="001B6DF9"/>
    <w:rsid w:val="001C04DE"/>
    <w:rsid w:val="001D56E9"/>
    <w:rsid w:val="001D7FB3"/>
    <w:rsid w:val="001E1D51"/>
    <w:rsid w:val="001E2504"/>
    <w:rsid w:val="001E30D9"/>
    <w:rsid w:val="001E3AAC"/>
    <w:rsid w:val="001E40F8"/>
    <w:rsid w:val="001E583B"/>
    <w:rsid w:val="001E7FC0"/>
    <w:rsid w:val="001F2E8A"/>
    <w:rsid w:val="001F5ECD"/>
    <w:rsid w:val="001F6100"/>
    <w:rsid w:val="00202F10"/>
    <w:rsid w:val="00207C85"/>
    <w:rsid w:val="00210028"/>
    <w:rsid w:val="00211C37"/>
    <w:rsid w:val="0021443D"/>
    <w:rsid w:val="00215574"/>
    <w:rsid w:val="002160B2"/>
    <w:rsid w:val="00217581"/>
    <w:rsid w:val="00221827"/>
    <w:rsid w:val="0022652C"/>
    <w:rsid w:val="002267DD"/>
    <w:rsid w:val="00230974"/>
    <w:rsid w:val="002338A1"/>
    <w:rsid w:val="00234029"/>
    <w:rsid w:val="00241CC1"/>
    <w:rsid w:val="0024206B"/>
    <w:rsid w:val="00243FC6"/>
    <w:rsid w:val="002440F9"/>
    <w:rsid w:val="002454DF"/>
    <w:rsid w:val="00245EB3"/>
    <w:rsid w:val="00253894"/>
    <w:rsid w:val="002541A4"/>
    <w:rsid w:val="00256A89"/>
    <w:rsid w:val="00256E5F"/>
    <w:rsid w:val="00257219"/>
    <w:rsid w:val="00262476"/>
    <w:rsid w:val="00262513"/>
    <w:rsid w:val="00270AA3"/>
    <w:rsid w:val="00275898"/>
    <w:rsid w:val="0027611C"/>
    <w:rsid w:val="002805E2"/>
    <w:rsid w:val="0028269E"/>
    <w:rsid w:val="002840D0"/>
    <w:rsid w:val="002854EC"/>
    <w:rsid w:val="00295C30"/>
    <w:rsid w:val="00295EFC"/>
    <w:rsid w:val="00296C14"/>
    <w:rsid w:val="002A5117"/>
    <w:rsid w:val="002A72F4"/>
    <w:rsid w:val="002B651E"/>
    <w:rsid w:val="002B6845"/>
    <w:rsid w:val="002C0E95"/>
    <w:rsid w:val="002C1BB5"/>
    <w:rsid w:val="002C3675"/>
    <w:rsid w:val="002C3841"/>
    <w:rsid w:val="002C4335"/>
    <w:rsid w:val="002D2041"/>
    <w:rsid w:val="002D2136"/>
    <w:rsid w:val="002D2A7A"/>
    <w:rsid w:val="002D3D99"/>
    <w:rsid w:val="002D6BF6"/>
    <w:rsid w:val="002D7A33"/>
    <w:rsid w:val="002E0CDA"/>
    <w:rsid w:val="002E6FD6"/>
    <w:rsid w:val="002E7B98"/>
    <w:rsid w:val="002F0A31"/>
    <w:rsid w:val="00300F3B"/>
    <w:rsid w:val="003013D2"/>
    <w:rsid w:val="0030561F"/>
    <w:rsid w:val="00310708"/>
    <w:rsid w:val="00312422"/>
    <w:rsid w:val="00312BD3"/>
    <w:rsid w:val="003151F0"/>
    <w:rsid w:val="003226C7"/>
    <w:rsid w:val="00333328"/>
    <w:rsid w:val="00335DD8"/>
    <w:rsid w:val="00341130"/>
    <w:rsid w:val="003414E9"/>
    <w:rsid w:val="003454DC"/>
    <w:rsid w:val="00345C68"/>
    <w:rsid w:val="0034687A"/>
    <w:rsid w:val="00347A3B"/>
    <w:rsid w:val="0035340E"/>
    <w:rsid w:val="00362135"/>
    <w:rsid w:val="00364577"/>
    <w:rsid w:val="00367EEB"/>
    <w:rsid w:val="00373EF6"/>
    <w:rsid w:val="003779E5"/>
    <w:rsid w:val="00383350"/>
    <w:rsid w:val="00384F7A"/>
    <w:rsid w:val="00392931"/>
    <w:rsid w:val="00393E49"/>
    <w:rsid w:val="003A1D88"/>
    <w:rsid w:val="003A237D"/>
    <w:rsid w:val="003A3AE8"/>
    <w:rsid w:val="003B0529"/>
    <w:rsid w:val="003B2C59"/>
    <w:rsid w:val="003B321D"/>
    <w:rsid w:val="003C35D1"/>
    <w:rsid w:val="003D110D"/>
    <w:rsid w:val="003D2D05"/>
    <w:rsid w:val="003D528B"/>
    <w:rsid w:val="003D610F"/>
    <w:rsid w:val="003D74A2"/>
    <w:rsid w:val="003D7A13"/>
    <w:rsid w:val="003E06D9"/>
    <w:rsid w:val="003E078D"/>
    <w:rsid w:val="003F14FE"/>
    <w:rsid w:val="003F3495"/>
    <w:rsid w:val="003F3EA0"/>
    <w:rsid w:val="003F44FB"/>
    <w:rsid w:val="003F5864"/>
    <w:rsid w:val="00402485"/>
    <w:rsid w:val="00404869"/>
    <w:rsid w:val="00407D9E"/>
    <w:rsid w:val="00407FC4"/>
    <w:rsid w:val="00421DB1"/>
    <w:rsid w:val="004236D7"/>
    <w:rsid w:val="00434B49"/>
    <w:rsid w:val="00434C29"/>
    <w:rsid w:val="00435A4E"/>
    <w:rsid w:val="004360D3"/>
    <w:rsid w:val="00437F2E"/>
    <w:rsid w:val="004427FF"/>
    <w:rsid w:val="0044619E"/>
    <w:rsid w:val="004522A2"/>
    <w:rsid w:val="00455E4F"/>
    <w:rsid w:val="00457BF5"/>
    <w:rsid w:val="00460505"/>
    <w:rsid w:val="00463122"/>
    <w:rsid w:val="004634DC"/>
    <w:rsid w:val="00470E16"/>
    <w:rsid w:val="004722F1"/>
    <w:rsid w:val="00477D49"/>
    <w:rsid w:val="00480066"/>
    <w:rsid w:val="00483645"/>
    <w:rsid w:val="00486560"/>
    <w:rsid w:val="00490CA5"/>
    <w:rsid w:val="004955D9"/>
    <w:rsid w:val="00495BF3"/>
    <w:rsid w:val="00496A03"/>
    <w:rsid w:val="004A2198"/>
    <w:rsid w:val="004B2FA3"/>
    <w:rsid w:val="004C17E9"/>
    <w:rsid w:val="004C3607"/>
    <w:rsid w:val="004C48EE"/>
    <w:rsid w:val="004C51E4"/>
    <w:rsid w:val="004D0547"/>
    <w:rsid w:val="004D2CE9"/>
    <w:rsid w:val="004E13C7"/>
    <w:rsid w:val="004E16F0"/>
    <w:rsid w:val="004E633C"/>
    <w:rsid w:val="004E65F1"/>
    <w:rsid w:val="004F0BB3"/>
    <w:rsid w:val="004F49A8"/>
    <w:rsid w:val="004F4E43"/>
    <w:rsid w:val="00511CA5"/>
    <w:rsid w:val="00512A66"/>
    <w:rsid w:val="005143CE"/>
    <w:rsid w:val="005150CE"/>
    <w:rsid w:val="005167A0"/>
    <w:rsid w:val="00523F07"/>
    <w:rsid w:val="00525D8A"/>
    <w:rsid w:val="00526733"/>
    <w:rsid w:val="00530814"/>
    <w:rsid w:val="0053098A"/>
    <w:rsid w:val="0053429A"/>
    <w:rsid w:val="00542AF9"/>
    <w:rsid w:val="005430E2"/>
    <w:rsid w:val="00543251"/>
    <w:rsid w:val="00545301"/>
    <w:rsid w:val="00550319"/>
    <w:rsid w:val="005537DA"/>
    <w:rsid w:val="0056411D"/>
    <w:rsid w:val="00565086"/>
    <w:rsid w:val="00565333"/>
    <w:rsid w:val="0056785D"/>
    <w:rsid w:val="00567C4B"/>
    <w:rsid w:val="00574920"/>
    <w:rsid w:val="00576EBB"/>
    <w:rsid w:val="00577BD3"/>
    <w:rsid w:val="00581D6C"/>
    <w:rsid w:val="0058665A"/>
    <w:rsid w:val="00586A33"/>
    <w:rsid w:val="00592A65"/>
    <w:rsid w:val="005949C7"/>
    <w:rsid w:val="00594C17"/>
    <w:rsid w:val="005A35FD"/>
    <w:rsid w:val="005B3A2F"/>
    <w:rsid w:val="005B5A07"/>
    <w:rsid w:val="005B7C23"/>
    <w:rsid w:val="005C715D"/>
    <w:rsid w:val="005D29FA"/>
    <w:rsid w:val="005D3352"/>
    <w:rsid w:val="005D63DF"/>
    <w:rsid w:val="005E5CD4"/>
    <w:rsid w:val="005F0A36"/>
    <w:rsid w:val="00601C17"/>
    <w:rsid w:val="00603C5D"/>
    <w:rsid w:val="00607C19"/>
    <w:rsid w:val="006161B3"/>
    <w:rsid w:val="00616780"/>
    <w:rsid w:val="006176F8"/>
    <w:rsid w:val="0062462A"/>
    <w:rsid w:val="00625194"/>
    <w:rsid w:val="00632956"/>
    <w:rsid w:val="00634682"/>
    <w:rsid w:val="00634F58"/>
    <w:rsid w:val="006363E9"/>
    <w:rsid w:val="006404EA"/>
    <w:rsid w:val="006434A3"/>
    <w:rsid w:val="00644349"/>
    <w:rsid w:val="00651D23"/>
    <w:rsid w:val="00652070"/>
    <w:rsid w:val="006525F0"/>
    <w:rsid w:val="006550FB"/>
    <w:rsid w:val="00666493"/>
    <w:rsid w:val="00666C10"/>
    <w:rsid w:val="006705EC"/>
    <w:rsid w:val="00683CF6"/>
    <w:rsid w:val="00684F9A"/>
    <w:rsid w:val="006858D6"/>
    <w:rsid w:val="00687908"/>
    <w:rsid w:val="00691AB6"/>
    <w:rsid w:val="00693BB0"/>
    <w:rsid w:val="006A0189"/>
    <w:rsid w:val="006A0FAB"/>
    <w:rsid w:val="006A1127"/>
    <w:rsid w:val="006A1F11"/>
    <w:rsid w:val="006A2F72"/>
    <w:rsid w:val="006B3A5C"/>
    <w:rsid w:val="006C0335"/>
    <w:rsid w:val="006D36F5"/>
    <w:rsid w:val="006D4FAD"/>
    <w:rsid w:val="006E21DD"/>
    <w:rsid w:val="006F0E69"/>
    <w:rsid w:val="006F536E"/>
    <w:rsid w:val="00701417"/>
    <w:rsid w:val="00702326"/>
    <w:rsid w:val="007023AD"/>
    <w:rsid w:val="00705711"/>
    <w:rsid w:val="007104E4"/>
    <w:rsid w:val="00711943"/>
    <w:rsid w:val="007206AB"/>
    <w:rsid w:val="00720C70"/>
    <w:rsid w:val="007220EA"/>
    <w:rsid w:val="00722D66"/>
    <w:rsid w:val="00723CD8"/>
    <w:rsid w:val="00730F2C"/>
    <w:rsid w:val="00732225"/>
    <w:rsid w:val="00734844"/>
    <w:rsid w:val="00740891"/>
    <w:rsid w:val="00742EC2"/>
    <w:rsid w:val="007442BB"/>
    <w:rsid w:val="00746846"/>
    <w:rsid w:val="00746F48"/>
    <w:rsid w:val="007510C3"/>
    <w:rsid w:val="00754F18"/>
    <w:rsid w:val="00755DAA"/>
    <w:rsid w:val="00756A29"/>
    <w:rsid w:val="007636FB"/>
    <w:rsid w:val="0076458E"/>
    <w:rsid w:val="00764FE7"/>
    <w:rsid w:val="00767F50"/>
    <w:rsid w:val="00773D4C"/>
    <w:rsid w:val="007761BA"/>
    <w:rsid w:val="00780797"/>
    <w:rsid w:val="00781354"/>
    <w:rsid w:val="00781A5B"/>
    <w:rsid w:val="00782F87"/>
    <w:rsid w:val="007931D4"/>
    <w:rsid w:val="0079390E"/>
    <w:rsid w:val="007940AE"/>
    <w:rsid w:val="00797EB3"/>
    <w:rsid w:val="007A01A3"/>
    <w:rsid w:val="007A0E39"/>
    <w:rsid w:val="007A10F9"/>
    <w:rsid w:val="007A1806"/>
    <w:rsid w:val="007A35AF"/>
    <w:rsid w:val="007A4C02"/>
    <w:rsid w:val="007A6ED8"/>
    <w:rsid w:val="007A7F95"/>
    <w:rsid w:val="007B44F6"/>
    <w:rsid w:val="007B5A46"/>
    <w:rsid w:val="007C68DF"/>
    <w:rsid w:val="007C6D4F"/>
    <w:rsid w:val="007D1023"/>
    <w:rsid w:val="007D1FF4"/>
    <w:rsid w:val="007D2EC2"/>
    <w:rsid w:val="007D414A"/>
    <w:rsid w:val="007E1332"/>
    <w:rsid w:val="007F073B"/>
    <w:rsid w:val="007F0CB6"/>
    <w:rsid w:val="007F646C"/>
    <w:rsid w:val="00800D0B"/>
    <w:rsid w:val="008032C8"/>
    <w:rsid w:val="00805C72"/>
    <w:rsid w:val="008114E9"/>
    <w:rsid w:val="00822935"/>
    <w:rsid w:val="00822B8B"/>
    <w:rsid w:val="00825F90"/>
    <w:rsid w:val="00831225"/>
    <w:rsid w:val="00833FAC"/>
    <w:rsid w:val="00841CE9"/>
    <w:rsid w:val="0084264A"/>
    <w:rsid w:val="0084540D"/>
    <w:rsid w:val="008462B8"/>
    <w:rsid w:val="008467F8"/>
    <w:rsid w:val="00851E3A"/>
    <w:rsid w:val="00852D27"/>
    <w:rsid w:val="008533A9"/>
    <w:rsid w:val="00853BD6"/>
    <w:rsid w:val="008569A4"/>
    <w:rsid w:val="00860DBF"/>
    <w:rsid w:val="00863453"/>
    <w:rsid w:val="00863463"/>
    <w:rsid w:val="00866FED"/>
    <w:rsid w:val="00872B0D"/>
    <w:rsid w:val="00872DAD"/>
    <w:rsid w:val="00880CC9"/>
    <w:rsid w:val="0088151C"/>
    <w:rsid w:val="008817AB"/>
    <w:rsid w:val="00882A80"/>
    <w:rsid w:val="00887F30"/>
    <w:rsid w:val="00890B23"/>
    <w:rsid w:val="0089622D"/>
    <w:rsid w:val="00896790"/>
    <w:rsid w:val="008A0511"/>
    <w:rsid w:val="008A6694"/>
    <w:rsid w:val="008A6B33"/>
    <w:rsid w:val="008A7205"/>
    <w:rsid w:val="008A768D"/>
    <w:rsid w:val="008B1C49"/>
    <w:rsid w:val="008B5CA8"/>
    <w:rsid w:val="008B67CC"/>
    <w:rsid w:val="008D1228"/>
    <w:rsid w:val="008D4C2B"/>
    <w:rsid w:val="008D4F77"/>
    <w:rsid w:val="008D64BB"/>
    <w:rsid w:val="008D69A8"/>
    <w:rsid w:val="008E260A"/>
    <w:rsid w:val="008E388C"/>
    <w:rsid w:val="008E3BDA"/>
    <w:rsid w:val="008E70E0"/>
    <w:rsid w:val="008F1586"/>
    <w:rsid w:val="008F1EC5"/>
    <w:rsid w:val="008F20AD"/>
    <w:rsid w:val="008F452F"/>
    <w:rsid w:val="008F5725"/>
    <w:rsid w:val="008F6FC9"/>
    <w:rsid w:val="00906BF3"/>
    <w:rsid w:val="00910000"/>
    <w:rsid w:val="00911F8B"/>
    <w:rsid w:val="009140B6"/>
    <w:rsid w:val="00914878"/>
    <w:rsid w:val="009152A1"/>
    <w:rsid w:val="009225F2"/>
    <w:rsid w:val="00923C28"/>
    <w:rsid w:val="00925E98"/>
    <w:rsid w:val="00927568"/>
    <w:rsid w:val="00927F72"/>
    <w:rsid w:val="0093109F"/>
    <w:rsid w:val="00932946"/>
    <w:rsid w:val="00932A66"/>
    <w:rsid w:val="009426CB"/>
    <w:rsid w:val="009444E9"/>
    <w:rsid w:val="00945005"/>
    <w:rsid w:val="00955FF9"/>
    <w:rsid w:val="0096020F"/>
    <w:rsid w:val="00963073"/>
    <w:rsid w:val="00970646"/>
    <w:rsid w:val="00971D6C"/>
    <w:rsid w:val="0097315A"/>
    <w:rsid w:val="00975196"/>
    <w:rsid w:val="0098534B"/>
    <w:rsid w:val="00986978"/>
    <w:rsid w:val="009869D7"/>
    <w:rsid w:val="00987350"/>
    <w:rsid w:val="00990F11"/>
    <w:rsid w:val="009A04ED"/>
    <w:rsid w:val="009A6D21"/>
    <w:rsid w:val="009A7189"/>
    <w:rsid w:val="009A7D40"/>
    <w:rsid w:val="009B3EFE"/>
    <w:rsid w:val="009B493A"/>
    <w:rsid w:val="009D18C9"/>
    <w:rsid w:val="009D1FED"/>
    <w:rsid w:val="009E1156"/>
    <w:rsid w:val="009E16EA"/>
    <w:rsid w:val="009E3EB6"/>
    <w:rsid w:val="009E40D8"/>
    <w:rsid w:val="009E73AD"/>
    <w:rsid w:val="009E78DA"/>
    <w:rsid w:val="009E7D1E"/>
    <w:rsid w:val="009F1F13"/>
    <w:rsid w:val="009F50D1"/>
    <w:rsid w:val="009F52F8"/>
    <w:rsid w:val="009F7653"/>
    <w:rsid w:val="00A00569"/>
    <w:rsid w:val="00A03C0D"/>
    <w:rsid w:val="00A119D2"/>
    <w:rsid w:val="00A12A63"/>
    <w:rsid w:val="00A159D7"/>
    <w:rsid w:val="00A15EAA"/>
    <w:rsid w:val="00A2646B"/>
    <w:rsid w:val="00A27129"/>
    <w:rsid w:val="00A2712A"/>
    <w:rsid w:val="00A27BBC"/>
    <w:rsid w:val="00A32F64"/>
    <w:rsid w:val="00A33035"/>
    <w:rsid w:val="00A366A9"/>
    <w:rsid w:val="00A40057"/>
    <w:rsid w:val="00A43735"/>
    <w:rsid w:val="00A57F29"/>
    <w:rsid w:val="00A63136"/>
    <w:rsid w:val="00A64099"/>
    <w:rsid w:val="00A71417"/>
    <w:rsid w:val="00A73036"/>
    <w:rsid w:val="00A73E0C"/>
    <w:rsid w:val="00A74525"/>
    <w:rsid w:val="00A77275"/>
    <w:rsid w:val="00A77C75"/>
    <w:rsid w:val="00A815AA"/>
    <w:rsid w:val="00A87887"/>
    <w:rsid w:val="00A90413"/>
    <w:rsid w:val="00A91A24"/>
    <w:rsid w:val="00A92EA7"/>
    <w:rsid w:val="00A9339A"/>
    <w:rsid w:val="00A96425"/>
    <w:rsid w:val="00AA1A01"/>
    <w:rsid w:val="00AA66CF"/>
    <w:rsid w:val="00AB1AD7"/>
    <w:rsid w:val="00AB239C"/>
    <w:rsid w:val="00AB4B2C"/>
    <w:rsid w:val="00AC2A37"/>
    <w:rsid w:val="00AC3B8B"/>
    <w:rsid w:val="00AC4CDD"/>
    <w:rsid w:val="00AC58E2"/>
    <w:rsid w:val="00AC6C03"/>
    <w:rsid w:val="00AD0E50"/>
    <w:rsid w:val="00AD12A7"/>
    <w:rsid w:val="00AD5294"/>
    <w:rsid w:val="00AD5C52"/>
    <w:rsid w:val="00AD632D"/>
    <w:rsid w:val="00AE3494"/>
    <w:rsid w:val="00AE7F46"/>
    <w:rsid w:val="00AF0554"/>
    <w:rsid w:val="00AF0785"/>
    <w:rsid w:val="00AF0FF1"/>
    <w:rsid w:val="00AF1DA0"/>
    <w:rsid w:val="00AF3320"/>
    <w:rsid w:val="00AF400F"/>
    <w:rsid w:val="00B006DF"/>
    <w:rsid w:val="00B012DA"/>
    <w:rsid w:val="00B01675"/>
    <w:rsid w:val="00B01DC5"/>
    <w:rsid w:val="00B03D75"/>
    <w:rsid w:val="00B05ECD"/>
    <w:rsid w:val="00B16A24"/>
    <w:rsid w:val="00B16A8C"/>
    <w:rsid w:val="00B17505"/>
    <w:rsid w:val="00B204D0"/>
    <w:rsid w:val="00B24FB5"/>
    <w:rsid w:val="00B26BD6"/>
    <w:rsid w:val="00B275C1"/>
    <w:rsid w:val="00B37880"/>
    <w:rsid w:val="00B441AA"/>
    <w:rsid w:val="00B47BFA"/>
    <w:rsid w:val="00B5062B"/>
    <w:rsid w:val="00B51952"/>
    <w:rsid w:val="00B533BF"/>
    <w:rsid w:val="00B534EC"/>
    <w:rsid w:val="00B555CC"/>
    <w:rsid w:val="00B620F7"/>
    <w:rsid w:val="00B62DA5"/>
    <w:rsid w:val="00B634E9"/>
    <w:rsid w:val="00B6522B"/>
    <w:rsid w:val="00B71690"/>
    <w:rsid w:val="00B7183D"/>
    <w:rsid w:val="00B71894"/>
    <w:rsid w:val="00B75F19"/>
    <w:rsid w:val="00B82EFD"/>
    <w:rsid w:val="00B84633"/>
    <w:rsid w:val="00B971CB"/>
    <w:rsid w:val="00B97F89"/>
    <w:rsid w:val="00BA084C"/>
    <w:rsid w:val="00BA5565"/>
    <w:rsid w:val="00BB0C95"/>
    <w:rsid w:val="00BB3F4A"/>
    <w:rsid w:val="00BB4B69"/>
    <w:rsid w:val="00BB4D3A"/>
    <w:rsid w:val="00BC547B"/>
    <w:rsid w:val="00BC7C47"/>
    <w:rsid w:val="00BD011B"/>
    <w:rsid w:val="00BD4B6C"/>
    <w:rsid w:val="00BD74A0"/>
    <w:rsid w:val="00BE23B4"/>
    <w:rsid w:val="00BE2E0D"/>
    <w:rsid w:val="00BE36BF"/>
    <w:rsid w:val="00BE41DA"/>
    <w:rsid w:val="00BE42A1"/>
    <w:rsid w:val="00BF0ADE"/>
    <w:rsid w:val="00BF59F4"/>
    <w:rsid w:val="00C008A0"/>
    <w:rsid w:val="00C04594"/>
    <w:rsid w:val="00C07804"/>
    <w:rsid w:val="00C12338"/>
    <w:rsid w:val="00C140EE"/>
    <w:rsid w:val="00C149BD"/>
    <w:rsid w:val="00C16234"/>
    <w:rsid w:val="00C163A6"/>
    <w:rsid w:val="00C21734"/>
    <w:rsid w:val="00C2514B"/>
    <w:rsid w:val="00C30DB5"/>
    <w:rsid w:val="00C34A84"/>
    <w:rsid w:val="00C3528A"/>
    <w:rsid w:val="00C43634"/>
    <w:rsid w:val="00C4439E"/>
    <w:rsid w:val="00C473DC"/>
    <w:rsid w:val="00C51D95"/>
    <w:rsid w:val="00C52D75"/>
    <w:rsid w:val="00C6164B"/>
    <w:rsid w:val="00C61E9F"/>
    <w:rsid w:val="00C70ACB"/>
    <w:rsid w:val="00C70DB0"/>
    <w:rsid w:val="00C769E5"/>
    <w:rsid w:val="00C77DF5"/>
    <w:rsid w:val="00C77FBA"/>
    <w:rsid w:val="00C819B4"/>
    <w:rsid w:val="00C84A4C"/>
    <w:rsid w:val="00CA217F"/>
    <w:rsid w:val="00CA4FEC"/>
    <w:rsid w:val="00CA5AEE"/>
    <w:rsid w:val="00CB4601"/>
    <w:rsid w:val="00CB7086"/>
    <w:rsid w:val="00CC5A9E"/>
    <w:rsid w:val="00CD029F"/>
    <w:rsid w:val="00CD2997"/>
    <w:rsid w:val="00CD5BE5"/>
    <w:rsid w:val="00CE084B"/>
    <w:rsid w:val="00CE2547"/>
    <w:rsid w:val="00CE390A"/>
    <w:rsid w:val="00CE5C9F"/>
    <w:rsid w:val="00CF0E04"/>
    <w:rsid w:val="00CF5D02"/>
    <w:rsid w:val="00CF6B45"/>
    <w:rsid w:val="00CF6F83"/>
    <w:rsid w:val="00D02D57"/>
    <w:rsid w:val="00D03937"/>
    <w:rsid w:val="00D057C9"/>
    <w:rsid w:val="00D0663A"/>
    <w:rsid w:val="00D1410C"/>
    <w:rsid w:val="00D20266"/>
    <w:rsid w:val="00D23653"/>
    <w:rsid w:val="00D240FC"/>
    <w:rsid w:val="00D33842"/>
    <w:rsid w:val="00D46E35"/>
    <w:rsid w:val="00D47915"/>
    <w:rsid w:val="00D54821"/>
    <w:rsid w:val="00D576EA"/>
    <w:rsid w:val="00D607CE"/>
    <w:rsid w:val="00D67CDE"/>
    <w:rsid w:val="00D71801"/>
    <w:rsid w:val="00D7566E"/>
    <w:rsid w:val="00D767A1"/>
    <w:rsid w:val="00D77B96"/>
    <w:rsid w:val="00D816BD"/>
    <w:rsid w:val="00D9014C"/>
    <w:rsid w:val="00D95A5C"/>
    <w:rsid w:val="00D96527"/>
    <w:rsid w:val="00DA0A75"/>
    <w:rsid w:val="00DA379F"/>
    <w:rsid w:val="00DA5628"/>
    <w:rsid w:val="00DA5CF8"/>
    <w:rsid w:val="00DA7FA8"/>
    <w:rsid w:val="00DB3F1C"/>
    <w:rsid w:val="00DB4F80"/>
    <w:rsid w:val="00DB6B0B"/>
    <w:rsid w:val="00DB7968"/>
    <w:rsid w:val="00DC214C"/>
    <w:rsid w:val="00DC4081"/>
    <w:rsid w:val="00DD5122"/>
    <w:rsid w:val="00DD7280"/>
    <w:rsid w:val="00DE0204"/>
    <w:rsid w:val="00DE2466"/>
    <w:rsid w:val="00DF1420"/>
    <w:rsid w:val="00E0081E"/>
    <w:rsid w:val="00E11FB4"/>
    <w:rsid w:val="00E20064"/>
    <w:rsid w:val="00E20BF2"/>
    <w:rsid w:val="00E2203E"/>
    <w:rsid w:val="00E2419F"/>
    <w:rsid w:val="00E25D4B"/>
    <w:rsid w:val="00E274D0"/>
    <w:rsid w:val="00E314D7"/>
    <w:rsid w:val="00E327EA"/>
    <w:rsid w:val="00E366D6"/>
    <w:rsid w:val="00E37C43"/>
    <w:rsid w:val="00E40373"/>
    <w:rsid w:val="00E4581B"/>
    <w:rsid w:val="00E53184"/>
    <w:rsid w:val="00E54C12"/>
    <w:rsid w:val="00E57ECB"/>
    <w:rsid w:val="00E63D8B"/>
    <w:rsid w:val="00E647C6"/>
    <w:rsid w:val="00E64FAC"/>
    <w:rsid w:val="00E70E26"/>
    <w:rsid w:val="00E74EDE"/>
    <w:rsid w:val="00E81EA1"/>
    <w:rsid w:val="00E81F4B"/>
    <w:rsid w:val="00E82F39"/>
    <w:rsid w:val="00EA11BE"/>
    <w:rsid w:val="00EA175D"/>
    <w:rsid w:val="00EA4079"/>
    <w:rsid w:val="00EB447F"/>
    <w:rsid w:val="00EC0272"/>
    <w:rsid w:val="00EC0791"/>
    <w:rsid w:val="00EC2031"/>
    <w:rsid w:val="00ED2A45"/>
    <w:rsid w:val="00ED3BAF"/>
    <w:rsid w:val="00ED511A"/>
    <w:rsid w:val="00EE65E3"/>
    <w:rsid w:val="00EF15D0"/>
    <w:rsid w:val="00EF34C4"/>
    <w:rsid w:val="00EF5FA1"/>
    <w:rsid w:val="00EF7114"/>
    <w:rsid w:val="00F07195"/>
    <w:rsid w:val="00F10759"/>
    <w:rsid w:val="00F14ABA"/>
    <w:rsid w:val="00F17BB6"/>
    <w:rsid w:val="00F23581"/>
    <w:rsid w:val="00F23607"/>
    <w:rsid w:val="00F2498C"/>
    <w:rsid w:val="00F24B97"/>
    <w:rsid w:val="00F25B00"/>
    <w:rsid w:val="00F30495"/>
    <w:rsid w:val="00F30554"/>
    <w:rsid w:val="00F306A1"/>
    <w:rsid w:val="00F3098C"/>
    <w:rsid w:val="00F32907"/>
    <w:rsid w:val="00F348D2"/>
    <w:rsid w:val="00F41467"/>
    <w:rsid w:val="00F4485E"/>
    <w:rsid w:val="00F44B6A"/>
    <w:rsid w:val="00F46BEE"/>
    <w:rsid w:val="00F51FD1"/>
    <w:rsid w:val="00F521C7"/>
    <w:rsid w:val="00F55082"/>
    <w:rsid w:val="00F556F3"/>
    <w:rsid w:val="00F5672C"/>
    <w:rsid w:val="00F57D11"/>
    <w:rsid w:val="00F610B4"/>
    <w:rsid w:val="00F62EF9"/>
    <w:rsid w:val="00F64863"/>
    <w:rsid w:val="00F65028"/>
    <w:rsid w:val="00F6724D"/>
    <w:rsid w:val="00F71D98"/>
    <w:rsid w:val="00F75C99"/>
    <w:rsid w:val="00F81EA8"/>
    <w:rsid w:val="00F8314A"/>
    <w:rsid w:val="00F83257"/>
    <w:rsid w:val="00F83EFD"/>
    <w:rsid w:val="00F86306"/>
    <w:rsid w:val="00F8642F"/>
    <w:rsid w:val="00F906AB"/>
    <w:rsid w:val="00F933C8"/>
    <w:rsid w:val="00F94914"/>
    <w:rsid w:val="00F960C1"/>
    <w:rsid w:val="00F966D5"/>
    <w:rsid w:val="00FA0331"/>
    <w:rsid w:val="00FA27EC"/>
    <w:rsid w:val="00FA3830"/>
    <w:rsid w:val="00FA5E9F"/>
    <w:rsid w:val="00FA6411"/>
    <w:rsid w:val="00FB5864"/>
    <w:rsid w:val="00FC25FB"/>
    <w:rsid w:val="00FC2E4B"/>
    <w:rsid w:val="00FC5ED8"/>
    <w:rsid w:val="00FC6F21"/>
    <w:rsid w:val="00FD10D8"/>
    <w:rsid w:val="00FD2CF7"/>
    <w:rsid w:val="00FE242C"/>
    <w:rsid w:val="00FE3091"/>
    <w:rsid w:val="00FF3685"/>
    <w:rsid w:val="00FF66C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oNotEmbedSmartTags/>
  <w:decimalSymbol w:val="."/>
  <w:listSeparator w:val=","/>
  <w15:docId w15:val="{18BC973E-F0FB-4248-A419-A943BA94236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1">
    <w:lsdException w:name="Normal" w:locked="1" w:qFormat="1"/>
    <w:lsdException w:name="heading 1" w:locked="1" w:qFormat="1"/>
    <w:lsdException w:name="heading 2" w:locked="1" w:qFormat="1"/>
    <w:lsdException w:name="heading 3" w:locked="1" w:qFormat="1"/>
    <w:lsdException w:name="heading 4" w:locked="1" w:qFormat="1"/>
    <w:lsdException w:name="heading 5" w:locked="1" w:qFormat="1"/>
    <w:lsdException w:name="heading 6" w:locked="1" w:qFormat="1"/>
    <w:lsdException w:name="heading 7" w:locked="1" w:semiHidden="1" w:unhideWhenUsed="1" w:qFormat="1"/>
    <w:lsdException w:name="heading 8" w:locked="1" w:semiHidden="1" w:unhideWhenUsed="1" w:qFormat="1"/>
    <w:lsdException w:name="heading 9" w:locked="1"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locked="1"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qFormat="1"/>
    <w:lsdException w:name="Emphasis" w:locked="1"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705EC"/>
    <w:pPr>
      <w:widowControl w:val="0"/>
      <w:overflowPunct w:val="0"/>
      <w:autoSpaceDE w:val="0"/>
      <w:autoSpaceDN w:val="0"/>
      <w:adjustRightInd w:val="0"/>
      <w:textAlignment w:val="baseline"/>
    </w:pPr>
    <w:rPr>
      <w:rFonts w:ascii="Arial" w:hAnsi="Arial"/>
      <w:sz w:val="24"/>
      <w:lang w:eastAsia="en-US"/>
    </w:rPr>
  </w:style>
  <w:style w:type="paragraph" w:styleId="Heading1">
    <w:name w:val="heading 1"/>
    <w:aliases w:val="Numbered - 1"/>
    <w:basedOn w:val="Normal"/>
    <w:next w:val="Normal"/>
    <w:link w:val="Heading1Char"/>
    <w:qFormat/>
    <w:rsid w:val="0035340E"/>
    <w:pPr>
      <w:keepNext/>
      <w:keepLines/>
      <w:spacing w:before="240" w:after="240"/>
      <w:outlineLvl w:val="0"/>
    </w:pPr>
    <w:rPr>
      <w:b/>
      <w:kern w:val="28"/>
    </w:rPr>
  </w:style>
  <w:style w:type="paragraph" w:styleId="Heading2">
    <w:name w:val="heading 2"/>
    <w:aliases w:val="Numbered - 2"/>
    <w:basedOn w:val="Heading1"/>
    <w:next w:val="Normal"/>
    <w:link w:val="Heading2Char"/>
    <w:qFormat/>
    <w:rsid w:val="0035340E"/>
    <w:pPr>
      <w:outlineLvl w:val="1"/>
    </w:pPr>
  </w:style>
  <w:style w:type="paragraph" w:styleId="Heading3">
    <w:name w:val="heading 3"/>
    <w:aliases w:val="Numbered - 3"/>
    <w:basedOn w:val="Heading2"/>
    <w:next w:val="Normal"/>
    <w:link w:val="Heading3Char"/>
    <w:qFormat/>
    <w:rsid w:val="0035340E"/>
    <w:pPr>
      <w:keepNext w:val="0"/>
      <w:keepLines w:val="0"/>
      <w:spacing w:before="0" w:after="0"/>
      <w:outlineLvl w:val="2"/>
    </w:pPr>
    <w:rPr>
      <w:b w:val="0"/>
    </w:rPr>
  </w:style>
  <w:style w:type="paragraph" w:styleId="Heading4">
    <w:name w:val="heading 4"/>
    <w:aliases w:val="Numbered - 4"/>
    <w:basedOn w:val="Heading3"/>
    <w:next w:val="Normal"/>
    <w:link w:val="Heading4Char"/>
    <w:qFormat/>
    <w:rsid w:val="0035340E"/>
    <w:pPr>
      <w:outlineLvl w:val="3"/>
    </w:pPr>
  </w:style>
  <w:style w:type="paragraph" w:styleId="Heading5">
    <w:name w:val="heading 5"/>
    <w:aliases w:val="Numbered - 5"/>
    <w:basedOn w:val="Heading4"/>
    <w:next w:val="Normal"/>
    <w:link w:val="Heading5Char"/>
    <w:qFormat/>
    <w:rsid w:val="0035340E"/>
    <w:pPr>
      <w:outlineLvl w:val="4"/>
    </w:pPr>
  </w:style>
  <w:style w:type="paragraph" w:styleId="Heading6">
    <w:name w:val="heading 6"/>
    <w:aliases w:val="Numbered - 6"/>
    <w:basedOn w:val="Heading5"/>
    <w:next w:val="Normal"/>
    <w:link w:val="Heading6Char"/>
    <w:qFormat/>
    <w:rsid w:val="0035340E"/>
    <w:pPr>
      <w:outlineLvl w:val="5"/>
    </w:pPr>
  </w:style>
  <w:style w:type="paragraph" w:styleId="Heading7">
    <w:name w:val="heading 7"/>
    <w:aliases w:val="Numbered - 7"/>
    <w:basedOn w:val="Heading6"/>
    <w:next w:val="Normal"/>
    <w:link w:val="Heading7Char"/>
    <w:qFormat/>
    <w:rsid w:val="0035340E"/>
    <w:pPr>
      <w:outlineLvl w:val="6"/>
    </w:pPr>
  </w:style>
  <w:style w:type="paragraph" w:styleId="Heading8">
    <w:name w:val="heading 8"/>
    <w:aliases w:val="Numbered - 8"/>
    <w:basedOn w:val="Heading7"/>
    <w:next w:val="Normal"/>
    <w:link w:val="Heading8Char"/>
    <w:qFormat/>
    <w:rsid w:val="0035340E"/>
    <w:pPr>
      <w:outlineLvl w:val="7"/>
    </w:pPr>
  </w:style>
  <w:style w:type="paragraph" w:styleId="Heading9">
    <w:name w:val="heading 9"/>
    <w:aliases w:val="Numbered - 9"/>
    <w:basedOn w:val="Heading8"/>
    <w:next w:val="Normal"/>
    <w:link w:val="Heading9Char"/>
    <w:qFormat/>
    <w:rsid w:val="0035340E"/>
    <w:pPr>
      <w:outlineLvl w:val="8"/>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aliases w:val="Numbered - 1 Char"/>
    <w:basedOn w:val="DefaultParagraphFont"/>
    <w:link w:val="Heading1"/>
    <w:locked/>
    <w:rsid w:val="00616780"/>
    <w:rPr>
      <w:rFonts w:ascii="Cambria" w:hAnsi="Cambria" w:cs="Times New Roman"/>
      <w:b/>
      <w:bCs/>
      <w:kern w:val="32"/>
      <w:sz w:val="32"/>
      <w:szCs w:val="32"/>
      <w:lang w:eastAsia="en-US"/>
    </w:rPr>
  </w:style>
  <w:style w:type="character" w:customStyle="1" w:styleId="Heading2Char">
    <w:name w:val="Heading 2 Char"/>
    <w:aliases w:val="Numbered - 2 Char"/>
    <w:basedOn w:val="DefaultParagraphFont"/>
    <w:link w:val="Heading2"/>
    <w:semiHidden/>
    <w:locked/>
    <w:rsid w:val="00616780"/>
    <w:rPr>
      <w:rFonts w:ascii="Cambria" w:hAnsi="Cambria" w:cs="Times New Roman"/>
      <w:b/>
      <w:bCs/>
      <w:i/>
      <w:iCs/>
      <w:sz w:val="28"/>
      <w:szCs w:val="28"/>
      <w:lang w:eastAsia="en-US"/>
    </w:rPr>
  </w:style>
  <w:style w:type="character" w:customStyle="1" w:styleId="Heading3Char">
    <w:name w:val="Heading 3 Char"/>
    <w:aliases w:val="Numbered - 3 Char"/>
    <w:basedOn w:val="DefaultParagraphFont"/>
    <w:link w:val="Heading3"/>
    <w:semiHidden/>
    <w:locked/>
    <w:rsid w:val="00616780"/>
    <w:rPr>
      <w:rFonts w:ascii="Cambria" w:hAnsi="Cambria" w:cs="Times New Roman"/>
      <w:b/>
      <w:bCs/>
      <w:sz w:val="26"/>
      <w:szCs w:val="26"/>
      <w:lang w:eastAsia="en-US"/>
    </w:rPr>
  </w:style>
  <w:style w:type="character" w:customStyle="1" w:styleId="Heading4Char">
    <w:name w:val="Heading 4 Char"/>
    <w:aliases w:val="Numbered - 4 Char"/>
    <w:basedOn w:val="DefaultParagraphFont"/>
    <w:link w:val="Heading4"/>
    <w:semiHidden/>
    <w:locked/>
    <w:rsid w:val="00616780"/>
    <w:rPr>
      <w:rFonts w:ascii="Calibri" w:hAnsi="Calibri" w:cs="Times New Roman"/>
      <w:b/>
      <w:bCs/>
      <w:sz w:val="28"/>
      <w:szCs w:val="28"/>
      <w:lang w:eastAsia="en-US"/>
    </w:rPr>
  </w:style>
  <w:style w:type="character" w:customStyle="1" w:styleId="Heading5Char">
    <w:name w:val="Heading 5 Char"/>
    <w:aliases w:val="Numbered - 5 Char"/>
    <w:basedOn w:val="DefaultParagraphFont"/>
    <w:link w:val="Heading5"/>
    <w:semiHidden/>
    <w:locked/>
    <w:rsid w:val="00616780"/>
    <w:rPr>
      <w:rFonts w:ascii="Calibri" w:hAnsi="Calibri" w:cs="Times New Roman"/>
      <w:b/>
      <w:bCs/>
      <w:i/>
      <w:iCs/>
      <w:sz w:val="26"/>
      <w:szCs w:val="26"/>
      <w:lang w:eastAsia="en-US"/>
    </w:rPr>
  </w:style>
  <w:style w:type="character" w:customStyle="1" w:styleId="Heading6Char">
    <w:name w:val="Heading 6 Char"/>
    <w:aliases w:val="Numbered - 6 Char"/>
    <w:basedOn w:val="DefaultParagraphFont"/>
    <w:link w:val="Heading6"/>
    <w:semiHidden/>
    <w:locked/>
    <w:rsid w:val="00616780"/>
    <w:rPr>
      <w:rFonts w:ascii="Calibri" w:hAnsi="Calibri" w:cs="Times New Roman"/>
      <w:b/>
      <w:bCs/>
      <w:sz w:val="22"/>
      <w:szCs w:val="22"/>
      <w:lang w:eastAsia="en-US"/>
    </w:rPr>
  </w:style>
  <w:style w:type="character" w:customStyle="1" w:styleId="Heading7Char">
    <w:name w:val="Heading 7 Char"/>
    <w:aliases w:val="Numbered - 7 Char"/>
    <w:basedOn w:val="DefaultParagraphFont"/>
    <w:link w:val="Heading7"/>
    <w:semiHidden/>
    <w:locked/>
    <w:rsid w:val="00616780"/>
    <w:rPr>
      <w:rFonts w:ascii="Calibri" w:hAnsi="Calibri" w:cs="Times New Roman"/>
      <w:sz w:val="24"/>
      <w:szCs w:val="24"/>
      <w:lang w:eastAsia="en-US"/>
    </w:rPr>
  </w:style>
  <w:style w:type="character" w:customStyle="1" w:styleId="Heading8Char">
    <w:name w:val="Heading 8 Char"/>
    <w:aliases w:val="Numbered - 8 Char"/>
    <w:basedOn w:val="DefaultParagraphFont"/>
    <w:link w:val="Heading8"/>
    <w:semiHidden/>
    <w:locked/>
    <w:rsid w:val="00616780"/>
    <w:rPr>
      <w:rFonts w:ascii="Calibri" w:hAnsi="Calibri" w:cs="Times New Roman"/>
      <w:i/>
      <w:iCs/>
      <w:sz w:val="24"/>
      <w:szCs w:val="24"/>
      <w:lang w:eastAsia="en-US"/>
    </w:rPr>
  </w:style>
  <w:style w:type="character" w:customStyle="1" w:styleId="Heading9Char">
    <w:name w:val="Heading 9 Char"/>
    <w:aliases w:val="Numbered - 9 Char"/>
    <w:basedOn w:val="DefaultParagraphFont"/>
    <w:link w:val="Heading9"/>
    <w:semiHidden/>
    <w:locked/>
    <w:rsid w:val="00616780"/>
    <w:rPr>
      <w:rFonts w:ascii="Cambria" w:hAnsi="Cambria" w:cs="Times New Roman"/>
      <w:sz w:val="22"/>
      <w:szCs w:val="22"/>
      <w:lang w:eastAsia="en-US"/>
    </w:rPr>
  </w:style>
  <w:style w:type="paragraph" w:styleId="BodyText">
    <w:name w:val="Body Text"/>
    <w:basedOn w:val="Normal"/>
    <w:link w:val="BodyTextChar"/>
    <w:rsid w:val="0035340E"/>
  </w:style>
  <w:style w:type="character" w:customStyle="1" w:styleId="BodyTextChar">
    <w:name w:val="Body Text Char"/>
    <w:basedOn w:val="DefaultParagraphFont"/>
    <w:link w:val="BodyText"/>
    <w:semiHidden/>
    <w:locked/>
    <w:rsid w:val="00616780"/>
    <w:rPr>
      <w:rFonts w:ascii="Arial" w:hAnsi="Arial" w:cs="Times New Roman"/>
      <w:sz w:val="24"/>
      <w:lang w:eastAsia="en-US"/>
    </w:rPr>
  </w:style>
  <w:style w:type="paragraph" w:styleId="BodyTextIndent">
    <w:name w:val="Body Text Indent"/>
    <w:basedOn w:val="Normal"/>
    <w:link w:val="BodyTextIndentChar"/>
    <w:rsid w:val="0035340E"/>
    <w:pPr>
      <w:ind w:left="288"/>
    </w:pPr>
  </w:style>
  <w:style w:type="character" w:customStyle="1" w:styleId="BodyTextIndentChar">
    <w:name w:val="Body Text Indent Char"/>
    <w:basedOn w:val="DefaultParagraphFont"/>
    <w:link w:val="BodyTextIndent"/>
    <w:semiHidden/>
    <w:locked/>
    <w:rsid w:val="00616780"/>
    <w:rPr>
      <w:rFonts w:ascii="Arial" w:hAnsi="Arial" w:cs="Times New Roman"/>
      <w:sz w:val="24"/>
      <w:lang w:eastAsia="en-US"/>
    </w:rPr>
  </w:style>
  <w:style w:type="paragraph" w:customStyle="1" w:styleId="DfESBullets">
    <w:name w:val="DfESBullets"/>
    <w:basedOn w:val="Normal"/>
    <w:rsid w:val="0035340E"/>
    <w:pPr>
      <w:numPr>
        <w:numId w:val="1"/>
      </w:numPr>
      <w:spacing w:after="240"/>
    </w:pPr>
  </w:style>
  <w:style w:type="paragraph" w:customStyle="1" w:styleId="DfESOutNumbered">
    <w:name w:val="DfESOutNumbered"/>
    <w:basedOn w:val="Normal"/>
    <w:rsid w:val="0035340E"/>
    <w:pPr>
      <w:numPr>
        <w:numId w:val="2"/>
      </w:numPr>
      <w:spacing w:after="240"/>
    </w:pPr>
  </w:style>
  <w:style w:type="paragraph" w:styleId="Footer">
    <w:name w:val="footer"/>
    <w:basedOn w:val="Normal"/>
    <w:link w:val="FooterChar"/>
    <w:rsid w:val="0035340E"/>
    <w:pPr>
      <w:tabs>
        <w:tab w:val="center" w:pos="4153"/>
        <w:tab w:val="right" w:pos="8306"/>
      </w:tabs>
    </w:pPr>
  </w:style>
  <w:style w:type="character" w:customStyle="1" w:styleId="FooterChar">
    <w:name w:val="Footer Char"/>
    <w:basedOn w:val="DefaultParagraphFont"/>
    <w:link w:val="Footer"/>
    <w:semiHidden/>
    <w:locked/>
    <w:rsid w:val="00616780"/>
    <w:rPr>
      <w:rFonts w:ascii="Arial" w:hAnsi="Arial" w:cs="Times New Roman"/>
      <w:sz w:val="24"/>
      <w:lang w:eastAsia="en-US"/>
    </w:rPr>
  </w:style>
  <w:style w:type="paragraph" w:styleId="Header">
    <w:name w:val="header"/>
    <w:basedOn w:val="Normal"/>
    <w:link w:val="HeaderChar"/>
    <w:uiPriority w:val="99"/>
    <w:rsid w:val="0035340E"/>
    <w:pPr>
      <w:tabs>
        <w:tab w:val="center" w:pos="4153"/>
        <w:tab w:val="right" w:pos="8306"/>
      </w:tabs>
    </w:pPr>
  </w:style>
  <w:style w:type="character" w:customStyle="1" w:styleId="HeaderChar">
    <w:name w:val="Header Char"/>
    <w:basedOn w:val="DefaultParagraphFont"/>
    <w:link w:val="Header"/>
    <w:uiPriority w:val="99"/>
    <w:locked/>
    <w:rsid w:val="00616780"/>
    <w:rPr>
      <w:rFonts w:ascii="Arial" w:hAnsi="Arial" w:cs="Times New Roman"/>
      <w:sz w:val="24"/>
      <w:lang w:eastAsia="en-US"/>
    </w:rPr>
  </w:style>
  <w:style w:type="paragraph" w:customStyle="1" w:styleId="Heading">
    <w:name w:val="Heading"/>
    <w:basedOn w:val="Normal"/>
    <w:next w:val="Normal"/>
    <w:rsid w:val="0035340E"/>
    <w:pPr>
      <w:keepNext/>
      <w:keepLines/>
      <w:spacing w:before="240" w:after="240"/>
      <w:ind w:left="-720"/>
    </w:pPr>
    <w:rPr>
      <w:b/>
    </w:rPr>
  </w:style>
  <w:style w:type="paragraph" w:customStyle="1" w:styleId="MinuteTop">
    <w:name w:val="Minute Top"/>
    <w:basedOn w:val="Normal"/>
    <w:rsid w:val="0035340E"/>
    <w:pPr>
      <w:tabs>
        <w:tab w:val="left" w:pos="4680"/>
        <w:tab w:val="left" w:pos="5587"/>
      </w:tabs>
    </w:pPr>
  </w:style>
  <w:style w:type="paragraph" w:customStyle="1" w:styleId="Numbered">
    <w:name w:val="Numbered"/>
    <w:basedOn w:val="Normal"/>
    <w:rsid w:val="0035340E"/>
    <w:pPr>
      <w:spacing w:after="240"/>
    </w:pPr>
  </w:style>
  <w:style w:type="character" w:styleId="PageNumber">
    <w:name w:val="page number"/>
    <w:basedOn w:val="DefaultParagraphFont"/>
    <w:rsid w:val="0035340E"/>
    <w:rPr>
      <w:rFonts w:cs="Times New Roman"/>
    </w:rPr>
  </w:style>
  <w:style w:type="table" w:styleId="TableGrid">
    <w:name w:val="Table Grid"/>
    <w:basedOn w:val="TableNormal"/>
    <w:uiPriority w:val="39"/>
    <w:rsid w:val="00002059"/>
    <w:pPr>
      <w:widowControl w:val="0"/>
      <w:overflowPunct w:val="0"/>
      <w:autoSpaceDE w:val="0"/>
      <w:autoSpaceDN w:val="0"/>
      <w:adjustRightInd w:val="0"/>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ParagraphFontParaCharCharChar1Char">
    <w:name w:val="Default Paragraph Font Para Char Char Char1 Char"/>
    <w:basedOn w:val="Normal"/>
    <w:rsid w:val="00002059"/>
    <w:pPr>
      <w:keepLines/>
      <w:widowControl/>
      <w:overflowPunct/>
      <w:autoSpaceDE/>
      <w:autoSpaceDN/>
      <w:adjustRightInd/>
      <w:spacing w:after="160" w:line="240" w:lineRule="exact"/>
      <w:ind w:left="2977"/>
      <w:textAlignment w:val="auto"/>
    </w:pPr>
    <w:rPr>
      <w:rFonts w:ascii="Tahoma" w:hAnsi="Tahoma"/>
      <w:sz w:val="20"/>
      <w:szCs w:val="24"/>
      <w:lang w:val="en-US"/>
    </w:rPr>
  </w:style>
  <w:style w:type="paragraph" w:customStyle="1" w:styleId="Sub-Heading">
    <w:name w:val="Sub-Heading"/>
    <w:basedOn w:val="Heading"/>
    <w:next w:val="Numbered"/>
    <w:rsid w:val="0035340E"/>
    <w:pPr>
      <w:spacing w:before="0"/>
    </w:pPr>
  </w:style>
  <w:style w:type="paragraph" w:styleId="Subtitle">
    <w:name w:val="Subtitle"/>
    <w:basedOn w:val="Normal"/>
    <w:link w:val="SubtitleChar"/>
    <w:qFormat/>
    <w:rsid w:val="0035340E"/>
    <w:pPr>
      <w:spacing w:after="60"/>
      <w:jc w:val="center"/>
    </w:pPr>
    <w:rPr>
      <w:i/>
    </w:rPr>
  </w:style>
  <w:style w:type="character" w:customStyle="1" w:styleId="SubtitleChar">
    <w:name w:val="Subtitle Char"/>
    <w:basedOn w:val="DefaultParagraphFont"/>
    <w:link w:val="Subtitle"/>
    <w:locked/>
    <w:rsid w:val="00616780"/>
    <w:rPr>
      <w:rFonts w:ascii="Cambria" w:hAnsi="Cambria" w:cs="Times New Roman"/>
      <w:sz w:val="24"/>
      <w:szCs w:val="24"/>
      <w:lang w:eastAsia="en-US"/>
    </w:rPr>
  </w:style>
  <w:style w:type="character" w:customStyle="1" w:styleId="EmailStyle431">
    <w:name w:val="EmailStyle431"/>
    <w:basedOn w:val="DefaultParagraphFont"/>
    <w:rsid w:val="0035340E"/>
    <w:rPr>
      <w:rFonts w:ascii="Arial" w:hAnsi="Arial" w:cs="Arial"/>
      <w:color w:val="auto"/>
      <w:sz w:val="20"/>
    </w:rPr>
  </w:style>
  <w:style w:type="character" w:customStyle="1" w:styleId="EmailStyle441">
    <w:name w:val="EmailStyle441"/>
    <w:basedOn w:val="DefaultParagraphFont"/>
    <w:rsid w:val="0035340E"/>
    <w:rPr>
      <w:rFonts w:ascii="Arial" w:hAnsi="Arial" w:cs="Arial"/>
      <w:color w:val="auto"/>
      <w:sz w:val="20"/>
    </w:rPr>
  </w:style>
  <w:style w:type="paragraph" w:styleId="BalloonText">
    <w:name w:val="Balloon Text"/>
    <w:basedOn w:val="Normal"/>
    <w:link w:val="BalloonTextChar"/>
    <w:semiHidden/>
    <w:rsid w:val="006F536E"/>
    <w:rPr>
      <w:rFonts w:ascii="MS Shell Dlg" w:hAnsi="MS Shell Dlg" w:cs="MS Shell Dlg"/>
      <w:sz w:val="16"/>
      <w:szCs w:val="16"/>
    </w:rPr>
  </w:style>
  <w:style w:type="character" w:customStyle="1" w:styleId="BalloonTextChar">
    <w:name w:val="Balloon Text Char"/>
    <w:basedOn w:val="DefaultParagraphFont"/>
    <w:link w:val="BalloonText"/>
    <w:semiHidden/>
    <w:locked/>
    <w:rsid w:val="00616780"/>
    <w:rPr>
      <w:rFonts w:cs="Times New Roman"/>
      <w:sz w:val="2"/>
      <w:lang w:eastAsia="en-US"/>
    </w:rPr>
  </w:style>
  <w:style w:type="paragraph" w:styleId="ListParagraph">
    <w:name w:val="List Paragraph"/>
    <w:aliases w:val="Bullet point text,Bullet point tex,Bulleted list,Dot pt,No Spacing1,List Paragraph Char Char Char,Indicator Text,Numbered Para 1,List Paragraph1,Bullet Points,MAIN CONTENT,Bullet 1,List Paragraph11,List Paragraph12,F5 List Paragraph,L"/>
    <w:basedOn w:val="Normal"/>
    <w:link w:val="ListParagraphChar"/>
    <w:uiPriority w:val="34"/>
    <w:qFormat/>
    <w:rsid w:val="001E583B"/>
    <w:pPr>
      <w:ind w:left="720"/>
      <w:contextualSpacing/>
    </w:pPr>
  </w:style>
  <w:style w:type="character" w:customStyle="1" w:styleId="ListParagraphChar">
    <w:name w:val="List Paragraph Char"/>
    <w:aliases w:val="Bullet point text Char,Bullet point tex Char,Bulleted list Char,Dot pt Char,No Spacing1 Char,List Paragraph Char Char Char Char,Indicator Text Char,Numbered Para 1 Char,List Paragraph1 Char,Bullet Points Char,MAIN CONTENT Char,L Char"/>
    <w:link w:val="ListParagraph"/>
    <w:uiPriority w:val="34"/>
    <w:qFormat/>
    <w:locked/>
    <w:rsid w:val="00FC6F21"/>
    <w:rPr>
      <w:rFonts w:ascii="Arial" w:hAnsi="Arial"/>
      <w:sz w:val="24"/>
      <w:lang w:eastAsia="en-US"/>
    </w:rPr>
  </w:style>
  <w:style w:type="character" w:styleId="CommentReference">
    <w:name w:val="annotation reference"/>
    <w:basedOn w:val="DefaultParagraphFont"/>
    <w:unhideWhenUsed/>
    <w:rsid w:val="0004557B"/>
    <w:rPr>
      <w:sz w:val="16"/>
      <w:szCs w:val="16"/>
    </w:rPr>
  </w:style>
  <w:style w:type="paragraph" w:styleId="CommentText">
    <w:name w:val="annotation text"/>
    <w:basedOn w:val="Normal"/>
    <w:link w:val="CommentTextChar"/>
    <w:unhideWhenUsed/>
    <w:rsid w:val="0004557B"/>
    <w:rPr>
      <w:sz w:val="20"/>
    </w:rPr>
  </w:style>
  <w:style w:type="character" w:customStyle="1" w:styleId="CommentTextChar">
    <w:name w:val="Comment Text Char"/>
    <w:basedOn w:val="DefaultParagraphFont"/>
    <w:link w:val="CommentText"/>
    <w:rsid w:val="0004557B"/>
    <w:rPr>
      <w:rFonts w:ascii="Arial" w:hAnsi="Arial"/>
      <w:lang w:eastAsia="en-US"/>
    </w:rPr>
  </w:style>
  <w:style w:type="paragraph" w:styleId="CommentSubject">
    <w:name w:val="annotation subject"/>
    <w:basedOn w:val="CommentText"/>
    <w:next w:val="CommentText"/>
    <w:link w:val="CommentSubjectChar"/>
    <w:semiHidden/>
    <w:unhideWhenUsed/>
    <w:rsid w:val="0004557B"/>
    <w:rPr>
      <w:b/>
      <w:bCs/>
    </w:rPr>
  </w:style>
  <w:style w:type="character" w:customStyle="1" w:styleId="CommentSubjectChar">
    <w:name w:val="Comment Subject Char"/>
    <w:basedOn w:val="CommentTextChar"/>
    <w:link w:val="CommentSubject"/>
    <w:semiHidden/>
    <w:rsid w:val="0004557B"/>
    <w:rPr>
      <w:rFonts w:ascii="Arial" w:hAnsi="Arial"/>
      <w:b/>
      <w:bCs/>
      <w:lang w:eastAsia="en-US"/>
    </w:rPr>
  </w:style>
  <w:style w:type="character" w:styleId="Hyperlink">
    <w:name w:val="Hyperlink"/>
    <w:basedOn w:val="DefaultParagraphFont"/>
    <w:unhideWhenUsed/>
    <w:rsid w:val="00911F8B"/>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
      <w:marLeft w:val="0"/>
      <w:marRight w:val="0"/>
      <w:marTop w:val="0"/>
      <w:marBottom w:val="0"/>
      <w:divBdr>
        <w:top w:val="none" w:sz="0" w:space="0" w:color="auto"/>
        <w:left w:val="none" w:sz="0" w:space="0" w:color="auto"/>
        <w:bottom w:val="none" w:sz="0" w:space="0" w:color="auto"/>
        <w:right w:val="none" w:sz="0" w:space="0" w:color="auto"/>
      </w:divBdr>
    </w:div>
    <w:div w:id="2">
      <w:marLeft w:val="0"/>
      <w:marRight w:val="0"/>
      <w:marTop w:val="0"/>
      <w:marBottom w:val="0"/>
      <w:divBdr>
        <w:top w:val="none" w:sz="0" w:space="0" w:color="auto"/>
        <w:left w:val="none" w:sz="0" w:space="0" w:color="auto"/>
        <w:bottom w:val="none" w:sz="0" w:space="0" w:color="auto"/>
        <w:right w:val="none" w:sz="0" w:space="0" w:color="auto"/>
      </w:divBdr>
      <w:divsChild>
        <w:div w:id="10">
          <w:marLeft w:val="0"/>
          <w:marRight w:val="0"/>
          <w:marTop w:val="0"/>
          <w:marBottom w:val="0"/>
          <w:divBdr>
            <w:top w:val="none" w:sz="0" w:space="0" w:color="auto"/>
            <w:left w:val="none" w:sz="0" w:space="0" w:color="auto"/>
            <w:bottom w:val="none" w:sz="0" w:space="0" w:color="auto"/>
            <w:right w:val="none" w:sz="0" w:space="0" w:color="auto"/>
          </w:divBdr>
        </w:div>
      </w:divsChild>
    </w:div>
    <w:div w:id="3">
      <w:marLeft w:val="0"/>
      <w:marRight w:val="0"/>
      <w:marTop w:val="0"/>
      <w:marBottom w:val="0"/>
      <w:divBdr>
        <w:top w:val="none" w:sz="0" w:space="0" w:color="auto"/>
        <w:left w:val="none" w:sz="0" w:space="0" w:color="auto"/>
        <w:bottom w:val="none" w:sz="0" w:space="0" w:color="auto"/>
        <w:right w:val="none" w:sz="0" w:space="0" w:color="auto"/>
      </w:divBdr>
      <w:divsChild>
        <w:div w:id="16">
          <w:marLeft w:val="0"/>
          <w:marRight w:val="0"/>
          <w:marTop w:val="0"/>
          <w:marBottom w:val="0"/>
          <w:divBdr>
            <w:top w:val="none" w:sz="0" w:space="0" w:color="auto"/>
            <w:left w:val="none" w:sz="0" w:space="0" w:color="auto"/>
            <w:bottom w:val="none" w:sz="0" w:space="0" w:color="auto"/>
            <w:right w:val="none" w:sz="0" w:space="0" w:color="auto"/>
          </w:divBdr>
        </w:div>
      </w:divsChild>
    </w:div>
    <w:div w:id="4">
      <w:marLeft w:val="0"/>
      <w:marRight w:val="0"/>
      <w:marTop w:val="0"/>
      <w:marBottom w:val="0"/>
      <w:divBdr>
        <w:top w:val="none" w:sz="0" w:space="0" w:color="auto"/>
        <w:left w:val="none" w:sz="0" w:space="0" w:color="auto"/>
        <w:bottom w:val="none" w:sz="0" w:space="0" w:color="auto"/>
        <w:right w:val="none" w:sz="0" w:space="0" w:color="auto"/>
      </w:divBdr>
    </w:div>
    <w:div w:id="5">
      <w:marLeft w:val="0"/>
      <w:marRight w:val="0"/>
      <w:marTop w:val="0"/>
      <w:marBottom w:val="0"/>
      <w:divBdr>
        <w:top w:val="none" w:sz="0" w:space="0" w:color="auto"/>
        <w:left w:val="none" w:sz="0" w:space="0" w:color="auto"/>
        <w:bottom w:val="none" w:sz="0" w:space="0" w:color="auto"/>
        <w:right w:val="none" w:sz="0" w:space="0" w:color="auto"/>
      </w:divBdr>
      <w:divsChild>
        <w:div w:id="17">
          <w:marLeft w:val="0"/>
          <w:marRight w:val="0"/>
          <w:marTop w:val="0"/>
          <w:marBottom w:val="0"/>
          <w:divBdr>
            <w:top w:val="none" w:sz="0" w:space="0" w:color="auto"/>
            <w:left w:val="none" w:sz="0" w:space="0" w:color="auto"/>
            <w:bottom w:val="none" w:sz="0" w:space="0" w:color="auto"/>
            <w:right w:val="none" w:sz="0" w:space="0" w:color="auto"/>
          </w:divBdr>
        </w:div>
      </w:divsChild>
    </w:div>
    <w:div w:id="7">
      <w:marLeft w:val="0"/>
      <w:marRight w:val="0"/>
      <w:marTop w:val="0"/>
      <w:marBottom w:val="0"/>
      <w:divBdr>
        <w:top w:val="none" w:sz="0" w:space="0" w:color="auto"/>
        <w:left w:val="none" w:sz="0" w:space="0" w:color="auto"/>
        <w:bottom w:val="none" w:sz="0" w:space="0" w:color="auto"/>
        <w:right w:val="none" w:sz="0" w:space="0" w:color="auto"/>
      </w:divBdr>
    </w:div>
    <w:div w:id="11">
      <w:marLeft w:val="0"/>
      <w:marRight w:val="0"/>
      <w:marTop w:val="0"/>
      <w:marBottom w:val="0"/>
      <w:divBdr>
        <w:top w:val="none" w:sz="0" w:space="0" w:color="auto"/>
        <w:left w:val="none" w:sz="0" w:space="0" w:color="auto"/>
        <w:bottom w:val="none" w:sz="0" w:space="0" w:color="auto"/>
        <w:right w:val="none" w:sz="0" w:space="0" w:color="auto"/>
      </w:divBdr>
      <w:divsChild>
        <w:div w:id="8">
          <w:marLeft w:val="0"/>
          <w:marRight w:val="0"/>
          <w:marTop w:val="0"/>
          <w:marBottom w:val="0"/>
          <w:divBdr>
            <w:top w:val="none" w:sz="0" w:space="0" w:color="auto"/>
            <w:left w:val="none" w:sz="0" w:space="0" w:color="auto"/>
            <w:bottom w:val="none" w:sz="0" w:space="0" w:color="auto"/>
            <w:right w:val="none" w:sz="0" w:space="0" w:color="auto"/>
          </w:divBdr>
        </w:div>
      </w:divsChild>
    </w:div>
    <w:div w:id="12">
      <w:marLeft w:val="0"/>
      <w:marRight w:val="0"/>
      <w:marTop w:val="0"/>
      <w:marBottom w:val="0"/>
      <w:divBdr>
        <w:top w:val="none" w:sz="0" w:space="0" w:color="auto"/>
        <w:left w:val="none" w:sz="0" w:space="0" w:color="auto"/>
        <w:bottom w:val="none" w:sz="0" w:space="0" w:color="auto"/>
        <w:right w:val="none" w:sz="0" w:space="0" w:color="auto"/>
      </w:divBdr>
    </w:div>
    <w:div w:id="13">
      <w:marLeft w:val="0"/>
      <w:marRight w:val="0"/>
      <w:marTop w:val="0"/>
      <w:marBottom w:val="0"/>
      <w:divBdr>
        <w:top w:val="none" w:sz="0" w:space="0" w:color="auto"/>
        <w:left w:val="none" w:sz="0" w:space="0" w:color="auto"/>
        <w:bottom w:val="none" w:sz="0" w:space="0" w:color="auto"/>
        <w:right w:val="none" w:sz="0" w:space="0" w:color="auto"/>
      </w:divBdr>
    </w:div>
    <w:div w:id="15">
      <w:marLeft w:val="0"/>
      <w:marRight w:val="0"/>
      <w:marTop w:val="0"/>
      <w:marBottom w:val="0"/>
      <w:divBdr>
        <w:top w:val="none" w:sz="0" w:space="0" w:color="auto"/>
        <w:left w:val="none" w:sz="0" w:space="0" w:color="auto"/>
        <w:bottom w:val="none" w:sz="0" w:space="0" w:color="auto"/>
        <w:right w:val="none" w:sz="0" w:space="0" w:color="auto"/>
      </w:divBdr>
      <w:divsChild>
        <w:div w:id="14">
          <w:marLeft w:val="0"/>
          <w:marRight w:val="0"/>
          <w:marTop w:val="0"/>
          <w:marBottom w:val="0"/>
          <w:divBdr>
            <w:top w:val="none" w:sz="0" w:space="0" w:color="auto"/>
            <w:left w:val="none" w:sz="0" w:space="0" w:color="auto"/>
            <w:bottom w:val="none" w:sz="0" w:space="0" w:color="auto"/>
            <w:right w:val="none" w:sz="0" w:space="0" w:color="auto"/>
          </w:divBdr>
        </w:div>
      </w:divsChild>
    </w:div>
    <w:div w:id="18">
      <w:marLeft w:val="0"/>
      <w:marRight w:val="0"/>
      <w:marTop w:val="0"/>
      <w:marBottom w:val="0"/>
      <w:divBdr>
        <w:top w:val="none" w:sz="0" w:space="0" w:color="auto"/>
        <w:left w:val="none" w:sz="0" w:space="0" w:color="auto"/>
        <w:bottom w:val="none" w:sz="0" w:space="0" w:color="auto"/>
        <w:right w:val="none" w:sz="0" w:space="0" w:color="auto"/>
      </w:divBdr>
      <w:divsChild>
        <w:div w:id="6">
          <w:marLeft w:val="0"/>
          <w:marRight w:val="0"/>
          <w:marTop w:val="0"/>
          <w:marBottom w:val="0"/>
          <w:divBdr>
            <w:top w:val="none" w:sz="0" w:space="0" w:color="auto"/>
            <w:left w:val="none" w:sz="0" w:space="0" w:color="auto"/>
            <w:bottom w:val="none" w:sz="0" w:space="0" w:color="auto"/>
            <w:right w:val="none" w:sz="0" w:space="0" w:color="auto"/>
          </w:divBdr>
        </w:div>
      </w:divsChild>
    </w:div>
    <w:div w:id="19">
      <w:marLeft w:val="0"/>
      <w:marRight w:val="0"/>
      <w:marTop w:val="0"/>
      <w:marBottom w:val="0"/>
      <w:divBdr>
        <w:top w:val="none" w:sz="0" w:space="0" w:color="auto"/>
        <w:left w:val="none" w:sz="0" w:space="0" w:color="auto"/>
        <w:bottom w:val="none" w:sz="0" w:space="0" w:color="auto"/>
        <w:right w:val="none" w:sz="0" w:space="0" w:color="auto"/>
      </w:divBdr>
      <w:divsChild>
        <w:div w:id="9">
          <w:marLeft w:val="0"/>
          <w:marRight w:val="0"/>
          <w:marTop w:val="0"/>
          <w:marBottom w:val="0"/>
          <w:divBdr>
            <w:top w:val="none" w:sz="0" w:space="0" w:color="auto"/>
            <w:left w:val="none" w:sz="0" w:space="0" w:color="auto"/>
            <w:bottom w:val="none" w:sz="0" w:space="0" w:color="auto"/>
            <w:right w:val="none" w:sz="0" w:space="0" w:color="auto"/>
          </w:divBdr>
        </w:div>
      </w:divsChild>
    </w:div>
    <w:div w:id="2784367">
      <w:bodyDiv w:val="1"/>
      <w:marLeft w:val="0"/>
      <w:marRight w:val="0"/>
      <w:marTop w:val="0"/>
      <w:marBottom w:val="0"/>
      <w:divBdr>
        <w:top w:val="none" w:sz="0" w:space="0" w:color="auto"/>
        <w:left w:val="none" w:sz="0" w:space="0" w:color="auto"/>
        <w:bottom w:val="none" w:sz="0" w:space="0" w:color="auto"/>
        <w:right w:val="none" w:sz="0" w:space="0" w:color="auto"/>
      </w:divBdr>
    </w:div>
    <w:div w:id="135226363">
      <w:bodyDiv w:val="1"/>
      <w:marLeft w:val="0"/>
      <w:marRight w:val="0"/>
      <w:marTop w:val="0"/>
      <w:marBottom w:val="0"/>
      <w:divBdr>
        <w:top w:val="none" w:sz="0" w:space="0" w:color="auto"/>
        <w:left w:val="none" w:sz="0" w:space="0" w:color="auto"/>
        <w:bottom w:val="none" w:sz="0" w:space="0" w:color="auto"/>
        <w:right w:val="none" w:sz="0" w:space="0" w:color="auto"/>
      </w:divBdr>
    </w:div>
    <w:div w:id="234703392">
      <w:bodyDiv w:val="1"/>
      <w:marLeft w:val="0"/>
      <w:marRight w:val="0"/>
      <w:marTop w:val="0"/>
      <w:marBottom w:val="0"/>
      <w:divBdr>
        <w:top w:val="none" w:sz="0" w:space="0" w:color="auto"/>
        <w:left w:val="none" w:sz="0" w:space="0" w:color="auto"/>
        <w:bottom w:val="none" w:sz="0" w:space="0" w:color="auto"/>
        <w:right w:val="none" w:sz="0" w:space="0" w:color="auto"/>
      </w:divBdr>
    </w:div>
    <w:div w:id="406074122">
      <w:bodyDiv w:val="1"/>
      <w:marLeft w:val="0"/>
      <w:marRight w:val="0"/>
      <w:marTop w:val="0"/>
      <w:marBottom w:val="0"/>
      <w:divBdr>
        <w:top w:val="none" w:sz="0" w:space="0" w:color="auto"/>
        <w:left w:val="none" w:sz="0" w:space="0" w:color="auto"/>
        <w:bottom w:val="none" w:sz="0" w:space="0" w:color="auto"/>
        <w:right w:val="none" w:sz="0" w:space="0" w:color="auto"/>
      </w:divBdr>
    </w:div>
    <w:div w:id="410394752">
      <w:bodyDiv w:val="1"/>
      <w:marLeft w:val="0"/>
      <w:marRight w:val="0"/>
      <w:marTop w:val="0"/>
      <w:marBottom w:val="0"/>
      <w:divBdr>
        <w:top w:val="none" w:sz="0" w:space="0" w:color="auto"/>
        <w:left w:val="none" w:sz="0" w:space="0" w:color="auto"/>
        <w:bottom w:val="none" w:sz="0" w:space="0" w:color="auto"/>
        <w:right w:val="none" w:sz="0" w:space="0" w:color="auto"/>
      </w:divBdr>
    </w:div>
    <w:div w:id="533620681">
      <w:bodyDiv w:val="1"/>
      <w:marLeft w:val="0"/>
      <w:marRight w:val="0"/>
      <w:marTop w:val="0"/>
      <w:marBottom w:val="0"/>
      <w:divBdr>
        <w:top w:val="none" w:sz="0" w:space="0" w:color="auto"/>
        <w:left w:val="none" w:sz="0" w:space="0" w:color="auto"/>
        <w:bottom w:val="none" w:sz="0" w:space="0" w:color="auto"/>
        <w:right w:val="none" w:sz="0" w:space="0" w:color="auto"/>
      </w:divBdr>
    </w:div>
    <w:div w:id="710225796">
      <w:bodyDiv w:val="1"/>
      <w:marLeft w:val="0"/>
      <w:marRight w:val="0"/>
      <w:marTop w:val="0"/>
      <w:marBottom w:val="0"/>
      <w:divBdr>
        <w:top w:val="none" w:sz="0" w:space="0" w:color="auto"/>
        <w:left w:val="none" w:sz="0" w:space="0" w:color="auto"/>
        <w:bottom w:val="none" w:sz="0" w:space="0" w:color="auto"/>
        <w:right w:val="none" w:sz="0" w:space="0" w:color="auto"/>
      </w:divBdr>
    </w:div>
    <w:div w:id="801537802">
      <w:bodyDiv w:val="1"/>
      <w:marLeft w:val="0"/>
      <w:marRight w:val="0"/>
      <w:marTop w:val="0"/>
      <w:marBottom w:val="0"/>
      <w:divBdr>
        <w:top w:val="none" w:sz="0" w:space="0" w:color="auto"/>
        <w:left w:val="none" w:sz="0" w:space="0" w:color="auto"/>
        <w:bottom w:val="none" w:sz="0" w:space="0" w:color="auto"/>
        <w:right w:val="none" w:sz="0" w:space="0" w:color="auto"/>
      </w:divBdr>
    </w:div>
    <w:div w:id="904922956">
      <w:bodyDiv w:val="1"/>
      <w:marLeft w:val="0"/>
      <w:marRight w:val="0"/>
      <w:marTop w:val="0"/>
      <w:marBottom w:val="0"/>
      <w:divBdr>
        <w:top w:val="none" w:sz="0" w:space="0" w:color="auto"/>
        <w:left w:val="none" w:sz="0" w:space="0" w:color="auto"/>
        <w:bottom w:val="none" w:sz="0" w:space="0" w:color="auto"/>
        <w:right w:val="none" w:sz="0" w:space="0" w:color="auto"/>
      </w:divBdr>
    </w:div>
    <w:div w:id="973365309">
      <w:bodyDiv w:val="1"/>
      <w:marLeft w:val="0"/>
      <w:marRight w:val="0"/>
      <w:marTop w:val="0"/>
      <w:marBottom w:val="0"/>
      <w:divBdr>
        <w:top w:val="none" w:sz="0" w:space="0" w:color="auto"/>
        <w:left w:val="none" w:sz="0" w:space="0" w:color="auto"/>
        <w:bottom w:val="none" w:sz="0" w:space="0" w:color="auto"/>
        <w:right w:val="none" w:sz="0" w:space="0" w:color="auto"/>
      </w:divBdr>
    </w:div>
    <w:div w:id="1189296852">
      <w:bodyDiv w:val="1"/>
      <w:marLeft w:val="0"/>
      <w:marRight w:val="0"/>
      <w:marTop w:val="0"/>
      <w:marBottom w:val="0"/>
      <w:divBdr>
        <w:top w:val="none" w:sz="0" w:space="0" w:color="auto"/>
        <w:left w:val="none" w:sz="0" w:space="0" w:color="auto"/>
        <w:bottom w:val="none" w:sz="0" w:space="0" w:color="auto"/>
        <w:right w:val="none" w:sz="0" w:space="0" w:color="auto"/>
      </w:divBdr>
    </w:div>
    <w:div w:id="1344284898">
      <w:bodyDiv w:val="1"/>
      <w:marLeft w:val="0"/>
      <w:marRight w:val="0"/>
      <w:marTop w:val="0"/>
      <w:marBottom w:val="0"/>
      <w:divBdr>
        <w:top w:val="none" w:sz="0" w:space="0" w:color="auto"/>
        <w:left w:val="none" w:sz="0" w:space="0" w:color="auto"/>
        <w:bottom w:val="none" w:sz="0" w:space="0" w:color="auto"/>
        <w:right w:val="none" w:sz="0" w:space="0" w:color="auto"/>
      </w:divBdr>
    </w:div>
    <w:div w:id="1732999572">
      <w:bodyDiv w:val="1"/>
      <w:marLeft w:val="0"/>
      <w:marRight w:val="0"/>
      <w:marTop w:val="0"/>
      <w:marBottom w:val="0"/>
      <w:divBdr>
        <w:top w:val="none" w:sz="0" w:space="0" w:color="auto"/>
        <w:left w:val="none" w:sz="0" w:space="0" w:color="auto"/>
        <w:bottom w:val="none" w:sz="0" w:space="0" w:color="auto"/>
        <w:right w:val="none" w:sz="0" w:space="0" w:color="auto"/>
      </w:divBdr>
    </w:div>
    <w:div w:id="1782334450">
      <w:bodyDiv w:val="1"/>
      <w:marLeft w:val="0"/>
      <w:marRight w:val="0"/>
      <w:marTop w:val="0"/>
      <w:marBottom w:val="0"/>
      <w:divBdr>
        <w:top w:val="none" w:sz="0" w:space="0" w:color="auto"/>
        <w:left w:val="none" w:sz="0" w:space="0" w:color="auto"/>
        <w:bottom w:val="none" w:sz="0" w:space="0" w:color="auto"/>
        <w:right w:val="none" w:sz="0" w:space="0" w:color="auto"/>
      </w:divBdr>
    </w:div>
    <w:div w:id="1814298654">
      <w:bodyDiv w:val="1"/>
      <w:marLeft w:val="0"/>
      <w:marRight w:val="0"/>
      <w:marTop w:val="0"/>
      <w:marBottom w:val="0"/>
      <w:divBdr>
        <w:top w:val="none" w:sz="0" w:space="0" w:color="auto"/>
        <w:left w:val="none" w:sz="0" w:space="0" w:color="auto"/>
        <w:bottom w:val="none" w:sz="0" w:space="0" w:color="auto"/>
        <w:right w:val="none" w:sz="0" w:space="0" w:color="auto"/>
      </w:divBdr>
    </w:div>
    <w:div w:id="1844273013">
      <w:bodyDiv w:val="1"/>
      <w:marLeft w:val="0"/>
      <w:marRight w:val="0"/>
      <w:marTop w:val="0"/>
      <w:marBottom w:val="0"/>
      <w:divBdr>
        <w:top w:val="none" w:sz="0" w:space="0" w:color="auto"/>
        <w:left w:val="none" w:sz="0" w:space="0" w:color="auto"/>
        <w:bottom w:val="none" w:sz="0" w:space="0" w:color="auto"/>
        <w:right w:val="none" w:sz="0" w:space="0" w:color="auto"/>
      </w:divBdr>
    </w:div>
    <w:div w:id="1921864170">
      <w:bodyDiv w:val="1"/>
      <w:marLeft w:val="0"/>
      <w:marRight w:val="0"/>
      <w:marTop w:val="0"/>
      <w:marBottom w:val="0"/>
      <w:divBdr>
        <w:top w:val="none" w:sz="0" w:space="0" w:color="auto"/>
        <w:left w:val="none" w:sz="0" w:space="0" w:color="auto"/>
        <w:bottom w:val="none" w:sz="0" w:space="0" w:color="auto"/>
        <w:right w:val="none" w:sz="0" w:space="0" w:color="auto"/>
      </w:divBdr>
    </w:div>
    <w:div w:id="1952012455">
      <w:bodyDiv w:val="1"/>
      <w:marLeft w:val="0"/>
      <w:marRight w:val="0"/>
      <w:marTop w:val="0"/>
      <w:marBottom w:val="0"/>
      <w:divBdr>
        <w:top w:val="none" w:sz="0" w:space="0" w:color="auto"/>
        <w:left w:val="none" w:sz="0" w:space="0" w:color="auto"/>
        <w:bottom w:val="none" w:sz="0" w:space="0" w:color="auto"/>
        <w:right w:val="none" w:sz="0" w:space="0" w:color="auto"/>
      </w:divBdr>
    </w:div>
    <w:div w:id="20828721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chart" Target="charts/chart3.xml"/><Relationship Id="rId18" Type="http://schemas.openxmlformats.org/officeDocument/2006/relationships/chart" Target="charts/chart8.xml"/><Relationship Id="rId26" Type="http://schemas.openxmlformats.org/officeDocument/2006/relationships/chart" Target="charts/chart16.xml"/><Relationship Id="rId3" Type="http://schemas.openxmlformats.org/officeDocument/2006/relationships/styles" Target="styles.xml"/><Relationship Id="rId21" Type="http://schemas.openxmlformats.org/officeDocument/2006/relationships/chart" Target="charts/chart11.xml"/><Relationship Id="rId7" Type="http://schemas.openxmlformats.org/officeDocument/2006/relationships/endnotes" Target="endnotes.xml"/><Relationship Id="rId12" Type="http://schemas.openxmlformats.org/officeDocument/2006/relationships/image" Target="media/image3.png"/><Relationship Id="rId17" Type="http://schemas.openxmlformats.org/officeDocument/2006/relationships/chart" Target="charts/chart7.xml"/><Relationship Id="rId25" Type="http://schemas.openxmlformats.org/officeDocument/2006/relationships/chart" Target="charts/chart15.xml"/><Relationship Id="rId2" Type="http://schemas.openxmlformats.org/officeDocument/2006/relationships/numbering" Target="numbering.xml"/><Relationship Id="rId16" Type="http://schemas.openxmlformats.org/officeDocument/2006/relationships/chart" Target="charts/chart6.xml"/><Relationship Id="rId20" Type="http://schemas.openxmlformats.org/officeDocument/2006/relationships/chart" Target="charts/chart10.xml"/><Relationship Id="rId29" Type="http://schemas.openxmlformats.org/officeDocument/2006/relationships/hyperlink" Target="https://www.rcog.org.uk/globalassets/documents/guidelines/wprsaferchildbirthreport2007.pdf"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png"/><Relationship Id="rId24" Type="http://schemas.openxmlformats.org/officeDocument/2006/relationships/chart" Target="charts/chart14.xml"/><Relationship Id="rId5" Type="http://schemas.openxmlformats.org/officeDocument/2006/relationships/webSettings" Target="webSettings.xml"/><Relationship Id="rId15" Type="http://schemas.openxmlformats.org/officeDocument/2006/relationships/chart" Target="charts/chart5.xml"/><Relationship Id="rId23" Type="http://schemas.openxmlformats.org/officeDocument/2006/relationships/chart" Target="charts/chart13.xml"/><Relationship Id="rId28" Type="http://schemas.openxmlformats.org/officeDocument/2006/relationships/chart" Target="charts/chart18.xml"/><Relationship Id="rId10" Type="http://schemas.openxmlformats.org/officeDocument/2006/relationships/chart" Target="charts/chart2.xml"/><Relationship Id="rId19" Type="http://schemas.openxmlformats.org/officeDocument/2006/relationships/chart" Target="charts/chart9.xml"/><Relationship Id="rId31"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chart" Target="charts/chart1.xml"/><Relationship Id="rId14" Type="http://schemas.openxmlformats.org/officeDocument/2006/relationships/chart" Target="charts/chart4.xml"/><Relationship Id="rId22" Type="http://schemas.openxmlformats.org/officeDocument/2006/relationships/chart" Target="charts/chart12.xml"/><Relationship Id="rId27" Type="http://schemas.openxmlformats.org/officeDocument/2006/relationships/chart" Target="charts/chart17.xml"/><Relationship Id="rId30" Type="http://schemas.openxmlformats.org/officeDocument/2006/relationships/fontTable" Target="fontTable.xml"/></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Excel_Worksheet1.xlsx"/></Relationships>
</file>

<file path=word/charts/_rels/chart10.xml.rels><?xml version="1.0" encoding="UTF-8" standalone="yes"?>
<Relationships xmlns="http://schemas.openxmlformats.org/package/2006/relationships"><Relationship Id="rId1" Type="http://schemas.openxmlformats.org/officeDocument/2006/relationships/package" Target="../embeddings/Microsoft_Excel_Worksheet10.xlsx"/></Relationships>
</file>

<file path=word/charts/_rels/chart11.xml.rels><?xml version="1.0" encoding="UTF-8" standalone="yes"?>
<Relationships xmlns="http://schemas.openxmlformats.org/package/2006/relationships"><Relationship Id="rId1" Type="http://schemas.openxmlformats.org/officeDocument/2006/relationships/package" Target="../embeddings/Microsoft_Excel_Worksheet11.xlsx"/></Relationships>
</file>

<file path=word/charts/_rels/chart12.xml.rels><?xml version="1.0" encoding="UTF-8" standalone="yes"?>
<Relationships xmlns="http://schemas.openxmlformats.org/package/2006/relationships"><Relationship Id="rId1" Type="http://schemas.openxmlformats.org/officeDocument/2006/relationships/package" Target="../embeddings/Microsoft_Excel_Worksheet12.xlsx"/></Relationships>
</file>

<file path=word/charts/_rels/chart13.xml.rels><?xml version="1.0" encoding="UTF-8" standalone="yes"?>
<Relationships xmlns="http://schemas.openxmlformats.org/package/2006/relationships"><Relationship Id="rId1" Type="http://schemas.openxmlformats.org/officeDocument/2006/relationships/package" Target="../embeddings/Microsoft_Excel_Worksheet13.xlsx"/></Relationships>
</file>

<file path=word/charts/_rels/chart14.xml.rels><?xml version="1.0" encoding="UTF-8" standalone="yes"?>
<Relationships xmlns="http://schemas.openxmlformats.org/package/2006/relationships"><Relationship Id="rId1" Type="http://schemas.openxmlformats.org/officeDocument/2006/relationships/package" Target="../embeddings/Microsoft_Excel_Worksheet14.xlsx"/></Relationships>
</file>

<file path=word/charts/_rels/chart15.xml.rels><?xml version="1.0" encoding="UTF-8" standalone="yes"?>
<Relationships xmlns="http://schemas.openxmlformats.org/package/2006/relationships"><Relationship Id="rId1" Type="http://schemas.openxmlformats.org/officeDocument/2006/relationships/package" Target="../embeddings/Microsoft_Excel_Worksheet15.xlsx"/></Relationships>
</file>

<file path=word/charts/_rels/chart16.xml.rels><?xml version="1.0" encoding="UTF-8" standalone="yes"?>
<Relationships xmlns="http://schemas.openxmlformats.org/package/2006/relationships"><Relationship Id="rId1" Type="http://schemas.openxmlformats.org/officeDocument/2006/relationships/package" Target="../embeddings/Microsoft_Excel_Worksheet16.xlsx"/></Relationships>
</file>

<file path=word/charts/_rels/chart17.xml.rels><?xml version="1.0" encoding="UTF-8" standalone="yes"?>
<Relationships xmlns="http://schemas.openxmlformats.org/package/2006/relationships"><Relationship Id="rId1" Type="http://schemas.openxmlformats.org/officeDocument/2006/relationships/package" Target="../embeddings/Microsoft_Excel_Worksheet17.xlsx"/></Relationships>
</file>

<file path=word/charts/_rels/chart18.xml.rels><?xml version="1.0" encoding="UTF-8" standalone="yes"?>
<Relationships xmlns="http://schemas.openxmlformats.org/package/2006/relationships"><Relationship Id="rId1" Type="http://schemas.openxmlformats.org/officeDocument/2006/relationships/package" Target="../embeddings/Microsoft_Excel_Worksheet18.xlsx"/></Relationships>
</file>

<file path=word/charts/_rels/chart2.xml.rels><?xml version="1.0" encoding="UTF-8" standalone="yes"?>
<Relationships xmlns="http://schemas.openxmlformats.org/package/2006/relationships"><Relationship Id="rId1" Type="http://schemas.openxmlformats.org/officeDocument/2006/relationships/package" Target="../embeddings/Microsoft_Excel_Worksheet2.xlsx"/></Relationships>
</file>

<file path=word/charts/_rels/chart3.xml.rels><?xml version="1.0" encoding="UTF-8" standalone="yes"?>
<Relationships xmlns="http://schemas.openxmlformats.org/package/2006/relationships"><Relationship Id="rId1" Type="http://schemas.openxmlformats.org/officeDocument/2006/relationships/package" Target="../embeddings/Microsoft_Excel_Worksheet3.xlsx"/></Relationships>
</file>

<file path=word/charts/_rels/chart4.xml.rels><?xml version="1.0" encoding="UTF-8" standalone="yes"?>
<Relationships xmlns="http://schemas.openxmlformats.org/package/2006/relationships"><Relationship Id="rId1" Type="http://schemas.openxmlformats.org/officeDocument/2006/relationships/package" Target="../embeddings/Microsoft_Excel_Worksheet4.xlsx"/></Relationships>
</file>

<file path=word/charts/_rels/chart5.xml.rels><?xml version="1.0" encoding="UTF-8" standalone="yes"?>
<Relationships xmlns="http://schemas.openxmlformats.org/package/2006/relationships"><Relationship Id="rId1" Type="http://schemas.openxmlformats.org/officeDocument/2006/relationships/package" Target="../embeddings/Microsoft_Excel_Worksheet5.xlsx"/></Relationships>
</file>

<file path=word/charts/_rels/chart6.xml.rels><?xml version="1.0" encoding="UTF-8" standalone="yes"?>
<Relationships xmlns="http://schemas.openxmlformats.org/package/2006/relationships"><Relationship Id="rId1" Type="http://schemas.openxmlformats.org/officeDocument/2006/relationships/package" Target="../embeddings/Microsoft_Excel_Worksheet6.xlsx"/></Relationships>
</file>

<file path=word/charts/_rels/chart7.xml.rels><?xml version="1.0" encoding="UTF-8" standalone="yes"?>
<Relationships xmlns="http://schemas.openxmlformats.org/package/2006/relationships"><Relationship Id="rId1" Type="http://schemas.openxmlformats.org/officeDocument/2006/relationships/package" Target="../embeddings/Microsoft_Excel_Worksheet7.xlsx"/></Relationships>
</file>

<file path=word/charts/_rels/chart8.xml.rels><?xml version="1.0" encoding="UTF-8" standalone="yes"?>
<Relationships xmlns="http://schemas.openxmlformats.org/package/2006/relationships"><Relationship Id="rId1" Type="http://schemas.openxmlformats.org/officeDocument/2006/relationships/package" Target="../embeddings/Microsoft_Excel_Worksheet8.xlsx"/></Relationships>
</file>

<file path=word/charts/_rels/chart9.xml.rels><?xml version="1.0" encoding="UTF-8" standalone="yes"?>
<Relationships xmlns="http://schemas.openxmlformats.org/package/2006/relationships"><Relationship Id="rId1" Type="http://schemas.openxmlformats.org/officeDocument/2006/relationships/package" Target="../embeddings/Microsoft_Excel_Worksheet9.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n-GB"/>
              <a:t>Total Births</a:t>
            </a:r>
          </a:p>
        </c:rich>
      </c:tx>
      <c:overlay val="0"/>
    </c:title>
    <c:autoTitleDeleted val="0"/>
    <c:plotArea>
      <c:layout/>
      <c:lineChart>
        <c:grouping val="standard"/>
        <c:varyColors val="0"/>
        <c:ser>
          <c:idx val="0"/>
          <c:order val="0"/>
          <c:tx>
            <c:strRef>
              <c:f>Sheet1!$B$53</c:f>
              <c:strCache>
                <c:ptCount val="1"/>
                <c:pt idx="0">
                  <c:v>PCH</c:v>
                </c:pt>
              </c:strCache>
            </c:strRef>
          </c:tx>
          <c:cat>
            <c:numRef>
              <c:f>Sheet1!$C$1:$M$1</c:f>
              <c:numCache>
                <c:formatCode>mmm\-yy</c:formatCode>
                <c:ptCount val="11"/>
                <c:pt idx="0">
                  <c:v>43556</c:v>
                </c:pt>
                <c:pt idx="1">
                  <c:v>43586</c:v>
                </c:pt>
                <c:pt idx="2">
                  <c:v>43617</c:v>
                </c:pt>
                <c:pt idx="3">
                  <c:v>43647</c:v>
                </c:pt>
                <c:pt idx="4">
                  <c:v>43678</c:v>
                </c:pt>
                <c:pt idx="5">
                  <c:v>43709</c:v>
                </c:pt>
                <c:pt idx="6">
                  <c:v>43739</c:v>
                </c:pt>
                <c:pt idx="7">
                  <c:v>43770</c:v>
                </c:pt>
                <c:pt idx="8">
                  <c:v>43800</c:v>
                </c:pt>
                <c:pt idx="9">
                  <c:v>43831</c:v>
                </c:pt>
                <c:pt idx="10">
                  <c:v>43862</c:v>
                </c:pt>
              </c:numCache>
            </c:numRef>
          </c:cat>
          <c:val>
            <c:numRef>
              <c:f>Sheet1!$C$53:$M$53</c:f>
              <c:numCache>
                <c:formatCode>General</c:formatCode>
                <c:ptCount val="11"/>
                <c:pt idx="0">
                  <c:v>211</c:v>
                </c:pt>
                <c:pt idx="1">
                  <c:v>243</c:v>
                </c:pt>
                <c:pt idx="2">
                  <c:v>242</c:v>
                </c:pt>
                <c:pt idx="3">
                  <c:v>238</c:v>
                </c:pt>
                <c:pt idx="4">
                  <c:v>243</c:v>
                </c:pt>
                <c:pt idx="5">
                  <c:v>197</c:v>
                </c:pt>
                <c:pt idx="6">
                  <c:v>217</c:v>
                </c:pt>
                <c:pt idx="7">
                  <c:v>226</c:v>
                </c:pt>
                <c:pt idx="8">
                  <c:v>204</c:v>
                </c:pt>
                <c:pt idx="9">
                  <c:v>218</c:v>
                </c:pt>
                <c:pt idx="10">
                  <c:v>198</c:v>
                </c:pt>
              </c:numCache>
            </c:numRef>
          </c:val>
          <c:smooth val="0"/>
        </c:ser>
        <c:ser>
          <c:idx val="1"/>
          <c:order val="1"/>
          <c:tx>
            <c:strRef>
              <c:f>Sheet1!$B$54</c:f>
              <c:strCache>
                <c:ptCount val="1"/>
                <c:pt idx="0">
                  <c:v>POW</c:v>
                </c:pt>
              </c:strCache>
            </c:strRef>
          </c:tx>
          <c:cat>
            <c:numRef>
              <c:f>Sheet1!$C$1:$M$1</c:f>
              <c:numCache>
                <c:formatCode>mmm\-yy</c:formatCode>
                <c:ptCount val="11"/>
                <c:pt idx="0">
                  <c:v>43556</c:v>
                </c:pt>
                <c:pt idx="1">
                  <c:v>43586</c:v>
                </c:pt>
                <c:pt idx="2">
                  <c:v>43617</c:v>
                </c:pt>
                <c:pt idx="3">
                  <c:v>43647</c:v>
                </c:pt>
                <c:pt idx="4">
                  <c:v>43678</c:v>
                </c:pt>
                <c:pt idx="5">
                  <c:v>43709</c:v>
                </c:pt>
                <c:pt idx="6">
                  <c:v>43739</c:v>
                </c:pt>
                <c:pt idx="7">
                  <c:v>43770</c:v>
                </c:pt>
                <c:pt idx="8">
                  <c:v>43800</c:v>
                </c:pt>
                <c:pt idx="9">
                  <c:v>43831</c:v>
                </c:pt>
                <c:pt idx="10">
                  <c:v>43862</c:v>
                </c:pt>
              </c:numCache>
            </c:numRef>
          </c:cat>
          <c:val>
            <c:numRef>
              <c:f>Sheet1!$C$54:$M$54</c:f>
              <c:numCache>
                <c:formatCode>General</c:formatCode>
                <c:ptCount val="11"/>
                <c:pt idx="0">
                  <c:v>132</c:v>
                </c:pt>
                <c:pt idx="1">
                  <c:v>169</c:v>
                </c:pt>
                <c:pt idx="2">
                  <c:v>172</c:v>
                </c:pt>
                <c:pt idx="3">
                  <c:v>175</c:v>
                </c:pt>
                <c:pt idx="4">
                  <c:v>150</c:v>
                </c:pt>
                <c:pt idx="5">
                  <c:v>174</c:v>
                </c:pt>
                <c:pt idx="6">
                  <c:v>181</c:v>
                </c:pt>
                <c:pt idx="7">
                  <c:v>182</c:v>
                </c:pt>
                <c:pt idx="8">
                  <c:v>157</c:v>
                </c:pt>
                <c:pt idx="9">
                  <c:v>171</c:v>
                </c:pt>
                <c:pt idx="10">
                  <c:v>143</c:v>
                </c:pt>
              </c:numCache>
            </c:numRef>
          </c:val>
          <c:smooth val="0"/>
        </c:ser>
        <c:ser>
          <c:idx val="2"/>
          <c:order val="2"/>
          <c:tx>
            <c:strRef>
              <c:f>Sheet1!$B$55</c:f>
              <c:strCache>
                <c:ptCount val="1"/>
                <c:pt idx="0">
                  <c:v>RGH</c:v>
                </c:pt>
              </c:strCache>
            </c:strRef>
          </c:tx>
          <c:cat>
            <c:numRef>
              <c:f>Sheet1!$C$1:$M$1</c:f>
              <c:numCache>
                <c:formatCode>mmm\-yy</c:formatCode>
                <c:ptCount val="11"/>
                <c:pt idx="0">
                  <c:v>43556</c:v>
                </c:pt>
                <c:pt idx="1">
                  <c:v>43586</c:v>
                </c:pt>
                <c:pt idx="2">
                  <c:v>43617</c:v>
                </c:pt>
                <c:pt idx="3">
                  <c:v>43647</c:v>
                </c:pt>
                <c:pt idx="4">
                  <c:v>43678</c:v>
                </c:pt>
                <c:pt idx="5">
                  <c:v>43709</c:v>
                </c:pt>
                <c:pt idx="6">
                  <c:v>43739</c:v>
                </c:pt>
                <c:pt idx="7">
                  <c:v>43770</c:v>
                </c:pt>
                <c:pt idx="8">
                  <c:v>43800</c:v>
                </c:pt>
                <c:pt idx="9">
                  <c:v>43831</c:v>
                </c:pt>
                <c:pt idx="10">
                  <c:v>43862</c:v>
                </c:pt>
              </c:numCache>
            </c:numRef>
          </c:cat>
          <c:val>
            <c:numRef>
              <c:f>Sheet1!$C$55:$M$55</c:f>
              <c:numCache>
                <c:formatCode>General</c:formatCode>
                <c:ptCount val="11"/>
                <c:pt idx="0">
                  <c:v>11</c:v>
                </c:pt>
                <c:pt idx="1">
                  <c:v>9</c:v>
                </c:pt>
                <c:pt idx="2">
                  <c:v>13</c:v>
                </c:pt>
                <c:pt idx="3">
                  <c:v>12</c:v>
                </c:pt>
                <c:pt idx="4">
                  <c:v>16</c:v>
                </c:pt>
                <c:pt idx="5">
                  <c:v>16</c:v>
                </c:pt>
                <c:pt idx="6">
                  <c:v>15</c:v>
                </c:pt>
                <c:pt idx="7">
                  <c:v>22</c:v>
                </c:pt>
                <c:pt idx="8">
                  <c:v>27</c:v>
                </c:pt>
                <c:pt idx="9">
                  <c:v>23</c:v>
                </c:pt>
                <c:pt idx="10">
                  <c:v>27</c:v>
                </c:pt>
              </c:numCache>
            </c:numRef>
          </c:val>
          <c:smooth val="0"/>
        </c:ser>
        <c:dLbls>
          <c:showLegendKey val="0"/>
          <c:showVal val="0"/>
          <c:showCatName val="0"/>
          <c:showSerName val="0"/>
          <c:showPercent val="0"/>
          <c:showBubbleSize val="0"/>
        </c:dLbls>
        <c:marker val="1"/>
        <c:smooth val="0"/>
        <c:axId val="297982600"/>
        <c:axId val="297570224"/>
      </c:lineChart>
      <c:dateAx>
        <c:axId val="297982600"/>
        <c:scaling>
          <c:orientation val="minMax"/>
        </c:scaling>
        <c:delete val="0"/>
        <c:axPos val="b"/>
        <c:numFmt formatCode="mmm\-yy" sourceLinked="1"/>
        <c:majorTickMark val="none"/>
        <c:minorTickMark val="none"/>
        <c:tickLblPos val="nextTo"/>
        <c:crossAx val="297570224"/>
        <c:crosses val="autoZero"/>
        <c:auto val="1"/>
        <c:lblOffset val="100"/>
        <c:baseTimeUnit val="months"/>
      </c:dateAx>
      <c:valAx>
        <c:axId val="297570224"/>
        <c:scaling>
          <c:orientation val="minMax"/>
        </c:scaling>
        <c:delete val="0"/>
        <c:axPos val="l"/>
        <c:majorGridlines/>
        <c:numFmt formatCode="General" sourceLinked="1"/>
        <c:majorTickMark val="none"/>
        <c:minorTickMark val="none"/>
        <c:tickLblPos val="nextTo"/>
        <c:crossAx val="297982600"/>
        <c:crosses val="autoZero"/>
        <c:crossBetween val="between"/>
      </c:valAx>
      <c:dTable>
        <c:showHorzBorder val="1"/>
        <c:showVertBorder val="1"/>
        <c:showOutline val="1"/>
        <c:showKeys val="1"/>
      </c:dTable>
    </c:plotArea>
    <c:plotVisOnly val="1"/>
    <c:dispBlanksAs val="gap"/>
    <c:showDLblsOverMax val="0"/>
  </c:chart>
  <c:externalData r:id="rId1">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n-GB"/>
              <a:t>Elective CS - Category 4</a:t>
            </a:r>
          </a:p>
        </c:rich>
      </c:tx>
      <c:overlay val="0"/>
    </c:title>
    <c:autoTitleDeleted val="0"/>
    <c:plotArea>
      <c:layout/>
      <c:lineChart>
        <c:grouping val="standard"/>
        <c:varyColors val="0"/>
        <c:ser>
          <c:idx val="0"/>
          <c:order val="0"/>
          <c:tx>
            <c:strRef>
              <c:f>Sheet1!$B$29</c:f>
              <c:strCache>
                <c:ptCount val="1"/>
                <c:pt idx="0">
                  <c:v>PCH</c:v>
                </c:pt>
              </c:strCache>
            </c:strRef>
          </c:tx>
          <c:cat>
            <c:numRef>
              <c:f>Sheet1!$C$1:$M$1</c:f>
              <c:numCache>
                <c:formatCode>mmm\-yy</c:formatCode>
                <c:ptCount val="11"/>
                <c:pt idx="0">
                  <c:v>43556</c:v>
                </c:pt>
                <c:pt idx="1">
                  <c:v>43586</c:v>
                </c:pt>
                <c:pt idx="2">
                  <c:v>43617</c:v>
                </c:pt>
                <c:pt idx="3">
                  <c:v>43647</c:v>
                </c:pt>
                <c:pt idx="4">
                  <c:v>43678</c:v>
                </c:pt>
                <c:pt idx="5">
                  <c:v>43709</c:v>
                </c:pt>
                <c:pt idx="6">
                  <c:v>43739</c:v>
                </c:pt>
                <c:pt idx="7">
                  <c:v>43770</c:v>
                </c:pt>
                <c:pt idx="8">
                  <c:v>43800</c:v>
                </c:pt>
                <c:pt idx="9">
                  <c:v>43831</c:v>
                </c:pt>
                <c:pt idx="10">
                  <c:v>43862</c:v>
                </c:pt>
              </c:numCache>
            </c:numRef>
          </c:cat>
          <c:val>
            <c:numRef>
              <c:f>Sheet1!$C$29:$M$29</c:f>
              <c:numCache>
                <c:formatCode>0.0%</c:formatCode>
                <c:ptCount val="11"/>
                <c:pt idx="0">
                  <c:v>0.184</c:v>
                </c:pt>
                <c:pt idx="1">
                  <c:v>0.15</c:v>
                </c:pt>
                <c:pt idx="2">
                  <c:v>0.14199999999999999</c:v>
                </c:pt>
                <c:pt idx="3">
                  <c:v>0.13200000000000001</c:v>
                </c:pt>
                <c:pt idx="4">
                  <c:v>0.122</c:v>
                </c:pt>
                <c:pt idx="5">
                  <c:v>0.17299999999999999</c:v>
                </c:pt>
                <c:pt idx="6">
                  <c:v>0.156</c:v>
                </c:pt>
                <c:pt idx="7">
                  <c:v>0.13800000000000001</c:v>
                </c:pt>
                <c:pt idx="8">
                  <c:v>0.14399999999999999</c:v>
                </c:pt>
                <c:pt idx="9">
                  <c:v>0.124</c:v>
                </c:pt>
                <c:pt idx="10">
                  <c:v>0.122</c:v>
                </c:pt>
              </c:numCache>
            </c:numRef>
          </c:val>
          <c:smooth val="0"/>
        </c:ser>
        <c:ser>
          <c:idx val="1"/>
          <c:order val="1"/>
          <c:tx>
            <c:strRef>
              <c:f>Sheet1!$B$30</c:f>
              <c:strCache>
                <c:ptCount val="1"/>
                <c:pt idx="0">
                  <c:v>POW</c:v>
                </c:pt>
              </c:strCache>
            </c:strRef>
          </c:tx>
          <c:cat>
            <c:numRef>
              <c:f>Sheet1!$C$1:$M$1</c:f>
              <c:numCache>
                <c:formatCode>mmm\-yy</c:formatCode>
                <c:ptCount val="11"/>
                <c:pt idx="0">
                  <c:v>43556</c:v>
                </c:pt>
                <c:pt idx="1">
                  <c:v>43586</c:v>
                </c:pt>
                <c:pt idx="2">
                  <c:v>43617</c:v>
                </c:pt>
                <c:pt idx="3">
                  <c:v>43647</c:v>
                </c:pt>
                <c:pt idx="4">
                  <c:v>43678</c:v>
                </c:pt>
                <c:pt idx="5">
                  <c:v>43709</c:v>
                </c:pt>
                <c:pt idx="6">
                  <c:v>43739</c:v>
                </c:pt>
                <c:pt idx="7">
                  <c:v>43770</c:v>
                </c:pt>
                <c:pt idx="8">
                  <c:v>43800</c:v>
                </c:pt>
                <c:pt idx="9">
                  <c:v>43831</c:v>
                </c:pt>
                <c:pt idx="10">
                  <c:v>43862</c:v>
                </c:pt>
              </c:numCache>
            </c:numRef>
          </c:cat>
          <c:val>
            <c:numRef>
              <c:f>Sheet1!$C$30:$M$30</c:f>
              <c:numCache>
                <c:formatCode>0.0%</c:formatCode>
                <c:ptCount val="11"/>
                <c:pt idx="0">
                  <c:v>8.5000000000000006E-2</c:v>
                </c:pt>
                <c:pt idx="1">
                  <c:v>0.157</c:v>
                </c:pt>
                <c:pt idx="2">
                  <c:v>9.4E-2</c:v>
                </c:pt>
                <c:pt idx="3">
                  <c:v>0.17299999999999999</c:v>
                </c:pt>
                <c:pt idx="4">
                  <c:v>0.107</c:v>
                </c:pt>
                <c:pt idx="5">
                  <c:v>0.14699999999999999</c:v>
                </c:pt>
                <c:pt idx="6">
                  <c:v>0.151</c:v>
                </c:pt>
                <c:pt idx="7">
                  <c:v>0.14000000000000001</c:v>
                </c:pt>
                <c:pt idx="8">
                  <c:v>0.14599999999999999</c:v>
                </c:pt>
                <c:pt idx="9">
                  <c:v>0.13</c:v>
                </c:pt>
                <c:pt idx="10">
                  <c:v>0.14099999999999999</c:v>
                </c:pt>
              </c:numCache>
            </c:numRef>
          </c:val>
          <c:smooth val="0"/>
        </c:ser>
        <c:ser>
          <c:idx val="3"/>
          <c:order val="2"/>
          <c:tx>
            <c:strRef>
              <c:f>Sheet1!$B$32</c:f>
              <c:strCache>
                <c:ptCount val="1"/>
                <c:pt idx="0">
                  <c:v>Goal</c:v>
                </c:pt>
              </c:strCache>
            </c:strRef>
          </c:tx>
          <c:spPr>
            <a:ln>
              <a:solidFill>
                <a:srgbClr val="00B050"/>
              </a:solidFill>
            </a:ln>
          </c:spPr>
          <c:marker>
            <c:symbol val="none"/>
          </c:marker>
          <c:cat>
            <c:numRef>
              <c:f>Sheet1!$C$1:$M$1</c:f>
              <c:numCache>
                <c:formatCode>mmm\-yy</c:formatCode>
                <c:ptCount val="11"/>
                <c:pt idx="0">
                  <c:v>43556</c:v>
                </c:pt>
                <c:pt idx="1">
                  <c:v>43586</c:v>
                </c:pt>
                <c:pt idx="2">
                  <c:v>43617</c:v>
                </c:pt>
                <c:pt idx="3">
                  <c:v>43647</c:v>
                </c:pt>
                <c:pt idx="4">
                  <c:v>43678</c:v>
                </c:pt>
                <c:pt idx="5">
                  <c:v>43709</c:v>
                </c:pt>
                <c:pt idx="6">
                  <c:v>43739</c:v>
                </c:pt>
                <c:pt idx="7">
                  <c:v>43770</c:v>
                </c:pt>
                <c:pt idx="8">
                  <c:v>43800</c:v>
                </c:pt>
                <c:pt idx="9">
                  <c:v>43831</c:v>
                </c:pt>
                <c:pt idx="10">
                  <c:v>43862</c:v>
                </c:pt>
              </c:numCache>
            </c:numRef>
          </c:cat>
          <c:val>
            <c:numRef>
              <c:f>Sheet1!$C$32:$M$32</c:f>
              <c:numCache>
                <c:formatCode>0.0%</c:formatCode>
                <c:ptCount val="11"/>
                <c:pt idx="0">
                  <c:v>0.1</c:v>
                </c:pt>
                <c:pt idx="1">
                  <c:v>0.1</c:v>
                </c:pt>
                <c:pt idx="2">
                  <c:v>0.1</c:v>
                </c:pt>
                <c:pt idx="3">
                  <c:v>0.1</c:v>
                </c:pt>
                <c:pt idx="4">
                  <c:v>0.1</c:v>
                </c:pt>
                <c:pt idx="5">
                  <c:v>0.1</c:v>
                </c:pt>
                <c:pt idx="6">
                  <c:v>0.1</c:v>
                </c:pt>
                <c:pt idx="7">
                  <c:v>0.1</c:v>
                </c:pt>
                <c:pt idx="8">
                  <c:v>0.1</c:v>
                </c:pt>
                <c:pt idx="9">
                  <c:v>0.1</c:v>
                </c:pt>
                <c:pt idx="10">
                  <c:v>0.1</c:v>
                </c:pt>
              </c:numCache>
            </c:numRef>
          </c:val>
          <c:smooth val="0"/>
        </c:ser>
        <c:dLbls>
          <c:showLegendKey val="0"/>
          <c:showVal val="0"/>
          <c:showCatName val="0"/>
          <c:showSerName val="0"/>
          <c:showPercent val="0"/>
          <c:showBubbleSize val="0"/>
        </c:dLbls>
        <c:marker val="1"/>
        <c:smooth val="0"/>
        <c:axId val="298106760"/>
        <c:axId val="298107152"/>
      </c:lineChart>
      <c:dateAx>
        <c:axId val="298106760"/>
        <c:scaling>
          <c:orientation val="minMax"/>
        </c:scaling>
        <c:delete val="0"/>
        <c:axPos val="b"/>
        <c:numFmt formatCode="mmm\-yy" sourceLinked="1"/>
        <c:majorTickMark val="none"/>
        <c:minorTickMark val="none"/>
        <c:tickLblPos val="nextTo"/>
        <c:crossAx val="298107152"/>
        <c:crosses val="autoZero"/>
        <c:auto val="1"/>
        <c:lblOffset val="100"/>
        <c:baseTimeUnit val="months"/>
      </c:dateAx>
      <c:valAx>
        <c:axId val="298107152"/>
        <c:scaling>
          <c:orientation val="minMax"/>
          <c:max val="0.5"/>
        </c:scaling>
        <c:delete val="0"/>
        <c:axPos val="l"/>
        <c:majorGridlines/>
        <c:numFmt formatCode="0.0%" sourceLinked="1"/>
        <c:majorTickMark val="none"/>
        <c:minorTickMark val="none"/>
        <c:tickLblPos val="nextTo"/>
        <c:crossAx val="298106760"/>
        <c:crosses val="autoZero"/>
        <c:crossBetween val="between"/>
      </c:valAx>
      <c:dTable>
        <c:showHorzBorder val="1"/>
        <c:showVertBorder val="1"/>
        <c:showOutline val="1"/>
        <c:showKeys val="1"/>
      </c:dTable>
    </c:plotArea>
    <c:plotVisOnly val="1"/>
    <c:dispBlanksAs val="gap"/>
    <c:showDLblsOverMax val="0"/>
  </c:chart>
  <c:externalData r:id="rId1">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n-GB"/>
              <a:t>Emergency CS - Categories</a:t>
            </a:r>
            <a:r>
              <a:rPr lang="en-GB" baseline="0"/>
              <a:t> 1, 2 &amp; 3</a:t>
            </a:r>
            <a:endParaRPr lang="en-GB"/>
          </a:p>
        </c:rich>
      </c:tx>
      <c:overlay val="0"/>
    </c:title>
    <c:autoTitleDeleted val="0"/>
    <c:plotArea>
      <c:layout/>
      <c:lineChart>
        <c:grouping val="standard"/>
        <c:varyColors val="0"/>
        <c:ser>
          <c:idx val="0"/>
          <c:order val="0"/>
          <c:tx>
            <c:strRef>
              <c:f>Sheet1!$B$33</c:f>
              <c:strCache>
                <c:ptCount val="1"/>
                <c:pt idx="0">
                  <c:v>PCH</c:v>
                </c:pt>
              </c:strCache>
            </c:strRef>
          </c:tx>
          <c:cat>
            <c:numRef>
              <c:f>Sheet1!$C$1:$M$1</c:f>
              <c:numCache>
                <c:formatCode>mmm\-yy</c:formatCode>
                <c:ptCount val="11"/>
                <c:pt idx="0">
                  <c:v>43556</c:v>
                </c:pt>
                <c:pt idx="1">
                  <c:v>43586</c:v>
                </c:pt>
                <c:pt idx="2">
                  <c:v>43617</c:v>
                </c:pt>
                <c:pt idx="3">
                  <c:v>43647</c:v>
                </c:pt>
                <c:pt idx="4">
                  <c:v>43678</c:v>
                </c:pt>
                <c:pt idx="5">
                  <c:v>43709</c:v>
                </c:pt>
                <c:pt idx="6">
                  <c:v>43739</c:v>
                </c:pt>
                <c:pt idx="7">
                  <c:v>43770</c:v>
                </c:pt>
                <c:pt idx="8">
                  <c:v>43800</c:v>
                </c:pt>
                <c:pt idx="9">
                  <c:v>43831</c:v>
                </c:pt>
                <c:pt idx="10">
                  <c:v>43862</c:v>
                </c:pt>
              </c:numCache>
            </c:numRef>
          </c:cat>
          <c:val>
            <c:numRef>
              <c:f>Sheet1!$C$33:$M$33</c:f>
              <c:numCache>
                <c:formatCode>0.0%</c:formatCode>
                <c:ptCount val="11"/>
                <c:pt idx="0">
                  <c:v>0.184</c:v>
                </c:pt>
                <c:pt idx="1">
                  <c:v>0.17899999999999999</c:v>
                </c:pt>
                <c:pt idx="2">
                  <c:v>0.188</c:v>
                </c:pt>
                <c:pt idx="3">
                  <c:v>0.218</c:v>
                </c:pt>
                <c:pt idx="4">
                  <c:v>0.20200000000000001</c:v>
                </c:pt>
                <c:pt idx="5">
                  <c:v>0.20899999999999999</c:v>
                </c:pt>
                <c:pt idx="6">
                  <c:v>0.17499999999999999</c:v>
                </c:pt>
                <c:pt idx="7">
                  <c:v>0.17399999999999999</c:v>
                </c:pt>
                <c:pt idx="8">
                  <c:v>0.16800000000000001</c:v>
                </c:pt>
                <c:pt idx="9">
                  <c:v>0.111</c:v>
                </c:pt>
                <c:pt idx="10">
                  <c:v>0.189</c:v>
                </c:pt>
              </c:numCache>
            </c:numRef>
          </c:val>
          <c:smooth val="0"/>
        </c:ser>
        <c:ser>
          <c:idx val="1"/>
          <c:order val="1"/>
          <c:tx>
            <c:strRef>
              <c:f>Sheet1!$B$34</c:f>
              <c:strCache>
                <c:ptCount val="1"/>
                <c:pt idx="0">
                  <c:v>POW</c:v>
                </c:pt>
              </c:strCache>
            </c:strRef>
          </c:tx>
          <c:cat>
            <c:numRef>
              <c:f>Sheet1!$C$1:$M$1</c:f>
              <c:numCache>
                <c:formatCode>mmm\-yy</c:formatCode>
                <c:ptCount val="11"/>
                <c:pt idx="0">
                  <c:v>43556</c:v>
                </c:pt>
                <c:pt idx="1">
                  <c:v>43586</c:v>
                </c:pt>
                <c:pt idx="2">
                  <c:v>43617</c:v>
                </c:pt>
                <c:pt idx="3">
                  <c:v>43647</c:v>
                </c:pt>
                <c:pt idx="4">
                  <c:v>43678</c:v>
                </c:pt>
                <c:pt idx="5">
                  <c:v>43709</c:v>
                </c:pt>
                <c:pt idx="6">
                  <c:v>43739</c:v>
                </c:pt>
                <c:pt idx="7">
                  <c:v>43770</c:v>
                </c:pt>
                <c:pt idx="8">
                  <c:v>43800</c:v>
                </c:pt>
                <c:pt idx="9">
                  <c:v>43831</c:v>
                </c:pt>
                <c:pt idx="10">
                  <c:v>43862</c:v>
                </c:pt>
              </c:numCache>
            </c:numRef>
          </c:cat>
          <c:val>
            <c:numRef>
              <c:f>Sheet1!$C$34:$M$34</c:f>
              <c:numCache>
                <c:formatCode>0.0%</c:formatCode>
                <c:ptCount val="11"/>
                <c:pt idx="0">
                  <c:v>0.14599999999999999</c:v>
                </c:pt>
                <c:pt idx="1">
                  <c:v>0.223</c:v>
                </c:pt>
                <c:pt idx="2">
                  <c:v>0.2</c:v>
                </c:pt>
                <c:pt idx="3">
                  <c:v>0.16800000000000001</c:v>
                </c:pt>
                <c:pt idx="4">
                  <c:v>0.113</c:v>
                </c:pt>
                <c:pt idx="5">
                  <c:v>0.17100000000000001</c:v>
                </c:pt>
                <c:pt idx="6">
                  <c:v>0.17299999999999999</c:v>
                </c:pt>
                <c:pt idx="7">
                  <c:v>0.151</c:v>
                </c:pt>
                <c:pt idx="8">
                  <c:v>0.191</c:v>
                </c:pt>
                <c:pt idx="9">
                  <c:v>0.124</c:v>
                </c:pt>
                <c:pt idx="10">
                  <c:v>0.14799999999999999</c:v>
                </c:pt>
              </c:numCache>
            </c:numRef>
          </c:val>
          <c:smooth val="0"/>
        </c:ser>
        <c:ser>
          <c:idx val="3"/>
          <c:order val="2"/>
          <c:tx>
            <c:strRef>
              <c:f>Sheet1!$B$36</c:f>
              <c:strCache>
                <c:ptCount val="1"/>
                <c:pt idx="0">
                  <c:v>Goal</c:v>
                </c:pt>
              </c:strCache>
            </c:strRef>
          </c:tx>
          <c:spPr>
            <a:ln>
              <a:solidFill>
                <a:srgbClr val="00B050"/>
              </a:solidFill>
            </a:ln>
          </c:spPr>
          <c:marker>
            <c:symbol val="none"/>
          </c:marker>
          <c:cat>
            <c:numRef>
              <c:f>Sheet1!$C$1:$M$1</c:f>
              <c:numCache>
                <c:formatCode>mmm\-yy</c:formatCode>
                <c:ptCount val="11"/>
                <c:pt idx="0">
                  <c:v>43556</c:v>
                </c:pt>
                <c:pt idx="1">
                  <c:v>43586</c:v>
                </c:pt>
                <c:pt idx="2">
                  <c:v>43617</c:v>
                </c:pt>
                <c:pt idx="3">
                  <c:v>43647</c:v>
                </c:pt>
                <c:pt idx="4">
                  <c:v>43678</c:v>
                </c:pt>
                <c:pt idx="5">
                  <c:v>43709</c:v>
                </c:pt>
                <c:pt idx="6">
                  <c:v>43739</c:v>
                </c:pt>
                <c:pt idx="7">
                  <c:v>43770</c:v>
                </c:pt>
                <c:pt idx="8">
                  <c:v>43800</c:v>
                </c:pt>
                <c:pt idx="9">
                  <c:v>43831</c:v>
                </c:pt>
                <c:pt idx="10">
                  <c:v>43862</c:v>
                </c:pt>
              </c:numCache>
            </c:numRef>
          </c:cat>
          <c:val>
            <c:numRef>
              <c:f>Sheet1!$C$36:$M$36</c:f>
              <c:numCache>
                <c:formatCode>0.0%</c:formatCode>
                <c:ptCount val="11"/>
                <c:pt idx="0">
                  <c:v>0.15</c:v>
                </c:pt>
                <c:pt idx="1">
                  <c:v>0.15</c:v>
                </c:pt>
                <c:pt idx="2">
                  <c:v>0.15</c:v>
                </c:pt>
                <c:pt idx="3">
                  <c:v>0.15</c:v>
                </c:pt>
                <c:pt idx="4">
                  <c:v>0.15</c:v>
                </c:pt>
                <c:pt idx="5">
                  <c:v>0.15</c:v>
                </c:pt>
                <c:pt idx="6">
                  <c:v>0.15</c:v>
                </c:pt>
                <c:pt idx="7">
                  <c:v>0.15</c:v>
                </c:pt>
                <c:pt idx="8">
                  <c:v>0.15</c:v>
                </c:pt>
                <c:pt idx="9">
                  <c:v>0.15</c:v>
                </c:pt>
                <c:pt idx="10">
                  <c:v>0.15</c:v>
                </c:pt>
              </c:numCache>
            </c:numRef>
          </c:val>
          <c:smooth val="0"/>
        </c:ser>
        <c:dLbls>
          <c:showLegendKey val="0"/>
          <c:showVal val="0"/>
          <c:showCatName val="0"/>
          <c:showSerName val="0"/>
          <c:showPercent val="0"/>
          <c:showBubbleSize val="0"/>
        </c:dLbls>
        <c:marker val="1"/>
        <c:smooth val="0"/>
        <c:axId val="298108328"/>
        <c:axId val="298108720"/>
      </c:lineChart>
      <c:dateAx>
        <c:axId val="298108328"/>
        <c:scaling>
          <c:orientation val="minMax"/>
        </c:scaling>
        <c:delete val="0"/>
        <c:axPos val="b"/>
        <c:numFmt formatCode="mmm\-yy" sourceLinked="1"/>
        <c:majorTickMark val="none"/>
        <c:minorTickMark val="none"/>
        <c:tickLblPos val="nextTo"/>
        <c:crossAx val="298108720"/>
        <c:crosses val="autoZero"/>
        <c:auto val="1"/>
        <c:lblOffset val="100"/>
        <c:baseTimeUnit val="months"/>
      </c:dateAx>
      <c:valAx>
        <c:axId val="298108720"/>
        <c:scaling>
          <c:orientation val="minMax"/>
          <c:max val="0.5"/>
        </c:scaling>
        <c:delete val="0"/>
        <c:axPos val="l"/>
        <c:majorGridlines/>
        <c:numFmt formatCode="0.0%" sourceLinked="1"/>
        <c:majorTickMark val="none"/>
        <c:minorTickMark val="none"/>
        <c:tickLblPos val="nextTo"/>
        <c:crossAx val="298108328"/>
        <c:crosses val="autoZero"/>
        <c:crossBetween val="between"/>
      </c:valAx>
      <c:dTable>
        <c:showHorzBorder val="1"/>
        <c:showVertBorder val="1"/>
        <c:showOutline val="1"/>
        <c:showKeys val="1"/>
      </c:dTable>
    </c:plotArea>
    <c:plotVisOnly val="1"/>
    <c:dispBlanksAs val="gap"/>
    <c:showDLblsOverMax val="0"/>
  </c:chart>
  <c:externalData r:id="rId1">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n-GB"/>
              <a:t>Total CS - Categories 1, 2, 3 &amp; 4</a:t>
            </a:r>
          </a:p>
        </c:rich>
      </c:tx>
      <c:overlay val="0"/>
    </c:title>
    <c:autoTitleDeleted val="0"/>
    <c:plotArea>
      <c:layout/>
      <c:lineChart>
        <c:grouping val="standard"/>
        <c:varyColors val="0"/>
        <c:ser>
          <c:idx val="0"/>
          <c:order val="0"/>
          <c:tx>
            <c:strRef>
              <c:f>Sheet1!$B$37</c:f>
              <c:strCache>
                <c:ptCount val="1"/>
                <c:pt idx="0">
                  <c:v>PCH</c:v>
                </c:pt>
              </c:strCache>
            </c:strRef>
          </c:tx>
          <c:cat>
            <c:numRef>
              <c:f>Sheet1!$C$1:$M$1</c:f>
              <c:numCache>
                <c:formatCode>mmm\-yy</c:formatCode>
                <c:ptCount val="11"/>
                <c:pt idx="0">
                  <c:v>43556</c:v>
                </c:pt>
                <c:pt idx="1">
                  <c:v>43586</c:v>
                </c:pt>
                <c:pt idx="2">
                  <c:v>43617</c:v>
                </c:pt>
                <c:pt idx="3">
                  <c:v>43647</c:v>
                </c:pt>
                <c:pt idx="4">
                  <c:v>43678</c:v>
                </c:pt>
                <c:pt idx="5">
                  <c:v>43709</c:v>
                </c:pt>
                <c:pt idx="6">
                  <c:v>43739</c:v>
                </c:pt>
                <c:pt idx="7">
                  <c:v>43770</c:v>
                </c:pt>
                <c:pt idx="8">
                  <c:v>43800</c:v>
                </c:pt>
                <c:pt idx="9">
                  <c:v>43831</c:v>
                </c:pt>
                <c:pt idx="10">
                  <c:v>43862</c:v>
                </c:pt>
              </c:numCache>
            </c:numRef>
          </c:cat>
          <c:val>
            <c:numRef>
              <c:f>Sheet1!$C$37:$M$37</c:f>
              <c:numCache>
                <c:formatCode>0.0%</c:formatCode>
                <c:ptCount val="11"/>
                <c:pt idx="0">
                  <c:v>0.36699999999999999</c:v>
                </c:pt>
                <c:pt idx="1">
                  <c:v>0.32900000000000001</c:v>
                </c:pt>
                <c:pt idx="2">
                  <c:v>0.32900000000000001</c:v>
                </c:pt>
                <c:pt idx="3">
                  <c:v>0.35</c:v>
                </c:pt>
                <c:pt idx="4">
                  <c:v>0.32400000000000001</c:v>
                </c:pt>
                <c:pt idx="5">
                  <c:v>0.38300000000000001</c:v>
                </c:pt>
                <c:pt idx="6">
                  <c:v>0.33200000000000002</c:v>
                </c:pt>
                <c:pt idx="7">
                  <c:v>0.313</c:v>
                </c:pt>
                <c:pt idx="8">
                  <c:v>0.312</c:v>
                </c:pt>
                <c:pt idx="9">
                  <c:v>0.23499999999999999</c:v>
                </c:pt>
                <c:pt idx="10">
                  <c:v>0.311</c:v>
                </c:pt>
              </c:numCache>
            </c:numRef>
          </c:val>
          <c:smooth val="0"/>
        </c:ser>
        <c:ser>
          <c:idx val="1"/>
          <c:order val="1"/>
          <c:tx>
            <c:strRef>
              <c:f>Sheet1!$B$38</c:f>
              <c:strCache>
                <c:ptCount val="1"/>
                <c:pt idx="0">
                  <c:v>POW</c:v>
                </c:pt>
              </c:strCache>
            </c:strRef>
          </c:tx>
          <c:cat>
            <c:numRef>
              <c:f>Sheet1!$C$1:$M$1</c:f>
              <c:numCache>
                <c:formatCode>mmm\-yy</c:formatCode>
                <c:ptCount val="11"/>
                <c:pt idx="0">
                  <c:v>43556</c:v>
                </c:pt>
                <c:pt idx="1">
                  <c:v>43586</c:v>
                </c:pt>
                <c:pt idx="2">
                  <c:v>43617</c:v>
                </c:pt>
                <c:pt idx="3">
                  <c:v>43647</c:v>
                </c:pt>
                <c:pt idx="4">
                  <c:v>43678</c:v>
                </c:pt>
                <c:pt idx="5">
                  <c:v>43709</c:v>
                </c:pt>
                <c:pt idx="6">
                  <c:v>43739</c:v>
                </c:pt>
                <c:pt idx="7">
                  <c:v>43770</c:v>
                </c:pt>
                <c:pt idx="8">
                  <c:v>43800</c:v>
                </c:pt>
                <c:pt idx="9">
                  <c:v>43831</c:v>
                </c:pt>
                <c:pt idx="10">
                  <c:v>43862</c:v>
                </c:pt>
              </c:numCache>
            </c:numRef>
          </c:cat>
          <c:val>
            <c:numRef>
              <c:f>Sheet1!$C$38:$M$38</c:f>
              <c:numCache>
                <c:formatCode>0.0%</c:formatCode>
                <c:ptCount val="11"/>
                <c:pt idx="0">
                  <c:v>0.23100000000000001</c:v>
                </c:pt>
                <c:pt idx="1">
                  <c:v>0.38</c:v>
                </c:pt>
                <c:pt idx="2">
                  <c:v>0.29399999999999998</c:v>
                </c:pt>
                <c:pt idx="3">
                  <c:v>0.34100000000000003</c:v>
                </c:pt>
                <c:pt idx="4">
                  <c:v>0.22</c:v>
                </c:pt>
                <c:pt idx="5">
                  <c:v>0.318</c:v>
                </c:pt>
                <c:pt idx="6">
                  <c:v>0.32200000000000001</c:v>
                </c:pt>
                <c:pt idx="7">
                  <c:v>0.29100000000000004</c:v>
                </c:pt>
                <c:pt idx="8">
                  <c:v>0.33800000000000002</c:v>
                </c:pt>
                <c:pt idx="9">
                  <c:v>0.254</c:v>
                </c:pt>
                <c:pt idx="10">
                  <c:v>0.28899999999999998</c:v>
                </c:pt>
              </c:numCache>
            </c:numRef>
          </c:val>
          <c:smooth val="0"/>
        </c:ser>
        <c:ser>
          <c:idx val="3"/>
          <c:order val="2"/>
          <c:tx>
            <c:strRef>
              <c:f>Sheet1!$B$40</c:f>
              <c:strCache>
                <c:ptCount val="1"/>
                <c:pt idx="0">
                  <c:v>Goal</c:v>
                </c:pt>
              </c:strCache>
            </c:strRef>
          </c:tx>
          <c:spPr>
            <a:ln>
              <a:solidFill>
                <a:srgbClr val="00B050"/>
              </a:solidFill>
            </a:ln>
          </c:spPr>
          <c:marker>
            <c:symbol val="none"/>
          </c:marker>
          <c:cat>
            <c:numRef>
              <c:f>Sheet1!$C$1:$M$1</c:f>
              <c:numCache>
                <c:formatCode>mmm\-yy</c:formatCode>
                <c:ptCount val="11"/>
                <c:pt idx="0">
                  <c:v>43556</c:v>
                </c:pt>
                <c:pt idx="1">
                  <c:v>43586</c:v>
                </c:pt>
                <c:pt idx="2">
                  <c:v>43617</c:v>
                </c:pt>
                <c:pt idx="3">
                  <c:v>43647</c:v>
                </c:pt>
                <c:pt idx="4">
                  <c:v>43678</c:v>
                </c:pt>
                <c:pt idx="5">
                  <c:v>43709</c:v>
                </c:pt>
                <c:pt idx="6">
                  <c:v>43739</c:v>
                </c:pt>
                <c:pt idx="7">
                  <c:v>43770</c:v>
                </c:pt>
                <c:pt idx="8">
                  <c:v>43800</c:v>
                </c:pt>
                <c:pt idx="9">
                  <c:v>43831</c:v>
                </c:pt>
                <c:pt idx="10">
                  <c:v>43862</c:v>
                </c:pt>
              </c:numCache>
            </c:numRef>
          </c:cat>
          <c:val>
            <c:numRef>
              <c:f>Sheet1!$C$40:$M$40</c:f>
              <c:numCache>
                <c:formatCode>0.0%</c:formatCode>
                <c:ptCount val="11"/>
                <c:pt idx="0">
                  <c:v>0.25</c:v>
                </c:pt>
                <c:pt idx="1">
                  <c:v>0.25</c:v>
                </c:pt>
                <c:pt idx="2">
                  <c:v>0.25</c:v>
                </c:pt>
                <c:pt idx="3">
                  <c:v>0.25</c:v>
                </c:pt>
                <c:pt idx="4">
                  <c:v>0.25</c:v>
                </c:pt>
                <c:pt idx="5">
                  <c:v>0.25</c:v>
                </c:pt>
                <c:pt idx="6">
                  <c:v>0.25</c:v>
                </c:pt>
                <c:pt idx="7">
                  <c:v>0.25</c:v>
                </c:pt>
                <c:pt idx="8">
                  <c:v>0.25</c:v>
                </c:pt>
                <c:pt idx="9">
                  <c:v>0.25</c:v>
                </c:pt>
                <c:pt idx="10">
                  <c:v>0.25</c:v>
                </c:pt>
              </c:numCache>
            </c:numRef>
          </c:val>
          <c:smooth val="0"/>
        </c:ser>
        <c:dLbls>
          <c:showLegendKey val="0"/>
          <c:showVal val="0"/>
          <c:showCatName val="0"/>
          <c:showSerName val="0"/>
          <c:showPercent val="0"/>
          <c:showBubbleSize val="0"/>
        </c:dLbls>
        <c:marker val="1"/>
        <c:smooth val="0"/>
        <c:axId val="298110288"/>
        <c:axId val="451515120"/>
      </c:lineChart>
      <c:dateAx>
        <c:axId val="298110288"/>
        <c:scaling>
          <c:orientation val="minMax"/>
        </c:scaling>
        <c:delete val="0"/>
        <c:axPos val="b"/>
        <c:numFmt formatCode="mmm\-yy" sourceLinked="1"/>
        <c:majorTickMark val="none"/>
        <c:minorTickMark val="none"/>
        <c:tickLblPos val="nextTo"/>
        <c:crossAx val="451515120"/>
        <c:crosses val="autoZero"/>
        <c:auto val="1"/>
        <c:lblOffset val="100"/>
        <c:baseTimeUnit val="months"/>
      </c:dateAx>
      <c:valAx>
        <c:axId val="451515120"/>
        <c:scaling>
          <c:orientation val="minMax"/>
          <c:max val="0.5"/>
        </c:scaling>
        <c:delete val="0"/>
        <c:axPos val="l"/>
        <c:majorGridlines/>
        <c:numFmt formatCode="0.0%" sourceLinked="1"/>
        <c:majorTickMark val="none"/>
        <c:minorTickMark val="none"/>
        <c:tickLblPos val="nextTo"/>
        <c:crossAx val="298110288"/>
        <c:crosses val="autoZero"/>
        <c:crossBetween val="between"/>
      </c:valAx>
      <c:dTable>
        <c:showHorzBorder val="1"/>
        <c:showVertBorder val="1"/>
        <c:showOutline val="1"/>
        <c:showKeys val="1"/>
      </c:dTable>
    </c:plotArea>
    <c:plotVisOnly val="1"/>
    <c:dispBlanksAs val="gap"/>
    <c:showDLblsOverMax val="0"/>
  </c:chart>
  <c:externalData r:id="rId1">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n-GB"/>
              <a:t>3rd/4th</a:t>
            </a:r>
            <a:r>
              <a:rPr lang="en-GB" baseline="0"/>
              <a:t> Degree Tear</a:t>
            </a:r>
            <a:endParaRPr lang="en-GB"/>
          </a:p>
        </c:rich>
      </c:tx>
      <c:overlay val="0"/>
    </c:title>
    <c:autoTitleDeleted val="0"/>
    <c:plotArea>
      <c:layout/>
      <c:lineChart>
        <c:grouping val="standard"/>
        <c:varyColors val="0"/>
        <c:ser>
          <c:idx val="0"/>
          <c:order val="0"/>
          <c:tx>
            <c:strRef>
              <c:f>Sheet1!$B$41</c:f>
              <c:strCache>
                <c:ptCount val="1"/>
                <c:pt idx="0">
                  <c:v>PCH</c:v>
                </c:pt>
              </c:strCache>
            </c:strRef>
          </c:tx>
          <c:cat>
            <c:numRef>
              <c:f>Sheet1!$C$1:$M$1</c:f>
              <c:numCache>
                <c:formatCode>mmm\-yy</c:formatCode>
                <c:ptCount val="11"/>
                <c:pt idx="0">
                  <c:v>43556</c:v>
                </c:pt>
                <c:pt idx="1">
                  <c:v>43586</c:v>
                </c:pt>
                <c:pt idx="2">
                  <c:v>43617</c:v>
                </c:pt>
                <c:pt idx="3">
                  <c:v>43647</c:v>
                </c:pt>
                <c:pt idx="4">
                  <c:v>43678</c:v>
                </c:pt>
                <c:pt idx="5">
                  <c:v>43709</c:v>
                </c:pt>
                <c:pt idx="6">
                  <c:v>43739</c:v>
                </c:pt>
                <c:pt idx="7">
                  <c:v>43770</c:v>
                </c:pt>
                <c:pt idx="8">
                  <c:v>43800</c:v>
                </c:pt>
                <c:pt idx="9">
                  <c:v>43831</c:v>
                </c:pt>
                <c:pt idx="10">
                  <c:v>43862</c:v>
                </c:pt>
              </c:numCache>
            </c:numRef>
          </c:cat>
          <c:val>
            <c:numRef>
              <c:f>Sheet1!$C$41:$M$41</c:f>
              <c:numCache>
                <c:formatCode>0.0%</c:formatCode>
                <c:ptCount val="11"/>
                <c:pt idx="0">
                  <c:v>2.3E-2</c:v>
                </c:pt>
                <c:pt idx="1">
                  <c:v>1.2E-2</c:v>
                </c:pt>
                <c:pt idx="2">
                  <c:v>3.6999999999999998E-2</c:v>
                </c:pt>
                <c:pt idx="3">
                  <c:v>2.5999999999999999E-2</c:v>
                </c:pt>
                <c:pt idx="4">
                  <c:v>1.9E-2</c:v>
                </c:pt>
                <c:pt idx="5">
                  <c:v>1.7000000000000001E-2</c:v>
                </c:pt>
                <c:pt idx="6">
                  <c:v>3.5000000000000003E-2</c:v>
                </c:pt>
                <c:pt idx="7">
                  <c:v>7.0000000000000001E-3</c:v>
                </c:pt>
                <c:pt idx="8">
                  <c:v>2.8999999999999998E-2</c:v>
                </c:pt>
                <c:pt idx="9">
                  <c:v>1.7999999999999999E-2</c:v>
                </c:pt>
                <c:pt idx="10">
                  <c:v>5.8999999999999997E-2</c:v>
                </c:pt>
              </c:numCache>
            </c:numRef>
          </c:val>
          <c:smooth val="0"/>
        </c:ser>
        <c:ser>
          <c:idx val="1"/>
          <c:order val="1"/>
          <c:tx>
            <c:strRef>
              <c:f>Sheet1!$B$42</c:f>
              <c:strCache>
                <c:ptCount val="1"/>
                <c:pt idx="0">
                  <c:v>POW</c:v>
                </c:pt>
              </c:strCache>
            </c:strRef>
          </c:tx>
          <c:cat>
            <c:numRef>
              <c:f>Sheet1!$C$1:$M$1</c:f>
              <c:numCache>
                <c:formatCode>mmm\-yy</c:formatCode>
                <c:ptCount val="11"/>
                <c:pt idx="0">
                  <c:v>43556</c:v>
                </c:pt>
                <c:pt idx="1">
                  <c:v>43586</c:v>
                </c:pt>
                <c:pt idx="2">
                  <c:v>43617</c:v>
                </c:pt>
                <c:pt idx="3">
                  <c:v>43647</c:v>
                </c:pt>
                <c:pt idx="4">
                  <c:v>43678</c:v>
                </c:pt>
                <c:pt idx="5">
                  <c:v>43709</c:v>
                </c:pt>
                <c:pt idx="6">
                  <c:v>43739</c:v>
                </c:pt>
                <c:pt idx="7">
                  <c:v>43770</c:v>
                </c:pt>
                <c:pt idx="8">
                  <c:v>43800</c:v>
                </c:pt>
                <c:pt idx="9">
                  <c:v>43831</c:v>
                </c:pt>
                <c:pt idx="10">
                  <c:v>43862</c:v>
                </c:pt>
              </c:numCache>
            </c:numRef>
          </c:cat>
          <c:val>
            <c:numRef>
              <c:f>Sheet1!$C$42:$M$42</c:f>
              <c:numCache>
                <c:formatCode>0.0%</c:formatCode>
                <c:ptCount val="11"/>
                <c:pt idx="0">
                  <c:v>7.0000000000000007E-2</c:v>
                </c:pt>
                <c:pt idx="1">
                  <c:v>4.9000000000000002E-2</c:v>
                </c:pt>
                <c:pt idx="2">
                  <c:v>2.5000000000000001E-2</c:v>
                </c:pt>
                <c:pt idx="3">
                  <c:v>3.5000000000000003E-2</c:v>
                </c:pt>
                <c:pt idx="4">
                  <c:v>3.4000000000000002E-2</c:v>
                </c:pt>
                <c:pt idx="5">
                  <c:v>3.4000000000000002E-2</c:v>
                </c:pt>
                <c:pt idx="6">
                  <c:v>2.5000000000000001E-2</c:v>
                </c:pt>
                <c:pt idx="7">
                  <c:v>7.9000000000000001E-2</c:v>
                </c:pt>
                <c:pt idx="8">
                  <c:v>3.9E-2</c:v>
                </c:pt>
                <c:pt idx="9">
                  <c:v>4.8000000000000001E-2</c:v>
                </c:pt>
                <c:pt idx="10">
                  <c:v>0.01</c:v>
                </c:pt>
              </c:numCache>
            </c:numRef>
          </c:val>
          <c:smooth val="0"/>
        </c:ser>
        <c:ser>
          <c:idx val="2"/>
          <c:order val="2"/>
          <c:tx>
            <c:strRef>
              <c:f>Sheet1!$B$43</c:f>
              <c:strCache>
                <c:ptCount val="1"/>
                <c:pt idx="0">
                  <c:v>RGH</c:v>
                </c:pt>
              </c:strCache>
            </c:strRef>
          </c:tx>
          <c:cat>
            <c:numRef>
              <c:f>Sheet1!$C$1:$M$1</c:f>
              <c:numCache>
                <c:formatCode>mmm\-yy</c:formatCode>
                <c:ptCount val="11"/>
                <c:pt idx="0">
                  <c:v>43556</c:v>
                </c:pt>
                <c:pt idx="1">
                  <c:v>43586</c:v>
                </c:pt>
                <c:pt idx="2">
                  <c:v>43617</c:v>
                </c:pt>
                <c:pt idx="3">
                  <c:v>43647</c:v>
                </c:pt>
                <c:pt idx="4">
                  <c:v>43678</c:v>
                </c:pt>
                <c:pt idx="5">
                  <c:v>43709</c:v>
                </c:pt>
                <c:pt idx="6">
                  <c:v>43739</c:v>
                </c:pt>
                <c:pt idx="7">
                  <c:v>43770</c:v>
                </c:pt>
                <c:pt idx="8">
                  <c:v>43800</c:v>
                </c:pt>
                <c:pt idx="9">
                  <c:v>43831</c:v>
                </c:pt>
                <c:pt idx="10">
                  <c:v>43862</c:v>
                </c:pt>
              </c:numCache>
            </c:numRef>
          </c:cat>
          <c:val>
            <c:numRef>
              <c:f>Sheet1!$C$43:$M$43</c:f>
              <c:numCache>
                <c:formatCode>0.0%</c:formatCode>
                <c:ptCount val="11"/>
                <c:pt idx="0">
                  <c:v>0</c:v>
                </c:pt>
                <c:pt idx="1">
                  <c:v>0.111</c:v>
                </c:pt>
                <c:pt idx="2">
                  <c:v>0</c:v>
                </c:pt>
                <c:pt idx="3">
                  <c:v>0</c:v>
                </c:pt>
                <c:pt idx="4">
                  <c:v>0</c:v>
                </c:pt>
                <c:pt idx="5">
                  <c:v>0</c:v>
                </c:pt>
                <c:pt idx="6">
                  <c:v>0</c:v>
                </c:pt>
                <c:pt idx="7">
                  <c:v>0.05</c:v>
                </c:pt>
                <c:pt idx="8">
                  <c:v>3.6999999999999998E-2</c:v>
                </c:pt>
                <c:pt idx="9">
                  <c:v>4.2999999999999997E-2</c:v>
                </c:pt>
                <c:pt idx="10">
                  <c:v>3.6999999999999998E-2</c:v>
                </c:pt>
              </c:numCache>
            </c:numRef>
          </c:val>
          <c:smooth val="0"/>
        </c:ser>
        <c:dLbls>
          <c:showLegendKey val="0"/>
          <c:showVal val="0"/>
          <c:showCatName val="0"/>
          <c:showSerName val="0"/>
          <c:showPercent val="0"/>
          <c:showBubbleSize val="0"/>
        </c:dLbls>
        <c:marker val="1"/>
        <c:smooth val="0"/>
        <c:axId val="451516296"/>
        <c:axId val="451516688"/>
      </c:lineChart>
      <c:dateAx>
        <c:axId val="451516296"/>
        <c:scaling>
          <c:orientation val="minMax"/>
        </c:scaling>
        <c:delete val="0"/>
        <c:axPos val="b"/>
        <c:numFmt formatCode="mmm\-yy" sourceLinked="1"/>
        <c:majorTickMark val="none"/>
        <c:minorTickMark val="none"/>
        <c:tickLblPos val="nextTo"/>
        <c:crossAx val="451516688"/>
        <c:crosses val="autoZero"/>
        <c:auto val="1"/>
        <c:lblOffset val="100"/>
        <c:baseTimeUnit val="months"/>
      </c:dateAx>
      <c:valAx>
        <c:axId val="451516688"/>
        <c:scaling>
          <c:orientation val="minMax"/>
          <c:max val="0.2"/>
        </c:scaling>
        <c:delete val="0"/>
        <c:axPos val="l"/>
        <c:majorGridlines/>
        <c:numFmt formatCode="0.0%" sourceLinked="1"/>
        <c:majorTickMark val="none"/>
        <c:minorTickMark val="none"/>
        <c:tickLblPos val="nextTo"/>
        <c:crossAx val="451516296"/>
        <c:crosses val="autoZero"/>
        <c:crossBetween val="between"/>
      </c:valAx>
      <c:dTable>
        <c:showHorzBorder val="1"/>
        <c:showVertBorder val="1"/>
        <c:showOutline val="1"/>
        <c:showKeys val="1"/>
      </c:dTable>
    </c:plotArea>
    <c:plotVisOnly val="1"/>
    <c:dispBlanksAs val="gap"/>
    <c:showDLblsOverMax val="0"/>
  </c:chart>
  <c:externalData r:id="rId1">
    <c:autoUpdate val="0"/>
  </c:externalData>
</c:chartSpace>
</file>

<file path=word/charts/chart14.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n-GB"/>
              <a:t>Massive</a:t>
            </a:r>
            <a:r>
              <a:rPr lang="en-GB" baseline="0"/>
              <a:t> PPH &gt;2000ml</a:t>
            </a:r>
            <a:endParaRPr lang="en-GB"/>
          </a:p>
        </c:rich>
      </c:tx>
      <c:overlay val="0"/>
    </c:title>
    <c:autoTitleDeleted val="0"/>
    <c:plotArea>
      <c:layout/>
      <c:lineChart>
        <c:grouping val="standard"/>
        <c:varyColors val="0"/>
        <c:ser>
          <c:idx val="0"/>
          <c:order val="0"/>
          <c:tx>
            <c:strRef>
              <c:f>Sheet1!$B$45</c:f>
              <c:strCache>
                <c:ptCount val="1"/>
                <c:pt idx="0">
                  <c:v>PCH</c:v>
                </c:pt>
              </c:strCache>
            </c:strRef>
          </c:tx>
          <c:cat>
            <c:numRef>
              <c:f>Sheet1!$C$1:$M$1</c:f>
              <c:numCache>
                <c:formatCode>mmm\-yy</c:formatCode>
                <c:ptCount val="11"/>
                <c:pt idx="0">
                  <c:v>43556</c:v>
                </c:pt>
                <c:pt idx="1">
                  <c:v>43586</c:v>
                </c:pt>
                <c:pt idx="2">
                  <c:v>43617</c:v>
                </c:pt>
                <c:pt idx="3">
                  <c:v>43647</c:v>
                </c:pt>
                <c:pt idx="4">
                  <c:v>43678</c:v>
                </c:pt>
                <c:pt idx="5">
                  <c:v>43709</c:v>
                </c:pt>
                <c:pt idx="6">
                  <c:v>43739</c:v>
                </c:pt>
                <c:pt idx="7">
                  <c:v>43770</c:v>
                </c:pt>
                <c:pt idx="8">
                  <c:v>43800</c:v>
                </c:pt>
                <c:pt idx="9">
                  <c:v>43831</c:v>
                </c:pt>
                <c:pt idx="10">
                  <c:v>43862</c:v>
                </c:pt>
              </c:numCache>
            </c:numRef>
          </c:cat>
          <c:val>
            <c:numRef>
              <c:f>Sheet1!$C$45:$M$45</c:f>
              <c:numCache>
                <c:formatCode>0.0%</c:formatCode>
                <c:ptCount val="11"/>
                <c:pt idx="0">
                  <c:v>1.4E-2</c:v>
                </c:pt>
                <c:pt idx="1">
                  <c:v>1.7000000000000001E-2</c:v>
                </c:pt>
                <c:pt idx="2">
                  <c:v>8.0000000000000002E-3</c:v>
                </c:pt>
                <c:pt idx="3">
                  <c:v>4.0000000000000001E-3</c:v>
                </c:pt>
                <c:pt idx="4">
                  <c:v>1.7000000000000001E-2</c:v>
                </c:pt>
                <c:pt idx="5">
                  <c:v>0.02</c:v>
                </c:pt>
                <c:pt idx="6">
                  <c:v>8.9999999999999993E-3</c:v>
                </c:pt>
                <c:pt idx="7">
                  <c:v>2.2000000000000002E-2</c:v>
                </c:pt>
                <c:pt idx="8">
                  <c:v>1.4999999999999999E-2</c:v>
                </c:pt>
                <c:pt idx="9">
                  <c:v>5.0000000000000001E-3</c:v>
                </c:pt>
                <c:pt idx="10">
                  <c:v>0.01</c:v>
                </c:pt>
              </c:numCache>
            </c:numRef>
          </c:val>
          <c:smooth val="0"/>
        </c:ser>
        <c:ser>
          <c:idx val="1"/>
          <c:order val="1"/>
          <c:tx>
            <c:strRef>
              <c:f>Sheet1!$B$46</c:f>
              <c:strCache>
                <c:ptCount val="1"/>
                <c:pt idx="0">
                  <c:v>POW</c:v>
                </c:pt>
              </c:strCache>
            </c:strRef>
          </c:tx>
          <c:cat>
            <c:numRef>
              <c:f>Sheet1!$C$1:$M$1</c:f>
              <c:numCache>
                <c:formatCode>mmm\-yy</c:formatCode>
                <c:ptCount val="11"/>
                <c:pt idx="0">
                  <c:v>43556</c:v>
                </c:pt>
                <c:pt idx="1">
                  <c:v>43586</c:v>
                </c:pt>
                <c:pt idx="2">
                  <c:v>43617</c:v>
                </c:pt>
                <c:pt idx="3">
                  <c:v>43647</c:v>
                </c:pt>
                <c:pt idx="4">
                  <c:v>43678</c:v>
                </c:pt>
                <c:pt idx="5">
                  <c:v>43709</c:v>
                </c:pt>
                <c:pt idx="6">
                  <c:v>43739</c:v>
                </c:pt>
                <c:pt idx="7">
                  <c:v>43770</c:v>
                </c:pt>
                <c:pt idx="8">
                  <c:v>43800</c:v>
                </c:pt>
                <c:pt idx="9">
                  <c:v>43831</c:v>
                </c:pt>
                <c:pt idx="10">
                  <c:v>43862</c:v>
                </c:pt>
              </c:numCache>
            </c:numRef>
          </c:cat>
          <c:val>
            <c:numRef>
              <c:f>Sheet1!$C$46:$M$46</c:f>
              <c:numCache>
                <c:formatCode>0.0%</c:formatCode>
                <c:ptCount val="11"/>
                <c:pt idx="0">
                  <c:v>1.4999999999999999E-2</c:v>
                </c:pt>
                <c:pt idx="1">
                  <c:v>6.0000000000000001E-3</c:v>
                </c:pt>
                <c:pt idx="2">
                  <c:v>6.0000000000000001E-3</c:v>
                </c:pt>
                <c:pt idx="3">
                  <c:v>1.7000000000000001E-2</c:v>
                </c:pt>
                <c:pt idx="4">
                  <c:v>1.2999999999999999E-2</c:v>
                </c:pt>
                <c:pt idx="5">
                  <c:v>1.7999999999999999E-2</c:v>
                </c:pt>
                <c:pt idx="6">
                  <c:v>1.0999999999999999E-2</c:v>
                </c:pt>
                <c:pt idx="7">
                  <c:v>6.0000000000000001E-3</c:v>
                </c:pt>
                <c:pt idx="8">
                  <c:v>0</c:v>
                </c:pt>
                <c:pt idx="9">
                  <c:v>1.7999999999999999E-2</c:v>
                </c:pt>
                <c:pt idx="10">
                  <c:v>7.0000000000000001E-3</c:v>
                </c:pt>
              </c:numCache>
            </c:numRef>
          </c:val>
          <c:smooth val="0"/>
        </c:ser>
        <c:ser>
          <c:idx val="2"/>
          <c:order val="2"/>
          <c:tx>
            <c:strRef>
              <c:f>Sheet1!$B$47</c:f>
              <c:strCache>
                <c:ptCount val="1"/>
                <c:pt idx="0">
                  <c:v>RGH</c:v>
                </c:pt>
              </c:strCache>
            </c:strRef>
          </c:tx>
          <c:cat>
            <c:numRef>
              <c:f>Sheet1!$C$1:$M$1</c:f>
              <c:numCache>
                <c:formatCode>mmm\-yy</c:formatCode>
                <c:ptCount val="11"/>
                <c:pt idx="0">
                  <c:v>43556</c:v>
                </c:pt>
                <c:pt idx="1">
                  <c:v>43586</c:v>
                </c:pt>
                <c:pt idx="2">
                  <c:v>43617</c:v>
                </c:pt>
                <c:pt idx="3">
                  <c:v>43647</c:v>
                </c:pt>
                <c:pt idx="4">
                  <c:v>43678</c:v>
                </c:pt>
                <c:pt idx="5">
                  <c:v>43709</c:v>
                </c:pt>
                <c:pt idx="6">
                  <c:v>43739</c:v>
                </c:pt>
                <c:pt idx="7">
                  <c:v>43770</c:v>
                </c:pt>
                <c:pt idx="8">
                  <c:v>43800</c:v>
                </c:pt>
                <c:pt idx="9">
                  <c:v>43831</c:v>
                </c:pt>
                <c:pt idx="10">
                  <c:v>43862</c:v>
                </c:pt>
              </c:numCache>
            </c:numRef>
          </c:cat>
          <c:val>
            <c:numRef>
              <c:f>Sheet1!$C$47:$M$47</c:f>
              <c:numCache>
                <c:formatCode>0.0%</c:formatCode>
                <c:ptCount val="11"/>
                <c:pt idx="0">
                  <c:v>0</c:v>
                </c:pt>
                <c:pt idx="1">
                  <c:v>0</c:v>
                </c:pt>
                <c:pt idx="2">
                  <c:v>0</c:v>
                </c:pt>
                <c:pt idx="3">
                  <c:v>0</c:v>
                </c:pt>
                <c:pt idx="4">
                  <c:v>0</c:v>
                </c:pt>
                <c:pt idx="5">
                  <c:v>0</c:v>
                </c:pt>
                <c:pt idx="6">
                  <c:v>0</c:v>
                </c:pt>
                <c:pt idx="7">
                  <c:v>0</c:v>
                </c:pt>
                <c:pt idx="8">
                  <c:v>0</c:v>
                </c:pt>
                <c:pt idx="9">
                  <c:v>0</c:v>
                </c:pt>
                <c:pt idx="10">
                  <c:v>0</c:v>
                </c:pt>
              </c:numCache>
            </c:numRef>
          </c:val>
          <c:smooth val="0"/>
        </c:ser>
        <c:dLbls>
          <c:showLegendKey val="0"/>
          <c:showVal val="0"/>
          <c:showCatName val="0"/>
          <c:showSerName val="0"/>
          <c:showPercent val="0"/>
          <c:showBubbleSize val="0"/>
        </c:dLbls>
        <c:marker val="1"/>
        <c:smooth val="0"/>
        <c:axId val="451517864"/>
        <c:axId val="451518256"/>
      </c:lineChart>
      <c:dateAx>
        <c:axId val="451517864"/>
        <c:scaling>
          <c:orientation val="minMax"/>
        </c:scaling>
        <c:delete val="0"/>
        <c:axPos val="b"/>
        <c:numFmt formatCode="mmm\-yy" sourceLinked="1"/>
        <c:majorTickMark val="none"/>
        <c:minorTickMark val="none"/>
        <c:tickLblPos val="nextTo"/>
        <c:crossAx val="451518256"/>
        <c:crosses val="autoZero"/>
        <c:auto val="1"/>
        <c:lblOffset val="100"/>
        <c:baseTimeUnit val="months"/>
      </c:dateAx>
      <c:valAx>
        <c:axId val="451518256"/>
        <c:scaling>
          <c:orientation val="minMax"/>
          <c:max val="0.1"/>
        </c:scaling>
        <c:delete val="0"/>
        <c:axPos val="l"/>
        <c:majorGridlines/>
        <c:numFmt formatCode="0.0%" sourceLinked="1"/>
        <c:majorTickMark val="none"/>
        <c:minorTickMark val="none"/>
        <c:tickLblPos val="nextTo"/>
        <c:crossAx val="451517864"/>
        <c:crosses val="autoZero"/>
        <c:crossBetween val="between"/>
      </c:valAx>
      <c:dTable>
        <c:showHorzBorder val="1"/>
        <c:showVertBorder val="1"/>
        <c:showOutline val="1"/>
        <c:showKeys val="1"/>
      </c:dTable>
    </c:plotArea>
    <c:plotVisOnly val="1"/>
    <c:dispBlanksAs val="gap"/>
    <c:showDLblsOverMax val="0"/>
  </c:chart>
  <c:externalData r:id="rId1">
    <c:autoUpdate val="0"/>
  </c:externalData>
</c:chartSpace>
</file>

<file path=word/charts/chart15.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n-GB"/>
              <a:t>Failed Instrumental</a:t>
            </a:r>
          </a:p>
        </c:rich>
      </c:tx>
      <c:overlay val="0"/>
    </c:title>
    <c:autoTitleDeleted val="0"/>
    <c:plotArea>
      <c:layout/>
      <c:lineChart>
        <c:grouping val="standard"/>
        <c:varyColors val="0"/>
        <c:ser>
          <c:idx val="0"/>
          <c:order val="0"/>
          <c:tx>
            <c:strRef>
              <c:f>Sheet1!$B$49</c:f>
              <c:strCache>
                <c:ptCount val="1"/>
                <c:pt idx="0">
                  <c:v>PCH</c:v>
                </c:pt>
              </c:strCache>
            </c:strRef>
          </c:tx>
          <c:cat>
            <c:numRef>
              <c:f>Sheet1!$C$1:$M$1</c:f>
              <c:numCache>
                <c:formatCode>mmm\-yy</c:formatCode>
                <c:ptCount val="11"/>
                <c:pt idx="0">
                  <c:v>43556</c:v>
                </c:pt>
                <c:pt idx="1">
                  <c:v>43586</c:v>
                </c:pt>
                <c:pt idx="2">
                  <c:v>43617</c:v>
                </c:pt>
                <c:pt idx="3">
                  <c:v>43647</c:v>
                </c:pt>
                <c:pt idx="4">
                  <c:v>43678</c:v>
                </c:pt>
                <c:pt idx="5">
                  <c:v>43709</c:v>
                </c:pt>
                <c:pt idx="6">
                  <c:v>43739</c:v>
                </c:pt>
                <c:pt idx="7">
                  <c:v>43770</c:v>
                </c:pt>
                <c:pt idx="8">
                  <c:v>43800</c:v>
                </c:pt>
                <c:pt idx="9">
                  <c:v>43831</c:v>
                </c:pt>
                <c:pt idx="10">
                  <c:v>43862</c:v>
                </c:pt>
              </c:numCache>
            </c:numRef>
          </c:cat>
          <c:val>
            <c:numRef>
              <c:f>Sheet1!$C$49:$M$49</c:f>
              <c:numCache>
                <c:formatCode>0.0%</c:formatCode>
                <c:ptCount val="11"/>
                <c:pt idx="0">
                  <c:v>0</c:v>
                </c:pt>
                <c:pt idx="1">
                  <c:v>9.5000000000000001E-2</c:v>
                </c:pt>
                <c:pt idx="2">
                  <c:v>0.04</c:v>
                </c:pt>
                <c:pt idx="3">
                  <c:v>0.1</c:v>
                </c:pt>
                <c:pt idx="4">
                  <c:v>7.400000000000001E-2</c:v>
                </c:pt>
                <c:pt idx="5">
                  <c:v>5.2999999999999999E-2</c:v>
                </c:pt>
                <c:pt idx="6">
                  <c:v>0.1</c:v>
                </c:pt>
                <c:pt idx="7">
                  <c:v>0</c:v>
                </c:pt>
                <c:pt idx="8">
                  <c:v>0</c:v>
                </c:pt>
                <c:pt idx="9">
                  <c:v>6.5000000000000002E-2</c:v>
                </c:pt>
                <c:pt idx="10">
                  <c:v>0.25</c:v>
                </c:pt>
              </c:numCache>
            </c:numRef>
          </c:val>
          <c:smooth val="0"/>
        </c:ser>
        <c:ser>
          <c:idx val="1"/>
          <c:order val="1"/>
          <c:tx>
            <c:strRef>
              <c:f>Sheet1!$B$50</c:f>
              <c:strCache>
                <c:ptCount val="1"/>
                <c:pt idx="0">
                  <c:v>POW</c:v>
                </c:pt>
              </c:strCache>
            </c:strRef>
          </c:tx>
          <c:cat>
            <c:numRef>
              <c:f>Sheet1!$C$1:$M$1</c:f>
              <c:numCache>
                <c:formatCode>mmm\-yy</c:formatCode>
                <c:ptCount val="11"/>
                <c:pt idx="0">
                  <c:v>43556</c:v>
                </c:pt>
                <c:pt idx="1">
                  <c:v>43586</c:v>
                </c:pt>
                <c:pt idx="2">
                  <c:v>43617</c:v>
                </c:pt>
                <c:pt idx="3">
                  <c:v>43647</c:v>
                </c:pt>
                <c:pt idx="4">
                  <c:v>43678</c:v>
                </c:pt>
                <c:pt idx="5">
                  <c:v>43709</c:v>
                </c:pt>
                <c:pt idx="6">
                  <c:v>43739</c:v>
                </c:pt>
                <c:pt idx="7">
                  <c:v>43770</c:v>
                </c:pt>
                <c:pt idx="8">
                  <c:v>43800</c:v>
                </c:pt>
                <c:pt idx="9">
                  <c:v>43831</c:v>
                </c:pt>
                <c:pt idx="10">
                  <c:v>43862</c:v>
                </c:pt>
              </c:numCache>
            </c:numRef>
          </c:cat>
          <c:val>
            <c:numRef>
              <c:f>Sheet1!$C$50:$M$50</c:f>
              <c:numCache>
                <c:formatCode>0.0%</c:formatCode>
                <c:ptCount val="11"/>
                <c:pt idx="0">
                  <c:v>8.3000000000000004E-2</c:v>
                </c:pt>
                <c:pt idx="1">
                  <c:v>0.111</c:v>
                </c:pt>
                <c:pt idx="2">
                  <c:v>8.3000000000000004E-2</c:v>
                </c:pt>
                <c:pt idx="3">
                  <c:v>8.3000000000000004E-2</c:v>
                </c:pt>
                <c:pt idx="4">
                  <c:v>0</c:v>
                </c:pt>
                <c:pt idx="5">
                  <c:v>6.3E-2</c:v>
                </c:pt>
                <c:pt idx="6">
                  <c:v>0.111</c:v>
                </c:pt>
                <c:pt idx="7">
                  <c:v>0</c:v>
                </c:pt>
                <c:pt idx="8">
                  <c:v>0</c:v>
                </c:pt>
                <c:pt idx="9">
                  <c:v>7.0999999999999994E-2</c:v>
                </c:pt>
                <c:pt idx="10">
                  <c:v>0.1</c:v>
                </c:pt>
              </c:numCache>
            </c:numRef>
          </c:val>
          <c:smooth val="0"/>
        </c:ser>
        <c:ser>
          <c:idx val="2"/>
          <c:order val="2"/>
          <c:tx>
            <c:strRef>
              <c:f>Sheet1!$B$52</c:f>
              <c:strCache>
                <c:ptCount val="1"/>
                <c:pt idx="0">
                  <c:v>Goal</c:v>
                </c:pt>
              </c:strCache>
            </c:strRef>
          </c:tx>
          <c:spPr>
            <a:ln>
              <a:solidFill>
                <a:srgbClr val="00B050"/>
              </a:solidFill>
            </a:ln>
          </c:spPr>
          <c:marker>
            <c:symbol val="none"/>
          </c:marker>
          <c:cat>
            <c:numRef>
              <c:f>Sheet1!$C$1:$M$1</c:f>
              <c:numCache>
                <c:formatCode>mmm\-yy</c:formatCode>
                <c:ptCount val="11"/>
                <c:pt idx="0">
                  <c:v>43556</c:v>
                </c:pt>
                <c:pt idx="1">
                  <c:v>43586</c:v>
                </c:pt>
                <c:pt idx="2">
                  <c:v>43617</c:v>
                </c:pt>
                <c:pt idx="3">
                  <c:v>43647</c:v>
                </c:pt>
                <c:pt idx="4">
                  <c:v>43678</c:v>
                </c:pt>
                <c:pt idx="5">
                  <c:v>43709</c:v>
                </c:pt>
                <c:pt idx="6">
                  <c:v>43739</c:v>
                </c:pt>
                <c:pt idx="7">
                  <c:v>43770</c:v>
                </c:pt>
                <c:pt idx="8">
                  <c:v>43800</c:v>
                </c:pt>
                <c:pt idx="9">
                  <c:v>43831</c:v>
                </c:pt>
                <c:pt idx="10">
                  <c:v>43862</c:v>
                </c:pt>
              </c:numCache>
            </c:numRef>
          </c:cat>
          <c:val>
            <c:numRef>
              <c:f>Sheet1!$C$52:$M$52</c:f>
              <c:numCache>
                <c:formatCode>0.0%</c:formatCode>
                <c:ptCount val="11"/>
                <c:pt idx="0">
                  <c:v>0.12</c:v>
                </c:pt>
                <c:pt idx="1">
                  <c:v>0.12</c:v>
                </c:pt>
                <c:pt idx="2">
                  <c:v>0.12</c:v>
                </c:pt>
                <c:pt idx="3">
                  <c:v>0.12</c:v>
                </c:pt>
                <c:pt idx="4">
                  <c:v>0.12</c:v>
                </c:pt>
                <c:pt idx="5">
                  <c:v>0.12</c:v>
                </c:pt>
                <c:pt idx="6">
                  <c:v>0.12</c:v>
                </c:pt>
                <c:pt idx="7">
                  <c:v>0.12</c:v>
                </c:pt>
                <c:pt idx="8">
                  <c:v>0.12</c:v>
                </c:pt>
                <c:pt idx="9">
                  <c:v>0.12</c:v>
                </c:pt>
                <c:pt idx="10">
                  <c:v>0.12</c:v>
                </c:pt>
              </c:numCache>
            </c:numRef>
          </c:val>
          <c:smooth val="0"/>
        </c:ser>
        <c:dLbls>
          <c:showLegendKey val="0"/>
          <c:showVal val="0"/>
          <c:showCatName val="0"/>
          <c:showSerName val="0"/>
          <c:showPercent val="0"/>
          <c:showBubbleSize val="0"/>
        </c:dLbls>
        <c:marker val="1"/>
        <c:smooth val="0"/>
        <c:axId val="452025656"/>
        <c:axId val="452026048"/>
      </c:lineChart>
      <c:dateAx>
        <c:axId val="452025656"/>
        <c:scaling>
          <c:orientation val="minMax"/>
        </c:scaling>
        <c:delete val="0"/>
        <c:axPos val="b"/>
        <c:numFmt formatCode="mmm\-yy" sourceLinked="1"/>
        <c:majorTickMark val="none"/>
        <c:minorTickMark val="none"/>
        <c:tickLblPos val="nextTo"/>
        <c:crossAx val="452026048"/>
        <c:crosses val="autoZero"/>
        <c:auto val="1"/>
        <c:lblOffset val="100"/>
        <c:baseTimeUnit val="months"/>
      </c:dateAx>
      <c:valAx>
        <c:axId val="452026048"/>
        <c:scaling>
          <c:orientation val="minMax"/>
          <c:max val="1"/>
        </c:scaling>
        <c:delete val="0"/>
        <c:axPos val="l"/>
        <c:majorGridlines/>
        <c:numFmt formatCode="0.0%" sourceLinked="1"/>
        <c:majorTickMark val="none"/>
        <c:minorTickMark val="none"/>
        <c:tickLblPos val="nextTo"/>
        <c:crossAx val="452025656"/>
        <c:crosses val="autoZero"/>
        <c:crossBetween val="between"/>
      </c:valAx>
      <c:dTable>
        <c:showHorzBorder val="1"/>
        <c:showVertBorder val="1"/>
        <c:showOutline val="1"/>
        <c:showKeys val="1"/>
      </c:dTable>
    </c:plotArea>
    <c:plotVisOnly val="1"/>
    <c:dispBlanksAs val="gap"/>
    <c:showDLblsOverMax val="0"/>
  </c:chart>
  <c:externalData r:id="rId1">
    <c:autoUpdate val="0"/>
  </c:externalData>
</c:chartSpace>
</file>

<file path=word/charts/chart16.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n-GB"/>
              <a:t>Total</a:t>
            </a:r>
            <a:r>
              <a:rPr lang="en-GB" baseline="0"/>
              <a:t> Term Admissions to Neonatal Unit</a:t>
            </a:r>
            <a:endParaRPr lang="en-GB"/>
          </a:p>
        </c:rich>
      </c:tx>
      <c:overlay val="0"/>
    </c:title>
    <c:autoTitleDeleted val="0"/>
    <c:plotArea>
      <c:layout/>
      <c:lineChart>
        <c:grouping val="standard"/>
        <c:varyColors val="0"/>
        <c:ser>
          <c:idx val="0"/>
          <c:order val="0"/>
          <c:tx>
            <c:strRef>
              <c:f>Sheet1!$B$58</c:f>
              <c:strCache>
                <c:ptCount val="1"/>
                <c:pt idx="0">
                  <c:v>PCH</c:v>
                </c:pt>
              </c:strCache>
            </c:strRef>
          </c:tx>
          <c:cat>
            <c:numRef>
              <c:f>Sheet1!$C$1:$M$1</c:f>
              <c:numCache>
                <c:formatCode>mmm\-yy</c:formatCode>
                <c:ptCount val="11"/>
                <c:pt idx="0">
                  <c:v>43556</c:v>
                </c:pt>
                <c:pt idx="1">
                  <c:v>43586</c:v>
                </c:pt>
                <c:pt idx="2">
                  <c:v>43617</c:v>
                </c:pt>
                <c:pt idx="3">
                  <c:v>43647</c:v>
                </c:pt>
                <c:pt idx="4">
                  <c:v>43678</c:v>
                </c:pt>
                <c:pt idx="5">
                  <c:v>43709</c:v>
                </c:pt>
                <c:pt idx="6">
                  <c:v>43739</c:v>
                </c:pt>
                <c:pt idx="7">
                  <c:v>43770</c:v>
                </c:pt>
                <c:pt idx="8">
                  <c:v>43800</c:v>
                </c:pt>
                <c:pt idx="9">
                  <c:v>43831</c:v>
                </c:pt>
                <c:pt idx="10">
                  <c:v>43862</c:v>
                </c:pt>
              </c:numCache>
            </c:numRef>
          </c:cat>
          <c:val>
            <c:numRef>
              <c:f>Sheet1!$C$58:$M$58</c:f>
              <c:numCache>
                <c:formatCode>General</c:formatCode>
                <c:ptCount val="11"/>
                <c:pt idx="0">
                  <c:v>13</c:v>
                </c:pt>
                <c:pt idx="1">
                  <c:v>15</c:v>
                </c:pt>
                <c:pt idx="2">
                  <c:v>23</c:v>
                </c:pt>
                <c:pt idx="3">
                  <c:v>17</c:v>
                </c:pt>
                <c:pt idx="4">
                  <c:v>26</c:v>
                </c:pt>
                <c:pt idx="5">
                  <c:v>10</c:v>
                </c:pt>
                <c:pt idx="6">
                  <c:v>17</c:v>
                </c:pt>
                <c:pt idx="7">
                  <c:v>18</c:v>
                </c:pt>
                <c:pt idx="8">
                  <c:v>19</c:v>
                </c:pt>
                <c:pt idx="9">
                  <c:v>8</c:v>
                </c:pt>
                <c:pt idx="10">
                  <c:v>14</c:v>
                </c:pt>
              </c:numCache>
            </c:numRef>
          </c:val>
          <c:smooth val="0"/>
        </c:ser>
        <c:ser>
          <c:idx val="1"/>
          <c:order val="1"/>
          <c:tx>
            <c:strRef>
              <c:f>Sheet1!$B$59</c:f>
              <c:strCache>
                <c:ptCount val="1"/>
                <c:pt idx="0">
                  <c:v>POW</c:v>
                </c:pt>
              </c:strCache>
            </c:strRef>
          </c:tx>
          <c:cat>
            <c:numRef>
              <c:f>Sheet1!$C$1:$M$1</c:f>
              <c:numCache>
                <c:formatCode>mmm\-yy</c:formatCode>
                <c:ptCount val="11"/>
                <c:pt idx="0">
                  <c:v>43556</c:v>
                </c:pt>
                <c:pt idx="1">
                  <c:v>43586</c:v>
                </c:pt>
                <c:pt idx="2">
                  <c:v>43617</c:v>
                </c:pt>
                <c:pt idx="3">
                  <c:v>43647</c:v>
                </c:pt>
                <c:pt idx="4">
                  <c:v>43678</c:v>
                </c:pt>
                <c:pt idx="5">
                  <c:v>43709</c:v>
                </c:pt>
                <c:pt idx="6">
                  <c:v>43739</c:v>
                </c:pt>
                <c:pt idx="7">
                  <c:v>43770</c:v>
                </c:pt>
                <c:pt idx="8">
                  <c:v>43800</c:v>
                </c:pt>
                <c:pt idx="9">
                  <c:v>43831</c:v>
                </c:pt>
                <c:pt idx="10">
                  <c:v>43862</c:v>
                </c:pt>
              </c:numCache>
            </c:numRef>
          </c:cat>
          <c:val>
            <c:numRef>
              <c:f>Sheet1!$C$59:$M$59</c:f>
              <c:numCache>
                <c:formatCode>General</c:formatCode>
                <c:ptCount val="11"/>
                <c:pt idx="0">
                  <c:v>7</c:v>
                </c:pt>
                <c:pt idx="1">
                  <c:v>15</c:v>
                </c:pt>
                <c:pt idx="2">
                  <c:v>13</c:v>
                </c:pt>
                <c:pt idx="3">
                  <c:v>18</c:v>
                </c:pt>
                <c:pt idx="4">
                  <c:v>10</c:v>
                </c:pt>
                <c:pt idx="5">
                  <c:v>5</c:v>
                </c:pt>
                <c:pt idx="6">
                  <c:v>18</c:v>
                </c:pt>
                <c:pt idx="7">
                  <c:v>10</c:v>
                </c:pt>
                <c:pt idx="8">
                  <c:v>10</c:v>
                </c:pt>
                <c:pt idx="9">
                  <c:v>10</c:v>
                </c:pt>
                <c:pt idx="10">
                  <c:v>9</c:v>
                </c:pt>
              </c:numCache>
            </c:numRef>
          </c:val>
          <c:smooth val="0"/>
        </c:ser>
        <c:dLbls>
          <c:showLegendKey val="0"/>
          <c:showVal val="0"/>
          <c:showCatName val="0"/>
          <c:showSerName val="0"/>
          <c:showPercent val="0"/>
          <c:showBubbleSize val="0"/>
        </c:dLbls>
        <c:marker val="1"/>
        <c:smooth val="0"/>
        <c:axId val="452027224"/>
        <c:axId val="452027616"/>
      </c:lineChart>
      <c:dateAx>
        <c:axId val="452027224"/>
        <c:scaling>
          <c:orientation val="minMax"/>
        </c:scaling>
        <c:delete val="0"/>
        <c:axPos val="b"/>
        <c:numFmt formatCode="mmm\-yy" sourceLinked="1"/>
        <c:majorTickMark val="none"/>
        <c:minorTickMark val="none"/>
        <c:tickLblPos val="nextTo"/>
        <c:crossAx val="452027616"/>
        <c:crosses val="autoZero"/>
        <c:auto val="1"/>
        <c:lblOffset val="100"/>
        <c:baseTimeUnit val="months"/>
      </c:dateAx>
      <c:valAx>
        <c:axId val="452027616"/>
        <c:scaling>
          <c:orientation val="minMax"/>
        </c:scaling>
        <c:delete val="0"/>
        <c:axPos val="l"/>
        <c:majorGridlines/>
        <c:numFmt formatCode="General" sourceLinked="1"/>
        <c:majorTickMark val="none"/>
        <c:minorTickMark val="none"/>
        <c:tickLblPos val="nextTo"/>
        <c:crossAx val="452027224"/>
        <c:crosses val="autoZero"/>
        <c:crossBetween val="between"/>
      </c:valAx>
      <c:dTable>
        <c:showHorzBorder val="1"/>
        <c:showVertBorder val="1"/>
        <c:showOutline val="1"/>
        <c:showKeys val="1"/>
      </c:dTable>
    </c:plotArea>
    <c:plotVisOnly val="1"/>
    <c:dispBlanksAs val="gap"/>
    <c:showDLblsOverMax val="0"/>
  </c:chart>
  <c:externalData r:id="rId1">
    <c:autoUpdate val="0"/>
  </c:externalData>
</c:chartSpace>
</file>

<file path=word/charts/chart17.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n-GB"/>
              <a:t>Still Births</a:t>
            </a:r>
          </a:p>
        </c:rich>
      </c:tx>
      <c:overlay val="0"/>
    </c:title>
    <c:autoTitleDeleted val="0"/>
    <c:plotArea>
      <c:layout/>
      <c:barChart>
        <c:barDir val="col"/>
        <c:grouping val="clustered"/>
        <c:varyColors val="0"/>
        <c:ser>
          <c:idx val="0"/>
          <c:order val="0"/>
          <c:tx>
            <c:strRef>
              <c:f>Sheet1!$B$67</c:f>
              <c:strCache>
                <c:ptCount val="1"/>
                <c:pt idx="0">
                  <c:v>PCH</c:v>
                </c:pt>
              </c:strCache>
            </c:strRef>
          </c:tx>
          <c:invertIfNegative val="0"/>
          <c:cat>
            <c:numRef>
              <c:f>Sheet1!$C$1:$M$1</c:f>
              <c:numCache>
                <c:formatCode>mmm\-yy</c:formatCode>
                <c:ptCount val="11"/>
                <c:pt idx="0">
                  <c:v>43556</c:v>
                </c:pt>
                <c:pt idx="1">
                  <c:v>43586</c:v>
                </c:pt>
                <c:pt idx="2">
                  <c:v>43617</c:v>
                </c:pt>
                <c:pt idx="3">
                  <c:v>43647</c:v>
                </c:pt>
                <c:pt idx="4">
                  <c:v>43678</c:v>
                </c:pt>
                <c:pt idx="5">
                  <c:v>43709</c:v>
                </c:pt>
                <c:pt idx="6">
                  <c:v>43739</c:v>
                </c:pt>
                <c:pt idx="7">
                  <c:v>43770</c:v>
                </c:pt>
                <c:pt idx="8">
                  <c:v>43800</c:v>
                </c:pt>
                <c:pt idx="9">
                  <c:v>43831</c:v>
                </c:pt>
                <c:pt idx="10">
                  <c:v>43862</c:v>
                </c:pt>
              </c:numCache>
            </c:numRef>
          </c:cat>
          <c:val>
            <c:numRef>
              <c:f>Sheet1!$C$67:$M$67</c:f>
              <c:numCache>
                <c:formatCode>General</c:formatCode>
                <c:ptCount val="11"/>
                <c:pt idx="0">
                  <c:v>2</c:v>
                </c:pt>
                <c:pt idx="1">
                  <c:v>0</c:v>
                </c:pt>
                <c:pt idx="2">
                  <c:v>0</c:v>
                </c:pt>
                <c:pt idx="3">
                  <c:v>1</c:v>
                </c:pt>
                <c:pt idx="4">
                  <c:v>0</c:v>
                </c:pt>
                <c:pt idx="5">
                  <c:v>0</c:v>
                </c:pt>
                <c:pt idx="6">
                  <c:v>1</c:v>
                </c:pt>
                <c:pt idx="7">
                  <c:v>0</c:v>
                </c:pt>
                <c:pt idx="8">
                  <c:v>3</c:v>
                </c:pt>
                <c:pt idx="9">
                  <c:v>1</c:v>
                </c:pt>
                <c:pt idx="10">
                  <c:v>3</c:v>
                </c:pt>
              </c:numCache>
            </c:numRef>
          </c:val>
        </c:ser>
        <c:ser>
          <c:idx val="1"/>
          <c:order val="1"/>
          <c:tx>
            <c:strRef>
              <c:f>Sheet1!$B$68</c:f>
              <c:strCache>
                <c:ptCount val="1"/>
                <c:pt idx="0">
                  <c:v>POW</c:v>
                </c:pt>
              </c:strCache>
            </c:strRef>
          </c:tx>
          <c:invertIfNegative val="0"/>
          <c:cat>
            <c:numRef>
              <c:f>Sheet1!$C$1:$M$1</c:f>
              <c:numCache>
                <c:formatCode>mmm\-yy</c:formatCode>
                <c:ptCount val="11"/>
                <c:pt idx="0">
                  <c:v>43556</c:v>
                </c:pt>
                <c:pt idx="1">
                  <c:v>43586</c:v>
                </c:pt>
                <c:pt idx="2">
                  <c:v>43617</c:v>
                </c:pt>
                <c:pt idx="3">
                  <c:v>43647</c:v>
                </c:pt>
                <c:pt idx="4">
                  <c:v>43678</c:v>
                </c:pt>
                <c:pt idx="5">
                  <c:v>43709</c:v>
                </c:pt>
                <c:pt idx="6">
                  <c:v>43739</c:v>
                </c:pt>
                <c:pt idx="7">
                  <c:v>43770</c:v>
                </c:pt>
                <c:pt idx="8">
                  <c:v>43800</c:v>
                </c:pt>
                <c:pt idx="9">
                  <c:v>43831</c:v>
                </c:pt>
                <c:pt idx="10">
                  <c:v>43862</c:v>
                </c:pt>
              </c:numCache>
            </c:numRef>
          </c:cat>
          <c:val>
            <c:numRef>
              <c:f>Sheet1!$C$68:$M$68</c:f>
              <c:numCache>
                <c:formatCode>General</c:formatCode>
                <c:ptCount val="11"/>
                <c:pt idx="0">
                  <c:v>1</c:v>
                </c:pt>
                <c:pt idx="1">
                  <c:v>0</c:v>
                </c:pt>
                <c:pt idx="2">
                  <c:v>0</c:v>
                </c:pt>
                <c:pt idx="3">
                  <c:v>2</c:v>
                </c:pt>
                <c:pt idx="4">
                  <c:v>1</c:v>
                </c:pt>
                <c:pt idx="5">
                  <c:v>1</c:v>
                </c:pt>
                <c:pt idx="6">
                  <c:v>0</c:v>
                </c:pt>
                <c:pt idx="7">
                  <c:v>2</c:v>
                </c:pt>
                <c:pt idx="8">
                  <c:v>2</c:v>
                </c:pt>
                <c:pt idx="9">
                  <c:v>1</c:v>
                </c:pt>
                <c:pt idx="10">
                  <c:v>0</c:v>
                </c:pt>
              </c:numCache>
            </c:numRef>
          </c:val>
        </c:ser>
        <c:ser>
          <c:idx val="2"/>
          <c:order val="2"/>
          <c:tx>
            <c:strRef>
              <c:f>Sheet1!$B$69</c:f>
              <c:strCache>
                <c:ptCount val="1"/>
                <c:pt idx="0">
                  <c:v>RGH</c:v>
                </c:pt>
              </c:strCache>
            </c:strRef>
          </c:tx>
          <c:invertIfNegative val="0"/>
          <c:cat>
            <c:numRef>
              <c:f>Sheet1!$C$1:$M$1</c:f>
              <c:numCache>
                <c:formatCode>mmm\-yy</c:formatCode>
                <c:ptCount val="11"/>
                <c:pt idx="0">
                  <c:v>43556</c:v>
                </c:pt>
                <c:pt idx="1">
                  <c:v>43586</c:v>
                </c:pt>
                <c:pt idx="2">
                  <c:v>43617</c:v>
                </c:pt>
                <c:pt idx="3">
                  <c:v>43647</c:v>
                </c:pt>
                <c:pt idx="4">
                  <c:v>43678</c:v>
                </c:pt>
                <c:pt idx="5">
                  <c:v>43709</c:v>
                </c:pt>
                <c:pt idx="6">
                  <c:v>43739</c:v>
                </c:pt>
                <c:pt idx="7">
                  <c:v>43770</c:v>
                </c:pt>
                <c:pt idx="8">
                  <c:v>43800</c:v>
                </c:pt>
                <c:pt idx="9">
                  <c:v>43831</c:v>
                </c:pt>
                <c:pt idx="10">
                  <c:v>43862</c:v>
                </c:pt>
              </c:numCache>
            </c:numRef>
          </c:cat>
          <c:val>
            <c:numRef>
              <c:f>Sheet1!$C$69:$M$69</c:f>
              <c:numCache>
                <c:formatCode>General</c:formatCode>
                <c:ptCount val="11"/>
                <c:pt idx="0">
                  <c:v>0</c:v>
                </c:pt>
                <c:pt idx="1">
                  <c:v>0</c:v>
                </c:pt>
                <c:pt idx="2">
                  <c:v>0</c:v>
                </c:pt>
                <c:pt idx="3">
                  <c:v>0</c:v>
                </c:pt>
                <c:pt idx="4">
                  <c:v>0</c:v>
                </c:pt>
                <c:pt idx="5">
                  <c:v>0</c:v>
                </c:pt>
                <c:pt idx="6">
                  <c:v>0</c:v>
                </c:pt>
                <c:pt idx="7">
                  <c:v>0</c:v>
                </c:pt>
                <c:pt idx="8">
                  <c:v>0</c:v>
                </c:pt>
                <c:pt idx="9">
                  <c:v>0</c:v>
                </c:pt>
                <c:pt idx="10">
                  <c:v>0</c:v>
                </c:pt>
              </c:numCache>
            </c:numRef>
          </c:val>
        </c:ser>
        <c:dLbls>
          <c:showLegendKey val="0"/>
          <c:showVal val="0"/>
          <c:showCatName val="0"/>
          <c:showSerName val="0"/>
          <c:showPercent val="0"/>
          <c:showBubbleSize val="0"/>
        </c:dLbls>
        <c:gapWidth val="150"/>
        <c:axId val="452028792"/>
        <c:axId val="452284432"/>
      </c:barChart>
      <c:dateAx>
        <c:axId val="452028792"/>
        <c:scaling>
          <c:orientation val="minMax"/>
        </c:scaling>
        <c:delete val="0"/>
        <c:axPos val="b"/>
        <c:numFmt formatCode="mmm\-yy" sourceLinked="1"/>
        <c:majorTickMark val="none"/>
        <c:minorTickMark val="none"/>
        <c:tickLblPos val="nextTo"/>
        <c:crossAx val="452284432"/>
        <c:crosses val="autoZero"/>
        <c:auto val="1"/>
        <c:lblOffset val="100"/>
        <c:baseTimeUnit val="months"/>
      </c:dateAx>
      <c:valAx>
        <c:axId val="452284432"/>
        <c:scaling>
          <c:orientation val="minMax"/>
          <c:max val="5"/>
        </c:scaling>
        <c:delete val="0"/>
        <c:axPos val="l"/>
        <c:majorGridlines/>
        <c:numFmt formatCode="General" sourceLinked="1"/>
        <c:majorTickMark val="none"/>
        <c:minorTickMark val="none"/>
        <c:tickLblPos val="nextTo"/>
        <c:crossAx val="452028792"/>
        <c:crosses val="autoZero"/>
        <c:crossBetween val="between"/>
      </c:valAx>
      <c:dTable>
        <c:showHorzBorder val="1"/>
        <c:showVertBorder val="1"/>
        <c:showOutline val="1"/>
        <c:showKeys val="1"/>
      </c:dTable>
      <c:spPr>
        <a:ln>
          <a:solidFill>
            <a:schemeClr val="accent1"/>
          </a:solidFill>
        </a:ln>
      </c:spPr>
    </c:plotArea>
    <c:plotVisOnly val="1"/>
    <c:dispBlanksAs val="gap"/>
    <c:showDLblsOverMax val="0"/>
  </c:chart>
  <c:externalData r:id="rId1">
    <c:autoUpdate val="0"/>
  </c:externalData>
</c:chartSpace>
</file>

<file path=word/charts/chart18.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n-GB"/>
              <a:t>Early Neonatal Deaths (&lt;=</a:t>
            </a:r>
            <a:r>
              <a:rPr lang="en-GB" baseline="0"/>
              <a:t>7 days)</a:t>
            </a:r>
            <a:endParaRPr lang="en-GB"/>
          </a:p>
        </c:rich>
      </c:tx>
      <c:overlay val="0"/>
    </c:title>
    <c:autoTitleDeleted val="0"/>
    <c:plotArea>
      <c:layout/>
      <c:barChart>
        <c:barDir val="col"/>
        <c:grouping val="clustered"/>
        <c:varyColors val="0"/>
        <c:ser>
          <c:idx val="0"/>
          <c:order val="0"/>
          <c:tx>
            <c:strRef>
              <c:f>Sheet1!$B$70</c:f>
              <c:strCache>
                <c:ptCount val="1"/>
                <c:pt idx="0">
                  <c:v>PCH</c:v>
                </c:pt>
              </c:strCache>
            </c:strRef>
          </c:tx>
          <c:invertIfNegative val="0"/>
          <c:cat>
            <c:numRef>
              <c:f>Sheet1!$C$1:$M$1</c:f>
              <c:numCache>
                <c:formatCode>mmm\-yy</c:formatCode>
                <c:ptCount val="11"/>
                <c:pt idx="0">
                  <c:v>43556</c:v>
                </c:pt>
                <c:pt idx="1">
                  <c:v>43586</c:v>
                </c:pt>
                <c:pt idx="2">
                  <c:v>43617</c:v>
                </c:pt>
                <c:pt idx="3">
                  <c:v>43647</c:v>
                </c:pt>
                <c:pt idx="4">
                  <c:v>43678</c:v>
                </c:pt>
                <c:pt idx="5">
                  <c:v>43709</c:v>
                </c:pt>
                <c:pt idx="6">
                  <c:v>43739</c:v>
                </c:pt>
                <c:pt idx="7">
                  <c:v>43770</c:v>
                </c:pt>
                <c:pt idx="8">
                  <c:v>43800</c:v>
                </c:pt>
                <c:pt idx="9">
                  <c:v>43831</c:v>
                </c:pt>
                <c:pt idx="10">
                  <c:v>43862</c:v>
                </c:pt>
              </c:numCache>
            </c:numRef>
          </c:cat>
          <c:val>
            <c:numRef>
              <c:f>Sheet1!$C$70:$M$70</c:f>
              <c:numCache>
                <c:formatCode>General</c:formatCode>
                <c:ptCount val="11"/>
                <c:pt idx="0">
                  <c:v>0</c:v>
                </c:pt>
                <c:pt idx="1">
                  <c:v>2</c:v>
                </c:pt>
                <c:pt idx="2">
                  <c:v>1</c:v>
                </c:pt>
                <c:pt idx="3">
                  <c:v>0</c:v>
                </c:pt>
                <c:pt idx="4">
                  <c:v>0</c:v>
                </c:pt>
                <c:pt idx="5">
                  <c:v>0</c:v>
                </c:pt>
                <c:pt idx="6">
                  <c:v>0</c:v>
                </c:pt>
                <c:pt idx="7">
                  <c:v>0</c:v>
                </c:pt>
                <c:pt idx="8">
                  <c:v>0</c:v>
                </c:pt>
                <c:pt idx="9">
                  <c:v>0</c:v>
                </c:pt>
                <c:pt idx="10">
                  <c:v>0</c:v>
                </c:pt>
              </c:numCache>
            </c:numRef>
          </c:val>
        </c:ser>
        <c:ser>
          <c:idx val="1"/>
          <c:order val="1"/>
          <c:tx>
            <c:strRef>
              <c:f>Sheet1!$B$71</c:f>
              <c:strCache>
                <c:ptCount val="1"/>
                <c:pt idx="0">
                  <c:v>POW</c:v>
                </c:pt>
              </c:strCache>
            </c:strRef>
          </c:tx>
          <c:invertIfNegative val="0"/>
          <c:cat>
            <c:numRef>
              <c:f>Sheet1!$C$1:$M$1</c:f>
              <c:numCache>
                <c:formatCode>mmm\-yy</c:formatCode>
                <c:ptCount val="11"/>
                <c:pt idx="0">
                  <c:v>43556</c:v>
                </c:pt>
                <c:pt idx="1">
                  <c:v>43586</c:v>
                </c:pt>
                <c:pt idx="2">
                  <c:v>43617</c:v>
                </c:pt>
                <c:pt idx="3">
                  <c:v>43647</c:v>
                </c:pt>
                <c:pt idx="4">
                  <c:v>43678</c:v>
                </c:pt>
                <c:pt idx="5">
                  <c:v>43709</c:v>
                </c:pt>
                <c:pt idx="6">
                  <c:v>43739</c:v>
                </c:pt>
                <c:pt idx="7">
                  <c:v>43770</c:v>
                </c:pt>
                <c:pt idx="8">
                  <c:v>43800</c:v>
                </c:pt>
                <c:pt idx="9">
                  <c:v>43831</c:v>
                </c:pt>
                <c:pt idx="10">
                  <c:v>43862</c:v>
                </c:pt>
              </c:numCache>
            </c:numRef>
          </c:cat>
          <c:val>
            <c:numRef>
              <c:f>Sheet1!$C$71:$M$71</c:f>
              <c:numCache>
                <c:formatCode>General</c:formatCode>
                <c:ptCount val="11"/>
                <c:pt idx="0">
                  <c:v>0</c:v>
                </c:pt>
                <c:pt idx="1">
                  <c:v>1</c:v>
                </c:pt>
                <c:pt idx="2">
                  <c:v>0</c:v>
                </c:pt>
                <c:pt idx="3">
                  <c:v>0</c:v>
                </c:pt>
                <c:pt idx="4">
                  <c:v>0</c:v>
                </c:pt>
                <c:pt idx="5">
                  <c:v>0</c:v>
                </c:pt>
                <c:pt idx="6">
                  <c:v>0</c:v>
                </c:pt>
                <c:pt idx="7">
                  <c:v>0</c:v>
                </c:pt>
                <c:pt idx="8">
                  <c:v>0</c:v>
                </c:pt>
                <c:pt idx="9">
                  <c:v>0</c:v>
                </c:pt>
                <c:pt idx="10">
                  <c:v>1</c:v>
                </c:pt>
              </c:numCache>
            </c:numRef>
          </c:val>
        </c:ser>
        <c:ser>
          <c:idx val="2"/>
          <c:order val="2"/>
          <c:tx>
            <c:strRef>
              <c:f>Sheet1!$B$72</c:f>
              <c:strCache>
                <c:ptCount val="1"/>
                <c:pt idx="0">
                  <c:v>RGH</c:v>
                </c:pt>
              </c:strCache>
            </c:strRef>
          </c:tx>
          <c:invertIfNegative val="0"/>
          <c:cat>
            <c:numRef>
              <c:f>Sheet1!$C$1:$M$1</c:f>
              <c:numCache>
                <c:formatCode>mmm\-yy</c:formatCode>
                <c:ptCount val="11"/>
                <c:pt idx="0">
                  <c:v>43556</c:v>
                </c:pt>
                <c:pt idx="1">
                  <c:v>43586</c:v>
                </c:pt>
                <c:pt idx="2">
                  <c:v>43617</c:v>
                </c:pt>
                <c:pt idx="3">
                  <c:v>43647</c:v>
                </c:pt>
                <c:pt idx="4">
                  <c:v>43678</c:v>
                </c:pt>
                <c:pt idx="5">
                  <c:v>43709</c:v>
                </c:pt>
                <c:pt idx="6">
                  <c:v>43739</c:v>
                </c:pt>
                <c:pt idx="7">
                  <c:v>43770</c:v>
                </c:pt>
                <c:pt idx="8">
                  <c:v>43800</c:v>
                </c:pt>
                <c:pt idx="9">
                  <c:v>43831</c:v>
                </c:pt>
                <c:pt idx="10">
                  <c:v>43862</c:v>
                </c:pt>
              </c:numCache>
            </c:numRef>
          </c:cat>
          <c:val>
            <c:numRef>
              <c:f>Sheet1!$C$72:$M$72</c:f>
              <c:numCache>
                <c:formatCode>General</c:formatCode>
                <c:ptCount val="11"/>
                <c:pt idx="0">
                  <c:v>0</c:v>
                </c:pt>
                <c:pt idx="1">
                  <c:v>0</c:v>
                </c:pt>
                <c:pt idx="2">
                  <c:v>0</c:v>
                </c:pt>
                <c:pt idx="3">
                  <c:v>0</c:v>
                </c:pt>
                <c:pt idx="4">
                  <c:v>0</c:v>
                </c:pt>
                <c:pt idx="5">
                  <c:v>0</c:v>
                </c:pt>
                <c:pt idx="6">
                  <c:v>0</c:v>
                </c:pt>
                <c:pt idx="7">
                  <c:v>0</c:v>
                </c:pt>
                <c:pt idx="8">
                  <c:v>0</c:v>
                </c:pt>
                <c:pt idx="9">
                  <c:v>0</c:v>
                </c:pt>
                <c:pt idx="10">
                  <c:v>0</c:v>
                </c:pt>
              </c:numCache>
            </c:numRef>
          </c:val>
        </c:ser>
        <c:dLbls>
          <c:showLegendKey val="0"/>
          <c:showVal val="0"/>
          <c:showCatName val="0"/>
          <c:showSerName val="0"/>
          <c:showPercent val="0"/>
          <c:showBubbleSize val="0"/>
        </c:dLbls>
        <c:gapWidth val="150"/>
        <c:axId val="452285608"/>
        <c:axId val="452286000"/>
      </c:barChart>
      <c:dateAx>
        <c:axId val="452285608"/>
        <c:scaling>
          <c:orientation val="minMax"/>
        </c:scaling>
        <c:delete val="0"/>
        <c:axPos val="b"/>
        <c:numFmt formatCode="mmm\-yy" sourceLinked="1"/>
        <c:majorTickMark val="none"/>
        <c:minorTickMark val="none"/>
        <c:tickLblPos val="nextTo"/>
        <c:crossAx val="452286000"/>
        <c:crosses val="autoZero"/>
        <c:auto val="1"/>
        <c:lblOffset val="100"/>
        <c:baseTimeUnit val="months"/>
      </c:dateAx>
      <c:valAx>
        <c:axId val="452286000"/>
        <c:scaling>
          <c:orientation val="minMax"/>
          <c:max val="5"/>
        </c:scaling>
        <c:delete val="0"/>
        <c:axPos val="l"/>
        <c:majorGridlines/>
        <c:numFmt formatCode="General" sourceLinked="1"/>
        <c:majorTickMark val="none"/>
        <c:minorTickMark val="none"/>
        <c:tickLblPos val="nextTo"/>
        <c:crossAx val="452285608"/>
        <c:crosses val="autoZero"/>
        <c:crossBetween val="between"/>
      </c:valAx>
      <c:dTable>
        <c:showHorzBorder val="1"/>
        <c:showVertBorder val="1"/>
        <c:showOutline val="1"/>
        <c:showKeys val="1"/>
      </c:dTable>
      <c:spPr>
        <a:ln>
          <a:solidFill>
            <a:schemeClr val="accent1"/>
          </a:solidFill>
        </a:ln>
      </c:spPr>
    </c:plotArea>
    <c:plotVisOnly val="1"/>
    <c:dispBlanksAs val="gap"/>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n-GB"/>
              <a:t>Bookings carried out by 10 completed</a:t>
            </a:r>
            <a:r>
              <a:rPr lang="en-GB" baseline="0"/>
              <a:t> weeks</a:t>
            </a:r>
            <a:endParaRPr lang="en-GB"/>
          </a:p>
        </c:rich>
      </c:tx>
      <c:overlay val="0"/>
    </c:title>
    <c:autoTitleDeleted val="0"/>
    <c:plotArea>
      <c:layout/>
      <c:lineChart>
        <c:grouping val="standard"/>
        <c:varyColors val="0"/>
        <c:ser>
          <c:idx val="0"/>
          <c:order val="0"/>
          <c:tx>
            <c:strRef>
              <c:f>Sheet1!$B$56</c:f>
              <c:strCache>
                <c:ptCount val="1"/>
                <c:pt idx="0">
                  <c:v>Former CT</c:v>
                </c:pt>
              </c:strCache>
            </c:strRef>
          </c:tx>
          <c:cat>
            <c:numRef>
              <c:f>Sheet1!$C$1:$M$1</c:f>
              <c:numCache>
                <c:formatCode>mmm\-yy</c:formatCode>
                <c:ptCount val="11"/>
                <c:pt idx="0">
                  <c:v>43556</c:v>
                </c:pt>
                <c:pt idx="1">
                  <c:v>43586</c:v>
                </c:pt>
                <c:pt idx="2">
                  <c:v>43617</c:v>
                </c:pt>
                <c:pt idx="3">
                  <c:v>43647</c:v>
                </c:pt>
                <c:pt idx="4">
                  <c:v>43678</c:v>
                </c:pt>
                <c:pt idx="5">
                  <c:v>43709</c:v>
                </c:pt>
                <c:pt idx="6">
                  <c:v>43739</c:v>
                </c:pt>
                <c:pt idx="7">
                  <c:v>43770</c:v>
                </c:pt>
                <c:pt idx="8">
                  <c:v>43800</c:v>
                </c:pt>
                <c:pt idx="9">
                  <c:v>43831</c:v>
                </c:pt>
                <c:pt idx="10">
                  <c:v>43862</c:v>
                </c:pt>
              </c:numCache>
            </c:numRef>
          </c:cat>
          <c:val>
            <c:numRef>
              <c:f>Sheet1!$C$56:$M$56</c:f>
              <c:numCache>
                <c:formatCode>0.0%</c:formatCode>
                <c:ptCount val="11"/>
                <c:pt idx="0">
                  <c:v>0.61599999999999999</c:v>
                </c:pt>
                <c:pt idx="1">
                  <c:v>0.68799999999999994</c:v>
                </c:pt>
                <c:pt idx="2">
                  <c:v>0.68200000000000005</c:v>
                </c:pt>
                <c:pt idx="3">
                  <c:v>0.70899999999999996</c:v>
                </c:pt>
                <c:pt idx="4">
                  <c:v>0.68100000000000005</c:v>
                </c:pt>
                <c:pt idx="5">
                  <c:v>0.71</c:v>
                </c:pt>
                <c:pt idx="6">
                  <c:v>0.78900000000000003</c:v>
                </c:pt>
                <c:pt idx="7">
                  <c:v>0.68600000000000005</c:v>
                </c:pt>
                <c:pt idx="8">
                  <c:v>0.67900000000000005</c:v>
                </c:pt>
                <c:pt idx="9">
                  <c:v>0.63700000000000001</c:v>
                </c:pt>
                <c:pt idx="10">
                  <c:v>0.61899999999999999</c:v>
                </c:pt>
              </c:numCache>
            </c:numRef>
          </c:val>
          <c:smooth val="0"/>
        </c:ser>
        <c:ser>
          <c:idx val="1"/>
          <c:order val="1"/>
          <c:tx>
            <c:strRef>
              <c:f>Sheet1!$B$57</c:f>
              <c:strCache>
                <c:ptCount val="1"/>
                <c:pt idx="0">
                  <c:v>POW</c:v>
                </c:pt>
              </c:strCache>
            </c:strRef>
          </c:tx>
          <c:cat>
            <c:numRef>
              <c:f>Sheet1!$C$1:$M$1</c:f>
              <c:numCache>
                <c:formatCode>mmm\-yy</c:formatCode>
                <c:ptCount val="11"/>
                <c:pt idx="0">
                  <c:v>43556</c:v>
                </c:pt>
                <c:pt idx="1">
                  <c:v>43586</c:v>
                </c:pt>
                <c:pt idx="2">
                  <c:v>43617</c:v>
                </c:pt>
                <c:pt idx="3">
                  <c:v>43647</c:v>
                </c:pt>
                <c:pt idx="4">
                  <c:v>43678</c:v>
                </c:pt>
                <c:pt idx="5">
                  <c:v>43709</c:v>
                </c:pt>
                <c:pt idx="6">
                  <c:v>43739</c:v>
                </c:pt>
                <c:pt idx="7">
                  <c:v>43770</c:v>
                </c:pt>
                <c:pt idx="8">
                  <c:v>43800</c:v>
                </c:pt>
                <c:pt idx="9">
                  <c:v>43831</c:v>
                </c:pt>
                <c:pt idx="10">
                  <c:v>43862</c:v>
                </c:pt>
              </c:numCache>
            </c:numRef>
          </c:cat>
          <c:val>
            <c:numRef>
              <c:f>Sheet1!$C$57:$M$57</c:f>
              <c:numCache>
                <c:formatCode>0.0%</c:formatCode>
                <c:ptCount val="11"/>
                <c:pt idx="0">
                  <c:v>0.84827586206896555</c:v>
                </c:pt>
                <c:pt idx="1">
                  <c:v>0.72199999999999998</c:v>
                </c:pt>
                <c:pt idx="2">
                  <c:v>0.73699999999999999</c:v>
                </c:pt>
                <c:pt idx="3">
                  <c:v>0.75800000000000001</c:v>
                </c:pt>
                <c:pt idx="4">
                  <c:v>0.78</c:v>
                </c:pt>
                <c:pt idx="5">
                  <c:v>0.64900000000000002</c:v>
                </c:pt>
                <c:pt idx="6">
                  <c:v>0.76500000000000001</c:v>
                </c:pt>
                <c:pt idx="7">
                  <c:v>0.82399999999999995</c:v>
                </c:pt>
                <c:pt idx="8">
                  <c:v>0.82199999999999995</c:v>
                </c:pt>
                <c:pt idx="9">
                  <c:v>0.70699999999999996</c:v>
                </c:pt>
                <c:pt idx="10">
                  <c:v>0.80500000000000005</c:v>
                </c:pt>
              </c:numCache>
            </c:numRef>
          </c:val>
          <c:smooth val="0"/>
        </c:ser>
        <c:dLbls>
          <c:showLegendKey val="0"/>
          <c:showVal val="0"/>
          <c:showCatName val="0"/>
          <c:showSerName val="0"/>
          <c:showPercent val="0"/>
          <c:showBubbleSize val="0"/>
        </c:dLbls>
        <c:marker val="1"/>
        <c:smooth val="0"/>
        <c:axId val="298092368"/>
        <c:axId val="450602352"/>
      </c:lineChart>
      <c:dateAx>
        <c:axId val="298092368"/>
        <c:scaling>
          <c:orientation val="minMax"/>
        </c:scaling>
        <c:delete val="0"/>
        <c:axPos val="b"/>
        <c:numFmt formatCode="mmm\-yy" sourceLinked="1"/>
        <c:majorTickMark val="none"/>
        <c:minorTickMark val="none"/>
        <c:tickLblPos val="nextTo"/>
        <c:crossAx val="450602352"/>
        <c:crosses val="autoZero"/>
        <c:auto val="1"/>
        <c:lblOffset val="100"/>
        <c:baseTimeUnit val="months"/>
      </c:dateAx>
      <c:valAx>
        <c:axId val="450602352"/>
        <c:scaling>
          <c:orientation val="minMax"/>
          <c:max val="1"/>
        </c:scaling>
        <c:delete val="0"/>
        <c:axPos val="l"/>
        <c:majorGridlines/>
        <c:numFmt formatCode="0.0%" sourceLinked="1"/>
        <c:majorTickMark val="none"/>
        <c:minorTickMark val="none"/>
        <c:tickLblPos val="nextTo"/>
        <c:crossAx val="298092368"/>
        <c:crosses val="autoZero"/>
        <c:crossBetween val="between"/>
      </c:valAx>
      <c:dTable>
        <c:showHorzBorder val="1"/>
        <c:showVertBorder val="1"/>
        <c:showOutline val="1"/>
        <c:showKeys val="1"/>
      </c:dTable>
    </c:plotArea>
    <c:plotVisOnly val="1"/>
    <c:dispBlanksAs val="gap"/>
    <c:showDLblsOverMax val="0"/>
  </c:chart>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n-GB"/>
              <a:t>Inductions of Labour</a:t>
            </a:r>
          </a:p>
        </c:rich>
      </c:tx>
      <c:overlay val="0"/>
    </c:title>
    <c:autoTitleDeleted val="0"/>
    <c:plotArea>
      <c:layout/>
      <c:lineChart>
        <c:grouping val="standard"/>
        <c:varyColors val="0"/>
        <c:ser>
          <c:idx val="0"/>
          <c:order val="0"/>
          <c:tx>
            <c:strRef>
              <c:f>Sheet1!$B$2</c:f>
              <c:strCache>
                <c:ptCount val="1"/>
                <c:pt idx="0">
                  <c:v>PCH</c:v>
                </c:pt>
              </c:strCache>
            </c:strRef>
          </c:tx>
          <c:cat>
            <c:numRef>
              <c:f>Sheet1!$C$1:$M$1</c:f>
              <c:numCache>
                <c:formatCode>mmm\-yy</c:formatCode>
                <c:ptCount val="11"/>
                <c:pt idx="0">
                  <c:v>43556</c:v>
                </c:pt>
                <c:pt idx="1">
                  <c:v>43586</c:v>
                </c:pt>
                <c:pt idx="2">
                  <c:v>43617</c:v>
                </c:pt>
                <c:pt idx="3">
                  <c:v>43647</c:v>
                </c:pt>
                <c:pt idx="4">
                  <c:v>43678</c:v>
                </c:pt>
                <c:pt idx="5">
                  <c:v>43709</c:v>
                </c:pt>
                <c:pt idx="6">
                  <c:v>43739</c:v>
                </c:pt>
                <c:pt idx="7">
                  <c:v>43770</c:v>
                </c:pt>
                <c:pt idx="8">
                  <c:v>43800</c:v>
                </c:pt>
                <c:pt idx="9">
                  <c:v>43831</c:v>
                </c:pt>
                <c:pt idx="10">
                  <c:v>43862</c:v>
                </c:pt>
              </c:numCache>
            </c:numRef>
          </c:cat>
          <c:val>
            <c:numRef>
              <c:f>Sheet1!$C$2:$M$2</c:f>
              <c:numCache>
                <c:formatCode>0.0%</c:formatCode>
                <c:ptCount val="11"/>
                <c:pt idx="0">
                  <c:v>0.372</c:v>
                </c:pt>
                <c:pt idx="1">
                  <c:v>0.40799999999999997</c:v>
                </c:pt>
                <c:pt idx="2">
                  <c:v>0.433</c:v>
                </c:pt>
                <c:pt idx="3">
                  <c:v>0.38900000000000001</c:v>
                </c:pt>
                <c:pt idx="4">
                  <c:v>0.433</c:v>
                </c:pt>
                <c:pt idx="5">
                  <c:v>0.40300000000000002</c:v>
                </c:pt>
                <c:pt idx="6">
                  <c:v>0.374</c:v>
                </c:pt>
                <c:pt idx="7">
                  <c:v>0.40200000000000002</c:v>
                </c:pt>
                <c:pt idx="8">
                  <c:v>0.39600000000000002</c:v>
                </c:pt>
                <c:pt idx="9">
                  <c:v>0.44400000000000001</c:v>
                </c:pt>
                <c:pt idx="10">
                  <c:v>0.42299999999999999</c:v>
                </c:pt>
              </c:numCache>
            </c:numRef>
          </c:val>
          <c:smooth val="0"/>
        </c:ser>
        <c:ser>
          <c:idx val="1"/>
          <c:order val="1"/>
          <c:tx>
            <c:strRef>
              <c:f>Sheet1!$B$3</c:f>
              <c:strCache>
                <c:ptCount val="1"/>
                <c:pt idx="0">
                  <c:v>POW</c:v>
                </c:pt>
              </c:strCache>
            </c:strRef>
          </c:tx>
          <c:cat>
            <c:numRef>
              <c:f>Sheet1!$C$1:$M$1</c:f>
              <c:numCache>
                <c:formatCode>mmm\-yy</c:formatCode>
                <c:ptCount val="11"/>
                <c:pt idx="0">
                  <c:v>43556</c:v>
                </c:pt>
                <c:pt idx="1">
                  <c:v>43586</c:v>
                </c:pt>
                <c:pt idx="2">
                  <c:v>43617</c:v>
                </c:pt>
                <c:pt idx="3">
                  <c:v>43647</c:v>
                </c:pt>
                <c:pt idx="4">
                  <c:v>43678</c:v>
                </c:pt>
                <c:pt idx="5">
                  <c:v>43709</c:v>
                </c:pt>
                <c:pt idx="6">
                  <c:v>43739</c:v>
                </c:pt>
                <c:pt idx="7">
                  <c:v>43770</c:v>
                </c:pt>
                <c:pt idx="8">
                  <c:v>43800</c:v>
                </c:pt>
                <c:pt idx="9">
                  <c:v>43831</c:v>
                </c:pt>
                <c:pt idx="10">
                  <c:v>43862</c:v>
                </c:pt>
              </c:numCache>
            </c:numRef>
          </c:cat>
          <c:val>
            <c:numRef>
              <c:f>Sheet1!$C$3:$M$3</c:f>
              <c:numCache>
                <c:formatCode>0.0%</c:formatCode>
                <c:ptCount val="11"/>
                <c:pt idx="0">
                  <c:v>0.39200000000000002</c:v>
                </c:pt>
                <c:pt idx="1">
                  <c:v>0.40400000000000003</c:v>
                </c:pt>
                <c:pt idx="2">
                  <c:v>0.38800000000000001</c:v>
                </c:pt>
                <c:pt idx="3">
                  <c:v>0.376</c:v>
                </c:pt>
                <c:pt idx="4">
                  <c:v>0.36699999999999999</c:v>
                </c:pt>
                <c:pt idx="5">
                  <c:v>0.318</c:v>
                </c:pt>
                <c:pt idx="6">
                  <c:v>0.35199999999999998</c:v>
                </c:pt>
                <c:pt idx="7">
                  <c:v>0.36299999999999999</c:v>
                </c:pt>
                <c:pt idx="8">
                  <c:v>0.36899999999999999</c:v>
                </c:pt>
                <c:pt idx="9">
                  <c:v>0.38500000000000001</c:v>
                </c:pt>
                <c:pt idx="10">
                  <c:v>0.38</c:v>
                </c:pt>
              </c:numCache>
            </c:numRef>
          </c:val>
          <c:smooth val="0"/>
        </c:ser>
        <c:ser>
          <c:idx val="2"/>
          <c:order val="2"/>
          <c:tx>
            <c:strRef>
              <c:f>Sheet1!$B$4</c:f>
              <c:strCache>
                <c:ptCount val="1"/>
                <c:pt idx="0">
                  <c:v>Goal</c:v>
                </c:pt>
              </c:strCache>
            </c:strRef>
          </c:tx>
          <c:marker>
            <c:symbol val="none"/>
          </c:marker>
          <c:cat>
            <c:numRef>
              <c:f>Sheet1!$C$1:$M$1</c:f>
              <c:numCache>
                <c:formatCode>mmm\-yy</c:formatCode>
                <c:ptCount val="11"/>
                <c:pt idx="0">
                  <c:v>43556</c:v>
                </c:pt>
                <c:pt idx="1">
                  <c:v>43586</c:v>
                </c:pt>
                <c:pt idx="2">
                  <c:v>43617</c:v>
                </c:pt>
                <c:pt idx="3">
                  <c:v>43647</c:v>
                </c:pt>
                <c:pt idx="4">
                  <c:v>43678</c:v>
                </c:pt>
                <c:pt idx="5">
                  <c:v>43709</c:v>
                </c:pt>
                <c:pt idx="6">
                  <c:v>43739</c:v>
                </c:pt>
                <c:pt idx="7">
                  <c:v>43770</c:v>
                </c:pt>
                <c:pt idx="8">
                  <c:v>43800</c:v>
                </c:pt>
                <c:pt idx="9">
                  <c:v>43831</c:v>
                </c:pt>
                <c:pt idx="10">
                  <c:v>43862</c:v>
                </c:pt>
              </c:numCache>
            </c:numRef>
          </c:cat>
          <c:val>
            <c:numRef>
              <c:f>Sheet1!$C$4:$M$4</c:f>
              <c:numCache>
                <c:formatCode>0.0%</c:formatCode>
                <c:ptCount val="11"/>
                <c:pt idx="0">
                  <c:v>0.2</c:v>
                </c:pt>
                <c:pt idx="1">
                  <c:v>0.2</c:v>
                </c:pt>
                <c:pt idx="2">
                  <c:v>0.2</c:v>
                </c:pt>
                <c:pt idx="3">
                  <c:v>0.2</c:v>
                </c:pt>
                <c:pt idx="4">
                  <c:v>0.2</c:v>
                </c:pt>
                <c:pt idx="5">
                  <c:v>0.2</c:v>
                </c:pt>
                <c:pt idx="6">
                  <c:v>0.2</c:v>
                </c:pt>
                <c:pt idx="7">
                  <c:v>0.2</c:v>
                </c:pt>
                <c:pt idx="8">
                  <c:v>0.2</c:v>
                </c:pt>
                <c:pt idx="9">
                  <c:v>0.2</c:v>
                </c:pt>
                <c:pt idx="10">
                  <c:v>0.2</c:v>
                </c:pt>
              </c:numCache>
            </c:numRef>
          </c:val>
          <c:smooth val="0"/>
        </c:ser>
        <c:dLbls>
          <c:showLegendKey val="0"/>
          <c:showVal val="0"/>
          <c:showCatName val="0"/>
          <c:showSerName val="0"/>
          <c:showPercent val="0"/>
          <c:showBubbleSize val="0"/>
        </c:dLbls>
        <c:marker val="1"/>
        <c:smooth val="0"/>
        <c:axId val="450667248"/>
        <c:axId val="450667632"/>
      </c:lineChart>
      <c:dateAx>
        <c:axId val="450667248"/>
        <c:scaling>
          <c:orientation val="minMax"/>
        </c:scaling>
        <c:delete val="0"/>
        <c:axPos val="b"/>
        <c:numFmt formatCode="mmm\-yy" sourceLinked="1"/>
        <c:majorTickMark val="none"/>
        <c:minorTickMark val="none"/>
        <c:tickLblPos val="nextTo"/>
        <c:crossAx val="450667632"/>
        <c:crosses val="autoZero"/>
        <c:auto val="1"/>
        <c:lblOffset val="100"/>
        <c:baseTimeUnit val="months"/>
      </c:dateAx>
      <c:valAx>
        <c:axId val="450667632"/>
        <c:scaling>
          <c:orientation val="minMax"/>
          <c:max val="1"/>
        </c:scaling>
        <c:delete val="0"/>
        <c:axPos val="l"/>
        <c:majorGridlines/>
        <c:numFmt formatCode="0.0%" sourceLinked="1"/>
        <c:majorTickMark val="none"/>
        <c:minorTickMark val="none"/>
        <c:tickLblPos val="nextTo"/>
        <c:crossAx val="450667248"/>
        <c:crosses val="autoZero"/>
        <c:crossBetween val="between"/>
      </c:valAx>
      <c:dTable>
        <c:showHorzBorder val="1"/>
        <c:showVertBorder val="1"/>
        <c:showOutline val="1"/>
        <c:showKeys val="1"/>
      </c:dTable>
    </c:plotArea>
    <c:plotVisOnly val="1"/>
    <c:dispBlanksAs val="gap"/>
    <c:showDLblsOverMax val="0"/>
  </c:chart>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n-GB"/>
              <a:t>Normal Births</a:t>
            </a:r>
          </a:p>
        </c:rich>
      </c:tx>
      <c:overlay val="0"/>
    </c:title>
    <c:autoTitleDeleted val="0"/>
    <c:plotArea>
      <c:layout/>
      <c:lineChart>
        <c:grouping val="standard"/>
        <c:varyColors val="0"/>
        <c:ser>
          <c:idx val="0"/>
          <c:order val="0"/>
          <c:tx>
            <c:strRef>
              <c:f>Sheet1!$B$5</c:f>
              <c:strCache>
                <c:ptCount val="1"/>
                <c:pt idx="0">
                  <c:v>PCH</c:v>
                </c:pt>
              </c:strCache>
            </c:strRef>
          </c:tx>
          <c:cat>
            <c:numRef>
              <c:f>Sheet1!$C$1:$M$1</c:f>
              <c:numCache>
                <c:formatCode>mmm\-yy</c:formatCode>
                <c:ptCount val="11"/>
                <c:pt idx="0">
                  <c:v>43556</c:v>
                </c:pt>
                <c:pt idx="1">
                  <c:v>43586</c:v>
                </c:pt>
                <c:pt idx="2">
                  <c:v>43617</c:v>
                </c:pt>
                <c:pt idx="3">
                  <c:v>43647</c:v>
                </c:pt>
                <c:pt idx="4">
                  <c:v>43678</c:v>
                </c:pt>
                <c:pt idx="5">
                  <c:v>43709</c:v>
                </c:pt>
                <c:pt idx="6">
                  <c:v>43739</c:v>
                </c:pt>
                <c:pt idx="7">
                  <c:v>43770</c:v>
                </c:pt>
                <c:pt idx="8">
                  <c:v>43800</c:v>
                </c:pt>
                <c:pt idx="9">
                  <c:v>43831</c:v>
                </c:pt>
                <c:pt idx="10">
                  <c:v>43862</c:v>
                </c:pt>
              </c:numCache>
            </c:numRef>
          </c:cat>
          <c:val>
            <c:numRef>
              <c:f>Sheet1!$C$5:$M$5</c:f>
              <c:numCache>
                <c:formatCode>0.0%</c:formatCode>
                <c:ptCount val="11"/>
                <c:pt idx="0">
                  <c:v>0.55900000000000005</c:v>
                </c:pt>
                <c:pt idx="1">
                  <c:v>0.58399999999999996</c:v>
                </c:pt>
                <c:pt idx="2">
                  <c:v>0.56599999999999995</c:v>
                </c:pt>
                <c:pt idx="3">
                  <c:v>0.52500000000000002</c:v>
                </c:pt>
                <c:pt idx="4">
                  <c:v>0.56799999999999995</c:v>
                </c:pt>
                <c:pt idx="5">
                  <c:v>0.52300000000000002</c:v>
                </c:pt>
                <c:pt idx="6">
                  <c:v>0.57599999999999996</c:v>
                </c:pt>
                <c:pt idx="7">
                  <c:v>0.60599999999999998</c:v>
                </c:pt>
                <c:pt idx="8">
                  <c:v>0.59799999999999998</c:v>
                </c:pt>
                <c:pt idx="9">
                  <c:v>0.624</c:v>
                </c:pt>
                <c:pt idx="10">
                  <c:v>0.59099999999999997</c:v>
                </c:pt>
              </c:numCache>
            </c:numRef>
          </c:val>
          <c:smooth val="0"/>
        </c:ser>
        <c:ser>
          <c:idx val="1"/>
          <c:order val="1"/>
          <c:tx>
            <c:strRef>
              <c:f>Sheet1!$B$6</c:f>
              <c:strCache>
                <c:ptCount val="1"/>
                <c:pt idx="0">
                  <c:v>POW</c:v>
                </c:pt>
              </c:strCache>
            </c:strRef>
          </c:tx>
          <c:cat>
            <c:numRef>
              <c:f>Sheet1!$C$1:$M$1</c:f>
              <c:numCache>
                <c:formatCode>mmm\-yy</c:formatCode>
                <c:ptCount val="11"/>
                <c:pt idx="0">
                  <c:v>43556</c:v>
                </c:pt>
                <c:pt idx="1">
                  <c:v>43586</c:v>
                </c:pt>
                <c:pt idx="2">
                  <c:v>43617</c:v>
                </c:pt>
                <c:pt idx="3">
                  <c:v>43647</c:v>
                </c:pt>
                <c:pt idx="4">
                  <c:v>43678</c:v>
                </c:pt>
                <c:pt idx="5">
                  <c:v>43709</c:v>
                </c:pt>
                <c:pt idx="6">
                  <c:v>43739</c:v>
                </c:pt>
                <c:pt idx="7">
                  <c:v>43770</c:v>
                </c:pt>
                <c:pt idx="8">
                  <c:v>43800</c:v>
                </c:pt>
                <c:pt idx="9">
                  <c:v>43831</c:v>
                </c:pt>
                <c:pt idx="10">
                  <c:v>43862</c:v>
                </c:pt>
              </c:numCache>
            </c:numRef>
          </c:cat>
          <c:val>
            <c:numRef>
              <c:f>Sheet1!$C$6:$M$6</c:f>
              <c:numCache>
                <c:formatCode>0.0%</c:formatCode>
                <c:ptCount val="11"/>
                <c:pt idx="0">
                  <c:v>0.67400000000000004</c:v>
                </c:pt>
                <c:pt idx="1">
                  <c:v>0.56200000000000006</c:v>
                </c:pt>
                <c:pt idx="2">
                  <c:v>0.622</c:v>
                </c:pt>
                <c:pt idx="3">
                  <c:v>0.58899999999999997</c:v>
                </c:pt>
                <c:pt idx="4">
                  <c:v>0.66</c:v>
                </c:pt>
                <c:pt idx="5">
                  <c:v>0.58599999999999997</c:v>
                </c:pt>
                <c:pt idx="6">
                  <c:v>0.57999999999999996</c:v>
                </c:pt>
                <c:pt idx="7">
                  <c:v>0.63700000000000001</c:v>
                </c:pt>
                <c:pt idx="8">
                  <c:v>0.61099999999999999</c:v>
                </c:pt>
                <c:pt idx="9">
                  <c:v>0.65500000000000003</c:v>
                </c:pt>
                <c:pt idx="10">
                  <c:v>0.64300000000000002</c:v>
                </c:pt>
              </c:numCache>
            </c:numRef>
          </c:val>
          <c:smooth val="0"/>
        </c:ser>
        <c:ser>
          <c:idx val="2"/>
          <c:order val="2"/>
          <c:tx>
            <c:strRef>
              <c:f>Sheet1!$B$7</c:f>
              <c:strCache>
                <c:ptCount val="1"/>
                <c:pt idx="0">
                  <c:v>RGH</c:v>
                </c:pt>
              </c:strCache>
            </c:strRef>
          </c:tx>
          <c:spPr>
            <a:ln>
              <a:solidFill>
                <a:schemeClr val="accent4"/>
              </a:solidFill>
            </a:ln>
          </c:spPr>
          <c:marker>
            <c:spPr>
              <a:solidFill>
                <a:schemeClr val="accent4"/>
              </a:solidFill>
              <a:ln>
                <a:solidFill>
                  <a:schemeClr val="accent4"/>
                </a:solidFill>
              </a:ln>
            </c:spPr>
          </c:marker>
          <c:cat>
            <c:numRef>
              <c:f>Sheet1!$C$1:$M$1</c:f>
              <c:numCache>
                <c:formatCode>mmm\-yy</c:formatCode>
                <c:ptCount val="11"/>
                <c:pt idx="0">
                  <c:v>43556</c:v>
                </c:pt>
                <c:pt idx="1">
                  <c:v>43586</c:v>
                </c:pt>
                <c:pt idx="2">
                  <c:v>43617</c:v>
                </c:pt>
                <c:pt idx="3">
                  <c:v>43647</c:v>
                </c:pt>
                <c:pt idx="4">
                  <c:v>43678</c:v>
                </c:pt>
                <c:pt idx="5">
                  <c:v>43709</c:v>
                </c:pt>
                <c:pt idx="6">
                  <c:v>43739</c:v>
                </c:pt>
                <c:pt idx="7">
                  <c:v>43770</c:v>
                </c:pt>
                <c:pt idx="8">
                  <c:v>43800</c:v>
                </c:pt>
                <c:pt idx="9">
                  <c:v>43831</c:v>
                </c:pt>
                <c:pt idx="10">
                  <c:v>43862</c:v>
                </c:pt>
              </c:numCache>
            </c:numRef>
          </c:cat>
          <c:val>
            <c:numRef>
              <c:f>Sheet1!$C$7:$M$7</c:f>
              <c:numCache>
                <c:formatCode>0.0%</c:formatCode>
                <c:ptCount val="11"/>
                <c:pt idx="0">
                  <c:v>1</c:v>
                </c:pt>
                <c:pt idx="1">
                  <c:v>1</c:v>
                </c:pt>
                <c:pt idx="2">
                  <c:v>1</c:v>
                </c:pt>
                <c:pt idx="3">
                  <c:v>1</c:v>
                </c:pt>
                <c:pt idx="4">
                  <c:v>1</c:v>
                </c:pt>
                <c:pt idx="5">
                  <c:v>1</c:v>
                </c:pt>
                <c:pt idx="6">
                  <c:v>1</c:v>
                </c:pt>
                <c:pt idx="7">
                  <c:v>0.95499999999999996</c:v>
                </c:pt>
                <c:pt idx="8">
                  <c:v>1</c:v>
                </c:pt>
                <c:pt idx="9">
                  <c:v>1</c:v>
                </c:pt>
                <c:pt idx="10">
                  <c:v>1</c:v>
                </c:pt>
              </c:numCache>
            </c:numRef>
          </c:val>
          <c:smooth val="0"/>
        </c:ser>
        <c:ser>
          <c:idx val="3"/>
          <c:order val="3"/>
          <c:tx>
            <c:strRef>
              <c:f>Sheet1!$B$8</c:f>
              <c:strCache>
                <c:ptCount val="1"/>
                <c:pt idx="0">
                  <c:v>Goal</c:v>
                </c:pt>
              </c:strCache>
            </c:strRef>
          </c:tx>
          <c:spPr>
            <a:ln>
              <a:solidFill>
                <a:schemeClr val="accent3"/>
              </a:solidFill>
            </a:ln>
          </c:spPr>
          <c:marker>
            <c:symbol val="none"/>
          </c:marker>
          <c:cat>
            <c:numRef>
              <c:f>Sheet1!$C$1:$M$1</c:f>
              <c:numCache>
                <c:formatCode>mmm\-yy</c:formatCode>
                <c:ptCount val="11"/>
                <c:pt idx="0">
                  <c:v>43556</c:v>
                </c:pt>
                <c:pt idx="1">
                  <c:v>43586</c:v>
                </c:pt>
                <c:pt idx="2">
                  <c:v>43617</c:v>
                </c:pt>
                <c:pt idx="3">
                  <c:v>43647</c:v>
                </c:pt>
                <c:pt idx="4">
                  <c:v>43678</c:v>
                </c:pt>
                <c:pt idx="5">
                  <c:v>43709</c:v>
                </c:pt>
                <c:pt idx="6">
                  <c:v>43739</c:v>
                </c:pt>
                <c:pt idx="7">
                  <c:v>43770</c:v>
                </c:pt>
                <c:pt idx="8">
                  <c:v>43800</c:v>
                </c:pt>
                <c:pt idx="9">
                  <c:v>43831</c:v>
                </c:pt>
                <c:pt idx="10">
                  <c:v>43862</c:v>
                </c:pt>
              </c:numCache>
            </c:numRef>
          </c:cat>
          <c:val>
            <c:numRef>
              <c:f>Sheet1!$C$8:$M$8</c:f>
              <c:numCache>
                <c:formatCode>0.0%</c:formatCode>
                <c:ptCount val="11"/>
                <c:pt idx="0">
                  <c:v>0.6</c:v>
                </c:pt>
                <c:pt idx="1">
                  <c:v>0.6</c:v>
                </c:pt>
                <c:pt idx="2">
                  <c:v>0.6</c:v>
                </c:pt>
                <c:pt idx="3">
                  <c:v>0.6</c:v>
                </c:pt>
                <c:pt idx="4">
                  <c:v>0.6</c:v>
                </c:pt>
                <c:pt idx="5">
                  <c:v>0.6</c:v>
                </c:pt>
                <c:pt idx="6">
                  <c:v>0.6</c:v>
                </c:pt>
                <c:pt idx="7">
                  <c:v>0.6</c:v>
                </c:pt>
                <c:pt idx="8">
                  <c:v>0.6</c:v>
                </c:pt>
                <c:pt idx="9">
                  <c:v>0.6</c:v>
                </c:pt>
                <c:pt idx="10">
                  <c:v>0.6</c:v>
                </c:pt>
              </c:numCache>
            </c:numRef>
          </c:val>
          <c:smooth val="0"/>
        </c:ser>
        <c:dLbls>
          <c:showLegendKey val="0"/>
          <c:showVal val="0"/>
          <c:showCatName val="0"/>
          <c:showSerName val="0"/>
          <c:showPercent val="0"/>
          <c:showBubbleSize val="0"/>
        </c:dLbls>
        <c:marker val="1"/>
        <c:smooth val="0"/>
        <c:axId val="295941432"/>
        <c:axId val="295941040"/>
      </c:lineChart>
      <c:dateAx>
        <c:axId val="295941432"/>
        <c:scaling>
          <c:orientation val="minMax"/>
        </c:scaling>
        <c:delete val="0"/>
        <c:axPos val="b"/>
        <c:numFmt formatCode="mmm\-yy" sourceLinked="1"/>
        <c:majorTickMark val="none"/>
        <c:minorTickMark val="none"/>
        <c:tickLblPos val="nextTo"/>
        <c:crossAx val="295941040"/>
        <c:crosses val="autoZero"/>
        <c:auto val="1"/>
        <c:lblOffset val="100"/>
        <c:baseTimeUnit val="months"/>
      </c:dateAx>
      <c:valAx>
        <c:axId val="295941040"/>
        <c:scaling>
          <c:orientation val="minMax"/>
          <c:max val="1"/>
        </c:scaling>
        <c:delete val="0"/>
        <c:axPos val="l"/>
        <c:majorGridlines/>
        <c:numFmt formatCode="0.0%" sourceLinked="1"/>
        <c:majorTickMark val="none"/>
        <c:minorTickMark val="none"/>
        <c:tickLblPos val="nextTo"/>
        <c:crossAx val="295941432"/>
        <c:crosses val="autoZero"/>
        <c:crossBetween val="between"/>
      </c:valAx>
      <c:dTable>
        <c:showHorzBorder val="1"/>
        <c:showVertBorder val="1"/>
        <c:showOutline val="1"/>
        <c:showKeys val="1"/>
      </c:dTable>
      <c:spPr>
        <a:ln>
          <a:solidFill>
            <a:schemeClr val="accent1"/>
          </a:solidFill>
        </a:ln>
      </c:spPr>
    </c:plotArea>
    <c:plotVisOnly val="1"/>
    <c:dispBlanksAs val="gap"/>
    <c:showDLblsOverMax val="0"/>
  </c:chart>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n-GB"/>
              <a:t>Low</a:t>
            </a:r>
            <a:r>
              <a:rPr lang="en-GB" baseline="0"/>
              <a:t> Risk Women Commencing NLP</a:t>
            </a:r>
            <a:endParaRPr lang="en-GB"/>
          </a:p>
        </c:rich>
      </c:tx>
      <c:overlay val="0"/>
    </c:title>
    <c:autoTitleDeleted val="0"/>
    <c:plotArea>
      <c:layout/>
      <c:lineChart>
        <c:grouping val="standard"/>
        <c:varyColors val="0"/>
        <c:ser>
          <c:idx val="0"/>
          <c:order val="0"/>
          <c:tx>
            <c:strRef>
              <c:f>Sheet1!$B$9</c:f>
              <c:strCache>
                <c:ptCount val="1"/>
                <c:pt idx="0">
                  <c:v>PCH</c:v>
                </c:pt>
              </c:strCache>
            </c:strRef>
          </c:tx>
          <c:cat>
            <c:numRef>
              <c:f>Sheet1!$C$1:$M$1</c:f>
              <c:numCache>
                <c:formatCode>mmm\-yy</c:formatCode>
                <c:ptCount val="11"/>
                <c:pt idx="0">
                  <c:v>43556</c:v>
                </c:pt>
                <c:pt idx="1">
                  <c:v>43586</c:v>
                </c:pt>
                <c:pt idx="2">
                  <c:v>43617</c:v>
                </c:pt>
                <c:pt idx="3">
                  <c:v>43647</c:v>
                </c:pt>
                <c:pt idx="4">
                  <c:v>43678</c:v>
                </c:pt>
                <c:pt idx="5">
                  <c:v>43709</c:v>
                </c:pt>
                <c:pt idx="6">
                  <c:v>43739</c:v>
                </c:pt>
                <c:pt idx="7">
                  <c:v>43770</c:v>
                </c:pt>
                <c:pt idx="8">
                  <c:v>43800</c:v>
                </c:pt>
                <c:pt idx="9">
                  <c:v>43831</c:v>
                </c:pt>
                <c:pt idx="10">
                  <c:v>43862</c:v>
                </c:pt>
              </c:numCache>
            </c:numRef>
          </c:cat>
          <c:val>
            <c:numRef>
              <c:f>Sheet1!$C$9:$M$9</c:f>
              <c:numCache>
                <c:formatCode>0.0%</c:formatCode>
                <c:ptCount val="11"/>
                <c:pt idx="0">
                  <c:v>0.14499999999999999</c:v>
                </c:pt>
                <c:pt idx="1">
                  <c:v>0.192</c:v>
                </c:pt>
                <c:pt idx="2">
                  <c:v>0.14599999999999999</c:v>
                </c:pt>
                <c:pt idx="3">
                  <c:v>0.19700000000000001</c:v>
                </c:pt>
                <c:pt idx="4">
                  <c:v>0.151</c:v>
                </c:pt>
                <c:pt idx="5">
                  <c:v>0.128</c:v>
                </c:pt>
                <c:pt idx="6">
                  <c:v>0.21299999999999999</c:v>
                </c:pt>
                <c:pt idx="7">
                  <c:v>0.17399999999999999</c:v>
                </c:pt>
                <c:pt idx="8">
                  <c:v>0.19800000000000001</c:v>
                </c:pt>
                <c:pt idx="9">
                  <c:v>0.157</c:v>
                </c:pt>
                <c:pt idx="10">
                  <c:v>0.158</c:v>
                </c:pt>
              </c:numCache>
            </c:numRef>
          </c:val>
          <c:smooth val="0"/>
        </c:ser>
        <c:ser>
          <c:idx val="1"/>
          <c:order val="1"/>
          <c:tx>
            <c:strRef>
              <c:f>Sheet1!$B$10</c:f>
              <c:strCache>
                <c:ptCount val="1"/>
                <c:pt idx="0">
                  <c:v>POW</c:v>
                </c:pt>
              </c:strCache>
            </c:strRef>
          </c:tx>
          <c:cat>
            <c:numRef>
              <c:f>Sheet1!$C$1:$M$1</c:f>
              <c:numCache>
                <c:formatCode>mmm\-yy</c:formatCode>
                <c:ptCount val="11"/>
                <c:pt idx="0">
                  <c:v>43556</c:v>
                </c:pt>
                <c:pt idx="1">
                  <c:v>43586</c:v>
                </c:pt>
                <c:pt idx="2">
                  <c:v>43617</c:v>
                </c:pt>
                <c:pt idx="3">
                  <c:v>43647</c:v>
                </c:pt>
                <c:pt idx="4">
                  <c:v>43678</c:v>
                </c:pt>
                <c:pt idx="5">
                  <c:v>43709</c:v>
                </c:pt>
                <c:pt idx="6">
                  <c:v>43739</c:v>
                </c:pt>
                <c:pt idx="7">
                  <c:v>43770</c:v>
                </c:pt>
                <c:pt idx="8">
                  <c:v>43800</c:v>
                </c:pt>
                <c:pt idx="9">
                  <c:v>43831</c:v>
                </c:pt>
                <c:pt idx="10">
                  <c:v>43862</c:v>
                </c:pt>
              </c:numCache>
            </c:numRef>
          </c:cat>
          <c:val>
            <c:numRef>
              <c:f>Sheet1!$C$10:$M$10</c:f>
              <c:numCache>
                <c:formatCode>0.0%</c:formatCode>
                <c:ptCount val="11"/>
                <c:pt idx="0">
                  <c:v>0.27700000000000002</c:v>
                </c:pt>
                <c:pt idx="1">
                  <c:v>0.151</c:v>
                </c:pt>
                <c:pt idx="2">
                  <c:v>0.224</c:v>
                </c:pt>
                <c:pt idx="3">
                  <c:v>0.20200000000000001</c:v>
                </c:pt>
                <c:pt idx="4">
                  <c:v>0.23300000000000001</c:v>
                </c:pt>
                <c:pt idx="5">
                  <c:v>0.218</c:v>
                </c:pt>
                <c:pt idx="6">
                  <c:v>0.19</c:v>
                </c:pt>
                <c:pt idx="7">
                  <c:v>0.19600000000000001</c:v>
                </c:pt>
                <c:pt idx="8">
                  <c:v>0.159</c:v>
                </c:pt>
                <c:pt idx="9">
                  <c:v>0.249</c:v>
                </c:pt>
                <c:pt idx="10">
                  <c:v>0.218</c:v>
                </c:pt>
              </c:numCache>
            </c:numRef>
          </c:val>
          <c:smooth val="0"/>
        </c:ser>
        <c:ser>
          <c:idx val="2"/>
          <c:order val="2"/>
          <c:tx>
            <c:strRef>
              <c:f>Sheet1!$B$11</c:f>
              <c:strCache>
                <c:ptCount val="1"/>
                <c:pt idx="0">
                  <c:v>RGH</c:v>
                </c:pt>
              </c:strCache>
            </c:strRef>
          </c:tx>
          <c:spPr>
            <a:ln>
              <a:solidFill>
                <a:schemeClr val="accent4"/>
              </a:solidFill>
            </a:ln>
          </c:spPr>
          <c:marker>
            <c:spPr>
              <a:solidFill>
                <a:schemeClr val="accent4"/>
              </a:solidFill>
              <a:ln>
                <a:solidFill>
                  <a:schemeClr val="accent4"/>
                </a:solidFill>
              </a:ln>
            </c:spPr>
          </c:marker>
          <c:cat>
            <c:numRef>
              <c:f>Sheet1!$C$1:$M$1</c:f>
              <c:numCache>
                <c:formatCode>mmm\-yy</c:formatCode>
                <c:ptCount val="11"/>
                <c:pt idx="0">
                  <c:v>43556</c:v>
                </c:pt>
                <c:pt idx="1">
                  <c:v>43586</c:v>
                </c:pt>
                <c:pt idx="2">
                  <c:v>43617</c:v>
                </c:pt>
                <c:pt idx="3">
                  <c:v>43647</c:v>
                </c:pt>
                <c:pt idx="4">
                  <c:v>43678</c:v>
                </c:pt>
                <c:pt idx="5">
                  <c:v>43709</c:v>
                </c:pt>
                <c:pt idx="6">
                  <c:v>43739</c:v>
                </c:pt>
                <c:pt idx="7">
                  <c:v>43770</c:v>
                </c:pt>
                <c:pt idx="8">
                  <c:v>43800</c:v>
                </c:pt>
                <c:pt idx="9">
                  <c:v>43831</c:v>
                </c:pt>
                <c:pt idx="10">
                  <c:v>43862</c:v>
                </c:pt>
              </c:numCache>
            </c:numRef>
          </c:cat>
          <c:val>
            <c:numRef>
              <c:f>Sheet1!$C$11:$M$11</c:f>
              <c:numCache>
                <c:formatCode>0.0%</c:formatCode>
                <c:ptCount val="11"/>
                <c:pt idx="0">
                  <c:v>1</c:v>
                </c:pt>
                <c:pt idx="1">
                  <c:v>1</c:v>
                </c:pt>
                <c:pt idx="2">
                  <c:v>0.84599999999999997</c:v>
                </c:pt>
                <c:pt idx="3">
                  <c:v>0.91700000000000004</c:v>
                </c:pt>
                <c:pt idx="4">
                  <c:v>1</c:v>
                </c:pt>
                <c:pt idx="5">
                  <c:v>1</c:v>
                </c:pt>
                <c:pt idx="6">
                  <c:v>0.8</c:v>
                </c:pt>
                <c:pt idx="7">
                  <c:v>0.81</c:v>
                </c:pt>
                <c:pt idx="8">
                  <c:v>0.96299999999999997</c:v>
                </c:pt>
                <c:pt idx="9">
                  <c:v>0.95699999999999996</c:v>
                </c:pt>
                <c:pt idx="10">
                  <c:v>0.88900000000000001</c:v>
                </c:pt>
              </c:numCache>
            </c:numRef>
          </c:val>
          <c:smooth val="0"/>
        </c:ser>
        <c:ser>
          <c:idx val="3"/>
          <c:order val="3"/>
          <c:tx>
            <c:strRef>
              <c:f>Sheet1!$B$12</c:f>
              <c:strCache>
                <c:ptCount val="1"/>
                <c:pt idx="0">
                  <c:v>Goal</c:v>
                </c:pt>
              </c:strCache>
            </c:strRef>
          </c:tx>
          <c:spPr>
            <a:ln>
              <a:solidFill>
                <a:schemeClr val="accent3"/>
              </a:solidFill>
            </a:ln>
          </c:spPr>
          <c:marker>
            <c:symbol val="none"/>
          </c:marker>
          <c:cat>
            <c:numRef>
              <c:f>Sheet1!$C$1:$M$1</c:f>
              <c:numCache>
                <c:formatCode>mmm\-yy</c:formatCode>
                <c:ptCount val="11"/>
                <c:pt idx="0">
                  <c:v>43556</c:v>
                </c:pt>
                <c:pt idx="1">
                  <c:v>43586</c:v>
                </c:pt>
                <c:pt idx="2">
                  <c:v>43617</c:v>
                </c:pt>
                <c:pt idx="3">
                  <c:v>43647</c:v>
                </c:pt>
                <c:pt idx="4">
                  <c:v>43678</c:v>
                </c:pt>
                <c:pt idx="5">
                  <c:v>43709</c:v>
                </c:pt>
                <c:pt idx="6">
                  <c:v>43739</c:v>
                </c:pt>
                <c:pt idx="7">
                  <c:v>43770</c:v>
                </c:pt>
                <c:pt idx="8">
                  <c:v>43800</c:v>
                </c:pt>
                <c:pt idx="9">
                  <c:v>43831</c:v>
                </c:pt>
                <c:pt idx="10">
                  <c:v>43862</c:v>
                </c:pt>
              </c:numCache>
            </c:numRef>
          </c:cat>
          <c:val>
            <c:numRef>
              <c:f>Sheet1!$C$12:$M$12</c:f>
              <c:numCache>
                <c:formatCode>0.0%</c:formatCode>
                <c:ptCount val="11"/>
                <c:pt idx="0">
                  <c:v>0.35</c:v>
                </c:pt>
                <c:pt idx="1">
                  <c:v>0.35</c:v>
                </c:pt>
                <c:pt idx="2">
                  <c:v>0.35</c:v>
                </c:pt>
                <c:pt idx="3">
                  <c:v>0.35</c:v>
                </c:pt>
                <c:pt idx="4">
                  <c:v>0.35</c:v>
                </c:pt>
                <c:pt idx="5">
                  <c:v>0.35</c:v>
                </c:pt>
                <c:pt idx="6">
                  <c:v>0.35</c:v>
                </c:pt>
                <c:pt idx="7">
                  <c:v>0.35</c:v>
                </c:pt>
                <c:pt idx="8">
                  <c:v>0.35</c:v>
                </c:pt>
                <c:pt idx="9">
                  <c:v>0.35</c:v>
                </c:pt>
                <c:pt idx="10">
                  <c:v>0.35</c:v>
                </c:pt>
              </c:numCache>
            </c:numRef>
          </c:val>
          <c:smooth val="0"/>
        </c:ser>
        <c:dLbls>
          <c:showLegendKey val="0"/>
          <c:showVal val="0"/>
          <c:showCatName val="0"/>
          <c:showSerName val="0"/>
          <c:showPercent val="0"/>
          <c:showBubbleSize val="0"/>
        </c:dLbls>
        <c:marker val="1"/>
        <c:smooth val="0"/>
        <c:axId val="450825432"/>
        <c:axId val="450825824"/>
      </c:lineChart>
      <c:dateAx>
        <c:axId val="450825432"/>
        <c:scaling>
          <c:orientation val="minMax"/>
        </c:scaling>
        <c:delete val="0"/>
        <c:axPos val="b"/>
        <c:numFmt formatCode="mmm\-yy" sourceLinked="1"/>
        <c:majorTickMark val="none"/>
        <c:minorTickMark val="none"/>
        <c:tickLblPos val="nextTo"/>
        <c:crossAx val="450825824"/>
        <c:crosses val="autoZero"/>
        <c:auto val="1"/>
        <c:lblOffset val="100"/>
        <c:baseTimeUnit val="months"/>
      </c:dateAx>
      <c:valAx>
        <c:axId val="450825824"/>
        <c:scaling>
          <c:orientation val="minMax"/>
          <c:max val="1"/>
        </c:scaling>
        <c:delete val="0"/>
        <c:axPos val="l"/>
        <c:majorGridlines/>
        <c:numFmt formatCode="0.0%" sourceLinked="1"/>
        <c:majorTickMark val="none"/>
        <c:minorTickMark val="none"/>
        <c:tickLblPos val="nextTo"/>
        <c:crossAx val="450825432"/>
        <c:crosses val="autoZero"/>
        <c:crossBetween val="between"/>
      </c:valAx>
      <c:dTable>
        <c:showHorzBorder val="1"/>
        <c:showVertBorder val="1"/>
        <c:showOutline val="1"/>
        <c:showKeys val="1"/>
      </c:dTable>
    </c:plotArea>
    <c:plotVisOnly val="1"/>
    <c:dispBlanksAs val="gap"/>
    <c:showDLblsOverMax val="0"/>
  </c:chart>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n-GB"/>
              <a:t>Low</a:t>
            </a:r>
            <a:r>
              <a:rPr lang="en-GB" baseline="0"/>
              <a:t> Risk Women Commencing and Completing NLP</a:t>
            </a:r>
            <a:endParaRPr lang="en-GB"/>
          </a:p>
        </c:rich>
      </c:tx>
      <c:overlay val="0"/>
    </c:title>
    <c:autoTitleDeleted val="0"/>
    <c:plotArea>
      <c:layout/>
      <c:lineChart>
        <c:grouping val="standard"/>
        <c:varyColors val="0"/>
        <c:ser>
          <c:idx val="0"/>
          <c:order val="0"/>
          <c:tx>
            <c:strRef>
              <c:f>Sheet1!$B$13</c:f>
              <c:strCache>
                <c:ptCount val="1"/>
                <c:pt idx="0">
                  <c:v>PCH</c:v>
                </c:pt>
              </c:strCache>
            </c:strRef>
          </c:tx>
          <c:cat>
            <c:numRef>
              <c:f>Sheet1!$C$1:$M$1</c:f>
              <c:numCache>
                <c:formatCode>mmm\-yy</c:formatCode>
                <c:ptCount val="11"/>
                <c:pt idx="0">
                  <c:v>43556</c:v>
                </c:pt>
                <c:pt idx="1">
                  <c:v>43586</c:v>
                </c:pt>
                <c:pt idx="2">
                  <c:v>43617</c:v>
                </c:pt>
                <c:pt idx="3">
                  <c:v>43647</c:v>
                </c:pt>
                <c:pt idx="4">
                  <c:v>43678</c:v>
                </c:pt>
                <c:pt idx="5">
                  <c:v>43709</c:v>
                </c:pt>
                <c:pt idx="6">
                  <c:v>43739</c:v>
                </c:pt>
                <c:pt idx="7">
                  <c:v>43770</c:v>
                </c:pt>
                <c:pt idx="8">
                  <c:v>43800</c:v>
                </c:pt>
                <c:pt idx="9">
                  <c:v>43831</c:v>
                </c:pt>
                <c:pt idx="10">
                  <c:v>43862</c:v>
                </c:pt>
              </c:numCache>
            </c:numRef>
          </c:cat>
          <c:val>
            <c:numRef>
              <c:f>Sheet1!$C$13:$M$13</c:f>
              <c:numCache>
                <c:formatCode>0.0%</c:formatCode>
                <c:ptCount val="11"/>
                <c:pt idx="0">
                  <c:v>0.6</c:v>
                </c:pt>
                <c:pt idx="1">
                  <c:v>0.63</c:v>
                </c:pt>
                <c:pt idx="2">
                  <c:v>0.629</c:v>
                </c:pt>
                <c:pt idx="3">
                  <c:v>0.78300000000000003</c:v>
                </c:pt>
                <c:pt idx="4">
                  <c:v>0.72199999999999998</c:v>
                </c:pt>
                <c:pt idx="5">
                  <c:v>0.56000000000000005</c:v>
                </c:pt>
                <c:pt idx="6">
                  <c:v>0.6</c:v>
                </c:pt>
                <c:pt idx="7">
                  <c:v>0.66700000000000004</c:v>
                </c:pt>
                <c:pt idx="8">
                  <c:v>0.75</c:v>
                </c:pt>
                <c:pt idx="9">
                  <c:v>0.70599999999999996</c:v>
                </c:pt>
                <c:pt idx="10">
                  <c:v>0.54800000000000004</c:v>
                </c:pt>
              </c:numCache>
            </c:numRef>
          </c:val>
          <c:smooth val="0"/>
        </c:ser>
        <c:ser>
          <c:idx val="1"/>
          <c:order val="1"/>
          <c:tx>
            <c:strRef>
              <c:f>Sheet1!$B$14</c:f>
              <c:strCache>
                <c:ptCount val="1"/>
                <c:pt idx="0">
                  <c:v>POW</c:v>
                </c:pt>
              </c:strCache>
            </c:strRef>
          </c:tx>
          <c:cat>
            <c:numRef>
              <c:f>Sheet1!$C$1:$M$1</c:f>
              <c:numCache>
                <c:formatCode>mmm\-yy</c:formatCode>
                <c:ptCount val="11"/>
                <c:pt idx="0">
                  <c:v>43556</c:v>
                </c:pt>
                <c:pt idx="1">
                  <c:v>43586</c:v>
                </c:pt>
                <c:pt idx="2">
                  <c:v>43617</c:v>
                </c:pt>
                <c:pt idx="3">
                  <c:v>43647</c:v>
                </c:pt>
                <c:pt idx="4">
                  <c:v>43678</c:v>
                </c:pt>
                <c:pt idx="5">
                  <c:v>43709</c:v>
                </c:pt>
                <c:pt idx="6">
                  <c:v>43739</c:v>
                </c:pt>
                <c:pt idx="7">
                  <c:v>43770</c:v>
                </c:pt>
                <c:pt idx="8">
                  <c:v>43800</c:v>
                </c:pt>
                <c:pt idx="9">
                  <c:v>43831</c:v>
                </c:pt>
                <c:pt idx="10">
                  <c:v>43862</c:v>
                </c:pt>
              </c:numCache>
            </c:numRef>
          </c:cat>
          <c:val>
            <c:numRef>
              <c:f>Sheet1!$C$14:$M$14</c:f>
              <c:numCache>
                <c:formatCode>0.0%</c:formatCode>
                <c:ptCount val="11"/>
                <c:pt idx="0">
                  <c:v>0.61099999999999999</c:v>
                </c:pt>
                <c:pt idx="1">
                  <c:v>0.64</c:v>
                </c:pt>
                <c:pt idx="2">
                  <c:v>0.65800000000000003</c:v>
                </c:pt>
                <c:pt idx="3">
                  <c:v>0.65700000000000003</c:v>
                </c:pt>
                <c:pt idx="4">
                  <c:v>0.629</c:v>
                </c:pt>
                <c:pt idx="5">
                  <c:v>0.64900000000000002</c:v>
                </c:pt>
                <c:pt idx="6">
                  <c:v>0.73499999999999999</c:v>
                </c:pt>
                <c:pt idx="7">
                  <c:v>0.68599999999999994</c:v>
                </c:pt>
                <c:pt idx="8">
                  <c:v>0.72</c:v>
                </c:pt>
                <c:pt idx="9">
                  <c:v>0.66700000000000004</c:v>
                </c:pt>
                <c:pt idx="10">
                  <c:v>0.45200000000000001</c:v>
                </c:pt>
              </c:numCache>
            </c:numRef>
          </c:val>
          <c:smooth val="0"/>
        </c:ser>
        <c:ser>
          <c:idx val="2"/>
          <c:order val="2"/>
          <c:tx>
            <c:strRef>
              <c:f>Sheet1!$B$15</c:f>
              <c:strCache>
                <c:ptCount val="1"/>
                <c:pt idx="0">
                  <c:v>RGH</c:v>
                </c:pt>
              </c:strCache>
            </c:strRef>
          </c:tx>
          <c:spPr>
            <a:ln>
              <a:solidFill>
                <a:schemeClr val="accent4"/>
              </a:solidFill>
            </a:ln>
          </c:spPr>
          <c:marker>
            <c:spPr>
              <a:solidFill>
                <a:schemeClr val="accent4"/>
              </a:solidFill>
              <a:ln>
                <a:solidFill>
                  <a:schemeClr val="accent4"/>
                </a:solidFill>
              </a:ln>
            </c:spPr>
          </c:marker>
          <c:cat>
            <c:numRef>
              <c:f>Sheet1!$C$1:$M$1</c:f>
              <c:numCache>
                <c:formatCode>mmm\-yy</c:formatCode>
                <c:ptCount val="11"/>
                <c:pt idx="0">
                  <c:v>43556</c:v>
                </c:pt>
                <c:pt idx="1">
                  <c:v>43586</c:v>
                </c:pt>
                <c:pt idx="2">
                  <c:v>43617</c:v>
                </c:pt>
                <c:pt idx="3">
                  <c:v>43647</c:v>
                </c:pt>
                <c:pt idx="4">
                  <c:v>43678</c:v>
                </c:pt>
                <c:pt idx="5">
                  <c:v>43709</c:v>
                </c:pt>
                <c:pt idx="6">
                  <c:v>43739</c:v>
                </c:pt>
                <c:pt idx="7">
                  <c:v>43770</c:v>
                </c:pt>
                <c:pt idx="8">
                  <c:v>43800</c:v>
                </c:pt>
                <c:pt idx="9">
                  <c:v>43831</c:v>
                </c:pt>
                <c:pt idx="10">
                  <c:v>43862</c:v>
                </c:pt>
              </c:numCache>
            </c:numRef>
          </c:cat>
          <c:val>
            <c:numRef>
              <c:f>Sheet1!$C$15:$M$15</c:f>
              <c:numCache>
                <c:formatCode>0.0%</c:formatCode>
                <c:ptCount val="11"/>
                <c:pt idx="0">
                  <c:v>0.90900000000000003</c:v>
                </c:pt>
                <c:pt idx="1">
                  <c:v>1</c:v>
                </c:pt>
                <c:pt idx="2">
                  <c:v>1</c:v>
                </c:pt>
                <c:pt idx="3">
                  <c:v>0.90900000000000003</c:v>
                </c:pt>
                <c:pt idx="4">
                  <c:v>1</c:v>
                </c:pt>
                <c:pt idx="5">
                  <c:v>0.81299999999999994</c:v>
                </c:pt>
                <c:pt idx="6">
                  <c:v>1</c:v>
                </c:pt>
                <c:pt idx="7">
                  <c:v>0.94099999999999995</c:v>
                </c:pt>
                <c:pt idx="8">
                  <c:v>0.96200000000000008</c:v>
                </c:pt>
                <c:pt idx="9">
                  <c:v>0.86399999999999999</c:v>
                </c:pt>
                <c:pt idx="10">
                  <c:v>1</c:v>
                </c:pt>
              </c:numCache>
            </c:numRef>
          </c:val>
          <c:smooth val="0"/>
        </c:ser>
        <c:ser>
          <c:idx val="3"/>
          <c:order val="3"/>
          <c:tx>
            <c:strRef>
              <c:f>Sheet1!$B$16</c:f>
              <c:strCache>
                <c:ptCount val="1"/>
                <c:pt idx="0">
                  <c:v>Goal</c:v>
                </c:pt>
              </c:strCache>
            </c:strRef>
          </c:tx>
          <c:spPr>
            <a:ln>
              <a:solidFill>
                <a:schemeClr val="accent3"/>
              </a:solidFill>
            </a:ln>
          </c:spPr>
          <c:marker>
            <c:symbol val="none"/>
          </c:marker>
          <c:cat>
            <c:numRef>
              <c:f>Sheet1!$C$1:$M$1</c:f>
              <c:numCache>
                <c:formatCode>mmm\-yy</c:formatCode>
                <c:ptCount val="11"/>
                <c:pt idx="0">
                  <c:v>43556</c:v>
                </c:pt>
                <c:pt idx="1">
                  <c:v>43586</c:v>
                </c:pt>
                <c:pt idx="2">
                  <c:v>43617</c:v>
                </c:pt>
                <c:pt idx="3">
                  <c:v>43647</c:v>
                </c:pt>
                <c:pt idx="4">
                  <c:v>43678</c:v>
                </c:pt>
                <c:pt idx="5">
                  <c:v>43709</c:v>
                </c:pt>
                <c:pt idx="6">
                  <c:v>43739</c:v>
                </c:pt>
                <c:pt idx="7">
                  <c:v>43770</c:v>
                </c:pt>
                <c:pt idx="8">
                  <c:v>43800</c:v>
                </c:pt>
                <c:pt idx="9">
                  <c:v>43831</c:v>
                </c:pt>
                <c:pt idx="10">
                  <c:v>43862</c:v>
                </c:pt>
              </c:numCache>
            </c:numRef>
          </c:cat>
          <c:val>
            <c:numRef>
              <c:f>Sheet1!$C$16:$M$16</c:f>
              <c:numCache>
                <c:formatCode>0.0%</c:formatCode>
                <c:ptCount val="11"/>
                <c:pt idx="0">
                  <c:v>0.3</c:v>
                </c:pt>
                <c:pt idx="1">
                  <c:v>0.3</c:v>
                </c:pt>
                <c:pt idx="2">
                  <c:v>0.3</c:v>
                </c:pt>
                <c:pt idx="3">
                  <c:v>0.3</c:v>
                </c:pt>
                <c:pt idx="4">
                  <c:v>0.3</c:v>
                </c:pt>
                <c:pt idx="5">
                  <c:v>0.3</c:v>
                </c:pt>
                <c:pt idx="6">
                  <c:v>0.3</c:v>
                </c:pt>
                <c:pt idx="7">
                  <c:v>0.3</c:v>
                </c:pt>
                <c:pt idx="8">
                  <c:v>0.3</c:v>
                </c:pt>
                <c:pt idx="9">
                  <c:v>0.3</c:v>
                </c:pt>
                <c:pt idx="10">
                  <c:v>0.3</c:v>
                </c:pt>
              </c:numCache>
            </c:numRef>
          </c:val>
          <c:smooth val="0"/>
        </c:ser>
        <c:dLbls>
          <c:showLegendKey val="0"/>
          <c:showVal val="0"/>
          <c:showCatName val="0"/>
          <c:showSerName val="0"/>
          <c:showPercent val="0"/>
          <c:showBubbleSize val="0"/>
        </c:dLbls>
        <c:marker val="1"/>
        <c:smooth val="0"/>
        <c:axId val="450827000"/>
        <c:axId val="450827392"/>
      </c:lineChart>
      <c:dateAx>
        <c:axId val="450827000"/>
        <c:scaling>
          <c:orientation val="minMax"/>
        </c:scaling>
        <c:delete val="0"/>
        <c:axPos val="b"/>
        <c:numFmt formatCode="mmm\-yy" sourceLinked="1"/>
        <c:majorTickMark val="none"/>
        <c:minorTickMark val="none"/>
        <c:tickLblPos val="nextTo"/>
        <c:crossAx val="450827392"/>
        <c:crosses val="autoZero"/>
        <c:auto val="1"/>
        <c:lblOffset val="100"/>
        <c:baseTimeUnit val="months"/>
      </c:dateAx>
      <c:valAx>
        <c:axId val="450827392"/>
        <c:scaling>
          <c:orientation val="minMax"/>
          <c:max val="1"/>
        </c:scaling>
        <c:delete val="0"/>
        <c:axPos val="l"/>
        <c:majorGridlines/>
        <c:numFmt formatCode="0.0%" sourceLinked="1"/>
        <c:majorTickMark val="none"/>
        <c:minorTickMark val="none"/>
        <c:tickLblPos val="nextTo"/>
        <c:crossAx val="450827000"/>
        <c:crosses val="autoZero"/>
        <c:crossBetween val="between"/>
      </c:valAx>
      <c:dTable>
        <c:showHorzBorder val="1"/>
        <c:showVertBorder val="1"/>
        <c:showOutline val="1"/>
        <c:showKeys val="1"/>
      </c:dTable>
    </c:plotArea>
    <c:plotVisOnly val="1"/>
    <c:dispBlanksAs val="gap"/>
    <c:showDLblsOverMax val="0"/>
  </c:chart>
  <c:externalData r:id="rId1">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n-GB"/>
              <a:t>VBAC Attempted</a:t>
            </a:r>
          </a:p>
        </c:rich>
      </c:tx>
      <c:overlay val="0"/>
    </c:title>
    <c:autoTitleDeleted val="0"/>
    <c:plotArea>
      <c:layout/>
      <c:lineChart>
        <c:grouping val="standard"/>
        <c:varyColors val="0"/>
        <c:ser>
          <c:idx val="0"/>
          <c:order val="0"/>
          <c:tx>
            <c:strRef>
              <c:f>Sheet1!$B$17</c:f>
              <c:strCache>
                <c:ptCount val="1"/>
                <c:pt idx="0">
                  <c:v>PCH</c:v>
                </c:pt>
              </c:strCache>
            </c:strRef>
          </c:tx>
          <c:cat>
            <c:numRef>
              <c:f>Sheet1!$C$1:$M$1</c:f>
              <c:numCache>
                <c:formatCode>mmm\-yy</c:formatCode>
                <c:ptCount val="11"/>
                <c:pt idx="0">
                  <c:v>43556</c:v>
                </c:pt>
                <c:pt idx="1">
                  <c:v>43586</c:v>
                </c:pt>
                <c:pt idx="2">
                  <c:v>43617</c:v>
                </c:pt>
                <c:pt idx="3">
                  <c:v>43647</c:v>
                </c:pt>
                <c:pt idx="4">
                  <c:v>43678</c:v>
                </c:pt>
                <c:pt idx="5">
                  <c:v>43709</c:v>
                </c:pt>
                <c:pt idx="6">
                  <c:v>43739</c:v>
                </c:pt>
                <c:pt idx="7">
                  <c:v>43770</c:v>
                </c:pt>
                <c:pt idx="8">
                  <c:v>43800</c:v>
                </c:pt>
                <c:pt idx="9">
                  <c:v>43831</c:v>
                </c:pt>
                <c:pt idx="10">
                  <c:v>43862</c:v>
                </c:pt>
              </c:numCache>
            </c:numRef>
          </c:cat>
          <c:val>
            <c:numRef>
              <c:f>Sheet1!$C$17:$M$17</c:f>
              <c:numCache>
                <c:formatCode>General</c:formatCode>
                <c:ptCount val="11"/>
                <c:pt idx="0">
                  <c:v>13</c:v>
                </c:pt>
                <c:pt idx="1">
                  <c:v>20</c:v>
                </c:pt>
                <c:pt idx="2">
                  <c:v>21</c:v>
                </c:pt>
                <c:pt idx="3">
                  <c:v>16</c:v>
                </c:pt>
                <c:pt idx="4">
                  <c:v>16</c:v>
                </c:pt>
                <c:pt idx="5">
                  <c:v>25</c:v>
                </c:pt>
                <c:pt idx="6">
                  <c:v>19</c:v>
                </c:pt>
                <c:pt idx="7">
                  <c:v>18</c:v>
                </c:pt>
                <c:pt idx="8">
                  <c:v>8</c:v>
                </c:pt>
                <c:pt idx="9">
                  <c:v>13</c:v>
                </c:pt>
                <c:pt idx="10">
                  <c:v>9</c:v>
                </c:pt>
              </c:numCache>
            </c:numRef>
          </c:val>
          <c:smooth val="0"/>
        </c:ser>
        <c:ser>
          <c:idx val="1"/>
          <c:order val="1"/>
          <c:tx>
            <c:strRef>
              <c:f>Sheet1!$B$18</c:f>
              <c:strCache>
                <c:ptCount val="1"/>
                <c:pt idx="0">
                  <c:v>POW</c:v>
                </c:pt>
              </c:strCache>
            </c:strRef>
          </c:tx>
          <c:cat>
            <c:numRef>
              <c:f>Sheet1!$C$1:$M$1</c:f>
              <c:numCache>
                <c:formatCode>mmm\-yy</c:formatCode>
                <c:ptCount val="11"/>
                <c:pt idx="0">
                  <c:v>43556</c:v>
                </c:pt>
                <c:pt idx="1">
                  <c:v>43586</c:v>
                </c:pt>
                <c:pt idx="2">
                  <c:v>43617</c:v>
                </c:pt>
                <c:pt idx="3">
                  <c:v>43647</c:v>
                </c:pt>
                <c:pt idx="4">
                  <c:v>43678</c:v>
                </c:pt>
                <c:pt idx="5">
                  <c:v>43709</c:v>
                </c:pt>
                <c:pt idx="6">
                  <c:v>43739</c:v>
                </c:pt>
                <c:pt idx="7">
                  <c:v>43770</c:v>
                </c:pt>
                <c:pt idx="8">
                  <c:v>43800</c:v>
                </c:pt>
                <c:pt idx="9">
                  <c:v>43831</c:v>
                </c:pt>
                <c:pt idx="10">
                  <c:v>43862</c:v>
                </c:pt>
              </c:numCache>
            </c:numRef>
          </c:cat>
          <c:val>
            <c:numRef>
              <c:f>Sheet1!$C$18:$M$18</c:f>
              <c:numCache>
                <c:formatCode>General</c:formatCode>
                <c:ptCount val="11"/>
                <c:pt idx="0">
                  <c:v>3</c:v>
                </c:pt>
                <c:pt idx="1">
                  <c:v>2</c:v>
                </c:pt>
                <c:pt idx="2">
                  <c:v>5</c:v>
                </c:pt>
                <c:pt idx="3">
                  <c:v>7</c:v>
                </c:pt>
                <c:pt idx="4">
                  <c:v>9</c:v>
                </c:pt>
                <c:pt idx="5">
                  <c:v>4</c:v>
                </c:pt>
                <c:pt idx="6">
                  <c:v>4</c:v>
                </c:pt>
                <c:pt idx="7">
                  <c:v>11</c:v>
                </c:pt>
                <c:pt idx="8">
                  <c:v>5</c:v>
                </c:pt>
                <c:pt idx="9">
                  <c:v>6</c:v>
                </c:pt>
                <c:pt idx="10">
                  <c:v>5</c:v>
                </c:pt>
              </c:numCache>
            </c:numRef>
          </c:val>
          <c:smooth val="0"/>
        </c:ser>
        <c:dLbls>
          <c:showLegendKey val="0"/>
          <c:showVal val="0"/>
          <c:showCatName val="0"/>
          <c:showSerName val="0"/>
          <c:showPercent val="0"/>
          <c:showBubbleSize val="0"/>
        </c:dLbls>
        <c:marker val="1"/>
        <c:smooth val="0"/>
        <c:axId val="450828568"/>
        <c:axId val="450828960"/>
      </c:lineChart>
      <c:dateAx>
        <c:axId val="450828568"/>
        <c:scaling>
          <c:orientation val="minMax"/>
        </c:scaling>
        <c:delete val="0"/>
        <c:axPos val="b"/>
        <c:numFmt formatCode="mmm\-yy" sourceLinked="1"/>
        <c:majorTickMark val="none"/>
        <c:minorTickMark val="none"/>
        <c:tickLblPos val="nextTo"/>
        <c:crossAx val="450828960"/>
        <c:crosses val="autoZero"/>
        <c:auto val="1"/>
        <c:lblOffset val="100"/>
        <c:baseTimeUnit val="months"/>
      </c:dateAx>
      <c:valAx>
        <c:axId val="450828960"/>
        <c:scaling>
          <c:orientation val="minMax"/>
        </c:scaling>
        <c:delete val="0"/>
        <c:axPos val="l"/>
        <c:majorGridlines/>
        <c:numFmt formatCode="General" sourceLinked="1"/>
        <c:majorTickMark val="none"/>
        <c:minorTickMark val="none"/>
        <c:tickLblPos val="nextTo"/>
        <c:crossAx val="450828568"/>
        <c:crosses val="autoZero"/>
        <c:crossBetween val="between"/>
      </c:valAx>
      <c:dTable>
        <c:showHorzBorder val="1"/>
        <c:showVertBorder val="1"/>
        <c:showOutline val="1"/>
        <c:showKeys val="1"/>
      </c:dTable>
    </c:plotArea>
    <c:plotVisOnly val="1"/>
    <c:dispBlanksAs val="gap"/>
    <c:showDLblsOverMax val="0"/>
  </c:chart>
  <c:externalData r:id="rId1">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n-GB"/>
              <a:t>VBAC Success</a:t>
            </a:r>
          </a:p>
        </c:rich>
      </c:tx>
      <c:overlay val="0"/>
    </c:title>
    <c:autoTitleDeleted val="0"/>
    <c:plotArea>
      <c:layout/>
      <c:lineChart>
        <c:grouping val="standard"/>
        <c:varyColors val="0"/>
        <c:ser>
          <c:idx val="0"/>
          <c:order val="0"/>
          <c:tx>
            <c:strRef>
              <c:f>Sheet1!$B$20</c:f>
              <c:strCache>
                <c:ptCount val="1"/>
                <c:pt idx="0">
                  <c:v>PCH</c:v>
                </c:pt>
              </c:strCache>
            </c:strRef>
          </c:tx>
          <c:cat>
            <c:numRef>
              <c:f>Sheet1!$C$1:$M$1</c:f>
              <c:numCache>
                <c:formatCode>mmm\-yy</c:formatCode>
                <c:ptCount val="11"/>
                <c:pt idx="0">
                  <c:v>43556</c:v>
                </c:pt>
                <c:pt idx="1">
                  <c:v>43586</c:v>
                </c:pt>
                <c:pt idx="2">
                  <c:v>43617</c:v>
                </c:pt>
                <c:pt idx="3">
                  <c:v>43647</c:v>
                </c:pt>
                <c:pt idx="4">
                  <c:v>43678</c:v>
                </c:pt>
                <c:pt idx="5">
                  <c:v>43709</c:v>
                </c:pt>
                <c:pt idx="6">
                  <c:v>43739</c:v>
                </c:pt>
                <c:pt idx="7">
                  <c:v>43770</c:v>
                </c:pt>
                <c:pt idx="8">
                  <c:v>43800</c:v>
                </c:pt>
                <c:pt idx="9">
                  <c:v>43831</c:v>
                </c:pt>
                <c:pt idx="10">
                  <c:v>43862</c:v>
                </c:pt>
              </c:numCache>
            </c:numRef>
          </c:cat>
          <c:val>
            <c:numRef>
              <c:f>Sheet1!$C$20:$M$20</c:f>
              <c:numCache>
                <c:formatCode>0.0%</c:formatCode>
                <c:ptCount val="11"/>
                <c:pt idx="0">
                  <c:v>0.53800000000000003</c:v>
                </c:pt>
                <c:pt idx="1">
                  <c:v>0.35</c:v>
                </c:pt>
                <c:pt idx="2">
                  <c:v>0.52400000000000002</c:v>
                </c:pt>
                <c:pt idx="3">
                  <c:v>0.313</c:v>
                </c:pt>
                <c:pt idx="4">
                  <c:v>0.5</c:v>
                </c:pt>
                <c:pt idx="5">
                  <c:v>0.4</c:v>
                </c:pt>
                <c:pt idx="6">
                  <c:v>0.52600000000000002</c:v>
                </c:pt>
                <c:pt idx="7">
                  <c:v>0.61099999999999999</c:v>
                </c:pt>
                <c:pt idx="8">
                  <c:v>0.25</c:v>
                </c:pt>
                <c:pt idx="9">
                  <c:v>0.61499999999999999</c:v>
                </c:pt>
                <c:pt idx="10">
                  <c:v>0.44400000000000001</c:v>
                </c:pt>
              </c:numCache>
            </c:numRef>
          </c:val>
          <c:smooth val="0"/>
        </c:ser>
        <c:ser>
          <c:idx val="1"/>
          <c:order val="1"/>
          <c:tx>
            <c:strRef>
              <c:f>Sheet1!$B$21</c:f>
              <c:strCache>
                <c:ptCount val="1"/>
                <c:pt idx="0">
                  <c:v>POW</c:v>
                </c:pt>
              </c:strCache>
            </c:strRef>
          </c:tx>
          <c:cat>
            <c:numRef>
              <c:f>Sheet1!$C$1:$M$1</c:f>
              <c:numCache>
                <c:formatCode>mmm\-yy</c:formatCode>
                <c:ptCount val="11"/>
                <c:pt idx="0">
                  <c:v>43556</c:v>
                </c:pt>
                <c:pt idx="1">
                  <c:v>43586</c:v>
                </c:pt>
                <c:pt idx="2">
                  <c:v>43617</c:v>
                </c:pt>
                <c:pt idx="3">
                  <c:v>43647</c:v>
                </c:pt>
                <c:pt idx="4">
                  <c:v>43678</c:v>
                </c:pt>
                <c:pt idx="5">
                  <c:v>43709</c:v>
                </c:pt>
                <c:pt idx="6">
                  <c:v>43739</c:v>
                </c:pt>
                <c:pt idx="7">
                  <c:v>43770</c:v>
                </c:pt>
                <c:pt idx="8">
                  <c:v>43800</c:v>
                </c:pt>
                <c:pt idx="9">
                  <c:v>43831</c:v>
                </c:pt>
                <c:pt idx="10">
                  <c:v>43862</c:v>
                </c:pt>
              </c:numCache>
            </c:numRef>
          </c:cat>
          <c:val>
            <c:numRef>
              <c:f>Sheet1!$C$21:$M$21</c:f>
              <c:numCache>
                <c:formatCode>0.0%</c:formatCode>
                <c:ptCount val="11"/>
                <c:pt idx="0">
                  <c:v>0.33300000000000002</c:v>
                </c:pt>
                <c:pt idx="1">
                  <c:v>0</c:v>
                </c:pt>
                <c:pt idx="2">
                  <c:v>0.6</c:v>
                </c:pt>
                <c:pt idx="3">
                  <c:v>0.71399999999999997</c:v>
                </c:pt>
                <c:pt idx="4">
                  <c:v>0.77800000000000002</c:v>
                </c:pt>
                <c:pt idx="5">
                  <c:v>0.5</c:v>
                </c:pt>
                <c:pt idx="6">
                  <c:v>0.5</c:v>
                </c:pt>
                <c:pt idx="7">
                  <c:v>0.63600000000000001</c:v>
                </c:pt>
                <c:pt idx="8">
                  <c:v>0.2</c:v>
                </c:pt>
                <c:pt idx="9">
                  <c:v>0.83299999999999996</c:v>
                </c:pt>
                <c:pt idx="10">
                  <c:v>1</c:v>
                </c:pt>
              </c:numCache>
            </c:numRef>
          </c:val>
          <c:smooth val="0"/>
        </c:ser>
        <c:ser>
          <c:idx val="3"/>
          <c:order val="2"/>
          <c:tx>
            <c:strRef>
              <c:f>Sheet1!$B$23</c:f>
              <c:strCache>
                <c:ptCount val="1"/>
                <c:pt idx="0">
                  <c:v>Goal</c:v>
                </c:pt>
              </c:strCache>
            </c:strRef>
          </c:tx>
          <c:spPr>
            <a:ln>
              <a:solidFill>
                <a:srgbClr val="00B050"/>
              </a:solidFill>
            </a:ln>
          </c:spPr>
          <c:marker>
            <c:symbol val="none"/>
          </c:marker>
          <c:cat>
            <c:numRef>
              <c:f>Sheet1!$C$1:$M$1</c:f>
              <c:numCache>
                <c:formatCode>mmm\-yy</c:formatCode>
                <c:ptCount val="11"/>
                <c:pt idx="0">
                  <c:v>43556</c:v>
                </c:pt>
                <c:pt idx="1">
                  <c:v>43586</c:v>
                </c:pt>
                <c:pt idx="2">
                  <c:v>43617</c:v>
                </c:pt>
                <c:pt idx="3">
                  <c:v>43647</c:v>
                </c:pt>
                <c:pt idx="4">
                  <c:v>43678</c:v>
                </c:pt>
                <c:pt idx="5">
                  <c:v>43709</c:v>
                </c:pt>
                <c:pt idx="6">
                  <c:v>43739</c:v>
                </c:pt>
                <c:pt idx="7">
                  <c:v>43770</c:v>
                </c:pt>
                <c:pt idx="8">
                  <c:v>43800</c:v>
                </c:pt>
                <c:pt idx="9">
                  <c:v>43831</c:v>
                </c:pt>
                <c:pt idx="10">
                  <c:v>43862</c:v>
                </c:pt>
              </c:numCache>
            </c:numRef>
          </c:cat>
          <c:val>
            <c:numRef>
              <c:f>Sheet1!$C$23:$M$23</c:f>
              <c:numCache>
                <c:formatCode>0.0%</c:formatCode>
                <c:ptCount val="11"/>
                <c:pt idx="0">
                  <c:v>0.75</c:v>
                </c:pt>
                <c:pt idx="1">
                  <c:v>0.75</c:v>
                </c:pt>
                <c:pt idx="2">
                  <c:v>0.75</c:v>
                </c:pt>
                <c:pt idx="3">
                  <c:v>0.75</c:v>
                </c:pt>
                <c:pt idx="4">
                  <c:v>0.75</c:v>
                </c:pt>
                <c:pt idx="5">
                  <c:v>0.75</c:v>
                </c:pt>
                <c:pt idx="6">
                  <c:v>0.75</c:v>
                </c:pt>
                <c:pt idx="7">
                  <c:v>0.75</c:v>
                </c:pt>
                <c:pt idx="8">
                  <c:v>0.75</c:v>
                </c:pt>
                <c:pt idx="9">
                  <c:v>0.75</c:v>
                </c:pt>
                <c:pt idx="10">
                  <c:v>0.75</c:v>
                </c:pt>
              </c:numCache>
            </c:numRef>
          </c:val>
          <c:smooth val="0"/>
        </c:ser>
        <c:dLbls>
          <c:showLegendKey val="0"/>
          <c:showVal val="0"/>
          <c:showCatName val="0"/>
          <c:showSerName val="0"/>
          <c:showPercent val="0"/>
          <c:showBubbleSize val="0"/>
        </c:dLbls>
        <c:marker val="1"/>
        <c:smooth val="0"/>
        <c:axId val="451100936"/>
        <c:axId val="451101328"/>
      </c:lineChart>
      <c:dateAx>
        <c:axId val="451100936"/>
        <c:scaling>
          <c:orientation val="minMax"/>
        </c:scaling>
        <c:delete val="0"/>
        <c:axPos val="b"/>
        <c:numFmt formatCode="mmm\-yy" sourceLinked="1"/>
        <c:majorTickMark val="none"/>
        <c:minorTickMark val="none"/>
        <c:tickLblPos val="nextTo"/>
        <c:crossAx val="451101328"/>
        <c:crosses val="autoZero"/>
        <c:auto val="1"/>
        <c:lblOffset val="100"/>
        <c:baseTimeUnit val="months"/>
      </c:dateAx>
      <c:valAx>
        <c:axId val="451101328"/>
        <c:scaling>
          <c:orientation val="minMax"/>
          <c:max val="1"/>
        </c:scaling>
        <c:delete val="0"/>
        <c:axPos val="l"/>
        <c:majorGridlines/>
        <c:numFmt formatCode="0.0%" sourceLinked="1"/>
        <c:majorTickMark val="none"/>
        <c:minorTickMark val="none"/>
        <c:tickLblPos val="nextTo"/>
        <c:crossAx val="451100936"/>
        <c:crosses val="autoZero"/>
        <c:crossBetween val="between"/>
      </c:valAx>
      <c:dTable>
        <c:showHorzBorder val="1"/>
        <c:showVertBorder val="1"/>
        <c:showOutline val="1"/>
        <c:showKeys val="1"/>
      </c:dTable>
    </c:plotArea>
    <c:plotVisOnly val="1"/>
    <c:dispBlanksAs val="gap"/>
    <c:showDLblsOverMax val="0"/>
  </c:chart>
  <c:externalData r:id="rId1">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n-GB"/>
              <a:t>Instrumental Deliveries</a:t>
            </a:r>
          </a:p>
        </c:rich>
      </c:tx>
      <c:overlay val="0"/>
    </c:title>
    <c:autoTitleDeleted val="0"/>
    <c:plotArea>
      <c:layout>
        <c:manualLayout>
          <c:layoutTarget val="inner"/>
          <c:xMode val="edge"/>
          <c:yMode val="edge"/>
          <c:x val="0.19125919696554661"/>
          <c:y val="0.12888376997070616"/>
          <c:w val="0.78879841437945675"/>
          <c:h val="0.4932258014252176"/>
        </c:manualLayout>
      </c:layout>
      <c:lineChart>
        <c:grouping val="standard"/>
        <c:varyColors val="0"/>
        <c:ser>
          <c:idx val="0"/>
          <c:order val="0"/>
          <c:tx>
            <c:strRef>
              <c:f>Sheet1!$B$24</c:f>
              <c:strCache>
                <c:ptCount val="1"/>
                <c:pt idx="0">
                  <c:v>PCH</c:v>
                </c:pt>
              </c:strCache>
            </c:strRef>
          </c:tx>
          <c:cat>
            <c:numRef>
              <c:f>Sheet1!$C$1:$M$1</c:f>
              <c:numCache>
                <c:formatCode>mmm\-yy</c:formatCode>
                <c:ptCount val="11"/>
                <c:pt idx="0">
                  <c:v>43556</c:v>
                </c:pt>
                <c:pt idx="1">
                  <c:v>43586</c:v>
                </c:pt>
                <c:pt idx="2">
                  <c:v>43617</c:v>
                </c:pt>
                <c:pt idx="3">
                  <c:v>43647</c:v>
                </c:pt>
                <c:pt idx="4">
                  <c:v>43678</c:v>
                </c:pt>
                <c:pt idx="5">
                  <c:v>43709</c:v>
                </c:pt>
                <c:pt idx="6">
                  <c:v>43739</c:v>
                </c:pt>
                <c:pt idx="7">
                  <c:v>43770</c:v>
                </c:pt>
                <c:pt idx="8">
                  <c:v>43800</c:v>
                </c:pt>
                <c:pt idx="9">
                  <c:v>43831</c:v>
                </c:pt>
                <c:pt idx="10">
                  <c:v>43862</c:v>
                </c:pt>
              </c:numCache>
            </c:numRef>
          </c:cat>
          <c:val>
            <c:numRef>
              <c:f>Sheet1!$C$24:$M$24</c:f>
              <c:numCache>
                <c:formatCode>0.0%</c:formatCode>
                <c:ptCount val="11"/>
                <c:pt idx="0">
                  <c:v>7.0999999999999994E-2</c:v>
                </c:pt>
                <c:pt idx="1">
                  <c:v>7.8E-2</c:v>
                </c:pt>
                <c:pt idx="2">
                  <c:v>9.9000000000000005E-2</c:v>
                </c:pt>
                <c:pt idx="3">
                  <c:v>0.113</c:v>
                </c:pt>
                <c:pt idx="4">
                  <c:v>0.10299999999999999</c:v>
                </c:pt>
                <c:pt idx="5">
                  <c:v>9.0999999999999998E-2</c:v>
                </c:pt>
                <c:pt idx="6">
                  <c:v>8.3000000000000004E-2</c:v>
                </c:pt>
                <c:pt idx="7">
                  <c:v>0.08</c:v>
                </c:pt>
                <c:pt idx="8">
                  <c:v>8.3000000000000004E-2</c:v>
                </c:pt>
                <c:pt idx="9">
                  <c:v>0.13300000000000001</c:v>
                </c:pt>
                <c:pt idx="10">
                  <c:v>9.0999999999999998E-2</c:v>
                </c:pt>
              </c:numCache>
            </c:numRef>
          </c:val>
          <c:smooth val="0"/>
        </c:ser>
        <c:ser>
          <c:idx val="1"/>
          <c:order val="1"/>
          <c:tx>
            <c:strRef>
              <c:f>Sheet1!$B$25</c:f>
              <c:strCache>
                <c:ptCount val="1"/>
                <c:pt idx="0">
                  <c:v>POW</c:v>
                </c:pt>
              </c:strCache>
            </c:strRef>
          </c:tx>
          <c:cat>
            <c:numRef>
              <c:f>Sheet1!$C$1:$M$1</c:f>
              <c:numCache>
                <c:formatCode>mmm\-yy</c:formatCode>
                <c:ptCount val="11"/>
                <c:pt idx="0">
                  <c:v>43556</c:v>
                </c:pt>
                <c:pt idx="1">
                  <c:v>43586</c:v>
                </c:pt>
                <c:pt idx="2">
                  <c:v>43617</c:v>
                </c:pt>
                <c:pt idx="3">
                  <c:v>43647</c:v>
                </c:pt>
                <c:pt idx="4">
                  <c:v>43678</c:v>
                </c:pt>
                <c:pt idx="5">
                  <c:v>43709</c:v>
                </c:pt>
                <c:pt idx="6">
                  <c:v>43739</c:v>
                </c:pt>
                <c:pt idx="7">
                  <c:v>43770</c:v>
                </c:pt>
                <c:pt idx="8">
                  <c:v>43800</c:v>
                </c:pt>
                <c:pt idx="9">
                  <c:v>43831</c:v>
                </c:pt>
                <c:pt idx="10">
                  <c:v>43862</c:v>
                </c:pt>
              </c:numCache>
            </c:numRef>
          </c:cat>
          <c:val>
            <c:numRef>
              <c:f>Sheet1!$C$25:$M$25</c:f>
              <c:numCache>
                <c:formatCode>0.0%</c:formatCode>
                <c:ptCount val="11"/>
                <c:pt idx="0">
                  <c:v>8.3000000000000004E-2</c:v>
                </c:pt>
                <c:pt idx="1">
                  <c:v>4.7E-2</c:v>
                </c:pt>
                <c:pt idx="2">
                  <c:v>6.4000000000000001E-2</c:v>
                </c:pt>
                <c:pt idx="3">
                  <c:v>6.3E-2</c:v>
                </c:pt>
                <c:pt idx="4">
                  <c:v>0.12</c:v>
                </c:pt>
                <c:pt idx="5">
                  <c:v>8.5999999999999993E-2</c:v>
                </c:pt>
                <c:pt idx="6">
                  <c:v>8.7999999999999995E-2</c:v>
                </c:pt>
                <c:pt idx="7">
                  <c:v>6.6000000000000003E-2</c:v>
                </c:pt>
                <c:pt idx="8">
                  <c:v>4.4999999999999998E-2</c:v>
                </c:pt>
                <c:pt idx="9">
                  <c:v>7.5999999999999998E-2</c:v>
                </c:pt>
                <c:pt idx="10">
                  <c:v>6.3E-2</c:v>
                </c:pt>
              </c:numCache>
            </c:numRef>
          </c:val>
          <c:smooth val="0"/>
        </c:ser>
        <c:ser>
          <c:idx val="2"/>
          <c:order val="2"/>
          <c:tx>
            <c:strRef>
              <c:f>Sheet1!$B$27</c:f>
              <c:strCache>
                <c:ptCount val="1"/>
                <c:pt idx="0">
                  <c:v>Lower Goal</c:v>
                </c:pt>
              </c:strCache>
            </c:strRef>
          </c:tx>
          <c:spPr>
            <a:ln>
              <a:solidFill>
                <a:srgbClr val="00B050"/>
              </a:solidFill>
            </a:ln>
          </c:spPr>
          <c:marker>
            <c:symbol val="none"/>
          </c:marker>
          <c:cat>
            <c:numRef>
              <c:f>Sheet1!$C$1:$M$1</c:f>
              <c:numCache>
                <c:formatCode>mmm\-yy</c:formatCode>
                <c:ptCount val="11"/>
                <c:pt idx="0">
                  <c:v>43556</c:v>
                </c:pt>
                <c:pt idx="1">
                  <c:v>43586</c:v>
                </c:pt>
                <c:pt idx="2">
                  <c:v>43617</c:v>
                </c:pt>
                <c:pt idx="3">
                  <c:v>43647</c:v>
                </c:pt>
                <c:pt idx="4">
                  <c:v>43678</c:v>
                </c:pt>
                <c:pt idx="5">
                  <c:v>43709</c:v>
                </c:pt>
                <c:pt idx="6">
                  <c:v>43739</c:v>
                </c:pt>
                <c:pt idx="7">
                  <c:v>43770</c:v>
                </c:pt>
                <c:pt idx="8">
                  <c:v>43800</c:v>
                </c:pt>
                <c:pt idx="9">
                  <c:v>43831</c:v>
                </c:pt>
                <c:pt idx="10">
                  <c:v>43862</c:v>
                </c:pt>
              </c:numCache>
            </c:numRef>
          </c:cat>
          <c:val>
            <c:numRef>
              <c:f>Sheet1!$C$27:$M$27</c:f>
              <c:numCache>
                <c:formatCode>0.0%</c:formatCode>
                <c:ptCount val="11"/>
                <c:pt idx="0">
                  <c:v>0.1</c:v>
                </c:pt>
                <c:pt idx="1">
                  <c:v>0.1</c:v>
                </c:pt>
                <c:pt idx="2">
                  <c:v>0.1</c:v>
                </c:pt>
                <c:pt idx="3">
                  <c:v>0.1</c:v>
                </c:pt>
                <c:pt idx="4">
                  <c:v>0.1</c:v>
                </c:pt>
                <c:pt idx="5">
                  <c:v>0.1</c:v>
                </c:pt>
                <c:pt idx="6">
                  <c:v>0.1</c:v>
                </c:pt>
                <c:pt idx="7">
                  <c:v>0.1</c:v>
                </c:pt>
                <c:pt idx="8">
                  <c:v>0.1</c:v>
                </c:pt>
                <c:pt idx="9">
                  <c:v>0.1</c:v>
                </c:pt>
                <c:pt idx="10">
                  <c:v>0.1</c:v>
                </c:pt>
              </c:numCache>
            </c:numRef>
          </c:val>
          <c:smooth val="0"/>
        </c:ser>
        <c:ser>
          <c:idx val="3"/>
          <c:order val="3"/>
          <c:tx>
            <c:strRef>
              <c:f>Sheet1!$B$28</c:f>
              <c:strCache>
                <c:ptCount val="1"/>
                <c:pt idx="0">
                  <c:v>Upper Goal</c:v>
                </c:pt>
              </c:strCache>
            </c:strRef>
          </c:tx>
          <c:spPr>
            <a:ln>
              <a:solidFill>
                <a:srgbClr val="00B050"/>
              </a:solidFill>
            </a:ln>
          </c:spPr>
          <c:marker>
            <c:symbol val="none"/>
          </c:marker>
          <c:cat>
            <c:numRef>
              <c:f>Sheet1!$C$1:$M$1</c:f>
              <c:numCache>
                <c:formatCode>mmm\-yy</c:formatCode>
                <c:ptCount val="11"/>
                <c:pt idx="0">
                  <c:v>43556</c:v>
                </c:pt>
                <c:pt idx="1">
                  <c:v>43586</c:v>
                </c:pt>
                <c:pt idx="2">
                  <c:v>43617</c:v>
                </c:pt>
                <c:pt idx="3">
                  <c:v>43647</c:v>
                </c:pt>
                <c:pt idx="4">
                  <c:v>43678</c:v>
                </c:pt>
                <c:pt idx="5">
                  <c:v>43709</c:v>
                </c:pt>
                <c:pt idx="6">
                  <c:v>43739</c:v>
                </c:pt>
                <c:pt idx="7">
                  <c:v>43770</c:v>
                </c:pt>
                <c:pt idx="8">
                  <c:v>43800</c:v>
                </c:pt>
                <c:pt idx="9">
                  <c:v>43831</c:v>
                </c:pt>
                <c:pt idx="10">
                  <c:v>43862</c:v>
                </c:pt>
              </c:numCache>
            </c:numRef>
          </c:cat>
          <c:val>
            <c:numRef>
              <c:f>Sheet1!$C$28:$M$28</c:f>
              <c:numCache>
                <c:formatCode>0.0%</c:formatCode>
                <c:ptCount val="11"/>
                <c:pt idx="0">
                  <c:v>0.14000000000000001</c:v>
                </c:pt>
                <c:pt idx="1">
                  <c:v>0.14000000000000001</c:v>
                </c:pt>
                <c:pt idx="2">
                  <c:v>0.14000000000000001</c:v>
                </c:pt>
                <c:pt idx="3">
                  <c:v>0.14000000000000001</c:v>
                </c:pt>
                <c:pt idx="4">
                  <c:v>0.14000000000000001</c:v>
                </c:pt>
                <c:pt idx="5">
                  <c:v>0.14000000000000001</c:v>
                </c:pt>
                <c:pt idx="6">
                  <c:v>0.14000000000000001</c:v>
                </c:pt>
                <c:pt idx="7">
                  <c:v>0.14000000000000001</c:v>
                </c:pt>
                <c:pt idx="8">
                  <c:v>0.14000000000000001</c:v>
                </c:pt>
                <c:pt idx="9">
                  <c:v>0.14000000000000001</c:v>
                </c:pt>
                <c:pt idx="10">
                  <c:v>0.14000000000000001</c:v>
                </c:pt>
              </c:numCache>
            </c:numRef>
          </c:val>
          <c:smooth val="0"/>
        </c:ser>
        <c:dLbls>
          <c:showLegendKey val="0"/>
          <c:showVal val="0"/>
          <c:showCatName val="0"/>
          <c:showSerName val="0"/>
          <c:showPercent val="0"/>
          <c:showBubbleSize val="0"/>
        </c:dLbls>
        <c:marker val="1"/>
        <c:smooth val="0"/>
        <c:axId val="451102504"/>
        <c:axId val="451102896"/>
      </c:lineChart>
      <c:dateAx>
        <c:axId val="451102504"/>
        <c:scaling>
          <c:orientation val="minMax"/>
        </c:scaling>
        <c:delete val="0"/>
        <c:axPos val="b"/>
        <c:numFmt formatCode="mmm\-yy" sourceLinked="1"/>
        <c:majorTickMark val="none"/>
        <c:minorTickMark val="none"/>
        <c:tickLblPos val="nextTo"/>
        <c:crossAx val="451102896"/>
        <c:crosses val="autoZero"/>
        <c:auto val="1"/>
        <c:lblOffset val="100"/>
        <c:baseTimeUnit val="months"/>
      </c:dateAx>
      <c:valAx>
        <c:axId val="451102896"/>
        <c:scaling>
          <c:orientation val="minMax"/>
          <c:max val="0.30000000000000004"/>
        </c:scaling>
        <c:delete val="0"/>
        <c:axPos val="l"/>
        <c:majorGridlines/>
        <c:numFmt formatCode="0.0%" sourceLinked="1"/>
        <c:majorTickMark val="none"/>
        <c:minorTickMark val="none"/>
        <c:tickLblPos val="nextTo"/>
        <c:crossAx val="451102504"/>
        <c:crosses val="autoZero"/>
        <c:crossBetween val="between"/>
      </c:valAx>
      <c:dTable>
        <c:showHorzBorder val="1"/>
        <c:showVertBorder val="1"/>
        <c:showOutline val="1"/>
        <c:showKeys val="1"/>
      </c:dTable>
    </c:plotArea>
    <c:plotVisOnly val="1"/>
    <c:dispBlanksAs val="gap"/>
    <c:showDLblsOverMax val="0"/>
  </c:chart>
  <c:externalData r:id="rId1">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245F704-CC6A-494F-AB57-72201CE4566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A3F14466</Template>
  <TotalTime>0</TotalTime>
  <Pages>16</Pages>
  <Words>2150</Words>
  <Characters>12258</Characters>
  <Application>Microsoft Office Word</Application>
  <DocSecurity>4</DocSecurity>
  <Lines>102</Lines>
  <Paragraphs>28</Paragraphs>
  <ScaleCrop>false</ScaleCrop>
  <HeadingPairs>
    <vt:vector size="2" baseType="variant">
      <vt:variant>
        <vt:lpstr>Title</vt:lpstr>
      </vt:variant>
      <vt:variant>
        <vt:i4>1</vt:i4>
      </vt:variant>
    </vt:vector>
  </HeadingPairs>
  <TitlesOfParts>
    <vt:vector size="1" baseType="lpstr">
      <vt:lpstr>ABHB Highlight Report Template</vt:lpstr>
    </vt:vector>
  </TitlesOfParts>
  <Company>.</Company>
  <LinksUpToDate>false</LinksUpToDate>
  <CharactersWithSpaces>14380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ABHB Highlight Report Template</dc:title>
  <dc:subject/>
  <dc:creator>AFry</dc:creator>
  <cp:keywords/>
  <dc:description/>
  <cp:lastModifiedBy>Jean Packer (Cwm Taf Morgannwg - Maternity)</cp:lastModifiedBy>
  <cp:revision>2</cp:revision>
  <cp:lastPrinted>2020-03-02T13:59:00Z</cp:lastPrinted>
  <dcterms:created xsi:type="dcterms:W3CDTF">2020-03-09T11:26:00Z</dcterms:created>
  <dcterms:modified xsi:type="dcterms:W3CDTF">2020-03-09T11:26:00Z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