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2.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3.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4.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5.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6.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7.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8.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9.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10.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11.xml" ContentType="application/vnd.openxmlformats-officedocument.themeOverrid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12.xml" ContentType="application/vnd.openxmlformats-officedocument.themeOverrid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13.xml" ContentType="application/vnd.openxmlformats-officedocument.themeOverrid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14.xml" ContentType="application/vnd.openxmlformats-officedocument.themeOverride+xml"/>
  <Override PartName="/word/charts/chart42.xml" ContentType="application/vnd.openxmlformats-officedocument.drawingml.chart+xml"/>
  <Override PartName="/word/theme/themeOverride15.xml" ContentType="application/vnd.openxmlformats-officedocument.themeOverride+xml"/>
  <Override PartName="/word/charts/chart43.xml" ContentType="application/vnd.openxmlformats-officedocument.drawingml.chart+xml"/>
  <Override PartName="/word/theme/themeOverride16.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CC25A1" w:rsidRPr="00BA1AF1" w:rsidTr="00CC25A1">
        <w:trPr>
          <w:cantSplit/>
          <w:trHeight w:val="485"/>
        </w:trPr>
        <w:tc>
          <w:tcPr>
            <w:tcW w:w="3115" w:type="dxa"/>
            <w:vAlign w:val="center"/>
          </w:tcPr>
          <w:p w:rsidR="00CC25A1" w:rsidRPr="00BA1AF1" w:rsidRDefault="00CC25A1" w:rsidP="00CC25A1">
            <w:pPr>
              <w:jc w:val="center"/>
              <w:rPr>
                <w:rFonts w:ascii="Verdana" w:hAnsi="Verdana"/>
                <w:b/>
                <w:szCs w:val="24"/>
              </w:rPr>
            </w:pPr>
            <w:r w:rsidRPr="00BA1AF1">
              <w:rPr>
                <w:rFonts w:ascii="Verdana" w:hAnsi="Verdana"/>
                <w:b/>
                <w:szCs w:val="24"/>
              </w:rPr>
              <w:t>AGENDA ITEM</w:t>
            </w:r>
          </w:p>
        </w:tc>
      </w:tr>
      <w:tr w:rsidR="00CC25A1" w:rsidTr="00CC25A1">
        <w:trPr>
          <w:cantSplit/>
          <w:trHeight w:val="563"/>
        </w:trPr>
        <w:tc>
          <w:tcPr>
            <w:tcW w:w="3115" w:type="dxa"/>
            <w:vAlign w:val="center"/>
          </w:tcPr>
          <w:p w:rsidR="00CC25A1" w:rsidRPr="00BA1AF1" w:rsidRDefault="0047423A" w:rsidP="00CC25A1">
            <w:pPr>
              <w:jc w:val="center"/>
              <w:rPr>
                <w:rFonts w:ascii="Verdana" w:hAnsi="Verdana"/>
                <w:szCs w:val="24"/>
              </w:rPr>
            </w:pPr>
            <w:r>
              <w:rPr>
                <w:rFonts w:ascii="Verdana" w:hAnsi="Verdana"/>
                <w:szCs w:val="24"/>
              </w:rPr>
              <w:t>2.12</w:t>
            </w:r>
            <w:bookmarkStart w:id="0" w:name="_GoBack"/>
            <w:bookmarkEnd w:id="0"/>
          </w:p>
        </w:tc>
      </w:tr>
    </w:tbl>
    <w:p w:rsidR="00CC25A1" w:rsidRDefault="00CC25A1" w:rsidP="00CC25A1">
      <w:pPr>
        <w:rPr>
          <w:sz w:val="2"/>
          <w:szCs w:val="2"/>
        </w:rPr>
      </w:pPr>
    </w:p>
    <w:p w:rsidR="00CC25A1" w:rsidRDefault="00CC25A1" w:rsidP="00CC25A1">
      <w:pPr>
        <w:rPr>
          <w:sz w:val="2"/>
          <w:szCs w:val="2"/>
        </w:rPr>
      </w:pPr>
    </w:p>
    <w:p w:rsidR="00CC25A1" w:rsidRDefault="00CC25A1" w:rsidP="00CC25A1">
      <w:pPr>
        <w:rPr>
          <w:sz w:val="2"/>
          <w:szCs w:val="2"/>
        </w:rPr>
      </w:pPr>
    </w:p>
    <w:p w:rsidR="00CC25A1" w:rsidRDefault="00CC25A1" w:rsidP="00CC25A1">
      <w:pPr>
        <w:rPr>
          <w:sz w:val="2"/>
          <w:szCs w:val="2"/>
        </w:rPr>
      </w:pPr>
    </w:p>
    <w:p w:rsidR="00CC25A1" w:rsidRDefault="00CC25A1" w:rsidP="00CC25A1">
      <w:pPr>
        <w:rPr>
          <w:sz w:val="2"/>
          <w:szCs w:val="2"/>
        </w:rPr>
      </w:pPr>
    </w:p>
    <w:p w:rsidR="00CC25A1" w:rsidRPr="00BA1AF1" w:rsidRDefault="00CC25A1" w:rsidP="00CC25A1">
      <w:pPr>
        <w:rPr>
          <w:sz w:val="2"/>
          <w:szCs w:val="2"/>
        </w:rPr>
      </w:pPr>
    </w:p>
    <w:tbl>
      <w:tblPr>
        <w:tblStyle w:val="TableGrid"/>
        <w:tblW w:w="9634" w:type="dxa"/>
        <w:tblLook w:val="04A0" w:firstRow="1" w:lastRow="0" w:firstColumn="1" w:lastColumn="0" w:noHBand="0" w:noVBand="1"/>
      </w:tblPr>
      <w:tblGrid>
        <w:gridCol w:w="9634"/>
      </w:tblGrid>
      <w:tr w:rsidR="00CC25A1" w:rsidRPr="00E23B12" w:rsidTr="005111FB">
        <w:trPr>
          <w:trHeight w:val="681"/>
        </w:trPr>
        <w:sdt>
          <w:sdtPr>
            <w:rPr>
              <w:rStyle w:val="Style21"/>
              <w:rFonts w:ascii="Verdana" w:hAnsi="Verdana"/>
              <w:sz w:val="24"/>
              <w:szCs w:val="24"/>
            </w:rPr>
            <w:id w:val="503714209"/>
            <w:placeholder>
              <w:docPart w:val="6C863889ACE44C26BD508DDFC08B4FA6"/>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CC25A1" w:rsidRPr="00E23B12" w:rsidRDefault="00F65815" w:rsidP="00CC25A1">
                <w:pPr>
                  <w:jc w:val="center"/>
                  <w:rPr>
                    <w:rFonts w:ascii="Verdana" w:hAnsi="Verdana" w:cs="Arial"/>
                    <w:b/>
                    <w:color w:val="000000" w:themeColor="text1"/>
                    <w:szCs w:val="24"/>
                  </w:rPr>
                </w:pPr>
                <w:r>
                  <w:rPr>
                    <w:rStyle w:val="Style21"/>
                    <w:rFonts w:ascii="Verdana" w:hAnsi="Verdana"/>
                    <w:sz w:val="24"/>
                    <w:szCs w:val="24"/>
                  </w:rPr>
                  <w:t>CTM Board</w:t>
                </w:r>
              </w:p>
            </w:tc>
          </w:sdtContent>
        </w:sdt>
      </w:tr>
    </w:tbl>
    <w:p w:rsidR="00CC25A1" w:rsidRPr="00E55D6E" w:rsidRDefault="00CC25A1" w:rsidP="00CC25A1">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CC25A1" w:rsidRPr="00E23B12" w:rsidTr="00CC25A1">
        <w:trPr>
          <w:trHeight w:val="714"/>
        </w:trPr>
        <w:tc>
          <w:tcPr>
            <w:tcW w:w="9634" w:type="dxa"/>
            <w:vAlign w:val="center"/>
          </w:tcPr>
          <w:p w:rsidR="00CC25A1" w:rsidRPr="00E23B12" w:rsidRDefault="00311B30" w:rsidP="00CC25A1">
            <w:pPr>
              <w:jc w:val="center"/>
              <w:rPr>
                <w:rFonts w:ascii="Verdana" w:hAnsi="Verdana" w:cs="Arial"/>
                <w:b/>
                <w:color w:val="000000" w:themeColor="text1"/>
                <w:szCs w:val="24"/>
              </w:rPr>
            </w:pPr>
            <w:r w:rsidRPr="00311B30">
              <w:rPr>
                <w:rStyle w:val="Style7"/>
                <w:rFonts w:ascii="Verdana" w:hAnsi="Verdana"/>
                <w:sz w:val="24"/>
                <w:szCs w:val="24"/>
              </w:rPr>
              <w:t>Patient Safety Quality Dashboard</w:t>
            </w:r>
          </w:p>
        </w:tc>
      </w:tr>
    </w:tbl>
    <w:p w:rsidR="00CC25A1" w:rsidRPr="00E55D6E" w:rsidRDefault="00CC25A1" w:rsidP="00CC25A1">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CC25A1" w:rsidRPr="00E23B12" w:rsidTr="00CC25A1">
        <w:trPr>
          <w:trHeight w:val="561"/>
        </w:trPr>
        <w:tc>
          <w:tcPr>
            <w:tcW w:w="4248" w:type="dxa"/>
            <w:shd w:val="clear" w:color="auto" w:fill="F2F2F2" w:themeFill="background1" w:themeFillShade="F2"/>
            <w:vAlign w:val="center"/>
          </w:tcPr>
          <w:p w:rsidR="00CC25A1" w:rsidRPr="00E23B12" w:rsidRDefault="00CC25A1" w:rsidP="00CC25A1">
            <w:pPr>
              <w:rPr>
                <w:rFonts w:ascii="Verdana" w:hAnsi="Verdana" w:cs="Arial"/>
                <w:b/>
                <w:caps/>
                <w:szCs w:val="24"/>
              </w:rPr>
            </w:pPr>
            <w:r w:rsidRPr="00E23B12">
              <w:rPr>
                <w:rFonts w:ascii="Verdana" w:hAnsi="Verdana" w:cs="Arial"/>
                <w:b/>
                <w:szCs w:val="24"/>
              </w:rPr>
              <w:t xml:space="preserve">Date </w:t>
            </w:r>
            <w:r>
              <w:rPr>
                <w:rFonts w:ascii="Verdana" w:hAnsi="Verdana" w:cs="Arial"/>
                <w:b/>
                <w:szCs w:val="24"/>
              </w:rPr>
              <w:t>o</w:t>
            </w:r>
            <w:r w:rsidRPr="00E23B12">
              <w:rPr>
                <w:rFonts w:ascii="Verdana" w:hAnsi="Verdana" w:cs="Arial"/>
                <w:b/>
                <w:szCs w:val="24"/>
              </w:rPr>
              <w:t xml:space="preserve">f </w:t>
            </w:r>
            <w:r>
              <w:rPr>
                <w:rFonts w:ascii="Verdana" w:hAnsi="Verdana" w:cs="Arial"/>
                <w:b/>
                <w:szCs w:val="24"/>
              </w:rPr>
              <w:t>m</w:t>
            </w:r>
            <w:r w:rsidRPr="00E23B12">
              <w:rPr>
                <w:rFonts w:ascii="Verdana" w:hAnsi="Verdana" w:cs="Arial"/>
                <w:b/>
                <w:szCs w:val="24"/>
              </w:rPr>
              <w:t>eeting</w:t>
            </w:r>
          </w:p>
        </w:tc>
        <w:tc>
          <w:tcPr>
            <w:tcW w:w="5386" w:type="dxa"/>
            <w:vAlign w:val="center"/>
          </w:tcPr>
          <w:p w:rsidR="00CC25A1" w:rsidRPr="00E23B12" w:rsidRDefault="00F65815" w:rsidP="00E00937">
            <w:pPr>
              <w:rPr>
                <w:rFonts w:ascii="Verdana" w:hAnsi="Verdana" w:cs="Arial"/>
                <w:color w:val="FF0000"/>
                <w:szCs w:val="24"/>
              </w:rPr>
            </w:pPr>
            <w:r>
              <w:rPr>
                <w:rStyle w:val="Style8"/>
                <w:rFonts w:ascii="Verdana" w:hAnsi="Verdana"/>
                <w:color w:val="000000" w:themeColor="text1"/>
                <w:szCs w:val="24"/>
              </w:rPr>
              <w:t>26</w:t>
            </w:r>
            <w:r w:rsidR="009F51E9">
              <w:rPr>
                <w:rStyle w:val="Style8"/>
                <w:rFonts w:ascii="Verdana" w:hAnsi="Verdana"/>
                <w:color w:val="000000" w:themeColor="text1"/>
                <w:szCs w:val="24"/>
              </w:rPr>
              <w:t xml:space="preserve"> March 2020</w:t>
            </w:r>
          </w:p>
        </w:tc>
      </w:tr>
    </w:tbl>
    <w:p w:rsidR="00CC25A1" w:rsidRPr="00E55D6E" w:rsidRDefault="00CC25A1" w:rsidP="00CC25A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CC25A1" w:rsidRPr="00E23B12" w:rsidTr="00CC25A1">
        <w:trPr>
          <w:trHeight w:val="573"/>
        </w:trPr>
        <w:tc>
          <w:tcPr>
            <w:tcW w:w="4248" w:type="dxa"/>
            <w:shd w:val="clear" w:color="auto" w:fill="F2F2F2" w:themeFill="background1" w:themeFillShade="F2"/>
            <w:vAlign w:val="center"/>
          </w:tcPr>
          <w:p w:rsidR="00CC25A1" w:rsidRPr="00E23B12" w:rsidRDefault="00CC25A1" w:rsidP="00CC25A1">
            <w:pPr>
              <w:rPr>
                <w:rFonts w:ascii="Verdana" w:hAnsi="Verdana" w:cs="Arial"/>
                <w:b/>
                <w:szCs w:val="24"/>
              </w:rPr>
            </w:pPr>
            <w:r>
              <w:rPr>
                <w:rFonts w:ascii="Verdana" w:hAnsi="Verdana" w:cs="Arial"/>
                <w:b/>
                <w:szCs w:val="24"/>
              </w:rPr>
              <w:t>FOI Status</w:t>
            </w:r>
          </w:p>
        </w:tc>
        <w:tc>
          <w:tcPr>
            <w:tcW w:w="5386" w:type="dxa"/>
            <w:vAlign w:val="center"/>
          </w:tcPr>
          <w:sdt>
            <w:sdtPr>
              <w:rPr>
                <w:rStyle w:val="Style26"/>
                <w:rFonts w:ascii="Verdana" w:hAnsi="Verdana"/>
                <w:szCs w:val="24"/>
              </w:rPr>
              <w:id w:val="1423769853"/>
              <w:placeholder>
                <w:docPart w:val="84C1C947BB42443FB72750B85C93DE72"/>
              </w:placeholder>
              <w15:color w:val="000000"/>
              <w:dropDownList>
                <w:listItem w:value="Choose an item."/>
                <w:listItem w:displayText="Open/Public" w:value="Open/Public"/>
                <w:listItem w:displayText="Closed/Private" w:value="Closed/Private"/>
              </w:dropDownList>
            </w:sdtPr>
            <w:sdtEndPr>
              <w:rPr>
                <w:rStyle w:val="Style26"/>
              </w:rPr>
            </w:sdtEndPr>
            <w:sdtContent>
              <w:p w:rsidR="00CC25A1" w:rsidRPr="00E23B12" w:rsidRDefault="003F65D0" w:rsidP="00CC25A1">
                <w:pPr>
                  <w:rPr>
                    <w:rFonts w:ascii="Verdana" w:hAnsi="Verdana" w:cs="Arial"/>
                    <w:color w:val="FF0000"/>
                    <w:szCs w:val="24"/>
                  </w:rPr>
                </w:pPr>
                <w:r>
                  <w:rPr>
                    <w:rStyle w:val="Style26"/>
                    <w:rFonts w:ascii="Verdana" w:hAnsi="Verdana"/>
                    <w:szCs w:val="24"/>
                  </w:rPr>
                  <w:t>Open/Public</w:t>
                </w:r>
              </w:p>
            </w:sdtContent>
          </w:sdt>
        </w:tc>
      </w:tr>
    </w:tbl>
    <w:p w:rsidR="00CC25A1" w:rsidRPr="00E55D6E" w:rsidRDefault="00CC25A1" w:rsidP="00CC25A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CC25A1" w:rsidRPr="00E23B12" w:rsidTr="00CC25A1">
        <w:trPr>
          <w:trHeight w:val="571"/>
        </w:trPr>
        <w:tc>
          <w:tcPr>
            <w:tcW w:w="4248" w:type="dxa"/>
            <w:shd w:val="clear" w:color="auto" w:fill="F2F2F2" w:themeFill="background1" w:themeFillShade="F2"/>
            <w:vAlign w:val="center"/>
          </w:tcPr>
          <w:p w:rsidR="00CC25A1" w:rsidRPr="00E23B12" w:rsidRDefault="00CC25A1" w:rsidP="00CC25A1">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32B6A16CA4FD48FD99BA0415DD56D89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CC25A1" w:rsidRPr="00E23B12" w:rsidRDefault="003F65D0" w:rsidP="00CC25A1">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CC25A1" w:rsidRPr="00E55D6E" w:rsidRDefault="00CC25A1" w:rsidP="00CC25A1">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CC25A1" w:rsidRPr="00E23B12" w:rsidTr="00CC25A1">
        <w:trPr>
          <w:trHeight w:val="555"/>
        </w:trPr>
        <w:tc>
          <w:tcPr>
            <w:tcW w:w="4248" w:type="dxa"/>
            <w:shd w:val="clear" w:color="auto" w:fill="F2F2F2" w:themeFill="background1" w:themeFillShade="F2"/>
            <w:vAlign w:val="center"/>
          </w:tcPr>
          <w:p w:rsidR="00CC25A1" w:rsidRPr="00E23B12" w:rsidRDefault="00CC25A1" w:rsidP="00CC25A1">
            <w:pPr>
              <w:rPr>
                <w:rFonts w:ascii="Verdana" w:hAnsi="Verdana" w:cs="Arial"/>
                <w:b/>
                <w:caps/>
                <w:szCs w:val="24"/>
              </w:rPr>
            </w:pPr>
            <w:r w:rsidRPr="00E23B12">
              <w:rPr>
                <w:rFonts w:ascii="Verdana" w:hAnsi="Verdana" w:cs="Arial"/>
                <w:b/>
                <w:szCs w:val="24"/>
              </w:rPr>
              <w:t>Prepared by</w:t>
            </w:r>
          </w:p>
        </w:tc>
        <w:tc>
          <w:tcPr>
            <w:tcW w:w="5386" w:type="dxa"/>
            <w:vAlign w:val="center"/>
          </w:tcPr>
          <w:p w:rsidR="000A6BA8" w:rsidRDefault="000A6BA8" w:rsidP="000A6BA8">
            <w:pPr>
              <w:rPr>
                <w:rFonts w:ascii="Verdana" w:hAnsi="Verdana"/>
                <w:szCs w:val="24"/>
              </w:rPr>
            </w:pPr>
            <w:r>
              <w:rPr>
                <w:rFonts w:ascii="Verdana" w:hAnsi="Verdana"/>
                <w:szCs w:val="24"/>
              </w:rPr>
              <w:t>Mark Townsend</w:t>
            </w:r>
            <w:r w:rsidR="000D44DE">
              <w:rPr>
                <w:rFonts w:ascii="Verdana" w:hAnsi="Verdana"/>
                <w:szCs w:val="24"/>
              </w:rPr>
              <w:t>,</w:t>
            </w:r>
            <w:r>
              <w:rPr>
                <w:rFonts w:ascii="Verdana" w:hAnsi="Verdana"/>
                <w:szCs w:val="24"/>
              </w:rPr>
              <w:t xml:space="preserve"> Head of Clinical Audit and Quality Informatics </w:t>
            </w:r>
            <w:hyperlink r:id="rId8" w:history="1">
              <w:r w:rsidRPr="00292165">
                <w:rPr>
                  <w:rStyle w:val="Hyperlink"/>
                  <w:rFonts w:ascii="Verdana" w:hAnsi="Verdana"/>
                  <w:szCs w:val="24"/>
                </w:rPr>
                <w:t>mark.townsend@wales.nhs.uk</w:t>
              </w:r>
            </w:hyperlink>
            <w:r>
              <w:rPr>
                <w:rFonts w:ascii="Verdana" w:hAnsi="Verdana"/>
                <w:szCs w:val="24"/>
              </w:rPr>
              <w:t xml:space="preserve">, </w:t>
            </w:r>
          </w:p>
          <w:p w:rsidR="009F51E9" w:rsidRDefault="000A6BA8" w:rsidP="000A6BA8">
            <w:pPr>
              <w:rPr>
                <w:rStyle w:val="Hyperlink"/>
                <w:rFonts w:ascii="Verdana" w:hAnsi="Verdana"/>
                <w:szCs w:val="24"/>
              </w:rPr>
            </w:pPr>
            <w:r>
              <w:rPr>
                <w:rFonts w:ascii="Verdana" w:hAnsi="Verdana"/>
                <w:szCs w:val="24"/>
              </w:rPr>
              <w:t>Eiri Jones</w:t>
            </w:r>
            <w:r w:rsidR="000D44DE">
              <w:rPr>
                <w:rFonts w:ascii="Verdana" w:hAnsi="Verdana"/>
                <w:szCs w:val="24"/>
              </w:rPr>
              <w:t>,</w:t>
            </w:r>
            <w:r>
              <w:rPr>
                <w:rFonts w:ascii="Verdana" w:hAnsi="Verdana"/>
                <w:szCs w:val="24"/>
              </w:rPr>
              <w:t xml:space="preserve"> Programme Director </w:t>
            </w:r>
            <w:hyperlink r:id="rId9" w:history="1">
              <w:r w:rsidRPr="00292165">
                <w:rPr>
                  <w:rStyle w:val="Hyperlink"/>
                  <w:rFonts w:ascii="Verdana" w:hAnsi="Verdana"/>
                  <w:szCs w:val="24"/>
                </w:rPr>
                <w:t>eiri.jones3@wales.nhs.uk</w:t>
              </w:r>
            </w:hyperlink>
          </w:p>
          <w:p w:rsidR="009F51E9" w:rsidRDefault="009F51E9" w:rsidP="000A6BA8">
            <w:pPr>
              <w:rPr>
                <w:rStyle w:val="Hyperlink"/>
                <w:color w:val="auto"/>
                <w:u w:val="none"/>
              </w:rPr>
            </w:pPr>
            <w:r w:rsidRPr="009F51E9">
              <w:rPr>
                <w:rStyle w:val="Hyperlink"/>
                <w:color w:val="auto"/>
                <w:u w:val="none"/>
              </w:rPr>
              <w:t>Ruth Friel</w:t>
            </w:r>
            <w:r>
              <w:rPr>
                <w:rStyle w:val="Hyperlink"/>
                <w:color w:val="auto"/>
                <w:u w:val="none"/>
              </w:rPr>
              <w:t>, Head of Patient Experience</w:t>
            </w:r>
          </w:p>
          <w:p w:rsidR="009F51E9" w:rsidRPr="009F51E9" w:rsidRDefault="0047423A" w:rsidP="000A6BA8">
            <w:hyperlink r:id="rId10" w:history="1">
              <w:r w:rsidR="009F51E9" w:rsidRPr="0056171B">
                <w:rPr>
                  <w:rStyle w:val="Hyperlink"/>
                </w:rPr>
                <w:t>Ruth.friel@wales.nhs.uk</w:t>
              </w:r>
            </w:hyperlink>
            <w:r w:rsidR="009F51E9">
              <w:rPr>
                <w:rStyle w:val="Hyperlink"/>
                <w:color w:val="auto"/>
                <w:u w:val="none"/>
              </w:rPr>
              <w:t xml:space="preserve"> </w:t>
            </w:r>
          </w:p>
        </w:tc>
      </w:tr>
      <w:tr w:rsidR="00CC25A1" w:rsidRPr="00E23B12" w:rsidTr="00CC25A1">
        <w:trPr>
          <w:trHeight w:val="549"/>
        </w:trPr>
        <w:tc>
          <w:tcPr>
            <w:tcW w:w="4248" w:type="dxa"/>
            <w:shd w:val="clear" w:color="auto" w:fill="F2F2F2" w:themeFill="background1" w:themeFillShade="F2"/>
            <w:vAlign w:val="center"/>
          </w:tcPr>
          <w:p w:rsidR="00CC25A1" w:rsidRPr="00E23B12" w:rsidRDefault="00CC25A1" w:rsidP="00CC25A1">
            <w:pPr>
              <w:rPr>
                <w:rFonts w:ascii="Verdana" w:hAnsi="Verdana" w:cs="Arial"/>
                <w:b/>
                <w:szCs w:val="24"/>
              </w:rPr>
            </w:pPr>
            <w:r w:rsidRPr="00E23B12">
              <w:rPr>
                <w:rFonts w:ascii="Verdana" w:hAnsi="Verdana" w:cs="Arial"/>
                <w:b/>
                <w:szCs w:val="24"/>
              </w:rPr>
              <w:t>Presented by</w:t>
            </w:r>
          </w:p>
        </w:tc>
        <w:tc>
          <w:tcPr>
            <w:tcW w:w="5386" w:type="dxa"/>
            <w:vAlign w:val="center"/>
          </w:tcPr>
          <w:p w:rsidR="00CC25A1" w:rsidRPr="003B0D83" w:rsidRDefault="00F51175" w:rsidP="00CC25A1">
            <w:pPr>
              <w:rPr>
                <w:rFonts w:ascii="Verdana" w:hAnsi="Verdana"/>
                <w:color w:val="FF0000"/>
                <w:sz w:val="22"/>
                <w:szCs w:val="22"/>
              </w:rPr>
            </w:pPr>
            <w:r>
              <w:rPr>
                <w:rFonts w:ascii="Verdana" w:hAnsi="Verdana"/>
                <w:sz w:val="22"/>
                <w:szCs w:val="22"/>
              </w:rPr>
              <w:t xml:space="preserve">Greg Dix, </w:t>
            </w:r>
            <w:r w:rsidR="003F65D0" w:rsidRPr="003B0D83">
              <w:rPr>
                <w:rFonts w:ascii="Verdana" w:hAnsi="Verdana"/>
                <w:sz w:val="22"/>
                <w:szCs w:val="22"/>
              </w:rPr>
              <w:t>Executive Director of Nursing, Midwifery and Patient Care</w:t>
            </w:r>
          </w:p>
        </w:tc>
      </w:tr>
      <w:tr w:rsidR="00CC25A1" w:rsidRPr="00E23B12" w:rsidTr="00CC25A1">
        <w:trPr>
          <w:trHeight w:val="627"/>
        </w:trPr>
        <w:tc>
          <w:tcPr>
            <w:tcW w:w="4248" w:type="dxa"/>
            <w:shd w:val="clear" w:color="auto" w:fill="F2F2F2" w:themeFill="background1" w:themeFillShade="F2"/>
            <w:vAlign w:val="center"/>
          </w:tcPr>
          <w:p w:rsidR="00CC25A1" w:rsidRPr="00E23B12" w:rsidRDefault="00CC25A1" w:rsidP="00CC25A1">
            <w:pPr>
              <w:rPr>
                <w:rFonts w:ascii="Verdana" w:hAnsi="Verdana" w:cs="Arial"/>
                <w:b/>
                <w:szCs w:val="24"/>
              </w:rPr>
            </w:pPr>
            <w:r>
              <w:rPr>
                <w:rFonts w:ascii="Verdana" w:hAnsi="Verdana" w:cs="Arial"/>
                <w:b/>
                <w:szCs w:val="24"/>
              </w:rPr>
              <w:t>Approving Executive Sponsor</w:t>
            </w:r>
          </w:p>
        </w:tc>
        <w:tc>
          <w:tcPr>
            <w:tcW w:w="5386" w:type="dxa"/>
            <w:vAlign w:val="center"/>
          </w:tcPr>
          <w:p w:rsidR="00CC25A1" w:rsidRDefault="00877C31" w:rsidP="00CC25A1">
            <w:pPr>
              <w:rPr>
                <w:rFonts w:ascii="Verdana" w:hAnsi="Verdana"/>
                <w:sz w:val="22"/>
                <w:szCs w:val="22"/>
              </w:rPr>
            </w:pPr>
            <w:r w:rsidRPr="003B0D83">
              <w:rPr>
                <w:rFonts w:ascii="Verdana" w:hAnsi="Verdana"/>
                <w:sz w:val="22"/>
                <w:szCs w:val="22"/>
              </w:rPr>
              <w:t>Executive Director of Nursing, Midwifery and Patient Care</w:t>
            </w:r>
          </w:p>
          <w:p w:rsidR="00877C31" w:rsidRDefault="00877C31" w:rsidP="00CC25A1">
            <w:pPr>
              <w:rPr>
                <w:rFonts w:ascii="Verdana" w:hAnsi="Verdana"/>
                <w:sz w:val="22"/>
                <w:szCs w:val="22"/>
              </w:rPr>
            </w:pPr>
            <w:r>
              <w:rPr>
                <w:rFonts w:ascii="Verdana" w:hAnsi="Verdana"/>
                <w:sz w:val="22"/>
                <w:szCs w:val="22"/>
              </w:rPr>
              <w:t>Medical Director</w:t>
            </w:r>
          </w:p>
          <w:p w:rsidR="00877C31" w:rsidRDefault="00877C31" w:rsidP="00CC25A1">
            <w:pPr>
              <w:rPr>
                <w:rFonts w:ascii="Verdana" w:hAnsi="Verdana"/>
                <w:sz w:val="22"/>
                <w:szCs w:val="22"/>
              </w:rPr>
            </w:pPr>
            <w:r>
              <w:rPr>
                <w:rFonts w:ascii="Verdana" w:hAnsi="Verdana"/>
                <w:sz w:val="22"/>
                <w:szCs w:val="22"/>
              </w:rPr>
              <w:t>Director of Public Health</w:t>
            </w:r>
          </w:p>
          <w:p w:rsidR="00877C31" w:rsidRPr="00E23B12" w:rsidRDefault="00877C31" w:rsidP="00CC25A1">
            <w:pPr>
              <w:rPr>
                <w:rFonts w:ascii="Verdana" w:hAnsi="Verdana"/>
                <w:caps/>
                <w:color w:val="FF0000"/>
                <w:szCs w:val="24"/>
              </w:rPr>
            </w:pPr>
            <w:r>
              <w:rPr>
                <w:rFonts w:ascii="Verdana" w:hAnsi="Verdana"/>
                <w:sz w:val="22"/>
                <w:szCs w:val="22"/>
              </w:rPr>
              <w:t>Director of Therapies</w:t>
            </w:r>
          </w:p>
        </w:tc>
      </w:tr>
    </w:tbl>
    <w:p w:rsidR="00CC25A1" w:rsidRPr="00E55D6E" w:rsidRDefault="00CC25A1" w:rsidP="00CC25A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CC25A1" w:rsidRPr="00E23B12" w:rsidTr="00CC25A1">
        <w:trPr>
          <w:trHeight w:val="669"/>
        </w:trPr>
        <w:tc>
          <w:tcPr>
            <w:tcW w:w="4248" w:type="dxa"/>
            <w:shd w:val="clear" w:color="auto" w:fill="F2F2F2" w:themeFill="background1" w:themeFillShade="F2"/>
            <w:vAlign w:val="center"/>
          </w:tcPr>
          <w:p w:rsidR="00CC25A1" w:rsidRPr="00E23B12" w:rsidRDefault="00CC25A1" w:rsidP="00CC25A1">
            <w:pPr>
              <w:rPr>
                <w:rFonts w:ascii="Verdana" w:hAnsi="Verdana" w:cs="Arial"/>
                <w:b/>
                <w:szCs w:val="24"/>
              </w:rPr>
            </w:pPr>
            <w:r w:rsidRPr="00E23B12">
              <w:rPr>
                <w:rFonts w:ascii="Verdana" w:hAnsi="Verdana" w:cs="Arial"/>
                <w:b/>
                <w:szCs w:val="24"/>
              </w:rPr>
              <w:t>Report purpose</w:t>
            </w:r>
          </w:p>
        </w:tc>
        <w:sdt>
          <w:sdtPr>
            <w:rPr>
              <w:rStyle w:val="Style17"/>
              <w:rFonts w:ascii="Verdana" w:hAnsi="Verdana"/>
              <w:szCs w:val="24"/>
            </w:rPr>
            <w:id w:val="2104064095"/>
            <w:placeholder>
              <w:docPart w:val="7E47725B7FF840B2A35D5A62A82BBAD3"/>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sz w:val="24"/>
            </w:rPr>
          </w:sdtEndPr>
          <w:sdtContent>
            <w:tc>
              <w:tcPr>
                <w:tcW w:w="5386" w:type="dxa"/>
                <w:vAlign w:val="center"/>
              </w:tcPr>
              <w:p w:rsidR="00CC25A1" w:rsidRPr="00E23B12" w:rsidRDefault="000A6BA8" w:rsidP="00CC25A1">
                <w:pPr>
                  <w:rPr>
                    <w:rFonts w:ascii="Verdana" w:hAnsi="Verdana" w:cs="Arial"/>
                    <w:color w:val="FF0000"/>
                    <w:szCs w:val="24"/>
                  </w:rPr>
                </w:pPr>
                <w:r>
                  <w:rPr>
                    <w:rStyle w:val="Style17"/>
                    <w:rFonts w:ascii="Verdana" w:hAnsi="Verdana"/>
                    <w:szCs w:val="24"/>
                  </w:rPr>
                  <w:t xml:space="preserve">FOR DISCUSSION / REVIEW </w:t>
                </w:r>
              </w:p>
            </w:tc>
          </w:sdtContent>
        </w:sdt>
      </w:tr>
    </w:tbl>
    <w:p w:rsidR="00CC25A1" w:rsidRPr="00E55D6E" w:rsidRDefault="00CC25A1" w:rsidP="00CC25A1">
      <w:pPr>
        <w:pStyle w:val="NoSpacing"/>
        <w:rPr>
          <w:rFonts w:ascii="Verdana" w:hAnsi="Verdana" w:cs="Arial"/>
          <w:sz w:val="12"/>
          <w:szCs w:val="24"/>
        </w:rPr>
      </w:pPr>
    </w:p>
    <w:p w:rsidR="00CC25A1" w:rsidRPr="00E55D6E" w:rsidRDefault="00CC25A1" w:rsidP="00CC25A1">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58"/>
        <w:gridCol w:w="3432"/>
      </w:tblGrid>
      <w:tr w:rsidR="00CC25A1" w:rsidRPr="00E23B12" w:rsidTr="00CC25A1">
        <w:trPr>
          <w:trHeight w:val="467"/>
        </w:trPr>
        <w:tc>
          <w:tcPr>
            <w:tcW w:w="9634" w:type="dxa"/>
            <w:gridSpan w:val="3"/>
            <w:shd w:val="clear" w:color="auto" w:fill="F2F2F2" w:themeFill="background1" w:themeFillShade="F2"/>
            <w:vAlign w:val="center"/>
          </w:tcPr>
          <w:p w:rsidR="00CC25A1" w:rsidRPr="00E23B12" w:rsidRDefault="00CC25A1" w:rsidP="00CC25A1">
            <w:pPr>
              <w:rPr>
                <w:rFonts w:ascii="Verdana" w:hAnsi="Verdana" w:cs="Arial"/>
                <w:b/>
                <w:caps/>
                <w:szCs w:val="24"/>
              </w:rPr>
            </w:pPr>
            <w:r>
              <w:rPr>
                <w:rFonts w:ascii="Verdana" w:hAnsi="Verdana" w:cs="Arial"/>
                <w:b/>
                <w:szCs w:val="24"/>
              </w:rPr>
              <w:t xml:space="preserve">Engagement (internal/external) undertaken to date (including receipt/consideration at </w:t>
            </w:r>
            <w:r w:rsidRPr="00E23B12">
              <w:rPr>
                <w:rFonts w:ascii="Verdana" w:hAnsi="Verdana" w:cs="Arial"/>
                <w:b/>
                <w:szCs w:val="24"/>
              </w:rPr>
              <w:t>Committee/group</w:t>
            </w:r>
            <w:r>
              <w:rPr>
                <w:rFonts w:ascii="Verdana" w:hAnsi="Verdana" w:cs="Arial"/>
                <w:b/>
                <w:szCs w:val="24"/>
              </w:rPr>
              <w:t xml:space="preserve">) </w:t>
            </w:r>
          </w:p>
        </w:tc>
      </w:tr>
      <w:tr w:rsidR="00CC25A1" w:rsidRPr="00E23B12" w:rsidTr="00CC25A1">
        <w:trPr>
          <w:trHeight w:val="404"/>
        </w:trPr>
        <w:tc>
          <w:tcPr>
            <w:tcW w:w="3825" w:type="dxa"/>
            <w:shd w:val="clear" w:color="auto" w:fill="F2F2F2" w:themeFill="background1" w:themeFillShade="F2"/>
            <w:vAlign w:val="center"/>
          </w:tcPr>
          <w:p w:rsidR="00CC25A1" w:rsidRPr="00E23B12" w:rsidRDefault="00CC25A1" w:rsidP="00CC25A1">
            <w:pPr>
              <w:rPr>
                <w:rFonts w:ascii="Verdana" w:hAnsi="Verdana" w:cs="Arial"/>
                <w:b/>
                <w:caps/>
                <w:szCs w:val="24"/>
              </w:rPr>
            </w:pPr>
            <w:r>
              <w:rPr>
                <w:rFonts w:ascii="Verdana" w:hAnsi="Verdana" w:cs="Arial"/>
                <w:b/>
                <w:szCs w:val="24"/>
              </w:rPr>
              <w:t>Committee/</w:t>
            </w:r>
            <w:r w:rsidRPr="00E23B12">
              <w:rPr>
                <w:rFonts w:ascii="Verdana" w:hAnsi="Verdana" w:cs="Arial"/>
                <w:b/>
                <w:szCs w:val="24"/>
              </w:rPr>
              <w:t>Group</w:t>
            </w:r>
            <w:r>
              <w:rPr>
                <w:rFonts w:ascii="Verdana" w:hAnsi="Verdana" w:cs="Arial"/>
                <w:b/>
                <w:szCs w:val="24"/>
              </w:rPr>
              <w:t>/Individuals</w:t>
            </w:r>
          </w:p>
        </w:tc>
        <w:tc>
          <w:tcPr>
            <w:tcW w:w="2017" w:type="dxa"/>
            <w:shd w:val="clear" w:color="auto" w:fill="F2F2F2" w:themeFill="background1" w:themeFillShade="F2"/>
            <w:vAlign w:val="center"/>
          </w:tcPr>
          <w:p w:rsidR="00CC25A1" w:rsidRPr="00E23B12" w:rsidRDefault="00CC25A1" w:rsidP="00CC25A1">
            <w:pPr>
              <w:rPr>
                <w:rFonts w:ascii="Verdana" w:hAnsi="Verdana" w:cs="Arial"/>
                <w:b/>
                <w:szCs w:val="24"/>
              </w:rPr>
            </w:pPr>
            <w:r w:rsidRPr="00E23B12">
              <w:rPr>
                <w:rFonts w:ascii="Verdana" w:hAnsi="Verdana" w:cs="Arial"/>
                <w:b/>
                <w:szCs w:val="24"/>
              </w:rPr>
              <w:t>Date</w:t>
            </w:r>
          </w:p>
        </w:tc>
        <w:tc>
          <w:tcPr>
            <w:tcW w:w="3792" w:type="dxa"/>
            <w:shd w:val="clear" w:color="auto" w:fill="F2F2F2" w:themeFill="background1" w:themeFillShade="F2"/>
            <w:vAlign w:val="center"/>
          </w:tcPr>
          <w:p w:rsidR="00CC25A1" w:rsidRPr="00E23B12" w:rsidRDefault="00CC25A1" w:rsidP="00CC25A1">
            <w:pPr>
              <w:rPr>
                <w:rFonts w:ascii="Verdana" w:hAnsi="Verdana" w:cs="Arial"/>
                <w:b/>
                <w:szCs w:val="24"/>
              </w:rPr>
            </w:pPr>
            <w:r w:rsidRPr="00E23B12">
              <w:rPr>
                <w:rFonts w:ascii="Verdana" w:hAnsi="Verdana" w:cs="Arial"/>
                <w:b/>
                <w:szCs w:val="24"/>
              </w:rPr>
              <w:t>Outcome</w:t>
            </w:r>
          </w:p>
        </w:tc>
      </w:tr>
      <w:tr w:rsidR="00CC25A1" w:rsidRPr="00E23B12" w:rsidTr="00CC25A1">
        <w:trPr>
          <w:trHeight w:val="423"/>
        </w:trPr>
        <w:tc>
          <w:tcPr>
            <w:tcW w:w="3825" w:type="dxa"/>
            <w:vAlign w:val="center"/>
          </w:tcPr>
          <w:p w:rsidR="004551EC" w:rsidRDefault="004551EC" w:rsidP="00CF4A62">
            <w:pPr>
              <w:rPr>
                <w:rFonts w:ascii="Verdana" w:hAnsi="Verdana" w:cs="Arial"/>
                <w:szCs w:val="24"/>
              </w:rPr>
            </w:pPr>
            <w:r>
              <w:rPr>
                <w:rFonts w:ascii="Verdana" w:hAnsi="Verdana" w:cs="Arial"/>
                <w:szCs w:val="24"/>
              </w:rPr>
              <w:t xml:space="preserve">Discussions with </w:t>
            </w:r>
            <w:r w:rsidR="00D768D5">
              <w:rPr>
                <w:rFonts w:ascii="Verdana" w:hAnsi="Verdana" w:cs="Arial"/>
                <w:szCs w:val="24"/>
              </w:rPr>
              <w:t xml:space="preserve">key individuals in corporate services and within </w:t>
            </w:r>
            <w:r>
              <w:rPr>
                <w:rFonts w:ascii="Verdana" w:hAnsi="Verdana" w:cs="Arial"/>
                <w:szCs w:val="24"/>
              </w:rPr>
              <w:t>directorates</w:t>
            </w:r>
            <w:r w:rsidR="00C87C29">
              <w:rPr>
                <w:rFonts w:ascii="Verdana" w:hAnsi="Verdana" w:cs="Arial"/>
                <w:szCs w:val="24"/>
              </w:rPr>
              <w:t xml:space="preserve"> and localities</w:t>
            </w:r>
          </w:p>
          <w:p w:rsidR="00D768D5" w:rsidRPr="00E23B12" w:rsidRDefault="00D768D5" w:rsidP="00CF4A62">
            <w:pPr>
              <w:rPr>
                <w:rFonts w:ascii="Verdana" w:hAnsi="Verdana" w:cs="Arial"/>
                <w:szCs w:val="24"/>
              </w:rPr>
            </w:pPr>
            <w:r>
              <w:rPr>
                <w:rFonts w:ascii="Verdana" w:hAnsi="Verdana" w:cs="Arial"/>
                <w:szCs w:val="24"/>
              </w:rPr>
              <w:t xml:space="preserve">Joint working with </w:t>
            </w:r>
            <w:r w:rsidR="00CF4A62">
              <w:rPr>
                <w:rFonts w:ascii="Verdana" w:hAnsi="Verdana" w:cs="Arial"/>
                <w:szCs w:val="24"/>
              </w:rPr>
              <w:t>Performance and Planning team</w:t>
            </w:r>
          </w:p>
        </w:tc>
        <w:tc>
          <w:tcPr>
            <w:tcW w:w="2017" w:type="dxa"/>
            <w:vAlign w:val="center"/>
          </w:tcPr>
          <w:p w:rsidR="00CC25A1" w:rsidRPr="00E23B12" w:rsidRDefault="00CF4A62" w:rsidP="00CC25A1">
            <w:pPr>
              <w:rPr>
                <w:rFonts w:ascii="Verdana" w:hAnsi="Verdana" w:cs="Arial"/>
                <w:szCs w:val="24"/>
              </w:rPr>
            </w:pPr>
            <w:r>
              <w:rPr>
                <w:rStyle w:val="Style8"/>
                <w:color w:val="000000" w:themeColor="text1"/>
              </w:rPr>
              <w:t>Various dates</w:t>
            </w:r>
          </w:p>
        </w:tc>
        <w:tc>
          <w:tcPr>
            <w:tcW w:w="3792" w:type="dxa"/>
            <w:vAlign w:val="center"/>
          </w:tcPr>
          <w:sdt>
            <w:sdtPr>
              <w:rPr>
                <w:rStyle w:val="Style22"/>
                <w:rFonts w:ascii="Verdana" w:hAnsi="Verdana"/>
                <w:szCs w:val="24"/>
              </w:rPr>
              <w:id w:val="1423459883"/>
              <w:placeholder>
                <w:docPart w:val="6E5FF1DDD1C94BAD864CC6932B41E4DB"/>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CC25A1" w:rsidRPr="00E23B12" w:rsidRDefault="00CF4A62" w:rsidP="00CC25A1">
                <w:pPr>
                  <w:rPr>
                    <w:rFonts w:ascii="Verdana" w:hAnsi="Verdana" w:cs="Arial"/>
                    <w:szCs w:val="24"/>
                  </w:rPr>
                </w:pPr>
                <w:r>
                  <w:rPr>
                    <w:rStyle w:val="Style22"/>
                    <w:rFonts w:ascii="Verdana" w:hAnsi="Verdana"/>
                    <w:szCs w:val="24"/>
                  </w:rPr>
                  <w:t xml:space="preserve">SUPPORTED </w:t>
                </w:r>
              </w:p>
            </w:sdtContent>
          </w:sdt>
        </w:tc>
      </w:tr>
    </w:tbl>
    <w:p w:rsidR="00CC25A1" w:rsidRPr="00E55D6E" w:rsidRDefault="00CC25A1" w:rsidP="00CC25A1">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CC25A1" w:rsidRPr="00E23B12" w:rsidTr="00CC25A1">
        <w:trPr>
          <w:trHeight w:val="264"/>
        </w:trPr>
        <w:tc>
          <w:tcPr>
            <w:tcW w:w="9634" w:type="dxa"/>
            <w:gridSpan w:val="2"/>
            <w:shd w:val="clear" w:color="auto" w:fill="F2F2F2" w:themeFill="background1" w:themeFillShade="F2"/>
            <w:vAlign w:val="center"/>
          </w:tcPr>
          <w:p w:rsidR="00CC25A1" w:rsidRPr="00E23B12" w:rsidRDefault="00CC25A1" w:rsidP="00CC25A1">
            <w:pPr>
              <w:rPr>
                <w:rFonts w:ascii="Verdana" w:hAnsi="Verdana" w:cs="Arial"/>
                <w:szCs w:val="24"/>
              </w:rPr>
            </w:pPr>
            <w:r w:rsidRPr="00E23B12">
              <w:rPr>
                <w:rFonts w:ascii="Verdana" w:hAnsi="Verdana" w:cs="Arial"/>
                <w:b/>
                <w:szCs w:val="24"/>
              </w:rPr>
              <w:t>ACRONYMS</w:t>
            </w:r>
          </w:p>
        </w:tc>
      </w:tr>
      <w:tr w:rsidR="00CC25A1" w:rsidRPr="00E23B12" w:rsidTr="00390026">
        <w:trPr>
          <w:trHeight w:val="338"/>
        </w:trPr>
        <w:tc>
          <w:tcPr>
            <w:tcW w:w="846" w:type="dxa"/>
            <w:shd w:val="clear" w:color="auto" w:fill="FFFFFF" w:themeFill="background1"/>
            <w:vAlign w:val="center"/>
          </w:tcPr>
          <w:p w:rsidR="00CC25A1" w:rsidRPr="00E23B12" w:rsidRDefault="00CC25A1" w:rsidP="00CC25A1">
            <w:pPr>
              <w:rPr>
                <w:rFonts w:ascii="Verdana" w:hAnsi="Verdana" w:cs="Arial"/>
                <w:szCs w:val="24"/>
              </w:rPr>
            </w:pPr>
          </w:p>
        </w:tc>
        <w:tc>
          <w:tcPr>
            <w:tcW w:w="8788" w:type="dxa"/>
            <w:vAlign w:val="center"/>
          </w:tcPr>
          <w:p w:rsidR="00CC25A1" w:rsidRPr="00E23B12" w:rsidRDefault="000A6BA8" w:rsidP="00CC25A1">
            <w:pPr>
              <w:rPr>
                <w:rFonts w:ascii="Verdana" w:hAnsi="Verdana" w:cs="Arial"/>
                <w:szCs w:val="24"/>
              </w:rPr>
            </w:pPr>
            <w:r>
              <w:rPr>
                <w:rFonts w:ascii="Verdana" w:hAnsi="Verdana" w:cs="Arial"/>
                <w:szCs w:val="24"/>
              </w:rPr>
              <w:t>All acronyms defined in the report</w:t>
            </w:r>
          </w:p>
        </w:tc>
      </w:tr>
    </w:tbl>
    <w:p w:rsidR="00CC25A1" w:rsidRDefault="00CC25A1" w:rsidP="00B24841">
      <w:pPr>
        <w:pStyle w:val="ListParagraph"/>
        <w:ind w:left="0"/>
        <w:rPr>
          <w:rFonts w:ascii="Verdana" w:hAnsi="Verdana" w:cs="Arial"/>
          <w:b/>
          <w:szCs w:val="24"/>
        </w:rPr>
      </w:pPr>
    </w:p>
    <w:p w:rsidR="00B24841" w:rsidRDefault="00B24841" w:rsidP="00E00937">
      <w:pPr>
        <w:pStyle w:val="ListParagraph"/>
        <w:ind w:left="0"/>
        <w:jc w:val="both"/>
        <w:rPr>
          <w:rFonts w:ascii="Verdana" w:hAnsi="Verdana" w:cs="Arial"/>
          <w:b/>
          <w:szCs w:val="24"/>
        </w:rPr>
      </w:pPr>
      <w:r>
        <w:rPr>
          <w:rFonts w:ascii="Verdana" w:hAnsi="Verdana" w:cs="Arial"/>
          <w:b/>
          <w:szCs w:val="24"/>
        </w:rPr>
        <w:t>EXECUTIVE SUMMARY</w:t>
      </w:r>
    </w:p>
    <w:p w:rsidR="00B24841" w:rsidRDefault="00DF65C7" w:rsidP="00E00937">
      <w:pPr>
        <w:pStyle w:val="ListParagraph"/>
        <w:ind w:left="0"/>
        <w:jc w:val="both"/>
        <w:rPr>
          <w:rFonts w:ascii="Verdana" w:hAnsi="Verdana" w:cs="Arial"/>
          <w:szCs w:val="24"/>
        </w:rPr>
      </w:pPr>
      <w:r>
        <w:rPr>
          <w:rFonts w:ascii="Verdana" w:hAnsi="Verdana" w:cs="Arial"/>
          <w:szCs w:val="24"/>
        </w:rPr>
        <w:t>This report outlines the current position in relation to the agreed quality metrics.</w:t>
      </w:r>
    </w:p>
    <w:p w:rsidR="00D12883" w:rsidRDefault="00D12883" w:rsidP="00E00937">
      <w:pPr>
        <w:pStyle w:val="ListParagraph"/>
        <w:ind w:left="0"/>
        <w:jc w:val="both"/>
        <w:rPr>
          <w:rFonts w:ascii="Verdana" w:hAnsi="Verdana" w:cs="Arial"/>
          <w:szCs w:val="24"/>
        </w:rPr>
      </w:pPr>
    </w:p>
    <w:p w:rsidR="00DF65C7" w:rsidRDefault="00DF65C7" w:rsidP="00E00937">
      <w:pPr>
        <w:pStyle w:val="ListParagraph"/>
        <w:ind w:left="0"/>
        <w:jc w:val="both"/>
        <w:rPr>
          <w:rFonts w:ascii="Verdana" w:hAnsi="Verdana" w:cs="Arial"/>
          <w:szCs w:val="24"/>
        </w:rPr>
      </w:pPr>
      <w:r>
        <w:rPr>
          <w:rFonts w:ascii="Verdana" w:hAnsi="Verdana" w:cs="Arial"/>
          <w:szCs w:val="24"/>
        </w:rPr>
        <w:t>Key areas to note are:</w:t>
      </w:r>
    </w:p>
    <w:p w:rsidR="00DF65C7" w:rsidRDefault="00DF65C7" w:rsidP="00E00937">
      <w:pPr>
        <w:pStyle w:val="ListParagraph"/>
        <w:numPr>
          <w:ilvl w:val="0"/>
          <w:numId w:val="3"/>
        </w:numPr>
        <w:spacing w:before="60" w:after="60"/>
        <w:ind w:left="714" w:hanging="357"/>
        <w:jc w:val="both"/>
        <w:rPr>
          <w:rFonts w:ascii="Verdana" w:hAnsi="Verdana" w:cs="Arial"/>
          <w:szCs w:val="24"/>
        </w:rPr>
      </w:pPr>
      <w:r>
        <w:rPr>
          <w:rFonts w:ascii="Verdana" w:hAnsi="Verdana" w:cs="Arial"/>
          <w:szCs w:val="24"/>
        </w:rPr>
        <w:t>Pressure damage and falls remain the highest number of Serious Incidents</w:t>
      </w:r>
    </w:p>
    <w:p w:rsidR="00DF65C7" w:rsidRPr="000C1004" w:rsidRDefault="00DF65C7" w:rsidP="00E00937">
      <w:pPr>
        <w:pStyle w:val="ListParagraph"/>
        <w:numPr>
          <w:ilvl w:val="0"/>
          <w:numId w:val="3"/>
        </w:numPr>
        <w:spacing w:before="60" w:after="60"/>
        <w:ind w:left="714" w:hanging="357"/>
        <w:jc w:val="both"/>
        <w:rPr>
          <w:rFonts w:ascii="Verdana" w:hAnsi="Verdana" w:cs="Arial"/>
          <w:szCs w:val="24"/>
        </w:rPr>
      </w:pPr>
      <w:r>
        <w:rPr>
          <w:rFonts w:ascii="Verdana" w:hAnsi="Verdana"/>
        </w:rPr>
        <w:t>Key complaints relate to delays in care (mainly ophthalmology), communication and treatment errors.</w:t>
      </w:r>
      <w:r w:rsidR="00896F19">
        <w:rPr>
          <w:rFonts w:ascii="Verdana" w:hAnsi="Verdana"/>
        </w:rPr>
        <w:t xml:space="preserve"> Learning from complaints is shared in a number of methods</w:t>
      </w:r>
    </w:p>
    <w:p w:rsidR="000C1004" w:rsidRPr="00896F19" w:rsidRDefault="000C1004" w:rsidP="00E00937">
      <w:pPr>
        <w:pStyle w:val="ListParagraph"/>
        <w:numPr>
          <w:ilvl w:val="0"/>
          <w:numId w:val="3"/>
        </w:numPr>
        <w:spacing w:before="60" w:after="60"/>
        <w:ind w:left="714" w:hanging="357"/>
        <w:jc w:val="both"/>
        <w:rPr>
          <w:rFonts w:ascii="Verdana" w:hAnsi="Verdana" w:cs="Arial"/>
          <w:szCs w:val="24"/>
        </w:rPr>
      </w:pPr>
      <w:r>
        <w:rPr>
          <w:rFonts w:ascii="Verdana" w:hAnsi="Verdana"/>
        </w:rPr>
        <w:t xml:space="preserve">Real time feedback notes lack of staff (general comment) and reduction in score for kindness and compassion (maternity services) whilst mental health had the lowest scores across all domains in comparison to other areas </w:t>
      </w:r>
    </w:p>
    <w:p w:rsidR="00896F19" w:rsidRPr="000C1004" w:rsidRDefault="00896F19" w:rsidP="00E00937">
      <w:pPr>
        <w:pStyle w:val="ListParagraph"/>
        <w:numPr>
          <w:ilvl w:val="0"/>
          <w:numId w:val="3"/>
        </w:numPr>
        <w:spacing w:before="60" w:after="60"/>
        <w:ind w:left="714" w:hanging="357"/>
        <w:jc w:val="both"/>
        <w:rPr>
          <w:rFonts w:ascii="Verdana" w:hAnsi="Verdana" w:cs="Arial"/>
          <w:szCs w:val="24"/>
        </w:rPr>
      </w:pPr>
      <w:r>
        <w:rPr>
          <w:rFonts w:ascii="Verdana" w:hAnsi="Verdana"/>
        </w:rPr>
        <w:t>Infection prevention and control metrics are considered to be performing well from an All Wales perspective, however for both C Difficile and E Coli the Health Board is above the trajectory</w:t>
      </w:r>
    </w:p>
    <w:p w:rsidR="000C1004" w:rsidRPr="000C1004" w:rsidRDefault="000C1004" w:rsidP="00E00937">
      <w:pPr>
        <w:pStyle w:val="ListParagraph"/>
        <w:numPr>
          <w:ilvl w:val="0"/>
          <w:numId w:val="3"/>
        </w:numPr>
        <w:spacing w:before="60" w:after="60"/>
        <w:ind w:left="714" w:hanging="357"/>
        <w:jc w:val="both"/>
        <w:rPr>
          <w:rFonts w:ascii="Verdana" w:hAnsi="Verdana" w:cs="Arial"/>
          <w:szCs w:val="24"/>
        </w:rPr>
      </w:pPr>
      <w:r>
        <w:rPr>
          <w:rFonts w:ascii="Verdana" w:hAnsi="Verdana"/>
        </w:rPr>
        <w:t>Progress continues across the Emergency Departments and this will have been reviewed in the Quality Assurance committee in February</w:t>
      </w:r>
    </w:p>
    <w:p w:rsidR="00EA094F" w:rsidRPr="00EA094F" w:rsidRDefault="000C1004" w:rsidP="00E00937">
      <w:pPr>
        <w:pStyle w:val="ListParagraph"/>
        <w:numPr>
          <w:ilvl w:val="0"/>
          <w:numId w:val="3"/>
        </w:numPr>
        <w:spacing w:before="60" w:after="60"/>
        <w:ind w:left="714" w:hanging="357"/>
        <w:jc w:val="both"/>
        <w:rPr>
          <w:rFonts w:ascii="Verdana" w:hAnsi="Verdana" w:cs="Arial"/>
          <w:szCs w:val="24"/>
        </w:rPr>
      </w:pPr>
      <w:r>
        <w:rPr>
          <w:rFonts w:ascii="Verdana" w:hAnsi="Verdana"/>
        </w:rPr>
        <w:t xml:space="preserve">Community services </w:t>
      </w:r>
      <w:r w:rsidR="00EA094F">
        <w:rPr>
          <w:rFonts w:ascii="Verdana" w:hAnsi="Verdana"/>
        </w:rPr>
        <w:t>are testing new ways of delivering more effective care</w:t>
      </w:r>
    </w:p>
    <w:p w:rsidR="000C1004" w:rsidRPr="00896F19" w:rsidRDefault="00EA094F" w:rsidP="00E00937">
      <w:pPr>
        <w:pStyle w:val="ListParagraph"/>
        <w:numPr>
          <w:ilvl w:val="0"/>
          <w:numId w:val="3"/>
        </w:numPr>
        <w:spacing w:before="60" w:after="60"/>
        <w:ind w:left="714" w:hanging="357"/>
        <w:jc w:val="both"/>
        <w:rPr>
          <w:rFonts w:ascii="Verdana" w:hAnsi="Verdana" w:cs="Arial"/>
          <w:szCs w:val="24"/>
        </w:rPr>
      </w:pPr>
      <w:r>
        <w:rPr>
          <w:rFonts w:ascii="Verdana" w:hAnsi="Verdana"/>
        </w:rPr>
        <w:t>Desp</w:t>
      </w:r>
      <w:r w:rsidR="00B15F38">
        <w:rPr>
          <w:rFonts w:ascii="Verdana" w:hAnsi="Verdana"/>
        </w:rPr>
        <w:t>ite the lowest feedback score, Adult M</w:t>
      </w:r>
      <w:r w:rsidR="000C1004">
        <w:rPr>
          <w:rFonts w:ascii="Verdana" w:hAnsi="Verdana"/>
        </w:rPr>
        <w:t>ental Health services continue to demonstrate positive examples of care</w:t>
      </w:r>
      <w:r>
        <w:rPr>
          <w:rFonts w:ascii="Verdana" w:hAnsi="Verdana"/>
        </w:rPr>
        <w:t xml:space="preserve"> in their key metrics</w:t>
      </w:r>
    </w:p>
    <w:p w:rsidR="00B24841" w:rsidRDefault="00B24841" w:rsidP="00B24841">
      <w:pPr>
        <w:pStyle w:val="ListParagraph"/>
        <w:ind w:left="0"/>
        <w:rPr>
          <w:rFonts w:ascii="Verdana" w:hAnsi="Verdana" w:cs="Arial"/>
          <w:b/>
          <w:szCs w:val="24"/>
        </w:rPr>
      </w:pPr>
    </w:p>
    <w:p w:rsidR="00551D49" w:rsidRPr="00551D49" w:rsidRDefault="00551D49" w:rsidP="00E00937">
      <w:pPr>
        <w:pStyle w:val="ListParagraph"/>
        <w:ind w:left="0"/>
        <w:jc w:val="both"/>
        <w:rPr>
          <w:rFonts w:ascii="Verdana" w:hAnsi="Verdana" w:cs="Arial"/>
          <w:szCs w:val="24"/>
        </w:rPr>
      </w:pPr>
      <w:r w:rsidRPr="00551D49">
        <w:rPr>
          <w:rFonts w:ascii="Verdana" w:hAnsi="Verdana" w:cs="Arial"/>
          <w:szCs w:val="24"/>
        </w:rPr>
        <w:t>Actio</w:t>
      </w:r>
      <w:r w:rsidR="00342D9A">
        <w:rPr>
          <w:rFonts w:ascii="Verdana" w:hAnsi="Verdana" w:cs="Arial"/>
          <w:szCs w:val="24"/>
        </w:rPr>
        <w:t>ns are in place to address these</w:t>
      </w:r>
      <w:r w:rsidRPr="00551D49">
        <w:rPr>
          <w:rFonts w:ascii="Verdana" w:hAnsi="Verdana" w:cs="Arial"/>
          <w:szCs w:val="24"/>
        </w:rPr>
        <w:t xml:space="preserve"> issues. These are outlined in the report. Of note is the setting of</w:t>
      </w:r>
      <w:r w:rsidR="00342D9A">
        <w:rPr>
          <w:rFonts w:ascii="Verdana" w:hAnsi="Verdana" w:cs="Arial"/>
          <w:szCs w:val="24"/>
        </w:rPr>
        <w:t xml:space="preserve"> </w:t>
      </w:r>
      <w:r w:rsidRPr="00551D49">
        <w:rPr>
          <w:rFonts w:ascii="Verdana" w:hAnsi="Verdana" w:cs="Arial"/>
          <w:szCs w:val="24"/>
        </w:rPr>
        <w:t>improvement trajectories for both reduction of falls with harms and for pressure ulcers grades 3 and 4.</w:t>
      </w:r>
    </w:p>
    <w:p w:rsidR="004727A2" w:rsidRPr="00CD317A" w:rsidRDefault="004727A2" w:rsidP="00CD317A">
      <w:pPr>
        <w:rPr>
          <w:rFonts w:ascii="Verdana" w:hAnsi="Verdana" w:cs="Arial"/>
          <w:b/>
          <w:szCs w:val="24"/>
        </w:rPr>
      </w:pPr>
    </w:p>
    <w:p w:rsidR="00CC25A1" w:rsidRPr="00E23B12" w:rsidRDefault="00CC25A1" w:rsidP="00934688">
      <w:pPr>
        <w:pStyle w:val="ListParagraph"/>
        <w:numPr>
          <w:ilvl w:val="0"/>
          <w:numId w:val="1"/>
        </w:numPr>
        <w:contextualSpacing/>
        <w:rPr>
          <w:rFonts w:ascii="Verdana" w:hAnsi="Verdana" w:cs="Arial"/>
          <w:b/>
          <w:szCs w:val="24"/>
        </w:rPr>
      </w:pPr>
      <w:r w:rsidRPr="00E23B12">
        <w:rPr>
          <w:rFonts w:ascii="Verdana" w:hAnsi="Verdana" w:cs="Arial"/>
          <w:b/>
          <w:szCs w:val="24"/>
        </w:rPr>
        <w:tab/>
        <w:t>SITUATION/BACKGROUND</w:t>
      </w:r>
    </w:p>
    <w:p w:rsidR="00CC25A1" w:rsidRPr="00E23B12" w:rsidRDefault="00CC25A1" w:rsidP="00CC25A1">
      <w:pPr>
        <w:pStyle w:val="ListParagraph"/>
        <w:ind w:left="360"/>
        <w:rPr>
          <w:rFonts w:ascii="Verdana" w:hAnsi="Verdana" w:cs="Arial"/>
          <w:b/>
          <w:szCs w:val="24"/>
        </w:rPr>
      </w:pPr>
    </w:p>
    <w:p w:rsidR="00B125FF" w:rsidRDefault="000A6BA8" w:rsidP="00B72F20">
      <w:pPr>
        <w:contextualSpacing/>
        <w:jc w:val="both"/>
        <w:rPr>
          <w:rFonts w:ascii="Verdana" w:hAnsi="Verdana" w:cs="Arial"/>
          <w:szCs w:val="24"/>
        </w:rPr>
      </w:pPr>
      <w:r w:rsidRPr="00B125FF">
        <w:rPr>
          <w:rFonts w:ascii="Verdana" w:hAnsi="Verdana" w:cs="Arial"/>
          <w:szCs w:val="24"/>
        </w:rPr>
        <w:t xml:space="preserve">The Quality Dashboard </w:t>
      </w:r>
      <w:r w:rsidR="00474F62">
        <w:rPr>
          <w:rFonts w:ascii="Verdana" w:hAnsi="Verdana" w:cs="Arial"/>
          <w:szCs w:val="24"/>
        </w:rPr>
        <w:t>continues to evolve as we undertake more discussion with services around the quality of care</w:t>
      </w:r>
      <w:r w:rsidR="00E041D7">
        <w:rPr>
          <w:rFonts w:ascii="Verdana" w:hAnsi="Verdana" w:cs="Arial"/>
          <w:szCs w:val="24"/>
        </w:rPr>
        <w:t xml:space="preserve"> and how they provide assurance</w:t>
      </w:r>
      <w:r w:rsidR="00044A0F">
        <w:rPr>
          <w:rFonts w:ascii="Verdana" w:hAnsi="Verdana" w:cs="Arial"/>
          <w:szCs w:val="24"/>
        </w:rPr>
        <w:t xml:space="preserve"> on safety</w:t>
      </w:r>
      <w:r w:rsidR="00474F62">
        <w:rPr>
          <w:rFonts w:ascii="Verdana" w:hAnsi="Verdana" w:cs="Arial"/>
          <w:szCs w:val="24"/>
        </w:rPr>
        <w:t xml:space="preserve">. </w:t>
      </w:r>
      <w:r w:rsidR="00E041D7">
        <w:rPr>
          <w:rFonts w:ascii="Verdana" w:hAnsi="Verdana" w:cs="Arial"/>
          <w:szCs w:val="24"/>
        </w:rPr>
        <w:t>The report also includes a section on patient experience. This will be enhanced with the introduction of the new all Wales approach for which the Health Board is an early implementer. This is due to commence in April 2020 and an update will be provided in the May report.</w:t>
      </w:r>
    </w:p>
    <w:p w:rsidR="00474F62" w:rsidRDefault="00474F62" w:rsidP="00B72F20">
      <w:pPr>
        <w:contextualSpacing/>
        <w:jc w:val="both"/>
        <w:rPr>
          <w:rFonts w:ascii="Verdana" w:hAnsi="Verdana" w:cs="Arial"/>
          <w:szCs w:val="24"/>
        </w:rPr>
      </w:pPr>
    </w:p>
    <w:p w:rsidR="00017D29" w:rsidRDefault="001016F2" w:rsidP="00B72F20">
      <w:pPr>
        <w:contextualSpacing/>
        <w:jc w:val="both"/>
        <w:rPr>
          <w:rFonts w:ascii="Verdana" w:hAnsi="Verdana" w:cs="Arial"/>
          <w:szCs w:val="24"/>
        </w:rPr>
      </w:pPr>
      <w:r>
        <w:rPr>
          <w:rFonts w:ascii="Verdana" w:hAnsi="Verdana" w:cs="Arial"/>
          <w:szCs w:val="24"/>
        </w:rPr>
        <w:t>This report</w:t>
      </w:r>
      <w:r w:rsidR="00B125FF">
        <w:rPr>
          <w:rFonts w:ascii="Verdana" w:hAnsi="Verdana" w:cs="Arial"/>
          <w:szCs w:val="24"/>
        </w:rPr>
        <w:t xml:space="preserve"> provid</w:t>
      </w:r>
      <w:r w:rsidR="00B125FF" w:rsidRPr="00D916EE">
        <w:rPr>
          <w:rFonts w:ascii="Verdana" w:hAnsi="Verdana" w:cs="Arial"/>
          <w:szCs w:val="24"/>
        </w:rPr>
        <w:t xml:space="preserve">es (where available) data for the past 12 months and also includes trends as a </w:t>
      </w:r>
      <w:r w:rsidR="00B538F1">
        <w:rPr>
          <w:rFonts w:ascii="Verdana" w:hAnsi="Verdana" w:cs="Arial"/>
          <w:szCs w:val="24"/>
        </w:rPr>
        <w:t xml:space="preserve">Statistical Process Control chart </w:t>
      </w:r>
      <w:r w:rsidR="00AC3FDA">
        <w:rPr>
          <w:rFonts w:ascii="Verdana" w:hAnsi="Verdana" w:cs="Arial"/>
          <w:szCs w:val="24"/>
        </w:rPr>
        <w:t>(</w:t>
      </w:r>
      <w:r w:rsidR="00B125FF" w:rsidRPr="00B538F1">
        <w:rPr>
          <w:rFonts w:ascii="Verdana" w:hAnsi="Verdana" w:cs="Arial"/>
          <w:szCs w:val="24"/>
        </w:rPr>
        <w:t>SPC</w:t>
      </w:r>
      <w:r w:rsidR="00AC3FDA">
        <w:rPr>
          <w:rFonts w:ascii="Verdana" w:hAnsi="Verdana" w:cs="Arial"/>
          <w:szCs w:val="24"/>
        </w:rPr>
        <w:t>)</w:t>
      </w:r>
      <w:r w:rsidR="00B125FF" w:rsidRPr="00D916EE">
        <w:rPr>
          <w:rFonts w:ascii="Verdana" w:hAnsi="Verdana" w:cs="Arial"/>
          <w:szCs w:val="24"/>
        </w:rPr>
        <w:t>.</w:t>
      </w:r>
      <w:r w:rsidR="00D916EE" w:rsidRPr="00D916EE">
        <w:rPr>
          <w:rFonts w:ascii="Verdana" w:hAnsi="Verdana" w:cs="Arial"/>
          <w:szCs w:val="24"/>
        </w:rPr>
        <w:t xml:space="preserve"> </w:t>
      </w:r>
      <w:r w:rsidR="00AC3FDA">
        <w:rPr>
          <w:rFonts w:ascii="Verdana" w:hAnsi="Verdana" w:cs="Arial"/>
          <w:szCs w:val="24"/>
        </w:rPr>
        <w:t xml:space="preserve">The </w:t>
      </w:r>
      <w:r w:rsidR="00E23817">
        <w:rPr>
          <w:rFonts w:ascii="Verdana" w:hAnsi="Verdana" w:cs="Arial"/>
          <w:szCs w:val="24"/>
        </w:rPr>
        <w:t>data is</w:t>
      </w:r>
      <w:r w:rsidR="00D916EE" w:rsidRPr="00D916EE">
        <w:rPr>
          <w:rFonts w:ascii="Verdana" w:hAnsi="Verdana" w:cs="Arial"/>
          <w:szCs w:val="24"/>
        </w:rPr>
        <w:t xml:space="preserve"> taken from the Health Board’s Datix system</w:t>
      </w:r>
      <w:r w:rsidR="00F00144">
        <w:rPr>
          <w:rFonts w:ascii="Verdana" w:hAnsi="Verdana" w:cs="Arial"/>
          <w:szCs w:val="24"/>
        </w:rPr>
        <w:t>, with some further data from Myrddin (All Wales system) and other national reporting systems</w:t>
      </w:r>
      <w:r>
        <w:rPr>
          <w:rFonts w:ascii="Verdana" w:hAnsi="Verdana" w:cs="Arial"/>
          <w:szCs w:val="24"/>
        </w:rPr>
        <w:t>.</w:t>
      </w:r>
      <w:r w:rsidR="00D916EE" w:rsidRPr="00D916EE">
        <w:rPr>
          <w:rFonts w:ascii="Verdana" w:hAnsi="Verdana" w:cs="Arial"/>
          <w:szCs w:val="24"/>
        </w:rPr>
        <w:t xml:space="preserve"> </w:t>
      </w:r>
    </w:p>
    <w:p w:rsidR="00017D29" w:rsidRDefault="00017D29" w:rsidP="00B72F20">
      <w:pPr>
        <w:contextualSpacing/>
        <w:jc w:val="both"/>
        <w:rPr>
          <w:rFonts w:ascii="Verdana" w:hAnsi="Verdana" w:cs="Arial"/>
          <w:szCs w:val="24"/>
        </w:rPr>
      </w:pPr>
    </w:p>
    <w:p w:rsidR="00E1435A" w:rsidRDefault="00E1435A" w:rsidP="00E1435A">
      <w:pPr>
        <w:contextualSpacing/>
        <w:jc w:val="both"/>
        <w:rPr>
          <w:rFonts w:ascii="Verdana" w:hAnsi="Verdana" w:cs="Arial"/>
          <w:szCs w:val="24"/>
        </w:rPr>
      </w:pPr>
      <w:r w:rsidRPr="00D916EE">
        <w:rPr>
          <w:rFonts w:ascii="Verdana" w:hAnsi="Verdana" w:cs="Arial"/>
          <w:szCs w:val="24"/>
        </w:rPr>
        <w:t>Currently</w:t>
      </w:r>
      <w:r>
        <w:rPr>
          <w:rFonts w:ascii="Verdana" w:hAnsi="Verdana" w:cs="Arial"/>
          <w:szCs w:val="24"/>
        </w:rPr>
        <w:t>,</w:t>
      </w:r>
      <w:r w:rsidRPr="00D916EE">
        <w:rPr>
          <w:rFonts w:ascii="Verdana" w:hAnsi="Verdana" w:cs="Arial"/>
          <w:szCs w:val="24"/>
        </w:rPr>
        <w:t xml:space="preserve"> </w:t>
      </w:r>
      <w:r>
        <w:rPr>
          <w:rFonts w:ascii="Verdana" w:hAnsi="Verdana" w:cs="Arial"/>
          <w:szCs w:val="24"/>
        </w:rPr>
        <w:t>work is underway to improve data validation for areas of limited assurance</w:t>
      </w:r>
      <w:r w:rsidRPr="00D916EE">
        <w:rPr>
          <w:rFonts w:ascii="Verdana" w:hAnsi="Verdana" w:cs="Arial"/>
          <w:szCs w:val="24"/>
        </w:rPr>
        <w:t xml:space="preserve">. </w:t>
      </w:r>
      <w:r>
        <w:rPr>
          <w:rFonts w:ascii="Verdana" w:hAnsi="Verdana" w:cs="Arial"/>
          <w:szCs w:val="24"/>
        </w:rPr>
        <w:t>For the next report it is proposed that each metric has a</w:t>
      </w:r>
      <w:r w:rsidR="00B92378">
        <w:rPr>
          <w:rFonts w:ascii="Verdana" w:hAnsi="Verdana" w:cs="Arial"/>
          <w:szCs w:val="24"/>
        </w:rPr>
        <w:t>n agreed</w:t>
      </w:r>
      <w:r>
        <w:rPr>
          <w:rFonts w:ascii="Verdana" w:hAnsi="Verdana" w:cs="Arial"/>
          <w:szCs w:val="24"/>
        </w:rPr>
        <w:t xml:space="preserve"> definition and an identified </w:t>
      </w:r>
      <w:r w:rsidR="00756ACF">
        <w:rPr>
          <w:rFonts w:ascii="Verdana" w:hAnsi="Verdana" w:cs="Arial"/>
          <w:szCs w:val="24"/>
        </w:rPr>
        <w:t xml:space="preserve">validated </w:t>
      </w:r>
      <w:r>
        <w:rPr>
          <w:rFonts w:ascii="Verdana" w:hAnsi="Verdana" w:cs="Arial"/>
          <w:szCs w:val="24"/>
        </w:rPr>
        <w:t>source.</w:t>
      </w:r>
    </w:p>
    <w:p w:rsidR="00BF5D79" w:rsidRDefault="00BF5D79" w:rsidP="00EF0AE7">
      <w:pPr>
        <w:contextualSpacing/>
        <w:jc w:val="both"/>
        <w:rPr>
          <w:rFonts w:ascii="Verdana" w:hAnsi="Verdana" w:cs="Arial"/>
          <w:szCs w:val="24"/>
        </w:rPr>
      </w:pPr>
    </w:p>
    <w:p w:rsidR="00BF5D79" w:rsidRDefault="00BF5D79" w:rsidP="00EF0AE7">
      <w:pPr>
        <w:contextualSpacing/>
        <w:jc w:val="both"/>
        <w:rPr>
          <w:rFonts w:ascii="Verdana" w:hAnsi="Verdana" w:cs="Arial"/>
          <w:szCs w:val="24"/>
        </w:rPr>
      </w:pPr>
      <w:r>
        <w:rPr>
          <w:rFonts w:ascii="Verdana" w:hAnsi="Verdana" w:cs="Arial"/>
          <w:szCs w:val="24"/>
        </w:rPr>
        <w:lastRenderedPageBreak/>
        <w:t xml:space="preserve">Work continues with the Performance Team to ensure that quality has a </w:t>
      </w:r>
      <w:r w:rsidR="00B15F38">
        <w:rPr>
          <w:rFonts w:ascii="Verdana" w:hAnsi="Verdana" w:cs="Arial"/>
          <w:szCs w:val="24"/>
        </w:rPr>
        <w:t xml:space="preserve">central </w:t>
      </w:r>
      <w:r>
        <w:rPr>
          <w:rFonts w:ascii="Verdana" w:hAnsi="Verdana" w:cs="Arial"/>
          <w:szCs w:val="24"/>
        </w:rPr>
        <w:t>focus in the integrated performance report. This was commenced in January and will continue in each Board report.</w:t>
      </w:r>
    </w:p>
    <w:p w:rsidR="00EF0AE7" w:rsidRDefault="00EF0AE7" w:rsidP="00EF0AE7">
      <w:pPr>
        <w:contextualSpacing/>
        <w:jc w:val="both"/>
        <w:rPr>
          <w:rFonts w:ascii="Verdana" w:hAnsi="Verdana" w:cs="Arial"/>
          <w:szCs w:val="24"/>
        </w:rPr>
      </w:pPr>
    </w:p>
    <w:p w:rsidR="00EF0AE7" w:rsidRDefault="00EF0AE7" w:rsidP="00EF0AE7">
      <w:pPr>
        <w:contextualSpacing/>
        <w:jc w:val="both"/>
        <w:rPr>
          <w:rFonts w:ascii="Verdana" w:hAnsi="Verdana" w:cs="Arial"/>
          <w:szCs w:val="24"/>
        </w:rPr>
      </w:pPr>
      <w:r>
        <w:rPr>
          <w:rFonts w:ascii="Verdana" w:hAnsi="Verdana" w:cs="Arial"/>
          <w:szCs w:val="24"/>
        </w:rPr>
        <w:t>Since the last report, work has commenced on identifying the risks to quality, alongside the quality priorities and the quality ambition</w:t>
      </w:r>
      <w:r w:rsidR="00FA17FA">
        <w:rPr>
          <w:rFonts w:ascii="Verdana" w:hAnsi="Verdana" w:cs="Arial"/>
          <w:szCs w:val="24"/>
        </w:rPr>
        <w:t>s for the Health Board</w:t>
      </w:r>
      <w:r>
        <w:rPr>
          <w:rFonts w:ascii="Verdana" w:hAnsi="Verdana" w:cs="Arial"/>
          <w:szCs w:val="24"/>
        </w:rPr>
        <w:t xml:space="preserve">. Additional work has </w:t>
      </w:r>
      <w:r w:rsidR="00FA17FA">
        <w:rPr>
          <w:rFonts w:ascii="Verdana" w:hAnsi="Verdana" w:cs="Arial"/>
          <w:szCs w:val="24"/>
        </w:rPr>
        <w:t xml:space="preserve">also </w:t>
      </w:r>
      <w:r>
        <w:rPr>
          <w:rFonts w:ascii="Verdana" w:hAnsi="Verdana" w:cs="Arial"/>
          <w:szCs w:val="24"/>
        </w:rPr>
        <w:t>commenced to identify the pillars to quality across the Health Boar</w:t>
      </w:r>
      <w:r w:rsidR="00EE3FCE">
        <w:rPr>
          <w:rFonts w:ascii="Verdana" w:hAnsi="Verdana" w:cs="Arial"/>
          <w:szCs w:val="24"/>
        </w:rPr>
        <w:t>d</w:t>
      </w:r>
      <w:r w:rsidR="00FA17FA">
        <w:rPr>
          <w:rFonts w:ascii="Verdana" w:hAnsi="Verdana" w:cs="Arial"/>
          <w:szCs w:val="24"/>
        </w:rPr>
        <w:t>. This</w:t>
      </w:r>
      <w:r w:rsidR="00EE3FCE">
        <w:rPr>
          <w:rFonts w:ascii="Verdana" w:hAnsi="Verdana" w:cs="Arial"/>
          <w:szCs w:val="24"/>
        </w:rPr>
        <w:t xml:space="preserve"> will inform the next </w:t>
      </w:r>
      <w:r w:rsidR="00FA17FA">
        <w:rPr>
          <w:rFonts w:ascii="Verdana" w:hAnsi="Verdana" w:cs="Arial"/>
          <w:szCs w:val="24"/>
        </w:rPr>
        <w:t xml:space="preserve">quality </w:t>
      </w:r>
      <w:r w:rsidR="00EE3FCE">
        <w:rPr>
          <w:rFonts w:ascii="Verdana" w:hAnsi="Verdana" w:cs="Arial"/>
          <w:szCs w:val="24"/>
        </w:rPr>
        <w:t>strategy.</w:t>
      </w:r>
    </w:p>
    <w:p w:rsidR="00EE3FCE" w:rsidRDefault="00EE3FCE" w:rsidP="00EF0AE7">
      <w:pPr>
        <w:contextualSpacing/>
        <w:jc w:val="both"/>
        <w:rPr>
          <w:rFonts w:ascii="Verdana" w:hAnsi="Verdana" w:cs="Arial"/>
          <w:szCs w:val="24"/>
        </w:rPr>
      </w:pPr>
    </w:p>
    <w:p w:rsidR="00EE3FCE" w:rsidRDefault="00EE3FCE" w:rsidP="00EF0AE7">
      <w:pPr>
        <w:contextualSpacing/>
        <w:jc w:val="both"/>
        <w:rPr>
          <w:rFonts w:ascii="Verdana" w:hAnsi="Verdana" w:cs="Arial"/>
          <w:szCs w:val="24"/>
        </w:rPr>
      </w:pPr>
      <w:r>
        <w:rPr>
          <w:rFonts w:ascii="Verdana" w:hAnsi="Verdana" w:cs="Arial"/>
          <w:szCs w:val="24"/>
        </w:rPr>
        <w:t>Within this report, some improvement trajectories have been proposed (falls and pressure ulcers).</w:t>
      </w:r>
      <w:r w:rsidR="00B15F38">
        <w:rPr>
          <w:rFonts w:ascii="Verdana" w:hAnsi="Verdana" w:cs="Arial"/>
          <w:szCs w:val="24"/>
        </w:rPr>
        <w:t xml:space="preserve"> This emphasises an ethos of positive progression and facilitates progress against these; </w:t>
      </w:r>
      <w:r w:rsidR="00CD3D36">
        <w:rPr>
          <w:rFonts w:ascii="Verdana" w:hAnsi="Verdana" w:cs="Arial"/>
          <w:szCs w:val="24"/>
        </w:rPr>
        <w:t>future traject</w:t>
      </w:r>
      <w:r w:rsidR="00B15F38">
        <w:rPr>
          <w:rFonts w:ascii="Verdana" w:hAnsi="Verdana" w:cs="Arial"/>
          <w:szCs w:val="24"/>
        </w:rPr>
        <w:t>ories will be tracked for forthcoming</w:t>
      </w:r>
      <w:r w:rsidR="00CD3D36">
        <w:rPr>
          <w:rFonts w:ascii="Verdana" w:hAnsi="Verdana" w:cs="Arial"/>
          <w:szCs w:val="24"/>
        </w:rPr>
        <w:t xml:space="preserve"> reports.</w:t>
      </w:r>
    </w:p>
    <w:p w:rsidR="00EE3FCE" w:rsidRDefault="00EE3FCE" w:rsidP="00EF0AE7">
      <w:pPr>
        <w:contextualSpacing/>
        <w:jc w:val="both"/>
        <w:rPr>
          <w:rFonts w:ascii="Verdana" w:hAnsi="Verdana" w:cs="Arial"/>
          <w:szCs w:val="24"/>
        </w:rPr>
      </w:pPr>
    </w:p>
    <w:p w:rsidR="00A174BC" w:rsidRDefault="00A174BC" w:rsidP="00EF0AE7">
      <w:pPr>
        <w:contextualSpacing/>
        <w:jc w:val="both"/>
        <w:rPr>
          <w:rFonts w:ascii="Verdana" w:hAnsi="Verdana" w:cs="Arial"/>
          <w:szCs w:val="24"/>
        </w:rPr>
      </w:pPr>
      <w:r>
        <w:rPr>
          <w:rFonts w:ascii="Verdana" w:hAnsi="Verdana" w:cs="Arial"/>
          <w:szCs w:val="24"/>
        </w:rPr>
        <w:t>In developi</w:t>
      </w:r>
      <w:r w:rsidR="00B15F38">
        <w:rPr>
          <w:rFonts w:ascii="Verdana" w:hAnsi="Verdana" w:cs="Arial"/>
          <w:szCs w:val="24"/>
        </w:rPr>
        <w:t>ng the report on behalf of the L</w:t>
      </w:r>
      <w:r>
        <w:rPr>
          <w:rFonts w:ascii="Verdana" w:hAnsi="Verdana" w:cs="Arial"/>
          <w:szCs w:val="24"/>
        </w:rPr>
        <w:t xml:space="preserve">ead </w:t>
      </w:r>
      <w:r w:rsidR="00B15F38">
        <w:rPr>
          <w:rFonts w:ascii="Verdana" w:hAnsi="Verdana" w:cs="Arial"/>
          <w:szCs w:val="24"/>
        </w:rPr>
        <w:t xml:space="preserve">Executive </w:t>
      </w:r>
      <w:r>
        <w:rPr>
          <w:rFonts w:ascii="Verdana" w:hAnsi="Verdana" w:cs="Arial"/>
          <w:szCs w:val="24"/>
        </w:rPr>
        <w:t>Director, the patient care and safety team have worked in partnership with the Medical and Primary Care Directors.</w:t>
      </w:r>
    </w:p>
    <w:p w:rsidR="00A174BC" w:rsidRDefault="00A174BC" w:rsidP="00EF0AE7">
      <w:pPr>
        <w:contextualSpacing/>
        <w:jc w:val="both"/>
        <w:rPr>
          <w:rFonts w:ascii="Verdana" w:hAnsi="Verdana" w:cs="Arial"/>
          <w:szCs w:val="24"/>
        </w:rPr>
      </w:pPr>
    </w:p>
    <w:p w:rsidR="00EE3FCE" w:rsidRDefault="00EE3FCE" w:rsidP="00EF0AE7">
      <w:pPr>
        <w:contextualSpacing/>
        <w:jc w:val="both"/>
        <w:rPr>
          <w:rFonts w:ascii="Verdana" w:hAnsi="Verdana" w:cs="Arial"/>
          <w:szCs w:val="24"/>
        </w:rPr>
      </w:pPr>
      <w:r>
        <w:rPr>
          <w:rFonts w:ascii="Verdana" w:hAnsi="Verdana" w:cs="Arial"/>
          <w:szCs w:val="24"/>
        </w:rPr>
        <w:t>Finally, discussions have commenced with the three new Group Directors to align the metrics and governance arrangements across each locality.</w:t>
      </w:r>
    </w:p>
    <w:p w:rsidR="00A174BC" w:rsidRDefault="00A174BC" w:rsidP="00EF0AE7">
      <w:pPr>
        <w:contextualSpacing/>
        <w:jc w:val="both"/>
        <w:rPr>
          <w:rFonts w:ascii="Verdana" w:hAnsi="Verdana" w:cs="Arial"/>
          <w:szCs w:val="24"/>
        </w:rPr>
      </w:pPr>
    </w:p>
    <w:p w:rsidR="00955742" w:rsidRPr="00955742" w:rsidRDefault="00955742" w:rsidP="00955742">
      <w:pPr>
        <w:contextualSpacing/>
        <w:rPr>
          <w:rFonts w:ascii="Verdana" w:hAnsi="Verdana" w:cs="Arial"/>
          <w:i/>
          <w:szCs w:val="24"/>
        </w:rPr>
      </w:pPr>
      <w:r w:rsidRPr="00955742">
        <w:rPr>
          <w:rFonts w:ascii="Verdana" w:hAnsi="Verdana" w:cs="Arial"/>
          <w:i/>
          <w:szCs w:val="24"/>
        </w:rPr>
        <w:t xml:space="preserve">(Refer to section 3, page </w:t>
      </w:r>
      <w:r w:rsidR="001B4189" w:rsidRPr="00003C99">
        <w:rPr>
          <w:rFonts w:ascii="Verdana" w:hAnsi="Verdana" w:cs="Arial"/>
          <w:i/>
          <w:szCs w:val="24"/>
        </w:rPr>
        <w:t>1</w:t>
      </w:r>
      <w:r w:rsidR="009E0370">
        <w:rPr>
          <w:rFonts w:ascii="Verdana" w:hAnsi="Verdana" w:cs="Arial"/>
          <w:i/>
          <w:szCs w:val="24"/>
        </w:rPr>
        <w:t>7</w:t>
      </w:r>
      <w:r w:rsidRPr="00955742">
        <w:rPr>
          <w:rFonts w:ascii="Verdana" w:hAnsi="Verdana" w:cs="Arial"/>
          <w:i/>
          <w:szCs w:val="24"/>
        </w:rPr>
        <w:t xml:space="preserve"> for summary of key risks and </w:t>
      </w:r>
      <w:r w:rsidR="001B4189">
        <w:rPr>
          <w:rFonts w:ascii="Verdana" w:hAnsi="Verdana" w:cs="Arial"/>
          <w:i/>
          <w:szCs w:val="24"/>
        </w:rPr>
        <w:t xml:space="preserve">any </w:t>
      </w:r>
      <w:r w:rsidRPr="00955742">
        <w:rPr>
          <w:rFonts w:ascii="Verdana" w:hAnsi="Verdana" w:cs="Arial"/>
          <w:i/>
          <w:szCs w:val="24"/>
        </w:rPr>
        <w:t>mitigating actions taken).</w:t>
      </w:r>
    </w:p>
    <w:p w:rsidR="00955742" w:rsidRPr="00955742" w:rsidRDefault="00955742" w:rsidP="00955742">
      <w:pPr>
        <w:contextualSpacing/>
        <w:rPr>
          <w:rFonts w:ascii="Verdana" w:hAnsi="Verdana" w:cs="Arial"/>
          <w:szCs w:val="24"/>
        </w:rPr>
        <w:sectPr w:rsidR="00955742" w:rsidRPr="00955742" w:rsidSect="00CC25A1">
          <w:headerReference w:type="default" r:id="rId11"/>
          <w:footerReference w:type="default" r:id="rId12"/>
          <w:footerReference w:type="first" r:id="rId13"/>
          <w:pgSz w:w="11906" w:h="16838"/>
          <w:pgMar w:top="720" w:right="720" w:bottom="720" w:left="993" w:header="708" w:footer="708" w:gutter="0"/>
          <w:cols w:space="708"/>
          <w:docGrid w:linePitch="360"/>
        </w:sectPr>
      </w:pPr>
    </w:p>
    <w:p w:rsidR="0064217E" w:rsidRDefault="0064217E" w:rsidP="0064217E">
      <w:pPr>
        <w:rPr>
          <w:noProof/>
        </w:rPr>
      </w:pPr>
    </w:p>
    <w:p w:rsidR="00E936EE" w:rsidRPr="00E23B12" w:rsidRDefault="00E936EE" w:rsidP="00934688">
      <w:pPr>
        <w:pStyle w:val="ListParagraph"/>
        <w:numPr>
          <w:ilvl w:val="0"/>
          <w:numId w:val="1"/>
        </w:numPr>
        <w:ind w:left="709" w:hanging="709"/>
        <w:contextualSpacing/>
        <w:rPr>
          <w:rFonts w:ascii="Verdana" w:hAnsi="Verdana" w:cs="Arial"/>
          <w:b/>
          <w:szCs w:val="24"/>
        </w:rPr>
      </w:pPr>
      <w:r>
        <w:rPr>
          <w:rFonts w:ascii="Verdana" w:hAnsi="Verdana" w:cs="Arial"/>
          <w:b/>
          <w:szCs w:val="24"/>
        </w:rPr>
        <w:t xml:space="preserve">SPECIFIC </w:t>
      </w:r>
      <w:r w:rsidRPr="00E23B12">
        <w:rPr>
          <w:rFonts w:ascii="Verdana" w:hAnsi="Verdana" w:cs="Arial"/>
          <w:b/>
          <w:szCs w:val="24"/>
        </w:rPr>
        <w:t>MATTERS FOR CONSIDERATION</w:t>
      </w:r>
      <w:r>
        <w:rPr>
          <w:rFonts w:ascii="Verdana" w:hAnsi="Verdana" w:cs="Arial"/>
          <w:b/>
          <w:szCs w:val="24"/>
        </w:rPr>
        <w:t xml:space="preserve"> BY THIS MEETING (ASSESSMENT) </w:t>
      </w:r>
    </w:p>
    <w:p w:rsidR="00D574E1" w:rsidRDefault="00D574E1" w:rsidP="0064217E">
      <w:pPr>
        <w:rPr>
          <w:noProof/>
        </w:rPr>
      </w:pPr>
    </w:p>
    <w:p w:rsidR="00E936EE" w:rsidRDefault="00D574E1" w:rsidP="0064217E">
      <w:pPr>
        <w:rPr>
          <w:noProof/>
        </w:rPr>
      </w:pPr>
      <w:r>
        <w:rPr>
          <w:noProof/>
        </w:rPr>
        <w:t>Data run on 1</w:t>
      </w:r>
      <w:r w:rsidR="00372818">
        <w:rPr>
          <w:noProof/>
        </w:rPr>
        <w:t>4</w:t>
      </w:r>
      <w:r>
        <w:rPr>
          <w:noProof/>
        </w:rPr>
        <w:t>.02.20</w:t>
      </w:r>
      <w:r w:rsidR="00324362" w:rsidRPr="007A5F15">
        <w:rPr>
          <w:rFonts w:ascii="Calibri" w:hAnsi="Calibri"/>
          <w:noProof/>
          <w:color w:val="000000"/>
          <w:sz w:val="22"/>
          <w:szCs w:val="22"/>
        </w:rPr>
        <mc:AlternateContent>
          <mc:Choice Requires="wps">
            <w:drawing>
              <wp:anchor distT="45720" distB="45720" distL="114300" distR="114300" simplePos="0" relativeHeight="251918848" behindDoc="0" locked="0" layoutInCell="1" allowOverlap="1" wp14:anchorId="0282518A" wp14:editId="5C7EDCB2">
                <wp:simplePos x="0" y="0"/>
                <wp:positionH relativeFrom="margin">
                  <wp:posOffset>-6985</wp:posOffset>
                </wp:positionH>
                <wp:positionV relativeFrom="paragraph">
                  <wp:posOffset>764540</wp:posOffset>
                </wp:positionV>
                <wp:extent cx="3267075" cy="1404620"/>
                <wp:effectExtent l="0" t="0" r="0" b="0"/>
                <wp:wrapNone/>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noFill/>
                        <a:ln w="9525">
                          <a:noFill/>
                          <a:miter lim="800000"/>
                          <a:headEnd/>
                          <a:tailEnd/>
                        </a:ln>
                      </wps:spPr>
                      <wps:txbx>
                        <w:txbxContent>
                          <w:p w:rsidR="00DD62B8" w:rsidRPr="007A5F15" w:rsidRDefault="00DD62B8" w:rsidP="0094712D">
                            <w:pPr>
                              <w:rPr>
                                <w:color w:val="FF0000"/>
                                <w:sz w:val="16"/>
                                <w:szCs w:val="16"/>
                              </w:rPr>
                            </w:pPr>
                            <w:r w:rsidRPr="00AF5B5A">
                              <w:rPr>
                                <w:color w:val="FFFFFF" w:themeColor="background1"/>
                              </w:rPr>
                              <w:t>Health Board Wide Quality Metrics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282518A" id="_x0000_t202" coordsize="21600,21600" o:spt="202" path="m,l,21600r21600,l21600,xe">
                <v:stroke joinstyle="miter"/>
                <v:path gradientshapeok="t" o:connecttype="rect"/>
              </v:shapetype>
              <v:shape id="Text Box 2" o:spid="_x0000_s1026" type="#_x0000_t202" style="position:absolute;margin-left:-.55pt;margin-top:60.2pt;width:257.25pt;height:110.6pt;z-index:251918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" filled="f" stroked="f">
                <v:textbox style="mso-fit-shape-to-text:t">
                  <w:txbxContent>
                    <w:p w:rsidR="00DD62B8" w:rsidRPr="007A5F15" w:rsidRDefault="00DD62B8" w:rsidP="0094712D">
                      <w:pPr>
                        <w:rPr>
                          <w:color w:val="FF0000"/>
                          <w:sz w:val="16"/>
                          <w:szCs w:val="16"/>
                        </w:rPr>
                      </w:pPr>
                      <w:r w:rsidRPr="00AF5B5A">
                        <w:rPr>
                          <w:color w:val="FFFFFF" w:themeColor="background1"/>
                        </w:rPr>
                        <w:t>Health Board Wide Quality Metrics</w:t>
                      </w:r>
                    </w:p>
                  </w:txbxContent>
                </v:textbox>
                <w10:wrap anchorx="margin"/>
              </v:shape>
            </w:pict>
          </mc:Fallback>
        </mc:AlternateContent>
      </w:r>
    </w:p>
    <w:tbl>
      <w:tblPr>
        <w:tblW w:w="15593"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Look w:val="04A0" w:firstRow="1" w:lastRow="0" w:firstColumn="1" w:lastColumn="0" w:noHBand="0" w:noVBand="1"/>
      </w:tblPr>
      <w:tblGrid>
        <w:gridCol w:w="2557"/>
        <w:gridCol w:w="837"/>
        <w:gridCol w:w="837"/>
        <w:gridCol w:w="837"/>
        <w:gridCol w:w="837"/>
        <w:gridCol w:w="837"/>
        <w:gridCol w:w="838"/>
        <w:gridCol w:w="837"/>
        <w:gridCol w:w="837"/>
        <w:gridCol w:w="837"/>
        <w:gridCol w:w="837"/>
        <w:gridCol w:w="838"/>
        <w:gridCol w:w="1134"/>
        <w:gridCol w:w="2693"/>
      </w:tblGrid>
      <w:tr w:rsidR="00140D64" w:rsidRPr="007A5F15" w:rsidTr="00140D64">
        <w:trPr>
          <w:trHeight w:val="128"/>
          <w:tblHeader/>
        </w:trPr>
        <w:tc>
          <w:tcPr>
            <w:tcW w:w="255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single" w:sz="8" w:space="0" w:color="FF0000"/>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single" w:sz="8" w:space="0" w:color="FF0000"/>
              <w:bottom w:val="single" w:sz="8" w:space="0" w:color="002060"/>
              <w:right w:val="nil"/>
            </w:tcBorders>
            <w:shd w:val="clear" w:color="000000" w:fill="FFFFFF"/>
            <w:noWrap/>
            <w:hideMark/>
          </w:tcPr>
          <w:p w:rsidR="00140D64" w:rsidRPr="00311B30" w:rsidRDefault="00140D64" w:rsidP="00140D64">
            <w:pPr>
              <w:rPr>
                <w:rFonts w:ascii="Calibri" w:hAnsi="Calibri"/>
                <w:color w:val="000000"/>
                <w:sz w:val="16"/>
                <w:szCs w:val="16"/>
              </w:rPr>
            </w:pPr>
            <w:r w:rsidRPr="0094712D">
              <w:rPr>
                <w:b/>
                <w:color w:val="FF0000"/>
                <w:sz w:val="12"/>
                <w:szCs w:val="12"/>
              </w:rPr>
              <w:t>CTMUHB</w:t>
            </w: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140D64" w:rsidRPr="0094712D" w:rsidRDefault="00140D64" w:rsidP="00140D64">
            <w:pPr>
              <w:ind w:left="-28" w:right="-17"/>
              <w:rPr>
                <w:b/>
                <w:color w:val="FF0000"/>
                <w:sz w:val="12"/>
                <w:szCs w:val="12"/>
              </w:rPr>
            </w:pPr>
            <w:r w:rsidRPr="00311B30">
              <w:rPr>
                <w:rFonts w:ascii="Calibri" w:hAnsi="Calibri"/>
                <w:color w:val="000000"/>
                <w:sz w:val="16"/>
                <w:szCs w:val="16"/>
              </w:rPr>
              <w:t> </w:t>
            </w:r>
          </w:p>
        </w:tc>
        <w:tc>
          <w:tcPr>
            <w:tcW w:w="838"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c>
          <w:tcPr>
            <w:tcW w:w="838" w:type="dxa"/>
            <w:tcBorders>
              <w:top w:val="nil"/>
              <w:left w:val="nil"/>
              <w:bottom w:val="single" w:sz="8" w:space="0" w:color="002060"/>
            </w:tcBorders>
            <w:shd w:val="clear" w:color="000000" w:fill="auto"/>
          </w:tcPr>
          <w:p w:rsidR="00140D64" w:rsidRPr="00311B30" w:rsidRDefault="00140D64" w:rsidP="00140D64">
            <w:pPr>
              <w:jc w:val="center"/>
              <w:rPr>
                <w:rFonts w:ascii="Calibri" w:hAnsi="Calibri"/>
                <w:b/>
                <w:bCs/>
                <w:color w:val="FFFFFF"/>
                <w:sz w:val="16"/>
                <w:szCs w:val="16"/>
              </w:rPr>
            </w:pPr>
          </w:p>
        </w:tc>
        <w:tc>
          <w:tcPr>
            <w:tcW w:w="1134" w:type="dxa"/>
            <w:vMerge w:val="restart"/>
            <w:shd w:val="clear" w:color="auto" w:fill="002060"/>
            <w:noWrap/>
            <w:vAlign w:val="bottom"/>
            <w:hideMark/>
          </w:tcPr>
          <w:p w:rsidR="00140D64" w:rsidRDefault="00140D64" w:rsidP="00140D64">
            <w:pPr>
              <w:jc w:val="center"/>
              <w:rPr>
                <w:rFonts w:ascii="Calibri" w:hAnsi="Calibri"/>
                <w:b/>
                <w:bCs/>
                <w:color w:val="FFFFFF"/>
                <w:sz w:val="36"/>
                <w:szCs w:val="36"/>
              </w:rPr>
            </w:pPr>
            <w:r>
              <w:rPr>
                <w:rFonts w:ascii="Calibri" w:hAnsi="Calibri"/>
                <w:b/>
                <w:bCs/>
                <w:color w:val="FFFFFF"/>
                <w:sz w:val="36"/>
                <w:szCs w:val="36"/>
              </w:rPr>
              <w:t>Jan</w:t>
            </w:r>
          </w:p>
          <w:p w:rsidR="00140D64" w:rsidRPr="00311B30" w:rsidRDefault="00140D64" w:rsidP="00140D64">
            <w:pPr>
              <w:jc w:val="center"/>
              <w:rPr>
                <w:rFonts w:ascii="Calibri" w:hAnsi="Calibri"/>
                <w:b/>
                <w:bCs/>
                <w:color w:val="FFFFFF"/>
                <w:sz w:val="36"/>
                <w:szCs w:val="36"/>
              </w:rPr>
            </w:pPr>
            <w:r>
              <w:rPr>
                <w:rFonts w:ascii="Calibri" w:hAnsi="Calibri"/>
                <w:b/>
                <w:bCs/>
                <w:color w:val="FFFFFF"/>
                <w:sz w:val="36"/>
                <w:szCs w:val="36"/>
              </w:rPr>
              <w:t>2020</w:t>
            </w:r>
          </w:p>
        </w:tc>
        <w:tc>
          <w:tcPr>
            <w:tcW w:w="2693" w:type="dxa"/>
            <w:tcBorders>
              <w:top w:val="nil"/>
              <w:bottom w:val="single" w:sz="8" w:space="0" w:color="002060"/>
              <w:right w:val="nil"/>
            </w:tcBorders>
            <w:shd w:val="clear" w:color="000000" w:fill="FFFFFF"/>
            <w:noWrap/>
            <w:vAlign w:val="bottom"/>
            <w:hideMark/>
          </w:tcPr>
          <w:p w:rsidR="00140D64" w:rsidRPr="00311B30" w:rsidRDefault="00140D64" w:rsidP="00140D64">
            <w:pPr>
              <w:rPr>
                <w:rFonts w:ascii="Calibri" w:hAnsi="Calibri"/>
                <w:color w:val="000000"/>
                <w:sz w:val="16"/>
                <w:szCs w:val="16"/>
              </w:rPr>
            </w:pPr>
            <w:r w:rsidRPr="00311B30">
              <w:rPr>
                <w:rFonts w:ascii="Calibri" w:hAnsi="Calibri"/>
                <w:color w:val="000000"/>
                <w:sz w:val="16"/>
                <w:szCs w:val="16"/>
              </w:rPr>
              <w:t> </w:t>
            </w:r>
          </w:p>
        </w:tc>
      </w:tr>
      <w:tr w:rsidR="00140D64" w:rsidRPr="00E936EE" w:rsidTr="0094712D">
        <w:trPr>
          <w:trHeight w:val="330"/>
          <w:tblHeader/>
        </w:trPr>
        <w:tc>
          <w:tcPr>
            <w:tcW w:w="2557" w:type="dxa"/>
            <w:tcBorders>
              <w:bottom w:val="single" w:sz="8" w:space="0" w:color="002060"/>
            </w:tcBorders>
            <w:shd w:val="clear" w:color="auto" w:fill="D9E2F3" w:themeFill="accent5" w:themeFillTint="33"/>
            <w:vAlign w:val="center"/>
            <w:hideMark/>
          </w:tcPr>
          <w:p w:rsidR="00140D64" w:rsidRPr="00E936EE" w:rsidRDefault="00140D64" w:rsidP="00140D64">
            <w:pPr>
              <w:rPr>
                <w:rFonts w:cs="Arial"/>
                <w:b/>
                <w:bCs/>
                <w:color w:val="002060"/>
                <w:szCs w:val="24"/>
              </w:rPr>
            </w:pPr>
            <w:r w:rsidRPr="00E936EE">
              <w:rPr>
                <w:rFonts w:cs="Arial"/>
                <w:b/>
                <w:bCs/>
                <w:color w:val="002060"/>
                <w:szCs w:val="24"/>
              </w:rPr>
              <w:t>Indicator Description</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Feb-19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Mar-19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Apr-19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May-19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Jun-19</w:t>
            </w:r>
          </w:p>
        </w:tc>
        <w:tc>
          <w:tcPr>
            <w:tcW w:w="838"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Jul-19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Aug-19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sidRPr="00E936EE">
              <w:rPr>
                <w:rFonts w:cs="Arial"/>
                <w:b/>
                <w:bCs/>
                <w:color w:val="002060"/>
                <w:sz w:val="16"/>
                <w:szCs w:val="16"/>
              </w:rPr>
              <w:t>Sep-19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Pr>
                <w:rFonts w:cs="Arial"/>
                <w:b/>
                <w:bCs/>
                <w:color w:val="002060"/>
                <w:sz w:val="16"/>
                <w:szCs w:val="16"/>
              </w:rPr>
              <w:t>Oct</w:t>
            </w:r>
            <w:r w:rsidRPr="00E936EE">
              <w:rPr>
                <w:rFonts w:cs="Arial"/>
                <w:b/>
                <w:bCs/>
                <w:color w:val="002060"/>
                <w:sz w:val="16"/>
                <w:szCs w:val="16"/>
              </w:rPr>
              <w:t>-19</w:t>
            </w:r>
          </w:p>
        </w:tc>
        <w:tc>
          <w:tcPr>
            <w:tcW w:w="837" w:type="dxa"/>
            <w:tcBorders>
              <w:bottom w:val="single" w:sz="8" w:space="0" w:color="002060"/>
            </w:tcBorders>
            <w:shd w:val="clear" w:color="auto" w:fill="D9E2F3" w:themeFill="accent5" w:themeFillTint="33"/>
            <w:vAlign w:val="center"/>
            <w:hideMark/>
          </w:tcPr>
          <w:p w:rsidR="00140D64" w:rsidRPr="00E936EE" w:rsidRDefault="00140D64" w:rsidP="00140D64">
            <w:pPr>
              <w:jc w:val="center"/>
              <w:rPr>
                <w:rFonts w:cs="Arial"/>
                <w:b/>
                <w:bCs/>
                <w:color w:val="002060"/>
                <w:sz w:val="16"/>
                <w:szCs w:val="16"/>
              </w:rPr>
            </w:pPr>
            <w:r>
              <w:rPr>
                <w:rFonts w:cs="Arial"/>
                <w:b/>
                <w:bCs/>
                <w:color w:val="002060"/>
                <w:sz w:val="16"/>
                <w:szCs w:val="16"/>
              </w:rPr>
              <w:t>Nov</w:t>
            </w:r>
            <w:r w:rsidRPr="00E936EE">
              <w:rPr>
                <w:rFonts w:cs="Arial"/>
                <w:b/>
                <w:bCs/>
                <w:color w:val="002060"/>
                <w:sz w:val="16"/>
                <w:szCs w:val="16"/>
              </w:rPr>
              <w:t>-19</w:t>
            </w:r>
          </w:p>
        </w:tc>
        <w:tc>
          <w:tcPr>
            <w:tcW w:w="838" w:type="dxa"/>
            <w:tcBorders>
              <w:bottom w:val="single" w:sz="8" w:space="0" w:color="002060"/>
            </w:tcBorders>
            <w:shd w:val="clear" w:color="auto" w:fill="D9E2F3" w:themeFill="accent5" w:themeFillTint="33"/>
            <w:vAlign w:val="center"/>
          </w:tcPr>
          <w:p w:rsidR="00140D64" w:rsidRPr="00E936EE" w:rsidRDefault="00140D64" w:rsidP="00140D64">
            <w:pPr>
              <w:jc w:val="center"/>
              <w:rPr>
                <w:rFonts w:ascii="Calibri" w:hAnsi="Calibri"/>
                <w:b/>
                <w:bCs/>
                <w:color w:val="002060"/>
                <w:sz w:val="32"/>
                <w:szCs w:val="32"/>
              </w:rPr>
            </w:pPr>
            <w:r>
              <w:rPr>
                <w:rFonts w:cs="Arial"/>
                <w:b/>
                <w:bCs/>
                <w:color w:val="002060"/>
                <w:sz w:val="16"/>
                <w:szCs w:val="16"/>
              </w:rPr>
              <w:t>Dec</w:t>
            </w:r>
            <w:r w:rsidRPr="00E936EE">
              <w:rPr>
                <w:rFonts w:cs="Arial"/>
                <w:b/>
                <w:bCs/>
                <w:color w:val="002060"/>
                <w:sz w:val="16"/>
                <w:szCs w:val="16"/>
              </w:rPr>
              <w:t>-19</w:t>
            </w:r>
          </w:p>
        </w:tc>
        <w:tc>
          <w:tcPr>
            <w:tcW w:w="1134" w:type="dxa"/>
            <w:vMerge/>
            <w:tcBorders>
              <w:bottom w:val="single" w:sz="8" w:space="0" w:color="002060"/>
            </w:tcBorders>
            <w:shd w:val="clear" w:color="auto" w:fill="002060"/>
            <w:vAlign w:val="center"/>
            <w:hideMark/>
          </w:tcPr>
          <w:p w:rsidR="00140D64" w:rsidRPr="00E936EE" w:rsidRDefault="00140D64" w:rsidP="00140D64">
            <w:pPr>
              <w:jc w:val="center"/>
              <w:rPr>
                <w:rFonts w:ascii="Calibri" w:hAnsi="Calibri"/>
                <w:b/>
                <w:bCs/>
                <w:color w:val="002060"/>
                <w:sz w:val="32"/>
                <w:szCs w:val="32"/>
              </w:rPr>
            </w:pPr>
          </w:p>
        </w:tc>
        <w:tc>
          <w:tcPr>
            <w:tcW w:w="2693" w:type="dxa"/>
            <w:tcBorders>
              <w:bottom w:val="single" w:sz="8" w:space="0" w:color="002060"/>
            </w:tcBorders>
            <w:shd w:val="clear" w:color="000000" w:fill="D9E2F3" w:themeFill="accent5" w:themeFillTint="33"/>
            <w:vAlign w:val="center"/>
            <w:hideMark/>
          </w:tcPr>
          <w:p w:rsidR="00140D64" w:rsidRPr="00E936EE" w:rsidRDefault="00140D64" w:rsidP="00140D64">
            <w:pPr>
              <w:jc w:val="center"/>
              <w:rPr>
                <w:rFonts w:cs="Arial"/>
                <w:b/>
                <w:bCs/>
                <w:color w:val="002060"/>
                <w:szCs w:val="24"/>
              </w:rPr>
            </w:pPr>
            <w:r w:rsidRPr="00E936EE">
              <w:rPr>
                <w:rFonts w:cs="Arial"/>
                <w:b/>
                <w:bCs/>
                <w:color w:val="002060"/>
                <w:szCs w:val="24"/>
              </w:rPr>
              <w:t>Trend</w:t>
            </w:r>
          </w:p>
        </w:tc>
      </w:tr>
      <w:tr w:rsidR="00140D64" w:rsidRPr="00AF5B5A" w:rsidTr="0094712D">
        <w:trPr>
          <w:trHeight w:val="415"/>
        </w:trPr>
        <w:tc>
          <w:tcPr>
            <w:tcW w:w="255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1134"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B60B3" w:rsidRDefault="00140D64" w:rsidP="00140D64">
            <w:pPr>
              <w:rPr>
                <w:color w:val="FFFFFF" w:themeColor="background1"/>
              </w:rPr>
            </w:pPr>
          </w:p>
        </w:tc>
        <w:tc>
          <w:tcPr>
            <w:tcW w:w="2693"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140D64" w:rsidRPr="00AF5B5A" w:rsidRDefault="00140D64" w:rsidP="00140D64">
            <w:pPr>
              <w:jc w:val="center"/>
              <w:rPr>
                <w:rFonts w:cs="Arial"/>
                <w:b/>
                <w:bCs/>
                <w:color w:val="72469C"/>
                <w:sz w:val="16"/>
                <w:szCs w:val="16"/>
              </w:rPr>
            </w:pPr>
          </w:p>
        </w:tc>
      </w:tr>
      <w:tr w:rsidR="00915370" w:rsidRPr="007A5F15" w:rsidTr="00F260DB">
        <w:trPr>
          <w:trHeight w:val="540"/>
        </w:trPr>
        <w:tc>
          <w:tcPr>
            <w:tcW w:w="2557" w:type="dxa"/>
            <w:tcBorders>
              <w:top w:val="single" w:sz="8" w:space="0" w:color="002060"/>
            </w:tcBorders>
            <w:shd w:val="clear" w:color="auto" w:fill="auto"/>
            <w:vAlign w:val="center"/>
            <w:hideMark/>
          </w:tcPr>
          <w:p w:rsidR="00915370" w:rsidRPr="00311B30" w:rsidRDefault="00915370" w:rsidP="00915370">
            <w:pPr>
              <w:rPr>
                <w:rFonts w:cs="Arial"/>
                <w:color w:val="002060"/>
                <w:sz w:val="16"/>
                <w:szCs w:val="16"/>
              </w:rPr>
            </w:pPr>
            <w:r w:rsidRPr="00311B30">
              <w:rPr>
                <w:rFonts w:cs="Arial"/>
                <w:color w:val="002060"/>
                <w:sz w:val="16"/>
                <w:szCs w:val="16"/>
              </w:rPr>
              <w:t>Number of never events in month</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8"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1</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000000" w:fill="C6E0B4"/>
            <w:vAlign w:val="center"/>
          </w:tcPr>
          <w:p w:rsidR="00915370" w:rsidRPr="00311B30" w:rsidRDefault="00915370" w:rsidP="00915370">
            <w:pPr>
              <w:jc w:val="center"/>
              <w:rPr>
                <w:rFonts w:cs="Arial"/>
                <w:color w:val="002060"/>
                <w:sz w:val="20"/>
              </w:rPr>
            </w:pPr>
            <w:r>
              <w:rPr>
                <w:rFonts w:cs="Arial"/>
                <w:color w:val="002060"/>
                <w:sz w:val="20"/>
              </w:rPr>
              <w:t>2</w:t>
            </w:r>
          </w:p>
        </w:tc>
        <w:tc>
          <w:tcPr>
            <w:tcW w:w="838" w:type="dxa"/>
            <w:tcBorders>
              <w:top w:val="nil"/>
              <w:left w:val="nil"/>
              <w:bottom w:val="single" w:sz="8" w:space="0" w:color="002060"/>
              <w:right w:val="single" w:sz="8" w:space="0" w:color="002060"/>
            </w:tcBorders>
            <w:shd w:val="clear" w:color="000000" w:fill="C6E0B4"/>
            <w:vAlign w:val="center"/>
          </w:tcPr>
          <w:p w:rsidR="00915370" w:rsidRPr="00311B30" w:rsidRDefault="000E6D94" w:rsidP="00915370">
            <w:pPr>
              <w:jc w:val="center"/>
              <w:rPr>
                <w:rFonts w:cs="Arial"/>
                <w:bCs/>
                <w:color w:val="002060"/>
                <w:sz w:val="20"/>
              </w:rPr>
            </w:pPr>
            <w:r>
              <w:rPr>
                <w:rFonts w:cs="Arial"/>
                <w:color w:val="002060"/>
                <w:sz w:val="20"/>
              </w:rPr>
              <w:t>0</w:t>
            </w:r>
          </w:p>
        </w:tc>
        <w:tc>
          <w:tcPr>
            <w:tcW w:w="1134" w:type="dxa"/>
            <w:tcBorders>
              <w:top w:val="nil"/>
              <w:left w:val="nil"/>
              <w:bottom w:val="single" w:sz="8" w:space="0" w:color="002060"/>
              <w:right w:val="single" w:sz="8" w:space="0" w:color="002060"/>
            </w:tcBorders>
            <w:shd w:val="clear" w:color="000000" w:fill="C6E0B4"/>
            <w:vAlign w:val="center"/>
          </w:tcPr>
          <w:p w:rsidR="00915370" w:rsidRPr="00F51175" w:rsidRDefault="00915370" w:rsidP="00915370">
            <w:pPr>
              <w:jc w:val="center"/>
              <w:rPr>
                <w:rFonts w:cs="Arial"/>
                <w:b/>
                <w:bCs/>
                <w:color w:val="002060"/>
                <w:sz w:val="32"/>
                <w:szCs w:val="32"/>
              </w:rPr>
            </w:pPr>
            <w:r>
              <w:rPr>
                <w:rFonts w:cs="Arial"/>
                <w:b/>
                <w:bCs/>
                <w:color w:val="002060"/>
                <w:sz w:val="32"/>
                <w:szCs w:val="32"/>
              </w:rPr>
              <w:t>0</w:t>
            </w:r>
          </w:p>
        </w:tc>
        <w:tc>
          <w:tcPr>
            <w:tcW w:w="2693" w:type="dxa"/>
            <w:tcBorders>
              <w:top w:val="single" w:sz="8" w:space="0" w:color="002060"/>
            </w:tcBorders>
            <w:shd w:val="clear" w:color="auto" w:fill="auto"/>
            <w:vAlign w:val="center"/>
            <w:hideMark/>
          </w:tcPr>
          <w:p w:rsidR="00915370" w:rsidRPr="00311B30" w:rsidRDefault="00915370" w:rsidP="00915370">
            <w:pPr>
              <w:rPr>
                <w:rFonts w:cs="Arial"/>
                <w:b/>
                <w:bCs/>
                <w:color w:val="002060"/>
                <w:sz w:val="40"/>
                <w:szCs w:val="40"/>
              </w:rPr>
            </w:pPr>
            <w:r>
              <w:rPr>
                <w:noProof/>
              </w:rPr>
              <w:drawing>
                <wp:inline distT="0" distB="0" distL="0" distR="0" wp14:anchorId="368D91AF" wp14:editId="701AC608">
                  <wp:extent cx="1419225" cy="371476"/>
                  <wp:effectExtent l="0" t="0" r="0" b="0"/>
                  <wp:docPr id="8" name="Chart 8">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915370" w:rsidRPr="007A5F15" w:rsidTr="00140D64">
        <w:trPr>
          <w:trHeight w:val="540"/>
        </w:trPr>
        <w:tc>
          <w:tcPr>
            <w:tcW w:w="2557" w:type="dxa"/>
            <w:shd w:val="clear" w:color="auto" w:fill="auto"/>
            <w:vAlign w:val="center"/>
            <w:hideMark/>
          </w:tcPr>
          <w:p w:rsidR="00915370" w:rsidRPr="00311B30" w:rsidRDefault="00915370" w:rsidP="00915370">
            <w:pPr>
              <w:rPr>
                <w:rFonts w:cs="Arial"/>
                <w:color w:val="002060"/>
                <w:sz w:val="16"/>
                <w:szCs w:val="16"/>
              </w:rPr>
            </w:pPr>
            <w:r w:rsidRPr="00311B30">
              <w:rPr>
                <w:rFonts w:cs="Arial"/>
                <w:color w:val="002060"/>
                <w:sz w:val="16"/>
                <w:szCs w:val="16"/>
              </w:rPr>
              <w:t>Number of serious incidents (SI)</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16</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15</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27</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29</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9</w:t>
            </w:r>
          </w:p>
        </w:tc>
        <w:tc>
          <w:tcPr>
            <w:tcW w:w="838"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18</w:t>
            </w:r>
          </w:p>
        </w:tc>
        <w:tc>
          <w:tcPr>
            <w:tcW w:w="837" w:type="dxa"/>
            <w:shd w:val="clear" w:color="auto" w:fill="auto"/>
            <w:vAlign w:val="center"/>
          </w:tcPr>
          <w:p w:rsidR="00915370" w:rsidRPr="00311B30" w:rsidRDefault="00915370" w:rsidP="00915370">
            <w:pPr>
              <w:jc w:val="center"/>
              <w:rPr>
                <w:rFonts w:cs="Arial"/>
                <w:color w:val="002060"/>
                <w:sz w:val="20"/>
              </w:rPr>
            </w:pPr>
            <w:r>
              <w:rPr>
                <w:rFonts w:cs="Arial"/>
                <w:color w:val="002060"/>
                <w:sz w:val="20"/>
              </w:rPr>
              <w:t>31</w:t>
            </w:r>
          </w:p>
        </w:tc>
        <w:tc>
          <w:tcPr>
            <w:tcW w:w="837" w:type="dxa"/>
            <w:vAlign w:val="center"/>
          </w:tcPr>
          <w:p w:rsidR="00915370" w:rsidRPr="00311B30" w:rsidRDefault="00915370" w:rsidP="00915370">
            <w:pPr>
              <w:jc w:val="center"/>
              <w:rPr>
                <w:rFonts w:cs="Arial"/>
                <w:color w:val="002060"/>
                <w:sz w:val="20"/>
              </w:rPr>
            </w:pPr>
            <w:r>
              <w:rPr>
                <w:rFonts w:cs="Arial"/>
                <w:color w:val="002060"/>
                <w:sz w:val="20"/>
              </w:rPr>
              <w:t>21</w:t>
            </w:r>
          </w:p>
        </w:tc>
        <w:tc>
          <w:tcPr>
            <w:tcW w:w="837" w:type="dxa"/>
            <w:vAlign w:val="center"/>
          </w:tcPr>
          <w:p w:rsidR="00915370" w:rsidRPr="00311B30" w:rsidRDefault="00915370" w:rsidP="00915370">
            <w:pPr>
              <w:jc w:val="center"/>
              <w:rPr>
                <w:rFonts w:cs="Arial"/>
                <w:color w:val="002060"/>
                <w:sz w:val="20"/>
              </w:rPr>
            </w:pPr>
            <w:r>
              <w:rPr>
                <w:rFonts w:cs="Arial"/>
                <w:color w:val="002060"/>
                <w:sz w:val="20"/>
              </w:rPr>
              <w:t>19</w:t>
            </w:r>
          </w:p>
        </w:tc>
        <w:tc>
          <w:tcPr>
            <w:tcW w:w="837" w:type="dxa"/>
            <w:vAlign w:val="center"/>
          </w:tcPr>
          <w:p w:rsidR="00915370" w:rsidRPr="00311B30" w:rsidRDefault="00915370" w:rsidP="00454D1D">
            <w:pPr>
              <w:jc w:val="center"/>
              <w:rPr>
                <w:rFonts w:cs="Arial"/>
                <w:color w:val="002060"/>
                <w:sz w:val="20"/>
              </w:rPr>
            </w:pPr>
            <w:r>
              <w:rPr>
                <w:rFonts w:cs="Arial"/>
                <w:color w:val="002060"/>
                <w:sz w:val="20"/>
              </w:rPr>
              <w:t>3</w:t>
            </w:r>
            <w:r w:rsidR="0010080B">
              <w:rPr>
                <w:rFonts w:cs="Arial"/>
                <w:color w:val="002060"/>
                <w:sz w:val="20"/>
              </w:rPr>
              <w:t>3</w:t>
            </w:r>
          </w:p>
        </w:tc>
        <w:tc>
          <w:tcPr>
            <w:tcW w:w="838" w:type="dxa"/>
            <w:vAlign w:val="center"/>
          </w:tcPr>
          <w:p w:rsidR="00915370" w:rsidRPr="00311B30" w:rsidRDefault="00915370" w:rsidP="00915370">
            <w:pPr>
              <w:jc w:val="center"/>
              <w:rPr>
                <w:rFonts w:cs="Arial"/>
                <w:bCs/>
                <w:color w:val="002060"/>
                <w:sz w:val="20"/>
              </w:rPr>
            </w:pPr>
            <w:r>
              <w:rPr>
                <w:rFonts w:cs="Arial"/>
                <w:bCs/>
                <w:color w:val="002060"/>
                <w:sz w:val="20"/>
              </w:rPr>
              <w:t>36</w:t>
            </w:r>
          </w:p>
        </w:tc>
        <w:tc>
          <w:tcPr>
            <w:tcW w:w="1134" w:type="dxa"/>
            <w:shd w:val="clear" w:color="auto" w:fill="auto"/>
            <w:vAlign w:val="center"/>
          </w:tcPr>
          <w:p w:rsidR="00915370" w:rsidRPr="00F51175" w:rsidRDefault="00915370" w:rsidP="00915370">
            <w:pPr>
              <w:jc w:val="center"/>
              <w:rPr>
                <w:rFonts w:cs="Arial"/>
                <w:b/>
                <w:bCs/>
                <w:color w:val="002060"/>
                <w:sz w:val="32"/>
                <w:szCs w:val="32"/>
              </w:rPr>
            </w:pPr>
            <w:r>
              <w:rPr>
                <w:rFonts w:cs="Arial"/>
                <w:b/>
                <w:bCs/>
                <w:color w:val="002060"/>
                <w:sz w:val="32"/>
                <w:szCs w:val="32"/>
              </w:rPr>
              <w:t>38</w:t>
            </w:r>
          </w:p>
        </w:tc>
        <w:tc>
          <w:tcPr>
            <w:tcW w:w="2693" w:type="dxa"/>
            <w:shd w:val="clear" w:color="auto" w:fill="auto"/>
            <w:vAlign w:val="center"/>
            <w:hideMark/>
          </w:tcPr>
          <w:p w:rsidR="00915370" w:rsidRPr="00311B30" w:rsidRDefault="00915370" w:rsidP="00915370">
            <w:pPr>
              <w:rPr>
                <w:rFonts w:cs="Arial"/>
                <w:b/>
                <w:bCs/>
                <w:color w:val="002060"/>
                <w:sz w:val="40"/>
                <w:szCs w:val="40"/>
              </w:rPr>
            </w:pPr>
            <w:r>
              <w:rPr>
                <w:noProof/>
              </w:rPr>
              <w:drawing>
                <wp:inline distT="0" distB="0" distL="0" distR="0" wp14:anchorId="4E2C0A7B" wp14:editId="0A9AE7FB">
                  <wp:extent cx="1419225" cy="371476"/>
                  <wp:effectExtent l="0" t="0" r="0" b="0"/>
                  <wp:docPr id="1" name="Chart 1">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454D1D" w:rsidRPr="007A5F15" w:rsidTr="009F74AD">
        <w:trPr>
          <w:trHeight w:val="540"/>
        </w:trPr>
        <w:tc>
          <w:tcPr>
            <w:tcW w:w="2557" w:type="dxa"/>
            <w:shd w:val="clear" w:color="auto" w:fill="auto"/>
            <w:vAlign w:val="center"/>
            <w:hideMark/>
          </w:tcPr>
          <w:p w:rsidR="00454D1D" w:rsidRPr="00311B30" w:rsidRDefault="00454D1D" w:rsidP="00454D1D">
            <w:pPr>
              <w:rPr>
                <w:rFonts w:cs="Arial"/>
                <w:color w:val="002060"/>
                <w:sz w:val="16"/>
                <w:szCs w:val="16"/>
              </w:rPr>
            </w:pPr>
            <w:r w:rsidRPr="00311B30">
              <w:rPr>
                <w:rFonts w:cs="Arial"/>
                <w:color w:val="002060"/>
                <w:sz w:val="16"/>
                <w:szCs w:val="16"/>
              </w:rPr>
              <w:t xml:space="preserve">Number of formal complaints </w:t>
            </w:r>
            <w:r>
              <w:rPr>
                <w:rFonts w:cs="Arial"/>
                <w:color w:val="002060"/>
                <w:sz w:val="16"/>
                <w:szCs w:val="16"/>
              </w:rPr>
              <w:t>managed through PTR *</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30</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29</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54</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72</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101</w:t>
            </w:r>
          </w:p>
        </w:tc>
        <w:tc>
          <w:tcPr>
            <w:tcW w:w="838"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162</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158</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111</w:t>
            </w:r>
          </w:p>
        </w:tc>
        <w:tc>
          <w:tcPr>
            <w:tcW w:w="837" w:type="dxa"/>
            <w:shd w:val="clear" w:color="auto" w:fill="auto"/>
            <w:vAlign w:val="center"/>
          </w:tcPr>
          <w:p w:rsidR="00454D1D" w:rsidRPr="00311B30" w:rsidRDefault="00454D1D" w:rsidP="00454D1D">
            <w:pPr>
              <w:jc w:val="center"/>
              <w:rPr>
                <w:rFonts w:cs="Arial"/>
                <w:bCs/>
                <w:color w:val="002060"/>
                <w:sz w:val="20"/>
              </w:rPr>
            </w:pPr>
            <w:r>
              <w:rPr>
                <w:rFonts w:cs="Arial"/>
                <w:color w:val="002060"/>
                <w:sz w:val="20"/>
              </w:rPr>
              <w:t>149</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122</w:t>
            </w:r>
          </w:p>
        </w:tc>
        <w:tc>
          <w:tcPr>
            <w:tcW w:w="838" w:type="dxa"/>
            <w:shd w:val="clear" w:color="auto" w:fill="auto"/>
            <w:vAlign w:val="center"/>
          </w:tcPr>
          <w:p w:rsidR="00454D1D" w:rsidRPr="00311B30" w:rsidRDefault="00454D1D" w:rsidP="00454D1D">
            <w:pPr>
              <w:jc w:val="center"/>
              <w:rPr>
                <w:rFonts w:cs="Arial"/>
                <w:bCs/>
                <w:color w:val="002060"/>
                <w:sz w:val="20"/>
              </w:rPr>
            </w:pPr>
            <w:r>
              <w:rPr>
                <w:rFonts w:cs="Arial"/>
                <w:bCs/>
                <w:color w:val="002060"/>
                <w:sz w:val="20"/>
              </w:rPr>
              <w:t>98</w:t>
            </w:r>
          </w:p>
        </w:tc>
        <w:tc>
          <w:tcPr>
            <w:tcW w:w="1134" w:type="dxa"/>
            <w:shd w:val="clear" w:color="auto" w:fill="auto"/>
            <w:vAlign w:val="center"/>
          </w:tcPr>
          <w:p w:rsidR="00454D1D" w:rsidRPr="00F51175" w:rsidRDefault="00454D1D" w:rsidP="00454D1D">
            <w:pPr>
              <w:jc w:val="center"/>
              <w:rPr>
                <w:rFonts w:cs="Arial"/>
                <w:b/>
                <w:bCs/>
                <w:color w:val="002060"/>
                <w:sz w:val="32"/>
                <w:szCs w:val="32"/>
              </w:rPr>
            </w:pPr>
            <w:r w:rsidRPr="003045A1">
              <w:rPr>
                <w:rFonts w:cs="Arial"/>
                <w:b/>
                <w:bCs/>
                <w:color w:val="002060"/>
                <w:sz w:val="32"/>
                <w:szCs w:val="32"/>
              </w:rPr>
              <w:t>147</w:t>
            </w:r>
          </w:p>
        </w:tc>
        <w:tc>
          <w:tcPr>
            <w:tcW w:w="2693" w:type="dxa"/>
            <w:shd w:val="clear" w:color="auto" w:fill="auto"/>
            <w:vAlign w:val="center"/>
            <w:hideMark/>
          </w:tcPr>
          <w:p w:rsidR="00454D1D" w:rsidRPr="00311B30" w:rsidRDefault="00454D1D" w:rsidP="00454D1D">
            <w:pPr>
              <w:rPr>
                <w:rFonts w:cs="Arial"/>
                <w:b/>
                <w:bCs/>
                <w:color w:val="002060"/>
                <w:sz w:val="40"/>
                <w:szCs w:val="40"/>
              </w:rPr>
            </w:pPr>
            <w:r>
              <w:rPr>
                <w:noProof/>
              </w:rPr>
              <w:drawing>
                <wp:inline distT="0" distB="0" distL="0" distR="0" wp14:anchorId="36BBD966" wp14:editId="5F8FF57F">
                  <wp:extent cx="1419225" cy="295276"/>
                  <wp:effectExtent l="0" t="0" r="0" b="0"/>
                  <wp:docPr id="4" name="Chart 4">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454D1D" w:rsidRPr="007A5F15" w:rsidTr="00454D1D">
        <w:trPr>
          <w:trHeight w:val="540"/>
        </w:trPr>
        <w:tc>
          <w:tcPr>
            <w:tcW w:w="2557" w:type="dxa"/>
            <w:shd w:val="clear" w:color="auto" w:fill="auto"/>
            <w:vAlign w:val="center"/>
            <w:hideMark/>
          </w:tcPr>
          <w:p w:rsidR="00454D1D" w:rsidRPr="00311B30" w:rsidRDefault="00454D1D" w:rsidP="00454D1D">
            <w:pPr>
              <w:rPr>
                <w:rFonts w:cs="Arial"/>
                <w:color w:val="002060"/>
                <w:sz w:val="16"/>
                <w:szCs w:val="16"/>
              </w:rPr>
            </w:pPr>
            <w:r w:rsidRPr="00311B30">
              <w:rPr>
                <w:rFonts w:cs="Arial"/>
                <w:color w:val="002060"/>
                <w:sz w:val="16"/>
                <w:szCs w:val="16"/>
              </w:rPr>
              <w:t>Number of compliments</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182</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85</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171</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225</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154</w:t>
            </w:r>
          </w:p>
        </w:tc>
        <w:tc>
          <w:tcPr>
            <w:tcW w:w="838" w:type="dxa"/>
            <w:shd w:val="clear" w:color="auto" w:fill="auto"/>
            <w:vAlign w:val="center"/>
          </w:tcPr>
          <w:p w:rsidR="00454D1D" w:rsidRPr="00311B30" w:rsidRDefault="00454D1D" w:rsidP="00454D1D">
            <w:pPr>
              <w:jc w:val="center"/>
              <w:rPr>
                <w:rFonts w:cs="Arial"/>
                <w:color w:val="002060"/>
                <w:sz w:val="20"/>
              </w:rPr>
            </w:pPr>
            <w:r w:rsidRPr="00311B30">
              <w:rPr>
                <w:rFonts w:cs="Arial"/>
                <w:color w:val="002060"/>
                <w:sz w:val="20"/>
              </w:rPr>
              <w:t>14</w:t>
            </w:r>
            <w:r>
              <w:rPr>
                <w:rFonts w:cs="Arial"/>
                <w:color w:val="002060"/>
                <w:sz w:val="20"/>
              </w:rPr>
              <w:t>4</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343</w:t>
            </w:r>
          </w:p>
        </w:tc>
        <w:tc>
          <w:tcPr>
            <w:tcW w:w="837" w:type="dxa"/>
            <w:shd w:val="clear" w:color="auto" w:fill="auto"/>
            <w:vAlign w:val="center"/>
          </w:tcPr>
          <w:p w:rsidR="00454D1D" w:rsidRPr="00311B30" w:rsidRDefault="00454D1D" w:rsidP="00454D1D">
            <w:pPr>
              <w:jc w:val="center"/>
              <w:rPr>
                <w:rFonts w:cs="Arial"/>
                <w:color w:val="002060"/>
                <w:sz w:val="20"/>
              </w:rPr>
            </w:pPr>
            <w:r>
              <w:rPr>
                <w:rFonts w:cs="Arial"/>
                <w:color w:val="002060"/>
                <w:sz w:val="20"/>
              </w:rPr>
              <w:t>158</w:t>
            </w:r>
          </w:p>
        </w:tc>
        <w:tc>
          <w:tcPr>
            <w:tcW w:w="837" w:type="dxa"/>
            <w:shd w:val="clear" w:color="auto" w:fill="auto"/>
            <w:vAlign w:val="center"/>
          </w:tcPr>
          <w:p w:rsidR="00454D1D" w:rsidRPr="00311B30" w:rsidRDefault="00454D1D" w:rsidP="00454D1D">
            <w:pPr>
              <w:jc w:val="center"/>
              <w:rPr>
                <w:rFonts w:cs="Arial"/>
                <w:bCs/>
                <w:color w:val="002060"/>
                <w:sz w:val="20"/>
              </w:rPr>
            </w:pPr>
            <w:r>
              <w:rPr>
                <w:rFonts w:cs="Arial"/>
                <w:bCs/>
                <w:color w:val="002060"/>
                <w:sz w:val="20"/>
              </w:rPr>
              <w:t>185</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82</w:t>
            </w:r>
          </w:p>
        </w:tc>
        <w:tc>
          <w:tcPr>
            <w:tcW w:w="838"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bCs/>
                <w:color w:val="002060"/>
                <w:sz w:val="20"/>
              </w:rPr>
            </w:pPr>
            <w:r>
              <w:rPr>
                <w:rFonts w:cs="Arial"/>
                <w:color w:val="002060"/>
                <w:sz w:val="20"/>
              </w:rPr>
              <w:t>39</w:t>
            </w:r>
          </w:p>
        </w:tc>
        <w:tc>
          <w:tcPr>
            <w:tcW w:w="1134" w:type="dxa"/>
            <w:tcBorders>
              <w:top w:val="nil"/>
              <w:left w:val="nil"/>
              <w:bottom w:val="single" w:sz="8" w:space="0" w:color="002060"/>
              <w:right w:val="single" w:sz="8" w:space="0" w:color="002060"/>
            </w:tcBorders>
            <w:shd w:val="clear" w:color="auto" w:fill="auto"/>
            <w:vAlign w:val="center"/>
          </w:tcPr>
          <w:p w:rsidR="00454D1D" w:rsidRPr="00F51175" w:rsidRDefault="00454D1D" w:rsidP="00454D1D">
            <w:pPr>
              <w:jc w:val="center"/>
              <w:rPr>
                <w:rFonts w:cs="Arial"/>
                <w:b/>
                <w:bCs/>
                <w:color w:val="002060"/>
                <w:sz w:val="32"/>
                <w:szCs w:val="32"/>
              </w:rPr>
            </w:pPr>
            <w:r>
              <w:rPr>
                <w:rFonts w:cs="Arial"/>
                <w:b/>
                <w:bCs/>
                <w:color w:val="002060"/>
                <w:sz w:val="32"/>
                <w:szCs w:val="32"/>
              </w:rPr>
              <w:t>32</w:t>
            </w:r>
          </w:p>
        </w:tc>
        <w:tc>
          <w:tcPr>
            <w:tcW w:w="2693" w:type="dxa"/>
            <w:shd w:val="clear" w:color="auto" w:fill="auto"/>
            <w:vAlign w:val="center"/>
            <w:hideMark/>
          </w:tcPr>
          <w:p w:rsidR="00454D1D" w:rsidRPr="00311B30" w:rsidRDefault="00454D1D" w:rsidP="00454D1D">
            <w:pPr>
              <w:rPr>
                <w:rFonts w:cs="Arial"/>
                <w:b/>
                <w:bCs/>
                <w:color w:val="002060"/>
                <w:sz w:val="40"/>
                <w:szCs w:val="40"/>
              </w:rPr>
            </w:pPr>
            <w:r>
              <w:rPr>
                <w:noProof/>
              </w:rPr>
              <w:drawing>
                <wp:inline distT="0" distB="0" distL="0" distR="0" wp14:anchorId="30C9E201" wp14:editId="4BF0042C">
                  <wp:extent cx="1419225" cy="266701"/>
                  <wp:effectExtent l="0" t="0" r="0" b="0"/>
                  <wp:docPr id="5" name="Chart 5">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454D1D" w:rsidRPr="007A5F15" w:rsidTr="00454D1D">
        <w:trPr>
          <w:trHeight w:val="540"/>
        </w:trPr>
        <w:tc>
          <w:tcPr>
            <w:tcW w:w="2557" w:type="dxa"/>
            <w:shd w:val="clear" w:color="auto" w:fill="auto"/>
            <w:vAlign w:val="center"/>
          </w:tcPr>
          <w:p w:rsidR="00454D1D" w:rsidRPr="00311B30" w:rsidRDefault="00454D1D" w:rsidP="00454D1D">
            <w:pPr>
              <w:rPr>
                <w:rFonts w:cs="Arial"/>
                <w:color w:val="002060"/>
                <w:sz w:val="16"/>
                <w:szCs w:val="16"/>
              </w:rPr>
            </w:pPr>
            <w:r w:rsidRPr="00311B30">
              <w:rPr>
                <w:rFonts w:cs="Arial"/>
                <w:color w:val="002060"/>
                <w:sz w:val="16"/>
                <w:szCs w:val="16"/>
              </w:rPr>
              <w:t>Number of medication prescribing errors</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7</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14</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11</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12</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17</w:t>
            </w:r>
          </w:p>
        </w:tc>
        <w:tc>
          <w:tcPr>
            <w:tcW w:w="838" w:type="dxa"/>
            <w:shd w:val="clear" w:color="auto" w:fill="auto"/>
            <w:vAlign w:val="center"/>
          </w:tcPr>
          <w:p w:rsidR="00454D1D" w:rsidRPr="00311B30" w:rsidRDefault="00454D1D" w:rsidP="00454D1D">
            <w:pPr>
              <w:jc w:val="center"/>
              <w:rPr>
                <w:rFonts w:cs="Arial"/>
                <w:color w:val="002060"/>
                <w:sz w:val="20"/>
              </w:rPr>
            </w:pPr>
            <w:r w:rsidRPr="00311B30">
              <w:rPr>
                <w:rFonts w:cs="Arial"/>
                <w:color w:val="002060"/>
                <w:sz w:val="20"/>
              </w:rPr>
              <w:t>26</w:t>
            </w:r>
          </w:p>
        </w:tc>
        <w:tc>
          <w:tcPr>
            <w:tcW w:w="837" w:type="dxa"/>
            <w:shd w:val="clear" w:color="auto" w:fill="auto"/>
            <w:vAlign w:val="center"/>
          </w:tcPr>
          <w:p w:rsidR="00454D1D" w:rsidRPr="00311B30" w:rsidRDefault="00454D1D" w:rsidP="00454D1D">
            <w:pPr>
              <w:jc w:val="center"/>
              <w:rPr>
                <w:rFonts w:cs="Arial"/>
                <w:color w:val="002060"/>
                <w:sz w:val="20"/>
              </w:rPr>
            </w:pPr>
            <w:r w:rsidRPr="00311B30">
              <w:rPr>
                <w:rFonts w:cs="Arial"/>
                <w:color w:val="002060"/>
                <w:sz w:val="20"/>
              </w:rPr>
              <w:t>22</w:t>
            </w:r>
          </w:p>
        </w:tc>
        <w:tc>
          <w:tcPr>
            <w:tcW w:w="837" w:type="dxa"/>
            <w:shd w:val="clear" w:color="auto" w:fill="auto"/>
            <w:vAlign w:val="center"/>
          </w:tcPr>
          <w:p w:rsidR="00454D1D" w:rsidRPr="00311B30" w:rsidRDefault="00454D1D" w:rsidP="00454D1D">
            <w:pPr>
              <w:jc w:val="center"/>
              <w:rPr>
                <w:rFonts w:cs="Arial"/>
                <w:color w:val="002060"/>
                <w:sz w:val="20"/>
              </w:rPr>
            </w:pPr>
            <w:r w:rsidRPr="00311B30">
              <w:rPr>
                <w:rFonts w:cs="Arial"/>
                <w:color w:val="002060"/>
                <w:sz w:val="20"/>
              </w:rPr>
              <w:t>22</w:t>
            </w:r>
          </w:p>
        </w:tc>
        <w:tc>
          <w:tcPr>
            <w:tcW w:w="837" w:type="dxa"/>
            <w:shd w:val="clear" w:color="auto" w:fill="auto"/>
            <w:vAlign w:val="center"/>
          </w:tcPr>
          <w:p w:rsidR="00454D1D" w:rsidRPr="00311B30" w:rsidRDefault="00454D1D" w:rsidP="00454D1D">
            <w:pPr>
              <w:jc w:val="center"/>
              <w:rPr>
                <w:rFonts w:cs="Arial"/>
                <w:bCs/>
                <w:color w:val="002060"/>
                <w:sz w:val="20"/>
              </w:rPr>
            </w:pPr>
            <w:r>
              <w:rPr>
                <w:rFonts w:cs="Arial"/>
                <w:bCs/>
                <w:color w:val="002060"/>
                <w:sz w:val="20"/>
              </w:rPr>
              <w:t>20</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11</w:t>
            </w:r>
          </w:p>
        </w:tc>
        <w:tc>
          <w:tcPr>
            <w:tcW w:w="838"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bCs/>
                <w:color w:val="002060"/>
                <w:sz w:val="20"/>
              </w:rPr>
            </w:pPr>
            <w:r>
              <w:rPr>
                <w:rFonts w:cs="Arial"/>
                <w:color w:val="002060"/>
                <w:sz w:val="20"/>
              </w:rPr>
              <w:t>18</w:t>
            </w:r>
          </w:p>
        </w:tc>
        <w:tc>
          <w:tcPr>
            <w:tcW w:w="1134" w:type="dxa"/>
            <w:tcBorders>
              <w:top w:val="nil"/>
              <w:left w:val="nil"/>
              <w:bottom w:val="single" w:sz="8" w:space="0" w:color="002060"/>
              <w:right w:val="single" w:sz="8" w:space="0" w:color="002060"/>
            </w:tcBorders>
            <w:shd w:val="clear" w:color="auto" w:fill="auto"/>
            <w:vAlign w:val="center"/>
          </w:tcPr>
          <w:p w:rsidR="00454D1D" w:rsidRPr="00F51175" w:rsidRDefault="00454D1D" w:rsidP="00454D1D">
            <w:pPr>
              <w:jc w:val="center"/>
              <w:rPr>
                <w:rFonts w:cs="Arial"/>
                <w:b/>
                <w:bCs/>
                <w:color w:val="002060"/>
                <w:sz w:val="32"/>
                <w:szCs w:val="32"/>
              </w:rPr>
            </w:pPr>
            <w:r>
              <w:rPr>
                <w:rFonts w:cs="Arial"/>
                <w:b/>
                <w:bCs/>
                <w:color w:val="002060"/>
                <w:sz w:val="32"/>
                <w:szCs w:val="32"/>
              </w:rPr>
              <w:t>21</w:t>
            </w:r>
          </w:p>
        </w:tc>
        <w:tc>
          <w:tcPr>
            <w:tcW w:w="2693" w:type="dxa"/>
            <w:shd w:val="clear" w:color="auto" w:fill="auto"/>
            <w:vAlign w:val="center"/>
          </w:tcPr>
          <w:p w:rsidR="00454D1D" w:rsidRPr="00311B30" w:rsidRDefault="00454D1D" w:rsidP="00454D1D">
            <w:pPr>
              <w:rPr>
                <w:rFonts w:cs="Arial"/>
                <w:b/>
                <w:bCs/>
                <w:color w:val="002060"/>
                <w:sz w:val="40"/>
                <w:szCs w:val="40"/>
              </w:rPr>
            </w:pPr>
            <w:r>
              <w:rPr>
                <w:noProof/>
              </w:rPr>
              <w:drawing>
                <wp:inline distT="0" distB="0" distL="0" distR="0" wp14:anchorId="51DCF495" wp14:editId="249FE7D9">
                  <wp:extent cx="1419225" cy="342901"/>
                  <wp:effectExtent l="0" t="0" r="0" b="0"/>
                  <wp:docPr id="39" name="Chart 39">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454D1D" w:rsidRPr="007A5F15" w:rsidTr="009F74AD">
        <w:trPr>
          <w:trHeight w:val="540"/>
        </w:trPr>
        <w:tc>
          <w:tcPr>
            <w:tcW w:w="2557" w:type="dxa"/>
            <w:shd w:val="clear" w:color="auto" w:fill="auto"/>
            <w:vAlign w:val="center"/>
          </w:tcPr>
          <w:p w:rsidR="00454D1D" w:rsidRPr="00311B30" w:rsidRDefault="00454D1D" w:rsidP="00454D1D">
            <w:pPr>
              <w:rPr>
                <w:rFonts w:cs="Arial"/>
                <w:color w:val="002060"/>
                <w:sz w:val="16"/>
                <w:szCs w:val="16"/>
              </w:rPr>
            </w:pPr>
            <w:r w:rsidRPr="00311B30">
              <w:rPr>
                <w:rFonts w:cs="Arial"/>
                <w:color w:val="002060"/>
                <w:sz w:val="16"/>
                <w:szCs w:val="16"/>
              </w:rPr>
              <w:t>Number of medication administration errors</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19</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42</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43</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45</w:t>
            </w:r>
          </w:p>
        </w:tc>
        <w:tc>
          <w:tcPr>
            <w:tcW w:w="838"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50</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40</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48</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59</w:t>
            </w:r>
          </w:p>
        </w:tc>
        <w:tc>
          <w:tcPr>
            <w:tcW w:w="837"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color w:val="002060"/>
                <w:sz w:val="20"/>
              </w:rPr>
            </w:pPr>
            <w:r>
              <w:rPr>
                <w:rFonts w:cs="Arial"/>
                <w:color w:val="002060"/>
                <w:sz w:val="20"/>
              </w:rPr>
              <w:t>44</w:t>
            </w:r>
          </w:p>
        </w:tc>
        <w:tc>
          <w:tcPr>
            <w:tcW w:w="838" w:type="dxa"/>
            <w:tcBorders>
              <w:top w:val="nil"/>
              <w:left w:val="nil"/>
              <w:bottom w:val="single" w:sz="8" w:space="0" w:color="002060"/>
              <w:right w:val="single" w:sz="8" w:space="0" w:color="002060"/>
            </w:tcBorders>
            <w:shd w:val="clear" w:color="auto" w:fill="auto"/>
            <w:vAlign w:val="center"/>
          </w:tcPr>
          <w:p w:rsidR="00454D1D" w:rsidRPr="00311B30" w:rsidRDefault="00454D1D" w:rsidP="00454D1D">
            <w:pPr>
              <w:jc w:val="center"/>
              <w:rPr>
                <w:rFonts w:cs="Arial"/>
                <w:bCs/>
                <w:color w:val="002060"/>
                <w:sz w:val="20"/>
              </w:rPr>
            </w:pPr>
            <w:r>
              <w:rPr>
                <w:rFonts w:cs="Arial"/>
                <w:color w:val="002060"/>
                <w:sz w:val="20"/>
              </w:rPr>
              <w:t>31</w:t>
            </w:r>
          </w:p>
        </w:tc>
        <w:tc>
          <w:tcPr>
            <w:tcW w:w="1134" w:type="dxa"/>
            <w:tcBorders>
              <w:top w:val="nil"/>
              <w:left w:val="nil"/>
              <w:bottom w:val="single" w:sz="8" w:space="0" w:color="002060"/>
              <w:right w:val="single" w:sz="8" w:space="0" w:color="002060"/>
            </w:tcBorders>
            <w:shd w:val="clear" w:color="auto" w:fill="auto"/>
            <w:vAlign w:val="center"/>
          </w:tcPr>
          <w:p w:rsidR="00454D1D" w:rsidRPr="00F51175" w:rsidRDefault="00454D1D" w:rsidP="00454D1D">
            <w:pPr>
              <w:jc w:val="center"/>
              <w:rPr>
                <w:rFonts w:cs="Arial"/>
                <w:b/>
                <w:bCs/>
                <w:color w:val="002060"/>
                <w:sz w:val="32"/>
                <w:szCs w:val="32"/>
              </w:rPr>
            </w:pPr>
            <w:r>
              <w:rPr>
                <w:rFonts w:cs="Arial"/>
                <w:b/>
                <w:bCs/>
                <w:color w:val="002060"/>
                <w:sz w:val="32"/>
                <w:szCs w:val="32"/>
              </w:rPr>
              <w:t>41</w:t>
            </w:r>
          </w:p>
        </w:tc>
        <w:tc>
          <w:tcPr>
            <w:tcW w:w="2693" w:type="dxa"/>
            <w:shd w:val="clear" w:color="auto" w:fill="auto"/>
            <w:vAlign w:val="center"/>
          </w:tcPr>
          <w:p w:rsidR="00454D1D" w:rsidRPr="00311B30" w:rsidRDefault="00454D1D" w:rsidP="00454D1D">
            <w:pPr>
              <w:rPr>
                <w:rFonts w:cs="Arial"/>
                <w:b/>
                <w:bCs/>
                <w:color w:val="002060"/>
                <w:sz w:val="40"/>
                <w:szCs w:val="40"/>
              </w:rPr>
            </w:pPr>
            <w:r>
              <w:rPr>
                <w:noProof/>
              </w:rPr>
              <w:drawing>
                <wp:inline distT="0" distB="0" distL="0" distR="0" wp14:anchorId="258E4301" wp14:editId="5DAD48AA">
                  <wp:extent cx="1419225" cy="342901"/>
                  <wp:effectExtent l="0" t="0" r="0" b="0"/>
                  <wp:docPr id="7" name="Chart 7">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454D1D" w:rsidRPr="007A5F15" w:rsidTr="00454D1D">
        <w:trPr>
          <w:trHeight w:val="540"/>
        </w:trPr>
        <w:tc>
          <w:tcPr>
            <w:tcW w:w="2557" w:type="dxa"/>
            <w:shd w:val="clear" w:color="auto" w:fill="auto"/>
            <w:vAlign w:val="center"/>
          </w:tcPr>
          <w:p w:rsidR="00454D1D" w:rsidRDefault="00454D1D" w:rsidP="00454D1D">
            <w:pPr>
              <w:rPr>
                <w:rFonts w:cs="Arial"/>
                <w:color w:val="002060"/>
                <w:sz w:val="16"/>
                <w:szCs w:val="16"/>
              </w:rPr>
            </w:pPr>
            <w:r w:rsidRPr="007A7A40">
              <w:rPr>
                <w:rFonts w:cs="Arial"/>
                <w:color w:val="002060"/>
                <w:sz w:val="16"/>
                <w:szCs w:val="16"/>
              </w:rPr>
              <w:t>Mortality Rate</w:t>
            </w:r>
            <w:r>
              <w:rPr>
                <w:rFonts w:cs="Arial"/>
                <w:color w:val="002060"/>
                <w:sz w:val="16"/>
                <w:szCs w:val="16"/>
              </w:rPr>
              <w:t xml:space="preserve"> (Crude CHKS)</w:t>
            </w:r>
            <w:r w:rsidRPr="007A7A40">
              <w:rPr>
                <w:rFonts w:cs="Arial"/>
                <w:color w:val="002060"/>
                <w:sz w:val="16"/>
                <w:szCs w:val="16"/>
              </w:rPr>
              <w:t xml:space="preserve"> </w:t>
            </w:r>
          </w:p>
          <w:p w:rsidR="00454D1D" w:rsidRPr="00311B30" w:rsidRDefault="00454D1D" w:rsidP="00454D1D">
            <w:pPr>
              <w:rPr>
                <w:rFonts w:cs="Arial"/>
                <w:color w:val="002060"/>
                <w:sz w:val="16"/>
                <w:szCs w:val="16"/>
              </w:rPr>
            </w:pPr>
            <w:r>
              <w:rPr>
                <w:rFonts w:cs="Arial"/>
                <w:color w:val="002060"/>
                <w:sz w:val="16"/>
                <w:szCs w:val="16"/>
              </w:rPr>
              <w:t>(CT Only</w:t>
            </w:r>
            <w:r w:rsidRPr="007A7A40">
              <w:rPr>
                <w:rFonts w:cs="Arial"/>
                <w:color w:val="002060"/>
                <w:sz w:val="16"/>
                <w:szCs w:val="16"/>
              </w:rPr>
              <w:t>)</w:t>
            </w:r>
          </w:p>
        </w:tc>
        <w:tc>
          <w:tcPr>
            <w:tcW w:w="837" w:type="dxa"/>
            <w:shd w:val="clear" w:color="auto" w:fill="auto"/>
            <w:vAlign w:val="center"/>
          </w:tcPr>
          <w:p w:rsidR="00454D1D" w:rsidRPr="00311B30" w:rsidRDefault="0030024A" w:rsidP="00454D1D">
            <w:pPr>
              <w:jc w:val="center"/>
              <w:rPr>
                <w:rFonts w:cs="Arial"/>
                <w:color w:val="002060"/>
                <w:sz w:val="20"/>
              </w:rPr>
            </w:pPr>
            <w:r>
              <w:rPr>
                <w:rFonts w:cs="Arial"/>
                <w:color w:val="002060"/>
                <w:sz w:val="20"/>
              </w:rPr>
              <w:t>2.9</w:t>
            </w:r>
            <w:r w:rsidR="00454D1D" w:rsidRPr="00311B30">
              <w:rPr>
                <w:rFonts w:cs="Arial"/>
                <w:color w:val="002060"/>
                <w:sz w:val="20"/>
              </w:rPr>
              <w:t>%</w:t>
            </w:r>
          </w:p>
        </w:tc>
        <w:tc>
          <w:tcPr>
            <w:tcW w:w="837" w:type="dxa"/>
            <w:shd w:val="clear" w:color="auto" w:fill="auto"/>
            <w:vAlign w:val="center"/>
          </w:tcPr>
          <w:p w:rsidR="00454D1D" w:rsidRPr="00311B30" w:rsidRDefault="0030024A" w:rsidP="00454D1D">
            <w:pPr>
              <w:jc w:val="center"/>
              <w:rPr>
                <w:rFonts w:cs="Arial"/>
                <w:color w:val="002060"/>
                <w:sz w:val="20"/>
              </w:rPr>
            </w:pPr>
            <w:r>
              <w:rPr>
                <w:rFonts w:cs="Arial"/>
                <w:color w:val="002060"/>
                <w:sz w:val="20"/>
              </w:rPr>
              <w:t>2.1</w:t>
            </w:r>
            <w:r w:rsidR="00454D1D" w:rsidRPr="00311B30">
              <w:rPr>
                <w:rFonts w:cs="Arial"/>
                <w:color w:val="002060"/>
                <w:sz w:val="20"/>
              </w:rPr>
              <w:t>%</w:t>
            </w:r>
          </w:p>
        </w:tc>
        <w:tc>
          <w:tcPr>
            <w:tcW w:w="837" w:type="dxa"/>
            <w:shd w:val="clear" w:color="auto" w:fill="auto"/>
            <w:vAlign w:val="center"/>
          </w:tcPr>
          <w:p w:rsidR="00454D1D" w:rsidRPr="00311B30" w:rsidRDefault="0030024A" w:rsidP="00454D1D">
            <w:pPr>
              <w:jc w:val="center"/>
              <w:rPr>
                <w:rFonts w:cs="Arial"/>
                <w:color w:val="002060"/>
                <w:sz w:val="20"/>
              </w:rPr>
            </w:pPr>
            <w:r>
              <w:rPr>
                <w:rFonts w:cs="Arial"/>
                <w:color w:val="002060"/>
                <w:sz w:val="20"/>
              </w:rPr>
              <w:t>2.6</w:t>
            </w:r>
            <w:r w:rsidR="00454D1D" w:rsidRPr="00311B30">
              <w:rPr>
                <w:rFonts w:cs="Arial"/>
                <w:color w:val="002060"/>
                <w:sz w:val="20"/>
              </w:rPr>
              <w:t>%</w:t>
            </w:r>
          </w:p>
        </w:tc>
        <w:tc>
          <w:tcPr>
            <w:tcW w:w="837" w:type="dxa"/>
            <w:shd w:val="clear" w:color="auto" w:fill="auto"/>
            <w:vAlign w:val="center"/>
          </w:tcPr>
          <w:p w:rsidR="00454D1D" w:rsidRPr="00311B30" w:rsidRDefault="0030024A" w:rsidP="00454D1D">
            <w:pPr>
              <w:jc w:val="center"/>
              <w:rPr>
                <w:rFonts w:cs="Arial"/>
                <w:color w:val="002060"/>
                <w:sz w:val="20"/>
              </w:rPr>
            </w:pPr>
            <w:r>
              <w:rPr>
                <w:rFonts w:cs="Arial"/>
                <w:color w:val="002060"/>
                <w:sz w:val="20"/>
              </w:rPr>
              <w:t>2.2</w:t>
            </w:r>
            <w:r w:rsidR="00454D1D" w:rsidRPr="00311B30">
              <w:rPr>
                <w:rFonts w:cs="Arial"/>
                <w:color w:val="002060"/>
                <w:sz w:val="20"/>
              </w:rPr>
              <w:t>%</w:t>
            </w:r>
          </w:p>
        </w:tc>
        <w:tc>
          <w:tcPr>
            <w:tcW w:w="837" w:type="dxa"/>
            <w:shd w:val="clear" w:color="auto" w:fill="auto"/>
            <w:vAlign w:val="center"/>
          </w:tcPr>
          <w:p w:rsidR="00454D1D" w:rsidRPr="00311B30" w:rsidRDefault="0030024A" w:rsidP="00454D1D">
            <w:pPr>
              <w:jc w:val="center"/>
              <w:rPr>
                <w:rFonts w:cs="Arial"/>
                <w:color w:val="002060"/>
                <w:sz w:val="20"/>
              </w:rPr>
            </w:pPr>
            <w:r>
              <w:rPr>
                <w:rFonts w:cs="Arial"/>
                <w:color w:val="002060"/>
                <w:sz w:val="20"/>
              </w:rPr>
              <w:t>2.2</w:t>
            </w:r>
            <w:r w:rsidR="00454D1D" w:rsidRPr="00311B30">
              <w:rPr>
                <w:rFonts w:cs="Arial"/>
                <w:color w:val="002060"/>
                <w:sz w:val="20"/>
              </w:rPr>
              <w:t>%</w:t>
            </w:r>
          </w:p>
        </w:tc>
        <w:tc>
          <w:tcPr>
            <w:tcW w:w="838" w:type="dxa"/>
            <w:vAlign w:val="center"/>
          </w:tcPr>
          <w:p w:rsidR="00454D1D" w:rsidRPr="00311B30" w:rsidRDefault="0030024A" w:rsidP="00454D1D">
            <w:pPr>
              <w:jc w:val="center"/>
              <w:rPr>
                <w:rFonts w:cs="Arial"/>
                <w:color w:val="002060"/>
                <w:sz w:val="20"/>
              </w:rPr>
            </w:pPr>
            <w:r>
              <w:rPr>
                <w:rFonts w:cs="Arial"/>
                <w:color w:val="002060"/>
                <w:sz w:val="20"/>
              </w:rPr>
              <w:t>2.3</w:t>
            </w:r>
            <w:r w:rsidR="00454D1D" w:rsidRPr="00311B30">
              <w:rPr>
                <w:rFonts w:cs="Arial"/>
                <w:color w:val="002060"/>
                <w:sz w:val="20"/>
              </w:rPr>
              <w:t>%</w:t>
            </w:r>
          </w:p>
        </w:tc>
        <w:tc>
          <w:tcPr>
            <w:tcW w:w="837" w:type="dxa"/>
            <w:vAlign w:val="center"/>
          </w:tcPr>
          <w:p w:rsidR="00454D1D" w:rsidRPr="00311B30" w:rsidRDefault="0030024A" w:rsidP="00454D1D">
            <w:pPr>
              <w:jc w:val="center"/>
              <w:rPr>
                <w:rFonts w:cs="Arial"/>
                <w:color w:val="002060"/>
                <w:sz w:val="20"/>
              </w:rPr>
            </w:pPr>
            <w:r>
              <w:rPr>
                <w:rFonts w:cs="Arial"/>
                <w:color w:val="002060"/>
                <w:sz w:val="20"/>
              </w:rPr>
              <w:t>2.4</w:t>
            </w:r>
            <w:r w:rsidR="00454D1D" w:rsidRPr="00311B30">
              <w:rPr>
                <w:rFonts w:cs="Arial"/>
                <w:color w:val="002060"/>
                <w:sz w:val="20"/>
              </w:rPr>
              <w:t>%</w:t>
            </w:r>
          </w:p>
        </w:tc>
        <w:tc>
          <w:tcPr>
            <w:tcW w:w="837" w:type="dxa"/>
            <w:vAlign w:val="center"/>
          </w:tcPr>
          <w:p w:rsidR="00454D1D" w:rsidRPr="00311B30" w:rsidRDefault="0030024A" w:rsidP="00454D1D">
            <w:pPr>
              <w:jc w:val="center"/>
              <w:rPr>
                <w:rFonts w:cs="Arial"/>
                <w:color w:val="002060"/>
                <w:sz w:val="20"/>
              </w:rPr>
            </w:pPr>
            <w:r>
              <w:rPr>
                <w:rFonts w:cs="Arial"/>
                <w:color w:val="002060"/>
                <w:sz w:val="20"/>
              </w:rPr>
              <w:t>2.2</w:t>
            </w:r>
            <w:r w:rsidR="00454D1D" w:rsidRPr="00311B30">
              <w:rPr>
                <w:rFonts w:cs="Arial"/>
                <w:color w:val="002060"/>
                <w:sz w:val="20"/>
              </w:rPr>
              <w:t>%</w:t>
            </w:r>
          </w:p>
        </w:tc>
        <w:tc>
          <w:tcPr>
            <w:tcW w:w="837" w:type="dxa"/>
            <w:vAlign w:val="center"/>
          </w:tcPr>
          <w:p w:rsidR="00454D1D" w:rsidRPr="00311B30" w:rsidRDefault="0030024A" w:rsidP="00454D1D">
            <w:pPr>
              <w:jc w:val="center"/>
              <w:rPr>
                <w:rFonts w:cs="Arial"/>
                <w:color w:val="002060"/>
                <w:sz w:val="20"/>
              </w:rPr>
            </w:pPr>
            <w:r>
              <w:rPr>
                <w:rFonts w:cs="Arial"/>
                <w:color w:val="002060"/>
                <w:sz w:val="20"/>
              </w:rPr>
              <w:t>2.5</w:t>
            </w:r>
            <w:r w:rsidR="00454D1D">
              <w:rPr>
                <w:rFonts w:cs="Arial"/>
                <w:color w:val="002060"/>
                <w:sz w:val="20"/>
              </w:rPr>
              <w:t>%</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454D1D" w:rsidRPr="00311B30" w:rsidRDefault="0030024A" w:rsidP="00454D1D">
            <w:pPr>
              <w:jc w:val="center"/>
              <w:rPr>
                <w:rFonts w:cs="Arial"/>
                <w:color w:val="002060"/>
                <w:sz w:val="20"/>
              </w:rPr>
            </w:pPr>
            <w:r>
              <w:rPr>
                <w:rFonts w:cs="Arial"/>
                <w:color w:val="002060"/>
                <w:sz w:val="20"/>
              </w:rPr>
              <w:t>2.4</w:t>
            </w:r>
            <w:r w:rsidR="00454D1D">
              <w:rPr>
                <w:rFonts w:cs="Arial"/>
                <w:color w:val="002060"/>
                <w:sz w:val="20"/>
              </w:rPr>
              <w:t>%</w:t>
            </w:r>
          </w:p>
        </w:tc>
        <w:tc>
          <w:tcPr>
            <w:tcW w:w="838" w:type="dxa"/>
            <w:vAlign w:val="center"/>
          </w:tcPr>
          <w:p w:rsidR="00454D1D" w:rsidRPr="00311B30" w:rsidRDefault="00454D1D" w:rsidP="00454D1D">
            <w:pPr>
              <w:jc w:val="center"/>
              <w:rPr>
                <w:rFonts w:cs="Arial"/>
                <w:color w:val="002060"/>
                <w:sz w:val="20"/>
              </w:rPr>
            </w:pPr>
            <w:r>
              <w:rPr>
                <w:rFonts w:cs="Arial"/>
                <w:color w:val="002060"/>
                <w:sz w:val="20"/>
              </w:rPr>
              <w:t>3.10%</w:t>
            </w:r>
          </w:p>
        </w:tc>
        <w:tc>
          <w:tcPr>
            <w:tcW w:w="1134" w:type="dxa"/>
            <w:shd w:val="clear" w:color="auto" w:fill="auto"/>
            <w:vAlign w:val="center"/>
          </w:tcPr>
          <w:p w:rsidR="00454D1D" w:rsidRPr="00F51175" w:rsidRDefault="00454D1D" w:rsidP="00454D1D">
            <w:pPr>
              <w:jc w:val="center"/>
              <w:rPr>
                <w:rFonts w:cs="Arial"/>
                <w:b/>
                <w:bCs/>
                <w:color w:val="002060"/>
                <w:sz w:val="32"/>
                <w:szCs w:val="32"/>
              </w:rPr>
            </w:pPr>
            <w:r>
              <w:rPr>
                <w:rFonts w:cs="Arial"/>
                <w:b/>
                <w:bCs/>
                <w:color w:val="002060"/>
                <w:sz w:val="32"/>
                <w:szCs w:val="32"/>
              </w:rPr>
              <w:t>2.77%</w:t>
            </w:r>
          </w:p>
        </w:tc>
        <w:tc>
          <w:tcPr>
            <w:tcW w:w="2693" w:type="dxa"/>
            <w:shd w:val="clear" w:color="auto" w:fill="auto"/>
            <w:vAlign w:val="center"/>
          </w:tcPr>
          <w:p w:rsidR="00454D1D" w:rsidRPr="00311B30" w:rsidRDefault="00454D1D" w:rsidP="00454D1D">
            <w:pPr>
              <w:rPr>
                <w:noProof/>
                <w:color w:val="002060"/>
              </w:rPr>
            </w:pPr>
            <w:r>
              <w:rPr>
                <w:noProof/>
              </w:rPr>
              <w:drawing>
                <wp:inline distT="0" distB="0" distL="0" distR="0" wp14:anchorId="5BC990A6" wp14:editId="5EBF29E9">
                  <wp:extent cx="1419225" cy="371476"/>
                  <wp:effectExtent l="0" t="0" r="0" b="0"/>
                  <wp:docPr id="29" name="Chart 29">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rsidR="00C84E65" w:rsidRDefault="00C84E65">
      <w:pPr>
        <w:rPr>
          <w:rFonts w:cs="Arial"/>
          <w:color w:val="002060"/>
          <w:sz w:val="16"/>
          <w:szCs w:val="16"/>
        </w:rPr>
      </w:pPr>
      <w:r>
        <w:rPr>
          <w:rFonts w:cs="Arial"/>
          <w:color w:val="002060"/>
          <w:sz w:val="16"/>
          <w:szCs w:val="16"/>
        </w:rPr>
        <w:t xml:space="preserve">*  Calculation of formal complaints received </w:t>
      </w:r>
      <w:r w:rsidR="009A4F27">
        <w:rPr>
          <w:rFonts w:cs="Arial"/>
          <w:color w:val="002060"/>
          <w:sz w:val="16"/>
          <w:szCs w:val="16"/>
        </w:rPr>
        <w:t>is now run from date first received as of 1</w:t>
      </w:r>
      <w:r w:rsidR="009A4F27" w:rsidRPr="009A4F27">
        <w:rPr>
          <w:rFonts w:cs="Arial"/>
          <w:color w:val="002060"/>
          <w:sz w:val="16"/>
          <w:szCs w:val="16"/>
          <w:vertAlign w:val="superscript"/>
        </w:rPr>
        <w:t>st</w:t>
      </w:r>
      <w:r w:rsidR="009A4F27">
        <w:rPr>
          <w:rFonts w:cs="Arial"/>
          <w:color w:val="002060"/>
          <w:sz w:val="16"/>
          <w:szCs w:val="16"/>
        </w:rPr>
        <w:t xml:space="preserve"> January 2020.</w:t>
      </w:r>
    </w:p>
    <w:p w:rsidR="007861E0" w:rsidRDefault="007861E0"/>
    <w:p w:rsidR="000A6BA8" w:rsidRPr="00154413" w:rsidRDefault="000A6BA8" w:rsidP="000A6BA8">
      <w:pPr>
        <w:jc w:val="both"/>
        <w:rPr>
          <w:rFonts w:ascii="Verdana" w:hAnsi="Verdana"/>
          <w:b/>
          <w:color w:val="000000" w:themeColor="text1"/>
        </w:rPr>
      </w:pPr>
      <w:r w:rsidRPr="00154413">
        <w:rPr>
          <w:rFonts w:ascii="Verdana" w:hAnsi="Verdana"/>
          <w:b/>
          <w:color w:val="000000" w:themeColor="text1"/>
        </w:rPr>
        <w:t>Never Events:</w:t>
      </w:r>
    </w:p>
    <w:p w:rsidR="003929ED" w:rsidRDefault="003929ED" w:rsidP="000A6BA8">
      <w:pPr>
        <w:jc w:val="both"/>
        <w:rPr>
          <w:rFonts w:ascii="Verdana" w:hAnsi="Verdana"/>
          <w:szCs w:val="24"/>
        </w:rPr>
      </w:pPr>
      <w:r>
        <w:rPr>
          <w:rFonts w:ascii="Verdana" w:hAnsi="Verdana"/>
          <w:szCs w:val="24"/>
        </w:rPr>
        <w:t xml:space="preserve">No further never events occurred in December or January though one has been reported in February. </w:t>
      </w:r>
      <w:r w:rsidR="0035656D">
        <w:rPr>
          <w:rFonts w:ascii="Verdana" w:hAnsi="Verdana"/>
          <w:szCs w:val="24"/>
        </w:rPr>
        <w:t>This will be detailed further in the next report, though assurance can be provided that the patient did not suffer residual harm.</w:t>
      </w:r>
    </w:p>
    <w:p w:rsidR="0035656D" w:rsidRDefault="0035656D" w:rsidP="000A6BA8">
      <w:pPr>
        <w:jc w:val="both"/>
        <w:rPr>
          <w:rFonts w:ascii="Verdana" w:hAnsi="Verdana"/>
          <w:szCs w:val="24"/>
        </w:rPr>
      </w:pPr>
    </w:p>
    <w:p w:rsidR="002C4817" w:rsidRPr="00794ACC" w:rsidRDefault="0035656D" w:rsidP="000A6BA8">
      <w:pPr>
        <w:jc w:val="both"/>
        <w:rPr>
          <w:rFonts w:ascii="Verdana" w:hAnsi="Verdana"/>
          <w:szCs w:val="24"/>
        </w:rPr>
      </w:pPr>
      <w:r>
        <w:rPr>
          <w:rFonts w:ascii="Verdana" w:hAnsi="Verdana"/>
          <w:szCs w:val="24"/>
        </w:rPr>
        <w:t xml:space="preserve">The Root Cause Analysis (RCA) investigations for the two wrong site never events in November have been completed. These will now be reviewed for learning and a new template is under development to capture this with key lines of inquiry. </w:t>
      </w:r>
      <w:r w:rsidR="00794ACC" w:rsidRPr="00794ACC">
        <w:rPr>
          <w:rFonts w:ascii="Verdana" w:hAnsi="Verdana"/>
          <w:szCs w:val="24"/>
        </w:rPr>
        <w:t>Some of the</w:t>
      </w:r>
      <w:r>
        <w:rPr>
          <w:rFonts w:ascii="Verdana" w:hAnsi="Verdana"/>
          <w:szCs w:val="24"/>
        </w:rPr>
        <w:t xml:space="preserve"> early</w:t>
      </w:r>
      <w:r w:rsidR="00794ACC" w:rsidRPr="00794ACC">
        <w:rPr>
          <w:rFonts w:ascii="Verdana" w:hAnsi="Verdana"/>
          <w:szCs w:val="24"/>
        </w:rPr>
        <w:t xml:space="preserve"> l</w:t>
      </w:r>
      <w:r w:rsidR="00794ACC" w:rsidRPr="00794ACC">
        <w:rPr>
          <w:rFonts w:ascii="Verdana" w:hAnsi="Verdana" w:cs="Arial"/>
          <w:szCs w:val="24"/>
        </w:rPr>
        <w:t>earning and i</w:t>
      </w:r>
      <w:r w:rsidR="002C4817" w:rsidRPr="00794ACC">
        <w:rPr>
          <w:rFonts w:ascii="Verdana" w:hAnsi="Verdana" w:cs="Arial"/>
          <w:szCs w:val="24"/>
        </w:rPr>
        <w:t>mprovement</w:t>
      </w:r>
      <w:r>
        <w:rPr>
          <w:rFonts w:ascii="Verdana" w:hAnsi="Verdana" w:cs="Arial"/>
          <w:szCs w:val="24"/>
        </w:rPr>
        <w:t xml:space="preserve"> include the development of</w:t>
      </w:r>
      <w:r w:rsidR="00794ACC" w:rsidRPr="00794ACC">
        <w:rPr>
          <w:rFonts w:ascii="Verdana" w:hAnsi="Verdana" w:cs="Arial"/>
          <w:szCs w:val="24"/>
        </w:rPr>
        <w:t xml:space="preserve"> a</w:t>
      </w:r>
      <w:r w:rsidR="002C4817" w:rsidRPr="00794ACC">
        <w:rPr>
          <w:rFonts w:ascii="Verdana" w:hAnsi="Verdana" w:cs="Arial"/>
          <w:szCs w:val="24"/>
        </w:rPr>
        <w:t xml:space="preserve"> Local Safety Standard for Invasive Procedures (L</w:t>
      </w:r>
      <w:r>
        <w:rPr>
          <w:rFonts w:ascii="Verdana" w:hAnsi="Verdana" w:cs="Arial"/>
          <w:szCs w:val="24"/>
        </w:rPr>
        <w:t>ocSSIPs) to</w:t>
      </w:r>
      <w:r w:rsidR="002C4817" w:rsidRPr="00794ACC">
        <w:rPr>
          <w:rFonts w:ascii="Verdana" w:hAnsi="Verdana" w:cs="Arial"/>
          <w:szCs w:val="24"/>
        </w:rPr>
        <w:t xml:space="preserve"> </w:t>
      </w:r>
      <w:r>
        <w:rPr>
          <w:rFonts w:ascii="Verdana" w:hAnsi="Verdana" w:cs="Arial"/>
          <w:szCs w:val="24"/>
        </w:rPr>
        <w:t>introduce a ‘stop before you block’ (t</w:t>
      </w:r>
      <w:r w:rsidR="002C4817" w:rsidRPr="00794ACC">
        <w:rPr>
          <w:rFonts w:ascii="Verdana" w:hAnsi="Verdana" w:cs="Arial"/>
          <w:szCs w:val="24"/>
        </w:rPr>
        <w:t>ime out) method</w:t>
      </w:r>
      <w:r w:rsidR="00794ACC" w:rsidRPr="00794ACC">
        <w:rPr>
          <w:rFonts w:ascii="Verdana" w:hAnsi="Verdana" w:cs="Arial"/>
          <w:szCs w:val="24"/>
        </w:rPr>
        <w:t xml:space="preserve">.  </w:t>
      </w:r>
      <w:r>
        <w:rPr>
          <w:rFonts w:ascii="Verdana" w:hAnsi="Verdana" w:cs="Arial"/>
          <w:szCs w:val="24"/>
        </w:rPr>
        <w:t>It is also proposed that a patient and staff story be developed with a never event theme.</w:t>
      </w:r>
    </w:p>
    <w:p w:rsidR="00140D64" w:rsidRPr="007861E0" w:rsidRDefault="000A6BA8" w:rsidP="000A6BA8">
      <w:pPr>
        <w:jc w:val="both"/>
        <w:rPr>
          <w:rFonts w:ascii="Verdana" w:hAnsi="Verdana"/>
          <w:b/>
        </w:rPr>
      </w:pPr>
      <w:r w:rsidRPr="00154413">
        <w:rPr>
          <w:rFonts w:ascii="Verdana" w:hAnsi="Verdana"/>
          <w:b/>
        </w:rPr>
        <w:t>Serious incidents:</w:t>
      </w:r>
      <w:r w:rsidR="00140D64" w:rsidRPr="00140D64">
        <w:rPr>
          <w:noProof/>
        </w:rPr>
        <w:t xml:space="preserve"> </w:t>
      </w:r>
    </w:p>
    <w:p w:rsidR="007861E0" w:rsidRDefault="003F7259" w:rsidP="000A6BA8">
      <w:pPr>
        <w:jc w:val="both"/>
        <w:rPr>
          <w:rFonts w:ascii="Verdana" w:hAnsi="Verdana"/>
        </w:rPr>
      </w:pPr>
      <w:r>
        <w:rPr>
          <w:rFonts w:ascii="Verdana" w:hAnsi="Verdana"/>
        </w:rPr>
        <w:t>During January</w:t>
      </w:r>
      <w:r w:rsidR="00B15F38">
        <w:rPr>
          <w:rFonts w:ascii="Verdana" w:hAnsi="Verdana"/>
        </w:rPr>
        <w:t xml:space="preserve"> 2020</w:t>
      </w:r>
      <w:r>
        <w:rPr>
          <w:rFonts w:ascii="Verdana" w:hAnsi="Verdana"/>
        </w:rPr>
        <w:t xml:space="preserve"> a total of 2041 incidents were reported. Of these, 38 incidents were categorised as a serious incident, i.e. resulting in avoidable severe harm or death, this is 1.8% of the total incidents reported. </w:t>
      </w:r>
      <w:r w:rsidR="002B4764">
        <w:rPr>
          <w:rFonts w:ascii="Verdana" w:hAnsi="Verdana"/>
        </w:rPr>
        <w:t xml:space="preserve">Appendix 1 provides the National Patient Safety Agency definitions for harms. </w:t>
      </w:r>
      <w:r>
        <w:rPr>
          <w:rFonts w:ascii="Verdana" w:hAnsi="Verdana"/>
        </w:rPr>
        <w:t xml:space="preserve">There is an increase </w:t>
      </w:r>
      <w:r w:rsidR="00C1793B">
        <w:rPr>
          <w:rFonts w:ascii="Verdana" w:hAnsi="Verdana"/>
        </w:rPr>
        <w:t>in SI</w:t>
      </w:r>
      <w:r w:rsidR="00B15F38">
        <w:rPr>
          <w:rFonts w:ascii="Verdana" w:hAnsi="Verdana"/>
        </w:rPr>
        <w:t>’</w:t>
      </w:r>
      <w:r>
        <w:rPr>
          <w:rFonts w:ascii="Verdana" w:hAnsi="Verdana"/>
        </w:rPr>
        <w:t>s which is aligned to the Bridgend boundary change and overall increase in incident reporting</w:t>
      </w:r>
      <w:r w:rsidR="00C1793B">
        <w:rPr>
          <w:rFonts w:ascii="Verdana" w:hAnsi="Verdana"/>
        </w:rPr>
        <w:t xml:space="preserve">, which is a positive trend in terms of </w:t>
      </w:r>
      <w:r w:rsidR="00B15F38">
        <w:rPr>
          <w:rFonts w:ascii="Verdana" w:hAnsi="Verdana"/>
        </w:rPr>
        <w:t xml:space="preserve">a </w:t>
      </w:r>
      <w:r w:rsidR="00C1793B">
        <w:rPr>
          <w:rFonts w:ascii="Verdana" w:hAnsi="Verdana"/>
        </w:rPr>
        <w:t>reporting culture</w:t>
      </w:r>
      <w:r>
        <w:rPr>
          <w:rFonts w:ascii="Verdana" w:hAnsi="Verdana"/>
        </w:rPr>
        <w:t>. T</w:t>
      </w:r>
      <w:r w:rsidR="00BD75B2">
        <w:rPr>
          <w:rFonts w:ascii="Verdana" w:hAnsi="Verdana"/>
        </w:rPr>
        <w:t>he serious incidents reported</w:t>
      </w:r>
      <w:r>
        <w:rPr>
          <w:rFonts w:ascii="Verdana" w:hAnsi="Verdana"/>
        </w:rPr>
        <w:t xml:space="preserve"> mainly relate to </w:t>
      </w:r>
      <w:r w:rsidRPr="00B15F38">
        <w:rPr>
          <w:rFonts w:ascii="Verdana" w:hAnsi="Verdana"/>
          <w:b/>
        </w:rPr>
        <w:t>slip, trip and falls</w:t>
      </w:r>
      <w:r>
        <w:rPr>
          <w:rFonts w:ascii="Verdana" w:hAnsi="Verdana"/>
        </w:rPr>
        <w:t xml:space="preserve">, </w:t>
      </w:r>
      <w:r w:rsidRPr="00B15F38">
        <w:rPr>
          <w:rFonts w:ascii="Verdana" w:hAnsi="Verdana"/>
          <w:b/>
        </w:rPr>
        <w:t>delays</w:t>
      </w:r>
      <w:r>
        <w:rPr>
          <w:rFonts w:ascii="Verdana" w:hAnsi="Verdana"/>
        </w:rPr>
        <w:t xml:space="preserve"> and </w:t>
      </w:r>
      <w:r w:rsidRPr="00B15F38">
        <w:rPr>
          <w:rFonts w:ascii="Verdana" w:hAnsi="Verdana"/>
          <w:b/>
        </w:rPr>
        <w:t>pressure damage</w:t>
      </w:r>
      <w:r>
        <w:rPr>
          <w:rFonts w:ascii="Verdana" w:hAnsi="Verdana"/>
        </w:rPr>
        <w:t xml:space="preserve">. Those reported under delays mainly relate to delays in follow up within the Ophthalmology Service. </w:t>
      </w:r>
      <w:r w:rsidR="00BD75B2">
        <w:rPr>
          <w:rFonts w:ascii="Verdana" w:hAnsi="Verdana"/>
        </w:rPr>
        <w:t xml:space="preserve">An improvement programme is </w:t>
      </w:r>
      <w:r w:rsidR="00B15F38">
        <w:rPr>
          <w:rFonts w:ascii="Verdana" w:hAnsi="Verdana"/>
        </w:rPr>
        <w:t xml:space="preserve">already </w:t>
      </w:r>
      <w:r w:rsidR="00BD75B2">
        <w:rPr>
          <w:rFonts w:ascii="Verdana" w:hAnsi="Verdana"/>
        </w:rPr>
        <w:t xml:space="preserve">underway for this. </w:t>
      </w:r>
      <w:r>
        <w:rPr>
          <w:rFonts w:ascii="Verdana" w:hAnsi="Verdana"/>
        </w:rPr>
        <w:t xml:space="preserve">The pressure ulcer incidents which have occurred within the community (patient’s home) are being reviewed by the Localities Pressure Ulcer Scrutiny Panel. </w:t>
      </w:r>
      <w:r w:rsidR="00BD75B2">
        <w:rPr>
          <w:rFonts w:ascii="Verdana" w:hAnsi="Verdana"/>
        </w:rPr>
        <w:t>Further information relating to pressure ulcers in included later in the report.</w:t>
      </w:r>
    </w:p>
    <w:p w:rsidR="007352AD" w:rsidRDefault="003F7259" w:rsidP="000A6BA8">
      <w:pPr>
        <w:jc w:val="both"/>
        <w:rPr>
          <w:rFonts w:ascii="Verdana" w:hAnsi="Verdana"/>
        </w:rPr>
      </w:pPr>
      <w:r>
        <w:rPr>
          <w:noProof/>
        </w:rPr>
        <w:drawing>
          <wp:anchor distT="0" distB="0" distL="114300" distR="114300" simplePos="0" relativeHeight="251945472" behindDoc="0" locked="0" layoutInCell="1" allowOverlap="1" wp14:anchorId="126009E5" wp14:editId="09685FD9">
            <wp:simplePos x="0" y="0"/>
            <wp:positionH relativeFrom="margin">
              <wp:posOffset>3319780</wp:posOffset>
            </wp:positionH>
            <wp:positionV relativeFrom="paragraph">
              <wp:posOffset>169545</wp:posOffset>
            </wp:positionV>
            <wp:extent cx="3305175" cy="1457325"/>
            <wp:effectExtent l="0" t="0" r="9525" b="9525"/>
            <wp:wrapSquare wrapText="bothSides"/>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7352AD" w:rsidRDefault="007352AD" w:rsidP="000A6BA8">
      <w:pPr>
        <w:jc w:val="both"/>
        <w:rPr>
          <w:rFonts w:ascii="Verdana" w:hAnsi="Verdana"/>
        </w:rPr>
      </w:pPr>
    </w:p>
    <w:p w:rsidR="007352AD" w:rsidRDefault="007352AD" w:rsidP="000A6BA8">
      <w:pPr>
        <w:jc w:val="both"/>
        <w:rPr>
          <w:rFonts w:ascii="Verdana" w:hAnsi="Verdana"/>
        </w:rPr>
      </w:pPr>
    </w:p>
    <w:p w:rsidR="00454D1D" w:rsidRDefault="00454D1D" w:rsidP="00140D64">
      <w:pPr>
        <w:jc w:val="both"/>
        <w:rPr>
          <w:rFonts w:ascii="Verdana" w:hAnsi="Verdana"/>
          <w:b/>
        </w:rPr>
      </w:pPr>
    </w:p>
    <w:p w:rsidR="003F7259" w:rsidRDefault="003F7259" w:rsidP="00140D64">
      <w:pPr>
        <w:jc w:val="both"/>
        <w:rPr>
          <w:rFonts w:ascii="Verdana" w:hAnsi="Verdana"/>
          <w:b/>
        </w:rPr>
      </w:pPr>
    </w:p>
    <w:p w:rsidR="003F7259" w:rsidRDefault="003F7259" w:rsidP="00140D64">
      <w:pPr>
        <w:jc w:val="both"/>
        <w:rPr>
          <w:rFonts w:ascii="Verdana" w:hAnsi="Verdana"/>
          <w:b/>
        </w:rPr>
      </w:pPr>
    </w:p>
    <w:p w:rsidR="003F7259" w:rsidRDefault="003F7259" w:rsidP="00140D64">
      <w:pPr>
        <w:jc w:val="both"/>
        <w:rPr>
          <w:rFonts w:ascii="Verdana" w:hAnsi="Verdana"/>
          <w:b/>
        </w:rPr>
      </w:pPr>
    </w:p>
    <w:p w:rsidR="003F7259" w:rsidRDefault="003F7259" w:rsidP="00140D64">
      <w:pPr>
        <w:jc w:val="both"/>
        <w:rPr>
          <w:rFonts w:ascii="Verdana" w:hAnsi="Verdana"/>
          <w:b/>
        </w:rPr>
      </w:pPr>
    </w:p>
    <w:p w:rsidR="003F7259" w:rsidRDefault="003F7259" w:rsidP="00140D64">
      <w:pPr>
        <w:jc w:val="both"/>
        <w:rPr>
          <w:rFonts w:ascii="Verdana" w:hAnsi="Verdana"/>
          <w:b/>
        </w:rPr>
      </w:pPr>
    </w:p>
    <w:p w:rsidR="003F7259" w:rsidRDefault="003F7259" w:rsidP="00140D64">
      <w:pPr>
        <w:jc w:val="both"/>
        <w:rPr>
          <w:rFonts w:ascii="Verdana" w:hAnsi="Verdana"/>
          <w:b/>
        </w:rPr>
      </w:pPr>
    </w:p>
    <w:p w:rsidR="00542887" w:rsidRDefault="00542887" w:rsidP="00140D64">
      <w:pPr>
        <w:jc w:val="both"/>
        <w:rPr>
          <w:rFonts w:ascii="Verdana" w:hAnsi="Verdana"/>
          <w:b/>
        </w:rPr>
      </w:pPr>
    </w:p>
    <w:tbl>
      <w:tblPr>
        <w:tblStyle w:val="TableGrid"/>
        <w:tblW w:w="0" w:type="auto"/>
        <w:tblInd w:w="3823" w:type="dxa"/>
        <w:tblLook w:val="04A0" w:firstRow="1" w:lastRow="0" w:firstColumn="1" w:lastColumn="0" w:noHBand="0" w:noVBand="1"/>
      </w:tblPr>
      <w:tblGrid>
        <w:gridCol w:w="3872"/>
        <w:gridCol w:w="4066"/>
      </w:tblGrid>
      <w:tr w:rsidR="00542887" w:rsidTr="001855C1">
        <w:tc>
          <w:tcPr>
            <w:tcW w:w="3872" w:type="dxa"/>
          </w:tcPr>
          <w:p w:rsidR="00542887" w:rsidRDefault="00542887" w:rsidP="001855C1">
            <w:pPr>
              <w:jc w:val="both"/>
              <w:rPr>
                <w:rFonts w:ascii="Verdana" w:hAnsi="Verdana"/>
                <w:b/>
              </w:rPr>
            </w:pPr>
            <w:r>
              <w:rPr>
                <w:rFonts w:ascii="Verdana" w:hAnsi="Verdana"/>
                <w:b/>
              </w:rPr>
              <w:t xml:space="preserve">Type of Incident </w:t>
            </w:r>
          </w:p>
        </w:tc>
        <w:tc>
          <w:tcPr>
            <w:tcW w:w="4066" w:type="dxa"/>
          </w:tcPr>
          <w:p w:rsidR="00542887" w:rsidRDefault="00542887" w:rsidP="001855C1">
            <w:pPr>
              <w:jc w:val="both"/>
              <w:rPr>
                <w:rFonts w:ascii="Verdana" w:hAnsi="Verdana"/>
                <w:b/>
              </w:rPr>
            </w:pPr>
            <w:r>
              <w:rPr>
                <w:rFonts w:ascii="Verdana" w:hAnsi="Verdana"/>
                <w:b/>
              </w:rPr>
              <w:t>Number of Incidents</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Pressure damage</w:t>
            </w:r>
          </w:p>
        </w:tc>
        <w:tc>
          <w:tcPr>
            <w:tcW w:w="4066" w:type="dxa"/>
          </w:tcPr>
          <w:p w:rsidR="00542887" w:rsidRPr="00D3201D" w:rsidRDefault="00542887" w:rsidP="001855C1">
            <w:pPr>
              <w:jc w:val="center"/>
              <w:rPr>
                <w:rFonts w:ascii="Verdana" w:hAnsi="Verdana"/>
              </w:rPr>
            </w:pPr>
            <w:r w:rsidRPr="00D3201D">
              <w:rPr>
                <w:rFonts w:ascii="Verdana" w:hAnsi="Verdana"/>
              </w:rPr>
              <w:t>14</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Slip, trip or fall</w:t>
            </w:r>
          </w:p>
        </w:tc>
        <w:tc>
          <w:tcPr>
            <w:tcW w:w="4066" w:type="dxa"/>
          </w:tcPr>
          <w:p w:rsidR="00542887" w:rsidRPr="00D3201D" w:rsidRDefault="00542887" w:rsidP="001855C1">
            <w:pPr>
              <w:jc w:val="center"/>
              <w:rPr>
                <w:rFonts w:ascii="Verdana" w:hAnsi="Verdana"/>
              </w:rPr>
            </w:pPr>
            <w:r w:rsidRPr="00D3201D">
              <w:rPr>
                <w:rFonts w:ascii="Verdana" w:hAnsi="Verdana"/>
              </w:rPr>
              <w:t>10</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Delays (all ophthalmology)</w:t>
            </w:r>
          </w:p>
        </w:tc>
        <w:tc>
          <w:tcPr>
            <w:tcW w:w="4066" w:type="dxa"/>
          </w:tcPr>
          <w:p w:rsidR="00542887" w:rsidRPr="00D3201D" w:rsidRDefault="00542887" w:rsidP="001855C1">
            <w:pPr>
              <w:jc w:val="center"/>
              <w:rPr>
                <w:rFonts w:ascii="Verdana" w:hAnsi="Verdana"/>
              </w:rPr>
            </w:pPr>
            <w:r w:rsidRPr="00D3201D">
              <w:rPr>
                <w:rFonts w:ascii="Verdana" w:hAnsi="Verdana"/>
              </w:rPr>
              <w:t>5</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Neonatal event</w:t>
            </w:r>
          </w:p>
        </w:tc>
        <w:tc>
          <w:tcPr>
            <w:tcW w:w="4066" w:type="dxa"/>
          </w:tcPr>
          <w:p w:rsidR="00542887" w:rsidRPr="00D3201D" w:rsidRDefault="00542887" w:rsidP="001855C1">
            <w:pPr>
              <w:jc w:val="center"/>
              <w:rPr>
                <w:rFonts w:ascii="Verdana" w:hAnsi="Verdana"/>
              </w:rPr>
            </w:pPr>
            <w:r w:rsidRPr="00D3201D">
              <w:rPr>
                <w:rFonts w:ascii="Verdana" w:hAnsi="Verdana"/>
              </w:rPr>
              <w:t>4</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Unexpected death (MH)</w:t>
            </w:r>
          </w:p>
        </w:tc>
        <w:tc>
          <w:tcPr>
            <w:tcW w:w="4066" w:type="dxa"/>
          </w:tcPr>
          <w:p w:rsidR="00542887" w:rsidRPr="00D3201D" w:rsidRDefault="00542887" w:rsidP="001855C1">
            <w:pPr>
              <w:jc w:val="center"/>
              <w:rPr>
                <w:rFonts w:ascii="Verdana" w:hAnsi="Verdana"/>
              </w:rPr>
            </w:pPr>
            <w:r w:rsidRPr="00D3201D">
              <w:rPr>
                <w:rFonts w:ascii="Verdana" w:hAnsi="Verdana"/>
              </w:rPr>
              <w:t>3</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Patient injury (MH)</w:t>
            </w:r>
          </w:p>
        </w:tc>
        <w:tc>
          <w:tcPr>
            <w:tcW w:w="4066" w:type="dxa"/>
          </w:tcPr>
          <w:p w:rsidR="00542887" w:rsidRPr="00D3201D" w:rsidRDefault="00542887" w:rsidP="001855C1">
            <w:pPr>
              <w:jc w:val="center"/>
              <w:rPr>
                <w:rFonts w:ascii="Verdana" w:hAnsi="Verdana"/>
              </w:rPr>
            </w:pPr>
            <w:r w:rsidRPr="00D3201D">
              <w:rPr>
                <w:rFonts w:ascii="Verdana" w:hAnsi="Verdana"/>
              </w:rPr>
              <w:t>1</w:t>
            </w:r>
          </w:p>
        </w:tc>
      </w:tr>
      <w:tr w:rsidR="00542887" w:rsidTr="001855C1">
        <w:tc>
          <w:tcPr>
            <w:tcW w:w="3872" w:type="dxa"/>
          </w:tcPr>
          <w:p w:rsidR="00542887" w:rsidRPr="00D3201D" w:rsidRDefault="00542887" w:rsidP="001855C1">
            <w:pPr>
              <w:jc w:val="both"/>
              <w:rPr>
                <w:rFonts w:ascii="Verdana" w:hAnsi="Verdana"/>
              </w:rPr>
            </w:pPr>
            <w:r w:rsidRPr="00D3201D">
              <w:rPr>
                <w:rFonts w:ascii="Verdana" w:hAnsi="Verdana"/>
              </w:rPr>
              <w:t xml:space="preserve">Infection </w:t>
            </w:r>
          </w:p>
        </w:tc>
        <w:tc>
          <w:tcPr>
            <w:tcW w:w="4066" w:type="dxa"/>
          </w:tcPr>
          <w:p w:rsidR="00542887" w:rsidRPr="00D3201D" w:rsidRDefault="00542887" w:rsidP="001855C1">
            <w:pPr>
              <w:jc w:val="center"/>
              <w:rPr>
                <w:rFonts w:ascii="Verdana" w:hAnsi="Verdana"/>
              </w:rPr>
            </w:pPr>
            <w:r w:rsidRPr="00D3201D">
              <w:rPr>
                <w:rFonts w:ascii="Verdana" w:hAnsi="Verdana"/>
              </w:rPr>
              <w:t>1</w:t>
            </w:r>
          </w:p>
        </w:tc>
      </w:tr>
    </w:tbl>
    <w:p w:rsidR="00542887" w:rsidRDefault="00E83B09" w:rsidP="00E83B09">
      <w:pPr>
        <w:jc w:val="center"/>
        <w:rPr>
          <w:rFonts w:ascii="Verdana" w:hAnsi="Verdana"/>
          <w:b/>
        </w:rPr>
      </w:pPr>
      <w:r>
        <w:rPr>
          <w:rFonts w:ascii="Verdana" w:hAnsi="Verdana"/>
          <w:b/>
        </w:rPr>
        <w:t>Fig 1. Incident by type</w:t>
      </w:r>
    </w:p>
    <w:p w:rsidR="00E83B09" w:rsidRDefault="00E83B09" w:rsidP="00140D64">
      <w:pPr>
        <w:jc w:val="both"/>
        <w:rPr>
          <w:rFonts w:ascii="Verdana" w:hAnsi="Verdana"/>
          <w:b/>
        </w:rPr>
      </w:pPr>
    </w:p>
    <w:p w:rsidR="00E83B09" w:rsidRDefault="00E83B09" w:rsidP="00140D64">
      <w:pPr>
        <w:jc w:val="both"/>
        <w:rPr>
          <w:rFonts w:ascii="Verdana" w:hAnsi="Verdana"/>
          <w:b/>
        </w:rPr>
      </w:pPr>
    </w:p>
    <w:p w:rsidR="00E83B09" w:rsidRDefault="00E83B09" w:rsidP="00140D64">
      <w:pPr>
        <w:jc w:val="both"/>
        <w:rPr>
          <w:rFonts w:ascii="Verdana" w:hAnsi="Verdana"/>
          <w:b/>
        </w:rPr>
      </w:pPr>
    </w:p>
    <w:p w:rsidR="00E83B09" w:rsidRDefault="00E83B09" w:rsidP="00140D64">
      <w:pPr>
        <w:jc w:val="both"/>
        <w:rPr>
          <w:rFonts w:ascii="Verdana" w:hAnsi="Verdana"/>
          <w:b/>
        </w:rPr>
      </w:pPr>
    </w:p>
    <w:p w:rsidR="00E83B09" w:rsidRDefault="00E83B09" w:rsidP="00140D64">
      <w:pPr>
        <w:jc w:val="both"/>
        <w:rPr>
          <w:rFonts w:ascii="Verdana" w:hAnsi="Verdana"/>
          <w:b/>
        </w:rPr>
      </w:pPr>
    </w:p>
    <w:p w:rsidR="00140D64" w:rsidRDefault="00140D64" w:rsidP="00140D64">
      <w:pPr>
        <w:jc w:val="both"/>
        <w:rPr>
          <w:rFonts w:ascii="Verdana" w:hAnsi="Verdana"/>
          <w:b/>
        </w:rPr>
      </w:pPr>
      <w:r>
        <w:rPr>
          <w:rFonts w:ascii="Verdana" w:hAnsi="Verdana"/>
          <w:b/>
        </w:rPr>
        <w:t>Complaints</w:t>
      </w:r>
      <w:r w:rsidRPr="00154413">
        <w:rPr>
          <w:rFonts w:ascii="Verdana" w:hAnsi="Verdana"/>
          <w:b/>
        </w:rPr>
        <w:t>:</w:t>
      </w:r>
    </w:p>
    <w:p w:rsidR="00AA6561" w:rsidRDefault="00AA6561" w:rsidP="00AA6561">
      <w:pPr>
        <w:jc w:val="both"/>
        <w:rPr>
          <w:rFonts w:ascii="Verdana" w:hAnsi="Verdana"/>
        </w:rPr>
      </w:pPr>
      <w:r>
        <w:rPr>
          <w:rFonts w:ascii="Verdana" w:hAnsi="Verdana"/>
        </w:rPr>
        <w:t xml:space="preserve">During January 2020, the three main issues from complaints related to delays, communication and treatment error.  Trauma and Orthopaedics in POW have the highest reported number of complaints for delays.   Complaints in relation to communication mainly occur in A/E with no real differences across the sites.     The highest number of treatment errors is reported in Obstetrics and across all three sites.  Improvement work is currently being taken forward by the Maternity Improvement Board. Learning from this will be considered in the June Quality Governance and Learning subcommittee. Learning from complaints in general is reviewed </w:t>
      </w:r>
      <w:r w:rsidR="00B15F38">
        <w:rPr>
          <w:rFonts w:ascii="Verdana" w:hAnsi="Verdana"/>
        </w:rPr>
        <w:t>in a variety of ways, including;</w:t>
      </w:r>
      <w:r>
        <w:rPr>
          <w:rFonts w:ascii="Verdana" w:hAnsi="Verdana"/>
        </w:rPr>
        <w:t xml:space="preserve"> at directorate governance meetings, through patient stories, through the complaints and claims scrutiny panels, through </w:t>
      </w:r>
      <w:r w:rsidR="00556368">
        <w:rPr>
          <w:rFonts w:ascii="Verdana" w:hAnsi="Verdana"/>
        </w:rPr>
        <w:t>the listening and learning news</w:t>
      </w:r>
      <w:r>
        <w:rPr>
          <w:rFonts w:ascii="Verdana" w:hAnsi="Verdana"/>
        </w:rPr>
        <w:t>letters and latterly through the Quality Governance and Learning subcommittee where a lessons learnt template is being tested.</w:t>
      </w:r>
    </w:p>
    <w:p w:rsidR="009F4BDA" w:rsidRDefault="009F4BDA" w:rsidP="00265C61">
      <w:pPr>
        <w:jc w:val="both"/>
        <w:rPr>
          <w:rFonts w:ascii="Verdana" w:hAnsi="Verdana"/>
        </w:rPr>
      </w:pPr>
    </w:p>
    <w:p w:rsidR="00265C61" w:rsidRDefault="00265C61" w:rsidP="00265C61">
      <w:pPr>
        <w:jc w:val="both"/>
        <w:rPr>
          <w:rFonts w:ascii="Verdana" w:hAnsi="Verdana"/>
        </w:rPr>
      </w:pPr>
      <w:r w:rsidRPr="00437F4E">
        <w:rPr>
          <w:rFonts w:ascii="Verdana" w:hAnsi="Verdana"/>
          <w:b/>
        </w:rPr>
        <w:t>Compliments</w:t>
      </w:r>
      <w:r>
        <w:rPr>
          <w:rFonts w:ascii="Verdana" w:hAnsi="Verdana"/>
        </w:rPr>
        <w:t>:</w:t>
      </w:r>
    </w:p>
    <w:p w:rsidR="00265C61" w:rsidRDefault="00265C61" w:rsidP="00265C61">
      <w:pPr>
        <w:jc w:val="both"/>
        <w:rPr>
          <w:rFonts w:ascii="Verdana" w:hAnsi="Verdana"/>
        </w:rPr>
      </w:pPr>
      <w:r>
        <w:rPr>
          <w:rFonts w:ascii="Verdana" w:hAnsi="Verdana"/>
        </w:rPr>
        <w:t>During December and January, the number of compliments reported to the PALS team reduced.  R</w:t>
      </w:r>
      <w:r w:rsidR="00B15F38">
        <w:rPr>
          <w:rFonts w:ascii="Verdana" w:hAnsi="Verdana"/>
        </w:rPr>
        <w:t>eminders have been sent to colleagues</w:t>
      </w:r>
      <w:r>
        <w:rPr>
          <w:rFonts w:ascii="Verdana" w:hAnsi="Verdana"/>
        </w:rPr>
        <w:t xml:space="preserve"> to share any compliments to the PALS team for reporting on Datix. </w:t>
      </w:r>
    </w:p>
    <w:p w:rsidR="00C84E65" w:rsidRDefault="00C84E65" w:rsidP="00140D64">
      <w:pPr>
        <w:jc w:val="both"/>
        <w:rPr>
          <w:rFonts w:ascii="Verdana" w:hAnsi="Verdana"/>
        </w:rPr>
      </w:pPr>
    </w:p>
    <w:p w:rsidR="00140D64" w:rsidRDefault="005111FB" w:rsidP="000A6BA8">
      <w:pPr>
        <w:jc w:val="both"/>
        <w:rPr>
          <w:rFonts w:ascii="Verdana" w:hAnsi="Verdana"/>
          <w:b/>
        </w:rPr>
      </w:pPr>
      <w:r>
        <w:rPr>
          <w:noProof/>
        </w:rPr>
        <w:drawing>
          <wp:anchor distT="0" distB="0" distL="114300" distR="114300" simplePos="0" relativeHeight="251937280" behindDoc="0" locked="0" layoutInCell="1" allowOverlap="1" wp14:anchorId="0AF1FFF6" wp14:editId="07CBB6B1">
            <wp:simplePos x="0" y="0"/>
            <wp:positionH relativeFrom="column">
              <wp:posOffset>409575</wp:posOffset>
            </wp:positionH>
            <wp:positionV relativeFrom="paragraph">
              <wp:posOffset>5715</wp:posOffset>
            </wp:positionV>
            <wp:extent cx="4161790" cy="2095500"/>
            <wp:effectExtent l="0" t="0" r="10160" b="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745E27">
        <w:rPr>
          <w:noProof/>
        </w:rPr>
        <w:drawing>
          <wp:anchor distT="0" distB="0" distL="114300" distR="114300" simplePos="0" relativeHeight="251932160" behindDoc="0" locked="0" layoutInCell="1" allowOverlap="1" wp14:anchorId="0431D084" wp14:editId="0190B210">
            <wp:simplePos x="0" y="0"/>
            <wp:positionH relativeFrom="margin">
              <wp:posOffset>4856222</wp:posOffset>
            </wp:positionH>
            <wp:positionV relativeFrom="paragraph">
              <wp:posOffset>5714</wp:posOffset>
            </wp:positionV>
            <wp:extent cx="4211578" cy="2125333"/>
            <wp:effectExtent l="0" t="0" r="17780" b="8890"/>
            <wp:wrapSquare wrapText="bothSides"/>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EB5CCF">
        <w:rPr>
          <w:rFonts w:ascii="Verdana" w:hAnsi="Verdana"/>
          <w:b/>
        </w:rPr>
        <w:t xml:space="preserve">  </w:t>
      </w:r>
    </w:p>
    <w:p w:rsidR="00140D64" w:rsidRDefault="00140D64" w:rsidP="000A6BA8">
      <w:pPr>
        <w:jc w:val="both"/>
        <w:rPr>
          <w:rFonts w:ascii="Verdana" w:hAnsi="Verdana"/>
          <w:b/>
        </w:rPr>
      </w:pPr>
    </w:p>
    <w:p w:rsidR="007352AD" w:rsidRDefault="007352AD" w:rsidP="000A6BA8">
      <w:pPr>
        <w:jc w:val="both"/>
        <w:rPr>
          <w:rFonts w:ascii="Verdana" w:hAnsi="Verdana"/>
          <w:b/>
        </w:rPr>
      </w:pPr>
    </w:p>
    <w:p w:rsidR="007352AD" w:rsidRDefault="007352AD" w:rsidP="000A6BA8">
      <w:pPr>
        <w:jc w:val="both"/>
        <w:rPr>
          <w:rFonts w:ascii="Verdana" w:hAnsi="Verdana"/>
          <w:b/>
        </w:rPr>
      </w:pPr>
    </w:p>
    <w:p w:rsidR="007352AD" w:rsidRDefault="007352AD" w:rsidP="000A6BA8">
      <w:pPr>
        <w:jc w:val="both"/>
        <w:rPr>
          <w:rFonts w:ascii="Verdana" w:hAnsi="Verdana"/>
          <w:b/>
        </w:rPr>
      </w:pPr>
    </w:p>
    <w:p w:rsidR="007352AD" w:rsidRDefault="007352AD" w:rsidP="000A6BA8">
      <w:pPr>
        <w:jc w:val="both"/>
        <w:rPr>
          <w:rFonts w:ascii="Verdana" w:hAnsi="Verdana"/>
          <w:b/>
        </w:rPr>
      </w:pPr>
    </w:p>
    <w:p w:rsidR="007352AD" w:rsidRDefault="007352AD" w:rsidP="000A6BA8">
      <w:pPr>
        <w:jc w:val="both"/>
        <w:rPr>
          <w:rFonts w:ascii="Verdana" w:hAnsi="Verdana"/>
          <w:b/>
        </w:rPr>
      </w:pPr>
    </w:p>
    <w:p w:rsidR="007352AD" w:rsidRDefault="007352AD" w:rsidP="000A6BA8">
      <w:pPr>
        <w:jc w:val="both"/>
        <w:rPr>
          <w:rFonts w:ascii="Verdana" w:hAnsi="Verdana"/>
          <w:b/>
        </w:rPr>
      </w:pPr>
    </w:p>
    <w:p w:rsidR="00E117CE" w:rsidRDefault="00E117CE" w:rsidP="000A6BA8">
      <w:pPr>
        <w:jc w:val="both"/>
        <w:rPr>
          <w:rFonts w:ascii="Verdana" w:hAnsi="Verdana"/>
          <w:b/>
        </w:rPr>
      </w:pPr>
    </w:p>
    <w:p w:rsidR="00AB4324" w:rsidRDefault="00AB4324" w:rsidP="000A6BA8">
      <w:pPr>
        <w:jc w:val="both"/>
        <w:rPr>
          <w:rFonts w:ascii="Verdana" w:hAnsi="Verdana"/>
          <w:b/>
        </w:rPr>
      </w:pPr>
    </w:p>
    <w:p w:rsidR="00914288" w:rsidRDefault="00914288" w:rsidP="000A6BA8">
      <w:pPr>
        <w:jc w:val="both"/>
        <w:rPr>
          <w:rFonts w:ascii="Verdana" w:hAnsi="Verdana"/>
          <w:b/>
        </w:rPr>
      </w:pPr>
    </w:p>
    <w:p w:rsidR="005111FB" w:rsidRDefault="005111FB">
      <w:pPr>
        <w:rPr>
          <w:rFonts w:ascii="Verdana" w:hAnsi="Verdana"/>
          <w:b/>
        </w:rPr>
      </w:pPr>
      <w:r>
        <w:rPr>
          <w:rFonts w:ascii="Verdana" w:hAnsi="Verdana"/>
          <w:b/>
        </w:rPr>
        <w:br w:type="page"/>
      </w:r>
    </w:p>
    <w:p w:rsidR="00B24841" w:rsidRDefault="00B24841" w:rsidP="000A6BA8">
      <w:pPr>
        <w:jc w:val="both"/>
        <w:rPr>
          <w:rFonts w:ascii="Verdana" w:hAnsi="Verdana"/>
          <w:b/>
        </w:rPr>
      </w:pPr>
      <w:r>
        <w:rPr>
          <w:rFonts w:ascii="Verdana" w:hAnsi="Verdana"/>
          <w:b/>
        </w:rPr>
        <w:t>Patient Safety Solutions:</w:t>
      </w:r>
    </w:p>
    <w:p w:rsidR="00B24841" w:rsidRDefault="00DD7551" w:rsidP="000A6BA8">
      <w:pPr>
        <w:jc w:val="both"/>
        <w:rPr>
          <w:rFonts w:ascii="Verdana" w:hAnsi="Verdana"/>
        </w:rPr>
      </w:pPr>
      <w:r w:rsidRPr="00DD7551">
        <w:rPr>
          <w:rFonts w:ascii="Verdana" w:hAnsi="Verdana"/>
        </w:rPr>
        <w:t>The Hea</w:t>
      </w:r>
      <w:r>
        <w:rPr>
          <w:rFonts w:ascii="Verdana" w:hAnsi="Verdana"/>
        </w:rPr>
        <w:t>lth Board currently reports non-</w:t>
      </w:r>
      <w:r w:rsidRPr="00DD7551">
        <w:rPr>
          <w:rFonts w:ascii="Verdana" w:hAnsi="Verdana"/>
        </w:rPr>
        <w:t>compliance in 3 areas.</w:t>
      </w:r>
    </w:p>
    <w:p w:rsidR="00DD7551" w:rsidRDefault="00DD7551" w:rsidP="000A6BA8">
      <w:pPr>
        <w:jc w:val="both"/>
        <w:rPr>
          <w:rFonts w:ascii="Verdana" w:hAnsi="Verdana"/>
        </w:rPr>
      </w:pPr>
    </w:p>
    <w:p w:rsidR="00DD7551" w:rsidRPr="00DD7551" w:rsidRDefault="0047423A" w:rsidP="00DD7551">
      <w:pPr>
        <w:rPr>
          <w:rFonts w:asciiTheme="minorHAnsi" w:eastAsiaTheme="minorHAnsi" w:hAnsiTheme="minorHAnsi" w:cstheme="minorBidi"/>
          <w:b/>
          <w:color w:val="0563C1" w:themeColor="hyperlink"/>
          <w:szCs w:val="24"/>
          <w:u w:val="single"/>
          <w:lang w:eastAsia="en-US"/>
        </w:rPr>
      </w:pPr>
      <w:hyperlink r:id="rId24" w:history="1">
        <w:r w:rsidR="00DD7551" w:rsidRPr="00DD7551">
          <w:rPr>
            <w:rFonts w:ascii="Verdana" w:eastAsiaTheme="minorHAnsi" w:hAnsi="Verdana" w:cstheme="minorBidi"/>
            <w:b/>
            <w:color w:val="0563C1" w:themeColor="hyperlink"/>
            <w:szCs w:val="24"/>
            <w:u w:val="single"/>
            <w:lang w:eastAsia="en-US"/>
          </w:rPr>
          <w:t>PSN008</w:t>
        </w:r>
      </w:hyperlink>
      <w:r w:rsidR="00DD7551" w:rsidRPr="00DD7551">
        <w:rPr>
          <w:rFonts w:ascii="Verdana" w:eastAsiaTheme="minorHAnsi" w:hAnsi="Verdana" w:cstheme="minorBidi"/>
          <w:b/>
          <w:color w:val="0563C1" w:themeColor="hyperlink"/>
          <w:szCs w:val="24"/>
          <w:u w:val="single"/>
          <w:lang w:eastAsia="en-US"/>
        </w:rPr>
        <w:t xml:space="preserve"> </w:t>
      </w:r>
    </w:p>
    <w:p w:rsidR="00DD7551" w:rsidRPr="00DD7551" w:rsidRDefault="00DD7551" w:rsidP="00DD7551">
      <w:pPr>
        <w:rPr>
          <w:rFonts w:asciiTheme="minorHAnsi" w:eastAsiaTheme="minorHAnsi" w:hAnsiTheme="minorHAnsi" w:cstheme="minorBidi"/>
          <w:szCs w:val="24"/>
          <w:lang w:eastAsia="en-US"/>
        </w:rPr>
      </w:pPr>
      <w:r w:rsidRPr="00DD7551">
        <w:rPr>
          <w:rFonts w:ascii="Verdana" w:eastAsiaTheme="minorHAnsi" w:hAnsi="Verdana" w:cstheme="minorBidi"/>
          <w:b/>
          <w:szCs w:val="24"/>
          <w:lang w:eastAsia="en-US"/>
        </w:rPr>
        <w:t>Nasogastric tube misplacement: continuing risk of death and severe harm</w:t>
      </w:r>
      <w:r w:rsidRPr="00DD7551">
        <w:rPr>
          <w:rFonts w:ascii="Verdana" w:eastAsiaTheme="minorHAnsi" w:hAnsi="Verdana" w:cstheme="minorBidi"/>
          <w:szCs w:val="24"/>
          <w:lang w:eastAsia="en-US"/>
        </w:rPr>
        <w:t>.</w:t>
      </w:r>
    </w:p>
    <w:p w:rsidR="00DD7551" w:rsidRPr="00DD7551" w:rsidRDefault="00342D9A" w:rsidP="00DD7551">
      <w:pPr>
        <w:rPr>
          <w:rFonts w:ascii="Verdana" w:eastAsiaTheme="minorHAnsi" w:hAnsi="Verdana" w:cstheme="minorBidi"/>
          <w:szCs w:val="24"/>
          <w:lang w:eastAsia="en-US"/>
        </w:rPr>
      </w:pPr>
      <w:r>
        <w:rPr>
          <w:rFonts w:ascii="Verdana" w:eastAsiaTheme="minorHAnsi" w:hAnsi="Verdana" w:cstheme="minorBidi"/>
          <w:szCs w:val="24"/>
          <w:lang w:eastAsia="en-US"/>
        </w:rPr>
        <w:t>Interim arrangements put in place by the Health Board are</w:t>
      </w:r>
      <w:r w:rsidR="00DD7551" w:rsidRPr="00DD7551">
        <w:rPr>
          <w:rFonts w:ascii="Verdana" w:eastAsiaTheme="minorHAnsi" w:hAnsi="Verdana" w:cstheme="minorBidi"/>
          <w:szCs w:val="24"/>
          <w:lang w:eastAsia="en-US"/>
        </w:rPr>
        <w:t xml:space="preserve"> supported by the Delivery Unit and Welsh Government patient safety team until an alternative product is sourced for Wales.  </w:t>
      </w:r>
    </w:p>
    <w:p w:rsidR="00DD7551" w:rsidRPr="00DD7551" w:rsidRDefault="00DD7551" w:rsidP="00DD7551">
      <w:pPr>
        <w:rPr>
          <w:rFonts w:asciiTheme="minorHAnsi" w:eastAsiaTheme="minorHAnsi" w:hAnsiTheme="minorHAnsi" w:cstheme="minorBidi"/>
          <w:szCs w:val="24"/>
          <w:lang w:eastAsia="en-US"/>
        </w:rPr>
      </w:pPr>
    </w:p>
    <w:p w:rsidR="00DD7551" w:rsidRPr="00DD7551" w:rsidRDefault="0047423A" w:rsidP="00DD7551">
      <w:pPr>
        <w:rPr>
          <w:rFonts w:asciiTheme="minorHAnsi" w:eastAsiaTheme="minorHAnsi" w:hAnsiTheme="minorHAnsi" w:cstheme="minorBidi"/>
          <w:b/>
          <w:color w:val="0563C1" w:themeColor="hyperlink"/>
          <w:szCs w:val="24"/>
          <w:u w:val="single"/>
          <w:lang w:eastAsia="en-US"/>
        </w:rPr>
      </w:pPr>
      <w:hyperlink r:id="rId25" w:history="1">
        <w:r w:rsidR="00DD7551" w:rsidRPr="00DD7551">
          <w:rPr>
            <w:rFonts w:ascii="Verdana" w:eastAsiaTheme="minorHAnsi" w:hAnsi="Verdana" w:cstheme="minorBidi"/>
            <w:b/>
            <w:color w:val="0563C1" w:themeColor="hyperlink"/>
            <w:szCs w:val="24"/>
            <w:u w:val="single"/>
            <w:lang w:eastAsia="en-US"/>
          </w:rPr>
          <w:t>PSN030</w:t>
        </w:r>
      </w:hyperlink>
    </w:p>
    <w:p w:rsidR="00DD7551" w:rsidRPr="00DD7551" w:rsidRDefault="00DD7551" w:rsidP="00DD7551">
      <w:pPr>
        <w:rPr>
          <w:rFonts w:asciiTheme="minorHAnsi" w:eastAsiaTheme="minorHAnsi" w:hAnsiTheme="minorHAnsi" w:cstheme="minorBidi"/>
          <w:szCs w:val="24"/>
          <w:lang w:eastAsia="en-US"/>
        </w:rPr>
      </w:pPr>
      <w:r w:rsidRPr="00DD7551">
        <w:rPr>
          <w:rFonts w:ascii="Verdana" w:eastAsiaTheme="minorHAnsi" w:hAnsi="Verdana" w:cstheme="minorBidi"/>
          <w:b/>
          <w:szCs w:val="24"/>
          <w:lang w:eastAsia="en-US"/>
        </w:rPr>
        <w:t>The safe storage of medicines: cupboards.</w:t>
      </w:r>
    </w:p>
    <w:p w:rsidR="00DD7551" w:rsidRPr="00DD7551" w:rsidRDefault="00DD7551" w:rsidP="00DD7551">
      <w:pPr>
        <w:rPr>
          <w:rFonts w:ascii="Verdana" w:eastAsiaTheme="minorHAnsi" w:hAnsi="Verdana" w:cstheme="minorBidi"/>
          <w:noProof/>
          <w:color w:val="000000" w:themeColor="text1"/>
          <w:szCs w:val="24"/>
          <w:lang w:eastAsia="en-US"/>
        </w:rPr>
      </w:pPr>
      <w:r w:rsidRPr="00DD7551">
        <w:rPr>
          <w:rFonts w:ascii="Verdana" w:eastAsiaTheme="minorHAnsi" w:hAnsi="Verdana" w:cstheme="minorBidi"/>
          <w:szCs w:val="24"/>
          <w:lang w:eastAsia="en-US"/>
        </w:rPr>
        <w:t xml:space="preserve">Areas of non-compliance have been identified. Recent advice from the Delivery Unit in February 2020 is to undertake a further risk assessment across the Health Board to check compliance as the Health Board can report compliance if they can demonstrate safe storage of medicines despite metal medicines cabinets not being available which is recommended within the notice.   </w:t>
      </w:r>
    </w:p>
    <w:p w:rsidR="00DD7551" w:rsidRPr="00DD7551" w:rsidRDefault="00DD7551" w:rsidP="00DD7551">
      <w:pPr>
        <w:rPr>
          <w:rFonts w:ascii="Verdana" w:eastAsiaTheme="minorHAnsi" w:hAnsi="Verdana" w:cstheme="minorBidi"/>
          <w:szCs w:val="24"/>
          <w:lang w:eastAsia="en-US"/>
        </w:rPr>
      </w:pPr>
    </w:p>
    <w:p w:rsidR="00DD7551" w:rsidRPr="00DD7551" w:rsidRDefault="0047423A" w:rsidP="00DD7551">
      <w:pPr>
        <w:rPr>
          <w:rFonts w:asciiTheme="minorHAnsi" w:eastAsiaTheme="minorHAnsi" w:hAnsiTheme="minorHAnsi" w:cstheme="minorBidi"/>
          <w:b/>
          <w:color w:val="0563C1" w:themeColor="hyperlink"/>
          <w:szCs w:val="24"/>
          <w:u w:val="single"/>
          <w:lang w:eastAsia="en-US"/>
        </w:rPr>
      </w:pPr>
      <w:hyperlink r:id="rId26" w:history="1">
        <w:r w:rsidR="00DD7551" w:rsidRPr="00DD7551">
          <w:rPr>
            <w:rFonts w:ascii="Verdana" w:eastAsiaTheme="minorHAnsi" w:hAnsi="Verdana" w:cstheme="minorBidi"/>
            <w:b/>
            <w:color w:val="0563C1" w:themeColor="hyperlink"/>
            <w:szCs w:val="24"/>
            <w:u w:val="single"/>
            <w:lang w:eastAsia="en-US"/>
          </w:rPr>
          <w:t>PSN046</w:t>
        </w:r>
      </w:hyperlink>
    </w:p>
    <w:p w:rsidR="00DD7551" w:rsidRPr="00DD7551" w:rsidRDefault="00DD7551" w:rsidP="00DD7551">
      <w:pPr>
        <w:rPr>
          <w:rFonts w:asciiTheme="minorHAnsi" w:eastAsiaTheme="minorHAnsi" w:hAnsiTheme="minorHAnsi" w:cstheme="minorBidi"/>
          <w:szCs w:val="24"/>
          <w:lang w:eastAsia="en-US"/>
        </w:rPr>
      </w:pPr>
      <w:r w:rsidRPr="00DD7551">
        <w:rPr>
          <w:rFonts w:ascii="Verdana" w:eastAsiaTheme="minorHAnsi" w:hAnsi="Verdana" w:cstheme="minorBidi"/>
          <w:b/>
          <w:szCs w:val="24"/>
          <w:lang w:eastAsia="en-US"/>
        </w:rPr>
        <w:t>Resources to support safer bowel care for patients at risk of autonomic dysreflexia.</w:t>
      </w:r>
    </w:p>
    <w:p w:rsidR="00DD7551" w:rsidRPr="00DD7551" w:rsidRDefault="00DD7551" w:rsidP="00DD7551">
      <w:pPr>
        <w:rPr>
          <w:rFonts w:eastAsiaTheme="minorHAnsi" w:cs="Arial"/>
          <w:szCs w:val="24"/>
          <w:lang w:eastAsia="en-US"/>
        </w:rPr>
      </w:pPr>
      <w:r w:rsidRPr="00DD7551">
        <w:rPr>
          <w:rFonts w:ascii="Verdana" w:eastAsiaTheme="minorHAnsi" w:hAnsi="Verdana" w:cstheme="minorBidi"/>
          <w:szCs w:val="24"/>
          <w:lang w:eastAsia="en-US"/>
        </w:rPr>
        <w:t>Health Board policies and procedures are being reviewed and a Standard Operating Procedure is being developed – anticipated completion date March 2020.</w:t>
      </w:r>
    </w:p>
    <w:p w:rsidR="00DD7551" w:rsidRPr="00DD7551" w:rsidRDefault="00DD7551" w:rsidP="00DD7551">
      <w:pPr>
        <w:rPr>
          <w:rFonts w:ascii="Verdana" w:eastAsiaTheme="minorHAnsi" w:hAnsi="Verdana" w:cstheme="minorBidi"/>
          <w:color w:val="FFFFFF" w:themeColor="background1"/>
          <w:szCs w:val="24"/>
          <w:lang w:eastAsia="en-US"/>
        </w:rPr>
      </w:pPr>
      <w:r w:rsidRPr="00DD7551">
        <w:rPr>
          <w:rFonts w:ascii="Verdana" w:eastAsiaTheme="minorHAnsi" w:hAnsi="Verdana" w:cstheme="minorBidi"/>
          <w:color w:val="FFFFFF" w:themeColor="background1"/>
          <w:szCs w:val="24"/>
          <w:lang w:eastAsia="en-US"/>
        </w:rPr>
        <w:t>Performance for all Health Boards and Trust in Wales can be found at</w:t>
      </w:r>
    </w:p>
    <w:p w:rsidR="00DD7551" w:rsidRDefault="00DD7551" w:rsidP="00DD7551">
      <w:pPr>
        <w:rPr>
          <w:rFonts w:ascii="Verdana" w:eastAsiaTheme="minorHAnsi" w:hAnsi="Verdana" w:cstheme="minorBidi"/>
          <w:szCs w:val="24"/>
          <w:u w:val="single"/>
          <w:lang w:eastAsia="en-US"/>
        </w:rPr>
      </w:pPr>
      <w:r w:rsidRPr="009E0370">
        <w:rPr>
          <w:rFonts w:ascii="Verdana" w:eastAsiaTheme="minorHAnsi" w:hAnsi="Verdana" w:cstheme="minorBidi"/>
          <w:szCs w:val="24"/>
          <w:lang w:eastAsia="en-US"/>
        </w:rPr>
        <w:t>All Wales compliance data available at:</w:t>
      </w:r>
      <w:r w:rsidR="009E0370" w:rsidRPr="009E0370">
        <w:rPr>
          <w:rFonts w:ascii="Verdana" w:eastAsiaTheme="minorHAnsi" w:hAnsi="Verdana" w:cstheme="minorBidi"/>
          <w:szCs w:val="24"/>
          <w:lang w:eastAsia="en-US"/>
        </w:rPr>
        <w:t xml:space="preserve"> </w:t>
      </w:r>
      <w:hyperlink r:id="rId27" w:history="1">
        <w:r w:rsidRPr="009E0370">
          <w:rPr>
            <w:rFonts w:ascii="Verdana" w:eastAsiaTheme="minorHAnsi" w:hAnsi="Verdana" w:cstheme="minorBidi"/>
            <w:color w:val="2F5496" w:themeColor="accent5" w:themeShade="BF"/>
            <w:szCs w:val="24"/>
            <w:u w:val="single"/>
            <w:lang w:eastAsia="en-US"/>
          </w:rPr>
          <w:t>http://www.patientsafety.wales.nhs.uk/safety-solutions-compliance-data</w:t>
        </w:r>
      </w:hyperlink>
    </w:p>
    <w:p w:rsidR="009E0370" w:rsidRPr="00DD7551" w:rsidRDefault="009E0370" w:rsidP="00DD7551">
      <w:pPr>
        <w:rPr>
          <w:rFonts w:ascii="Times New Roman" w:eastAsiaTheme="minorHAnsi" w:hAnsi="Times New Roman" w:cstheme="minorBidi"/>
          <w:szCs w:val="24"/>
          <w:lang w:eastAsia="en-US"/>
        </w:rPr>
      </w:pPr>
    </w:p>
    <w:p w:rsidR="00B24841" w:rsidRDefault="00B24841" w:rsidP="000A6BA8">
      <w:pPr>
        <w:jc w:val="both"/>
        <w:rPr>
          <w:rFonts w:ascii="Verdana" w:hAnsi="Verdana"/>
          <w:b/>
        </w:rPr>
      </w:pPr>
    </w:p>
    <w:p w:rsidR="00BB0206" w:rsidRPr="009F4BDA" w:rsidRDefault="00BB0206" w:rsidP="000A6BA8">
      <w:pPr>
        <w:jc w:val="both"/>
        <w:rPr>
          <w:rFonts w:ascii="Verdana" w:hAnsi="Verdana"/>
          <w:b/>
        </w:rPr>
      </w:pPr>
      <w:r w:rsidRPr="009F4BDA">
        <w:rPr>
          <w:rFonts w:ascii="Verdana" w:hAnsi="Verdana"/>
          <w:b/>
        </w:rPr>
        <w:t>Patient Experience:</w:t>
      </w:r>
    </w:p>
    <w:p w:rsidR="00914288" w:rsidRPr="000A4EC8" w:rsidRDefault="009F4BDA" w:rsidP="000A6BA8">
      <w:pPr>
        <w:jc w:val="both"/>
        <w:rPr>
          <w:rFonts w:ascii="Verdana" w:hAnsi="Verdana"/>
        </w:rPr>
      </w:pPr>
      <w:r w:rsidRPr="009F4BDA">
        <w:rPr>
          <w:rFonts w:ascii="Verdana" w:hAnsi="Verdana"/>
        </w:rPr>
        <w:t>The latest patient experience data is attached as appendix 2.</w:t>
      </w:r>
      <w:r>
        <w:rPr>
          <w:rFonts w:ascii="Verdana" w:hAnsi="Verdana"/>
        </w:rPr>
        <w:t xml:space="preserve"> Health Board wide data will be available once the new national system is introduced in April 2020.</w:t>
      </w:r>
    </w:p>
    <w:p w:rsidR="00914288" w:rsidRPr="009F4BDA" w:rsidRDefault="00914288" w:rsidP="000A6BA8">
      <w:pPr>
        <w:jc w:val="both"/>
        <w:rPr>
          <w:rFonts w:ascii="Verdana" w:hAnsi="Verdana"/>
          <w:color w:val="FF0000"/>
        </w:rPr>
      </w:pPr>
    </w:p>
    <w:p w:rsidR="000A6BA8" w:rsidRDefault="000A6BA8" w:rsidP="000A6BA8">
      <w:pPr>
        <w:jc w:val="both"/>
        <w:rPr>
          <w:rFonts w:ascii="Verdana" w:hAnsi="Verdana"/>
          <w:b/>
        </w:rPr>
      </w:pPr>
      <w:r w:rsidRPr="00154413">
        <w:rPr>
          <w:rFonts w:ascii="Verdana" w:hAnsi="Verdana"/>
          <w:b/>
        </w:rPr>
        <w:t>Medication errors:</w:t>
      </w:r>
    </w:p>
    <w:p w:rsidR="00E25149" w:rsidRDefault="00E25149" w:rsidP="000A6BA8">
      <w:pPr>
        <w:jc w:val="both"/>
        <w:rPr>
          <w:rFonts w:ascii="Verdana" w:hAnsi="Verdana"/>
        </w:rPr>
      </w:pPr>
      <w:r>
        <w:rPr>
          <w:rFonts w:ascii="Verdana" w:hAnsi="Verdana"/>
        </w:rPr>
        <w:t>The highest number of medication prescribin</w:t>
      </w:r>
      <w:r w:rsidR="00BF07F1">
        <w:rPr>
          <w:rFonts w:ascii="Verdana" w:hAnsi="Verdana"/>
        </w:rPr>
        <w:t>g errors occurred</w:t>
      </w:r>
      <w:r>
        <w:rPr>
          <w:rFonts w:ascii="Verdana" w:hAnsi="Verdana"/>
        </w:rPr>
        <w:t xml:space="preserve"> within the general surgery and acute medicine specialities at Prince Charles Hospital. </w:t>
      </w:r>
      <w:r w:rsidR="00BF07F1">
        <w:rPr>
          <w:rFonts w:ascii="Verdana" w:hAnsi="Verdana"/>
        </w:rPr>
        <w:t xml:space="preserve">Medical specialities at Princess of Wales had the highest number of medication administration incidents, </w:t>
      </w:r>
      <w:r w:rsidR="00BF07F1" w:rsidRPr="00004739">
        <w:rPr>
          <w:rFonts w:ascii="Verdana" w:hAnsi="Verdana"/>
        </w:rPr>
        <w:t>followed by Emergency Care at Prince Charles Hospital.</w:t>
      </w:r>
    </w:p>
    <w:p w:rsidR="00004739" w:rsidRPr="00004739" w:rsidRDefault="00004739" w:rsidP="000A6BA8">
      <w:pPr>
        <w:jc w:val="both"/>
        <w:rPr>
          <w:rFonts w:ascii="Verdana" w:hAnsi="Verdana"/>
        </w:rPr>
      </w:pPr>
    </w:p>
    <w:p w:rsidR="00004739" w:rsidRPr="00004739" w:rsidRDefault="00004739" w:rsidP="00004739">
      <w:pPr>
        <w:jc w:val="both"/>
        <w:rPr>
          <w:rFonts w:ascii="Verdana" w:hAnsi="Verdana"/>
          <w:iCs/>
          <w:szCs w:val="24"/>
        </w:rPr>
      </w:pPr>
      <w:r w:rsidRPr="00004739">
        <w:rPr>
          <w:rFonts w:ascii="Verdana" w:hAnsi="Verdana"/>
          <w:iCs/>
        </w:rPr>
        <w:t xml:space="preserve">All medication errors (prescribing and administering) reported through Datix are reviewed for harm, themes and learning. The vast majority of medication </w:t>
      </w:r>
      <w:r w:rsidRPr="00004739">
        <w:rPr>
          <w:rFonts w:ascii="Verdana" w:hAnsi="Verdana"/>
          <w:iCs/>
          <w:szCs w:val="24"/>
        </w:rPr>
        <w:t>incidents are low or no harm. The medication safety group revi</w:t>
      </w:r>
      <w:r w:rsidR="00277231">
        <w:rPr>
          <w:rFonts w:ascii="Verdana" w:hAnsi="Verdana"/>
          <w:iCs/>
          <w:szCs w:val="24"/>
        </w:rPr>
        <w:t>ews trends and shares learning and</w:t>
      </w:r>
      <w:r w:rsidRPr="00004739">
        <w:rPr>
          <w:rFonts w:ascii="Verdana" w:hAnsi="Verdana"/>
          <w:iCs/>
          <w:szCs w:val="24"/>
        </w:rPr>
        <w:t xml:space="preserve"> improvements across the Health Board.</w:t>
      </w:r>
      <w:r>
        <w:rPr>
          <w:rFonts w:ascii="Verdana" w:hAnsi="Verdana"/>
          <w:iCs/>
          <w:szCs w:val="24"/>
        </w:rPr>
        <w:t xml:space="preserve"> </w:t>
      </w:r>
      <w:r>
        <w:rPr>
          <w:rFonts w:ascii="Verdana" w:hAnsi="Verdana" w:cs="Arial"/>
          <w:szCs w:val="24"/>
        </w:rPr>
        <w:t>The current focus of the m</w:t>
      </w:r>
      <w:r w:rsidRPr="00004739">
        <w:rPr>
          <w:rFonts w:ascii="Verdana" w:hAnsi="Verdana" w:cs="Arial"/>
          <w:szCs w:val="24"/>
        </w:rPr>
        <w:t>edication safety group is the prescribing and administration of insulin with this being the them</w:t>
      </w:r>
      <w:r w:rsidR="00277231">
        <w:rPr>
          <w:rFonts w:ascii="Verdana" w:hAnsi="Verdana" w:cs="Arial"/>
          <w:szCs w:val="24"/>
        </w:rPr>
        <w:t>e of the next CTMUHB Medicines S</w:t>
      </w:r>
      <w:r w:rsidRPr="00004739">
        <w:rPr>
          <w:rFonts w:ascii="Verdana" w:hAnsi="Verdana" w:cs="Arial"/>
          <w:szCs w:val="24"/>
        </w:rPr>
        <w:t>afety Newsletter.</w:t>
      </w:r>
    </w:p>
    <w:p w:rsidR="00E25149" w:rsidRPr="00EB5CCF" w:rsidRDefault="00E25149" w:rsidP="000A6BA8">
      <w:pPr>
        <w:jc w:val="both"/>
        <w:rPr>
          <w:rFonts w:ascii="Verdana" w:hAnsi="Verdana"/>
        </w:rPr>
      </w:pPr>
    </w:p>
    <w:p w:rsidR="000A6BA8" w:rsidRDefault="000A6BA8" w:rsidP="000A6BA8">
      <w:pPr>
        <w:jc w:val="both"/>
        <w:rPr>
          <w:rFonts w:ascii="Verdana" w:hAnsi="Verdana"/>
          <w:b/>
        </w:rPr>
      </w:pPr>
      <w:r w:rsidRPr="00154413">
        <w:rPr>
          <w:rFonts w:ascii="Verdana" w:hAnsi="Verdana"/>
          <w:b/>
        </w:rPr>
        <w:t>Mortality rate:</w:t>
      </w:r>
    </w:p>
    <w:p w:rsidR="005111FB" w:rsidRDefault="00663FC4">
      <w:pPr>
        <w:rPr>
          <w:rFonts w:ascii="Verdana" w:hAnsi="Verdana"/>
        </w:rPr>
      </w:pPr>
      <w:r>
        <w:rPr>
          <w:rFonts w:ascii="Verdana" w:hAnsi="Verdana"/>
        </w:rPr>
        <w:t>A separate detailed report in relation to mortality across the CTMUHB is on the agenda and presented by the Director of Public Health.</w:t>
      </w:r>
      <w:r w:rsidR="006426E6">
        <w:rPr>
          <w:rFonts w:ascii="Verdana" w:hAnsi="Verdana"/>
        </w:rPr>
        <w:t xml:space="preserve"> The data source for this metric has changed from the last report. Prior to this report, Qlik</w:t>
      </w:r>
      <w:r w:rsidR="001129F8">
        <w:rPr>
          <w:rFonts w:ascii="Verdana" w:hAnsi="Verdana"/>
        </w:rPr>
        <w:t xml:space="preserve"> S</w:t>
      </w:r>
      <w:r w:rsidR="006426E6">
        <w:rPr>
          <w:rFonts w:ascii="Verdana" w:hAnsi="Verdana"/>
        </w:rPr>
        <w:t>ense</w:t>
      </w:r>
      <w:r w:rsidR="001129F8">
        <w:rPr>
          <w:rFonts w:ascii="Verdana" w:hAnsi="Verdana"/>
        </w:rPr>
        <w:t xml:space="preserve"> inpatient app was used. For</w:t>
      </w:r>
      <w:r w:rsidR="006426E6">
        <w:rPr>
          <w:rFonts w:ascii="Verdana" w:hAnsi="Verdana"/>
        </w:rPr>
        <w:t xml:space="preserve"> this report</w:t>
      </w:r>
      <w:r w:rsidR="001129F8">
        <w:rPr>
          <w:rFonts w:ascii="Verdana" w:hAnsi="Verdana"/>
        </w:rPr>
        <w:t>,</w:t>
      </w:r>
      <w:r w:rsidR="006426E6">
        <w:rPr>
          <w:rFonts w:ascii="Verdana" w:hAnsi="Verdana"/>
        </w:rPr>
        <w:t xml:space="preserve"> the data source is CHKS</w:t>
      </w:r>
      <w:r w:rsidR="00071528">
        <w:rPr>
          <w:rFonts w:ascii="Verdana" w:hAnsi="Verdana"/>
        </w:rPr>
        <w:t xml:space="preserve"> (December 2019 and January 2020 onwards)</w:t>
      </w:r>
      <w:r w:rsidR="006426E6">
        <w:rPr>
          <w:rFonts w:ascii="Verdana" w:hAnsi="Verdana"/>
        </w:rPr>
        <w:t>.</w:t>
      </w:r>
    </w:p>
    <w:p w:rsidR="00275AB3" w:rsidRDefault="00275AB3" w:rsidP="00913D55">
      <w:pPr>
        <w:jc w:val="both"/>
        <w:rPr>
          <w:rFonts w:ascii="Verdana" w:hAnsi="Verdana"/>
        </w:rPr>
      </w:pPr>
    </w:p>
    <w:tbl>
      <w:tblPr>
        <w:tblW w:w="15593"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Look w:val="04A0" w:firstRow="1" w:lastRow="0" w:firstColumn="1" w:lastColumn="0" w:noHBand="0" w:noVBand="1"/>
      </w:tblPr>
      <w:tblGrid>
        <w:gridCol w:w="2557"/>
        <w:gridCol w:w="837"/>
        <w:gridCol w:w="837"/>
        <w:gridCol w:w="837"/>
        <w:gridCol w:w="837"/>
        <w:gridCol w:w="837"/>
        <w:gridCol w:w="838"/>
        <w:gridCol w:w="837"/>
        <w:gridCol w:w="837"/>
        <w:gridCol w:w="837"/>
        <w:gridCol w:w="837"/>
        <w:gridCol w:w="838"/>
        <w:gridCol w:w="1134"/>
        <w:gridCol w:w="2693"/>
      </w:tblGrid>
      <w:tr w:rsidR="00915370" w:rsidRPr="007A5F15" w:rsidTr="005111FB">
        <w:trPr>
          <w:trHeight w:val="128"/>
          <w:tblHeader/>
        </w:trPr>
        <w:tc>
          <w:tcPr>
            <w:tcW w:w="255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single" w:sz="8" w:space="0" w:color="FF0000"/>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single" w:sz="8" w:space="0" w:color="FF0000"/>
              <w:bottom w:val="single" w:sz="8" w:space="0" w:color="002060"/>
              <w:right w:val="nil"/>
            </w:tcBorders>
            <w:shd w:val="clear" w:color="000000" w:fill="FFFFFF"/>
            <w:noWrap/>
            <w:hideMark/>
          </w:tcPr>
          <w:p w:rsidR="00915370" w:rsidRPr="00311B30" w:rsidRDefault="00915370" w:rsidP="00F260DB">
            <w:pPr>
              <w:rPr>
                <w:rFonts w:ascii="Calibri" w:hAnsi="Calibri"/>
                <w:color w:val="000000"/>
                <w:sz w:val="16"/>
                <w:szCs w:val="16"/>
              </w:rPr>
            </w:pPr>
            <w:r w:rsidRPr="0094712D">
              <w:rPr>
                <w:b/>
                <w:color w:val="FF0000"/>
                <w:sz w:val="12"/>
                <w:szCs w:val="12"/>
              </w:rPr>
              <w:t>CTMUHB</w:t>
            </w: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915370" w:rsidRPr="0094712D" w:rsidRDefault="00915370" w:rsidP="00F260DB">
            <w:pPr>
              <w:ind w:left="-28" w:right="-17"/>
              <w:rPr>
                <w:b/>
                <w:color w:val="FF0000"/>
                <w:sz w:val="12"/>
                <w:szCs w:val="12"/>
              </w:rPr>
            </w:pPr>
            <w:r w:rsidRPr="00311B30">
              <w:rPr>
                <w:rFonts w:ascii="Calibri" w:hAnsi="Calibri"/>
                <w:color w:val="000000"/>
                <w:sz w:val="16"/>
                <w:szCs w:val="16"/>
              </w:rPr>
              <w:t> </w:t>
            </w:r>
          </w:p>
        </w:tc>
        <w:tc>
          <w:tcPr>
            <w:tcW w:w="838"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c>
          <w:tcPr>
            <w:tcW w:w="838" w:type="dxa"/>
            <w:tcBorders>
              <w:top w:val="nil"/>
              <w:left w:val="nil"/>
              <w:bottom w:val="single" w:sz="8" w:space="0" w:color="002060"/>
            </w:tcBorders>
            <w:shd w:val="clear" w:color="000000" w:fill="auto"/>
          </w:tcPr>
          <w:p w:rsidR="00915370" w:rsidRPr="00311B30" w:rsidRDefault="00915370" w:rsidP="00F260DB">
            <w:pPr>
              <w:jc w:val="center"/>
              <w:rPr>
                <w:rFonts w:ascii="Calibri" w:hAnsi="Calibri"/>
                <w:b/>
                <w:bCs/>
                <w:color w:val="FFFFFF"/>
                <w:sz w:val="16"/>
                <w:szCs w:val="16"/>
              </w:rPr>
            </w:pPr>
          </w:p>
        </w:tc>
        <w:tc>
          <w:tcPr>
            <w:tcW w:w="1134" w:type="dxa"/>
            <w:vMerge w:val="restart"/>
            <w:shd w:val="clear" w:color="auto" w:fill="002060"/>
            <w:noWrap/>
            <w:vAlign w:val="bottom"/>
            <w:hideMark/>
          </w:tcPr>
          <w:p w:rsidR="00915370" w:rsidRDefault="00915370" w:rsidP="00F260DB">
            <w:pPr>
              <w:jc w:val="center"/>
              <w:rPr>
                <w:rFonts w:ascii="Calibri" w:hAnsi="Calibri"/>
                <w:b/>
                <w:bCs/>
                <w:color w:val="FFFFFF"/>
                <w:sz w:val="36"/>
                <w:szCs w:val="36"/>
              </w:rPr>
            </w:pPr>
            <w:r>
              <w:rPr>
                <w:rFonts w:ascii="Calibri" w:hAnsi="Calibri"/>
                <w:b/>
                <w:bCs/>
                <w:color w:val="FFFFFF"/>
                <w:sz w:val="36"/>
                <w:szCs w:val="36"/>
              </w:rPr>
              <w:t>Jan</w:t>
            </w:r>
          </w:p>
          <w:p w:rsidR="00915370" w:rsidRPr="00311B30" w:rsidRDefault="00915370" w:rsidP="00F260DB">
            <w:pPr>
              <w:jc w:val="center"/>
              <w:rPr>
                <w:rFonts w:ascii="Calibri" w:hAnsi="Calibri"/>
                <w:b/>
                <w:bCs/>
                <w:color w:val="FFFFFF"/>
                <w:sz w:val="36"/>
                <w:szCs w:val="36"/>
              </w:rPr>
            </w:pPr>
            <w:r>
              <w:rPr>
                <w:rFonts w:ascii="Calibri" w:hAnsi="Calibri"/>
                <w:b/>
                <w:bCs/>
                <w:color w:val="FFFFFF"/>
                <w:sz w:val="36"/>
                <w:szCs w:val="36"/>
              </w:rPr>
              <w:t>2020</w:t>
            </w:r>
          </w:p>
        </w:tc>
        <w:tc>
          <w:tcPr>
            <w:tcW w:w="2693" w:type="dxa"/>
            <w:tcBorders>
              <w:top w:val="nil"/>
              <w:bottom w:val="single" w:sz="8" w:space="0" w:color="002060"/>
              <w:right w:val="nil"/>
            </w:tcBorders>
            <w:shd w:val="clear" w:color="000000" w:fill="FFFFFF"/>
            <w:noWrap/>
            <w:vAlign w:val="bottom"/>
            <w:hideMark/>
          </w:tcPr>
          <w:p w:rsidR="00915370" w:rsidRPr="00311B30" w:rsidRDefault="00915370" w:rsidP="00F260DB">
            <w:pPr>
              <w:rPr>
                <w:rFonts w:ascii="Calibri" w:hAnsi="Calibri"/>
                <w:color w:val="000000"/>
                <w:sz w:val="16"/>
                <w:szCs w:val="16"/>
              </w:rPr>
            </w:pPr>
            <w:r w:rsidRPr="00311B30">
              <w:rPr>
                <w:rFonts w:ascii="Calibri" w:hAnsi="Calibri"/>
                <w:color w:val="000000"/>
                <w:sz w:val="16"/>
                <w:szCs w:val="16"/>
              </w:rPr>
              <w:t> </w:t>
            </w:r>
          </w:p>
        </w:tc>
      </w:tr>
      <w:tr w:rsidR="00915370" w:rsidRPr="00E936EE" w:rsidTr="005111FB">
        <w:trPr>
          <w:trHeight w:val="330"/>
          <w:tblHeader/>
        </w:trPr>
        <w:tc>
          <w:tcPr>
            <w:tcW w:w="2557" w:type="dxa"/>
            <w:tcBorders>
              <w:bottom w:val="single" w:sz="8" w:space="0" w:color="002060"/>
            </w:tcBorders>
            <w:shd w:val="clear" w:color="auto" w:fill="D9E2F3" w:themeFill="accent5" w:themeFillTint="33"/>
            <w:vAlign w:val="center"/>
            <w:hideMark/>
          </w:tcPr>
          <w:p w:rsidR="00915370" w:rsidRPr="00E936EE" w:rsidRDefault="00915370" w:rsidP="00F260DB">
            <w:pPr>
              <w:rPr>
                <w:rFonts w:cs="Arial"/>
                <w:b/>
                <w:bCs/>
                <w:color w:val="002060"/>
                <w:szCs w:val="24"/>
              </w:rPr>
            </w:pPr>
            <w:r w:rsidRPr="00E936EE">
              <w:rPr>
                <w:rFonts w:cs="Arial"/>
                <w:b/>
                <w:bCs/>
                <w:color w:val="002060"/>
                <w:szCs w:val="24"/>
              </w:rPr>
              <w:t>Indicator Description</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Feb-19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Mar-19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Apr-19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May-19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Jun-19</w:t>
            </w:r>
          </w:p>
        </w:tc>
        <w:tc>
          <w:tcPr>
            <w:tcW w:w="838"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Jul-19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Aug-19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sidRPr="00E936EE">
              <w:rPr>
                <w:rFonts w:cs="Arial"/>
                <w:b/>
                <w:bCs/>
                <w:color w:val="002060"/>
                <w:sz w:val="16"/>
                <w:szCs w:val="16"/>
              </w:rPr>
              <w:t>Sep-19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Pr>
                <w:rFonts w:cs="Arial"/>
                <w:b/>
                <w:bCs/>
                <w:color w:val="002060"/>
                <w:sz w:val="16"/>
                <w:szCs w:val="16"/>
              </w:rPr>
              <w:t>Oct</w:t>
            </w:r>
            <w:r w:rsidRPr="00E936EE">
              <w:rPr>
                <w:rFonts w:cs="Arial"/>
                <w:b/>
                <w:bCs/>
                <w:color w:val="002060"/>
                <w:sz w:val="16"/>
                <w:szCs w:val="16"/>
              </w:rPr>
              <w:t>-19</w:t>
            </w:r>
          </w:p>
        </w:tc>
        <w:tc>
          <w:tcPr>
            <w:tcW w:w="837" w:type="dxa"/>
            <w:tcBorders>
              <w:bottom w:val="single" w:sz="8" w:space="0" w:color="002060"/>
            </w:tcBorders>
            <w:shd w:val="clear" w:color="auto" w:fill="D9E2F3" w:themeFill="accent5" w:themeFillTint="33"/>
            <w:vAlign w:val="center"/>
            <w:hideMark/>
          </w:tcPr>
          <w:p w:rsidR="00915370" w:rsidRPr="00E936EE" w:rsidRDefault="00915370" w:rsidP="00F260DB">
            <w:pPr>
              <w:jc w:val="center"/>
              <w:rPr>
                <w:rFonts w:cs="Arial"/>
                <w:b/>
                <w:bCs/>
                <w:color w:val="002060"/>
                <w:sz w:val="16"/>
                <w:szCs w:val="16"/>
              </w:rPr>
            </w:pPr>
            <w:r>
              <w:rPr>
                <w:rFonts w:cs="Arial"/>
                <w:b/>
                <w:bCs/>
                <w:color w:val="002060"/>
                <w:sz w:val="16"/>
                <w:szCs w:val="16"/>
              </w:rPr>
              <w:t>Nov</w:t>
            </w:r>
            <w:r w:rsidRPr="00E936EE">
              <w:rPr>
                <w:rFonts w:cs="Arial"/>
                <w:b/>
                <w:bCs/>
                <w:color w:val="002060"/>
                <w:sz w:val="16"/>
                <w:szCs w:val="16"/>
              </w:rPr>
              <w:t>-19</w:t>
            </w:r>
          </w:p>
        </w:tc>
        <w:tc>
          <w:tcPr>
            <w:tcW w:w="838" w:type="dxa"/>
            <w:tcBorders>
              <w:bottom w:val="single" w:sz="8" w:space="0" w:color="002060"/>
            </w:tcBorders>
            <w:shd w:val="clear" w:color="auto" w:fill="D9E2F3" w:themeFill="accent5" w:themeFillTint="33"/>
            <w:vAlign w:val="center"/>
          </w:tcPr>
          <w:p w:rsidR="00915370" w:rsidRPr="00E936EE" w:rsidRDefault="00915370" w:rsidP="00F260DB">
            <w:pPr>
              <w:jc w:val="center"/>
              <w:rPr>
                <w:rFonts w:ascii="Calibri" w:hAnsi="Calibri"/>
                <w:b/>
                <w:bCs/>
                <w:color w:val="002060"/>
                <w:sz w:val="32"/>
                <w:szCs w:val="32"/>
              </w:rPr>
            </w:pPr>
            <w:r>
              <w:rPr>
                <w:rFonts w:cs="Arial"/>
                <w:b/>
                <w:bCs/>
                <w:color w:val="002060"/>
                <w:sz w:val="16"/>
                <w:szCs w:val="16"/>
              </w:rPr>
              <w:t>Dec</w:t>
            </w:r>
            <w:r w:rsidRPr="00E936EE">
              <w:rPr>
                <w:rFonts w:cs="Arial"/>
                <w:b/>
                <w:bCs/>
                <w:color w:val="002060"/>
                <w:sz w:val="16"/>
                <w:szCs w:val="16"/>
              </w:rPr>
              <w:t>-19</w:t>
            </w:r>
          </w:p>
        </w:tc>
        <w:tc>
          <w:tcPr>
            <w:tcW w:w="1134" w:type="dxa"/>
            <w:vMerge/>
            <w:tcBorders>
              <w:bottom w:val="single" w:sz="8" w:space="0" w:color="002060"/>
            </w:tcBorders>
            <w:shd w:val="clear" w:color="auto" w:fill="002060"/>
            <w:vAlign w:val="center"/>
            <w:hideMark/>
          </w:tcPr>
          <w:p w:rsidR="00915370" w:rsidRPr="00E936EE" w:rsidRDefault="00915370" w:rsidP="00F260DB">
            <w:pPr>
              <w:jc w:val="center"/>
              <w:rPr>
                <w:rFonts w:ascii="Calibri" w:hAnsi="Calibri"/>
                <w:b/>
                <w:bCs/>
                <w:color w:val="002060"/>
                <w:sz w:val="32"/>
                <w:szCs w:val="32"/>
              </w:rPr>
            </w:pPr>
          </w:p>
        </w:tc>
        <w:tc>
          <w:tcPr>
            <w:tcW w:w="2693" w:type="dxa"/>
            <w:tcBorders>
              <w:bottom w:val="single" w:sz="8" w:space="0" w:color="002060"/>
            </w:tcBorders>
            <w:shd w:val="clear" w:color="000000" w:fill="D9E2F3" w:themeFill="accent5" w:themeFillTint="33"/>
            <w:vAlign w:val="center"/>
            <w:hideMark/>
          </w:tcPr>
          <w:p w:rsidR="00915370" w:rsidRPr="00E936EE" w:rsidRDefault="00915370" w:rsidP="00F260DB">
            <w:pPr>
              <w:jc w:val="center"/>
              <w:rPr>
                <w:rFonts w:cs="Arial"/>
                <w:b/>
                <w:bCs/>
                <w:color w:val="002060"/>
                <w:szCs w:val="24"/>
              </w:rPr>
            </w:pPr>
            <w:r w:rsidRPr="00E936EE">
              <w:rPr>
                <w:rFonts w:cs="Arial"/>
                <w:b/>
                <w:bCs/>
                <w:color w:val="002060"/>
                <w:szCs w:val="24"/>
              </w:rPr>
              <w:t>Trend</w:t>
            </w:r>
          </w:p>
        </w:tc>
      </w:tr>
      <w:tr w:rsidR="00915370" w:rsidRPr="00AF5B5A" w:rsidTr="005111FB">
        <w:trPr>
          <w:trHeight w:val="415"/>
          <w:tblHeader/>
        </w:trPr>
        <w:tc>
          <w:tcPr>
            <w:tcW w:w="255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r w:rsidRPr="007A5F15">
              <w:rPr>
                <w:rFonts w:ascii="Calibri" w:hAnsi="Calibri"/>
                <w:noProof/>
                <w:color w:val="000000"/>
                <w:sz w:val="22"/>
                <w:szCs w:val="22"/>
              </w:rPr>
              <mc:AlternateContent>
                <mc:Choice Requires="wps">
                  <w:drawing>
                    <wp:anchor distT="45720" distB="45720" distL="114300" distR="114300" simplePos="0" relativeHeight="251939328" behindDoc="0" locked="0" layoutInCell="1" allowOverlap="1" wp14:anchorId="5C79189E" wp14:editId="2CB257AB">
                      <wp:simplePos x="0" y="0"/>
                      <wp:positionH relativeFrom="margin">
                        <wp:posOffset>-65405</wp:posOffset>
                      </wp:positionH>
                      <wp:positionV relativeFrom="paragraph">
                        <wp:posOffset>3175</wp:posOffset>
                      </wp:positionV>
                      <wp:extent cx="3267075" cy="1404620"/>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noFill/>
                              <a:ln w="9525">
                                <a:noFill/>
                                <a:miter lim="800000"/>
                                <a:headEnd/>
                                <a:tailEnd/>
                              </a:ln>
                            </wps:spPr>
                            <wps:txbx>
                              <w:txbxContent>
                                <w:p w:rsidR="00DD62B8" w:rsidRPr="007A5F15" w:rsidRDefault="00DD62B8" w:rsidP="00915370">
                                  <w:pPr>
                                    <w:rPr>
                                      <w:color w:val="FF0000"/>
                                      <w:sz w:val="16"/>
                                      <w:szCs w:val="16"/>
                                    </w:rPr>
                                  </w:pPr>
                                  <w:r w:rsidRPr="00275AB3">
                                    <w:rPr>
                                      <w:color w:val="FFFFFF" w:themeColor="background1"/>
                                    </w:rPr>
                                    <w:t>Acute Site Metrics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C79189E" id="_x0000_s1027" type="#_x0000_t202" style="position:absolute;margin-left:-5.15pt;margin-top:.25pt;width:257.25pt;height:110.6pt;z-index:251939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" filled="f" stroked="f">
                      <v:textbox style="mso-fit-shape-to-text:t">
                        <w:txbxContent>
                          <w:p w:rsidR="00DD62B8" w:rsidRPr="007A5F15" w:rsidRDefault="00DD62B8" w:rsidP="00915370">
                            <w:pPr>
                              <w:rPr>
                                <w:color w:val="FF0000"/>
                                <w:sz w:val="16"/>
                                <w:szCs w:val="16"/>
                              </w:rPr>
                            </w:pPr>
                            <w:r w:rsidRPr="00275AB3">
                              <w:rPr>
                                <w:color w:val="FFFFFF" w:themeColor="background1"/>
                              </w:rPr>
                              <w:t>Acute Site Metrics</w:t>
                            </w:r>
                          </w:p>
                        </w:txbxContent>
                      </v:textbox>
                      <w10:wrap anchorx="margin"/>
                    </v:shape>
                  </w:pict>
                </mc:Fallback>
              </mc:AlternateContent>
            </w: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1134"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B60B3" w:rsidRDefault="00915370" w:rsidP="00F260DB">
            <w:pPr>
              <w:rPr>
                <w:color w:val="FFFFFF" w:themeColor="background1"/>
              </w:rPr>
            </w:pPr>
          </w:p>
        </w:tc>
        <w:tc>
          <w:tcPr>
            <w:tcW w:w="2693"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915370" w:rsidRPr="00AF5B5A" w:rsidRDefault="00915370" w:rsidP="00F260DB">
            <w:pPr>
              <w:jc w:val="center"/>
              <w:rPr>
                <w:rFonts w:cs="Arial"/>
                <w:b/>
                <w:bCs/>
                <w:color w:val="72469C"/>
                <w:sz w:val="16"/>
                <w:szCs w:val="16"/>
              </w:rPr>
            </w:pPr>
          </w:p>
        </w:tc>
      </w:tr>
      <w:tr w:rsidR="00E117CE"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E117CE" w:rsidRPr="00311B30" w:rsidRDefault="00E117CE" w:rsidP="00E117CE">
            <w:pPr>
              <w:rPr>
                <w:rFonts w:cs="Arial"/>
                <w:color w:val="002060"/>
                <w:sz w:val="16"/>
                <w:szCs w:val="16"/>
              </w:rPr>
            </w:pPr>
            <w:r>
              <w:rPr>
                <w:rFonts w:cs="Arial"/>
                <w:color w:val="002060"/>
                <w:sz w:val="16"/>
                <w:szCs w:val="16"/>
              </w:rPr>
              <w:t>Total n</w:t>
            </w:r>
            <w:r w:rsidRPr="00275AB3">
              <w:rPr>
                <w:rFonts w:cs="Arial"/>
                <w:color w:val="002060"/>
                <w:sz w:val="16"/>
                <w:szCs w:val="16"/>
              </w:rPr>
              <w:t>umber of inpatient falls</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sidRPr="00F51175">
              <w:rPr>
                <w:rFonts w:cs="Arial"/>
                <w:color w:val="002060"/>
                <w:sz w:val="20"/>
              </w:rPr>
              <w:t>195</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sidRPr="00F51175">
              <w:rPr>
                <w:rFonts w:cs="Arial"/>
                <w:color w:val="002060"/>
                <w:sz w:val="20"/>
              </w:rPr>
              <w:t>193</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sidRPr="00F51175">
              <w:rPr>
                <w:rFonts w:cs="Arial"/>
                <w:color w:val="002060"/>
                <w:sz w:val="20"/>
              </w:rPr>
              <w:t>264</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sidRPr="00F51175">
              <w:rPr>
                <w:rFonts w:cs="Arial"/>
                <w:color w:val="002060"/>
                <w:sz w:val="20"/>
              </w:rPr>
              <w:t>268</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sidRPr="00F51175">
              <w:rPr>
                <w:rFonts w:cs="Arial"/>
                <w:color w:val="002060"/>
                <w:sz w:val="20"/>
              </w:rPr>
              <w:t>238</w:t>
            </w:r>
          </w:p>
        </w:tc>
        <w:tc>
          <w:tcPr>
            <w:tcW w:w="838" w:type="dxa"/>
            <w:tcBorders>
              <w:top w:val="single" w:sz="8" w:space="0" w:color="002060"/>
              <w:left w:val="single" w:sz="8" w:space="0" w:color="002060"/>
              <w:bottom w:val="single" w:sz="8" w:space="0" w:color="002060"/>
              <w:right w:val="single" w:sz="8" w:space="0" w:color="002060"/>
            </w:tcBorders>
            <w:vAlign w:val="center"/>
          </w:tcPr>
          <w:p w:rsidR="00E117CE" w:rsidRPr="00311B30" w:rsidRDefault="00E117CE" w:rsidP="00E117CE">
            <w:pPr>
              <w:jc w:val="center"/>
              <w:rPr>
                <w:rFonts w:cs="Arial"/>
                <w:color w:val="002060"/>
                <w:sz w:val="20"/>
              </w:rPr>
            </w:pPr>
            <w:r w:rsidRPr="00F51175">
              <w:rPr>
                <w:rFonts w:cs="Arial"/>
                <w:bCs/>
                <w:color w:val="002060"/>
                <w:sz w:val="20"/>
              </w:rPr>
              <w:t>254</w:t>
            </w:r>
          </w:p>
        </w:tc>
        <w:tc>
          <w:tcPr>
            <w:tcW w:w="837" w:type="dxa"/>
            <w:tcBorders>
              <w:top w:val="single" w:sz="8" w:space="0" w:color="002060"/>
              <w:left w:val="single" w:sz="8" w:space="0" w:color="002060"/>
              <w:bottom w:val="single" w:sz="8" w:space="0" w:color="002060"/>
              <w:right w:val="single" w:sz="8" w:space="0" w:color="002060"/>
            </w:tcBorders>
            <w:vAlign w:val="center"/>
          </w:tcPr>
          <w:p w:rsidR="00E117CE" w:rsidRPr="00311B30" w:rsidRDefault="00E117CE" w:rsidP="00E117CE">
            <w:pPr>
              <w:jc w:val="center"/>
              <w:rPr>
                <w:rFonts w:cs="Arial"/>
                <w:color w:val="002060"/>
                <w:sz w:val="20"/>
              </w:rPr>
            </w:pPr>
            <w:r w:rsidRPr="00F51175">
              <w:rPr>
                <w:rFonts w:cs="Arial"/>
                <w:bCs/>
                <w:color w:val="002060"/>
                <w:sz w:val="20"/>
              </w:rPr>
              <w:t>271</w:t>
            </w:r>
          </w:p>
        </w:tc>
        <w:tc>
          <w:tcPr>
            <w:tcW w:w="837" w:type="dxa"/>
            <w:tcBorders>
              <w:top w:val="single" w:sz="8" w:space="0" w:color="002060"/>
              <w:left w:val="single" w:sz="8" w:space="0" w:color="002060"/>
              <w:bottom w:val="single" w:sz="8" w:space="0" w:color="002060"/>
              <w:right w:val="single" w:sz="8" w:space="0" w:color="002060"/>
            </w:tcBorders>
            <w:vAlign w:val="center"/>
          </w:tcPr>
          <w:p w:rsidR="00E117CE" w:rsidRPr="00311B30" w:rsidRDefault="00E117CE" w:rsidP="00E117CE">
            <w:pPr>
              <w:jc w:val="center"/>
              <w:rPr>
                <w:rFonts w:cs="Arial"/>
                <w:color w:val="002060"/>
                <w:sz w:val="20"/>
              </w:rPr>
            </w:pPr>
            <w:r w:rsidRPr="00F51175">
              <w:rPr>
                <w:rFonts w:cs="Arial"/>
                <w:bCs/>
                <w:color w:val="002060"/>
                <w:sz w:val="20"/>
              </w:rPr>
              <w:t>268</w:t>
            </w:r>
          </w:p>
        </w:tc>
        <w:tc>
          <w:tcPr>
            <w:tcW w:w="837" w:type="dxa"/>
            <w:tcBorders>
              <w:top w:val="single" w:sz="8" w:space="0" w:color="002060"/>
            </w:tcBorders>
            <w:shd w:val="clear" w:color="auto" w:fill="auto"/>
            <w:vAlign w:val="center"/>
          </w:tcPr>
          <w:p w:rsidR="00E117CE" w:rsidRPr="00311B30" w:rsidRDefault="00E117CE" w:rsidP="00E117CE">
            <w:pPr>
              <w:jc w:val="center"/>
              <w:rPr>
                <w:rFonts w:cs="Arial"/>
                <w:bCs/>
                <w:color w:val="002060"/>
                <w:sz w:val="20"/>
              </w:rPr>
            </w:pPr>
            <w:r>
              <w:rPr>
                <w:rFonts w:cs="Arial"/>
                <w:bCs/>
                <w:color w:val="002060"/>
                <w:sz w:val="20"/>
              </w:rPr>
              <w:t>264</w:t>
            </w:r>
          </w:p>
        </w:tc>
        <w:tc>
          <w:tcPr>
            <w:tcW w:w="837" w:type="dxa"/>
            <w:tcBorders>
              <w:top w:val="nil"/>
              <w:left w:val="nil"/>
              <w:bottom w:val="single" w:sz="8" w:space="0" w:color="002060"/>
              <w:right w:val="single" w:sz="8" w:space="0" w:color="002060"/>
            </w:tcBorders>
            <w:shd w:val="clear" w:color="auto" w:fill="auto"/>
            <w:vAlign w:val="center"/>
          </w:tcPr>
          <w:p w:rsidR="00E117CE" w:rsidRPr="00311B30" w:rsidRDefault="00E117CE" w:rsidP="00E117CE">
            <w:pPr>
              <w:jc w:val="center"/>
              <w:rPr>
                <w:rFonts w:cs="Arial"/>
                <w:color w:val="002060"/>
                <w:sz w:val="20"/>
              </w:rPr>
            </w:pPr>
            <w:r>
              <w:rPr>
                <w:rFonts w:cs="Arial"/>
                <w:color w:val="002060"/>
                <w:sz w:val="20"/>
              </w:rPr>
              <w:t>246</w:t>
            </w:r>
          </w:p>
        </w:tc>
        <w:tc>
          <w:tcPr>
            <w:tcW w:w="838" w:type="dxa"/>
            <w:tcBorders>
              <w:top w:val="nil"/>
              <w:left w:val="nil"/>
              <w:bottom w:val="single" w:sz="8" w:space="0" w:color="002060"/>
              <w:right w:val="single" w:sz="8" w:space="0" w:color="002060"/>
            </w:tcBorders>
            <w:shd w:val="clear" w:color="auto" w:fill="auto"/>
            <w:vAlign w:val="center"/>
          </w:tcPr>
          <w:p w:rsidR="00E117CE" w:rsidRPr="00311B30" w:rsidRDefault="00E117CE" w:rsidP="00E117CE">
            <w:pPr>
              <w:jc w:val="center"/>
              <w:rPr>
                <w:rFonts w:cs="Arial"/>
                <w:bCs/>
                <w:color w:val="002060"/>
                <w:sz w:val="20"/>
              </w:rPr>
            </w:pPr>
            <w:r>
              <w:rPr>
                <w:rFonts w:cs="Arial"/>
                <w:bCs/>
                <w:color w:val="002060"/>
                <w:sz w:val="20"/>
              </w:rPr>
              <w:t>293</w:t>
            </w:r>
          </w:p>
        </w:tc>
        <w:tc>
          <w:tcPr>
            <w:tcW w:w="1134" w:type="dxa"/>
            <w:tcBorders>
              <w:top w:val="nil"/>
              <w:left w:val="nil"/>
              <w:bottom w:val="single" w:sz="8" w:space="0" w:color="002060"/>
              <w:right w:val="single" w:sz="8" w:space="0" w:color="002060"/>
            </w:tcBorders>
            <w:shd w:val="clear" w:color="auto" w:fill="auto"/>
            <w:vAlign w:val="center"/>
          </w:tcPr>
          <w:p w:rsidR="00E117CE" w:rsidRPr="00F51175" w:rsidRDefault="00E117CE" w:rsidP="00E117CE">
            <w:pPr>
              <w:jc w:val="center"/>
              <w:rPr>
                <w:rFonts w:cs="Arial"/>
                <w:b/>
                <w:bCs/>
                <w:color w:val="002060"/>
                <w:sz w:val="32"/>
                <w:szCs w:val="32"/>
              </w:rPr>
            </w:pPr>
            <w:r>
              <w:rPr>
                <w:rFonts w:cs="Arial"/>
                <w:b/>
                <w:bCs/>
                <w:color w:val="002060"/>
                <w:sz w:val="32"/>
                <w:szCs w:val="32"/>
              </w:rPr>
              <w:t>309</w:t>
            </w:r>
          </w:p>
        </w:tc>
        <w:tc>
          <w:tcPr>
            <w:tcW w:w="2693" w:type="dxa"/>
            <w:tcBorders>
              <w:top w:val="single" w:sz="8" w:space="0" w:color="002060"/>
            </w:tcBorders>
            <w:shd w:val="clear" w:color="auto" w:fill="auto"/>
            <w:vAlign w:val="center"/>
            <w:hideMark/>
          </w:tcPr>
          <w:p w:rsidR="00E117CE" w:rsidRPr="00311B30" w:rsidRDefault="00E117CE" w:rsidP="00E117CE">
            <w:pPr>
              <w:rPr>
                <w:rFonts w:cs="Arial"/>
                <w:b/>
                <w:bCs/>
                <w:color w:val="002060"/>
                <w:sz w:val="40"/>
                <w:szCs w:val="40"/>
              </w:rPr>
            </w:pPr>
            <w:r>
              <w:rPr>
                <w:noProof/>
              </w:rPr>
              <w:drawing>
                <wp:inline distT="0" distB="0" distL="0" distR="0" wp14:anchorId="50D9FA23" wp14:editId="555DE156">
                  <wp:extent cx="1419225" cy="371476"/>
                  <wp:effectExtent l="0" t="0" r="0" b="0"/>
                  <wp:docPr id="24" name="Chart 24">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154009"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275AB3" w:rsidRDefault="00154009" w:rsidP="00154009">
            <w:pPr>
              <w:rPr>
                <w:rFonts w:cs="Arial"/>
                <w:color w:val="002060"/>
                <w:sz w:val="16"/>
                <w:szCs w:val="16"/>
              </w:rPr>
            </w:pPr>
            <w:r w:rsidRPr="00154009">
              <w:rPr>
                <w:rFonts w:cs="Arial"/>
                <w:color w:val="002060"/>
                <w:sz w:val="16"/>
                <w:szCs w:val="16"/>
              </w:rPr>
              <w:t>Number of inpatient f</w:t>
            </w:r>
            <w:r w:rsidR="00C505F9">
              <w:rPr>
                <w:rFonts w:cs="Arial"/>
                <w:color w:val="002060"/>
                <w:sz w:val="16"/>
                <w:szCs w:val="16"/>
              </w:rPr>
              <w:t>alls where harm has occurred (moderate, severe and death)</w:t>
            </w:r>
            <w:r>
              <w:rPr>
                <w:rFonts w:cs="Arial"/>
                <w:color w:val="002060"/>
                <w:sz w:val="16"/>
                <w:szCs w:val="16"/>
              </w:rPr>
              <w:t xml:space="preserve"> </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4</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8</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12</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6</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6</w:t>
            </w:r>
          </w:p>
        </w:tc>
        <w:tc>
          <w:tcPr>
            <w:tcW w:w="838"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13</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17</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13</w:t>
            </w:r>
          </w:p>
        </w:tc>
        <w:tc>
          <w:tcPr>
            <w:tcW w:w="837" w:type="dxa"/>
            <w:vAlign w:val="center"/>
          </w:tcPr>
          <w:p w:rsidR="00154009" w:rsidRDefault="00154009" w:rsidP="00154009">
            <w:pPr>
              <w:jc w:val="center"/>
              <w:rPr>
                <w:rFonts w:cs="Arial"/>
                <w:bCs/>
                <w:color w:val="002060"/>
                <w:sz w:val="20"/>
              </w:rPr>
            </w:pPr>
            <w:r>
              <w:rPr>
                <w:rFonts w:cs="Arial"/>
                <w:bCs/>
                <w:color w:val="002060"/>
                <w:sz w:val="20"/>
              </w:rPr>
              <w:t>14</w:t>
            </w:r>
          </w:p>
        </w:tc>
        <w:tc>
          <w:tcPr>
            <w:tcW w:w="837" w:type="dxa"/>
            <w:tcBorders>
              <w:top w:val="nil"/>
              <w:left w:val="nil"/>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15</w:t>
            </w:r>
          </w:p>
        </w:tc>
        <w:tc>
          <w:tcPr>
            <w:tcW w:w="838" w:type="dxa"/>
            <w:tcBorders>
              <w:top w:val="nil"/>
              <w:left w:val="nil"/>
              <w:bottom w:val="single" w:sz="8" w:space="0" w:color="002060"/>
              <w:right w:val="single" w:sz="8" w:space="0" w:color="002060"/>
            </w:tcBorders>
            <w:shd w:val="clear" w:color="auto" w:fill="auto"/>
            <w:vAlign w:val="center"/>
          </w:tcPr>
          <w:p w:rsidR="00154009" w:rsidRDefault="00052BB7" w:rsidP="00154009">
            <w:pPr>
              <w:jc w:val="center"/>
              <w:rPr>
                <w:rFonts w:cs="Arial"/>
                <w:bCs/>
                <w:color w:val="002060"/>
                <w:sz w:val="20"/>
              </w:rPr>
            </w:pPr>
            <w:r>
              <w:rPr>
                <w:rFonts w:cs="Arial"/>
                <w:bCs/>
                <w:color w:val="002060"/>
                <w:sz w:val="20"/>
              </w:rPr>
              <w:t>12</w:t>
            </w:r>
          </w:p>
        </w:tc>
        <w:tc>
          <w:tcPr>
            <w:tcW w:w="1134" w:type="dxa"/>
            <w:tcBorders>
              <w:top w:val="nil"/>
              <w:left w:val="nil"/>
              <w:bottom w:val="single" w:sz="8" w:space="0" w:color="002060"/>
              <w:right w:val="single" w:sz="8" w:space="0" w:color="002060"/>
            </w:tcBorders>
            <w:shd w:val="clear" w:color="auto" w:fill="auto"/>
            <w:vAlign w:val="center"/>
          </w:tcPr>
          <w:p w:rsidR="00154009" w:rsidRPr="00F51175" w:rsidRDefault="00052BB7" w:rsidP="00154009">
            <w:pPr>
              <w:jc w:val="center"/>
              <w:rPr>
                <w:rFonts w:cs="Arial"/>
                <w:b/>
                <w:bCs/>
                <w:color w:val="002060"/>
                <w:sz w:val="32"/>
                <w:szCs w:val="32"/>
              </w:rPr>
            </w:pPr>
            <w:r>
              <w:rPr>
                <w:rFonts w:cs="Arial"/>
                <w:b/>
                <w:bCs/>
                <w:color w:val="002060"/>
                <w:sz w:val="32"/>
                <w:szCs w:val="32"/>
              </w:rPr>
              <w:t>1</w:t>
            </w:r>
            <w:r w:rsidR="00EF0AE7">
              <w:rPr>
                <w:rFonts w:cs="Arial"/>
                <w:b/>
                <w:bCs/>
                <w:color w:val="002060"/>
                <w:sz w:val="32"/>
                <w:szCs w:val="32"/>
              </w:rPr>
              <w:t>7</w:t>
            </w:r>
          </w:p>
        </w:tc>
        <w:tc>
          <w:tcPr>
            <w:tcW w:w="2693" w:type="dxa"/>
            <w:shd w:val="clear" w:color="auto" w:fill="auto"/>
            <w:vAlign w:val="center"/>
          </w:tcPr>
          <w:p w:rsidR="00154009" w:rsidRDefault="00462E4D" w:rsidP="00154009">
            <w:pPr>
              <w:rPr>
                <w:noProof/>
              </w:rPr>
            </w:pPr>
            <w:r>
              <w:rPr>
                <w:noProof/>
              </w:rPr>
              <w:drawing>
                <wp:inline distT="0" distB="0" distL="0" distR="0" wp14:anchorId="0D9A8B2B" wp14:editId="7CD9ABD0">
                  <wp:extent cx="1419225" cy="352425"/>
                  <wp:effectExtent l="0" t="0" r="0" b="0"/>
                  <wp:docPr id="3" name="Chart 3">
                    <a:extLst xmlns:a="http://schemas.openxmlformats.org/drawingml/2006/main">
                      <a:ext uri="{FF2B5EF4-FFF2-40B4-BE49-F238E27FC236}">
                        <a16:creationId xmlns:lc="http://schemas.openxmlformats.org/drawingml/2006/lockedCanvas" xmlns="" xmlns:a16="http://schemas.microsoft.com/office/drawing/2014/main" xmlns:w="http://schemas.openxmlformats.org/wordprocessingml/2006/main" xmlns:w10="urn:schemas-microsoft-com:office:word" xmlns:v="urn:schemas-microsoft-com:vml" xmlns:o="urn:schemas-microsoft-com:office:office"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154009"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154009" w:rsidRPr="00311B30" w:rsidRDefault="00154009" w:rsidP="00154009">
            <w:pPr>
              <w:rPr>
                <w:rFonts w:cs="Arial"/>
                <w:color w:val="002060"/>
                <w:sz w:val="16"/>
                <w:szCs w:val="16"/>
              </w:rPr>
            </w:pPr>
            <w:r>
              <w:rPr>
                <w:rFonts w:cs="Arial"/>
                <w:color w:val="002060"/>
                <w:sz w:val="16"/>
                <w:szCs w:val="16"/>
              </w:rPr>
              <w:t>Total n</w:t>
            </w:r>
            <w:r w:rsidRPr="00275AB3">
              <w:rPr>
                <w:rFonts w:cs="Arial"/>
                <w:color w:val="002060"/>
                <w:sz w:val="16"/>
                <w:szCs w:val="16"/>
              </w:rPr>
              <w:t xml:space="preserve">umber of </w:t>
            </w:r>
            <w:r>
              <w:rPr>
                <w:rFonts w:cs="Arial"/>
                <w:color w:val="002060"/>
                <w:sz w:val="16"/>
                <w:szCs w:val="16"/>
              </w:rPr>
              <w:t xml:space="preserve">instances of </w:t>
            </w:r>
            <w:r w:rsidRPr="00275AB3">
              <w:rPr>
                <w:rFonts w:cs="Arial"/>
                <w:color w:val="002060"/>
                <w:sz w:val="16"/>
                <w:szCs w:val="16"/>
              </w:rPr>
              <w:t>h</w:t>
            </w:r>
            <w:r>
              <w:rPr>
                <w:rFonts w:cs="Arial"/>
                <w:color w:val="002060"/>
                <w:sz w:val="16"/>
                <w:szCs w:val="16"/>
              </w:rPr>
              <w:t>ospital</w:t>
            </w:r>
            <w:r w:rsidRPr="00275AB3">
              <w:rPr>
                <w:rFonts w:cs="Arial"/>
                <w:color w:val="002060"/>
                <w:sz w:val="16"/>
                <w:szCs w:val="16"/>
              </w:rPr>
              <w:t xml:space="preserve"> acquired pressure ulcers</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51</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41</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92</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80</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78</w:t>
            </w:r>
          </w:p>
        </w:tc>
        <w:tc>
          <w:tcPr>
            <w:tcW w:w="838"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99</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76</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66</w:t>
            </w:r>
          </w:p>
        </w:tc>
        <w:tc>
          <w:tcPr>
            <w:tcW w:w="837" w:type="dxa"/>
            <w:vAlign w:val="center"/>
          </w:tcPr>
          <w:p w:rsidR="00154009" w:rsidRPr="00311B30" w:rsidRDefault="00154009" w:rsidP="00154009">
            <w:pPr>
              <w:jc w:val="center"/>
              <w:rPr>
                <w:rFonts w:cs="Arial"/>
                <w:bCs/>
                <w:color w:val="002060"/>
                <w:sz w:val="20"/>
              </w:rPr>
            </w:pPr>
            <w:r>
              <w:rPr>
                <w:rFonts w:cs="Arial"/>
                <w:bCs/>
                <w:color w:val="002060"/>
                <w:sz w:val="20"/>
              </w:rPr>
              <w:t>87</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85</w:t>
            </w:r>
          </w:p>
        </w:tc>
        <w:tc>
          <w:tcPr>
            <w:tcW w:w="838"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bCs/>
                <w:color w:val="002060"/>
                <w:sz w:val="20"/>
              </w:rPr>
            </w:pPr>
            <w:r>
              <w:rPr>
                <w:rFonts w:cs="Arial"/>
                <w:color w:val="002060"/>
                <w:sz w:val="20"/>
              </w:rPr>
              <w:t>105</w:t>
            </w:r>
          </w:p>
        </w:tc>
        <w:tc>
          <w:tcPr>
            <w:tcW w:w="1134" w:type="dxa"/>
            <w:tcBorders>
              <w:top w:val="nil"/>
              <w:left w:val="nil"/>
              <w:bottom w:val="single" w:sz="8" w:space="0" w:color="002060"/>
              <w:right w:val="single" w:sz="8" w:space="0" w:color="002060"/>
            </w:tcBorders>
            <w:shd w:val="clear" w:color="auto" w:fill="auto"/>
            <w:vAlign w:val="center"/>
          </w:tcPr>
          <w:p w:rsidR="00154009" w:rsidRPr="00F51175" w:rsidRDefault="00154009" w:rsidP="00154009">
            <w:pPr>
              <w:jc w:val="center"/>
              <w:rPr>
                <w:rFonts w:cs="Arial"/>
                <w:b/>
                <w:bCs/>
                <w:color w:val="002060"/>
                <w:sz w:val="32"/>
                <w:szCs w:val="32"/>
              </w:rPr>
            </w:pPr>
            <w:r>
              <w:rPr>
                <w:rFonts w:cs="Arial"/>
                <w:b/>
                <w:bCs/>
                <w:color w:val="002060"/>
                <w:sz w:val="32"/>
                <w:szCs w:val="32"/>
              </w:rPr>
              <w:t>111</w:t>
            </w:r>
          </w:p>
        </w:tc>
        <w:tc>
          <w:tcPr>
            <w:tcW w:w="2693" w:type="dxa"/>
            <w:shd w:val="clear" w:color="auto" w:fill="auto"/>
            <w:vAlign w:val="center"/>
            <w:hideMark/>
          </w:tcPr>
          <w:p w:rsidR="00154009" w:rsidRPr="00311B30" w:rsidRDefault="00462E4D" w:rsidP="00154009">
            <w:pPr>
              <w:rPr>
                <w:rFonts w:cs="Arial"/>
                <w:b/>
                <w:bCs/>
                <w:color w:val="002060"/>
                <w:sz w:val="40"/>
                <w:szCs w:val="40"/>
              </w:rPr>
            </w:pPr>
            <w:r>
              <w:rPr>
                <w:noProof/>
              </w:rPr>
              <w:drawing>
                <wp:inline distT="0" distB="0" distL="0" distR="0" wp14:anchorId="45A1376F" wp14:editId="54D87451">
                  <wp:extent cx="1419225" cy="323850"/>
                  <wp:effectExtent l="0" t="0" r="0" b="0"/>
                  <wp:docPr id="30" name="Chart 30">
                    <a:extLst xmlns:a="http://schemas.openxmlformats.org/drawingml/2006/main">
                      <a:ext uri="{FF2B5EF4-FFF2-40B4-BE49-F238E27FC236}">
                        <a16:creationId xmlns:lc="http://schemas.openxmlformats.org/drawingml/2006/lockedCanvas" xmlns="" xmlns:a16="http://schemas.microsoft.com/office/drawing/2014/main" xmlns:w="http://schemas.openxmlformats.org/wordprocessingml/2006/main" xmlns:w10="urn:schemas-microsoft-com:office:word" xmlns:v="urn:schemas-microsoft-com:vml" xmlns:o="urn:schemas-microsoft-com:office:office"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154009"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275AB3" w:rsidRDefault="00154009" w:rsidP="00154009">
            <w:pPr>
              <w:rPr>
                <w:rFonts w:cs="Arial"/>
                <w:color w:val="002060"/>
                <w:sz w:val="16"/>
                <w:szCs w:val="16"/>
              </w:rPr>
            </w:pPr>
            <w:r>
              <w:rPr>
                <w:rFonts w:cs="Arial"/>
                <w:color w:val="002060"/>
                <w:sz w:val="16"/>
                <w:szCs w:val="16"/>
              </w:rPr>
              <w:t>N</w:t>
            </w:r>
            <w:r w:rsidRPr="00275AB3">
              <w:rPr>
                <w:rFonts w:cs="Arial"/>
                <w:color w:val="002060"/>
                <w:sz w:val="16"/>
                <w:szCs w:val="16"/>
              </w:rPr>
              <w:t>umber of h</w:t>
            </w:r>
            <w:r>
              <w:rPr>
                <w:rFonts w:cs="Arial"/>
                <w:color w:val="002060"/>
                <w:sz w:val="16"/>
                <w:szCs w:val="16"/>
              </w:rPr>
              <w:t>ospital</w:t>
            </w:r>
            <w:r w:rsidRPr="00275AB3">
              <w:rPr>
                <w:rFonts w:cs="Arial"/>
                <w:color w:val="002060"/>
                <w:sz w:val="16"/>
                <w:szCs w:val="16"/>
              </w:rPr>
              <w:t xml:space="preserve"> acquired pressure ulcers</w:t>
            </w:r>
            <w:r>
              <w:rPr>
                <w:rFonts w:cs="Arial"/>
                <w:color w:val="002060"/>
                <w:sz w:val="16"/>
                <w:szCs w:val="16"/>
              </w:rPr>
              <w:t xml:space="preserve"> grade 3 and 4</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7</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2</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6</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4</w:t>
            </w:r>
          </w:p>
        </w:tc>
        <w:tc>
          <w:tcPr>
            <w:tcW w:w="838"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12</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3</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3</w:t>
            </w:r>
          </w:p>
        </w:tc>
        <w:tc>
          <w:tcPr>
            <w:tcW w:w="837" w:type="dxa"/>
            <w:vAlign w:val="center"/>
          </w:tcPr>
          <w:p w:rsidR="00154009" w:rsidRDefault="00154009" w:rsidP="00154009">
            <w:pPr>
              <w:jc w:val="center"/>
              <w:rPr>
                <w:rFonts w:cs="Arial"/>
                <w:bCs/>
                <w:color w:val="002060"/>
                <w:sz w:val="20"/>
              </w:rPr>
            </w:pPr>
            <w:r>
              <w:rPr>
                <w:rFonts w:cs="Arial"/>
                <w:bCs/>
                <w:color w:val="002060"/>
                <w:sz w:val="20"/>
              </w:rPr>
              <w:t>1</w:t>
            </w:r>
          </w:p>
        </w:tc>
        <w:tc>
          <w:tcPr>
            <w:tcW w:w="837" w:type="dxa"/>
            <w:tcBorders>
              <w:top w:val="nil"/>
              <w:left w:val="nil"/>
              <w:bottom w:val="single" w:sz="8" w:space="0" w:color="002060"/>
              <w:right w:val="single" w:sz="8" w:space="0" w:color="002060"/>
            </w:tcBorders>
            <w:shd w:val="clear" w:color="auto" w:fill="auto"/>
            <w:vAlign w:val="center"/>
          </w:tcPr>
          <w:p w:rsidR="00154009" w:rsidRPr="00F51175" w:rsidRDefault="00154009" w:rsidP="00154009">
            <w:pPr>
              <w:jc w:val="center"/>
              <w:rPr>
                <w:rFonts w:cs="Arial"/>
                <w:color w:val="002060"/>
                <w:sz w:val="20"/>
              </w:rPr>
            </w:pPr>
            <w:r>
              <w:rPr>
                <w:rFonts w:cs="Arial"/>
                <w:color w:val="002060"/>
                <w:sz w:val="20"/>
              </w:rPr>
              <w:t>3</w:t>
            </w:r>
          </w:p>
        </w:tc>
        <w:tc>
          <w:tcPr>
            <w:tcW w:w="838" w:type="dxa"/>
            <w:tcBorders>
              <w:top w:val="nil"/>
              <w:left w:val="nil"/>
              <w:bottom w:val="single" w:sz="8" w:space="0" w:color="002060"/>
              <w:right w:val="single" w:sz="8" w:space="0" w:color="002060"/>
            </w:tcBorders>
            <w:shd w:val="clear" w:color="auto" w:fill="auto"/>
            <w:vAlign w:val="center"/>
          </w:tcPr>
          <w:p w:rsidR="00154009" w:rsidRDefault="00154009" w:rsidP="00154009">
            <w:pPr>
              <w:jc w:val="center"/>
              <w:rPr>
                <w:rFonts w:cs="Arial"/>
                <w:bCs/>
                <w:color w:val="002060"/>
                <w:sz w:val="20"/>
              </w:rPr>
            </w:pPr>
            <w:r>
              <w:rPr>
                <w:rFonts w:cs="Arial"/>
                <w:color w:val="002060"/>
                <w:sz w:val="20"/>
              </w:rPr>
              <w:t>6</w:t>
            </w:r>
          </w:p>
        </w:tc>
        <w:tc>
          <w:tcPr>
            <w:tcW w:w="1134" w:type="dxa"/>
            <w:tcBorders>
              <w:top w:val="nil"/>
              <w:left w:val="nil"/>
              <w:bottom w:val="single" w:sz="8" w:space="0" w:color="002060"/>
              <w:right w:val="single" w:sz="8" w:space="0" w:color="002060"/>
            </w:tcBorders>
            <w:shd w:val="clear" w:color="auto" w:fill="auto"/>
            <w:vAlign w:val="center"/>
          </w:tcPr>
          <w:p w:rsidR="00154009" w:rsidRPr="00F51175" w:rsidRDefault="00154009" w:rsidP="00154009">
            <w:pPr>
              <w:jc w:val="center"/>
              <w:rPr>
                <w:rFonts w:cs="Arial"/>
                <w:b/>
                <w:bCs/>
                <w:color w:val="002060"/>
                <w:sz w:val="32"/>
                <w:szCs w:val="32"/>
              </w:rPr>
            </w:pPr>
            <w:r>
              <w:rPr>
                <w:rFonts w:cs="Arial"/>
                <w:b/>
                <w:bCs/>
                <w:color w:val="002060"/>
                <w:sz w:val="32"/>
                <w:szCs w:val="32"/>
              </w:rPr>
              <w:t>3</w:t>
            </w:r>
          </w:p>
        </w:tc>
        <w:tc>
          <w:tcPr>
            <w:tcW w:w="2693" w:type="dxa"/>
            <w:shd w:val="clear" w:color="auto" w:fill="auto"/>
            <w:vAlign w:val="center"/>
          </w:tcPr>
          <w:p w:rsidR="00154009" w:rsidRDefault="00154009" w:rsidP="00154009">
            <w:pPr>
              <w:rPr>
                <w:noProof/>
              </w:rPr>
            </w:pPr>
            <w:r>
              <w:rPr>
                <w:noProof/>
              </w:rPr>
              <w:drawing>
                <wp:inline distT="0" distB="0" distL="0" distR="0" wp14:anchorId="0EF31CD9" wp14:editId="1FA66702">
                  <wp:extent cx="1419225" cy="323850"/>
                  <wp:effectExtent l="0" t="0" r="0" b="0"/>
                  <wp:docPr id="13" name="Chart 13">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154009"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154009" w:rsidRPr="00311B30" w:rsidRDefault="00154009" w:rsidP="00154009">
            <w:pPr>
              <w:rPr>
                <w:rFonts w:cs="Arial"/>
                <w:color w:val="002060"/>
                <w:sz w:val="16"/>
                <w:szCs w:val="16"/>
              </w:rPr>
            </w:pPr>
            <w:r w:rsidRPr="00275AB3">
              <w:rPr>
                <w:rFonts w:cs="Arial"/>
                <w:color w:val="002060"/>
                <w:sz w:val="16"/>
                <w:szCs w:val="16"/>
              </w:rPr>
              <w:t>Number of potential Hospital Acquired Thrombosis (HATs)</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sidRPr="00F51175">
              <w:rPr>
                <w:rFonts w:cs="Arial"/>
                <w:color w:val="002060"/>
                <w:sz w:val="20"/>
              </w:rPr>
              <w:t>4</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sidRPr="00F51175">
              <w:rPr>
                <w:rFonts w:cs="Arial"/>
                <w:color w:val="002060"/>
                <w:sz w:val="20"/>
              </w:rPr>
              <w:t>5</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sidRPr="00F51175">
              <w:rPr>
                <w:rFonts w:cs="Arial"/>
                <w:color w:val="002060"/>
                <w:sz w:val="20"/>
              </w:rPr>
              <w:t>8</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sidRPr="00F51175">
              <w:rPr>
                <w:rFonts w:cs="Arial"/>
                <w:color w:val="002060"/>
                <w:sz w:val="20"/>
              </w:rPr>
              <w:t>11</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sidRPr="00F51175">
              <w:rPr>
                <w:rFonts w:cs="Arial"/>
                <w:color w:val="002060"/>
                <w:sz w:val="20"/>
              </w:rPr>
              <w:t>4</w:t>
            </w:r>
          </w:p>
        </w:tc>
        <w:tc>
          <w:tcPr>
            <w:tcW w:w="838" w:type="dxa"/>
            <w:tcBorders>
              <w:top w:val="single" w:sz="8" w:space="0" w:color="002060"/>
              <w:left w:val="single" w:sz="8" w:space="0" w:color="002060"/>
              <w:bottom w:val="single" w:sz="8" w:space="0" w:color="002060"/>
              <w:right w:val="single" w:sz="8" w:space="0" w:color="002060"/>
            </w:tcBorders>
            <w:vAlign w:val="center"/>
          </w:tcPr>
          <w:p w:rsidR="00154009" w:rsidRPr="00311B30" w:rsidRDefault="00154009" w:rsidP="00154009">
            <w:pPr>
              <w:jc w:val="center"/>
              <w:rPr>
                <w:rFonts w:cs="Arial"/>
                <w:color w:val="002060"/>
                <w:sz w:val="20"/>
              </w:rPr>
            </w:pPr>
            <w:r w:rsidRPr="00F51175">
              <w:rPr>
                <w:rFonts w:cs="Arial"/>
                <w:bCs/>
                <w:color w:val="002060"/>
                <w:sz w:val="20"/>
              </w:rPr>
              <w:t>12</w:t>
            </w:r>
          </w:p>
        </w:tc>
        <w:tc>
          <w:tcPr>
            <w:tcW w:w="837" w:type="dxa"/>
            <w:tcBorders>
              <w:top w:val="single" w:sz="8" w:space="0" w:color="002060"/>
              <w:left w:val="single" w:sz="8" w:space="0" w:color="002060"/>
              <w:bottom w:val="single" w:sz="8" w:space="0" w:color="002060"/>
              <w:right w:val="single" w:sz="8" w:space="0" w:color="002060"/>
            </w:tcBorders>
            <w:vAlign w:val="center"/>
          </w:tcPr>
          <w:p w:rsidR="00154009" w:rsidRPr="00311B30" w:rsidRDefault="00154009" w:rsidP="00154009">
            <w:pPr>
              <w:jc w:val="center"/>
              <w:rPr>
                <w:rFonts w:cs="Arial"/>
                <w:color w:val="002060"/>
                <w:sz w:val="20"/>
              </w:rPr>
            </w:pPr>
            <w:r w:rsidRPr="00F51175">
              <w:rPr>
                <w:rFonts w:cs="Arial"/>
                <w:bCs/>
                <w:color w:val="002060"/>
                <w:sz w:val="20"/>
              </w:rPr>
              <w:t>11</w:t>
            </w:r>
          </w:p>
        </w:tc>
        <w:tc>
          <w:tcPr>
            <w:tcW w:w="837" w:type="dxa"/>
            <w:tcBorders>
              <w:top w:val="single" w:sz="8" w:space="0" w:color="002060"/>
              <w:left w:val="single" w:sz="8" w:space="0" w:color="002060"/>
              <w:bottom w:val="single" w:sz="8" w:space="0" w:color="002060"/>
              <w:right w:val="single" w:sz="8" w:space="0" w:color="002060"/>
            </w:tcBorders>
            <w:vAlign w:val="center"/>
          </w:tcPr>
          <w:p w:rsidR="00154009" w:rsidRPr="00311B30" w:rsidRDefault="00154009" w:rsidP="00154009">
            <w:pPr>
              <w:jc w:val="center"/>
              <w:rPr>
                <w:rFonts w:cs="Arial"/>
                <w:color w:val="002060"/>
                <w:sz w:val="20"/>
              </w:rPr>
            </w:pPr>
            <w:r w:rsidRPr="00F51175">
              <w:rPr>
                <w:rFonts w:cs="Arial"/>
                <w:bCs/>
                <w:color w:val="002060"/>
                <w:sz w:val="20"/>
              </w:rPr>
              <w:t>8</w:t>
            </w:r>
          </w:p>
        </w:tc>
        <w:tc>
          <w:tcPr>
            <w:tcW w:w="837" w:type="dxa"/>
            <w:vAlign w:val="center"/>
          </w:tcPr>
          <w:p w:rsidR="00154009" w:rsidRPr="00311B30" w:rsidRDefault="00154009" w:rsidP="00154009">
            <w:pPr>
              <w:jc w:val="center"/>
              <w:rPr>
                <w:rFonts w:cs="Arial"/>
                <w:bCs/>
                <w:color w:val="002060"/>
                <w:sz w:val="20"/>
              </w:rPr>
            </w:pPr>
            <w:r>
              <w:rPr>
                <w:rFonts w:cs="Arial"/>
                <w:bCs/>
                <w:color w:val="002060"/>
                <w:sz w:val="20"/>
              </w:rPr>
              <w:t>11</w:t>
            </w:r>
          </w:p>
        </w:tc>
        <w:tc>
          <w:tcPr>
            <w:tcW w:w="837"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color w:val="002060"/>
                <w:sz w:val="20"/>
              </w:rPr>
            </w:pPr>
            <w:r>
              <w:rPr>
                <w:rFonts w:cs="Arial"/>
                <w:color w:val="002060"/>
                <w:sz w:val="20"/>
              </w:rPr>
              <w:t>3</w:t>
            </w:r>
          </w:p>
        </w:tc>
        <w:tc>
          <w:tcPr>
            <w:tcW w:w="838" w:type="dxa"/>
            <w:tcBorders>
              <w:top w:val="nil"/>
              <w:left w:val="nil"/>
              <w:bottom w:val="single" w:sz="8" w:space="0" w:color="002060"/>
              <w:right w:val="single" w:sz="8" w:space="0" w:color="002060"/>
            </w:tcBorders>
            <w:shd w:val="clear" w:color="auto" w:fill="auto"/>
            <w:vAlign w:val="center"/>
          </w:tcPr>
          <w:p w:rsidR="00154009" w:rsidRPr="00311B30" w:rsidRDefault="00154009" w:rsidP="00154009">
            <w:pPr>
              <w:jc w:val="center"/>
              <w:rPr>
                <w:rFonts w:cs="Arial"/>
                <w:bCs/>
                <w:color w:val="002060"/>
                <w:sz w:val="20"/>
              </w:rPr>
            </w:pPr>
            <w:r>
              <w:rPr>
                <w:rFonts w:cs="Arial"/>
                <w:color w:val="002060"/>
                <w:sz w:val="20"/>
              </w:rPr>
              <w:t>10</w:t>
            </w:r>
          </w:p>
        </w:tc>
        <w:tc>
          <w:tcPr>
            <w:tcW w:w="1134" w:type="dxa"/>
            <w:tcBorders>
              <w:top w:val="nil"/>
              <w:left w:val="nil"/>
              <w:bottom w:val="single" w:sz="8" w:space="0" w:color="002060"/>
              <w:right w:val="single" w:sz="8" w:space="0" w:color="002060"/>
            </w:tcBorders>
            <w:shd w:val="clear" w:color="auto" w:fill="auto"/>
            <w:vAlign w:val="center"/>
          </w:tcPr>
          <w:p w:rsidR="00154009" w:rsidRPr="00F51175" w:rsidRDefault="00154009" w:rsidP="00154009">
            <w:pPr>
              <w:jc w:val="center"/>
              <w:rPr>
                <w:rFonts w:cs="Arial"/>
                <w:b/>
                <w:bCs/>
                <w:color w:val="002060"/>
                <w:sz w:val="32"/>
                <w:szCs w:val="32"/>
              </w:rPr>
            </w:pPr>
            <w:r>
              <w:rPr>
                <w:rFonts w:cs="Arial"/>
                <w:b/>
                <w:bCs/>
                <w:color w:val="002060"/>
                <w:sz w:val="32"/>
                <w:szCs w:val="32"/>
              </w:rPr>
              <w:t>14</w:t>
            </w:r>
          </w:p>
        </w:tc>
        <w:tc>
          <w:tcPr>
            <w:tcW w:w="2693" w:type="dxa"/>
            <w:shd w:val="clear" w:color="auto" w:fill="auto"/>
            <w:vAlign w:val="center"/>
            <w:hideMark/>
          </w:tcPr>
          <w:p w:rsidR="00154009" w:rsidRPr="00311B30" w:rsidRDefault="00154009" w:rsidP="00154009">
            <w:pPr>
              <w:rPr>
                <w:rFonts w:cs="Arial"/>
                <w:b/>
                <w:bCs/>
                <w:color w:val="002060"/>
                <w:sz w:val="40"/>
                <w:szCs w:val="40"/>
              </w:rPr>
            </w:pPr>
            <w:r>
              <w:rPr>
                <w:noProof/>
              </w:rPr>
              <w:drawing>
                <wp:inline distT="0" distB="0" distL="0" distR="0" wp14:anchorId="4DCA77B7" wp14:editId="6B5F85F6">
                  <wp:extent cx="1419225" cy="371476"/>
                  <wp:effectExtent l="0" t="0" r="0" b="0"/>
                  <wp:docPr id="14" name="Chart 14">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6B7B05" w:rsidRPr="00311B30" w:rsidRDefault="006B7B05" w:rsidP="006B7B05">
            <w:pPr>
              <w:rPr>
                <w:rFonts w:cs="Arial"/>
                <w:color w:val="002060"/>
                <w:sz w:val="16"/>
                <w:szCs w:val="16"/>
              </w:rPr>
            </w:pPr>
            <w:r w:rsidRPr="00275AB3">
              <w:rPr>
                <w:rFonts w:cs="Arial"/>
                <w:color w:val="002060"/>
                <w:sz w:val="16"/>
                <w:szCs w:val="16"/>
              </w:rPr>
              <w:t>% VTE risk assessments documented on the med. Chart</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sidRPr="00F51175">
              <w:rPr>
                <w:rFonts w:cs="Arial"/>
                <w:color w:val="002060"/>
                <w:sz w:val="20"/>
              </w:rPr>
              <w:t>88.0%</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sidRPr="00F51175">
              <w:rPr>
                <w:rFonts w:cs="Arial"/>
                <w:color w:val="002060"/>
                <w:sz w:val="20"/>
              </w:rPr>
              <w:t>98.0%</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sidRPr="00F51175">
              <w:rPr>
                <w:rFonts w:cs="Arial"/>
                <w:color w:val="002060"/>
                <w:sz w:val="20"/>
              </w:rPr>
              <w:t>91.1%</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sidRPr="00F51175">
              <w:rPr>
                <w:rFonts w:cs="Arial"/>
                <w:color w:val="002060"/>
                <w:sz w:val="20"/>
              </w:rPr>
              <w:t>92.3%</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sidRPr="00F51175">
              <w:rPr>
                <w:rFonts w:cs="Arial"/>
                <w:color w:val="002060"/>
                <w:sz w:val="20"/>
              </w:rPr>
              <w:t>93.3%</w:t>
            </w:r>
          </w:p>
        </w:tc>
        <w:tc>
          <w:tcPr>
            <w:tcW w:w="838" w:type="dxa"/>
            <w:tcBorders>
              <w:top w:val="single" w:sz="8" w:space="0" w:color="002060"/>
              <w:left w:val="single" w:sz="8" w:space="0" w:color="002060"/>
              <w:bottom w:val="single" w:sz="8" w:space="0" w:color="002060"/>
              <w:right w:val="single" w:sz="8" w:space="0" w:color="002060"/>
            </w:tcBorders>
            <w:vAlign w:val="center"/>
          </w:tcPr>
          <w:p w:rsidR="006B7B05" w:rsidRPr="00311B30" w:rsidRDefault="006B7B05" w:rsidP="006B7B05">
            <w:pPr>
              <w:jc w:val="center"/>
              <w:rPr>
                <w:rFonts w:cs="Arial"/>
                <w:color w:val="002060"/>
                <w:sz w:val="20"/>
              </w:rPr>
            </w:pPr>
            <w:r w:rsidRPr="00F51175">
              <w:rPr>
                <w:rFonts w:cs="Arial"/>
                <w:bCs/>
                <w:color w:val="002060"/>
                <w:sz w:val="20"/>
              </w:rPr>
              <w:t>92.5%</w:t>
            </w:r>
          </w:p>
        </w:tc>
        <w:tc>
          <w:tcPr>
            <w:tcW w:w="837" w:type="dxa"/>
            <w:tcBorders>
              <w:top w:val="single" w:sz="8" w:space="0" w:color="002060"/>
              <w:left w:val="single" w:sz="8" w:space="0" w:color="002060"/>
              <w:bottom w:val="single" w:sz="8" w:space="0" w:color="002060"/>
              <w:right w:val="single" w:sz="8" w:space="0" w:color="002060"/>
            </w:tcBorders>
            <w:vAlign w:val="center"/>
          </w:tcPr>
          <w:p w:rsidR="006B7B05" w:rsidRPr="00311B30" w:rsidRDefault="006B7B05" w:rsidP="006B7B05">
            <w:pPr>
              <w:jc w:val="center"/>
              <w:rPr>
                <w:rFonts w:cs="Arial"/>
                <w:color w:val="002060"/>
                <w:sz w:val="20"/>
              </w:rPr>
            </w:pPr>
            <w:r w:rsidRPr="00F51175">
              <w:rPr>
                <w:rFonts w:cs="Arial"/>
                <w:bCs/>
                <w:color w:val="002060"/>
                <w:sz w:val="20"/>
              </w:rPr>
              <w:t>85.7%</w:t>
            </w:r>
          </w:p>
        </w:tc>
        <w:tc>
          <w:tcPr>
            <w:tcW w:w="837" w:type="dxa"/>
            <w:tcBorders>
              <w:top w:val="single" w:sz="8" w:space="0" w:color="002060"/>
              <w:left w:val="single" w:sz="8" w:space="0" w:color="002060"/>
              <w:bottom w:val="single" w:sz="8" w:space="0" w:color="002060"/>
              <w:right w:val="single" w:sz="8" w:space="0" w:color="002060"/>
            </w:tcBorders>
            <w:vAlign w:val="center"/>
          </w:tcPr>
          <w:p w:rsidR="006B7B05" w:rsidRPr="00311B30" w:rsidRDefault="006B7B05" w:rsidP="006B7B05">
            <w:pPr>
              <w:jc w:val="center"/>
              <w:rPr>
                <w:rFonts w:cs="Arial"/>
                <w:color w:val="002060"/>
                <w:sz w:val="20"/>
              </w:rPr>
            </w:pPr>
            <w:r w:rsidRPr="00F51175">
              <w:rPr>
                <w:rFonts w:cs="Arial"/>
                <w:bCs/>
                <w:color w:val="002060"/>
                <w:sz w:val="20"/>
              </w:rPr>
              <w:t>97.8%</w:t>
            </w:r>
          </w:p>
        </w:tc>
        <w:tc>
          <w:tcPr>
            <w:tcW w:w="837" w:type="dxa"/>
            <w:shd w:val="clear" w:color="auto" w:fill="auto"/>
            <w:vAlign w:val="center"/>
          </w:tcPr>
          <w:p w:rsidR="006B7B05" w:rsidRPr="00311B30" w:rsidRDefault="006B7B05" w:rsidP="006B7B05">
            <w:pPr>
              <w:jc w:val="center"/>
              <w:rPr>
                <w:rFonts w:cs="Arial"/>
                <w:bCs/>
                <w:color w:val="002060"/>
                <w:sz w:val="20"/>
              </w:rPr>
            </w:pPr>
            <w:r>
              <w:rPr>
                <w:rFonts w:cs="Arial"/>
                <w:bCs/>
                <w:color w:val="002060"/>
                <w:sz w:val="20"/>
              </w:rPr>
              <w:t>84.4%</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88.3%</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bCs/>
                <w:color w:val="002060"/>
                <w:sz w:val="20"/>
              </w:rPr>
            </w:pPr>
            <w:r>
              <w:rPr>
                <w:rFonts w:cs="Arial"/>
                <w:color w:val="002060"/>
                <w:sz w:val="20"/>
              </w:rPr>
              <w:t>95.0%</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90%</w:t>
            </w:r>
          </w:p>
        </w:tc>
        <w:tc>
          <w:tcPr>
            <w:tcW w:w="2693" w:type="dxa"/>
            <w:shd w:val="clear" w:color="auto" w:fill="auto"/>
            <w:vAlign w:val="center"/>
            <w:hideMark/>
          </w:tcPr>
          <w:p w:rsidR="006B7B05" w:rsidRPr="00311B30" w:rsidRDefault="00462E4D" w:rsidP="006B7B05">
            <w:pPr>
              <w:rPr>
                <w:rFonts w:cs="Arial"/>
                <w:b/>
                <w:bCs/>
                <w:color w:val="002060"/>
                <w:sz w:val="40"/>
                <w:szCs w:val="40"/>
              </w:rPr>
            </w:pPr>
            <w:r>
              <w:rPr>
                <w:noProof/>
              </w:rPr>
              <w:drawing>
                <wp:inline distT="0" distB="0" distL="0" distR="0" wp14:anchorId="4AA33071" wp14:editId="7186457A">
                  <wp:extent cx="1419225" cy="371476"/>
                  <wp:effectExtent l="0" t="0" r="0" b="0"/>
                  <wp:docPr id="38" name="Chart 38">
                    <a:extLst xmlns:a="http://schemas.openxmlformats.org/drawingml/2006/main">
                      <a:ext uri="{FF2B5EF4-FFF2-40B4-BE49-F238E27FC236}">
                        <a16:creationId xmlns:lc="http://schemas.openxmlformats.org/drawingml/2006/lockedCanvas" xmlns="" xmlns:a16="http://schemas.microsoft.com/office/drawing/2014/main" xmlns:w="http://schemas.openxmlformats.org/wordprocessingml/2006/main" xmlns:w10="urn:schemas-microsoft-com:office:word" xmlns:v="urn:schemas-microsoft-com:vml" xmlns:o="urn:schemas-microsoft-com:office:office"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6B7B05" w:rsidRDefault="006B7B05" w:rsidP="006B7B05">
            <w:pPr>
              <w:rPr>
                <w:rFonts w:cs="Arial"/>
                <w:color w:val="002060"/>
                <w:sz w:val="16"/>
                <w:szCs w:val="16"/>
              </w:rPr>
            </w:pPr>
            <w:r>
              <w:rPr>
                <w:rFonts w:cs="Arial"/>
                <w:color w:val="002060"/>
                <w:sz w:val="16"/>
                <w:szCs w:val="16"/>
              </w:rPr>
              <w:t>Hospital</w:t>
            </w:r>
            <w:r w:rsidRPr="00275AB3">
              <w:rPr>
                <w:rFonts w:cs="Arial"/>
                <w:color w:val="002060"/>
                <w:sz w:val="16"/>
                <w:szCs w:val="16"/>
              </w:rPr>
              <w:t xml:space="preserve"> Arrests (2222 calls)</w:t>
            </w:r>
          </w:p>
          <w:p w:rsidR="006B7B05" w:rsidRPr="00311B30" w:rsidRDefault="006B7B05" w:rsidP="006B7B05">
            <w:pPr>
              <w:rPr>
                <w:rFonts w:cs="Arial"/>
                <w:color w:val="002060"/>
                <w:sz w:val="16"/>
                <w:szCs w:val="16"/>
              </w:rPr>
            </w:pPr>
            <w:r>
              <w:rPr>
                <w:rFonts w:cs="Arial"/>
                <w:color w:val="002060"/>
                <w:sz w:val="16"/>
                <w:szCs w:val="16"/>
              </w:rPr>
              <w:t>(CT ONLY)</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56</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53</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60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47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bCs/>
                <w:color w:val="002060"/>
                <w:sz w:val="20"/>
              </w:rPr>
              <w:t>42</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bCs/>
                <w:color w:val="002060"/>
                <w:sz w:val="20"/>
              </w:rPr>
              <w:t>60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32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34</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37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53</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bCs/>
                <w:color w:val="002060"/>
                <w:sz w:val="20"/>
              </w:rPr>
            </w:pPr>
            <w:r>
              <w:rPr>
                <w:rFonts w:cs="Arial"/>
                <w:bCs/>
                <w:color w:val="002060"/>
                <w:sz w:val="20"/>
              </w:rPr>
              <w:t>56</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NA</w:t>
            </w:r>
          </w:p>
        </w:tc>
        <w:tc>
          <w:tcPr>
            <w:tcW w:w="2693" w:type="dxa"/>
            <w:shd w:val="clear" w:color="auto" w:fill="auto"/>
            <w:vAlign w:val="center"/>
            <w:hideMark/>
          </w:tcPr>
          <w:p w:rsidR="006B7B05" w:rsidRPr="00311B30" w:rsidRDefault="006B7B05" w:rsidP="006B7B05">
            <w:pPr>
              <w:rPr>
                <w:rFonts w:cs="Arial"/>
                <w:b/>
                <w:bCs/>
                <w:color w:val="002060"/>
                <w:sz w:val="40"/>
                <w:szCs w:val="40"/>
              </w:rPr>
            </w:pPr>
            <w:r>
              <w:rPr>
                <w:noProof/>
              </w:rPr>
              <w:drawing>
                <wp:inline distT="0" distB="0" distL="0" distR="0" wp14:anchorId="47243EC6" wp14:editId="548909AB">
                  <wp:extent cx="1419225" cy="371476"/>
                  <wp:effectExtent l="0" t="0" r="0" b="0"/>
                  <wp:docPr id="41" name="Chart 41">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rPr>
                <w:rFonts w:cs="Arial"/>
                <w:color w:val="002060"/>
                <w:sz w:val="16"/>
                <w:szCs w:val="16"/>
              </w:rPr>
            </w:pPr>
            <w:r w:rsidRPr="00275AB3">
              <w:rPr>
                <w:rFonts w:cs="Arial"/>
                <w:color w:val="002060"/>
                <w:sz w:val="16"/>
                <w:szCs w:val="16"/>
              </w:rPr>
              <w:t>Training % NEWS</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bCs/>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bCs/>
                <w:color w:val="002060"/>
                <w:sz w:val="20"/>
              </w:rPr>
              <w:t>NA</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NA</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bCs/>
                <w:color w:val="002060"/>
                <w:sz w:val="20"/>
              </w:rPr>
            </w:pPr>
            <w:r>
              <w:rPr>
                <w:rFonts w:cs="Arial"/>
                <w:color w:val="002060"/>
                <w:sz w:val="20"/>
              </w:rPr>
              <w:t>NA</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NA</w:t>
            </w:r>
          </w:p>
        </w:tc>
        <w:tc>
          <w:tcPr>
            <w:tcW w:w="2693" w:type="dxa"/>
            <w:shd w:val="clear" w:color="auto" w:fill="auto"/>
            <w:vAlign w:val="center"/>
          </w:tcPr>
          <w:p w:rsidR="006B7B05" w:rsidRPr="00311B30" w:rsidRDefault="006B7B05" w:rsidP="006B7B05">
            <w:pPr>
              <w:rPr>
                <w:rFonts w:cs="Arial"/>
                <w:b/>
                <w:bCs/>
                <w:color w:val="002060"/>
                <w:sz w:val="40"/>
                <w:szCs w:val="40"/>
              </w:rPr>
            </w:pP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rPr>
                <w:rFonts w:cs="Arial"/>
                <w:color w:val="002060"/>
                <w:sz w:val="16"/>
                <w:szCs w:val="16"/>
              </w:rPr>
            </w:pPr>
            <w:r>
              <w:rPr>
                <w:rFonts w:cs="Arial"/>
                <w:color w:val="002060"/>
                <w:sz w:val="16"/>
                <w:szCs w:val="16"/>
              </w:rPr>
              <w:t>C.difficil</w:t>
            </w:r>
            <w:r w:rsidRPr="00275AB3">
              <w:rPr>
                <w:rFonts w:cs="Arial"/>
                <w:color w:val="002060"/>
                <w:sz w:val="16"/>
                <w:szCs w:val="16"/>
              </w:rPr>
              <w:t>e Rate/1000 admissions</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1.42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1.3</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1.31</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2.29</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1.4</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1.12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2.32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1.96</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1.54</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bCs/>
                <w:color w:val="002060"/>
                <w:sz w:val="20"/>
              </w:rPr>
            </w:pPr>
            <w:r>
              <w:rPr>
                <w:rFonts w:cs="Arial"/>
                <w:color w:val="002060"/>
                <w:sz w:val="20"/>
              </w:rPr>
              <w:t>0.62</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0.85</w:t>
            </w:r>
          </w:p>
        </w:tc>
        <w:tc>
          <w:tcPr>
            <w:tcW w:w="2693" w:type="dxa"/>
            <w:shd w:val="clear" w:color="auto" w:fill="auto"/>
            <w:vAlign w:val="center"/>
          </w:tcPr>
          <w:p w:rsidR="006B7B05" w:rsidRPr="00311B30" w:rsidRDefault="006B7B05" w:rsidP="006B7B05">
            <w:pPr>
              <w:rPr>
                <w:rFonts w:cs="Arial"/>
                <w:b/>
                <w:bCs/>
                <w:color w:val="002060"/>
                <w:sz w:val="40"/>
                <w:szCs w:val="40"/>
              </w:rPr>
            </w:pPr>
            <w:r>
              <w:rPr>
                <w:noProof/>
              </w:rPr>
              <w:drawing>
                <wp:inline distT="0" distB="0" distL="0" distR="0" wp14:anchorId="2844D9DC" wp14:editId="7466A69C">
                  <wp:extent cx="1419225" cy="371476"/>
                  <wp:effectExtent l="0" t="0" r="0" b="0"/>
                  <wp:docPr id="17" name="Chart 17">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rPr>
                <w:rFonts w:cs="Arial"/>
                <w:color w:val="002060"/>
                <w:sz w:val="16"/>
                <w:szCs w:val="16"/>
              </w:rPr>
            </w:pPr>
            <w:r>
              <w:rPr>
                <w:rFonts w:cs="Arial"/>
                <w:color w:val="002060"/>
                <w:sz w:val="16"/>
                <w:szCs w:val="16"/>
              </w:rPr>
              <w:t>MRSA bacte</w:t>
            </w:r>
            <w:r w:rsidRPr="00275AB3">
              <w:rPr>
                <w:rFonts w:cs="Arial"/>
                <w:color w:val="002060"/>
                <w:sz w:val="16"/>
                <w:szCs w:val="16"/>
              </w:rPr>
              <w:t>r</w:t>
            </w:r>
            <w:r>
              <w:rPr>
                <w:rFonts w:cs="Arial"/>
                <w:color w:val="002060"/>
                <w:sz w:val="16"/>
                <w:szCs w:val="16"/>
              </w:rPr>
              <w:t>a</w:t>
            </w:r>
            <w:r w:rsidRPr="00275AB3">
              <w:rPr>
                <w:rFonts w:cs="Arial"/>
                <w:color w:val="002060"/>
                <w:sz w:val="16"/>
                <w:szCs w:val="16"/>
              </w:rPr>
              <w:t>emia Rate/1000 admissions</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0.14</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0.15</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0.31</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0.16</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0.28</w:t>
            </w:r>
          </w:p>
        </w:tc>
        <w:tc>
          <w:tcPr>
            <w:tcW w:w="2693" w:type="dxa"/>
            <w:shd w:val="clear" w:color="auto" w:fill="auto"/>
            <w:vAlign w:val="center"/>
          </w:tcPr>
          <w:p w:rsidR="006B7B05" w:rsidRPr="00311B30" w:rsidRDefault="006B7B05" w:rsidP="006B7B05">
            <w:pPr>
              <w:rPr>
                <w:noProof/>
                <w:color w:val="002060"/>
              </w:rPr>
            </w:pPr>
            <w:r>
              <w:rPr>
                <w:noProof/>
              </w:rPr>
              <w:drawing>
                <wp:inline distT="0" distB="0" distL="0" distR="0" wp14:anchorId="211298C6" wp14:editId="617B9F32">
                  <wp:extent cx="1419225" cy="371476"/>
                  <wp:effectExtent l="0" t="0" r="0" b="0"/>
                  <wp:docPr id="18" name="Chart 18">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rPr>
                <w:rFonts w:cs="Arial"/>
                <w:color w:val="002060"/>
                <w:sz w:val="16"/>
                <w:szCs w:val="16"/>
              </w:rPr>
            </w:pPr>
            <w:r>
              <w:rPr>
                <w:rFonts w:cs="Arial"/>
                <w:color w:val="002060"/>
                <w:sz w:val="16"/>
                <w:szCs w:val="16"/>
              </w:rPr>
              <w:t>MSSA bacte</w:t>
            </w:r>
            <w:r w:rsidRPr="00275AB3">
              <w:rPr>
                <w:rFonts w:cs="Arial"/>
                <w:color w:val="002060"/>
                <w:sz w:val="16"/>
                <w:szCs w:val="16"/>
              </w:rPr>
              <w:t>r</w:t>
            </w:r>
            <w:r>
              <w:rPr>
                <w:rFonts w:cs="Arial"/>
                <w:color w:val="002060"/>
                <w:sz w:val="16"/>
                <w:szCs w:val="16"/>
              </w:rPr>
              <w:t>a</w:t>
            </w:r>
            <w:r w:rsidRPr="00275AB3">
              <w:rPr>
                <w:rFonts w:cs="Arial"/>
                <w:color w:val="002060"/>
                <w:sz w:val="16"/>
                <w:szCs w:val="16"/>
              </w:rPr>
              <w:t>emia Rate/1000 admissions</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0.88</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1.72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1.86</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1.28</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1.55</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1.26</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2.16</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2.48</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1.42</w:t>
            </w:r>
          </w:p>
        </w:tc>
        <w:tc>
          <w:tcPr>
            <w:tcW w:w="2693" w:type="dxa"/>
            <w:shd w:val="clear" w:color="auto" w:fill="auto"/>
            <w:vAlign w:val="center"/>
          </w:tcPr>
          <w:p w:rsidR="006B7B05" w:rsidRPr="00311B30" w:rsidRDefault="006B7B05" w:rsidP="006B7B05">
            <w:pPr>
              <w:rPr>
                <w:noProof/>
                <w:color w:val="002060"/>
              </w:rPr>
            </w:pPr>
            <w:r>
              <w:rPr>
                <w:noProof/>
              </w:rPr>
              <w:drawing>
                <wp:inline distT="0" distB="0" distL="0" distR="0" wp14:anchorId="5E973500" wp14:editId="69D93A28">
                  <wp:extent cx="1419225" cy="371476"/>
                  <wp:effectExtent l="0" t="0" r="0" b="0"/>
                  <wp:docPr id="19" name="Chart 19">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r>
      <w:tr w:rsidR="006B7B05"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6B7B05" w:rsidRPr="00311B30" w:rsidRDefault="006B7B05" w:rsidP="006B7B05">
            <w:pPr>
              <w:rPr>
                <w:rFonts w:cs="Arial"/>
                <w:color w:val="002060"/>
                <w:sz w:val="16"/>
                <w:szCs w:val="16"/>
              </w:rPr>
            </w:pPr>
            <w:r>
              <w:rPr>
                <w:rFonts w:cs="Arial"/>
                <w:color w:val="002060"/>
                <w:sz w:val="16"/>
                <w:szCs w:val="16"/>
              </w:rPr>
              <w:t>E. coli bacte</w:t>
            </w:r>
            <w:r w:rsidRPr="00275AB3">
              <w:rPr>
                <w:rFonts w:cs="Arial"/>
                <w:color w:val="002060"/>
                <w:sz w:val="16"/>
                <w:szCs w:val="16"/>
              </w:rPr>
              <w:t>r</w:t>
            </w:r>
            <w:r>
              <w:rPr>
                <w:rFonts w:cs="Arial"/>
                <w:color w:val="002060"/>
                <w:sz w:val="16"/>
                <w:szCs w:val="16"/>
              </w:rPr>
              <w:t>a</w:t>
            </w:r>
            <w:r w:rsidRPr="00275AB3">
              <w:rPr>
                <w:rFonts w:cs="Arial"/>
                <w:color w:val="002060"/>
                <w:sz w:val="16"/>
                <w:szCs w:val="16"/>
              </w:rPr>
              <w:t>emia Rate/1000 admissions</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3.7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5.67</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7.15</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4.72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3.88</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4.86</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6.55</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4.02</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5.33</w:t>
            </w:r>
          </w:p>
        </w:tc>
        <w:tc>
          <w:tcPr>
            <w:tcW w:w="837"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5.55</w:t>
            </w:r>
          </w:p>
        </w:tc>
        <w:tc>
          <w:tcPr>
            <w:tcW w:w="838" w:type="dxa"/>
            <w:tcBorders>
              <w:top w:val="nil"/>
              <w:left w:val="nil"/>
              <w:bottom w:val="single" w:sz="8" w:space="0" w:color="002060"/>
              <w:right w:val="single" w:sz="8" w:space="0" w:color="002060"/>
            </w:tcBorders>
            <w:shd w:val="clear" w:color="auto" w:fill="auto"/>
            <w:vAlign w:val="center"/>
          </w:tcPr>
          <w:p w:rsidR="006B7B05" w:rsidRPr="00311B30" w:rsidRDefault="006B7B05" w:rsidP="006B7B05">
            <w:pPr>
              <w:jc w:val="center"/>
              <w:rPr>
                <w:rFonts w:cs="Arial"/>
                <w:color w:val="002060"/>
                <w:sz w:val="20"/>
              </w:rPr>
            </w:pPr>
            <w:r>
              <w:rPr>
                <w:rFonts w:cs="Arial"/>
                <w:color w:val="002060"/>
                <w:sz w:val="20"/>
              </w:rPr>
              <w:t>4.65</w:t>
            </w:r>
          </w:p>
        </w:tc>
        <w:tc>
          <w:tcPr>
            <w:tcW w:w="1134" w:type="dxa"/>
            <w:tcBorders>
              <w:top w:val="nil"/>
              <w:left w:val="nil"/>
              <w:bottom w:val="single" w:sz="8" w:space="0" w:color="002060"/>
              <w:right w:val="single" w:sz="8" w:space="0" w:color="002060"/>
            </w:tcBorders>
            <w:shd w:val="clear" w:color="auto" w:fill="auto"/>
            <w:vAlign w:val="center"/>
          </w:tcPr>
          <w:p w:rsidR="006B7B05" w:rsidRPr="00F51175" w:rsidRDefault="006B7B05" w:rsidP="006B7B05">
            <w:pPr>
              <w:jc w:val="center"/>
              <w:rPr>
                <w:rFonts w:cs="Arial"/>
                <w:b/>
                <w:bCs/>
                <w:color w:val="002060"/>
                <w:sz w:val="32"/>
                <w:szCs w:val="32"/>
              </w:rPr>
            </w:pPr>
            <w:r>
              <w:rPr>
                <w:rFonts w:cs="Arial"/>
                <w:b/>
                <w:bCs/>
                <w:color w:val="002060"/>
                <w:sz w:val="32"/>
                <w:szCs w:val="32"/>
              </w:rPr>
              <w:t>3.83</w:t>
            </w:r>
          </w:p>
        </w:tc>
        <w:tc>
          <w:tcPr>
            <w:tcW w:w="2693" w:type="dxa"/>
            <w:shd w:val="clear" w:color="auto" w:fill="auto"/>
            <w:vAlign w:val="center"/>
          </w:tcPr>
          <w:p w:rsidR="006B7B05" w:rsidRPr="00311B30" w:rsidRDefault="006B7B05" w:rsidP="006B7B05">
            <w:pPr>
              <w:rPr>
                <w:noProof/>
                <w:color w:val="002060"/>
              </w:rPr>
            </w:pPr>
            <w:r>
              <w:rPr>
                <w:noProof/>
              </w:rPr>
              <w:drawing>
                <wp:inline distT="0" distB="0" distL="0" distR="0" wp14:anchorId="4D9905B8" wp14:editId="027D40FC">
                  <wp:extent cx="1419225" cy="371476"/>
                  <wp:effectExtent l="0" t="0" r="0" b="0"/>
                  <wp:docPr id="20" name="Chart 20">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r>
      <w:tr w:rsidR="006B7B05" w:rsidRPr="00311B30"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6B7B05" w:rsidRPr="00311B30" w:rsidRDefault="006B7B05" w:rsidP="006B7B05">
            <w:pPr>
              <w:rPr>
                <w:rFonts w:cs="Arial"/>
                <w:color w:val="002060"/>
                <w:sz w:val="16"/>
                <w:szCs w:val="16"/>
              </w:rPr>
            </w:pPr>
            <w:r w:rsidRPr="00DE2936">
              <w:rPr>
                <w:rFonts w:cs="Arial"/>
                <w:color w:val="002060"/>
                <w:sz w:val="16"/>
                <w:szCs w:val="16"/>
              </w:rPr>
              <w:t>% of patients who spend less than 4 hours in A&amp;E from arrival to admission, transfer or discharge</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82.70%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87.90%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79.50%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75.20%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81.80%</w:t>
            </w:r>
          </w:p>
        </w:tc>
        <w:tc>
          <w:tcPr>
            <w:tcW w:w="838"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80.10%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83.60%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76.10%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70.50%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78.80%</w:t>
            </w:r>
          </w:p>
        </w:tc>
        <w:tc>
          <w:tcPr>
            <w:tcW w:w="838"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bCs/>
                <w:color w:val="002060"/>
                <w:sz w:val="18"/>
                <w:szCs w:val="18"/>
              </w:rPr>
            </w:pPr>
            <w:r w:rsidRPr="008E685E">
              <w:rPr>
                <w:rFonts w:cs="Arial"/>
                <w:color w:val="002060"/>
                <w:sz w:val="18"/>
                <w:szCs w:val="18"/>
              </w:rPr>
              <w:t>68.36%</w:t>
            </w:r>
          </w:p>
        </w:tc>
        <w:tc>
          <w:tcPr>
            <w:tcW w:w="1134"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b/>
                <w:bCs/>
                <w:color w:val="002060"/>
                <w:szCs w:val="24"/>
              </w:rPr>
            </w:pPr>
            <w:r w:rsidRPr="008E685E">
              <w:rPr>
                <w:rFonts w:cs="Arial"/>
                <w:b/>
                <w:bCs/>
                <w:color w:val="002060"/>
                <w:szCs w:val="24"/>
              </w:rPr>
              <w:t>71.25%</w:t>
            </w:r>
          </w:p>
        </w:tc>
        <w:tc>
          <w:tcPr>
            <w:tcW w:w="2693" w:type="dxa"/>
            <w:tcBorders>
              <w:top w:val="single" w:sz="8" w:space="0" w:color="002060"/>
            </w:tcBorders>
            <w:shd w:val="clear" w:color="auto" w:fill="auto"/>
            <w:vAlign w:val="center"/>
            <w:hideMark/>
          </w:tcPr>
          <w:p w:rsidR="006B7B05" w:rsidRPr="00311B30" w:rsidRDefault="006B7B05" w:rsidP="006B7B05">
            <w:pPr>
              <w:rPr>
                <w:rFonts w:cs="Arial"/>
                <w:b/>
                <w:bCs/>
                <w:color w:val="002060"/>
                <w:sz w:val="40"/>
                <w:szCs w:val="40"/>
              </w:rPr>
            </w:pPr>
            <w:r>
              <w:rPr>
                <w:noProof/>
              </w:rPr>
              <w:drawing>
                <wp:inline distT="0" distB="0" distL="0" distR="0" wp14:anchorId="1A32AE8F" wp14:editId="255F6178">
                  <wp:extent cx="1419225" cy="371476"/>
                  <wp:effectExtent l="0" t="0" r="0" b="0"/>
                  <wp:docPr id="21" name="Chart 21">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r>
      <w:tr w:rsidR="006B7B05" w:rsidRPr="00311B30"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6B7B05" w:rsidRPr="00311B30" w:rsidRDefault="006B7B05" w:rsidP="006B7B05">
            <w:pPr>
              <w:rPr>
                <w:rFonts w:cs="Arial"/>
                <w:color w:val="002060"/>
                <w:sz w:val="16"/>
                <w:szCs w:val="16"/>
              </w:rPr>
            </w:pPr>
            <w:r w:rsidRPr="00DE2936">
              <w:rPr>
                <w:rFonts w:cs="Arial"/>
                <w:color w:val="002060"/>
                <w:sz w:val="16"/>
                <w:szCs w:val="16"/>
              </w:rPr>
              <w:t>% of patients who spend less than 12 hours in A&amp;E from arrival to admission, transfer or discharge</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96.40%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97.30%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95.60%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95.90%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94.40%</w:t>
            </w:r>
          </w:p>
        </w:tc>
        <w:tc>
          <w:tcPr>
            <w:tcW w:w="838"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95.80%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96.60%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95.20%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bCs/>
                <w:color w:val="002060"/>
                <w:sz w:val="18"/>
                <w:szCs w:val="18"/>
              </w:rPr>
              <w:t>94.50%</w:t>
            </w:r>
          </w:p>
        </w:tc>
        <w:tc>
          <w:tcPr>
            <w:tcW w:w="837"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color w:val="002060"/>
                <w:sz w:val="18"/>
                <w:szCs w:val="18"/>
              </w:rPr>
            </w:pPr>
            <w:r w:rsidRPr="008E685E">
              <w:rPr>
                <w:rFonts w:cs="Arial"/>
                <w:color w:val="002060"/>
                <w:sz w:val="18"/>
                <w:szCs w:val="18"/>
              </w:rPr>
              <w:t>92.60%</w:t>
            </w:r>
          </w:p>
        </w:tc>
        <w:tc>
          <w:tcPr>
            <w:tcW w:w="838"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bCs/>
                <w:color w:val="002060"/>
                <w:sz w:val="18"/>
                <w:szCs w:val="18"/>
              </w:rPr>
            </w:pPr>
            <w:r w:rsidRPr="008E685E">
              <w:rPr>
                <w:rFonts w:cs="Arial"/>
                <w:color w:val="002060"/>
                <w:sz w:val="18"/>
                <w:szCs w:val="18"/>
              </w:rPr>
              <w:t>93.73%</w:t>
            </w:r>
          </w:p>
        </w:tc>
        <w:tc>
          <w:tcPr>
            <w:tcW w:w="1134" w:type="dxa"/>
            <w:tcBorders>
              <w:top w:val="nil"/>
              <w:left w:val="nil"/>
              <w:bottom w:val="single" w:sz="8" w:space="0" w:color="002060"/>
              <w:right w:val="single" w:sz="8" w:space="0" w:color="002060"/>
            </w:tcBorders>
            <w:shd w:val="clear" w:color="auto" w:fill="auto"/>
            <w:vAlign w:val="center"/>
          </w:tcPr>
          <w:p w:rsidR="006B7B05" w:rsidRPr="008E685E" w:rsidRDefault="006B7B05" w:rsidP="006B7B05">
            <w:pPr>
              <w:jc w:val="center"/>
              <w:rPr>
                <w:rFonts w:cs="Arial"/>
                <w:b/>
                <w:bCs/>
                <w:color w:val="002060"/>
                <w:szCs w:val="24"/>
              </w:rPr>
            </w:pPr>
            <w:r w:rsidRPr="008E685E">
              <w:rPr>
                <w:rFonts w:cs="Arial"/>
                <w:b/>
                <w:bCs/>
                <w:color w:val="002060"/>
                <w:szCs w:val="24"/>
              </w:rPr>
              <w:t>91.56%</w:t>
            </w:r>
          </w:p>
        </w:tc>
        <w:tc>
          <w:tcPr>
            <w:tcW w:w="2693" w:type="dxa"/>
            <w:shd w:val="clear" w:color="auto" w:fill="auto"/>
            <w:vAlign w:val="center"/>
            <w:hideMark/>
          </w:tcPr>
          <w:p w:rsidR="006B7B05" w:rsidRPr="00311B30" w:rsidRDefault="006B7B05" w:rsidP="006B7B05">
            <w:pPr>
              <w:rPr>
                <w:rFonts w:cs="Arial"/>
                <w:b/>
                <w:bCs/>
                <w:color w:val="002060"/>
                <w:sz w:val="40"/>
                <w:szCs w:val="40"/>
              </w:rPr>
            </w:pPr>
            <w:r>
              <w:rPr>
                <w:noProof/>
              </w:rPr>
              <w:drawing>
                <wp:inline distT="0" distB="0" distL="0" distR="0" wp14:anchorId="572B07F1" wp14:editId="28DC901A">
                  <wp:extent cx="1419225" cy="371476"/>
                  <wp:effectExtent l="0" t="0" r="0" b="0"/>
                  <wp:docPr id="22" name="Chart 22">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c>
      </w:tr>
      <w:tr w:rsidR="005111FB" w:rsidRPr="007A5F15" w:rsidTr="005111F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5111FB" w:rsidRPr="00311B30" w:rsidRDefault="005111FB" w:rsidP="00B15F38">
            <w:pPr>
              <w:rPr>
                <w:rFonts w:cs="Arial"/>
                <w:color w:val="002060"/>
                <w:sz w:val="16"/>
                <w:szCs w:val="16"/>
              </w:rPr>
            </w:pPr>
            <w:r w:rsidRPr="00DE2936">
              <w:rPr>
                <w:rFonts w:cs="Arial"/>
                <w:color w:val="002060"/>
                <w:sz w:val="16"/>
                <w:szCs w:val="16"/>
              </w:rPr>
              <w:t>AvLOS (based on discharges only)</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4.7</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4.1</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4.7</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4.5</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4.2</w:t>
            </w:r>
          </w:p>
        </w:tc>
        <w:tc>
          <w:tcPr>
            <w:tcW w:w="838"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bCs/>
                <w:color w:val="002060"/>
                <w:sz w:val="20"/>
              </w:rPr>
              <w:t>4.8</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bCs/>
                <w:color w:val="002060"/>
                <w:sz w:val="20"/>
              </w:rPr>
              <w:t>5.4</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bCs/>
                <w:color w:val="002060"/>
                <w:sz w:val="20"/>
              </w:rPr>
              <w:t>3.63</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bCs/>
                <w:color w:val="002060"/>
                <w:sz w:val="20"/>
              </w:rPr>
              <w:t>4.7</w:t>
            </w:r>
          </w:p>
        </w:tc>
        <w:tc>
          <w:tcPr>
            <w:tcW w:w="837"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color w:val="002060"/>
                <w:sz w:val="20"/>
              </w:rPr>
            </w:pPr>
            <w:r>
              <w:rPr>
                <w:rFonts w:cs="Arial"/>
                <w:color w:val="002060"/>
                <w:sz w:val="20"/>
              </w:rPr>
              <w:t>4.85</w:t>
            </w:r>
          </w:p>
        </w:tc>
        <w:tc>
          <w:tcPr>
            <w:tcW w:w="838" w:type="dxa"/>
            <w:tcBorders>
              <w:top w:val="nil"/>
              <w:left w:val="nil"/>
              <w:bottom w:val="single" w:sz="8" w:space="0" w:color="002060"/>
              <w:right w:val="single" w:sz="8" w:space="0" w:color="002060"/>
            </w:tcBorders>
            <w:shd w:val="clear" w:color="auto" w:fill="auto"/>
            <w:vAlign w:val="center"/>
          </w:tcPr>
          <w:p w:rsidR="005111FB" w:rsidRPr="00311B30" w:rsidRDefault="005111FB" w:rsidP="00B15F38">
            <w:pPr>
              <w:jc w:val="center"/>
              <w:rPr>
                <w:rFonts w:cs="Arial"/>
                <w:bCs/>
                <w:color w:val="002060"/>
                <w:sz w:val="20"/>
              </w:rPr>
            </w:pPr>
            <w:r>
              <w:rPr>
                <w:rFonts w:cs="Arial"/>
                <w:color w:val="002060"/>
                <w:sz w:val="20"/>
              </w:rPr>
              <w:t>4.22</w:t>
            </w:r>
          </w:p>
        </w:tc>
        <w:tc>
          <w:tcPr>
            <w:tcW w:w="1134" w:type="dxa"/>
            <w:tcBorders>
              <w:top w:val="nil"/>
              <w:left w:val="nil"/>
              <w:bottom w:val="single" w:sz="8" w:space="0" w:color="002060"/>
              <w:right w:val="single" w:sz="8" w:space="0" w:color="002060"/>
            </w:tcBorders>
            <w:shd w:val="clear" w:color="auto" w:fill="auto"/>
            <w:vAlign w:val="center"/>
          </w:tcPr>
          <w:p w:rsidR="005111FB" w:rsidRPr="00F51175" w:rsidRDefault="005111FB" w:rsidP="00B15F38">
            <w:pPr>
              <w:jc w:val="center"/>
              <w:rPr>
                <w:rFonts w:cs="Arial"/>
                <w:b/>
                <w:bCs/>
                <w:color w:val="002060"/>
                <w:sz w:val="32"/>
                <w:szCs w:val="32"/>
              </w:rPr>
            </w:pPr>
            <w:r>
              <w:rPr>
                <w:rFonts w:cs="Arial"/>
                <w:b/>
                <w:bCs/>
                <w:color w:val="002060"/>
                <w:sz w:val="32"/>
                <w:szCs w:val="32"/>
              </w:rPr>
              <w:t>4.83</w:t>
            </w:r>
          </w:p>
        </w:tc>
        <w:tc>
          <w:tcPr>
            <w:tcW w:w="2693" w:type="dxa"/>
            <w:shd w:val="clear" w:color="auto" w:fill="auto"/>
            <w:vAlign w:val="center"/>
            <w:hideMark/>
          </w:tcPr>
          <w:p w:rsidR="005111FB" w:rsidRPr="00311B30" w:rsidRDefault="005111FB" w:rsidP="00B15F38">
            <w:pPr>
              <w:rPr>
                <w:rFonts w:cs="Arial"/>
                <w:b/>
                <w:bCs/>
                <w:color w:val="002060"/>
                <w:sz w:val="40"/>
                <w:szCs w:val="40"/>
              </w:rPr>
            </w:pPr>
            <w:r>
              <w:rPr>
                <w:noProof/>
              </w:rPr>
              <w:drawing>
                <wp:inline distT="0" distB="0" distL="0" distR="0" wp14:anchorId="4E08B790" wp14:editId="3F76F67E">
                  <wp:extent cx="1419225" cy="371476"/>
                  <wp:effectExtent l="0" t="0" r="0" b="0"/>
                  <wp:docPr id="23" name="Chart 23">
                    <a:extLst xmlns:a="http://schemas.openxmlformats.org/drawingml/2006/main">
                      <a:ext uri="{FF2B5EF4-FFF2-40B4-BE49-F238E27FC236}">
                        <a16:creationId xmlns:arto="http://schemas.microsoft.com/office/word/2006/arto"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r>
    </w:tbl>
    <w:p w:rsidR="005111FB" w:rsidRDefault="005111FB"/>
    <w:p w:rsidR="005111FB" w:rsidRPr="009E0370" w:rsidRDefault="005111FB" w:rsidP="005111FB">
      <w:pPr>
        <w:rPr>
          <w:rFonts w:ascii="Verdana" w:hAnsi="Verdana"/>
          <w:b/>
        </w:rPr>
      </w:pPr>
      <w:r w:rsidRPr="009E0370">
        <w:rPr>
          <w:rFonts w:ascii="Verdana" w:hAnsi="Verdana"/>
          <w:noProof/>
        </w:rPr>
        <w:drawing>
          <wp:anchor distT="0" distB="0" distL="114300" distR="114300" simplePos="0" relativeHeight="251963904" behindDoc="0" locked="0" layoutInCell="1" allowOverlap="1" wp14:anchorId="3DA5C582" wp14:editId="16BCB2A6">
            <wp:simplePos x="0" y="0"/>
            <wp:positionH relativeFrom="column">
              <wp:posOffset>4667250</wp:posOffset>
            </wp:positionH>
            <wp:positionV relativeFrom="paragraph">
              <wp:posOffset>27940</wp:posOffset>
            </wp:positionV>
            <wp:extent cx="5238750" cy="2486025"/>
            <wp:effectExtent l="0" t="0" r="0" b="9525"/>
            <wp:wrapSquare wrapText="bothSides"/>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r w:rsidRPr="009E0370">
        <w:rPr>
          <w:rFonts w:ascii="Verdana" w:hAnsi="Verdana"/>
          <w:b/>
        </w:rPr>
        <w:t xml:space="preserve">Inpatient Falls: </w:t>
      </w:r>
    </w:p>
    <w:p w:rsidR="005111FB" w:rsidRPr="009E0370" w:rsidRDefault="005111FB" w:rsidP="005111FB">
      <w:pPr>
        <w:spacing w:before="60" w:after="60"/>
        <w:rPr>
          <w:rFonts w:ascii="Verdana" w:hAnsi="Verdana"/>
        </w:rPr>
      </w:pPr>
      <w:r w:rsidRPr="009E0370">
        <w:rPr>
          <w:rFonts w:ascii="Verdana" w:hAnsi="Verdana"/>
        </w:rPr>
        <w:t xml:space="preserve">The highest number of inpatient falls occurred within Ysbyty Cwm Cynon and Ysbyty Cwm Rhondda. This was followed by Medical and Trauma &amp; Orthopaedic wards at Prince Charles Hospital. </w:t>
      </w:r>
    </w:p>
    <w:p w:rsidR="005111FB" w:rsidRPr="009E0370" w:rsidRDefault="005111FB" w:rsidP="005111FB">
      <w:pPr>
        <w:spacing w:before="60" w:after="60"/>
        <w:rPr>
          <w:rFonts w:ascii="Verdana" w:hAnsi="Verdana"/>
        </w:rPr>
      </w:pPr>
      <w:r w:rsidRPr="009E0370">
        <w:rPr>
          <w:rFonts w:ascii="Verdana" w:hAnsi="Verdana"/>
        </w:rPr>
        <w:t xml:space="preserve">Currently only total numbers are reported. The move to add report using ‘per 1000 bed days’ is in planning and this data has been requested by the data team. </w:t>
      </w:r>
    </w:p>
    <w:p w:rsidR="005111FB" w:rsidRPr="009E0370" w:rsidRDefault="005111FB" w:rsidP="005111FB">
      <w:pPr>
        <w:spacing w:before="60" w:after="60"/>
        <w:rPr>
          <w:rFonts w:ascii="Verdana" w:hAnsi="Verdana"/>
        </w:rPr>
      </w:pPr>
      <w:r w:rsidRPr="009E0370">
        <w:rPr>
          <w:rFonts w:ascii="Verdana" w:hAnsi="Verdana"/>
        </w:rPr>
        <w:t>Over the past 12 months, a total of 3063 falls were reported in the Health Board of which 137 caused harm (11 months of CTM). An improvement trajectory of 20% reduction in falls with harms is planned. Progress against this will be monitored and supported through the falls prevention group which will be re-established shortly. The first step to the improvement will be to ensure that there is data accuracy.</w:t>
      </w:r>
    </w:p>
    <w:p w:rsidR="005111FB" w:rsidRDefault="005111FB" w:rsidP="005111FB">
      <w:pPr>
        <w:spacing w:before="60" w:after="60"/>
      </w:pPr>
    </w:p>
    <w:p w:rsidR="00131F6A" w:rsidRPr="00131F6A" w:rsidRDefault="00D016A6" w:rsidP="00131F6A">
      <w:pPr>
        <w:jc w:val="both"/>
        <w:rPr>
          <w:rFonts w:ascii="Verdana" w:hAnsi="Verdana"/>
          <w:b/>
          <w:color w:val="FF0000"/>
        </w:rPr>
      </w:pPr>
      <w:r w:rsidRPr="002B1DC4">
        <w:rPr>
          <w:rFonts w:ascii="Verdana" w:hAnsi="Verdana"/>
          <w:b/>
        </w:rPr>
        <w:t>Healthcare Acquired</w:t>
      </w:r>
      <w:r w:rsidR="009E0370">
        <w:rPr>
          <w:rFonts w:ascii="Verdana" w:hAnsi="Verdana"/>
          <w:b/>
        </w:rPr>
        <w:t xml:space="preserve"> </w:t>
      </w:r>
      <w:r w:rsidR="00F13DDA">
        <w:rPr>
          <w:noProof/>
        </w:rPr>
        <w:drawing>
          <wp:anchor distT="0" distB="0" distL="114300" distR="114300" simplePos="0" relativeHeight="251949568" behindDoc="0" locked="0" layoutInCell="1" allowOverlap="1" wp14:anchorId="04903603" wp14:editId="7C773ECF">
            <wp:simplePos x="0" y="0"/>
            <wp:positionH relativeFrom="column">
              <wp:posOffset>4981575</wp:posOffset>
            </wp:positionH>
            <wp:positionV relativeFrom="paragraph">
              <wp:posOffset>180975</wp:posOffset>
            </wp:positionV>
            <wp:extent cx="4781550" cy="2714625"/>
            <wp:effectExtent l="0" t="0" r="0" b="9525"/>
            <wp:wrapSquare wrapText="bothSides"/>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page">
              <wp14:pctWidth>0</wp14:pctWidth>
            </wp14:sizeRelH>
            <wp14:sizeRelV relativeFrom="page">
              <wp14:pctHeight>0</wp14:pctHeight>
            </wp14:sizeRelV>
          </wp:anchor>
        </w:drawing>
      </w:r>
      <w:r w:rsidRPr="002B1DC4">
        <w:rPr>
          <w:rFonts w:ascii="Verdana" w:hAnsi="Verdana"/>
          <w:b/>
        </w:rPr>
        <w:t>Pressure Ulcers:</w:t>
      </w:r>
      <w:r w:rsidR="00131F6A">
        <w:rPr>
          <w:rFonts w:ascii="Verdana" w:hAnsi="Verdana"/>
          <w:b/>
        </w:rPr>
        <w:t xml:space="preserve"> </w:t>
      </w:r>
    </w:p>
    <w:p w:rsidR="00D574E1" w:rsidRDefault="00D574E1" w:rsidP="000A6BA8">
      <w:pPr>
        <w:jc w:val="both"/>
        <w:rPr>
          <w:rFonts w:ascii="Verdana" w:hAnsi="Verdana"/>
        </w:rPr>
      </w:pPr>
      <w:r>
        <w:rPr>
          <w:rFonts w:ascii="Verdana" w:hAnsi="Verdana"/>
        </w:rPr>
        <w:t xml:space="preserve">The highest number of pressure ulcers incidents reported occurred within the Patient’s home with District Nursing input.  </w:t>
      </w:r>
    </w:p>
    <w:p w:rsidR="00891B66" w:rsidRDefault="00891B66" w:rsidP="000A6BA8">
      <w:pPr>
        <w:jc w:val="both"/>
        <w:rPr>
          <w:rFonts w:ascii="Verdana" w:hAnsi="Verdana"/>
        </w:rPr>
      </w:pPr>
    </w:p>
    <w:p w:rsidR="006E4D88" w:rsidRDefault="006E4D88" w:rsidP="006E4D88">
      <w:pPr>
        <w:jc w:val="both"/>
        <w:rPr>
          <w:rFonts w:ascii="Verdana" w:hAnsi="Verdana"/>
        </w:rPr>
      </w:pPr>
      <w:r>
        <w:rPr>
          <w:rFonts w:ascii="Verdana" w:hAnsi="Verdana"/>
        </w:rPr>
        <w:t>Currently</w:t>
      </w:r>
      <w:r w:rsidR="00155492">
        <w:rPr>
          <w:rFonts w:ascii="Verdana" w:hAnsi="Verdana"/>
        </w:rPr>
        <w:t>, as with falls,</w:t>
      </w:r>
      <w:r>
        <w:rPr>
          <w:rFonts w:ascii="Verdana" w:hAnsi="Verdana"/>
        </w:rPr>
        <w:t xml:space="preserve"> only total numbers are reported. The move to add report using ‘per 1000 bed days’ is in planning and this data has been requested by the data team. </w:t>
      </w:r>
    </w:p>
    <w:p w:rsidR="00155492" w:rsidRDefault="00155492" w:rsidP="006E4D88">
      <w:pPr>
        <w:jc w:val="both"/>
        <w:rPr>
          <w:rFonts w:ascii="Verdana" w:hAnsi="Verdana"/>
        </w:rPr>
      </w:pPr>
    </w:p>
    <w:p w:rsidR="00155492" w:rsidRPr="00891B66" w:rsidRDefault="00155492" w:rsidP="00155492">
      <w:pPr>
        <w:jc w:val="both"/>
        <w:rPr>
          <w:rFonts w:ascii="Verdana" w:hAnsi="Verdana"/>
        </w:rPr>
      </w:pPr>
      <w:r>
        <w:rPr>
          <w:rFonts w:ascii="Verdana" w:hAnsi="Verdana"/>
        </w:rPr>
        <w:t>Over the pa</w:t>
      </w:r>
      <w:r w:rsidR="00AE362F">
        <w:rPr>
          <w:rFonts w:ascii="Verdana" w:hAnsi="Verdana"/>
        </w:rPr>
        <w:t>st 12 months, a total of 971 hospital acquired</w:t>
      </w:r>
      <w:r>
        <w:rPr>
          <w:rFonts w:ascii="Verdana" w:hAnsi="Verdana"/>
        </w:rPr>
        <w:t xml:space="preserve"> pressure ulcers were reported across the Hea</w:t>
      </w:r>
      <w:r w:rsidR="00AE362F">
        <w:rPr>
          <w:rFonts w:ascii="Verdana" w:hAnsi="Verdana"/>
        </w:rPr>
        <w:t>lth Board of which 51</w:t>
      </w:r>
      <w:r>
        <w:rPr>
          <w:rFonts w:ascii="Verdana" w:hAnsi="Verdana"/>
        </w:rPr>
        <w:t xml:space="preserve"> were Grade 3 and 4s (11 months of CTM). An improvement trajectory of 50% reduction in Grade 3 and 4s is planned. Progress against this will be monitored and supported through the pressure ulcer improvement group which will also be re-established shortly.</w:t>
      </w:r>
      <w:r w:rsidR="00097451">
        <w:rPr>
          <w:rFonts w:ascii="Verdana" w:hAnsi="Verdana"/>
        </w:rPr>
        <w:t xml:space="preserve"> The first step to the improvement will be to ensure that there is data accuracy. </w:t>
      </w:r>
    </w:p>
    <w:p w:rsidR="00D016A6" w:rsidRPr="002B1DC4" w:rsidRDefault="00D016A6" w:rsidP="000A6BA8">
      <w:pPr>
        <w:jc w:val="both"/>
        <w:rPr>
          <w:rFonts w:ascii="Verdana" w:hAnsi="Verdana"/>
          <w:b/>
        </w:rPr>
      </w:pPr>
    </w:p>
    <w:p w:rsidR="00D016A6" w:rsidRPr="002B1DC4" w:rsidRDefault="00D016A6" w:rsidP="000A6BA8">
      <w:pPr>
        <w:jc w:val="both"/>
        <w:rPr>
          <w:rFonts w:ascii="Verdana" w:hAnsi="Verdana"/>
          <w:b/>
        </w:rPr>
      </w:pPr>
      <w:r w:rsidRPr="002B1DC4">
        <w:rPr>
          <w:rFonts w:ascii="Verdana" w:hAnsi="Verdana"/>
          <w:b/>
        </w:rPr>
        <w:t xml:space="preserve">Hospital Acquired Thrombosis </w:t>
      </w:r>
      <w:r w:rsidR="005D17C3" w:rsidRPr="002B1DC4">
        <w:rPr>
          <w:rFonts w:ascii="Verdana" w:hAnsi="Verdana"/>
          <w:b/>
        </w:rPr>
        <w:t xml:space="preserve">(HAT) </w:t>
      </w:r>
      <w:r w:rsidRPr="002B1DC4">
        <w:rPr>
          <w:rFonts w:ascii="Verdana" w:hAnsi="Verdana"/>
          <w:b/>
        </w:rPr>
        <w:t xml:space="preserve">and </w:t>
      </w:r>
      <w:r w:rsidR="008518D0">
        <w:rPr>
          <w:rFonts w:ascii="Verdana" w:hAnsi="Verdana"/>
          <w:b/>
        </w:rPr>
        <w:t>Venous Thromoboembolism (</w:t>
      </w:r>
      <w:r w:rsidRPr="002B1DC4">
        <w:rPr>
          <w:rFonts w:ascii="Verdana" w:hAnsi="Verdana"/>
          <w:b/>
        </w:rPr>
        <w:t>VTE</w:t>
      </w:r>
      <w:r w:rsidR="008518D0">
        <w:rPr>
          <w:rFonts w:ascii="Verdana" w:hAnsi="Verdana"/>
          <w:b/>
        </w:rPr>
        <w:t>)</w:t>
      </w:r>
      <w:r w:rsidRPr="002B1DC4">
        <w:rPr>
          <w:rFonts w:ascii="Verdana" w:hAnsi="Verdana"/>
          <w:b/>
        </w:rPr>
        <w:t xml:space="preserve"> assessments:</w:t>
      </w:r>
    </w:p>
    <w:p w:rsidR="005D17C3" w:rsidRPr="00BA73EB" w:rsidRDefault="00B95211" w:rsidP="000A6BA8">
      <w:pPr>
        <w:jc w:val="both"/>
        <w:rPr>
          <w:rFonts w:ascii="Verdana" w:hAnsi="Verdana"/>
        </w:rPr>
      </w:pPr>
      <w:r>
        <w:rPr>
          <w:rFonts w:ascii="Verdana" w:hAnsi="Verdana"/>
        </w:rPr>
        <w:t>No further information is available from the last report. An update will be provided following the next VTE committee.</w:t>
      </w:r>
    </w:p>
    <w:p w:rsidR="00D016A6" w:rsidRPr="00BA73EB" w:rsidRDefault="00D016A6" w:rsidP="000A6BA8">
      <w:pPr>
        <w:jc w:val="both"/>
        <w:rPr>
          <w:rFonts w:ascii="Verdana" w:hAnsi="Verdana"/>
          <w:b/>
        </w:rPr>
      </w:pPr>
    </w:p>
    <w:p w:rsidR="00D016A6" w:rsidRPr="00BA73EB" w:rsidRDefault="00D016A6" w:rsidP="000A6BA8">
      <w:pPr>
        <w:jc w:val="both"/>
        <w:rPr>
          <w:rFonts w:ascii="Verdana" w:hAnsi="Verdana"/>
          <w:b/>
        </w:rPr>
      </w:pPr>
      <w:r w:rsidRPr="00BA73EB">
        <w:rPr>
          <w:rFonts w:ascii="Verdana" w:hAnsi="Verdana"/>
          <w:b/>
        </w:rPr>
        <w:t>Hospital Cardiac Arrests and NEWS Training:</w:t>
      </w:r>
    </w:p>
    <w:p w:rsidR="00D016A6" w:rsidRDefault="00342D9A" w:rsidP="000A6BA8">
      <w:pPr>
        <w:jc w:val="both"/>
        <w:rPr>
          <w:rFonts w:ascii="Verdana" w:hAnsi="Verdana"/>
        </w:rPr>
      </w:pPr>
      <w:r>
        <w:rPr>
          <w:rFonts w:ascii="Verdana" w:hAnsi="Verdana"/>
        </w:rPr>
        <w:t>A separate paper on Rapid Response to Acute Illness Learning Set (RRAILS) is presented to the Q&amp;S Committee.</w:t>
      </w:r>
    </w:p>
    <w:p w:rsidR="00342D9A" w:rsidRPr="00BA73EB" w:rsidRDefault="00342D9A" w:rsidP="000A6BA8">
      <w:pPr>
        <w:jc w:val="both"/>
        <w:rPr>
          <w:rFonts w:ascii="Verdana" w:hAnsi="Verdana"/>
          <w:b/>
        </w:rPr>
      </w:pPr>
    </w:p>
    <w:p w:rsidR="000A6BA8" w:rsidRPr="00BA73EB" w:rsidRDefault="000A6BA8" w:rsidP="000A6BA8">
      <w:pPr>
        <w:jc w:val="both"/>
        <w:rPr>
          <w:rFonts w:ascii="Verdana" w:hAnsi="Verdana"/>
          <w:b/>
        </w:rPr>
      </w:pPr>
      <w:r w:rsidRPr="00BA73EB">
        <w:rPr>
          <w:rFonts w:ascii="Verdana" w:hAnsi="Verdana"/>
          <w:b/>
        </w:rPr>
        <w:t>Infection Prevention and Control:</w:t>
      </w:r>
    </w:p>
    <w:p w:rsidR="00294C22" w:rsidRDefault="00294C22" w:rsidP="00294C22">
      <w:pPr>
        <w:rPr>
          <w:rFonts w:ascii="Verdana" w:hAnsi="Verdana" w:cs="Arial"/>
          <w:szCs w:val="24"/>
        </w:rPr>
      </w:pPr>
      <w:r>
        <w:rPr>
          <w:rFonts w:ascii="Verdana" w:hAnsi="Verdana" w:cs="Arial"/>
          <w:szCs w:val="24"/>
        </w:rPr>
        <w:t>The IP&amp;C team report little change since the report in November.</w:t>
      </w:r>
    </w:p>
    <w:p w:rsidR="00294C22" w:rsidRDefault="00294C22" w:rsidP="00294C22">
      <w:pPr>
        <w:rPr>
          <w:rFonts w:ascii="Verdana" w:hAnsi="Verdana" w:cs="Arial"/>
          <w:szCs w:val="24"/>
        </w:rPr>
      </w:pPr>
    </w:p>
    <w:p w:rsidR="00482B3D" w:rsidRDefault="00482B3D">
      <w:pPr>
        <w:rPr>
          <w:rFonts w:ascii="Verdana" w:hAnsi="Verdana" w:cs="Arial"/>
          <w:b/>
          <w:szCs w:val="24"/>
        </w:rPr>
      </w:pPr>
      <w:r>
        <w:rPr>
          <w:rFonts w:ascii="Verdana" w:hAnsi="Verdana" w:cs="Arial"/>
          <w:b/>
          <w:szCs w:val="24"/>
        </w:rPr>
        <w:br w:type="page"/>
      </w:r>
    </w:p>
    <w:p w:rsidR="00D23C1C" w:rsidRDefault="00294C22" w:rsidP="00294C22">
      <w:pPr>
        <w:rPr>
          <w:rFonts w:ascii="Verdana" w:hAnsi="Verdana" w:cs="Arial"/>
          <w:szCs w:val="24"/>
        </w:rPr>
      </w:pPr>
      <w:r w:rsidRPr="00D23C1C">
        <w:rPr>
          <w:rFonts w:ascii="Verdana" w:hAnsi="Verdana" w:cs="Arial"/>
          <w:b/>
          <w:szCs w:val="24"/>
        </w:rPr>
        <w:t>CDifficile</w:t>
      </w:r>
      <w:r w:rsidR="00D23C1C">
        <w:rPr>
          <w:rFonts w:ascii="Verdana" w:hAnsi="Verdana" w:cs="Arial"/>
          <w:szCs w:val="24"/>
        </w:rPr>
        <w:t xml:space="preserve"> </w:t>
      </w:r>
    </w:p>
    <w:p w:rsidR="00C66382" w:rsidRDefault="00294C22" w:rsidP="00294C22">
      <w:pPr>
        <w:rPr>
          <w:rFonts w:ascii="Verdana" w:hAnsi="Verdana" w:cs="Arial"/>
          <w:szCs w:val="24"/>
        </w:rPr>
      </w:pPr>
      <w:r>
        <w:rPr>
          <w:rFonts w:ascii="Verdana" w:hAnsi="Verdana" w:cs="Arial"/>
          <w:szCs w:val="24"/>
        </w:rPr>
        <w:t>The Health Board is not on</w:t>
      </w:r>
      <w:r w:rsidRPr="00294C22">
        <w:rPr>
          <w:rFonts w:ascii="Verdana" w:hAnsi="Verdana" w:cs="Arial"/>
          <w:szCs w:val="24"/>
        </w:rPr>
        <w:t xml:space="preserve"> trajectory to meet the expectation. The IPC team is working with clinicians to improve the RCA process and realign policies</w:t>
      </w:r>
      <w:r>
        <w:rPr>
          <w:rFonts w:ascii="Verdana" w:hAnsi="Verdana" w:cs="Arial"/>
          <w:szCs w:val="24"/>
        </w:rPr>
        <w:t xml:space="preserve"> </w:t>
      </w:r>
      <w:r w:rsidRPr="00294C22">
        <w:rPr>
          <w:rFonts w:ascii="Verdana" w:hAnsi="Verdana" w:cs="Arial"/>
          <w:szCs w:val="24"/>
        </w:rPr>
        <w:t>/ procedures to standardise practice. Better engagement is need from the medical staff in order to carry out the RCA in a timely manner.</w:t>
      </w:r>
    </w:p>
    <w:p w:rsidR="00294C22" w:rsidRDefault="00294C22" w:rsidP="00294C22">
      <w:pPr>
        <w:rPr>
          <w:rFonts w:ascii="Verdana" w:hAnsi="Verdana" w:cs="Arial"/>
          <w:szCs w:val="24"/>
        </w:rPr>
      </w:pPr>
      <w:r w:rsidRPr="00294C22">
        <w:rPr>
          <w:rFonts w:ascii="Verdana" w:hAnsi="Verdana" w:cs="Arial"/>
          <w:szCs w:val="24"/>
        </w:rPr>
        <w:t xml:space="preserve"> </w:t>
      </w:r>
    </w:p>
    <w:p w:rsidR="00C66382" w:rsidRDefault="00C66382" w:rsidP="00C66382">
      <w:pPr>
        <w:jc w:val="center"/>
        <w:rPr>
          <w:rFonts w:ascii="Verdana" w:hAnsi="Verdana"/>
          <w:b/>
          <w:bCs/>
          <w:color w:val="000000"/>
          <w:szCs w:val="24"/>
        </w:rPr>
      </w:pPr>
      <w:r w:rsidRPr="00A3216D">
        <w:rPr>
          <w:rFonts w:ascii="Verdana" w:hAnsi="Verdana"/>
          <w:b/>
          <w:bCs/>
          <w:color w:val="000000"/>
          <w:szCs w:val="24"/>
        </w:rPr>
        <w:t xml:space="preserve">Cwm Taf </w:t>
      </w:r>
      <w:r>
        <w:rPr>
          <w:rFonts w:ascii="Verdana" w:hAnsi="Verdana"/>
          <w:b/>
          <w:szCs w:val="24"/>
        </w:rPr>
        <w:t xml:space="preserve">Morgannwg </w:t>
      </w:r>
      <w:r w:rsidRPr="00A3216D">
        <w:rPr>
          <w:rFonts w:ascii="Verdana" w:hAnsi="Verdana"/>
          <w:b/>
          <w:bCs/>
          <w:color w:val="000000"/>
          <w:szCs w:val="24"/>
        </w:rPr>
        <w:t>University Health Board cumulative monthly numbers of C. difficile</w:t>
      </w:r>
    </w:p>
    <w:p w:rsidR="00C66382" w:rsidRPr="00A3216D" w:rsidRDefault="00C66382" w:rsidP="00C66382">
      <w:pPr>
        <w:jc w:val="center"/>
        <w:rPr>
          <w:rFonts w:ascii="Verdana" w:hAnsi="Verdana"/>
          <w:b/>
          <w:bCs/>
          <w:color w:val="000000"/>
          <w:szCs w:val="24"/>
        </w:rPr>
      </w:pPr>
      <w:r>
        <w:rPr>
          <w:rFonts w:ascii="Verdana" w:hAnsi="Verdana"/>
          <w:b/>
          <w:bCs/>
          <w:color w:val="000000"/>
          <w:szCs w:val="24"/>
        </w:rPr>
        <w:t>f</w:t>
      </w:r>
      <w:r w:rsidRPr="00A3216D">
        <w:rPr>
          <w:rFonts w:ascii="Verdana" w:hAnsi="Verdana"/>
          <w:b/>
          <w:bCs/>
          <w:color w:val="000000"/>
          <w:szCs w:val="24"/>
        </w:rPr>
        <w:t>or</w:t>
      </w:r>
      <w:r>
        <w:rPr>
          <w:rFonts w:ascii="Verdana" w:hAnsi="Verdana"/>
          <w:b/>
          <w:bCs/>
          <w:color w:val="000000"/>
          <w:szCs w:val="24"/>
        </w:rPr>
        <w:t xml:space="preserve"> April </w:t>
      </w:r>
      <w:r w:rsidRPr="00A3216D">
        <w:rPr>
          <w:rFonts w:ascii="Verdana" w:hAnsi="Verdana"/>
          <w:b/>
          <w:bCs/>
          <w:color w:val="000000"/>
          <w:szCs w:val="24"/>
        </w:rPr>
        <w:t xml:space="preserve">to </w:t>
      </w:r>
      <w:r>
        <w:rPr>
          <w:rFonts w:ascii="Verdana" w:hAnsi="Verdana"/>
          <w:b/>
          <w:bCs/>
          <w:color w:val="000000"/>
          <w:szCs w:val="24"/>
        </w:rPr>
        <w:t>December 2019</w:t>
      </w:r>
      <w:r w:rsidRPr="00A3216D">
        <w:rPr>
          <w:rFonts w:ascii="Verdana" w:hAnsi="Verdana"/>
          <w:b/>
          <w:bCs/>
          <w:color w:val="000000"/>
          <w:szCs w:val="24"/>
        </w:rPr>
        <w:t xml:space="preserve"> again</w:t>
      </w:r>
      <w:r>
        <w:rPr>
          <w:rFonts w:ascii="Verdana" w:hAnsi="Verdana"/>
          <w:b/>
          <w:bCs/>
          <w:color w:val="000000"/>
          <w:szCs w:val="24"/>
        </w:rPr>
        <w:t>st the equivalent period in 2018/19</w:t>
      </w:r>
    </w:p>
    <w:p w:rsidR="000E6C0C" w:rsidRPr="00294C22" w:rsidRDefault="000E6C0C" w:rsidP="00294C22">
      <w:pPr>
        <w:rPr>
          <w:rFonts w:ascii="Verdana" w:hAnsi="Verdana" w:cs="Arial"/>
          <w:szCs w:val="24"/>
        </w:rPr>
      </w:pPr>
    </w:p>
    <w:p w:rsidR="00294C22" w:rsidRPr="00294C22" w:rsidRDefault="000E6C0C" w:rsidP="000E6C0C">
      <w:pPr>
        <w:jc w:val="center"/>
        <w:rPr>
          <w:rFonts w:ascii="Verdana" w:hAnsi="Verdana" w:cs="Arial"/>
          <w:szCs w:val="24"/>
        </w:rPr>
      </w:pPr>
      <w:r w:rsidRPr="00E42B35">
        <w:rPr>
          <w:noProof/>
        </w:rPr>
        <w:drawing>
          <wp:inline distT="0" distB="0" distL="0" distR="0" wp14:anchorId="5E9FA733" wp14:editId="2DDE4803">
            <wp:extent cx="5046980" cy="1223010"/>
            <wp:effectExtent l="0" t="0" r="127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46980" cy="1223010"/>
                    </a:xfrm>
                    <a:prstGeom prst="rect">
                      <a:avLst/>
                    </a:prstGeom>
                    <a:noFill/>
                    <a:ln>
                      <a:noFill/>
                    </a:ln>
                  </pic:spPr>
                </pic:pic>
              </a:graphicData>
            </a:graphic>
          </wp:inline>
        </w:drawing>
      </w:r>
    </w:p>
    <w:p w:rsidR="009E0370" w:rsidRDefault="009E0370" w:rsidP="00294C22">
      <w:pPr>
        <w:rPr>
          <w:rFonts w:ascii="Verdana" w:hAnsi="Verdana" w:cs="Arial"/>
          <w:b/>
          <w:szCs w:val="24"/>
        </w:rPr>
      </w:pPr>
    </w:p>
    <w:p w:rsidR="00D23C1C" w:rsidRDefault="00294C22" w:rsidP="00294C22">
      <w:pPr>
        <w:rPr>
          <w:rFonts w:ascii="Verdana" w:hAnsi="Verdana" w:cs="Arial"/>
          <w:szCs w:val="24"/>
        </w:rPr>
      </w:pPr>
      <w:r w:rsidRPr="00D23C1C">
        <w:rPr>
          <w:rFonts w:ascii="Verdana" w:hAnsi="Verdana" w:cs="Arial"/>
          <w:b/>
          <w:szCs w:val="24"/>
        </w:rPr>
        <w:t>S.aureus bacteraemia</w:t>
      </w:r>
    </w:p>
    <w:p w:rsidR="00294C22" w:rsidRDefault="00294C22" w:rsidP="00294C22">
      <w:pPr>
        <w:rPr>
          <w:rFonts w:ascii="Verdana" w:hAnsi="Verdana" w:cs="Arial"/>
          <w:szCs w:val="24"/>
        </w:rPr>
      </w:pPr>
      <w:r>
        <w:rPr>
          <w:rFonts w:ascii="Verdana" w:hAnsi="Verdana" w:cs="Arial"/>
          <w:szCs w:val="24"/>
        </w:rPr>
        <w:t>The Health Board reports</w:t>
      </w:r>
      <w:r w:rsidRPr="00294C22">
        <w:rPr>
          <w:rFonts w:ascii="Verdana" w:hAnsi="Verdana" w:cs="Arial"/>
          <w:szCs w:val="24"/>
        </w:rPr>
        <w:t xml:space="preserve"> fewer cases compared to the same period last year. Again, the IPC team perform a RCA for all IV device associated bacteraemia. 54% of the S.aureus bacteraemia are detected &lt;48 hours following the patients admission and deemed to be a community acquired infection.</w:t>
      </w:r>
    </w:p>
    <w:p w:rsidR="00CD328C" w:rsidRDefault="00CD328C" w:rsidP="00294C22">
      <w:pPr>
        <w:rPr>
          <w:rFonts w:ascii="Verdana" w:hAnsi="Verdana" w:cs="Arial"/>
          <w:szCs w:val="24"/>
        </w:rPr>
      </w:pPr>
    </w:p>
    <w:p w:rsidR="00CD328C" w:rsidRPr="00C72823" w:rsidRDefault="00CD328C" w:rsidP="00CD328C">
      <w:pPr>
        <w:pStyle w:val="NoSpacing"/>
        <w:jc w:val="center"/>
        <w:rPr>
          <w:rFonts w:ascii="Verdana" w:hAnsi="Verdana"/>
          <w:b/>
          <w:sz w:val="24"/>
          <w:szCs w:val="24"/>
        </w:rPr>
      </w:pPr>
      <w:r w:rsidRPr="00C72823">
        <w:rPr>
          <w:rFonts w:ascii="Verdana" w:hAnsi="Verdana"/>
          <w:b/>
          <w:sz w:val="24"/>
          <w:szCs w:val="24"/>
        </w:rPr>
        <w:t xml:space="preserve">Cwm Taf </w:t>
      </w:r>
      <w:r>
        <w:rPr>
          <w:rFonts w:ascii="Verdana" w:hAnsi="Verdana"/>
          <w:b/>
          <w:sz w:val="24"/>
          <w:szCs w:val="24"/>
        </w:rPr>
        <w:t xml:space="preserve">Morgannwg </w:t>
      </w:r>
      <w:r w:rsidRPr="00C72823">
        <w:rPr>
          <w:rFonts w:ascii="Verdana" w:hAnsi="Verdana"/>
          <w:b/>
          <w:sz w:val="24"/>
          <w:szCs w:val="24"/>
        </w:rPr>
        <w:t>University Health Board cumulative monthly numbers of MRSA bacteraemia</w:t>
      </w:r>
    </w:p>
    <w:p w:rsidR="00CD328C" w:rsidRPr="005B291B" w:rsidRDefault="00CD328C" w:rsidP="00CD328C">
      <w:pPr>
        <w:pStyle w:val="NoSpacing"/>
        <w:jc w:val="center"/>
        <w:rPr>
          <w:rFonts w:ascii="Verdana" w:hAnsi="Verdana"/>
          <w:b/>
          <w:sz w:val="24"/>
          <w:szCs w:val="24"/>
        </w:rPr>
      </w:pPr>
      <w:r>
        <w:rPr>
          <w:rFonts w:ascii="Verdana" w:hAnsi="Verdana"/>
          <w:b/>
          <w:sz w:val="24"/>
          <w:szCs w:val="24"/>
        </w:rPr>
        <w:t xml:space="preserve">for April </w:t>
      </w:r>
      <w:r w:rsidRPr="00C72823">
        <w:rPr>
          <w:rFonts w:ascii="Verdana" w:hAnsi="Verdana"/>
          <w:b/>
          <w:sz w:val="24"/>
          <w:szCs w:val="24"/>
        </w:rPr>
        <w:t xml:space="preserve">to </w:t>
      </w:r>
      <w:r>
        <w:rPr>
          <w:rFonts w:ascii="Verdana" w:hAnsi="Verdana"/>
          <w:b/>
          <w:sz w:val="24"/>
          <w:szCs w:val="24"/>
        </w:rPr>
        <w:t>December 2019</w:t>
      </w:r>
      <w:r w:rsidRPr="00C72823">
        <w:rPr>
          <w:rFonts w:ascii="Verdana" w:hAnsi="Verdana"/>
          <w:b/>
          <w:sz w:val="24"/>
          <w:szCs w:val="24"/>
        </w:rPr>
        <w:t xml:space="preserve"> again</w:t>
      </w:r>
      <w:r>
        <w:rPr>
          <w:rFonts w:ascii="Verdana" w:hAnsi="Verdana"/>
          <w:b/>
          <w:sz w:val="24"/>
          <w:szCs w:val="24"/>
        </w:rPr>
        <w:t>st the equivalent period in 2018/19</w:t>
      </w:r>
    </w:p>
    <w:p w:rsidR="00CD328C" w:rsidRDefault="00CD328C" w:rsidP="00294C22">
      <w:pPr>
        <w:rPr>
          <w:rFonts w:ascii="Verdana" w:hAnsi="Verdana" w:cs="Arial"/>
          <w:szCs w:val="24"/>
        </w:rPr>
      </w:pPr>
    </w:p>
    <w:p w:rsidR="00CD328C" w:rsidRPr="00294C22" w:rsidRDefault="00CD328C" w:rsidP="00CD328C">
      <w:pPr>
        <w:jc w:val="center"/>
        <w:rPr>
          <w:rFonts w:ascii="Verdana" w:hAnsi="Verdana" w:cs="Arial"/>
          <w:szCs w:val="24"/>
        </w:rPr>
      </w:pPr>
      <w:r w:rsidRPr="00E42B35">
        <w:rPr>
          <w:noProof/>
        </w:rPr>
        <w:drawing>
          <wp:inline distT="0" distB="0" distL="0" distR="0" wp14:anchorId="75EFE21B" wp14:editId="0EC22BB5">
            <wp:extent cx="5697999" cy="135318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08348" cy="1355643"/>
                    </a:xfrm>
                    <a:prstGeom prst="rect">
                      <a:avLst/>
                    </a:prstGeom>
                    <a:noFill/>
                    <a:ln>
                      <a:noFill/>
                    </a:ln>
                  </pic:spPr>
                </pic:pic>
              </a:graphicData>
            </a:graphic>
          </wp:inline>
        </w:drawing>
      </w:r>
    </w:p>
    <w:p w:rsidR="00CD328C" w:rsidRDefault="00CD328C" w:rsidP="00294C22">
      <w:pPr>
        <w:rPr>
          <w:rFonts w:ascii="Verdana" w:hAnsi="Verdana" w:cs="Arial"/>
          <w:szCs w:val="24"/>
        </w:rPr>
      </w:pPr>
    </w:p>
    <w:p w:rsidR="00482B3D" w:rsidRDefault="00482B3D">
      <w:pPr>
        <w:rPr>
          <w:rFonts w:ascii="Verdana" w:eastAsia="Calibri" w:hAnsi="Verdana"/>
          <w:b/>
          <w:szCs w:val="24"/>
          <w:lang w:eastAsia="en-US"/>
        </w:rPr>
      </w:pPr>
      <w:r>
        <w:rPr>
          <w:rFonts w:ascii="Verdana" w:hAnsi="Verdana"/>
          <w:b/>
          <w:szCs w:val="24"/>
        </w:rPr>
        <w:br w:type="page"/>
      </w:r>
    </w:p>
    <w:p w:rsidR="00D23C1C" w:rsidRPr="00617A5F" w:rsidRDefault="00D23C1C" w:rsidP="00D23C1C">
      <w:pPr>
        <w:pStyle w:val="NoSpacing"/>
        <w:jc w:val="center"/>
        <w:rPr>
          <w:rFonts w:ascii="Verdana" w:hAnsi="Verdana"/>
          <w:b/>
          <w:sz w:val="24"/>
          <w:szCs w:val="24"/>
        </w:rPr>
      </w:pPr>
      <w:r w:rsidRPr="00C72823">
        <w:rPr>
          <w:rFonts w:ascii="Verdana" w:hAnsi="Verdana"/>
          <w:b/>
          <w:sz w:val="24"/>
          <w:szCs w:val="24"/>
        </w:rPr>
        <w:t xml:space="preserve">Cwm Taf </w:t>
      </w:r>
      <w:r>
        <w:rPr>
          <w:rFonts w:ascii="Verdana" w:hAnsi="Verdana"/>
          <w:b/>
          <w:sz w:val="24"/>
          <w:szCs w:val="24"/>
        </w:rPr>
        <w:t xml:space="preserve">Morgannwg </w:t>
      </w:r>
      <w:r w:rsidRPr="00617A5F">
        <w:rPr>
          <w:rFonts w:ascii="Verdana" w:hAnsi="Verdana"/>
          <w:b/>
          <w:sz w:val="24"/>
          <w:szCs w:val="24"/>
        </w:rPr>
        <w:t>University Health Board cumulative monthly numbers of MSSA bacteraemia</w:t>
      </w:r>
    </w:p>
    <w:p w:rsidR="00D23C1C" w:rsidRDefault="00D23C1C" w:rsidP="00D23C1C">
      <w:pPr>
        <w:pStyle w:val="NoSpacing"/>
        <w:jc w:val="center"/>
        <w:rPr>
          <w:rFonts w:ascii="Verdana" w:hAnsi="Verdana"/>
          <w:b/>
          <w:sz w:val="24"/>
          <w:szCs w:val="24"/>
        </w:rPr>
      </w:pPr>
      <w:r w:rsidRPr="00617A5F">
        <w:rPr>
          <w:rFonts w:ascii="Verdana" w:hAnsi="Verdana"/>
          <w:b/>
          <w:sz w:val="24"/>
          <w:szCs w:val="24"/>
        </w:rPr>
        <w:t xml:space="preserve">for </w:t>
      </w:r>
      <w:r>
        <w:rPr>
          <w:rFonts w:ascii="Verdana" w:eastAsia="Times New Roman" w:hAnsi="Verdana"/>
          <w:b/>
          <w:bCs/>
          <w:color w:val="000000"/>
          <w:sz w:val="24"/>
          <w:szCs w:val="24"/>
          <w:lang w:eastAsia="en-GB"/>
        </w:rPr>
        <w:t xml:space="preserve">April </w:t>
      </w:r>
      <w:r w:rsidRPr="00A3216D">
        <w:rPr>
          <w:rFonts w:ascii="Verdana" w:eastAsia="Times New Roman" w:hAnsi="Verdana"/>
          <w:b/>
          <w:bCs/>
          <w:color w:val="000000"/>
          <w:sz w:val="24"/>
          <w:szCs w:val="24"/>
          <w:lang w:eastAsia="en-GB"/>
        </w:rPr>
        <w:t xml:space="preserve">to </w:t>
      </w:r>
      <w:r>
        <w:rPr>
          <w:rFonts w:ascii="Verdana" w:eastAsia="Times New Roman" w:hAnsi="Verdana"/>
          <w:b/>
          <w:bCs/>
          <w:color w:val="000000"/>
          <w:sz w:val="24"/>
          <w:szCs w:val="24"/>
          <w:lang w:eastAsia="en-GB"/>
        </w:rPr>
        <w:t>December 2019</w:t>
      </w:r>
      <w:r w:rsidRPr="00A3216D">
        <w:rPr>
          <w:rFonts w:ascii="Verdana" w:eastAsia="Times New Roman" w:hAnsi="Verdana"/>
          <w:b/>
          <w:bCs/>
          <w:color w:val="000000"/>
          <w:sz w:val="24"/>
          <w:szCs w:val="24"/>
          <w:lang w:eastAsia="en-GB"/>
        </w:rPr>
        <w:t xml:space="preserve"> </w:t>
      </w:r>
      <w:r w:rsidRPr="00C72823">
        <w:rPr>
          <w:rFonts w:ascii="Verdana" w:hAnsi="Verdana"/>
          <w:b/>
          <w:sz w:val="24"/>
          <w:szCs w:val="24"/>
        </w:rPr>
        <w:t>again</w:t>
      </w:r>
      <w:r>
        <w:rPr>
          <w:rFonts w:ascii="Verdana" w:hAnsi="Verdana"/>
          <w:b/>
          <w:sz w:val="24"/>
          <w:szCs w:val="24"/>
        </w:rPr>
        <w:t>st the equivalent period in 2018/19</w:t>
      </w:r>
    </w:p>
    <w:p w:rsidR="00D23C1C" w:rsidRDefault="00D23C1C" w:rsidP="00D23C1C">
      <w:pPr>
        <w:pStyle w:val="NoSpacing"/>
        <w:rPr>
          <w:rFonts w:ascii="Verdana" w:hAnsi="Verdana"/>
          <w:b/>
          <w:sz w:val="24"/>
          <w:szCs w:val="24"/>
        </w:rPr>
      </w:pPr>
    </w:p>
    <w:p w:rsidR="00D23C1C" w:rsidRDefault="00D23C1C" w:rsidP="00D23C1C">
      <w:pPr>
        <w:jc w:val="center"/>
        <w:rPr>
          <w:rFonts w:ascii="Verdana" w:hAnsi="Verdana" w:cs="Arial"/>
          <w:szCs w:val="24"/>
        </w:rPr>
      </w:pPr>
      <w:r>
        <w:rPr>
          <w:rFonts w:ascii="Verdana" w:hAnsi="Verdana"/>
          <w:b/>
          <w:noProof/>
          <w:sz w:val="20"/>
        </w:rPr>
        <w:drawing>
          <wp:anchor distT="0" distB="0" distL="114300" distR="114300" simplePos="0" relativeHeight="251947520" behindDoc="1" locked="0" layoutInCell="1" allowOverlap="1" wp14:anchorId="298AD91E" wp14:editId="2B6EDC7F">
            <wp:simplePos x="0" y="0"/>
            <wp:positionH relativeFrom="column">
              <wp:posOffset>2037531</wp:posOffset>
            </wp:positionH>
            <wp:positionV relativeFrom="paragraph">
              <wp:posOffset>34382</wp:posOffset>
            </wp:positionV>
            <wp:extent cx="5998845" cy="1209675"/>
            <wp:effectExtent l="0" t="0" r="1905" b="952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98845" cy="1209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3C1C" w:rsidRDefault="00D23C1C" w:rsidP="00294C22">
      <w:pPr>
        <w:rPr>
          <w:rFonts w:ascii="Verdana" w:hAnsi="Verdana" w:cs="Arial"/>
          <w:szCs w:val="24"/>
        </w:rPr>
      </w:pPr>
    </w:p>
    <w:p w:rsidR="00D23C1C" w:rsidRDefault="00D23C1C" w:rsidP="00294C22">
      <w:pPr>
        <w:rPr>
          <w:rFonts w:ascii="Verdana" w:hAnsi="Verdana" w:cs="Arial"/>
          <w:szCs w:val="24"/>
        </w:rPr>
      </w:pPr>
    </w:p>
    <w:p w:rsidR="00D23C1C" w:rsidRDefault="00D23C1C" w:rsidP="00294C22">
      <w:pPr>
        <w:rPr>
          <w:rFonts w:ascii="Verdana" w:hAnsi="Verdana" w:cs="Arial"/>
          <w:szCs w:val="24"/>
        </w:rPr>
      </w:pPr>
    </w:p>
    <w:p w:rsidR="00D23C1C" w:rsidRDefault="00D23C1C" w:rsidP="00D23C1C">
      <w:pPr>
        <w:jc w:val="center"/>
        <w:rPr>
          <w:rFonts w:ascii="Verdana" w:hAnsi="Verdana" w:cs="Arial"/>
          <w:szCs w:val="24"/>
        </w:rPr>
      </w:pPr>
    </w:p>
    <w:p w:rsidR="00D23C1C" w:rsidRDefault="00D23C1C" w:rsidP="00294C22">
      <w:pPr>
        <w:rPr>
          <w:rFonts w:ascii="Verdana" w:hAnsi="Verdana" w:cs="Arial"/>
          <w:szCs w:val="24"/>
        </w:rPr>
      </w:pPr>
    </w:p>
    <w:p w:rsidR="009E0370" w:rsidRDefault="009E0370" w:rsidP="00294C22">
      <w:pPr>
        <w:rPr>
          <w:rFonts w:ascii="Verdana" w:hAnsi="Verdana" w:cs="Arial"/>
          <w:b/>
          <w:szCs w:val="24"/>
        </w:rPr>
      </w:pPr>
    </w:p>
    <w:p w:rsidR="00B3233C" w:rsidRDefault="00294C22" w:rsidP="00294C22">
      <w:pPr>
        <w:rPr>
          <w:rFonts w:ascii="Verdana" w:hAnsi="Verdana" w:cs="Arial"/>
          <w:szCs w:val="24"/>
        </w:rPr>
      </w:pPr>
      <w:r w:rsidRPr="00B3233C">
        <w:rPr>
          <w:rFonts w:ascii="Verdana" w:hAnsi="Verdana" w:cs="Arial"/>
          <w:b/>
          <w:szCs w:val="24"/>
        </w:rPr>
        <w:t>E.coli bacteraemia</w:t>
      </w:r>
    </w:p>
    <w:p w:rsidR="00294C22" w:rsidRDefault="00103271" w:rsidP="00294C22">
      <w:pPr>
        <w:rPr>
          <w:rFonts w:ascii="Verdana" w:hAnsi="Verdana" w:cs="Arial"/>
          <w:szCs w:val="24"/>
        </w:rPr>
      </w:pPr>
      <w:r>
        <w:rPr>
          <w:rFonts w:ascii="Verdana" w:hAnsi="Verdana" w:cs="Arial"/>
          <w:szCs w:val="24"/>
        </w:rPr>
        <w:t>The Health Board is not on</w:t>
      </w:r>
      <w:r w:rsidRPr="00294C22">
        <w:rPr>
          <w:rFonts w:ascii="Verdana" w:hAnsi="Verdana" w:cs="Arial"/>
          <w:szCs w:val="24"/>
        </w:rPr>
        <w:t xml:space="preserve"> trajectory to meet the expectation </w:t>
      </w:r>
      <w:r>
        <w:rPr>
          <w:rFonts w:ascii="Verdana" w:hAnsi="Verdana" w:cs="Arial"/>
          <w:szCs w:val="24"/>
        </w:rPr>
        <w:t>but reports</w:t>
      </w:r>
      <w:r w:rsidR="00294C22" w:rsidRPr="00294C22">
        <w:rPr>
          <w:rFonts w:ascii="Verdana" w:hAnsi="Verdana" w:cs="Arial"/>
          <w:szCs w:val="24"/>
        </w:rPr>
        <w:t xml:space="preserve"> fewer cases compared to last year. 70% of the E.coli bacteraemia are detected &lt;48 hours post admission (Community acquired)</w:t>
      </w:r>
      <w:r w:rsidR="002B5810">
        <w:rPr>
          <w:rFonts w:ascii="Verdana" w:hAnsi="Verdana" w:cs="Arial"/>
          <w:szCs w:val="24"/>
        </w:rPr>
        <w:t>. The team report that resource</w:t>
      </w:r>
      <w:r w:rsidR="00294C22" w:rsidRPr="00294C22">
        <w:rPr>
          <w:rFonts w:ascii="Verdana" w:hAnsi="Verdana" w:cs="Arial"/>
          <w:szCs w:val="24"/>
        </w:rPr>
        <w:t xml:space="preserve"> is needed for a dedicated IPC service for primar</w:t>
      </w:r>
      <w:r w:rsidR="002B5810">
        <w:rPr>
          <w:rFonts w:ascii="Verdana" w:hAnsi="Verdana" w:cs="Arial"/>
          <w:szCs w:val="24"/>
        </w:rPr>
        <w:t>y care. Without this resource the team</w:t>
      </w:r>
      <w:r w:rsidR="00294C22" w:rsidRPr="00294C22">
        <w:rPr>
          <w:rFonts w:ascii="Verdana" w:hAnsi="Verdana" w:cs="Arial"/>
          <w:szCs w:val="24"/>
        </w:rPr>
        <w:t xml:space="preserve"> will not be able to </w:t>
      </w:r>
      <w:r w:rsidR="002B5810">
        <w:rPr>
          <w:rFonts w:ascii="Verdana" w:hAnsi="Verdana" w:cs="Arial"/>
          <w:szCs w:val="24"/>
        </w:rPr>
        <w:t>support the improvements required to</w:t>
      </w:r>
      <w:r w:rsidR="00294C22" w:rsidRPr="00294C22">
        <w:rPr>
          <w:rFonts w:ascii="Verdana" w:hAnsi="Verdana" w:cs="Arial"/>
          <w:szCs w:val="24"/>
        </w:rPr>
        <w:t xml:space="preserve"> reduce the E.coli and S.aureus bacteraemia.</w:t>
      </w:r>
      <w:r w:rsidR="0090253C">
        <w:rPr>
          <w:rFonts w:ascii="Verdana" w:hAnsi="Verdana" w:cs="Arial"/>
          <w:szCs w:val="24"/>
        </w:rPr>
        <w:t xml:space="preserve"> It is an expectation from </w:t>
      </w:r>
      <w:r w:rsidR="00294C22" w:rsidRPr="00294C22">
        <w:rPr>
          <w:rFonts w:ascii="Verdana" w:hAnsi="Verdana" w:cs="Arial"/>
          <w:szCs w:val="24"/>
        </w:rPr>
        <w:t>W</w:t>
      </w:r>
      <w:r w:rsidR="0090253C">
        <w:rPr>
          <w:rFonts w:ascii="Verdana" w:hAnsi="Verdana" w:cs="Arial"/>
          <w:szCs w:val="24"/>
        </w:rPr>
        <w:t xml:space="preserve">elsh </w:t>
      </w:r>
      <w:r w:rsidR="00294C22" w:rsidRPr="00294C22">
        <w:rPr>
          <w:rFonts w:ascii="Verdana" w:hAnsi="Verdana" w:cs="Arial"/>
          <w:szCs w:val="24"/>
        </w:rPr>
        <w:t>G</w:t>
      </w:r>
      <w:r w:rsidR="0090253C">
        <w:rPr>
          <w:rFonts w:ascii="Verdana" w:hAnsi="Verdana" w:cs="Arial"/>
          <w:szCs w:val="24"/>
        </w:rPr>
        <w:t>overnment that each Health Board</w:t>
      </w:r>
      <w:r w:rsidR="00294C22" w:rsidRPr="00294C22">
        <w:rPr>
          <w:rFonts w:ascii="Verdana" w:hAnsi="Verdana" w:cs="Arial"/>
          <w:szCs w:val="24"/>
        </w:rPr>
        <w:t xml:space="preserve"> in Wales will invest in this area and appoint x2 Band 7 IPC Nurses. Public Health Wales will be appointing an 8B post to coordinate the network of IPC Nurses which will be funded and managed by each of the UHBs.</w:t>
      </w:r>
    </w:p>
    <w:p w:rsidR="00B3233C" w:rsidRDefault="00B3233C" w:rsidP="00294C22">
      <w:pPr>
        <w:rPr>
          <w:rFonts w:ascii="Verdana" w:hAnsi="Verdana" w:cs="Arial"/>
          <w:szCs w:val="24"/>
        </w:rPr>
      </w:pPr>
    </w:p>
    <w:p w:rsidR="00B3233C" w:rsidRDefault="00B3233C" w:rsidP="00B3233C">
      <w:pPr>
        <w:pStyle w:val="NoSpacing"/>
        <w:ind w:firstLine="720"/>
        <w:jc w:val="center"/>
        <w:rPr>
          <w:rFonts w:ascii="Verdana" w:hAnsi="Verdana"/>
          <w:b/>
          <w:sz w:val="24"/>
          <w:szCs w:val="24"/>
        </w:rPr>
      </w:pPr>
      <w:r w:rsidRPr="00C72823">
        <w:rPr>
          <w:rFonts w:ascii="Verdana" w:hAnsi="Verdana"/>
          <w:b/>
          <w:sz w:val="24"/>
          <w:szCs w:val="24"/>
        </w:rPr>
        <w:t xml:space="preserve">Cwm Taf </w:t>
      </w:r>
      <w:r>
        <w:rPr>
          <w:rFonts w:ascii="Verdana" w:hAnsi="Verdana"/>
          <w:b/>
          <w:sz w:val="24"/>
          <w:szCs w:val="24"/>
        </w:rPr>
        <w:t xml:space="preserve">Morgannwg </w:t>
      </w:r>
      <w:r w:rsidRPr="00C72823">
        <w:rPr>
          <w:rFonts w:ascii="Verdana" w:hAnsi="Verdana"/>
          <w:b/>
          <w:sz w:val="24"/>
          <w:szCs w:val="24"/>
        </w:rPr>
        <w:t xml:space="preserve">University Health Board cumulative monthly numbers of </w:t>
      </w:r>
      <w:r>
        <w:rPr>
          <w:rFonts w:ascii="Verdana" w:hAnsi="Verdana"/>
          <w:b/>
          <w:sz w:val="24"/>
          <w:szCs w:val="24"/>
        </w:rPr>
        <w:t>E. coli</w:t>
      </w:r>
      <w:r w:rsidRPr="00C72823">
        <w:rPr>
          <w:rFonts w:ascii="Verdana" w:hAnsi="Verdana"/>
          <w:b/>
          <w:sz w:val="24"/>
          <w:szCs w:val="24"/>
        </w:rPr>
        <w:t xml:space="preserve"> bacteraemia</w:t>
      </w:r>
    </w:p>
    <w:p w:rsidR="00B3233C" w:rsidRDefault="00B3233C" w:rsidP="00B3233C">
      <w:pPr>
        <w:pStyle w:val="NoSpacing"/>
        <w:ind w:firstLine="720"/>
        <w:jc w:val="center"/>
        <w:rPr>
          <w:rFonts w:ascii="Verdana" w:hAnsi="Verdana"/>
          <w:b/>
          <w:sz w:val="24"/>
          <w:szCs w:val="24"/>
        </w:rPr>
      </w:pPr>
      <w:r>
        <w:rPr>
          <w:rFonts w:ascii="Verdana" w:hAnsi="Verdana"/>
          <w:b/>
          <w:sz w:val="24"/>
          <w:szCs w:val="24"/>
        </w:rPr>
        <w:t xml:space="preserve">for </w:t>
      </w:r>
      <w:r>
        <w:rPr>
          <w:rFonts w:ascii="Verdana" w:eastAsia="Times New Roman" w:hAnsi="Verdana"/>
          <w:b/>
          <w:bCs/>
          <w:color w:val="000000"/>
          <w:sz w:val="24"/>
          <w:szCs w:val="24"/>
          <w:lang w:eastAsia="en-GB"/>
        </w:rPr>
        <w:t xml:space="preserve">April </w:t>
      </w:r>
      <w:r w:rsidRPr="00A3216D">
        <w:rPr>
          <w:rFonts w:ascii="Verdana" w:eastAsia="Times New Roman" w:hAnsi="Verdana"/>
          <w:b/>
          <w:bCs/>
          <w:color w:val="000000"/>
          <w:sz w:val="24"/>
          <w:szCs w:val="24"/>
          <w:lang w:eastAsia="en-GB"/>
        </w:rPr>
        <w:t xml:space="preserve">to </w:t>
      </w:r>
      <w:r>
        <w:rPr>
          <w:rFonts w:ascii="Verdana" w:eastAsia="Times New Roman" w:hAnsi="Verdana"/>
          <w:b/>
          <w:bCs/>
          <w:color w:val="000000"/>
          <w:sz w:val="24"/>
          <w:szCs w:val="24"/>
          <w:lang w:eastAsia="en-GB"/>
        </w:rPr>
        <w:t>December 2019</w:t>
      </w:r>
      <w:r w:rsidRPr="00A3216D">
        <w:rPr>
          <w:rFonts w:ascii="Verdana" w:eastAsia="Times New Roman" w:hAnsi="Verdana"/>
          <w:b/>
          <w:bCs/>
          <w:color w:val="000000"/>
          <w:sz w:val="24"/>
          <w:szCs w:val="24"/>
          <w:lang w:eastAsia="en-GB"/>
        </w:rPr>
        <w:t xml:space="preserve"> </w:t>
      </w:r>
      <w:r w:rsidRPr="00C72823">
        <w:rPr>
          <w:rFonts w:ascii="Verdana" w:hAnsi="Verdana"/>
          <w:b/>
          <w:sz w:val="24"/>
          <w:szCs w:val="24"/>
        </w:rPr>
        <w:t>again</w:t>
      </w:r>
      <w:r>
        <w:rPr>
          <w:rFonts w:ascii="Verdana" w:hAnsi="Verdana"/>
          <w:b/>
          <w:sz w:val="24"/>
          <w:szCs w:val="24"/>
        </w:rPr>
        <w:t>st the equivalent period in 2018/19</w:t>
      </w:r>
    </w:p>
    <w:p w:rsidR="00B3233C" w:rsidRDefault="00B3233C" w:rsidP="00294C22">
      <w:pPr>
        <w:rPr>
          <w:rFonts w:ascii="Verdana" w:hAnsi="Verdana" w:cs="Arial"/>
          <w:szCs w:val="24"/>
        </w:rPr>
      </w:pPr>
    </w:p>
    <w:p w:rsidR="00B3233C" w:rsidRDefault="00B3233C" w:rsidP="00B3233C">
      <w:pPr>
        <w:jc w:val="center"/>
        <w:rPr>
          <w:rFonts w:ascii="Verdana" w:hAnsi="Verdana" w:cs="Arial"/>
          <w:szCs w:val="24"/>
        </w:rPr>
      </w:pPr>
      <w:r w:rsidRPr="00E42B35">
        <w:rPr>
          <w:noProof/>
        </w:rPr>
        <w:drawing>
          <wp:inline distT="0" distB="0" distL="0" distR="0" wp14:anchorId="05D17299" wp14:editId="4F260ECE">
            <wp:extent cx="5023485" cy="1211580"/>
            <wp:effectExtent l="0" t="0" r="5715" b="762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23485" cy="1211580"/>
                    </a:xfrm>
                    <a:prstGeom prst="rect">
                      <a:avLst/>
                    </a:prstGeom>
                    <a:noFill/>
                    <a:ln>
                      <a:noFill/>
                    </a:ln>
                  </pic:spPr>
                </pic:pic>
              </a:graphicData>
            </a:graphic>
          </wp:inline>
        </w:drawing>
      </w:r>
    </w:p>
    <w:p w:rsidR="00CD328C" w:rsidRDefault="00CD328C" w:rsidP="00294C22">
      <w:pPr>
        <w:rPr>
          <w:rFonts w:ascii="Verdana" w:hAnsi="Verdana" w:cs="Arial"/>
          <w:szCs w:val="24"/>
        </w:rPr>
      </w:pPr>
    </w:p>
    <w:p w:rsidR="009E0370" w:rsidRDefault="009E0370">
      <w:pPr>
        <w:rPr>
          <w:rFonts w:ascii="Verdana" w:hAnsi="Verdana"/>
          <w:b/>
        </w:rPr>
      </w:pPr>
    </w:p>
    <w:p w:rsidR="00E00937" w:rsidRDefault="00E00937">
      <w:pPr>
        <w:rPr>
          <w:rFonts w:ascii="Verdana" w:hAnsi="Verdana"/>
          <w:b/>
        </w:rPr>
      </w:pPr>
    </w:p>
    <w:p w:rsidR="00E00937" w:rsidRDefault="00E00937">
      <w:pPr>
        <w:rPr>
          <w:rFonts w:ascii="Verdana" w:hAnsi="Verdana"/>
          <w:b/>
        </w:rPr>
      </w:pPr>
    </w:p>
    <w:p w:rsidR="00E00937" w:rsidRDefault="00E00937">
      <w:pPr>
        <w:rPr>
          <w:rFonts w:ascii="Verdana" w:hAnsi="Verdana"/>
          <w:b/>
        </w:rPr>
      </w:pPr>
    </w:p>
    <w:p w:rsidR="00AD42E2" w:rsidRPr="00BA73EB" w:rsidRDefault="00AD42E2" w:rsidP="000A6BA8">
      <w:pPr>
        <w:jc w:val="both"/>
        <w:rPr>
          <w:rFonts w:ascii="Verdana" w:hAnsi="Verdana"/>
          <w:b/>
        </w:rPr>
      </w:pPr>
      <w:r w:rsidRPr="00BA73EB">
        <w:rPr>
          <w:rFonts w:ascii="Verdana" w:hAnsi="Verdana"/>
          <w:b/>
        </w:rPr>
        <w:t>Emergency Department 4 hour and 12 hour performance:</w:t>
      </w:r>
    </w:p>
    <w:p w:rsidR="00E811F4" w:rsidRPr="00E811F4" w:rsidRDefault="00E811F4" w:rsidP="00E811F4">
      <w:pPr>
        <w:rPr>
          <w:rFonts w:ascii="Verdana" w:hAnsi="Verdana" w:cs="Arial"/>
          <w:szCs w:val="24"/>
        </w:rPr>
      </w:pPr>
      <w:r>
        <w:rPr>
          <w:rFonts w:ascii="Verdana" w:hAnsi="Verdana" w:cs="Arial"/>
          <w:szCs w:val="24"/>
        </w:rPr>
        <w:t>The main focus for the EDs</w:t>
      </w:r>
      <w:r w:rsidRPr="00E811F4">
        <w:rPr>
          <w:rFonts w:ascii="Verdana" w:hAnsi="Verdana" w:cs="Arial"/>
          <w:szCs w:val="24"/>
        </w:rPr>
        <w:t xml:space="preserve"> at present is </w:t>
      </w:r>
      <w:r>
        <w:rPr>
          <w:rFonts w:ascii="Verdana" w:hAnsi="Verdana" w:cs="Arial"/>
          <w:szCs w:val="24"/>
        </w:rPr>
        <w:t xml:space="preserve">to sustain </w:t>
      </w:r>
      <w:r w:rsidRPr="00E811F4">
        <w:rPr>
          <w:rFonts w:ascii="Verdana" w:hAnsi="Verdana" w:cs="Arial"/>
          <w:szCs w:val="24"/>
        </w:rPr>
        <w:t>the o</w:t>
      </w:r>
      <w:r>
        <w:rPr>
          <w:rFonts w:ascii="Verdana" w:hAnsi="Verdana" w:cs="Arial"/>
          <w:szCs w:val="24"/>
        </w:rPr>
        <w:t>ngoing steady improvement being achieved</w:t>
      </w:r>
      <w:r w:rsidRPr="00E811F4">
        <w:rPr>
          <w:rFonts w:ascii="Verdana" w:hAnsi="Verdana" w:cs="Arial"/>
          <w:szCs w:val="24"/>
        </w:rPr>
        <w:t xml:space="preserve"> across all sites which is promising. There has been a further progress in February w</w:t>
      </w:r>
      <w:r>
        <w:rPr>
          <w:rFonts w:ascii="Verdana" w:hAnsi="Verdana" w:cs="Arial"/>
          <w:szCs w:val="24"/>
        </w:rPr>
        <w:t>ith multiple actions in place. T</w:t>
      </w:r>
      <w:r w:rsidRPr="00E811F4">
        <w:rPr>
          <w:rFonts w:ascii="Verdana" w:hAnsi="Verdana" w:cs="Arial"/>
          <w:szCs w:val="24"/>
        </w:rPr>
        <w:t>here has been a very significant change in POW with 4 and 12 hour performance and 15 min handover. All of these improvements will enhance the quality of care provided.</w:t>
      </w:r>
      <w:r>
        <w:rPr>
          <w:rFonts w:ascii="Verdana" w:hAnsi="Verdana" w:cs="Arial"/>
          <w:szCs w:val="24"/>
        </w:rPr>
        <w:t xml:space="preserve"> This will be reviewed in the forthcoming Quality Assurance subcommittee, when each site will present their progress against their improvement plan.</w:t>
      </w:r>
    </w:p>
    <w:p w:rsidR="001B375E" w:rsidRPr="00BA73EB" w:rsidRDefault="001B375E" w:rsidP="000A6BA8">
      <w:pPr>
        <w:jc w:val="both"/>
        <w:rPr>
          <w:rFonts w:ascii="Verdana" w:hAnsi="Verdana"/>
        </w:rPr>
      </w:pPr>
    </w:p>
    <w:p w:rsidR="00AD42E2" w:rsidRPr="00BA73EB" w:rsidRDefault="00AD42E2" w:rsidP="000A6BA8">
      <w:pPr>
        <w:jc w:val="both"/>
        <w:rPr>
          <w:rFonts w:ascii="Verdana" w:hAnsi="Verdana"/>
          <w:b/>
        </w:rPr>
      </w:pPr>
      <w:r w:rsidRPr="00BA73EB">
        <w:rPr>
          <w:rFonts w:ascii="Verdana" w:hAnsi="Verdana"/>
          <w:b/>
        </w:rPr>
        <w:t>Average Length of Stay:</w:t>
      </w:r>
    </w:p>
    <w:p w:rsidR="00955742" w:rsidRPr="00BA73EB" w:rsidRDefault="00FA3BDD">
      <w:pPr>
        <w:rPr>
          <w:rFonts w:ascii="Verdana" w:hAnsi="Verdana"/>
        </w:rPr>
      </w:pPr>
      <w:r>
        <w:rPr>
          <w:rFonts w:ascii="Verdana" w:hAnsi="Verdana"/>
        </w:rPr>
        <w:t xml:space="preserve">Further </w:t>
      </w:r>
      <w:r w:rsidR="008A23DC">
        <w:rPr>
          <w:rFonts w:ascii="Verdana" w:hAnsi="Verdana"/>
        </w:rPr>
        <w:t xml:space="preserve">work and </w:t>
      </w:r>
      <w:r>
        <w:rPr>
          <w:rFonts w:ascii="Verdana" w:hAnsi="Verdana"/>
        </w:rPr>
        <w:t xml:space="preserve">analysis is required for this metric. </w:t>
      </w:r>
    </w:p>
    <w:p w:rsidR="00955742" w:rsidRPr="00BA73EB" w:rsidRDefault="00955742">
      <w:pPr>
        <w:rPr>
          <w:rFonts w:ascii="Verdana" w:hAnsi="Verdana"/>
        </w:rPr>
      </w:pPr>
    </w:p>
    <w:tbl>
      <w:tblPr>
        <w:tblW w:w="15593"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Look w:val="04A0" w:firstRow="1" w:lastRow="0" w:firstColumn="1" w:lastColumn="0" w:noHBand="0" w:noVBand="1"/>
      </w:tblPr>
      <w:tblGrid>
        <w:gridCol w:w="2557"/>
        <w:gridCol w:w="837"/>
        <w:gridCol w:w="837"/>
        <w:gridCol w:w="837"/>
        <w:gridCol w:w="837"/>
        <w:gridCol w:w="837"/>
        <w:gridCol w:w="838"/>
        <w:gridCol w:w="837"/>
        <w:gridCol w:w="837"/>
        <w:gridCol w:w="837"/>
        <w:gridCol w:w="837"/>
        <w:gridCol w:w="838"/>
        <w:gridCol w:w="1134"/>
        <w:gridCol w:w="2693"/>
      </w:tblGrid>
      <w:tr w:rsidR="00616891" w:rsidRPr="007A5F15" w:rsidTr="00616891">
        <w:trPr>
          <w:trHeight w:val="128"/>
          <w:tblHeader/>
        </w:trPr>
        <w:tc>
          <w:tcPr>
            <w:tcW w:w="255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single" w:sz="8" w:space="0" w:color="FF0000"/>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single" w:sz="8" w:space="0" w:color="FF0000"/>
              <w:bottom w:val="single" w:sz="8" w:space="0" w:color="002060"/>
              <w:right w:val="nil"/>
            </w:tcBorders>
            <w:shd w:val="clear" w:color="000000" w:fill="FFFFFF"/>
            <w:noWrap/>
            <w:hideMark/>
          </w:tcPr>
          <w:p w:rsidR="00616891" w:rsidRPr="00311B30" w:rsidRDefault="00616891" w:rsidP="00616891">
            <w:pPr>
              <w:rPr>
                <w:rFonts w:ascii="Calibri" w:hAnsi="Calibri"/>
                <w:color w:val="000000"/>
                <w:sz w:val="16"/>
                <w:szCs w:val="16"/>
              </w:rPr>
            </w:pPr>
            <w:r w:rsidRPr="0094712D">
              <w:rPr>
                <w:b/>
                <w:color w:val="FF0000"/>
                <w:sz w:val="12"/>
                <w:szCs w:val="12"/>
              </w:rPr>
              <w:t>CTMUHB</w:t>
            </w: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616891" w:rsidRPr="0094712D" w:rsidRDefault="00616891" w:rsidP="00616891">
            <w:pPr>
              <w:ind w:left="-28" w:right="-17"/>
              <w:rPr>
                <w:b/>
                <w:color w:val="FF0000"/>
                <w:sz w:val="12"/>
                <w:szCs w:val="12"/>
              </w:rPr>
            </w:pPr>
            <w:r w:rsidRPr="00311B30">
              <w:rPr>
                <w:rFonts w:ascii="Calibri" w:hAnsi="Calibri"/>
                <w:color w:val="000000"/>
                <w:sz w:val="16"/>
                <w:szCs w:val="16"/>
              </w:rPr>
              <w:t> </w:t>
            </w:r>
          </w:p>
        </w:tc>
        <w:tc>
          <w:tcPr>
            <w:tcW w:w="838"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c>
          <w:tcPr>
            <w:tcW w:w="838" w:type="dxa"/>
            <w:tcBorders>
              <w:top w:val="nil"/>
              <w:left w:val="nil"/>
              <w:bottom w:val="single" w:sz="8" w:space="0" w:color="002060"/>
            </w:tcBorders>
            <w:shd w:val="clear" w:color="000000" w:fill="auto"/>
          </w:tcPr>
          <w:p w:rsidR="00616891" w:rsidRPr="00311B30" w:rsidRDefault="00616891" w:rsidP="00616891">
            <w:pPr>
              <w:jc w:val="center"/>
              <w:rPr>
                <w:rFonts w:ascii="Calibri" w:hAnsi="Calibri"/>
                <w:b/>
                <w:bCs/>
                <w:color w:val="FFFFFF"/>
                <w:sz w:val="16"/>
                <w:szCs w:val="16"/>
              </w:rPr>
            </w:pPr>
          </w:p>
        </w:tc>
        <w:tc>
          <w:tcPr>
            <w:tcW w:w="1134" w:type="dxa"/>
            <w:vMerge w:val="restart"/>
            <w:shd w:val="clear" w:color="auto" w:fill="002060"/>
            <w:noWrap/>
            <w:vAlign w:val="bottom"/>
            <w:hideMark/>
          </w:tcPr>
          <w:p w:rsidR="00616891" w:rsidRDefault="00616891" w:rsidP="00616891">
            <w:pPr>
              <w:jc w:val="center"/>
              <w:rPr>
                <w:rFonts w:ascii="Calibri" w:hAnsi="Calibri"/>
                <w:b/>
                <w:bCs/>
                <w:color w:val="FFFFFF"/>
                <w:sz w:val="36"/>
                <w:szCs w:val="36"/>
              </w:rPr>
            </w:pPr>
            <w:r>
              <w:rPr>
                <w:rFonts w:ascii="Calibri" w:hAnsi="Calibri"/>
                <w:b/>
                <w:bCs/>
                <w:color w:val="FFFFFF"/>
                <w:sz w:val="36"/>
                <w:szCs w:val="36"/>
              </w:rPr>
              <w:t>Jan</w:t>
            </w:r>
          </w:p>
          <w:p w:rsidR="00616891" w:rsidRPr="00311B30" w:rsidRDefault="00616891" w:rsidP="00616891">
            <w:pPr>
              <w:jc w:val="center"/>
              <w:rPr>
                <w:rFonts w:ascii="Calibri" w:hAnsi="Calibri"/>
                <w:b/>
                <w:bCs/>
                <w:color w:val="FFFFFF"/>
                <w:sz w:val="36"/>
                <w:szCs w:val="36"/>
              </w:rPr>
            </w:pPr>
            <w:r>
              <w:rPr>
                <w:rFonts w:ascii="Calibri" w:hAnsi="Calibri"/>
                <w:b/>
                <w:bCs/>
                <w:color w:val="FFFFFF"/>
                <w:sz w:val="36"/>
                <w:szCs w:val="36"/>
              </w:rPr>
              <w:t>2020</w:t>
            </w:r>
          </w:p>
        </w:tc>
        <w:tc>
          <w:tcPr>
            <w:tcW w:w="2693" w:type="dxa"/>
            <w:tcBorders>
              <w:top w:val="nil"/>
              <w:bottom w:val="single" w:sz="8" w:space="0" w:color="002060"/>
              <w:right w:val="nil"/>
            </w:tcBorders>
            <w:shd w:val="clear" w:color="000000" w:fill="FFFFFF"/>
            <w:noWrap/>
            <w:vAlign w:val="bottom"/>
            <w:hideMark/>
          </w:tcPr>
          <w:p w:rsidR="00616891" w:rsidRPr="00311B30" w:rsidRDefault="00616891" w:rsidP="00616891">
            <w:pPr>
              <w:rPr>
                <w:rFonts w:ascii="Calibri" w:hAnsi="Calibri"/>
                <w:color w:val="000000"/>
                <w:sz w:val="16"/>
                <w:szCs w:val="16"/>
              </w:rPr>
            </w:pPr>
            <w:r w:rsidRPr="00311B30">
              <w:rPr>
                <w:rFonts w:ascii="Calibri" w:hAnsi="Calibri"/>
                <w:color w:val="000000"/>
                <w:sz w:val="16"/>
                <w:szCs w:val="16"/>
              </w:rPr>
              <w:t> </w:t>
            </w:r>
          </w:p>
        </w:tc>
      </w:tr>
      <w:tr w:rsidR="00616891" w:rsidRPr="00E936EE" w:rsidTr="000C7F26">
        <w:trPr>
          <w:trHeight w:val="330"/>
          <w:tblHeader/>
        </w:trPr>
        <w:tc>
          <w:tcPr>
            <w:tcW w:w="2557" w:type="dxa"/>
            <w:tcBorders>
              <w:bottom w:val="single" w:sz="8" w:space="0" w:color="002060"/>
            </w:tcBorders>
            <w:shd w:val="clear" w:color="auto" w:fill="D9E2F3" w:themeFill="accent5" w:themeFillTint="33"/>
            <w:vAlign w:val="center"/>
            <w:hideMark/>
          </w:tcPr>
          <w:p w:rsidR="00616891" w:rsidRPr="00E936EE" w:rsidRDefault="00616891" w:rsidP="00616891">
            <w:pPr>
              <w:rPr>
                <w:rFonts w:cs="Arial"/>
                <w:b/>
                <w:bCs/>
                <w:color w:val="002060"/>
                <w:szCs w:val="24"/>
              </w:rPr>
            </w:pPr>
            <w:r w:rsidRPr="00E936EE">
              <w:rPr>
                <w:rFonts w:cs="Arial"/>
                <w:b/>
                <w:bCs/>
                <w:color w:val="002060"/>
                <w:szCs w:val="24"/>
              </w:rPr>
              <w:t>Indicator Description</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Feb-19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Mar-19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Apr-19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May-19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Jun-19</w:t>
            </w:r>
          </w:p>
        </w:tc>
        <w:tc>
          <w:tcPr>
            <w:tcW w:w="838"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Jul-19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Aug-19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sidRPr="00E936EE">
              <w:rPr>
                <w:rFonts w:cs="Arial"/>
                <w:b/>
                <w:bCs/>
                <w:color w:val="002060"/>
                <w:sz w:val="16"/>
                <w:szCs w:val="16"/>
              </w:rPr>
              <w:t>Sep-19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Pr>
                <w:rFonts w:cs="Arial"/>
                <w:b/>
                <w:bCs/>
                <w:color w:val="002060"/>
                <w:sz w:val="16"/>
                <w:szCs w:val="16"/>
              </w:rPr>
              <w:t>Oct</w:t>
            </w:r>
            <w:r w:rsidRPr="00E936EE">
              <w:rPr>
                <w:rFonts w:cs="Arial"/>
                <w:b/>
                <w:bCs/>
                <w:color w:val="002060"/>
                <w:sz w:val="16"/>
                <w:szCs w:val="16"/>
              </w:rPr>
              <w:t>-19</w:t>
            </w:r>
          </w:p>
        </w:tc>
        <w:tc>
          <w:tcPr>
            <w:tcW w:w="837" w:type="dxa"/>
            <w:tcBorders>
              <w:bottom w:val="single" w:sz="8" w:space="0" w:color="002060"/>
            </w:tcBorders>
            <w:shd w:val="clear" w:color="auto" w:fill="D9E2F3" w:themeFill="accent5" w:themeFillTint="33"/>
            <w:vAlign w:val="center"/>
            <w:hideMark/>
          </w:tcPr>
          <w:p w:rsidR="00616891" w:rsidRPr="00E936EE" w:rsidRDefault="00616891" w:rsidP="00616891">
            <w:pPr>
              <w:jc w:val="center"/>
              <w:rPr>
                <w:rFonts w:cs="Arial"/>
                <w:b/>
                <w:bCs/>
                <w:color w:val="002060"/>
                <w:sz w:val="16"/>
                <w:szCs w:val="16"/>
              </w:rPr>
            </w:pPr>
            <w:r>
              <w:rPr>
                <w:rFonts w:cs="Arial"/>
                <w:b/>
                <w:bCs/>
                <w:color w:val="002060"/>
                <w:sz w:val="16"/>
                <w:szCs w:val="16"/>
              </w:rPr>
              <w:t>Nov</w:t>
            </w:r>
            <w:r w:rsidRPr="00E936EE">
              <w:rPr>
                <w:rFonts w:cs="Arial"/>
                <w:b/>
                <w:bCs/>
                <w:color w:val="002060"/>
                <w:sz w:val="16"/>
                <w:szCs w:val="16"/>
              </w:rPr>
              <w:t>-19</w:t>
            </w:r>
          </w:p>
        </w:tc>
        <w:tc>
          <w:tcPr>
            <w:tcW w:w="838" w:type="dxa"/>
            <w:tcBorders>
              <w:bottom w:val="single" w:sz="8" w:space="0" w:color="002060"/>
            </w:tcBorders>
            <w:shd w:val="clear" w:color="auto" w:fill="D9E2F3" w:themeFill="accent5" w:themeFillTint="33"/>
            <w:vAlign w:val="center"/>
          </w:tcPr>
          <w:p w:rsidR="00616891" w:rsidRPr="00E936EE" w:rsidRDefault="00616891" w:rsidP="00616891">
            <w:pPr>
              <w:jc w:val="center"/>
              <w:rPr>
                <w:rFonts w:ascii="Calibri" w:hAnsi="Calibri"/>
                <w:b/>
                <w:bCs/>
                <w:color w:val="002060"/>
                <w:sz w:val="32"/>
                <w:szCs w:val="32"/>
              </w:rPr>
            </w:pPr>
            <w:r>
              <w:rPr>
                <w:rFonts w:cs="Arial"/>
                <w:b/>
                <w:bCs/>
                <w:color w:val="002060"/>
                <w:sz w:val="16"/>
                <w:szCs w:val="16"/>
              </w:rPr>
              <w:t>Dec</w:t>
            </w:r>
            <w:r w:rsidRPr="00E936EE">
              <w:rPr>
                <w:rFonts w:cs="Arial"/>
                <w:b/>
                <w:bCs/>
                <w:color w:val="002060"/>
                <w:sz w:val="16"/>
                <w:szCs w:val="16"/>
              </w:rPr>
              <w:t>-19</w:t>
            </w:r>
          </w:p>
        </w:tc>
        <w:tc>
          <w:tcPr>
            <w:tcW w:w="1134" w:type="dxa"/>
            <w:vMerge/>
            <w:tcBorders>
              <w:bottom w:val="single" w:sz="8" w:space="0" w:color="002060"/>
            </w:tcBorders>
            <w:shd w:val="clear" w:color="auto" w:fill="002060"/>
            <w:vAlign w:val="center"/>
            <w:hideMark/>
          </w:tcPr>
          <w:p w:rsidR="00616891" w:rsidRPr="00E936EE" w:rsidRDefault="00616891" w:rsidP="00616891">
            <w:pPr>
              <w:jc w:val="center"/>
              <w:rPr>
                <w:rFonts w:ascii="Calibri" w:hAnsi="Calibri"/>
                <w:b/>
                <w:bCs/>
                <w:color w:val="002060"/>
                <w:sz w:val="32"/>
                <w:szCs w:val="32"/>
              </w:rPr>
            </w:pPr>
          </w:p>
        </w:tc>
        <w:tc>
          <w:tcPr>
            <w:tcW w:w="2693" w:type="dxa"/>
            <w:tcBorders>
              <w:bottom w:val="single" w:sz="8" w:space="0" w:color="002060"/>
            </w:tcBorders>
            <w:shd w:val="clear" w:color="000000" w:fill="D9E2F3" w:themeFill="accent5" w:themeFillTint="33"/>
            <w:vAlign w:val="center"/>
            <w:hideMark/>
          </w:tcPr>
          <w:p w:rsidR="00616891" w:rsidRPr="00E936EE" w:rsidRDefault="00616891" w:rsidP="00616891">
            <w:pPr>
              <w:jc w:val="center"/>
              <w:rPr>
                <w:rFonts w:cs="Arial"/>
                <w:b/>
                <w:bCs/>
                <w:color w:val="002060"/>
                <w:szCs w:val="24"/>
              </w:rPr>
            </w:pPr>
            <w:r w:rsidRPr="00E936EE">
              <w:rPr>
                <w:rFonts w:cs="Arial"/>
                <w:b/>
                <w:bCs/>
                <w:color w:val="002060"/>
                <w:szCs w:val="24"/>
              </w:rPr>
              <w:t>Trend</w:t>
            </w:r>
          </w:p>
        </w:tc>
      </w:tr>
      <w:tr w:rsidR="00616891" w:rsidRPr="00AF5B5A" w:rsidTr="000C7F26">
        <w:trPr>
          <w:trHeight w:val="415"/>
          <w:tblHeader/>
        </w:trPr>
        <w:tc>
          <w:tcPr>
            <w:tcW w:w="255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r w:rsidRPr="007A5F15">
              <w:rPr>
                <w:rFonts w:ascii="Calibri" w:hAnsi="Calibri"/>
                <w:noProof/>
                <w:color w:val="000000"/>
                <w:sz w:val="22"/>
                <w:szCs w:val="22"/>
              </w:rPr>
              <mc:AlternateContent>
                <mc:Choice Requires="wps">
                  <w:drawing>
                    <wp:anchor distT="45720" distB="45720" distL="114300" distR="114300" simplePos="0" relativeHeight="251936256" behindDoc="0" locked="0" layoutInCell="1" allowOverlap="1" wp14:anchorId="6C533CA8" wp14:editId="504AF2DD">
                      <wp:simplePos x="0" y="0"/>
                      <wp:positionH relativeFrom="margin">
                        <wp:posOffset>-65405</wp:posOffset>
                      </wp:positionH>
                      <wp:positionV relativeFrom="paragraph">
                        <wp:posOffset>3175</wp:posOffset>
                      </wp:positionV>
                      <wp:extent cx="3267075" cy="1404620"/>
                      <wp:effectExtent l="0" t="0" r="0" b="0"/>
                      <wp:wrapNone/>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noFill/>
                              <a:ln w="9525">
                                <a:noFill/>
                                <a:miter lim="800000"/>
                                <a:headEnd/>
                                <a:tailEnd/>
                              </a:ln>
                            </wps:spPr>
                            <wps:txbx>
                              <w:txbxContent>
                                <w:p w:rsidR="00DD62B8" w:rsidRPr="007A5F15" w:rsidRDefault="00DD62B8" w:rsidP="00BB137A">
                                  <w:pPr>
                                    <w:rPr>
                                      <w:color w:val="FF0000"/>
                                      <w:sz w:val="16"/>
                                      <w:szCs w:val="16"/>
                                    </w:rPr>
                                  </w:pPr>
                                  <w:r>
                                    <w:rPr>
                                      <w:color w:val="FFFFFF" w:themeColor="background1"/>
                                    </w:rPr>
                                    <w:t>Primary Care</w:t>
                                  </w:r>
                                  <w:r w:rsidRPr="00275AB3">
                                    <w:rPr>
                                      <w:color w:val="FFFFFF" w:themeColor="background1"/>
                                    </w:rPr>
                                    <w:t xml:space="preserve"> Metrics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C533CA8" id="_x0000_s1028" type="#_x0000_t202" style="position:absolute;margin-left:-5.15pt;margin-top:.25pt;width:257.25pt;height:110.6pt;z-index:2519362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" filled="f" stroked="f">
                      <v:textbox style="mso-fit-shape-to-text:t">
                        <w:txbxContent>
                          <w:p w:rsidR="00DD62B8" w:rsidRPr="007A5F15" w:rsidRDefault="00DD62B8" w:rsidP="00BB137A">
                            <w:pPr>
                              <w:rPr>
                                <w:color w:val="FF0000"/>
                                <w:sz w:val="16"/>
                                <w:szCs w:val="16"/>
                              </w:rPr>
                            </w:pPr>
                            <w:r>
                              <w:rPr>
                                <w:color w:val="FFFFFF" w:themeColor="background1"/>
                              </w:rPr>
                              <w:t>Primary Care</w:t>
                            </w:r>
                            <w:r w:rsidRPr="00275AB3">
                              <w:rPr>
                                <w:color w:val="FFFFFF" w:themeColor="background1"/>
                              </w:rPr>
                              <w:t xml:space="preserve"> Metrics</w:t>
                            </w:r>
                          </w:p>
                        </w:txbxContent>
                      </v:textbox>
                      <w10:wrap anchorx="margin"/>
                    </v:shape>
                  </w:pict>
                </mc:Fallback>
              </mc:AlternateContent>
            </w: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1134"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B60B3" w:rsidRDefault="00616891" w:rsidP="00616891">
            <w:pPr>
              <w:rPr>
                <w:color w:val="FFFFFF" w:themeColor="background1"/>
              </w:rPr>
            </w:pPr>
          </w:p>
        </w:tc>
        <w:tc>
          <w:tcPr>
            <w:tcW w:w="2693"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616891" w:rsidRPr="00AF5B5A" w:rsidRDefault="00616891" w:rsidP="00616891">
            <w:pPr>
              <w:jc w:val="center"/>
              <w:rPr>
                <w:rFonts w:cs="Arial"/>
                <w:b/>
                <w:bCs/>
                <w:color w:val="72469C"/>
                <w:sz w:val="16"/>
                <w:szCs w:val="16"/>
              </w:rPr>
            </w:pPr>
          </w:p>
        </w:tc>
      </w:tr>
      <w:tr w:rsidR="005602C4" w:rsidRPr="007A5F15" w:rsidTr="00C067F4">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5602C4" w:rsidRPr="00311B30" w:rsidRDefault="005602C4" w:rsidP="005602C4">
            <w:pPr>
              <w:rPr>
                <w:rFonts w:cs="Arial"/>
                <w:color w:val="002060"/>
                <w:sz w:val="16"/>
                <w:szCs w:val="16"/>
              </w:rPr>
            </w:pPr>
            <w:r w:rsidRPr="00BB137A">
              <w:rPr>
                <w:rFonts w:cs="Arial"/>
                <w:color w:val="002060"/>
                <w:sz w:val="16"/>
                <w:szCs w:val="16"/>
              </w:rPr>
              <w:t>Number of out of hours contacts</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6,055</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5,227</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5,985</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6,269</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5,952</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5,706</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5,346</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5,614</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bCs/>
                <w:color w:val="002060"/>
                <w:sz w:val="20"/>
              </w:rPr>
              <w:t>5,298</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bCs/>
                <w:color w:val="002060"/>
                <w:sz w:val="20"/>
              </w:rPr>
              <w:t>5,450</w:t>
            </w:r>
          </w:p>
        </w:tc>
        <w:tc>
          <w:tcPr>
            <w:tcW w:w="838" w:type="dxa"/>
            <w:tcBorders>
              <w:top w:val="single" w:sz="8" w:space="0" w:color="002060"/>
            </w:tcBorders>
            <w:shd w:val="clear" w:color="auto" w:fill="auto"/>
            <w:vAlign w:val="center"/>
          </w:tcPr>
          <w:p w:rsidR="005602C4" w:rsidRPr="00311B30" w:rsidRDefault="00C067F4" w:rsidP="005602C4">
            <w:pPr>
              <w:jc w:val="center"/>
              <w:rPr>
                <w:rFonts w:cs="Arial"/>
                <w:bCs/>
                <w:color w:val="002060"/>
                <w:sz w:val="20"/>
              </w:rPr>
            </w:pPr>
            <w:r>
              <w:rPr>
                <w:rFonts w:cs="Arial"/>
                <w:bCs/>
                <w:color w:val="002060"/>
                <w:sz w:val="20"/>
              </w:rPr>
              <w:t>NA</w:t>
            </w:r>
          </w:p>
        </w:tc>
        <w:tc>
          <w:tcPr>
            <w:tcW w:w="1134" w:type="dxa"/>
            <w:tcBorders>
              <w:top w:val="single" w:sz="8" w:space="0" w:color="002060"/>
            </w:tcBorders>
            <w:shd w:val="clear" w:color="auto" w:fill="auto"/>
            <w:vAlign w:val="center"/>
          </w:tcPr>
          <w:p w:rsidR="005602C4" w:rsidRPr="00F51175" w:rsidRDefault="00C067F4" w:rsidP="005602C4">
            <w:pPr>
              <w:jc w:val="center"/>
              <w:rPr>
                <w:rFonts w:cs="Arial"/>
                <w:b/>
                <w:bCs/>
                <w:color w:val="002060"/>
                <w:sz w:val="32"/>
                <w:szCs w:val="32"/>
              </w:rPr>
            </w:pPr>
            <w:r>
              <w:rPr>
                <w:rFonts w:cs="Arial"/>
                <w:b/>
                <w:bCs/>
                <w:color w:val="002060"/>
                <w:sz w:val="32"/>
                <w:szCs w:val="32"/>
              </w:rPr>
              <w:t>NA</w:t>
            </w:r>
          </w:p>
        </w:tc>
        <w:tc>
          <w:tcPr>
            <w:tcW w:w="2693" w:type="dxa"/>
            <w:tcBorders>
              <w:top w:val="single" w:sz="8" w:space="0" w:color="002060"/>
            </w:tcBorders>
            <w:shd w:val="clear" w:color="auto" w:fill="auto"/>
            <w:vAlign w:val="center"/>
          </w:tcPr>
          <w:p w:rsidR="005602C4" w:rsidRPr="00311B30" w:rsidRDefault="00C067F4" w:rsidP="005602C4">
            <w:pPr>
              <w:rPr>
                <w:rFonts w:cs="Arial"/>
                <w:b/>
                <w:bCs/>
                <w:color w:val="002060"/>
                <w:sz w:val="40"/>
                <w:szCs w:val="40"/>
              </w:rPr>
            </w:pPr>
            <w:r>
              <w:rPr>
                <w:noProof/>
              </w:rPr>
              <w:drawing>
                <wp:inline distT="0" distB="0" distL="0" distR="0" wp14:anchorId="6653EF9C" wp14:editId="3D1C2005">
                  <wp:extent cx="1419225" cy="371476"/>
                  <wp:effectExtent l="0" t="0" r="0" b="0"/>
                  <wp:docPr id="40" name="Chart 40">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r w:rsidR="005602C4" w:rsidRPr="007A5F15" w:rsidTr="00B427ED">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5602C4" w:rsidRPr="00311B30" w:rsidRDefault="005602C4" w:rsidP="005602C4">
            <w:pPr>
              <w:rPr>
                <w:rFonts w:cs="Arial"/>
                <w:color w:val="002060"/>
                <w:sz w:val="16"/>
                <w:szCs w:val="16"/>
              </w:rPr>
            </w:pPr>
            <w:r w:rsidRPr="00BB137A">
              <w:rPr>
                <w:rFonts w:cs="Arial"/>
                <w:color w:val="002060"/>
                <w:sz w:val="16"/>
                <w:szCs w:val="16"/>
              </w:rPr>
              <w:t>Delayed Transfers of Care</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4.60%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2.90%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3.30%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3.00%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4.20%</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3.50%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4.20%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4.20%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5602C4">
            <w:pPr>
              <w:jc w:val="center"/>
              <w:rPr>
                <w:rFonts w:cs="Arial"/>
                <w:color w:val="002060"/>
                <w:sz w:val="20"/>
              </w:rPr>
            </w:pPr>
            <w:r>
              <w:rPr>
                <w:rFonts w:cs="Arial"/>
                <w:color w:val="002060"/>
                <w:sz w:val="20"/>
              </w:rPr>
              <w:t>4.70%</w:t>
            </w:r>
          </w:p>
        </w:tc>
        <w:tc>
          <w:tcPr>
            <w:tcW w:w="837" w:type="dxa"/>
            <w:tcBorders>
              <w:top w:val="nil"/>
              <w:left w:val="nil"/>
              <w:bottom w:val="single" w:sz="8" w:space="0" w:color="002060"/>
              <w:right w:val="single" w:sz="8" w:space="0" w:color="002060"/>
            </w:tcBorders>
            <w:shd w:val="clear" w:color="auto" w:fill="auto"/>
            <w:vAlign w:val="center"/>
          </w:tcPr>
          <w:p w:rsidR="005602C4" w:rsidRPr="003C4E50" w:rsidRDefault="005602C4" w:rsidP="005602C4">
            <w:pPr>
              <w:jc w:val="center"/>
              <w:rPr>
                <w:rFonts w:cs="Arial"/>
                <w:b/>
                <w:bCs/>
                <w:color w:val="002060"/>
                <w:sz w:val="40"/>
                <w:szCs w:val="40"/>
              </w:rPr>
            </w:pPr>
            <w:r>
              <w:rPr>
                <w:rFonts w:cs="Arial"/>
                <w:bCs/>
                <w:color w:val="002060"/>
                <w:sz w:val="20"/>
              </w:rPr>
              <w:t>4.20%</w:t>
            </w:r>
          </w:p>
        </w:tc>
        <w:tc>
          <w:tcPr>
            <w:tcW w:w="838" w:type="dxa"/>
            <w:vAlign w:val="center"/>
          </w:tcPr>
          <w:p w:rsidR="005602C4" w:rsidRPr="00311B30" w:rsidRDefault="00B427ED" w:rsidP="005602C4">
            <w:pPr>
              <w:jc w:val="center"/>
              <w:rPr>
                <w:rFonts w:cs="Arial"/>
                <w:bCs/>
                <w:color w:val="002060"/>
                <w:sz w:val="20"/>
              </w:rPr>
            </w:pPr>
            <w:r>
              <w:rPr>
                <w:rFonts w:cs="Arial"/>
                <w:bCs/>
                <w:color w:val="002060"/>
                <w:sz w:val="20"/>
              </w:rPr>
              <w:t>5.40%</w:t>
            </w:r>
          </w:p>
        </w:tc>
        <w:tc>
          <w:tcPr>
            <w:tcW w:w="1134" w:type="dxa"/>
            <w:shd w:val="clear" w:color="auto" w:fill="auto"/>
            <w:vAlign w:val="center"/>
          </w:tcPr>
          <w:p w:rsidR="005602C4" w:rsidRPr="00F51175" w:rsidRDefault="00B427ED" w:rsidP="005602C4">
            <w:pPr>
              <w:jc w:val="center"/>
              <w:rPr>
                <w:rFonts w:cs="Arial"/>
                <w:b/>
                <w:bCs/>
                <w:color w:val="002060"/>
                <w:sz w:val="32"/>
                <w:szCs w:val="32"/>
              </w:rPr>
            </w:pPr>
            <w:r>
              <w:rPr>
                <w:rFonts w:cs="Arial"/>
                <w:b/>
                <w:bCs/>
                <w:color w:val="002060"/>
                <w:sz w:val="32"/>
                <w:szCs w:val="32"/>
              </w:rPr>
              <w:t>4.10%</w:t>
            </w:r>
          </w:p>
        </w:tc>
        <w:tc>
          <w:tcPr>
            <w:tcW w:w="2693" w:type="dxa"/>
            <w:shd w:val="clear" w:color="auto" w:fill="auto"/>
            <w:vAlign w:val="center"/>
          </w:tcPr>
          <w:p w:rsidR="005602C4" w:rsidRPr="00311B30" w:rsidRDefault="00B427ED" w:rsidP="005602C4">
            <w:pPr>
              <w:rPr>
                <w:rFonts w:cs="Arial"/>
                <w:b/>
                <w:bCs/>
                <w:color w:val="002060"/>
                <w:sz w:val="40"/>
                <w:szCs w:val="40"/>
              </w:rPr>
            </w:pPr>
            <w:r>
              <w:rPr>
                <w:noProof/>
              </w:rPr>
              <w:drawing>
                <wp:inline distT="0" distB="0" distL="0" distR="0" wp14:anchorId="7B052C51" wp14:editId="10820ABA">
                  <wp:extent cx="1419225" cy="371476"/>
                  <wp:effectExtent l="0" t="0" r="0" b="0"/>
                  <wp:docPr id="37" name="Chart 37">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r>
    </w:tbl>
    <w:p w:rsidR="00BB137A" w:rsidRDefault="00BB137A" w:rsidP="00BB137A"/>
    <w:p w:rsidR="00BB137A" w:rsidRPr="00392778" w:rsidRDefault="00681D43">
      <w:pPr>
        <w:rPr>
          <w:rFonts w:ascii="Verdana" w:hAnsi="Verdana"/>
        </w:rPr>
      </w:pPr>
      <w:r w:rsidRPr="00392778">
        <w:rPr>
          <w:rFonts w:ascii="Verdana" w:hAnsi="Verdana"/>
        </w:rPr>
        <w:t>Both these metrics have been identified as measures of quality. Further work is required to clarify what these tell us about the quality of care and how they can be triangulated with other metrics to drive improvements in care.</w:t>
      </w:r>
      <w:r w:rsidR="00D6364A">
        <w:rPr>
          <w:rFonts w:ascii="Verdana" w:hAnsi="Verdana"/>
        </w:rPr>
        <w:t xml:space="preserve"> These will be reviewed in the discussions with the three locality Group Directors.</w:t>
      </w:r>
    </w:p>
    <w:p w:rsidR="00BB137A" w:rsidRDefault="00BB137A"/>
    <w:tbl>
      <w:tblPr>
        <w:tblW w:w="15593"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Look w:val="04A0" w:firstRow="1" w:lastRow="0" w:firstColumn="1" w:lastColumn="0" w:noHBand="0" w:noVBand="1"/>
      </w:tblPr>
      <w:tblGrid>
        <w:gridCol w:w="2557"/>
        <w:gridCol w:w="837"/>
        <w:gridCol w:w="837"/>
        <w:gridCol w:w="837"/>
        <w:gridCol w:w="837"/>
        <w:gridCol w:w="837"/>
        <w:gridCol w:w="838"/>
        <w:gridCol w:w="837"/>
        <w:gridCol w:w="837"/>
        <w:gridCol w:w="837"/>
        <w:gridCol w:w="837"/>
        <w:gridCol w:w="838"/>
        <w:gridCol w:w="1134"/>
        <w:gridCol w:w="2693"/>
      </w:tblGrid>
      <w:tr w:rsidR="005602C4" w:rsidRPr="00311B30" w:rsidTr="00F260DB">
        <w:trPr>
          <w:trHeight w:val="128"/>
          <w:tblHeader/>
        </w:trPr>
        <w:tc>
          <w:tcPr>
            <w:tcW w:w="255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single" w:sz="8" w:space="0" w:color="FF0000"/>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single" w:sz="8" w:space="0" w:color="FF0000"/>
              <w:bottom w:val="single" w:sz="8" w:space="0" w:color="002060"/>
              <w:right w:val="nil"/>
            </w:tcBorders>
            <w:shd w:val="clear" w:color="000000" w:fill="FFFFFF"/>
            <w:noWrap/>
            <w:hideMark/>
          </w:tcPr>
          <w:p w:rsidR="005602C4" w:rsidRPr="00311B30" w:rsidRDefault="005602C4" w:rsidP="00F260DB">
            <w:pPr>
              <w:rPr>
                <w:rFonts w:ascii="Calibri" w:hAnsi="Calibri"/>
                <w:color w:val="000000"/>
                <w:sz w:val="16"/>
                <w:szCs w:val="16"/>
              </w:rPr>
            </w:pPr>
            <w:r w:rsidRPr="0094712D">
              <w:rPr>
                <w:b/>
                <w:color w:val="FF0000"/>
                <w:sz w:val="12"/>
                <w:szCs w:val="12"/>
              </w:rPr>
              <w:t>CTMUHB</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5602C4" w:rsidRPr="0094712D" w:rsidRDefault="005602C4" w:rsidP="00F260DB">
            <w:pPr>
              <w:ind w:left="-28" w:right="-17"/>
              <w:rPr>
                <w:b/>
                <w:color w:val="FF0000"/>
                <w:sz w:val="12"/>
                <w:szCs w:val="12"/>
              </w:rPr>
            </w:pPr>
            <w:r w:rsidRPr="00311B30">
              <w:rPr>
                <w:rFonts w:ascii="Calibri" w:hAnsi="Calibri"/>
                <w:color w:val="000000"/>
                <w:sz w:val="16"/>
                <w:szCs w:val="16"/>
              </w:rPr>
              <w:t> </w:t>
            </w:r>
          </w:p>
        </w:tc>
        <w:tc>
          <w:tcPr>
            <w:tcW w:w="838"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8" w:type="dxa"/>
            <w:tcBorders>
              <w:top w:val="nil"/>
              <w:left w:val="nil"/>
              <w:bottom w:val="single" w:sz="8" w:space="0" w:color="002060"/>
            </w:tcBorders>
            <w:shd w:val="clear" w:color="000000" w:fill="auto"/>
          </w:tcPr>
          <w:p w:rsidR="005602C4" w:rsidRPr="00311B30" w:rsidRDefault="005602C4" w:rsidP="00F260DB">
            <w:pPr>
              <w:jc w:val="center"/>
              <w:rPr>
                <w:rFonts w:ascii="Calibri" w:hAnsi="Calibri"/>
                <w:b/>
                <w:bCs/>
                <w:color w:val="FFFFFF"/>
                <w:sz w:val="16"/>
                <w:szCs w:val="16"/>
              </w:rPr>
            </w:pPr>
          </w:p>
        </w:tc>
        <w:tc>
          <w:tcPr>
            <w:tcW w:w="1134" w:type="dxa"/>
            <w:vMerge w:val="restart"/>
            <w:shd w:val="clear" w:color="auto" w:fill="002060"/>
            <w:noWrap/>
            <w:vAlign w:val="bottom"/>
            <w:hideMark/>
          </w:tcPr>
          <w:p w:rsidR="005602C4" w:rsidRDefault="005602C4" w:rsidP="00F260DB">
            <w:pPr>
              <w:jc w:val="center"/>
              <w:rPr>
                <w:rFonts w:ascii="Calibri" w:hAnsi="Calibri"/>
                <w:b/>
                <w:bCs/>
                <w:color w:val="FFFFFF"/>
                <w:sz w:val="36"/>
                <w:szCs w:val="36"/>
              </w:rPr>
            </w:pPr>
            <w:r>
              <w:rPr>
                <w:rFonts w:ascii="Calibri" w:hAnsi="Calibri"/>
                <w:b/>
                <w:bCs/>
                <w:color w:val="FFFFFF"/>
                <w:sz w:val="36"/>
                <w:szCs w:val="36"/>
              </w:rPr>
              <w:t>Jan</w:t>
            </w:r>
          </w:p>
          <w:p w:rsidR="005602C4" w:rsidRPr="00311B30" w:rsidRDefault="005602C4" w:rsidP="00F260DB">
            <w:pPr>
              <w:jc w:val="center"/>
              <w:rPr>
                <w:rFonts w:ascii="Calibri" w:hAnsi="Calibri"/>
                <w:b/>
                <w:bCs/>
                <w:color w:val="FFFFFF"/>
                <w:sz w:val="36"/>
                <w:szCs w:val="36"/>
              </w:rPr>
            </w:pPr>
            <w:r>
              <w:rPr>
                <w:rFonts w:ascii="Calibri" w:hAnsi="Calibri"/>
                <w:b/>
                <w:bCs/>
                <w:color w:val="FFFFFF"/>
                <w:sz w:val="36"/>
                <w:szCs w:val="36"/>
              </w:rPr>
              <w:t>2020</w:t>
            </w:r>
          </w:p>
        </w:tc>
        <w:tc>
          <w:tcPr>
            <w:tcW w:w="2693" w:type="dxa"/>
            <w:tcBorders>
              <w:top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r>
      <w:tr w:rsidR="005602C4" w:rsidRPr="00E936EE" w:rsidTr="00F260DB">
        <w:trPr>
          <w:trHeight w:val="330"/>
          <w:tblHeader/>
        </w:trPr>
        <w:tc>
          <w:tcPr>
            <w:tcW w:w="2557" w:type="dxa"/>
            <w:tcBorders>
              <w:bottom w:val="single" w:sz="8" w:space="0" w:color="002060"/>
            </w:tcBorders>
            <w:shd w:val="clear" w:color="auto" w:fill="D9E2F3" w:themeFill="accent5" w:themeFillTint="33"/>
            <w:vAlign w:val="center"/>
            <w:hideMark/>
          </w:tcPr>
          <w:p w:rsidR="005602C4" w:rsidRPr="00E936EE" w:rsidRDefault="005602C4" w:rsidP="00F260DB">
            <w:pPr>
              <w:rPr>
                <w:rFonts w:cs="Arial"/>
                <w:b/>
                <w:bCs/>
                <w:color w:val="002060"/>
                <w:szCs w:val="24"/>
              </w:rPr>
            </w:pPr>
            <w:r w:rsidRPr="00E936EE">
              <w:rPr>
                <w:rFonts w:cs="Arial"/>
                <w:b/>
                <w:bCs/>
                <w:color w:val="002060"/>
                <w:szCs w:val="24"/>
              </w:rPr>
              <w:t>Indicator Description</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Feb-19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Mar-19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Apr-19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May-19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Jun-19</w:t>
            </w:r>
          </w:p>
        </w:tc>
        <w:tc>
          <w:tcPr>
            <w:tcW w:w="838"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Jul-19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Aug-19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Sep-19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Pr>
                <w:rFonts w:cs="Arial"/>
                <w:b/>
                <w:bCs/>
                <w:color w:val="002060"/>
                <w:sz w:val="16"/>
                <w:szCs w:val="16"/>
              </w:rPr>
              <w:t>Oct</w:t>
            </w:r>
            <w:r w:rsidRPr="00E936EE">
              <w:rPr>
                <w:rFonts w:cs="Arial"/>
                <w:b/>
                <w:bCs/>
                <w:color w:val="002060"/>
                <w:sz w:val="16"/>
                <w:szCs w:val="16"/>
              </w:rPr>
              <w:t>-19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Pr>
                <w:rFonts w:cs="Arial"/>
                <w:b/>
                <w:bCs/>
                <w:color w:val="002060"/>
                <w:sz w:val="16"/>
                <w:szCs w:val="16"/>
              </w:rPr>
              <w:t>Nov</w:t>
            </w:r>
            <w:r w:rsidRPr="00E936EE">
              <w:rPr>
                <w:rFonts w:cs="Arial"/>
                <w:b/>
                <w:bCs/>
                <w:color w:val="002060"/>
                <w:sz w:val="16"/>
                <w:szCs w:val="16"/>
              </w:rPr>
              <w:t>-19</w:t>
            </w:r>
          </w:p>
        </w:tc>
        <w:tc>
          <w:tcPr>
            <w:tcW w:w="838" w:type="dxa"/>
            <w:tcBorders>
              <w:bottom w:val="single" w:sz="8" w:space="0" w:color="002060"/>
            </w:tcBorders>
            <w:shd w:val="clear" w:color="auto" w:fill="D9E2F3" w:themeFill="accent5" w:themeFillTint="33"/>
            <w:vAlign w:val="center"/>
          </w:tcPr>
          <w:p w:rsidR="005602C4" w:rsidRPr="00E936EE" w:rsidRDefault="005602C4" w:rsidP="00F260DB">
            <w:pPr>
              <w:jc w:val="center"/>
              <w:rPr>
                <w:rFonts w:ascii="Calibri" w:hAnsi="Calibri"/>
                <w:b/>
                <w:bCs/>
                <w:color w:val="002060"/>
                <w:sz w:val="32"/>
                <w:szCs w:val="32"/>
              </w:rPr>
            </w:pPr>
            <w:r>
              <w:rPr>
                <w:rFonts w:cs="Arial"/>
                <w:b/>
                <w:bCs/>
                <w:color w:val="002060"/>
                <w:sz w:val="16"/>
                <w:szCs w:val="16"/>
              </w:rPr>
              <w:t>Dec</w:t>
            </w:r>
            <w:r w:rsidRPr="00E936EE">
              <w:rPr>
                <w:rFonts w:cs="Arial"/>
                <w:b/>
                <w:bCs/>
                <w:color w:val="002060"/>
                <w:sz w:val="16"/>
                <w:szCs w:val="16"/>
              </w:rPr>
              <w:t>-19</w:t>
            </w:r>
          </w:p>
        </w:tc>
        <w:tc>
          <w:tcPr>
            <w:tcW w:w="1134" w:type="dxa"/>
            <w:vMerge/>
            <w:tcBorders>
              <w:bottom w:val="single" w:sz="8" w:space="0" w:color="002060"/>
            </w:tcBorders>
            <w:shd w:val="clear" w:color="auto" w:fill="002060"/>
            <w:vAlign w:val="center"/>
            <w:hideMark/>
          </w:tcPr>
          <w:p w:rsidR="005602C4" w:rsidRPr="00E936EE" w:rsidRDefault="005602C4" w:rsidP="00F260DB">
            <w:pPr>
              <w:jc w:val="center"/>
              <w:rPr>
                <w:rFonts w:ascii="Calibri" w:hAnsi="Calibri"/>
                <w:b/>
                <w:bCs/>
                <w:color w:val="002060"/>
                <w:sz w:val="32"/>
                <w:szCs w:val="32"/>
              </w:rPr>
            </w:pPr>
          </w:p>
        </w:tc>
        <w:tc>
          <w:tcPr>
            <w:tcW w:w="2693" w:type="dxa"/>
            <w:tcBorders>
              <w:bottom w:val="single" w:sz="8" w:space="0" w:color="002060"/>
            </w:tcBorders>
            <w:shd w:val="clear" w:color="000000" w:fill="D9E2F3" w:themeFill="accent5" w:themeFillTint="33"/>
            <w:vAlign w:val="center"/>
            <w:hideMark/>
          </w:tcPr>
          <w:p w:rsidR="005602C4" w:rsidRPr="00E936EE" w:rsidRDefault="005602C4" w:rsidP="00F260DB">
            <w:pPr>
              <w:jc w:val="center"/>
              <w:rPr>
                <w:rFonts w:cs="Arial"/>
                <w:b/>
                <w:bCs/>
                <w:color w:val="002060"/>
                <w:szCs w:val="24"/>
              </w:rPr>
            </w:pPr>
            <w:r w:rsidRPr="00E936EE">
              <w:rPr>
                <w:rFonts w:cs="Arial"/>
                <w:b/>
                <w:bCs/>
                <w:color w:val="002060"/>
                <w:szCs w:val="24"/>
              </w:rPr>
              <w:t>Trend</w:t>
            </w:r>
          </w:p>
        </w:tc>
      </w:tr>
      <w:tr w:rsidR="005602C4" w:rsidRPr="00AF5B5A" w:rsidTr="00F260DB">
        <w:trPr>
          <w:trHeight w:val="415"/>
          <w:tblHeader/>
        </w:trPr>
        <w:tc>
          <w:tcPr>
            <w:tcW w:w="255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r w:rsidRPr="007A5F15">
              <w:rPr>
                <w:rFonts w:ascii="Calibri" w:hAnsi="Calibri"/>
                <w:noProof/>
                <w:color w:val="000000"/>
                <w:sz w:val="22"/>
                <w:szCs w:val="22"/>
              </w:rPr>
              <mc:AlternateContent>
                <mc:Choice Requires="wps">
                  <w:drawing>
                    <wp:anchor distT="45720" distB="45720" distL="114300" distR="114300" simplePos="0" relativeHeight="251941376" behindDoc="0" locked="0" layoutInCell="1" allowOverlap="1" wp14:anchorId="540B308E" wp14:editId="4C5297CB">
                      <wp:simplePos x="0" y="0"/>
                      <wp:positionH relativeFrom="margin">
                        <wp:posOffset>-65405</wp:posOffset>
                      </wp:positionH>
                      <wp:positionV relativeFrom="paragraph">
                        <wp:posOffset>3175</wp:posOffset>
                      </wp:positionV>
                      <wp:extent cx="3267075" cy="1404620"/>
                      <wp:effectExtent l="0" t="0" r="0" b="0"/>
                      <wp:wrapNone/>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noFill/>
                              <a:ln w="9525">
                                <a:noFill/>
                                <a:miter lim="800000"/>
                                <a:headEnd/>
                                <a:tailEnd/>
                              </a:ln>
                            </wps:spPr>
                            <wps:txbx>
                              <w:txbxContent>
                                <w:p w:rsidR="00DD62B8" w:rsidRPr="007A5F15" w:rsidRDefault="00DD62B8" w:rsidP="005602C4">
                                  <w:pPr>
                                    <w:rPr>
                                      <w:color w:val="FF0000"/>
                                      <w:sz w:val="16"/>
                                      <w:szCs w:val="16"/>
                                    </w:rPr>
                                  </w:pPr>
                                  <w:r w:rsidRPr="00BB137A">
                                    <w:rPr>
                                      <w:color w:val="FFFFFF" w:themeColor="background1"/>
                                    </w:rPr>
                                    <w:t xml:space="preserve">Community Care </w:t>
                                  </w:r>
                                  <w:r w:rsidRPr="00275AB3">
                                    <w:rPr>
                                      <w:color w:val="FFFFFF" w:themeColor="background1"/>
                                    </w:rPr>
                                    <w:t>Metrics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40B308E" id="_x0000_s1029" type="#_x0000_t202" style="position:absolute;margin-left:-5.15pt;margin-top:.25pt;width:257.25pt;height:110.6pt;z-index:251941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" filled="f" stroked="f">
                      <v:textbox style="mso-fit-shape-to-text:t">
                        <w:txbxContent>
                          <w:p w:rsidR="00DD62B8" w:rsidRPr="007A5F15" w:rsidRDefault="00DD62B8" w:rsidP="005602C4">
                            <w:pPr>
                              <w:rPr>
                                <w:color w:val="FF0000"/>
                                <w:sz w:val="16"/>
                                <w:szCs w:val="16"/>
                              </w:rPr>
                            </w:pPr>
                            <w:r w:rsidRPr="00BB137A">
                              <w:rPr>
                                <w:color w:val="FFFFFF" w:themeColor="background1"/>
                              </w:rPr>
                              <w:t xml:space="preserve">Community Care </w:t>
                            </w:r>
                            <w:r w:rsidRPr="00275AB3">
                              <w:rPr>
                                <w:color w:val="FFFFFF" w:themeColor="background1"/>
                              </w:rPr>
                              <w:t>Metrics</w:t>
                            </w:r>
                          </w:p>
                        </w:txbxContent>
                      </v:textbox>
                      <w10:wrap anchorx="margin"/>
                    </v:shape>
                  </w:pict>
                </mc:Fallback>
              </mc:AlternateContent>
            </w: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1134"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2693"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F5B5A" w:rsidRDefault="005602C4" w:rsidP="00F260DB">
            <w:pPr>
              <w:jc w:val="center"/>
              <w:rPr>
                <w:rFonts w:cs="Arial"/>
                <w:b/>
                <w:bCs/>
                <w:color w:val="72469C"/>
                <w:sz w:val="16"/>
                <w:szCs w:val="16"/>
              </w:rPr>
            </w:pPr>
          </w:p>
        </w:tc>
      </w:tr>
      <w:tr w:rsidR="00E176E6" w:rsidRPr="007A5F15" w:rsidTr="00E176E6">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11B30" w:rsidRDefault="00E176E6" w:rsidP="00E176E6">
            <w:pPr>
              <w:rPr>
                <w:rFonts w:cs="Arial"/>
                <w:color w:val="002060"/>
                <w:sz w:val="16"/>
                <w:szCs w:val="16"/>
              </w:rPr>
            </w:pPr>
            <w:r w:rsidRPr="003C4E50">
              <w:rPr>
                <w:rFonts w:cs="Arial"/>
                <w:color w:val="002060"/>
                <w:sz w:val="16"/>
                <w:szCs w:val="16"/>
              </w:rPr>
              <w:t>District Nurse treatments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21655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47733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21655</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Default="00E176E6" w:rsidP="00E176E6">
            <w:pPr>
              <w:jc w:val="center"/>
              <w:rPr>
                <w:rFonts w:cs="Arial"/>
                <w:color w:val="002060"/>
                <w:sz w:val="20"/>
              </w:rPr>
            </w:pPr>
            <w:r>
              <w:rPr>
                <w:rFonts w:cs="Arial"/>
                <w:color w:val="002060"/>
                <w:sz w:val="20"/>
              </w:rPr>
              <w:t>16307</w:t>
            </w:r>
          </w:p>
        </w:tc>
        <w:tc>
          <w:tcPr>
            <w:tcW w:w="838" w:type="dxa"/>
            <w:tcBorders>
              <w:top w:val="single" w:sz="8" w:space="0" w:color="002060"/>
              <w:left w:val="nil"/>
              <w:bottom w:val="single" w:sz="8" w:space="0" w:color="002060"/>
              <w:right w:val="single" w:sz="8" w:space="0" w:color="002060"/>
            </w:tcBorders>
            <w:shd w:val="clear" w:color="auto" w:fill="auto"/>
            <w:vAlign w:val="center"/>
          </w:tcPr>
          <w:p w:rsidR="00E176E6" w:rsidRDefault="00E176E6" w:rsidP="00E176E6">
            <w:pPr>
              <w:jc w:val="center"/>
              <w:rPr>
                <w:rFonts w:cs="Arial"/>
                <w:color w:val="002060"/>
                <w:sz w:val="20"/>
              </w:rPr>
            </w:pPr>
            <w:r>
              <w:rPr>
                <w:rFonts w:cs="Arial"/>
                <w:color w:val="002060"/>
                <w:sz w:val="20"/>
              </w:rPr>
              <w:t>14838</w:t>
            </w:r>
          </w:p>
        </w:tc>
        <w:tc>
          <w:tcPr>
            <w:tcW w:w="1134" w:type="dxa"/>
            <w:tcBorders>
              <w:top w:val="nil"/>
              <w:left w:val="nil"/>
              <w:bottom w:val="single" w:sz="8" w:space="0" w:color="002060"/>
              <w:right w:val="single" w:sz="8" w:space="0" w:color="002060"/>
            </w:tcBorders>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17755</w:t>
            </w:r>
          </w:p>
        </w:tc>
        <w:tc>
          <w:tcPr>
            <w:tcW w:w="2693" w:type="dxa"/>
            <w:tcBorders>
              <w:top w:val="single" w:sz="8" w:space="0" w:color="002060"/>
            </w:tcBorders>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17962948" wp14:editId="76BA5D29">
                  <wp:extent cx="1419225" cy="371476"/>
                  <wp:effectExtent l="0" t="0" r="0" b="0"/>
                  <wp:docPr id="12" name="Chart 12">
                    <a:extLst xmlns:a="http://schemas.openxmlformats.org/drawingml/2006/main">
                      <a:ext uri="{FF2B5EF4-FFF2-40B4-BE49-F238E27FC236}">
                        <a16:creationId xmlns:lc="http://schemas.openxmlformats.org/drawingml/2006/lockedCanvas" xmlns="" xmlns:a16="http://schemas.microsoft.com/office/drawing/2014/main" xmlns:w="http://schemas.openxmlformats.org/wordprocessingml/2006/main" xmlns:w10="urn:schemas-microsoft-com:office:word" xmlns:v="urn:schemas-microsoft-com:vml" xmlns:o="urn:schemas-microsoft-com:office:office"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r>
      <w:tr w:rsidR="00E176E6" w:rsidRPr="007A5F15" w:rsidTr="00E176E6">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3C4E50">
              <w:rPr>
                <w:rFonts w:cs="Arial"/>
                <w:color w:val="002060"/>
                <w:sz w:val="16"/>
                <w:szCs w:val="16"/>
              </w:rPr>
              <w:t>Referral to At Home Services</w:t>
            </w:r>
          </w:p>
          <w:p w:rsidR="00E176E6" w:rsidRPr="00311B30" w:rsidRDefault="00E176E6" w:rsidP="00E176E6">
            <w:pPr>
              <w:rPr>
                <w:rFonts w:cs="Arial"/>
                <w:color w:val="002060"/>
                <w:sz w:val="16"/>
                <w:szCs w:val="16"/>
              </w:rPr>
            </w:pPr>
            <w:r w:rsidRPr="003C4E50">
              <w:rPr>
                <w:rFonts w:cs="Arial"/>
                <w:color w:val="002060"/>
                <w:sz w:val="16"/>
                <w:szCs w:val="16"/>
              </w:rPr>
              <w:t>(All Referrals)</w:t>
            </w:r>
          </w:p>
        </w:tc>
        <w:tc>
          <w:tcPr>
            <w:tcW w:w="837" w:type="dxa"/>
            <w:tcBorders>
              <w:top w:val="nil"/>
              <w:left w:val="single" w:sz="8" w:space="0" w:color="002060"/>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181</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173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193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160</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193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147</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153</w:t>
            </w:r>
          </w:p>
        </w:tc>
        <w:tc>
          <w:tcPr>
            <w:tcW w:w="83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Default="00E176E6" w:rsidP="00E176E6">
            <w:pPr>
              <w:jc w:val="center"/>
              <w:rPr>
                <w:rFonts w:cs="Arial"/>
                <w:color w:val="002060"/>
                <w:sz w:val="20"/>
              </w:rPr>
            </w:pPr>
            <w:r>
              <w:rPr>
                <w:rFonts w:cs="Arial"/>
                <w:color w:val="002060"/>
                <w:sz w:val="20"/>
              </w:rPr>
              <w:t>179</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Default="00E176E6" w:rsidP="00E176E6">
            <w:pPr>
              <w:jc w:val="center"/>
              <w:rPr>
                <w:rFonts w:cs="Arial"/>
                <w:color w:val="002060"/>
                <w:sz w:val="20"/>
              </w:rPr>
            </w:pPr>
            <w:r>
              <w:rPr>
                <w:rFonts w:cs="Arial"/>
                <w:color w:val="002060"/>
                <w:sz w:val="20"/>
              </w:rPr>
              <w:t>164</w:t>
            </w:r>
          </w:p>
        </w:tc>
        <w:tc>
          <w:tcPr>
            <w:tcW w:w="838" w:type="dxa"/>
            <w:tcBorders>
              <w:top w:val="single" w:sz="8" w:space="0" w:color="002060"/>
              <w:left w:val="nil"/>
              <w:bottom w:val="single" w:sz="8" w:space="0" w:color="002060"/>
              <w:right w:val="single" w:sz="8" w:space="0" w:color="002060"/>
            </w:tcBorders>
            <w:shd w:val="clear" w:color="auto" w:fill="auto"/>
            <w:vAlign w:val="center"/>
          </w:tcPr>
          <w:p w:rsidR="00E176E6" w:rsidRDefault="00E176E6" w:rsidP="00E176E6">
            <w:pPr>
              <w:jc w:val="center"/>
              <w:rPr>
                <w:rFonts w:cs="Arial"/>
                <w:color w:val="002060"/>
                <w:sz w:val="20"/>
              </w:rPr>
            </w:pPr>
            <w:r>
              <w:rPr>
                <w:rFonts w:cs="Arial"/>
                <w:color w:val="002060"/>
                <w:sz w:val="20"/>
              </w:rPr>
              <w:t>136</w:t>
            </w:r>
          </w:p>
        </w:tc>
        <w:tc>
          <w:tcPr>
            <w:tcW w:w="1134" w:type="dxa"/>
            <w:tcBorders>
              <w:top w:val="single" w:sz="8" w:space="0" w:color="002060"/>
              <w:left w:val="nil"/>
              <w:bottom w:val="single" w:sz="8" w:space="0" w:color="002060"/>
              <w:right w:val="single" w:sz="8" w:space="0" w:color="002060"/>
            </w:tcBorders>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193</w:t>
            </w:r>
          </w:p>
        </w:tc>
        <w:tc>
          <w:tcPr>
            <w:tcW w:w="2693" w:type="dxa"/>
            <w:tcBorders>
              <w:top w:val="single" w:sz="8" w:space="0" w:color="002060"/>
            </w:tcBorders>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6694DBF6" wp14:editId="77C7661F">
                  <wp:extent cx="1419225" cy="371476"/>
                  <wp:effectExtent l="0" t="0" r="0" b="0"/>
                  <wp:docPr id="15" name="Chart 15">
                    <a:extLst xmlns:a="http://schemas.openxmlformats.org/drawingml/2006/main">
                      <a:ext uri="{FF2B5EF4-FFF2-40B4-BE49-F238E27FC236}">
                        <a16:creationId xmlns:lc="http://schemas.openxmlformats.org/drawingml/2006/lockedCanvas" xmlns="" xmlns:a16="http://schemas.microsoft.com/office/drawing/2014/main" xmlns:w="http://schemas.openxmlformats.org/wordprocessingml/2006/main" xmlns:w10="urn:schemas-microsoft-com:office:word" xmlns:v="urn:schemas-microsoft-com:vml" xmlns:o="urn:schemas-microsoft-com:office:office"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tc>
      </w:tr>
      <w:tr w:rsidR="00E176E6" w:rsidRPr="007A5F15" w:rsidTr="00B427ED">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E176E6" w:rsidRPr="00311B30" w:rsidRDefault="00E176E6" w:rsidP="00E176E6">
            <w:pPr>
              <w:rPr>
                <w:rFonts w:cs="Arial"/>
                <w:color w:val="002060"/>
                <w:sz w:val="16"/>
                <w:szCs w:val="16"/>
              </w:rPr>
            </w:pPr>
            <w:r w:rsidRPr="000D4E08">
              <w:rPr>
                <w:rFonts w:cs="Arial"/>
                <w:color w:val="002060"/>
                <w:sz w:val="16"/>
                <w:szCs w:val="16"/>
              </w:rPr>
              <w:t xml:space="preserve">Maesteg Hospital </w:t>
            </w:r>
            <w:r w:rsidRPr="003C4E50">
              <w:rPr>
                <w:rFonts w:cs="Arial"/>
                <w:color w:val="002060"/>
                <w:sz w:val="16"/>
                <w:szCs w:val="16"/>
              </w:rPr>
              <w:t>(ALOS)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 </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 </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35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32</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36</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42</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46</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24</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bCs/>
                <w:color w:val="002060"/>
                <w:sz w:val="20"/>
              </w:rPr>
            </w:pPr>
            <w:r>
              <w:rPr>
                <w:rFonts w:cs="Arial"/>
                <w:color w:val="002060"/>
                <w:sz w:val="20"/>
              </w:rPr>
              <w:t> 72</w:t>
            </w:r>
          </w:p>
        </w:tc>
        <w:tc>
          <w:tcPr>
            <w:tcW w:w="1134" w:type="dxa"/>
            <w:tcBorders>
              <w:top w:val="nil"/>
              <w:left w:val="nil"/>
              <w:bottom w:val="single" w:sz="8" w:space="0" w:color="002060"/>
              <w:right w:val="single" w:sz="8" w:space="0" w:color="002060"/>
            </w:tcBorders>
            <w:shd w:val="clear" w:color="auto" w:fill="auto"/>
            <w:vAlign w:val="center"/>
          </w:tcPr>
          <w:p w:rsidR="00E176E6" w:rsidRPr="00F51175" w:rsidRDefault="00E176E6" w:rsidP="00E176E6">
            <w:pPr>
              <w:jc w:val="center"/>
              <w:rPr>
                <w:rFonts w:cs="Arial"/>
                <w:b/>
                <w:bCs/>
                <w:color w:val="002060"/>
                <w:sz w:val="32"/>
                <w:szCs w:val="32"/>
              </w:rPr>
            </w:pPr>
            <w:r>
              <w:rPr>
                <w:rFonts w:cs="Arial"/>
                <w:b/>
                <w:bCs/>
                <w:color w:val="002060"/>
                <w:sz w:val="32"/>
                <w:szCs w:val="32"/>
              </w:rPr>
              <w:t>54 </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37A5B9D5" wp14:editId="6BD702E8">
                  <wp:extent cx="1419225" cy="371476"/>
                  <wp:effectExtent l="0" t="0" r="0" b="0"/>
                  <wp:docPr id="34" name="Chart 34">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tc>
      </w:tr>
      <w:tr w:rsidR="00E176E6" w:rsidRPr="007A5F15" w:rsidTr="00B427ED">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0D4E08">
              <w:rPr>
                <w:rFonts w:cs="Arial"/>
                <w:color w:val="002060"/>
                <w:sz w:val="16"/>
                <w:szCs w:val="16"/>
              </w:rPr>
              <w:t>Ysbyty Cwm Cynon</w:t>
            </w:r>
            <w:r>
              <w:rPr>
                <w:rFonts w:cs="Arial"/>
                <w:color w:val="002060"/>
                <w:sz w:val="16"/>
                <w:szCs w:val="16"/>
              </w:rPr>
              <w:t xml:space="preserve"> </w:t>
            </w:r>
            <w:r w:rsidRPr="003C4E50">
              <w:rPr>
                <w:rFonts w:cs="Arial"/>
                <w:color w:val="002060"/>
                <w:sz w:val="16"/>
                <w:szCs w:val="16"/>
              </w:rPr>
              <w:t>(ALOS)</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47</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45</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51</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42</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46</w:t>
            </w:r>
          </w:p>
        </w:tc>
        <w:tc>
          <w:tcPr>
            <w:tcW w:w="838"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48</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53</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40</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55</w:t>
            </w:r>
          </w:p>
        </w:tc>
        <w:tc>
          <w:tcPr>
            <w:tcW w:w="837" w:type="dxa"/>
            <w:tcBorders>
              <w:top w:val="single" w:sz="8" w:space="0" w:color="002060"/>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42</w:t>
            </w:r>
          </w:p>
        </w:tc>
        <w:tc>
          <w:tcPr>
            <w:tcW w:w="838" w:type="dxa"/>
            <w:vAlign w:val="center"/>
          </w:tcPr>
          <w:p w:rsidR="00E176E6" w:rsidRPr="00311B30" w:rsidRDefault="00E176E6" w:rsidP="00E176E6">
            <w:pPr>
              <w:jc w:val="center"/>
              <w:rPr>
                <w:rFonts w:cs="Arial"/>
                <w:bCs/>
                <w:color w:val="002060"/>
                <w:sz w:val="20"/>
              </w:rPr>
            </w:pPr>
            <w:r>
              <w:rPr>
                <w:rFonts w:cs="Arial"/>
                <w:bCs/>
                <w:color w:val="002060"/>
                <w:sz w:val="20"/>
              </w:rPr>
              <w:t>49</w:t>
            </w:r>
          </w:p>
        </w:tc>
        <w:tc>
          <w:tcPr>
            <w:tcW w:w="1134" w:type="dxa"/>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51</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32977904" wp14:editId="780A564E">
                  <wp:extent cx="1419225" cy="371476"/>
                  <wp:effectExtent l="0" t="0" r="0" b="0"/>
                  <wp:docPr id="35" name="Chart 35">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tc>
      </w:tr>
      <w:tr w:rsidR="00E176E6" w:rsidRPr="007A5F15" w:rsidTr="00B427ED">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0D4E08">
              <w:rPr>
                <w:rFonts w:cs="Arial"/>
                <w:color w:val="002060"/>
                <w:sz w:val="16"/>
                <w:szCs w:val="16"/>
              </w:rPr>
              <w:t xml:space="preserve">Ysbyty Cwm Rhondda </w:t>
            </w:r>
            <w:r w:rsidRPr="003C4E50">
              <w:rPr>
                <w:rFonts w:cs="Arial"/>
                <w:color w:val="002060"/>
                <w:sz w:val="16"/>
                <w:szCs w:val="16"/>
              </w:rPr>
              <w:t>(ALOS)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51</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52</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50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67</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63</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62</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67</w:t>
            </w:r>
          </w:p>
        </w:tc>
        <w:tc>
          <w:tcPr>
            <w:tcW w:w="838" w:type="dxa"/>
            <w:vAlign w:val="center"/>
          </w:tcPr>
          <w:p w:rsidR="00E176E6" w:rsidRPr="00311B30" w:rsidRDefault="00E176E6" w:rsidP="00E176E6">
            <w:pPr>
              <w:jc w:val="center"/>
              <w:rPr>
                <w:rFonts w:cs="Arial"/>
                <w:bCs/>
                <w:color w:val="002060"/>
                <w:sz w:val="20"/>
              </w:rPr>
            </w:pPr>
            <w:r>
              <w:rPr>
                <w:rFonts w:cs="Arial"/>
                <w:bCs/>
                <w:color w:val="002060"/>
                <w:sz w:val="20"/>
              </w:rPr>
              <w:t>47</w:t>
            </w:r>
          </w:p>
        </w:tc>
        <w:tc>
          <w:tcPr>
            <w:tcW w:w="1134" w:type="dxa"/>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56</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3F9DF5F5" wp14:editId="29F18927">
                  <wp:extent cx="1419225" cy="371476"/>
                  <wp:effectExtent l="0" t="0" r="0" b="0"/>
                  <wp:docPr id="36" name="Chart 36">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r>
      <w:tr w:rsidR="00E176E6" w:rsidRPr="007A5F15" w:rsidTr="00A650C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0D4E08">
              <w:rPr>
                <w:rFonts w:cs="Arial"/>
                <w:color w:val="002060"/>
                <w:sz w:val="16"/>
                <w:szCs w:val="16"/>
              </w:rPr>
              <w:t>Palliative Medicine, Bridgend</w:t>
            </w:r>
            <w:r>
              <w:rPr>
                <w:rFonts w:cs="Arial"/>
                <w:color w:val="002060"/>
                <w:sz w:val="16"/>
                <w:szCs w:val="16"/>
              </w:rPr>
              <w:t xml:space="preserve"> </w:t>
            </w:r>
            <w:r w:rsidRPr="003C4E50">
              <w:rPr>
                <w:rFonts w:cs="Arial"/>
                <w:color w:val="002060"/>
                <w:sz w:val="16"/>
                <w:szCs w:val="16"/>
              </w:rPr>
              <w:t>(ALOS)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 </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 </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26</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16</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19</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24</w:t>
            </w:r>
          </w:p>
        </w:tc>
        <w:tc>
          <w:tcPr>
            <w:tcW w:w="838" w:type="dxa"/>
            <w:vAlign w:val="center"/>
          </w:tcPr>
          <w:p w:rsidR="00E176E6" w:rsidRPr="00311B30" w:rsidRDefault="00E176E6" w:rsidP="00E176E6">
            <w:pPr>
              <w:jc w:val="center"/>
              <w:rPr>
                <w:rFonts w:cs="Arial"/>
                <w:bCs/>
                <w:color w:val="002060"/>
                <w:sz w:val="20"/>
              </w:rPr>
            </w:pPr>
            <w:r>
              <w:rPr>
                <w:rFonts w:cs="Arial"/>
                <w:bCs/>
                <w:color w:val="002060"/>
                <w:sz w:val="20"/>
              </w:rPr>
              <w:t>10</w:t>
            </w:r>
          </w:p>
        </w:tc>
        <w:tc>
          <w:tcPr>
            <w:tcW w:w="1134" w:type="dxa"/>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12</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32276C25" wp14:editId="2D6C8C27">
                  <wp:extent cx="1419225" cy="371476"/>
                  <wp:effectExtent l="0" t="0" r="0" b="0"/>
                  <wp:docPr id="6" name="Chart 6">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r w:rsidR="00E176E6" w:rsidRPr="007A5F15" w:rsidTr="00A650C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0D4E08">
              <w:rPr>
                <w:rFonts w:cs="Arial"/>
                <w:color w:val="002060"/>
                <w:sz w:val="16"/>
                <w:szCs w:val="16"/>
              </w:rPr>
              <w:t xml:space="preserve">Palliative Medicine, </w:t>
            </w:r>
            <w:r>
              <w:rPr>
                <w:rFonts w:cs="Arial"/>
                <w:color w:val="002060"/>
                <w:sz w:val="16"/>
                <w:szCs w:val="16"/>
              </w:rPr>
              <w:t>P</w:t>
            </w:r>
            <w:r w:rsidRPr="000D4E08">
              <w:rPr>
                <w:rFonts w:cs="Arial"/>
                <w:color w:val="002060"/>
                <w:sz w:val="16"/>
                <w:szCs w:val="16"/>
              </w:rPr>
              <w:t>ontypridd/RGH</w:t>
            </w:r>
            <w:r>
              <w:rPr>
                <w:rFonts w:cs="Arial"/>
                <w:color w:val="002060"/>
                <w:sz w:val="16"/>
                <w:szCs w:val="16"/>
              </w:rPr>
              <w:t xml:space="preserve"> </w:t>
            </w:r>
            <w:r w:rsidRPr="003C4E50">
              <w:rPr>
                <w:rFonts w:cs="Arial"/>
                <w:color w:val="002060"/>
                <w:sz w:val="16"/>
                <w:szCs w:val="16"/>
              </w:rPr>
              <w:t>(ALOS)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6</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14</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12</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30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19</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10</w:t>
            </w:r>
          </w:p>
        </w:tc>
        <w:tc>
          <w:tcPr>
            <w:tcW w:w="838" w:type="dxa"/>
            <w:vAlign w:val="center"/>
          </w:tcPr>
          <w:p w:rsidR="00E176E6" w:rsidRPr="00311B30" w:rsidRDefault="00E176E6" w:rsidP="00E176E6">
            <w:pPr>
              <w:jc w:val="center"/>
              <w:rPr>
                <w:rFonts w:cs="Arial"/>
                <w:bCs/>
                <w:color w:val="002060"/>
                <w:sz w:val="20"/>
              </w:rPr>
            </w:pPr>
            <w:r>
              <w:rPr>
                <w:rFonts w:cs="Arial"/>
                <w:bCs/>
                <w:color w:val="002060"/>
                <w:sz w:val="20"/>
              </w:rPr>
              <w:t>14</w:t>
            </w:r>
          </w:p>
        </w:tc>
        <w:tc>
          <w:tcPr>
            <w:tcW w:w="1134" w:type="dxa"/>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7</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38497D4C" wp14:editId="7658B13C">
                  <wp:extent cx="1419225" cy="371476"/>
                  <wp:effectExtent l="0" t="0" r="0" b="0"/>
                  <wp:docPr id="16" name="Chart 16">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tc>
      </w:tr>
      <w:tr w:rsidR="00E176E6" w:rsidRPr="007A5F15" w:rsidTr="00F260D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E176E6" w:rsidRPr="003C4E50" w:rsidRDefault="00E176E6" w:rsidP="00E176E6">
            <w:pPr>
              <w:rPr>
                <w:rFonts w:cs="Arial"/>
                <w:color w:val="002060"/>
                <w:sz w:val="16"/>
                <w:szCs w:val="16"/>
              </w:rPr>
            </w:pPr>
            <w:r w:rsidRPr="000D4E08">
              <w:rPr>
                <w:rFonts w:cs="Arial"/>
                <w:color w:val="002060"/>
                <w:sz w:val="16"/>
                <w:szCs w:val="16"/>
              </w:rPr>
              <w:t>Palliative Medicine, YCC</w:t>
            </w:r>
            <w:r>
              <w:rPr>
                <w:rFonts w:cs="Arial"/>
                <w:color w:val="002060"/>
                <w:sz w:val="16"/>
                <w:szCs w:val="16"/>
              </w:rPr>
              <w:t xml:space="preserve"> </w:t>
            </w:r>
            <w:r w:rsidRPr="003C4E50">
              <w:rPr>
                <w:rFonts w:cs="Arial"/>
                <w:color w:val="002060"/>
                <w:sz w:val="16"/>
                <w:szCs w:val="16"/>
              </w:rPr>
              <w:t>(ALOS)</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27</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40</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21</w:t>
            </w:r>
          </w:p>
        </w:tc>
        <w:tc>
          <w:tcPr>
            <w:tcW w:w="838"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12</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18</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bCs/>
                <w:color w:val="002060"/>
                <w:sz w:val="20"/>
              </w:rPr>
              <w:t>25</w:t>
            </w:r>
          </w:p>
        </w:tc>
        <w:tc>
          <w:tcPr>
            <w:tcW w:w="837" w:type="dxa"/>
            <w:tcBorders>
              <w:top w:val="nil"/>
              <w:left w:val="nil"/>
              <w:bottom w:val="single" w:sz="8" w:space="0" w:color="002060"/>
              <w:right w:val="single" w:sz="8" w:space="0" w:color="002060"/>
            </w:tcBorders>
            <w:shd w:val="clear" w:color="auto" w:fill="auto"/>
            <w:vAlign w:val="center"/>
          </w:tcPr>
          <w:p w:rsidR="00E176E6" w:rsidRPr="00311B30" w:rsidRDefault="00E176E6" w:rsidP="00E176E6">
            <w:pPr>
              <w:jc w:val="center"/>
              <w:rPr>
                <w:rFonts w:cs="Arial"/>
                <w:color w:val="002060"/>
                <w:sz w:val="20"/>
              </w:rPr>
            </w:pPr>
            <w:r>
              <w:rPr>
                <w:rFonts w:cs="Arial"/>
                <w:color w:val="002060"/>
                <w:sz w:val="20"/>
              </w:rPr>
              <w:t>29</w:t>
            </w:r>
          </w:p>
        </w:tc>
        <w:tc>
          <w:tcPr>
            <w:tcW w:w="838" w:type="dxa"/>
            <w:vAlign w:val="center"/>
          </w:tcPr>
          <w:p w:rsidR="00E176E6" w:rsidRPr="00311B30" w:rsidRDefault="00E176E6" w:rsidP="00E176E6">
            <w:pPr>
              <w:jc w:val="center"/>
              <w:rPr>
                <w:rFonts w:cs="Arial"/>
                <w:bCs/>
                <w:color w:val="002060"/>
                <w:sz w:val="20"/>
              </w:rPr>
            </w:pPr>
            <w:r>
              <w:rPr>
                <w:rFonts w:cs="Arial"/>
                <w:bCs/>
                <w:color w:val="002060"/>
                <w:sz w:val="20"/>
              </w:rPr>
              <w:t>16</w:t>
            </w:r>
          </w:p>
        </w:tc>
        <w:tc>
          <w:tcPr>
            <w:tcW w:w="1134" w:type="dxa"/>
            <w:shd w:val="clear" w:color="auto" w:fill="auto"/>
            <w:vAlign w:val="center"/>
          </w:tcPr>
          <w:p w:rsidR="00E176E6" w:rsidRDefault="00E176E6" w:rsidP="00E176E6">
            <w:pPr>
              <w:jc w:val="center"/>
              <w:rPr>
                <w:rFonts w:cs="Arial"/>
                <w:b/>
                <w:bCs/>
                <w:color w:val="002060"/>
                <w:sz w:val="32"/>
                <w:szCs w:val="32"/>
              </w:rPr>
            </w:pPr>
            <w:r>
              <w:rPr>
                <w:rFonts w:cs="Arial"/>
                <w:b/>
                <w:bCs/>
                <w:color w:val="002060"/>
                <w:sz w:val="32"/>
                <w:szCs w:val="32"/>
              </w:rPr>
              <w:t>25</w:t>
            </w:r>
          </w:p>
        </w:tc>
        <w:tc>
          <w:tcPr>
            <w:tcW w:w="2693" w:type="dxa"/>
            <w:shd w:val="clear" w:color="auto" w:fill="auto"/>
            <w:vAlign w:val="center"/>
          </w:tcPr>
          <w:p w:rsidR="00E176E6" w:rsidRPr="00311B30" w:rsidRDefault="00E176E6" w:rsidP="00E176E6">
            <w:pPr>
              <w:rPr>
                <w:rFonts w:cs="Arial"/>
                <w:b/>
                <w:bCs/>
                <w:color w:val="002060"/>
                <w:sz w:val="40"/>
                <w:szCs w:val="40"/>
              </w:rPr>
            </w:pPr>
            <w:r>
              <w:rPr>
                <w:noProof/>
              </w:rPr>
              <w:drawing>
                <wp:inline distT="0" distB="0" distL="0" distR="0" wp14:anchorId="439448D4" wp14:editId="2ABAB493">
                  <wp:extent cx="1419225" cy="371476"/>
                  <wp:effectExtent l="0" t="0" r="0" b="0"/>
                  <wp:docPr id="9" name="Chart 9">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a16="http://schemas.microsoft.com/office/drawing/2014/main" xmlns="" xmlns:xdr="http://schemas.openxmlformats.org/drawingml/2006/spreadsheetDrawing"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tc>
      </w:tr>
    </w:tbl>
    <w:p w:rsidR="00482B3D" w:rsidRDefault="00482B3D" w:rsidP="003C4E50">
      <w:pPr>
        <w:jc w:val="both"/>
        <w:rPr>
          <w:rFonts w:ascii="Verdana" w:hAnsi="Verdana"/>
          <w:b/>
        </w:rPr>
      </w:pPr>
    </w:p>
    <w:p w:rsidR="00BB137A" w:rsidRDefault="003C4E50" w:rsidP="003C4E50">
      <w:pPr>
        <w:jc w:val="both"/>
        <w:rPr>
          <w:rFonts w:ascii="Verdana" w:hAnsi="Verdana"/>
          <w:b/>
        </w:rPr>
      </w:pPr>
      <w:r w:rsidRPr="003D0C1B">
        <w:rPr>
          <w:rFonts w:ascii="Verdana" w:hAnsi="Verdana"/>
          <w:b/>
        </w:rPr>
        <w:t xml:space="preserve">District Nurse </w:t>
      </w:r>
      <w:r w:rsidR="00955742" w:rsidRPr="003D0C1B">
        <w:rPr>
          <w:rFonts w:ascii="Verdana" w:hAnsi="Verdana"/>
          <w:b/>
        </w:rPr>
        <w:t>Treatments</w:t>
      </w:r>
      <w:r w:rsidR="00BB137A" w:rsidRPr="003D0C1B">
        <w:rPr>
          <w:rFonts w:ascii="Verdana" w:hAnsi="Verdana"/>
          <w:b/>
        </w:rPr>
        <w:t>:</w:t>
      </w:r>
    </w:p>
    <w:p w:rsidR="00336F30" w:rsidRPr="00336F30" w:rsidRDefault="00336F30" w:rsidP="00336F30">
      <w:pPr>
        <w:rPr>
          <w:rFonts w:ascii="Verdana" w:hAnsi="Verdana" w:cs="Arial"/>
          <w:szCs w:val="24"/>
        </w:rPr>
      </w:pPr>
      <w:r>
        <w:rPr>
          <w:rFonts w:ascii="Verdana" w:hAnsi="Verdana" w:cs="Arial"/>
          <w:szCs w:val="24"/>
        </w:rPr>
        <w:t xml:space="preserve">The </w:t>
      </w:r>
      <w:r w:rsidRPr="00336F30">
        <w:rPr>
          <w:rFonts w:ascii="Verdana" w:hAnsi="Verdana" w:cs="Arial"/>
          <w:szCs w:val="24"/>
        </w:rPr>
        <w:t>key developmen</w:t>
      </w:r>
      <w:r>
        <w:rPr>
          <w:rFonts w:ascii="Verdana" w:hAnsi="Verdana" w:cs="Arial"/>
          <w:szCs w:val="24"/>
        </w:rPr>
        <w:t>t to report is the</w:t>
      </w:r>
      <w:r w:rsidRPr="00336F30">
        <w:rPr>
          <w:rFonts w:ascii="Verdana" w:hAnsi="Verdana" w:cs="Arial"/>
          <w:szCs w:val="24"/>
        </w:rPr>
        <w:t xml:space="preserve"> plan to further roll-out our Neighbourhood Nu</w:t>
      </w:r>
      <w:r>
        <w:rPr>
          <w:rFonts w:ascii="Verdana" w:hAnsi="Verdana" w:cs="Arial"/>
          <w:szCs w:val="24"/>
        </w:rPr>
        <w:t>rsing work to more teams across the Health Board</w:t>
      </w:r>
      <w:r w:rsidRPr="00336F30">
        <w:rPr>
          <w:rFonts w:ascii="Verdana" w:hAnsi="Verdana" w:cs="Arial"/>
          <w:szCs w:val="24"/>
        </w:rPr>
        <w:t>. This has already now start</w:t>
      </w:r>
      <w:r>
        <w:rPr>
          <w:rFonts w:ascii="Verdana" w:hAnsi="Verdana" w:cs="Arial"/>
          <w:szCs w:val="24"/>
        </w:rPr>
        <w:t>ed in the Cynon Valley and will progress month on month across the localities.</w:t>
      </w:r>
    </w:p>
    <w:p w:rsidR="00336F30" w:rsidRPr="00336F30" w:rsidRDefault="00336F30" w:rsidP="00336F30">
      <w:pPr>
        <w:rPr>
          <w:rFonts w:ascii="Verdana" w:hAnsi="Verdana" w:cs="Arial"/>
          <w:szCs w:val="24"/>
        </w:rPr>
      </w:pPr>
      <w:r>
        <w:rPr>
          <w:rFonts w:ascii="Verdana" w:hAnsi="Verdana" w:cs="Arial"/>
          <w:szCs w:val="24"/>
        </w:rPr>
        <w:t xml:space="preserve">As part of the above the service is </w:t>
      </w:r>
      <w:r w:rsidRPr="00336F30">
        <w:rPr>
          <w:rFonts w:ascii="Verdana" w:hAnsi="Verdana" w:cs="Arial"/>
          <w:szCs w:val="24"/>
        </w:rPr>
        <w:t>working on t</w:t>
      </w:r>
      <w:r>
        <w:rPr>
          <w:rFonts w:ascii="Verdana" w:hAnsi="Verdana" w:cs="Arial"/>
          <w:szCs w:val="24"/>
        </w:rPr>
        <w:t>he widescale introduction of an</w:t>
      </w:r>
      <w:r w:rsidRPr="00336F30">
        <w:rPr>
          <w:rFonts w:ascii="Verdana" w:hAnsi="Verdana" w:cs="Arial"/>
          <w:szCs w:val="24"/>
        </w:rPr>
        <w:t xml:space="preserve"> automated e</w:t>
      </w:r>
      <w:r>
        <w:rPr>
          <w:rFonts w:ascii="Verdana" w:hAnsi="Verdana" w:cs="Arial"/>
          <w:szCs w:val="24"/>
        </w:rPr>
        <w:t xml:space="preserve">lectronic scheduling tool </w:t>
      </w:r>
      <w:r w:rsidRPr="00336F30">
        <w:rPr>
          <w:rFonts w:ascii="Verdana" w:hAnsi="Verdana" w:cs="Arial"/>
          <w:szCs w:val="24"/>
        </w:rPr>
        <w:t>(Malinko) across the team</w:t>
      </w:r>
      <w:r>
        <w:rPr>
          <w:rFonts w:ascii="Verdana" w:hAnsi="Verdana" w:cs="Arial"/>
          <w:szCs w:val="24"/>
        </w:rPr>
        <w:t>s. This will confidently provide</w:t>
      </w:r>
      <w:r w:rsidRPr="00336F30">
        <w:rPr>
          <w:rFonts w:ascii="Verdana" w:hAnsi="Verdana" w:cs="Arial"/>
          <w:szCs w:val="24"/>
        </w:rPr>
        <w:t xml:space="preserve"> real time, robust patient activity data in</w:t>
      </w:r>
      <w:r>
        <w:rPr>
          <w:rFonts w:ascii="Verdana" w:hAnsi="Verdana" w:cs="Arial"/>
          <w:szCs w:val="24"/>
        </w:rPr>
        <w:t xml:space="preserve"> a way that will increase assurance of the impact of the teams</w:t>
      </w:r>
      <w:r w:rsidRPr="00336F30">
        <w:rPr>
          <w:rFonts w:ascii="Verdana" w:hAnsi="Verdana" w:cs="Arial"/>
          <w:szCs w:val="24"/>
        </w:rPr>
        <w:t>. It will also have the bene</w:t>
      </w:r>
      <w:r>
        <w:rPr>
          <w:rFonts w:ascii="Verdana" w:hAnsi="Verdana" w:cs="Arial"/>
          <w:szCs w:val="24"/>
        </w:rPr>
        <w:t>fit of us being able to flex the</w:t>
      </w:r>
      <w:r w:rsidRPr="00336F30">
        <w:rPr>
          <w:rFonts w:ascii="Verdana" w:hAnsi="Verdana" w:cs="Arial"/>
          <w:szCs w:val="24"/>
        </w:rPr>
        <w:t xml:space="preserve"> workforce across the service in order to meet demand based on credible, live data. </w:t>
      </w:r>
      <w:r>
        <w:rPr>
          <w:rFonts w:ascii="Verdana" w:hAnsi="Verdana" w:cs="Arial"/>
          <w:szCs w:val="24"/>
        </w:rPr>
        <w:t>This will eventually be rolled out across the Health Board.</w:t>
      </w:r>
    </w:p>
    <w:p w:rsidR="000C7F26" w:rsidRPr="003D0C1B" w:rsidRDefault="000C7F26" w:rsidP="003C4E50">
      <w:pPr>
        <w:jc w:val="both"/>
        <w:rPr>
          <w:rFonts w:ascii="Verdana" w:hAnsi="Verdana"/>
        </w:rPr>
      </w:pPr>
    </w:p>
    <w:p w:rsidR="003C4E50" w:rsidRPr="003D0C1B" w:rsidRDefault="003C4E50" w:rsidP="003C4E50">
      <w:pPr>
        <w:jc w:val="both"/>
        <w:rPr>
          <w:rFonts w:ascii="Verdana" w:hAnsi="Verdana"/>
          <w:b/>
        </w:rPr>
      </w:pPr>
      <w:r w:rsidRPr="003D0C1B">
        <w:rPr>
          <w:rFonts w:ascii="Verdana" w:hAnsi="Verdana"/>
          <w:b/>
        </w:rPr>
        <w:t>Referrals to At Home Services:</w:t>
      </w:r>
    </w:p>
    <w:p w:rsidR="006055C4" w:rsidRDefault="006055C4" w:rsidP="006055C4">
      <w:pPr>
        <w:rPr>
          <w:rFonts w:ascii="Verdana" w:hAnsi="Verdana" w:cs="Arial"/>
          <w:szCs w:val="24"/>
        </w:rPr>
      </w:pPr>
      <w:r w:rsidRPr="006055C4">
        <w:rPr>
          <w:rFonts w:ascii="Verdana" w:hAnsi="Verdana" w:cs="Arial"/>
          <w:szCs w:val="24"/>
        </w:rPr>
        <w:t>Referrals for IV at home pat</w:t>
      </w:r>
      <w:r>
        <w:rPr>
          <w:rFonts w:ascii="Verdana" w:hAnsi="Verdana" w:cs="Arial"/>
          <w:szCs w:val="24"/>
        </w:rPr>
        <w:t xml:space="preserve">ients continue at a steady rate with some innovative practice being piloted. This involves </w:t>
      </w:r>
      <w:r w:rsidRPr="006055C4">
        <w:rPr>
          <w:rFonts w:ascii="Verdana" w:hAnsi="Verdana" w:cs="Arial"/>
          <w:szCs w:val="24"/>
        </w:rPr>
        <w:t>deliver</w:t>
      </w:r>
      <w:r>
        <w:rPr>
          <w:rFonts w:ascii="Verdana" w:hAnsi="Verdana" w:cs="Arial"/>
          <w:szCs w:val="24"/>
        </w:rPr>
        <w:t>ing</w:t>
      </w:r>
      <w:r w:rsidRPr="006055C4">
        <w:rPr>
          <w:rFonts w:ascii="Verdana" w:hAnsi="Verdana" w:cs="Arial"/>
          <w:szCs w:val="24"/>
        </w:rPr>
        <w:t xml:space="preserve"> IV’s through a once daily device called Accufuser. Three patients </w:t>
      </w:r>
      <w:r>
        <w:rPr>
          <w:rFonts w:ascii="Verdana" w:hAnsi="Verdana" w:cs="Arial"/>
          <w:szCs w:val="24"/>
        </w:rPr>
        <w:t xml:space="preserve">have been </w:t>
      </w:r>
      <w:r w:rsidRPr="006055C4">
        <w:rPr>
          <w:rFonts w:ascii="Verdana" w:hAnsi="Verdana" w:cs="Arial"/>
          <w:szCs w:val="24"/>
        </w:rPr>
        <w:t xml:space="preserve">seen so far and these are the </w:t>
      </w:r>
      <w:r>
        <w:rPr>
          <w:rFonts w:ascii="Verdana" w:hAnsi="Verdana" w:cs="Arial"/>
          <w:szCs w:val="24"/>
        </w:rPr>
        <w:t>first in Wales treated this way.</w:t>
      </w:r>
    </w:p>
    <w:p w:rsidR="00E00937" w:rsidRDefault="00E00937" w:rsidP="006055C4">
      <w:pPr>
        <w:rPr>
          <w:rFonts w:ascii="Verdana" w:hAnsi="Verdana" w:cs="Arial"/>
          <w:szCs w:val="24"/>
        </w:rPr>
      </w:pPr>
    </w:p>
    <w:p w:rsidR="006055C4" w:rsidRDefault="00277231" w:rsidP="006055C4">
      <w:pPr>
        <w:rPr>
          <w:rFonts w:ascii="Verdana" w:hAnsi="Verdana" w:cs="Arial"/>
          <w:szCs w:val="24"/>
        </w:rPr>
      </w:pPr>
      <w:r>
        <w:rPr>
          <w:rFonts w:ascii="Verdana" w:hAnsi="Verdana" w:cs="Arial"/>
          <w:szCs w:val="24"/>
        </w:rPr>
        <w:t>The team are now supporting and</w:t>
      </w:r>
      <w:r w:rsidR="006055C4" w:rsidRPr="006055C4">
        <w:rPr>
          <w:rFonts w:ascii="Verdana" w:hAnsi="Verdana" w:cs="Arial"/>
          <w:szCs w:val="24"/>
        </w:rPr>
        <w:t xml:space="preserve"> delivering regular training sessions for community nurses in relation to venous access devices</w:t>
      </w:r>
      <w:r w:rsidR="006055C4">
        <w:rPr>
          <w:rFonts w:ascii="Verdana" w:hAnsi="Verdana" w:cs="Arial"/>
          <w:szCs w:val="24"/>
        </w:rPr>
        <w:t>. This is also new to the Health Board</w:t>
      </w:r>
      <w:r w:rsidR="006055C4" w:rsidRPr="006055C4">
        <w:rPr>
          <w:rFonts w:ascii="Verdana" w:hAnsi="Verdana" w:cs="Arial"/>
          <w:szCs w:val="24"/>
        </w:rPr>
        <w:t xml:space="preserve">. </w:t>
      </w:r>
    </w:p>
    <w:p w:rsidR="00E00937" w:rsidRDefault="00E00937" w:rsidP="006055C4">
      <w:pPr>
        <w:rPr>
          <w:rFonts w:ascii="Verdana" w:hAnsi="Verdana" w:cs="Arial"/>
          <w:szCs w:val="24"/>
        </w:rPr>
      </w:pPr>
    </w:p>
    <w:p w:rsidR="006055C4" w:rsidRPr="006055C4" w:rsidRDefault="006055C4" w:rsidP="006055C4">
      <w:pPr>
        <w:rPr>
          <w:rFonts w:ascii="Verdana" w:hAnsi="Verdana" w:cs="Arial"/>
          <w:szCs w:val="24"/>
        </w:rPr>
      </w:pPr>
      <w:r>
        <w:rPr>
          <w:rFonts w:ascii="Verdana" w:hAnsi="Verdana" w:cs="Arial"/>
          <w:szCs w:val="24"/>
        </w:rPr>
        <w:t>There is an increase in OOH</w:t>
      </w:r>
      <w:r w:rsidRPr="006055C4">
        <w:rPr>
          <w:rFonts w:ascii="Verdana" w:hAnsi="Verdana" w:cs="Arial"/>
          <w:szCs w:val="24"/>
        </w:rPr>
        <w:t>s GP referrals for th</w:t>
      </w:r>
      <w:r>
        <w:rPr>
          <w:rFonts w:ascii="Verdana" w:hAnsi="Verdana" w:cs="Arial"/>
          <w:szCs w:val="24"/>
        </w:rPr>
        <w:t>e commencement of short-term IV</w:t>
      </w:r>
      <w:r w:rsidRPr="006055C4">
        <w:rPr>
          <w:rFonts w:ascii="Verdana" w:hAnsi="Verdana" w:cs="Arial"/>
          <w:szCs w:val="24"/>
        </w:rPr>
        <w:t>s. This we attribute to</w:t>
      </w:r>
      <w:r>
        <w:rPr>
          <w:rFonts w:ascii="Verdana" w:hAnsi="Verdana" w:cs="Arial"/>
          <w:szCs w:val="24"/>
        </w:rPr>
        <w:t xml:space="preserve"> the recruitment of some new GPs in the OOH</w:t>
      </w:r>
      <w:r w:rsidRPr="006055C4">
        <w:rPr>
          <w:rFonts w:ascii="Verdana" w:hAnsi="Verdana" w:cs="Arial"/>
          <w:szCs w:val="24"/>
        </w:rPr>
        <w:t>s team who wa</w:t>
      </w:r>
      <w:r>
        <w:rPr>
          <w:rFonts w:ascii="Verdana" w:hAnsi="Verdana" w:cs="Arial"/>
          <w:szCs w:val="24"/>
        </w:rPr>
        <w:t>nt to work collaboratively in preventing admissions.</w:t>
      </w:r>
    </w:p>
    <w:p w:rsidR="009E0370" w:rsidRDefault="009E0370" w:rsidP="006055C4">
      <w:pPr>
        <w:rPr>
          <w:rFonts w:ascii="Verdana" w:hAnsi="Verdana" w:cs="Arial"/>
          <w:szCs w:val="24"/>
        </w:rPr>
      </w:pPr>
    </w:p>
    <w:p w:rsidR="006055C4" w:rsidRPr="006055C4" w:rsidRDefault="006055C4" w:rsidP="006055C4">
      <w:pPr>
        <w:rPr>
          <w:rFonts w:ascii="Verdana" w:hAnsi="Verdana" w:cs="Arial"/>
          <w:szCs w:val="24"/>
        </w:rPr>
      </w:pPr>
      <w:r w:rsidRPr="006055C4">
        <w:rPr>
          <w:rFonts w:ascii="Verdana" w:hAnsi="Verdana" w:cs="Arial"/>
          <w:szCs w:val="24"/>
        </w:rPr>
        <w:t>Stay Well At Home 2 (SWAH2) became operation</w:t>
      </w:r>
      <w:r>
        <w:rPr>
          <w:rFonts w:ascii="Verdana" w:hAnsi="Verdana" w:cs="Arial"/>
          <w:szCs w:val="24"/>
        </w:rPr>
        <w:t xml:space="preserve">al at the end of January. It is </w:t>
      </w:r>
      <w:r w:rsidRPr="006055C4">
        <w:rPr>
          <w:rFonts w:ascii="Verdana" w:hAnsi="Verdana" w:cs="Arial"/>
          <w:szCs w:val="24"/>
        </w:rPr>
        <w:t>anticipate</w:t>
      </w:r>
      <w:r>
        <w:rPr>
          <w:rFonts w:ascii="Verdana" w:hAnsi="Verdana" w:cs="Arial"/>
          <w:szCs w:val="24"/>
        </w:rPr>
        <w:t>d that there will be</w:t>
      </w:r>
      <w:r w:rsidRPr="006055C4">
        <w:rPr>
          <w:rFonts w:ascii="Verdana" w:hAnsi="Verdana" w:cs="Arial"/>
          <w:szCs w:val="24"/>
        </w:rPr>
        <w:t xml:space="preserve"> some increase in referrals</w:t>
      </w:r>
      <w:r>
        <w:rPr>
          <w:rFonts w:ascii="Verdana" w:hAnsi="Verdana" w:cs="Arial"/>
          <w:szCs w:val="24"/>
        </w:rPr>
        <w:t xml:space="preserve"> from this service but as yet the</w:t>
      </w:r>
      <w:r w:rsidRPr="006055C4">
        <w:rPr>
          <w:rFonts w:ascii="Verdana" w:hAnsi="Verdana" w:cs="Arial"/>
          <w:szCs w:val="24"/>
        </w:rPr>
        <w:t xml:space="preserve"> impact</w:t>
      </w:r>
      <w:r>
        <w:rPr>
          <w:rFonts w:ascii="Verdana" w:hAnsi="Verdana" w:cs="Arial"/>
          <w:szCs w:val="24"/>
        </w:rPr>
        <w:t xml:space="preserve"> hasn’t been measured.</w:t>
      </w:r>
    </w:p>
    <w:p w:rsidR="009E0370" w:rsidRDefault="009E0370" w:rsidP="006055C4">
      <w:pPr>
        <w:rPr>
          <w:rFonts w:ascii="Verdana" w:hAnsi="Verdana" w:cs="Arial"/>
          <w:szCs w:val="24"/>
        </w:rPr>
      </w:pPr>
    </w:p>
    <w:p w:rsidR="006055C4" w:rsidRPr="006055C4" w:rsidRDefault="006055C4" w:rsidP="006055C4">
      <w:pPr>
        <w:rPr>
          <w:rFonts w:ascii="Verdana" w:hAnsi="Verdana" w:cs="Arial"/>
          <w:szCs w:val="24"/>
        </w:rPr>
      </w:pPr>
      <w:r w:rsidRPr="006055C4">
        <w:rPr>
          <w:rFonts w:ascii="Verdana" w:hAnsi="Verdana" w:cs="Arial"/>
          <w:szCs w:val="24"/>
        </w:rPr>
        <w:t>As other community services are coming on stream (Enhanced Community Cluster Team f</w:t>
      </w:r>
      <w:r>
        <w:rPr>
          <w:rFonts w:ascii="Verdana" w:hAnsi="Verdana" w:cs="Arial"/>
          <w:szCs w:val="24"/>
        </w:rPr>
        <w:t>unded through Transformation) the team</w:t>
      </w:r>
      <w:r w:rsidRPr="006055C4">
        <w:rPr>
          <w:rFonts w:ascii="Verdana" w:hAnsi="Verdana" w:cs="Arial"/>
          <w:szCs w:val="24"/>
        </w:rPr>
        <w:t xml:space="preserve"> are starting to think about the future model for the @Home Service so t</w:t>
      </w:r>
      <w:r w:rsidR="00F13DDA">
        <w:rPr>
          <w:rFonts w:ascii="Verdana" w:hAnsi="Verdana" w:cs="Arial"/>
          <w:szCs w:val="24"/>
        </w:rPr>
        <w:t>hat it remains at an optimum.</w:t>
      </w:r>
    </w:p>
    <w:p w:rsidR="003C4E50" w:rsidRPr="003D0C1B" w:rsidRDefault="003C4E50" w:rsidP="003C4E50">
      <w:pPr>
        <w:jc w:val="both"/>
        <w:rPr>
          <w:rFonts w:ascii="Verdana" w:hAnsi="Verdana"/>
        </w:rPr>
      </w:pPr>
    </w:p>
    <w:p w:rsidR="003C4E50" w:rsidRPr="003D0C1B" w:rsidRDefault="003C4E50" w:rsidP="003C4E50">
      <w:pPr>
        <w:jc w:val="both"/>
        <w:rPr>
          <w:rFonts w:ascii="Verdana" w:hAnsi="Verdana"/>
          <w:b/>
        </w:rPr>
      </w:pPr>
      <w:r w:rsidRPr="003D0C1B">
        <w:rPr>
          <w:rFonts w:ascii="Verdana" w:hAnsi="Verdana"/>
          <w:b/>
        </w:rPr>
        <w:t>Community Hospitals ALOS:</w:t>
      </w:r>
    </w:p>
    <w:p w:rsidR="005358B1" w:rsidRDefault="00A87D63" w:rsidP="005358B1">
      <w:pPr>
        <w:rPr>
          <w:rFonts w:cs="Arial"/>
          <w:color w:val="1F497D"/>
          <w:sz w:val="20"/>
        </w:rPr>
      </w:pPr>
      <w:r>
        <w:rPr>
          <w:rFonts w:ascii="Verdana" w:hAnsi="Verdana" w:cs="Arial"/>
          <w:szCs w:val="24"/>
        </w:rPr>
        <w:t>As with inpatient LOS, more work and analysis is required.</w:t>
      </w:r>
    </w:p>
    <w:p w:rsidR="004637C7" w:rsidRDefault="004637C7" w:rsidP="005358B1">
      <w:pPr>
        <w:rPr>
          <w:rFonts w:ascii="Verdana" w:hAnsi="Verdana"/>
        </w:rPr>
      </w:pPr>
    </w:p>
    <w:tbl>
      <w:tblPr>
        <w:tblW w:w="15593"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Look w:val="04A0" w:firstRow="1" w:lastRow="0" w:firstColumn="1" w:lastColumn="0" w:noHBand="0" w:noVBand="1"/>
      </w:tblPr>
      <w:tblGrid>
        <w:gridCol w:w="2557"/>
        <w:gridCol w:w="837"/>
        <w:gridCol w:w="837"/>
        <w:gridCol w:w="837"/>
        <w:gridCol w:w="837"/>
        <w:gridCol w:w="837"/>
        <w:gridCol w:w="838"/>
        <w:gridCol w:w="837"/>
        <w:gridCol w:w="837"/>
        <w:gridCol w:w="837"/>
        <w:gridCol w:w="837"/>
        <w:gridCol w:w="838"/>
        <w:gridCol w:w="1134"/>
        <w:gridCol w:w="2693"/>
      </w:tblGrid>
      <w:tr w:rsidR="005602C4" w:rsidRPr="00311B30" w:rsidTr="00F260DB">
        <w:trPr>
          <w:trHeight w:val="128"/>
          <w:tblHeader/>
        </w:trPr>
        <w:tc>
          <w:tcPr>
            <w:tcW w:w="255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single" w:sz="8" w:space="0" w:color="FF0000"/>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single" w:sz="8" w:space="0" w:color="FF0000"/>
              <w:bottom w:val="single" w:sz="8" w:space="0" w:color="002060"/>
              <w:right w:val="nil"/>
            </w:tcBorders>
            <w:shd w:val="clear" w:color="000000" w:fill="FFFFFF"/>
            <w:noWrap/>
            <w:hideMark/>
          </w:tcPr>
          <w:p w:rsidR="005602C4" w:rsidRPr="00311B30" w:rsidRDefault="005602C4" w:rsidP="00F260DB">
            <w:pPr>
              <w:rPr>
                <w:rFonts w:ascii="Calibri" w:hAnsi="Calibri"/>
                <w:color w:val="000000"/>
                <w:sz w:val="16"/>
                <w:szCs w:val="16"/>
              </w:rPr>
            </w:pPr>
            <w:r w:rsidRPr="0094712D">
              <w:rPr>
                <w:b/>
                <w:color w:val="FF0000"/>
                <w:sz w:val="12"/>
                <w:szCs w:val="12"/>
              </w:rPr>
              <w:t>CTMUHB</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5602C4" w:rsidRPr="0094712D" w:rsidRDefault="005602C4" w:rsidP="00F260DB">
            <w:pPr>
              <w:ind w:left="-28" w:right="-17"/>
              <w:rPr>
                <w:b/>
                <w:color w:val="FF0000"/>
                <w:sz w:val="12"/>
                <w:szCs w:val="12"/>
              </w:rPr>
            </w:pPr>
            <w:r w:rsidRPr="00311B30">
              <w:rPr>
                <w:rFonts w:ascii="Calibri" w:hAnsi="Calibri"/>
                <w:color w:val="000000"/>
                <w:sz w:val="16"/>
                <w:szCs w:val="16"/>
              </w:rPr>
              <w:t> </w:t>
            </w:r>
          </w:p>
        </w:tc>
        <w:tc>
          <w:tcPr>
            <w:tcW w:w="838"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7" w:type="dxa"/>
            <w:tcBorders>
              <w:top w:val="nil"/>
              <w:left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c>
          <w:tcPr>
            <w:tcW w:w="838" w:type="dxa"/>
            <w:tcBorders>
              <w:top w:val="nil"/>
              <w:left w:val="nil"/>
              <w:bottom w:val="single" w:sz="8" w:space="0" w:color="002060"/>
            </w:tcBorders>
            <w:shd w:val="clear" w:color="000000" w:fill="auto"/>
          </w:tcPr>
          <w:p w:rsidR="005602C4" w:rsidRPr="00311B30" w:rsidRDefault="005602C4" w:rsidP="00F260DB">
            <w:pPr>
              <w:jc w:val="center"/>
              <w:rPr>
                <w:rFonts w:ascii="Calibri" w:hAnsi="Calibri"/>
                <w:b/>
                <w:bCs/>
                <w:color w:val="FFFFFF"/>
                <w:sz w:val="16"/>
                <w:szCs w:val="16"/>
              </w:rPr>
            </w:pPr>
          </w:p>
        </w:tc>
        <w:tc>
          <w:tcPr>
            <w:tcW w:w="1134" w:type="dxa"/>
            <w:vMerge w:val="restart"/>
            <w:shd w:val="clear" w:color="auto" w:fill="002060"/>
            <w:noWrap/>
            <w:vAlign w:val="bottom"/>
            <w:hideMark/>
          </w:tcPr>
          <w:p w:rsidR="005602C4" w:rsidRDefault="005602C4" w:rsidP="00F260DB">
            <w:pPr>
              <w:jc w:val="center"/>
              <w:rPr>
                <w:rFonts w:ascii="Calibri" w:hAnsi="Calibri"/>
                <w:b/>
                <w:bCs/>
                <w:color w:val="FFFFFF"/>
                <w:sz w:val="36"/>
                <w:szCs w:val="36"/>
              </w:rPr>
            </w:pPr>
            <w:r>
              <w:rPr>
                <w:rFonts w:ascii="Calibri" w:hAnsi="Calibri"/>
                <w:b/>
                <w:bCs/>
                <w:color w:val="FFFFFF"/>
                <w:sz w:val="36"/>
                <w:szCs w:val="36"/>
              </w:rPr>
              <w:t>Jan</w:t>
            </w:r>
          </w:p>
          <w:p w:rsidR="005602C4" w:rsidRPr="00311B30" w:rsidRDefault="005602C4" w:rsidP="00F260DB">
            <w:pPr>
              <w:jc w:val="center"/>
              <w:rPr>
                <w:rFonts w:ascii="Calibri" w:hAnsi="Calibri"/>
                <w:b/>
                <w:bCs/>
                <w:color w:val="FFFFFF"/>
                <w:sz w:val="36"/>
                <w:szCs w:val="36"/>
              </w:rPr>
            </w:pPr>
            <w:r>
              <w:rPr>
                <w:rFonts w:ascii="Calibri" w:hAnsi="Calibri"/>
                <w:b/>
                <w:bCs/>
                <w:color w:val="FFFFFF"/>
                <w:sz w:val="36"/>
                <w:szCs w:val="36"/>
              </w:rPr>
              <w:t>2020</w:t>
            </w:r>
          </w:p>
        </w:tc>
        <w:tc>
          <w:tcPr>
            <w:tcW w:w="2693" w:type="dxa"/>
            <w:tcBorders>
              <w:top w:val="nil"/>
              <w:bottom w:val="single" w:sz="8" w:space="0" w:color="002060"/>
              <w:right w:val="nil"/>
            </w:tcBorders>
            <w:shd w:val="clear" w:color="000000" w:fill="FFFFFF"/>
            <w:noWrap/>
            <w:vAlign w:val="bottom"/>
            <w:hideMark/>
          </w:tcPr>
          <w:p w:rsidR="005602C4" w:rsidRPr="00311B30" w:rsidRDefault="005602C4" w:rsidP="00F260DB">
            <w:pPr>
              <w:rPr>
                <w:rFonts w:ascii="Calibri" w:hAnsi="Calibri"/>
                <w:color w:val="000000"/>
                <w:sz w:val="16"/>
                <w:szCs w:val="16"/>
              </w:rPr>
            </w:pPr>
            <w:r w:rsidRPr="00311B30">
              <w:rPr>
                <w:rFonts w:ascii="Calibri" w:hAnsi="Calibri"/>
                <w:color w:val="000000"/>
                <w:sz w:val="16"/>
                <w:szCs w:val="16"/>
              </w:rPr>
              <w:t> </w:t>
            </w:r>
          </w:p>
        </w:tc>
      </w:tr>
      <w:tr w:rsidR="005602C4" w:rsidRPr="00E936EE" w:rsidTr="00F260DB">
        <w:trPr>
          <w:trHeight w:val="330"/>
          <w:tblHeader/>
        </w:trPr>
        <w:tc>
          <w:tcPr>
            <w:tcW w:w="2557" w:type="dxa"/>
            <w:tcBorders>
              <w:bottom w:val="single" w:sz="8" w:space="0" w:color="002060"/>
            </w:tcBorders>
            <w:shd w:val="clear" w:color="auto" w:fill="D9E2F3" w:themeFill="accent5" w:themeFillTint="33"/>
            <w:vAlign w:val="center"/>
            <w:hideMark/>
          </w:tcPr>
          <w:p w:rsidR="005602C4" w:rsidRPr="00E936EE" w:rsidRDefault="005602C4" w:rsidP="00F260DB">
            <w:pPr>
              <w:rPr>
                <w:rFonts w:cs="Arial"/>
                <w:b/>
                <w:bCs/>
                <w:color w:val="002060"/>
                <w:szCs w:val="24"/>
              </w:rPr>
            </w:pPr>
            <w:r w:rsidRPr="00E936EE">
              <w:rPr>
                <w:rFonts w:cs="Arial"/>
                <w:b/>
                <w:bCs/>
                <w:color w:val="002060"/>
                <w:szCs w:val="24"/>
              </w:rPr>
              <w:t>Indicator Description</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Feb-19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Mar-19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Apr-19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May-19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Jun-19</w:t>
            </w:r>
          </w:p>
        </w:tc>
        <w:tc>
          <w:tcPr>
            <w:tcW w:w="838"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Jul-19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Aug-19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sidRPr="00E936EE">
              <w:rPr>
                <w:rFonts w:cs="Arial"/>
                <w:b/>
                <w:bCs/>
                <w:color w:val="002060"/>
                <w:sz w:val="16"/>
                <w:szCs w:val="16"/>
              </w:rPr>
              <w:t>Sep-19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Pr>
                <w:rFonts w:cs="Arial"/>
                <w:b/>
                <w:bCs/>
                <w:color w:val="002060"/>
                <w:sz w:val="16"/>
                <w:szCs w:val="16"/>
              </w:rPr>
              <w:t>Oct</w:t>
            </w:r>
            <w:r w:rsidRPr="00E936EE">
              <w:rPr>
                <w:rFonts w:cs="Arial"/>
                <w:b/>
                <w:bCs/>
                <w:color w:val="002060"/>
                <w:sz w:val="16"/>
                <w:szCs w:val="16"/>
              </w:rPr>
              <w:t>-19</w:t>
            </w:r>
          </w:p>
        </w:tc>
        <w:tc>
          <w:tcPr>
            <w:tcW w:w="837" w:type="dxa"/>
            <w:tcBorders>
              <w:bottom w:val="single" w:sz="8" w:space="0" w:color="002060"/>
            </w:tcBorders>
            <w:shd w:val="clear" w:color="auto" w:fill="D9E2F3" w:themeFill="accent5" w:themeFillTint="33"/>
            <w:vAlign w:val="center"/>
            <w:hideMark/>
          </w:tcPr>
          <w:p w:rsidR="005602C4" w:rsidRPr="00E936EE" w:rsidRDefault="005602C4" w:rsidP="00F260DB">
            <w:pPr>
              <w:jc w:val="center"/>
              <w:rPr>
                <w:rFonts w:cs="Arial"/>
                <w:b/>
                <w:bCs/>
                <w:color w:val="002060"/>
                <w:sz w:val="16"/>
                <w:szCs w:val="16"/>
              </w:rPr>
            </w:pPr>
            <w:r>
              <w:rPr>
                <w:rFonts w:cs="Arial"/>
                <w:b/>
                <w:bCs/>
                <w:color w:val="002060"/>
                <w:sz w:val="16"/>
                <w:szCs w:val="16"/>
              </w:rPr>
              <w:t>Nov</w:t>
            </w:r>
            <w:r w:rsidRPr="00E936EE">
              <w:rPr>
                <w:rFonts w:cs="Arial"/>
                <w:b/>
                <w:bCs/>
                <w:color w:val="002060"/>
                <w:sz w:val="16"/>
                <w:szCs w:val="16"/>
              </w:rPr>
              <w:t>-19</w:t>
            </w:r>
          </w:p>
        </w:tc>
        <w:tc>
          <w:tcPr>
            <w:tcW w:w="838" w:type="dxa"/>
            <w:tcBorders>
              <w:bottom w:val="single" w:sz="8" w:space="0" w:color="002060"/>
            </w:tcBorders>
            <w:shd w:val="clear" w:color="auto" w:fill="D9E2F3" w:themeFill="accent5" w:themeFillTint="33"/>
            <w:vAlign w:val="center"/>
          </w:tcPr>
          <w:p w:rsidR="005602C4" w:rsidRPr="00E936EE" w:rsidRDefault="005602C4" w:rsidP="00F260DB">
            <w:pPr>
              <w:jc w:val="center"/>
              <w:rPr>
                <w:rFonts w:ascii="Calibri" w:hAnsi="Calibri"/>
                <w:b/>
                <w:bCs/>
                <w:color w:val="002060"/>
                <w:sz w:val="32"/>
                <w:szCs w:val="32"/>
              </w:rPr>
            </w:pPr>
            <w:r>
              <w:rPr>
                <w:rFonts w:cs="Arial"/>
                <w:b/>
                <w:bCs/>
                <w:color w:val="002060"/>
                <w:sz w:val="16"/>
                <w:szCs w:val="16"/>
              </w:rPr>
              <w:t>Dec</w:t>
            </w:r>
            <w:r w:rsidRPr="00E936EE">
              <w:rPr>
                <w:rFonts w:cs="Arial"/>
                <w:b/>
                <w:bCs/>
                <w:color w:val="002060"/>
                <w:sz w:val="16"/>
                <w:szCs w:val="16"/>
              </w:rPr>
              <w:t>-19</w:t>
            </w:r>
          </w:p>
        </w:tc>
        <w:tc>
          <w:tcPr>
            <w:tcW w:w="1134" w:type="dxa"/>
            <w:vMerge/>
            <w:tcBorders>
              <w:bottom w:val="single" w:sz="8" w:space="0" w:color="002060"/>
            </w:tcBorders>
            <w:shd w:val="clear" w:color="auto" w:fill="002060"/>
            <w:vAlign w:val="center"/>
            <w:hideMark/>
          </w:tcPr>
          <w:p w:rsidR="005602C4" w:rsidRPr="00E936EE" w:rsidRDefault="005602C4" w:rsidP="00F260DB">
            <w:pPr>
              <w:jc w:val="center"/>
              <w:rPr>
                <w:rFonts w:ascii="Calibri" w:hAnsi="Calibri"/>
                <w:b/>
                <w:bCs/>
                <w:color w:val="002060"/>
                <w:sz w:val="32"/>
                <w:szCs w:val="32"/>
              </w:rPr>
            </w:pPr>
          </w:p>
        </w:tc>
        <w:tc>
          <w:tcPr>
            <w:tcW w:w="2693" w:type="dxa"/>
            <w:tcBorders>
              <w:bottom w:val="single" w:sz="8" w:space="0" w:color="002060"/>
            </w:tcBorders>
            <w:shd w:val="clear" w:color="000000" w:fill="D9E2F3" w:themeFill="accent5" w:themeFillTint="33"/>
            <w:vAlign w:val="center"/>
            <w:hideMark/>
          </w:tcPr>
          <w:p w:rsidR="005602C4" w:rsidRPr="00E936EE" w:rsidRDefault="005602C4" w:rsidP="00F260DB">
            <w:pPr>
              <w:jc w:val="center"/>
              <w:rPr>
                <w:rFonts w:cs="Arial"/>
                <w:b/>
                <w:bCs/>
                <w:color w:val="002060"/>
                <w:szCs w:val="24"/>
              </w:rPr>
            </w:pPr>
            <w:r w:rsidRPr="00E936EE">
              <w:rPr>
                <w:rFonts w:cs="Arial"/>
                <w:b/>
                <w:bCs/>
                <w:color w:val="002060"/>
                <w:szCs w:val="24"/>
              </w:rPr>
              <w:t>Trend</w:t>
            </w:r>
          </w:p>
        </w:tc>
      </w:tr>
      <w:tr w:rsidR="005602C4" w:rsidRPr="00AF5B5A" w:rsidTr="00F260DB">
        <w:trPr>
          <w:trHeight w:val="415"/>
          <w:tblHeader/>
        </w:trPr>
        <w:tc>
          <w:tcPr>
            <w:tcW w:w="255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r w:rsidRPr="007A5F15">
              <w:rPr>
                <w:rFonts w:ascii="Calibri" w:hAnsi="Calibri"/>
                <w:noProof/>
                <w:color w:val="000000"/>
                <w:sz w:val="22"/>
                <w:szCs w:val="22"/>
              </w:rPr>
              <mc:AlternateContent>
                <mc:Choice Requires="wps">
                  <w:drawing>
                    <wp:anchor distT="45720" distB="45720" distL="114300" distR="114300" simplePos="0" relativeHeight="251943424" behindDoc="0" locked="0" layoutInCell="1" allowOverlap="1" wp14:anchorId="57AE30C9" wp14:editId="50927080">
                      <wp:simplePos x="0" y="0"/>
                      <wp:positionH relativeFrom="margin">
                        <wp:posOffset>-65405</wp:posOffset>
                      </wp:positionH>
                      <wp:positionV relativeFrom="paragraph">
                        <wp:posOffset>3175</wp:posOffset>
                      </wp:positionV>
                      <wp:extent cx="3267075" cy="1404620"/>
                      <wp:effectExtent l="0" t="0" r="0" b="0"/>
                      <wp:wrapNone/>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noFill/>
                              <a:ln w="9525">
                                <a:noFill/>
                                <a:miter lim="800000"/>
                                <a:headEnd/>
                                <a:tailEnd/>
                              </a:ln>
                            </wps:spPr>
                            <wps:txbx>
                              <w:txbxContent>
                                <w:p w:rsidR="00DD62B8" w:rsidRPr="007A5F15" w:rsidRDefault="00DD62B8" w:rsidP="005602C4">
                                  <w:pPr>
                                    <w:rPr>
                                      <w:color w:val="FF0000"/>
                                      <w:sz w:val="16"/>
                                      <w:szCs w:val="16"/>
                                    </w:rPr>
                                  </w:pPr>
                                  <w:r>
                                    <w:rPr>
                                      <w:color w:val="FFFFFF" w:themeColor="background1"/>
                                    </w:rPr>
                                    <w:t>Mental Health</w:t>
                                  </w:r>
                                  <w:r w:rsidRPr="00BB137A">
                                    <w:rPr>
                                      <w:color w:val="FFFFFF" w:themeColor="background1"/>
                                    </w:rPr>
                                    <w:t xml:space="preserve"> Care </w:t>
                                  </w:r>
                                  <w:r w:rsidRPr="00275AB3">
                                    <w:rPr>
                                      <w:color w:val="FFFFFF" w:themeColor="background1"/>
                                    </w:rPr>
                                    <w:t>Metrics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7AE30C9" id="_x0000_s1030" type="#_x0000_t202" style="position:absolute;margin-left:-5.15pt;margin-top:.25pt;width:257.25pt;height:110.6pt;z-index:2519434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" filled="f" stroked="f">
                      <v:textbox style="mso-fit-shape-to-text:t">
                        <w:txbxContent>
                          <w:p w:rsidR="00DD62B8" w:rsidRPr="007A5F15" w:rsidRDefault="00DD62B8" w:rsidP="005602C4">
                            <w:pPr>
                              <w:rPr>
                                <w:color w:val="FF0000"/>
                                <w:sz w:val="16"/>
                                <w:szCs w:val="16"/>
                              </w:rPr>
                            </w:pPr>
                            <w:r>
                              <w:rPr>
                                <w:color w:val="FFFFFF" w:themeColor="background1"/>
                              </w:rPr>
                              <w:t>Mental Health</w:t>
                            </w:r>
                            <w:r w:rsidRPr="00BB137A">
                              <w:rPr>
                                <w:color w:val="FFFFFF" w:themeColor="background1"/>
                              </w:rPr>
                              <w:t xml:space="preserve"> Care </w:t>
                            </w:r>
                            <w:r w:rsidRPr="00275AB3">
                              <w:rPr>
                                <w:color w:val="FFFFFF" w:themeColor="background1"/>
                              </w:rPr>
                              <w:t>Metrics</w:t>
                            </w:r>
                          </w:p>
                        </w:txbxContent>
                      </v:textbox>
                      <w10:wrap anchorx="margin"/>
                    </v:shape>
                  </w:pict>
                </mc:Fallback>
              </mc:AlternateContent>
            </w: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7"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838"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1134"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B60B3" w:rsidRDefault="005602C4" w:rsidP="00F260DB">
            <w:pPr>
              <w:rPr>
                <w:color w:val="FFFFFF" w:themeColor="background1"/>
              </w:rPr>
            </w:pPr>
          </w:p>
        </w:tc>
        <w:tc>
          <w:tcPr>
            <w:tcW w:w="2693" w:type="dxa"/>
            <w:tcBorders>
              <w:top w:val="single" w:sz="8" w:space="0" w:color="002060"/>
              <w:left w:val="single" w:sz="8" w:space="0" w:color="002060"/>
              <w:bottom w:val="single" w:sz="8" w:space="0" w:color="002060"/>
              <w:right w:val="single" w:sz="8" w:space="0" w:color="002060"/>
            </w:tcBorders>
            <w:shd w:val="clear" w:color="auto" w:fill="002060"/>
            <w:vAlign w:val="center"/>
          </w:tcPr>
          <w:p w:rsidR="005602C4" w:rsidRPr="00AF5B5A" w:rsidRDefault="005602C4" w:rsidP="00F260DB">
            <w:pPr>
              <w:jc w:val="center"/>
              <w:rPr>
                <w:rFonts w:cs="Arial"/>
                <w:b/>
                <w:bCs/>
                <w:color w:val="72469C"/>
                <w:sz w:val="16"/>
                <w:szCs w:val="16"/>
              </w:rPr>
            </w:pPr>
          </w:p>
        </w:tc>
      </w:tr>
      <w:tr w:rsidR="005602C4" w:rsidRPr="007A5F15" w:rsidTr="00F260D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5602C4" w:rsidRPr="00311B30" w:rsidRDefault="005602C4" w:rsidP="00F260DB">
            <w:pPr>
              <w:rPr>
                <w:rFonts w:cs="Arial"/>
                <w:color w:val="002060"/>
                <w:sz w:val="16"/>
                <w:szCs w:val="16"/>
              </w:rPr>
            </w:pPr>
            <w:r>
              <w:rPr>
                <w:rFonts w:cs="Arial"/>
                <w:color w:val="002060"/>
                <w:sz w:val="16"/>
                <w:szCs w:val="16"/>
              </w:rPr>
              <w:t xml:space="preserve">Number of </w:t>
            </w:r>
            <w:r w:rsidRPr="007314FE">
              <w:rPr>
                <w:rFonts w:cs="Arial"/>
                <w:color w:val="002060"/>
                <w:sz w:val="16"/>
                <w:szCs w:val="16"/>
              </w:rPr>
              <w:t>136 assessments in police cells</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bCs/>
                <w:color w:val="002060"/>
                <w:sz w:val="20"/>
              </w:rPr>
              <w:t>1</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bCs/>
                <w:color w:val="002060"/>
                <w:sz w:val="20"/>
              </w:rPr>
              <w:t>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0</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bCs/>
                <w:color w:val="002060"/>
                <w:sz w:val="20"/>
              </w:rPr>
            </w:pPr>
            <w:r>
              <w:rPr>
                <w:rFonts w:cs="Arial"/>
                <w:color w:val="002060"/>
                <w:sz w:val="20"/>
              </w:rPr>
              <w:t>0</w:t>
            </w:r>
          </w:p>
        </w:tc>
        <w:tc>
          <w:tcPr>
            <w:tcW w:w="1134" w:type="dxa"/>
            <w:tcBorders>
              <w:top w:val="nil"/>
              <w:left w:val="nil"/>
              <w:bottom w:val="single" w:sz="8" w:space="0" w:color="002060"/>
              <w:right w:val="single" w:sz="8" w:space="0" w:color="002060"/>
            </w:tcBorders>
            <w:shd w:val="clear" w:color="auto" w:fill="auto"/>
            <w:vAlign w:val="center"/>
          </w:tcPr>
          <w:p w:rsidR="005602C4" w:rsidRPr="00F51175" w:rsidRDefault="005602C4" w:rsidP="00F260DB">
            <w:pPr>
              <w:jc w:val="center"/>
              <w:rPr>
                <w:rFonts w:cs="Arial"/>
                <w:b/>
                <w:bCs/>
                <w:color w:val="002060"/>
                <w:sz w:val="32"/>
                <w:szCs w:val="32"/>
              </w:rPr>
            </w:pPr>
            <w:r>
              <w:rPr>
                <w:rFonts w:cs="Arial"/>
                <w:b/>
                <w:bCs/>
                <w:color w:val="002060"/>
                <w:sz w:val="32"/>
                <w:szCs w:val="32"/>
              </w:rPr>
              <w:t>0</w:t>
            </w:r>
          </w:p>
        </w:tc>
        <w:tc>
          <w:tcPr>
            <w:tcW w:w="2693" w:type="dxa"/>
            <w:tcBorders>
              <w:top w:val="single" w:sz="8" w:space="0" w:color="002060"/>
            </w:tcBorders>
            <w:shd w:val="clear" w:color="auto" w:fill="auto"/>
            <w:vAlign w:val="center"/>
          </w:tcPr>
          <w:p w:rsidR="005602C4" w:rsidRPr="00311B30" w:rsidRDefault="005602C4" w:rsidP="00F260DB">
            <w:pPr>
              <w:rPr>
                <w:rFonts w:cs="Arial"/>
                <w:b/>
                <w:bCs/>
                <w:color w:val="002060"/>
                <w:sz w:val="40"/>
                <w:szCs w:val="40"/>
              </w:rPr>
            </w:pPr>
            <w:r>
              <w:rPr>
                <w:noProof/>
              </w:rPr>
              <w:drawing>
                <wp:inline distT="0" distB="0" distL="0" distR="0" wp14:anchorId="1CF2C468" wp14:editId="28657E75">
                  <wp:extent cx="1419225" cy="371476"/>
                  <wp:effectExtent l="0" t="0" r="0" b="0"/>
                  <wp:docPr id="31" name="Chart 31">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tc>
      </w:tr>
      <w:tr w:rsidR="005602C4" w:rsidRPr="007A5F15" w:rsidTr="00F260DB">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tcPr>
          <w:p w:rsidR="005602C4" w:rsidRPr="007314FE" w:rsidRDefault="005602C4" w:rsidP="00F260DB">
            <w:pPr>
              <w:rPr>
                <w:rFonts w:cs="Arial"/>
                <w:color w:val="002060"/>
                <w:sz w:val="16"/>
                <w:szCs w:val="16"/>
              </w:rPr>
            </w:pPr>
            <w:r>
              <w:rPr>
                <w:rFonts w:cs="Arial"/>
                <w:color w:val="002060"/>
                <w:sz w:val="16"/>
                <w:szCs w:val="16"/>
              </w:rPr>
              <w:t>Number of r</w:t>
            </w:r>
            <w:r w:rsidRPr="000C7F26">
              <w:rPr>
                <w:rFonts w:cs="Arial"/>
                <w:color w:val="002060"/>
                <w:sz w:val="16"/>
                <w:szCs w:val="16"/>
              </w:rPr>
              <w:t>estraints</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color w:val="002060"/>
                <w:sz w:val="20"/>
              </w:rPr>
              <w:t>8</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color w:val="002060"/>
                <w:sz w:val="20"/>
              </w:rPr>
              <w:t>8</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color w:val="002060"/>
                <w:sz w:val="20"/>
              </w:rPr>
              <w:t>24</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color w:val="002060"/>
                <w:sz w:val="20"/>
              </w:rPr>
              <w:t>20</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color w:val="002060"/>
                <w:sz w:val="20"/>
              </w:rPr>
              <w:t>15</w:t>
            </w:r>
          </w:p>
        </w:tc>
        <w:tc>
          <w:tcPr>
            <w:tcW w:w="838"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bCs/>
                <w:color w:val="002060"/>
                <w:sz w:val="20"/>
              </w:rPr>
              <w:t>25</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color w:val="002060"/>
                <w:sz w:val="20"/>
              </w:rPr>
            </w:pPr>
            <w:r>
              <w:rPr>
                <w:rFonts w:cs="Arial"/>
                <w:bCs/>
                <w:color w:val="002060"/>
                <w:sz w:val="20"/>
              </w:rPr>
              <w:t>14</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bCs/>
                <w:color w:val="002060"/>
                <w:sz w:val="20"/>
              </w:rPr>
            </w:pPr>
            <w:r>
              <w:rPr>
                <w:rFonts w:cs="Arial"/>
                <w:bCs/>
                <w:color w:val="002060"/>
                <w:sz w:val="20"/>
              </w:rPr>
              <w:t>15</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bCs/>
                <w:color w:val="002060"/>
                <w:sz w:val="20"/>
              </w:rPr>
            </w:pPr>
            <w:r>
              <w:rPr>
                <w:rFonts w:cs="Arial"/>
                <w:bCs/>
                <w:color w:val="002060"/>
                <w:sz w:val="20"/>
              </w:rPr>
              <w:t>10</w:t>
            </w:r>
          </w:p>
        </w:tc>
        <w:tc>
          <w:tcPr>
            <w:tcW w:w="837" w:type="dxa"/>
            <w:tcBorders>
              <w:top w:val="nil"/>
              <w:left w:val="nil"/>
              <w:bottom w:val="single" w:sz="8" w:space="0" w:color="002060"/>
              <w:right w:val="single" w:sz="8" w:space="0" w:color="002060"/>
            </w:tcBorders>
            <w:shd w:val="clear" w:color="auto" w:fill="auto"/>
            <w:vAlign w:val="center"/>
          </w:tcPr>
          <w:p w:rsidR="005602C4" w:rsidRPr="007314FE" w:rsidRDefault="005602C4" w:rsidP="00F260DB">
            <w:pPr>
              <w:jc w:val="center"/>
              <w:rPr>
                <w:rFonts w:cs="Arial"/>
                <w:bCs/>
                <w:color w:val="002060"/>
                <w:sz w:val="20"/>
              </w:rPr>
            </w:pPr>
            <w:r>
              <w:rPr>
                <w:rFonts w:cs="Arial"/>
                <w:color w:val="002060"/>
                <w:sz w:val="20"/>
              </w:rPr>
              <w:t>46</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bCs/>
                <w:color w:val="002060"/>
                <w:sz w:val="20"/>
              </w:rPr>
            </w:pPr>
            <w:r>
              <w:rPr>
                <w:rFonts w:cs="Arial"/>
                <w:color w:val="002060"/>
                <w:sz w:val="20"/>
              </w:rPr>
              <w:t>26</w:t>
            </w:r>
          </w:p>
        </w:tc>
        <w:tc>
          <w:tcPr>
            <w:tcW w:w="1134" w:type="dxa"/>
            <w:tcBorders>
              <w:top w:val="nil"/>
              <w:left w:val="nil"/>
              <w:bottom w:val="single" w:sz="8" w:space="0" w:color="002060"/>
              <w:right w:val="single" w:sz="8" w:space="0" w:color="002060"/>
            </w:tcBorders>
            <w:shd w:val="clear" w:color="auto" w:fill="auto"/>
            <w:vAlign w:val="center"/>
          </w:tcPr>
          <w:p w:rsidR="005602C4" w:rsidRPr="00F51175" w:rsidRDefault="005602C4" w:rsidP="00F260DB">
            <w:pPr>
              <w:jc w:val="center"/>
              <w:rPr>
                <w:rFonts w:cs="Arial"/>
                <w:b/>
                <w:bCs/>
                <w:color w:val="002060"/>
                <w:sz w:val="32"/>
                <w:szCs w:val="32"/>
              </w:rPr>
            </w:pPr>
            <w:r>
              <w:rPr>
                <w:rFonts w:cs="Arial"/>
                <w:b/>
                <w:bCs/>
                <w:color w:val="002060"/>
                <w:sz w:val="32"/>
                <w:szCs w:val="32"/>
              </w:rPr>
              <w:t>17</w:t>
            </w:r>
          </w:p>
        </w:tc>
        <w:tc>
          <w:tcPr>
            <w:tcW w:w="2693" w:type="dxa"/>
            <w:shd w:val="clear" w:color="auto" w:fill="auto"/>
            <w:vAlign w:val="center"/>
          </w:tcPr>
          <w:p w:rsidR="005602C4" w:rsidRPr="00311B30" w:rsidRDefault="005602C4" w:rsidP="00F260DB">
            <w:pPr>
              <w:rPr>
                <w:rFonts w:cs="Arial"/>
                <w:b/>
                <w:bCs/>
                <w:color w:val="002060"/>
                <w:sz w:val="40"/>
                <w:szCs w:val="40"/>
              </w:rPr>
            </w:pPr>
            <w:r>
              <w:rPr>
                <w:noProof/>
              </w:rPr>
              <w:drawing>
                <wp:inline distT="0" distB="0" distL="0" distR="0" wp14:anchorId="58B11C94" wp14:editId="1DA23DF2">
                  <wp:extent cx="1419225" cy="371476"/>
                  <wp:effectExtent l="0" t="0" r="0" b="0"/>
                  <wp:docPr id="32" name="Chart 32">
                    <a:extLst xmlns:a="http://schemas.openxmlformats.org/drawingml/2006/main">
                      <a:ext uri="{FF2B5EF4-FFF2-40B4-BE49-F238E27FC236}">
                        <a16:creationId xmlns:xdr="http://schemas.openxmlformats.org/drawingml/2006/spreadsheetDrawing" xmlns="" xmlns:a16="http://schemas.microsoft.com/office/drawing/2014/main" xmlns:w="http://schemas.openxmlformats.org/wordprocessingml/2006/main" xmlns:w10="urn:schemas-microsoft-com:office:word" xmlns:v="urn:schemas-microsoft-com:vml" xmlns:o="urn:schemas-microsoft-com:office:office" xmlns:lc="http://schemas.openxmlformats.org/drawingml/2006/lockedCanvas" xmlns:arto="http://schemas.microsoft.com/office/word/2006/arto"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tc>
      </w:tr>
      <w:tr w:rsidR="005602C4" w:rsidRPr="007A5F15" w:rsidTr="00B427ED">
        <w:trPr>
          <w:trHeight w:val="540"/>
        </w:trPr>
        <w:tc>
          <w:tcPr>
            <w:tcW w:w="2557" w:type="dxa"/>
            <w:tcBorders>
              <w:top w:val="single" w:sz="8" w:space="0" w:color="002060"/>
              <w:left w:val="single" w:sz="8" w:space="0" w:color="002060"/>
              <w:bottom w:val="single" w:sz="8" w:space="0" w:color="002060"/>
              <w:right w:val="single" w:sz="8" w:space="0" w:color="002060"/>
            </w:tcBorders>
            <w:shd w:val="clear" w:color="auto" w:fill="auto"/>
            <w:vAlign w:val="center"/>
            <w:hideMark/>
          </w:tcPr>
          <w:p w:rsidR="005602C4" w:rsidRPr="00311B30" w:rsidRDefault="005602C4" w:rsidP="00F260DB">
            <w:pPr>
              <w:rPr>
                <w:rFonts w:cs="Arial"/>
                <w:color w:val="002060"/>
                <w:sz w:val="16"/>
                <w:szCs w:val="16"/>
              </w:rPr>
            </w:pPr>
            <w:r>
              <w:rPr>
                <w:rFonts w:cs="Arial"/>
                <w:color w:val="002060"/>
                <w:sz w:val="16"/>
                <w:szCs w:val="16"/>
              </w:rPr>
              <w:t xml:space="preserve">Number </w:t>
            </w:r>
            <w:r w:rsidRPr="007314FE">
              <w:rPr>
                <w:rFonts w:cs="Arial"/>
                <w:color w:val="002060"/>
                <w:sz w:val="16"/>
                <w:szCs w:val="16"/>
              </w:rPr>
              <w:t>absconding f</w:t>
            </w:r>
            <w:r>
              <w:rPr>
                <w:rFonts w:cs="Arial"/>
                <w:color w:val="002060"/>
                <w:sz w:val="16"/>
                <w:szCs w:val="16"/>
              </w:rPr>
              <w:t>r</w:t>
            </w:r>
            <w:r w:rsidRPr="007314FE">
              <w:rPr>
                <w:rFonts w:cs="Arial"/>
                <w:color w:val="002060"/>
                <w:sz w:val="16"/>
                <w:szCs w:val="16"/>
              </w:rPr>
              <w:t>om wards (overall not just detained)</w:t>
            </w:r>
            <w:r>
              <w:rPr>
                <w:rFonts w:cs="Arial"/>
                <w:color w:val="002060"/>
                <w:sz w:val="16"/>
                <w:szCs w:val="16"/>
              </w:rPr>
              <w:t xml:space="preserve"> ***</w:t>
            </w:r>
            <w:r w:rsidR="00372818">
              <w:rPr>
                <w:rFonts w:cs="Arial"/>
                <w:color w:val="002060"/>
                <w:sz w:val="16"/>
                <w:szCs w:val="16"/>
              </w:rPr>
              <w:t>*</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13</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13</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5602C4" w:rsidP="00F260DB">
            <w:pPr>
              <w:jc w:val="center"/>
              <w:rPr>
                <w:rFonts w:cs="Arial"/>
                <w:color w:val="002060"/>
                <w:sz w:val="20"/>
              </w:rPr>
            </w:pPr>
            <w:r>
              <w:rPr>
                <w:rFonts w:cs="Arial"/>
                <w:color w:val="002060"/>
                <w:sz w:val="20"/>
              </w:rPr>
              <w:t>25</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20</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30</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16</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17</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bCs/>
                <w:color w:val="002060"/>
                <w:sz w:val="20"/>
              </w:rPr>
              <w:t>26</w:t>
            </w:r>
            <w:r w:rsidR="005602C4">
              <w:rPr>
                <w:rFonts w:cs="Arial"/>
                <w:bCs/>
                <w:color w:val="002060"/>
                <w:sz w:val="20"/>
              </w:rPr>
              <w:t> </w:t>
            </w:r>
          </w:p>
        </w:tc>
        <w:tc>
          <w:tcPr>
            <w:tcW w:w="837"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color w:val="002060"/>
                <w:sz w:val="20"/>
              </w:rPr>
            </w:pPr>
            <w:r>
              <w:rPr>
                <w:rFonts w:cs="Arial"/>
                <w:color w:val="002060"/>
                <w:sz w:val="20"/>
              </w:rPr>
              <w:t>21</w:t>
            </w:r>
            <w:r w:rsidR="005602C4">
              <w:rPr>
                <w:rFonts w:cs="Arial"/>
                <w:color w:val="002060"/>
                <w:sz w:val="20"/>
              </w:rPr>
              <w:t> </w:t>
            </w:r>
          </w:p>
        </w:tc>
        <w:tc>
          <w:tcPr>
            <w:tcW w:w="838" w:type="dxa"/>
            <w:tcBorders>
              <w:top w:val="nil"/>
              <w:left w:val="nil"/>
              <w:bottom w:val="single" w:sz="8" w:space="0" w:color="002060"/>
              <w:right w:val="single" w:sz="8" w:space="0" w:color="002060"/>
            </w:tcBorders>
            <w:shd w:val="clear" w:color="auto" w:fill="auto"/>
            <w:vAlign w:val="center"/>
          </w:tcPr>
          <w:p w:rsidR="005602C4" w:rsidRPr="00311B30" w:rsidRDefault="00B427ED" w:rsidP="00F260DB">
            <w:pPr>
              <w:jc w:val="center"/>
              <w:rPr>
                <w:rFonts w:cs="Arial"/>
                <w:bCs/>
                <w:color w:val="002060"/>
                <w:sz w:val="20"/>
              </w:rPr>
            </w:pPr>
            <w:r>
              <w:rPr>
                <w:rFonts w:cs="Arial"/>
                <w:color w:val="002060"/>
                <w:sz w:val="20"/>
              </w:rPr>
              <w:t>13</w:t>
            </w:r>
            <w:r w:rsidR="005602C4">
              <w:rPr>
                <w:rFonts w:cs="Arial"/>
                <w:color w:val="002060"/>
                <w:sz w:val="20"/>
              </w:rPr>
              <w:t> </w:t>
            </w:r>
          </w:p>
        </w:tc>
        <w:tc>
          <w:tcPr>
            <w:tcW w:w="1134" w:type="dxa"/>
            <w:tcBorders>
              <w:top w:val="nil"/>
              <w:left w:val="nil"/>
              <w:bottom w:val="single" w:sz="8" w:space="0" w:color="002060"/>
              <w:right w:val="single" w:sz="8" w:space="0" w:color="002060"/>
            </w:tcBorders>
            <w:shd w:val="clear" w:color="auto" w:fill="auto"/>
            <w:vAlign w:val="center"/>
          </w:tcPr>
          <w:p w:rsidR="005602C4" w:rsidRPr="00F51175" w:rsidRDefault="00B427ED" w:rsidP="00F260DB">
            <w:pPr>
              <w:jc w:val="center"/>
              <w:rPr>
                <w:rFonts w:cs="Arial"/>
                <w:b/>
                <w:bCs/>
                <w:color w:val="002060"/>
                <w:sz w:val="32"/>
                <w:szCs w:val="32"/>
              </w:rPr>
            </w:pPr>
            <w:r>
              <w:rPr>
                <w:rFonts w:cs="Arial"/>
                <w:b/>
                <w:bCs/>
                <w:color w:val="002060"/>
                <w:sz w:val="32"/>
                <w:szCs w:val="32"/>
              </w:rPr>
              <w:t>9</w:t>
            </w:r>
            <w:r w:rsidR="005602C4">
              <w:rPr>
                <w:rFonts w:cs="Arial"/>
                <w:b/>
                <w:bCs/>
                <w:color w:val="002060"/>
                <w:sz w:val="32"/>
                <w:szCs w:val="32"/>
              </w:rPr>
              <w:t> </w:t>
            </w:r>
          </w:p>
        </w:tc>
        <w:tc>
          <w:tcPr>
            <w:tcW w:w="2693" w:type="dxa"/>
            <w:shd w:val="clear" w:color="auto" w:fill="auto"/>
            <w:vAlign w:val="center"/>
          </w:tcPr>
          <w:p w:rsidR="005602C4" w:rsidRPr="00311B30" w:rsidRDefault="00B427ED" w:rsidP="00F260DB">
            <w:pPr>
              <w:rPr>
                <w:rFonts w:cs="Arial"/>
                <w:b/>
                <w:bCs/>
                <w:color w:val="002060"/>
                <w:sz w:val="40"/>
                <w:szCs w:val="40"/>
              </w:rPr>
            </w:pPr>
            <w:r>
              <w:rPr>
                <w:noProof/>
              </w:rPr>
              <w:drawing>
                <wp:inline distT="0" distB="0" distL="0" distR="0" wp14:anchorId="742F4121" wp14:editId="53E2957C">
                  <wp:extent cx="1419225" cy="371476"/>
                  <wp:effectExtent l="0" t="0" r="0" b="0"/>
                  <wp:docPr id="33" name="Chart 33">
                    <a:extLst xmlns:a="http://schemas.openxmlformats.org/drawingml/2006/main">
                      <a:ext uri="{FF2B5EF4-FFF2-40B4-BE49-F238E27FC236}">
                        <a16:creationId xmlns:xdr="http://schemas.openxmlformats.org/drawingml/2006/spreadsheetDrawing" xmlns:o="urn:schemas-microsoft-com:office:office" xmlns:v="urn:schemas-microsoft-com:vml" xmlns:w10="urn:schemas-microsoft-com:office:word" xmlns:w="http://schemas.openxmlformats.org/wordprocessingml/2006/main" xmlns:a16="http://schemas.microsoft.com/office/drawing/2014/main" xmlns="" xmlns:lc="http://schemas.openxmlformats.org/drawingml/2006/lockedCanvas" id="{74CC40F1-8369-4E05-8350-E16531E616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tc>
      </w:tr>
    </w:tbl>
    <w:p w:rsidR="00D07CDA" w:rsidRPr="00B427ED" w:rsidRDefault="00B427ED" w:rsidP="00BB137A">
      <w:pPr>
        <w:jc w:val="both"/>
        <w:rPr>
          <w:color w:val="002060"/>
          <w:sz w:val="16"/>
          <w:szCs w:val="16"/>
        </w:rPr>
      </w:pPr>
      <w:r w:rsidRPr="00B427ED">
        <w:rPr>
          <w:color w:val="002060"/>
          <w:sz w:val="16"/>
          <w:szCs w:val="16"/>
        </w:rPr>
        <w:t>**</w:t>
      </w:r>
      <w:r w:rsidR="00372818">
        <w:rPr>
          <w:color w:val="002060"/>
          <w:sz w:val="16"/>
          <w:szCs w:val="16"/>
        </w:rPr>
        <w:t>*</w:t>
      </w:r>
      <w:r w:rsidRPr="00B427ED">
        <w:rPr>
          <w:color w:val="002060"/>
          <w:sz w:val="16"/>
          <w:szCs w:val="16"/>
        </w:rPr>
        <w:t>* All Wards</w:t>
      </w:r>
    </w:p>
    <w:p w:rsidR="009E0370" w:rsidRDefault="009E0370" w:rsidP="00BB137A">
      <w:pPr>
        <w:rPr>
          <w:rFonts w:ascii="Verdana" w:hAnsi="Verdana"/>
          <w:b/>
          <w:szCs w:val="24"/>
        </w:rPr>
      </w:pPr>
    </w:p>
    <w:p w:rsidR="00BB137A" w:rsidRPr="00C631EE" w:rsidRDefault="002C6102" w:rsidP="00BB137A">
      <w:pPr>
        <w:rPr>
          <w:rFonts w:ascii="Verdana" w:hAnsi="Verdana"/>
          <w:b/>
          <w:szCs w:val="24"/>
        </w:rPr>
      </w:pPr>
      <w:r w:rsidRPr="00C631EE">
        <w:rPr>
          <w:rFonts w:ascii="Verdana" w:hAnsi="Verdana"/>
          <w:b/>
          <w:szCs w:val="24"/>
        </w:rPr>
        <w:t xml:space="preserve">Number of </w:t>
      </w:r>
      <w:r w:rsidR="00CC020B">
        <w:rPr>
          <w:rFonts w:ascii="Verdana" w:hAnsi="Verdana"/>
          <w:b/>
          <w:szCs w:val="24"/>
        </w:rPr>
        <w:t>136</w:t>
      </w:r>
      <w:r w:rsidRPr="00C631EE">
        <w:rPr>
          <w:rFonts w:ascii="Verdana" w:hAnsi="Verdana"/>
          <w:b/>
          <w:szCs w:val="24"/>
        </w:rPr>
        <w:t xml:space="preserve"> Assessments in Police Cells</w:t>
      </w:r>
      <w:r w:rsidR="00BB137A" w:rsidRPr="00C631EE">
        <w:rPr>
          <w:rFonts w:ascii="Verdana" w:hAnsi="Verdana"/>
          <w:b/>
          <w:szCs w:val="24"/>
        </w:rPr>
        <w:t>:</w:t>
      </w:r>
    </w:p>
    <w:p w:rsidR="00A350E6" w:rsidRPr="00C631EE" w:rsidRDefault="00CA34C2" w:rsidP="00B72F20">
      <w:pPr>
        <w:jc w:val="both"/>
        <w:rPr>
          <w:rFonts w:ascii="Verdana" w:hAnsi="Verdana"/>
          <w:szCs w:val="24"/>
        </w:rPr>
      </w:pPr>
      <w:r>
        <w:rPr>
          <w:rFonts w:ascii="Verdana" w:hAnsi="Verdana"/>
          <w:szCs w:val="24"/>
        </w:rPr>
        <w:t>The service continues to deliver best practice in this area.</w:t>
      </w:r>
    </w:p>
    <w:p w:rsidR="002C6102" w:rsidRPr="00C631EE" w:rsidRDefault="002C6102" w:rsidP="00B72F20">
      <w:pPr>
        <w:jc w:val="both"/>
        <w:rPr>
          <w:rFonts w:ascii="Verdana" w:hAnsi="Verdana"/>
          <w:b/>
          <w:szCs w:val="24"/>
        </w:rPr>
      </w:pPr>
    </w:p>
    <w:p w:rsidR="00E00937" w:rsidRDefault="00E00937" w:rsidP="00B72F20">
      <w:pPr>
        <w:jc w:val="both"/>
        <w:rPr>
          <w:rFonts w:ascii="Verdana" w:hAnsi="Verdana"/>
          <w:b/>
          <w:szCs w:val="24"/>
        </w:rPr>
      </w:pPr>
    </w:p>
    <w:p w:rsidR="00E00937" w:rsidRDefault="00E00937" w:rsidP="00B72F20">
      <w:pPr>
        <w:jc w:val="both"/>
        <w:rPr>
          <w:rFonts w:ascii="Verdana" w:hAnsi="Verdana"/>
          <w:b/>
          <w:szCs w:val="24"/>
        </w:rPr>
      </w:pPr>
    </w:p>
    <w:p w:rsidR="002C6102" w:rsidRPr="00C631EE" w:rsidRDefault="002C6102" w:rsidP="00B72F20">
      <w:pPr>
        <w:jc w:val="both"/>
        <w:rPr>
          <w:rFonts w:ascii="Verdana" w:hAnsi="Verdana"/>
          <w:b/>
          <w:szCs w:val="24"/>
        </w:rPr>
      </w:pPr>
      <w:r w:rsidRPr="00C631EE">
        <w:rPr>
          <w:rFonts w:ascii="Verdana" w:hAnsi="Verdana"/>
          <w:b/>
          <w:szCs w:val="24"/>
        </w:rPr>
        <w:t>Number of Restraints:</w:t>
      </w:r>
    </w:p>
    <w:p w:rsidR="0014224E" w:rsidRDefault="0014224E" w:rsidP="0014224E">
      <w:pPr>
        <w:rPr>
          <w:rFonts w:cs="Arial"/>
          <w:sz w:val="20"/>
        </w:rPr>
      </w:pPr>
      <w:r>
        <w:rPr>
          <w:rFonts w:ascii="Verdana" w:hAnsi="Verdana" w:cs="Arial"/>
          <w:szCs w:val="24"/>
        </w:rPr>
        <w:t>It is positive</w:t>
      </w:r>
      <w:r w:rsidRPr="0014224E">
        <w:rPr>
          <w:rFonts w:ascii="Verdana" w:hAnsi="Verdana" w:cs="Arial"/>
          <w:szCs w:val="24"/>
        </w:rPr>
        <w:t xml:space="preserve"> to note that there has been a reduction in the num</w:t>
      </w:r>
      <w:r>
        <w:rPr>
          <w:rFonts w:ascii="Verdana" w:hAnsi="Verdana" w:cs="Arial"/>
          <w:szCs w:val="24"/>
        </w:rPr>
        <w:t>ber of restraints recorded in the last two months from the November peak</w:t>
      </w:r>
      <w:r w:rsidRPr="0014224E">
        <w:rPr>
          <w:rFonts w:ascii="Verdana" w:hAnsi="Verdana" w:cs="Arial"/>
          <w:szCs w:val="24"/>
        </w:rPr>
        <w:t>.  This is linked to individual patient presentations rather than any other focus at this point.  The Directorate are reviewing the training for restraint to move to a positive Behaviour Support model to support the reduction in restraint agenda</w:t>
      </w:r>
      <w:r>
        <w:rPr>
          <w:rFonts w:cs="Arial"/>
          <w:sz w:val="20"/>
        </w:rPr>
        <w:t xml:space="preserve">.  </w:t>
      </w:r>
    </w:p>
    <w:p w:rsidR="004637C7" w:rsidRDefault="004637C7" w:rsidP="00B72F20">
      <w:pPr>
        <w:jc w:val="both"/>
        <w:rPr>
          <w:rFonts w:ascii="Verdana" w:hAnsi="Verdana"/>
          <w:b/>
          <w:szCs w:val="24"/>
        </w:rPr>
      </w:pPr>
    </w:p>
    <w:p w:rsidR="009E0370" w:rsidRDefault="009E0370">
      <w:pPr>
        <w:rPr>
          <w:rFonts w:ascii="Verdana" w:hAnsi="Verdana"/>
          <w:b/>
          <w:szCs w:val="24"/>
        </w:rPr>
      </w:pPr>
      <w:r>
        <w:rPr>
          <w:rFonts w:ascii="Verdana" w:hAnsi="Verdana"/>
          <w:b/>
          <w:szCs w:val="24"/>
        </w:rPr>
        <w:br w:type="page"/>
      </w:r>
    </w:p>
    <w:p w:rsidR="002C6102" w:rsidRPr="00C631EE" w:rsidRDefault="002C6102" w:rsidP="00B72F20">
      <w:pPr>
        <w:jc w:val="both"/>
        <w:rPr>
          <w:rFonts w:ascii="Verdana" w:hAnsi="Verdana"/>
          <w:b/>
          <w:szCs w:val="24"/>
        </w:rPr>
      </w:pPr>
      <w:r w:rsidRPr="00C631EE">
        <w:rPr>
          <w:rFonts w:ascii="Verdana" w:hAnsi="Verdana"/>
          <w:b/>
          <w:szCs w:val="24"/>
        </w:rPr>
        <w:t xml:space="preserve">Number of </w:t>
      </w:r>
      <w:r w:rsidR="001C19EC">
        <w:rPr>
          <w:rFonts w:ascii="Verdana" w:hAnsi="Verdana"/>
          <w:b/>
          <w:szCs w:val="24"/>
        </w:rPr>
        <w:t xml:space="preserve">Detained Patients </w:t>
      </w:r>
      <w:r w:rsidR="001C19EC" w:rsidRPr="00C631EE">
        <w:rPr>
          <w:rFonts w:ascii="Verdana" w:hAnsi="Verdana"/>
          <w:b/>
          <w:szCs w:val="24"/>
        </w:rPr>
        <w:t>Absconding</w:t>
      </w:r>
      <w:r w:rsidRPr="00C631EE">
        <w:rPr>
          <w:rFonts w:ascii="Verdana" w:hAnsi="Verdana"/>
          <w:b/>
          <w:szCs w:val="24"/>
        </w:rPr>
        <w:t>:</w:t>
      </w:r>
    </w:p>
    <w:p w:rsidR="00247B4C" w:rsidRPr="00247B4C" w:rsidRDefault="00247B4C" w:rsidP="00247B4C">
      <w:pPr>
        <w:rPr>
          <w:rFonts w:ascii="Verdana" w:hAnsi="Verdana" w:cs="Arial"/>
          <w:szCs w:val="24"/>
        </w:rPr>
      </w:pPr>
      <w:r>
        <w:rPr>
          <w:rFonts w:ascii="Verdana" w:hAnsi="Verdana" w:cs="Arial"/>
          <w:szCs w:val="24"/>
        </w:rPr>
        <w:t>T</w:t>
      </w:r>
      <w:r w:rsidRPr="00247B4C">
        <w:rPr>
          <w:rFonts w:ascii="Verdana" w:hAnsi="Verdana" w:cs="Arial"/>
          <w:szCs w:val="24"/>
        </w:rPr>
        <w:t xml:space="preserve">his has </w:t>
      </w:r>
      <w:r>
        <w:rPr>
          <w:rFonts w:ascii="Verdana" w:hAnsi="Verdana" w:cs="Arial"/>
          <w:szCs w:val="24"/>
        </w:rPr>
        <w:t xml:space="preserve">also </w:t>
      </w:r>
      <w:r w:rsidRPr="00247B4C">
        <w:rPr>
          <w:rFonts w:ascii="Verdana" w:hAnsi="Verdana" w:cs="Arial"/>
          <w:szCs w:val="24"/>
        </w:rPr>
        <w:t>reduced</w:t>
      </w:r>
      <w:r>
        <w:rPr>
          <w:rFonts w:ascii="Verdana" w:hAnsi="Verdana" w:cs="Arial"/>
          <w:szCs w:val="24"/>
        </w:rPr>
        <w:t xml:space="preserve"> in the last two months</w:t>
      </w:r>
      <w:r w:rsidRPr="00247B4C">
        <w:rPr>
          <w:rFonts w:ascii="Verdana" w:hAnsi="Verdana" w:cs="Arial"/>
          <w:szCs w:val="24"/>
        </w:rPr>
        <w:t>.  Following discussion on an All-Wales basis it has been recognised that CTM UHB were over-reporting on this issue.  As a consequence the directorate has introduced an investigation tool within DATIX to assess any episodes of AWOL and to determine appropriate incidents for reporting.  This helps to eliminate instances where patients are attempting to leave the ward, are on escorted leave and reluctant to return but are still within staff eyesight</w:t>
      </w:r>
      <w:r>
        <w:rPr>
          <w:rFonts w:ascii="Verdana" w:hAnsi="Verdana" w:cs="Arial"/>
          <w:szCs w:val="24"/>
        </w:rPr>
        <w:t>.</w:t>
      </w:r>
    </w:p>
    <w:p w:rsidR="00BB137A" w:rsidRPr="00C631EE" w:rsidRDefault="00BB137A" w:rsidP="00B72F20">
      <w:pPr>
        <w:jc w:val="both"/>
        <w:rPr>
          <w:rFonts w:ascii="Verdana" w:hAnsi="Verdana"/>
          <w:szCs w:val="24"/>
        </w:rPr>
      </w:pPr>
    </w:p>
    <w:p w:rsidR="00BB137A" w:rsidRDefault="00BB137A" w:rsidP="00C23D1F"/>
    <w:p w:rsidR="00C23D1F" w:rsidRPr="00106B16" w:rsidRDefault="00C23D1F" w:rsidP="00C23D1F">
      <w:pPr>
        <w:rPr>
          <w:rFonts w:cs="Arial"/>
          <w:b/>
          <w:szCs w:val="24"/>
        </w:rPr>
      </w:pPr>
    </w:p>
    <w:p w:rsidR="00E936EE" w:rsidRDefault="00E936EE" w:rsidP="007A5F15">
      <w:pPr>
        <w:rPr>
          <w:rFonts w:cs="Arial"/>
          <w:b/>
          <w:szCs w:val="24"/>
        </w:rPr>
        <w:sectPr w:rsidR="00E936EE" w:rsidSect="00CC25A1">
          <w:headerReference w:type="default" r:id="rId61"/>
          <w:footerReference w:type="default" r:id="rId62"/>
          <w:pgSz w:w="16840" w:h="11907" w:orient="landscape" w:code="9"/>
          <w:pgMar w:top="426" w:right="720" w:bottom="720" w:left="720" w:header="284" w:footer="440" w:gutter="0"/>
          <w:cols w:space="720"/>
          <w:docGrid w:linePitch="326"/>
        </w:sectPr>
      </w:pPr>
    </w:p>
    <w:p w:rsidR="00E936EE" w:rsidRPr="00E23B12" w:rsidRDefault="00E936EE" w:rsidP="00934688">
      <w:pPr>
        <w:pStyle w:val="ListParagraph"/>
        <w:numPr>
          <w:ilvl w:val="0"/>
          <w:numId w:val="1"/>
        </w:numPr>
        <w:ind w:left="709" w:hanging="709"/>
        <w:contextualSpacing/>
        <w:rPr>
          <w:rFonts w:ascii="Verdana" w:hAnsi="Verdana" w:cs="Arial"/>
          <w:b/>
          <w:szCs w:val="24"/>
        </w:rPr>
      </w:pPr>
      <w:r w:rsidRPr="00E23B12">
        <w:rPr>
          <w:rFonts w:ascii="Verdana" w:hAnsi="Verdana" w:cs="Arial"/>
          <w:b/>
          <w:szCs w:val="24"/>
        </w:rPr>
        <w:t>KEY RISKS/MATTERS FOR ESCALATION TO BOARD/COMMITTEE</w:t>
      </w:r>
    </w:p>
    <w:p w:rsidR="00E936EE" w:rsidRDefault="00E936EE" w:rsidP="00685CD7">
      <w:pPr>
        <w:rPr>
          <w:rFonts w:ascii="Verdana" w:hAnsi="Verdana" w:cs="Arial"/>
          <w:b/>
          <w:szCs w:val="24"/>
        </w:rPr>
      </w:pPr>
    </w:p>
    <w:p w:rsidR="00685CD7" w:rsidRPr="00BA59F9" w:rsidRDefault="00BA59F9" w:rsidP="00B72F20">
      <w:pPr>
        <w:jc w:val="both"/>
        <w:rPr>
          <w:rFonts w:ascii="Verdana" w:hAnsi="Verdana" w:cs="Arial"/>
          <w:szCs w:val="24"/>
        </w:rPr>
      </w:pPr>
      <w:r w:rsidRPr="00BA59F9">
        <w:rPr>
          <w:rFonts w:ascii="Verdana" w:hAnsi="Verdana" w:cs="Arial"/>
          <w:szCs w:val="24"/>
        </w:rPr>
        <w:t xml:space="preserve">The following </w:t>
      </w:r>
      <w:r w:rsidR="00B51464">
        <w:rPr>
          <w:rFonts w:ascii="Verdana" w:hAnsi="Verdana" w:cs="Arial"/>
          <w:szCs w:val="24"/>
        </w:rPr>
        <w:t>issues</w:t>
      </w:r>
      <w:r w:rsidR="00E00937">
        <w:rPr>
          <w:rFonts w:ascii="Verdana" w:hAnsi="Verdana" w:cs="Arial"/>
          <w:szCs w:val="24"/>
        </w:rPr>
        <w:t>/</w:t>
      </w:r>
      <w:r w:rsidRPr="00BA59F9">
        <w:rPr>
          <w:rFonts w:ascii="Verdana" w:hAnsi="Verdana" w:cs="Arial"/>
          <w:szCs w:val="24"/>
        </w:rPr>
        <w:t>risks have been identified in relation to the quality reporting within the Health Board.</w:t>
      </w:r>
    </w:p>
    <w:p w:rsidR="00BA59F9" w:rsidRPr="00BA59F9" w:rsidRDefault="00BA59F9" w:rsidP="00BA59F9">
      <w:pPr>
        <w:contextualSpacing/>
        <w:rPr>
          <w:rFonts w:ascii="Verdana" w:hAnsi="Verdana" w:cs="Arial"/>
          <w:szCs w:val="24"/>
        </w:rPr>
      </w:pPr>
    </w:p>
    <w:p w:rsidR="00BA59F9" w:rsidRPr="00BA59F9" w:rsidRDefault="000A6BA8" w:rsidP="00934688">
      <w:pPr>
        <w:pStyle w:val="ListParagraph"/>
        <w:numPr>
          <w:ilvl w:val="0"/>
          <w:numId w:val="2"/>
        </w:numPr>
        <w:spacing w:before="120" w:after="120"/>
        <w:ind w:left="357" w:hanging="357"/>
        <w:rPr>
          <w:rFonts w:ascii="Verdana" w:hAnsi="Verdana" w:cs="Arial"/>
          <w:szCs w:val="24"/>
        </w:rPr>
      </w:pPr>
      <w:r w:rsidRPr="00BA59F9">
        <w:rPr>
          <w:rFonts w:ascii="Verdana" w:hAnsi="Verdana" w:cs="Arial"/>
          <w:szCs w:val="24"/>
        </w:rPr>
        <w:t>Data quality</w:t>
      </w:r>
    </w:p>
    <w:p w:rsidR="00BA59F9" w:rsidRPr="00BA59F9" w:rsidRDefault="000A6BA8" w:rsidP="00934688">
      <w:pPr>
        <w:pStyle w:val="ListParagraph"/>
        <w:numPr>
          <w:ilvl w:val="0"/>
          <w:numId w:val="2"/>
        </w:numPr>
        <w:spacing w:before="120" w:after="120"/>
        <w:ind w:left="357" w:hanging="357"/>
        <w:rPr>
          <w:rFonts w:ascii="Verdana" w:hAnsi="Verdana" w:cs="Arial"/>
          <w:szCs w:val="24"/>
        </w:rPr>
      </w:pPr>
      <w:r w:rsidRPr="00BA59F9">
        <w:rPr>
          <w:rFonts w:ascii="Verdana" w:hAnsi="Verdana" w:cs="Arial"/>
          <w:szCs w:val="24"/>
        </w:rPr>
        <w:t>Timeliness of availability of data and supporting narrative</w:t>
      </w:r>
    </w:p>
    <w:p w:rsidR="000A6BA8" w:rsidRDefault="000A6BA8" w:rsidP="00934688">
      <w:pPr>
        <w:pStyle w:val="ListParagraph"/>
        <w:numPr>
          <w:ilvl w:val="0"/>
          <w:numId w:val="2"/>
        </w:numPr>
        <w:spacing w:before="120" w:after="120"/>
        <w:ind w:left="357" w:hanging="357"/>
        <w:rPr>
          <w:rFonts w:ascii="Verdana" w:hAnsi="Verdana" w:cs="Arial"/>
          <w:szCs w:val="24"/>
        </w:rPr>
      </w:pPr>
      <w:r w:rsidRPr="00BA59F9">
        <w:rPr>
          <w:rFonts w:ascii="Verdana" w:hAnsi="Verdana" w:cs="Arial"/>
          <w:szCs w:val="24"/>
        </w:rPr>
        <w:t>IT infrastructure t</w:t>
      </w:r>
      <w:r w:rsidR="00B51464">
        <w:rPr>
          <w:rFonts w:ascii="Verdana" w:hAnsi="Verdana" w:cs="Arial"/>
          <w:szCs w:val="24"/>
        </w:rPr>
        <w:t>o facilitate effective reporting</w:t>
      </w:r>
    </w:p>
    <w:p w:rsidR="00B51464" w:rsidRPr="008953D0" w:rsidRDefault="004503DC" w:rsidP="00934688">
      <w:pPr>
        <w:pStyle w:val="ListParagraph"/>
        <w:numPr>
          <w:ilvl w:val="0"/>
          <w:numId w:val="2"/>
        </w:numPr>
        <w:spacing w:before="120" w:after="120"/>
        <w:ind w:left="357" w:hanging="357"/>
        <w:rPr>
          <w:rFonts w:ascii="Verdana" w:hAnsi="Verdana" w:cs="Arial"/>
          <w:szCs w:val="24"/>
        </w:rPr>
      </w:pPr>
      <w:r>
        <w:rPr>
          <w:rFonts w:ascii="Verdana" w:hAnsi="Verdana" w:cs="Arial"/>
          <w:szCs w:val="24"/>
        </w:rPr>
        <w:t xml:space="preserve">Quality priorities for </w:t>
      </w:r>
      <w:r w:rsidR="00C43FFD">
        <w:rPr>
          <w:rFonts w:ascii="Verdana" w:hAnsi="Verdana" w:cs="Arial"/>
          <w:szCs w:val="24"/>
        </w:rPr>
        <w:t>the Health Board</w:t>
      </w:r>
    </w:p>
    <w:p w:rsidR="004503DC" w:rsidRPr="00B51464" w:rsidRDefault="00B51464" w:rsidP="00B72F20">
      <w:pPr>
        <w:contextualSpacing/>
        <w:jc w:val="both"/>
        <w:rPr>
          <w:rFonts w:ascii="Verdana" w:hAnsi="Verdana" w:cs="Arial"/>
          <w:szCs w:val="24"/>
        </w:rPr>
      </w:pPr>
      <w:r>
        <w:rPr>
          <w:rFonts w:ascii="Verdana" w:hAnsi="Verdana" w:cs="Arial"/>
          <w:szCs w:val="24"/>
        </w:rPr>
        <w:t>Actions to address these issues and risks are in place in the improvement action plans relating to the targeted intervention areas.</w:t>
      </w:r>
    </w:p>
    <w:p w:rsidR="000A6BA8" w:rsidRPr="00E23B12" w:rsidRDefault="000A6BA8" w:rsidP="00E936EE">
      <w:pPr>
        <w:rPr>
          <w:rFonts w:ascii="Verdana" w:hAnsi="Verdana" w:cs="Arial"/>
          <w:b/>
          <w:szCs w:val="24"/>
        </w:rPr>
      </w:pPr>
    </w:p>
    <w:p w:rsidR="00E936EE" w:rsidRDefault="00E936EE" w:rsidP="00934688">
      <w:pPr>
        <w:pStyle w:val="ListParagraph"/>
        <w:numPr>
          <w:ilvl w:val="0"/>
          <w:numId w:val="1"/>
        </w:numPr>
        <w:ind w:left="709" w:hanging="709"/>
        <w:contextualSpacing/>
        <w:rPr>
          <w:rFonts w:ascii="Verdana" w:hAnsi="Verdana" w:cs="Arial"/>
          <w:b/>
          <w:szCs w:val="24"/>
        </w:rPr>
      </w:pPr>
      <w:r>
        <w:rPr>
          <w:rFonts w:ascii="Verdana" w:hAnsi="Verdana" w:cs="Arial"/>
          <w:b/>
          <w:szCs w:val="24"/>
        </w:rPr>
        <w:t xml:space="preserve">IMPACT </w:t>
      </w:r>
      <w:r w:rsidRPr="00E23B12">
        <w:rPr>
          <w:rFonts w:ascii="Verdana" w:hAnsi="Verdana" w:cs="Arial"/>
          <w:b/>
          <w:szCs w:val="24"/>
        </w:rPr>
        <w:t>ASSESSMENT</w:t>
      </w:r>
    </w:p>
    <w:p w:rsidR="00E936EE" w:rsidRPr="00E23B12" w:rsidRDefault="00E936EE" w:rsidP="00E936EE">
      <w:pPr>
        <w:pStyle w:val="ListParagraph"/>
        <w:ind w:left="709"/>
        <w:rPr>
          <w:rFonts w:ascii="Verdana" w:hAnsi="Verdana" w:cs="Arial"/>
          <w:b/>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E936EE" w:rsidRPr="00E23B12" w:rsidTr="00BB137A">
        <w:trPr>
          <w:trHeight w:val="876"/>
        </w:trPr>
        <w:tc>
          <w:tcPr>
            <w:tcW w:w="4111" w:type="dxa"/>
            <w:vMerge w:val="restart"/>
            <w:shd w:val="clear" w:color="auto" w:fill="F2F2F2" w:themeFill="background1" w:themeFillShade="F2"/>
            <w:vAlign w:val="center"/>
          </w:tcPr>
          <w:p w:rsidR="00E936EE" w:rsidRPr="00E23B12" w:rsidRDefault="00E936EE" w:rsidP="00BB137A">
            <w:pPr>
              <w:rPr>
                <w:rFonts w:ascii="Verdana" w:hAnsi="Verdana" w:cs="Arial"/>
                <w:b/>
                <w:szCs w:val="24"/>
              </w:rPr>
            </w:pPr>
            <w:r>
              <w:rPr>
                <w:rFonts w:ascii="Verdana" w:hAnsi="Verdana" w:cs="Arial"/>
                <w:b/>
                <w:szCs w:val="24"/>
              </w:rPr>
              <w:t>Quality/S</w:t>
            </w:r>
            <w:r w:rsidRPr="00E23B12">
              <w:rPr>
                <w:rFonts w:ascii="Verdana" w:hAnsi="Verdana" w:cs="Arial"/>
                <w:b/>
                <w:szCs w:val="24"/>
              </w:rPr>
              <w:t>afety</w:t>
            </w:r>
            <w:r>
              <w:rPr>
                <w:rFonts w:ascii="Verdana" w:hAnsi="Verdana" w:cs="Arial"/>
                <w:b/>
                <w:szCs w:val="24"/>
              </w:rPr>
              <w:t>/Patient Experience</w:t>
            </w:r>
            <w:r w:rsidRPr="00E23B12">
              <w:rPr>
                <w:rFonts w:ascii="Verdana" w:hAnsi="Verdana" w:cs="Arial"/>
                <w:b/>
                <w:szCs w:val="24"/>
              </w:rPr>
              <w:t xml:space="preserve"> implications</w:t>
            </w:r>
            <w:r>
              <w:rPr>
                <w:rFonts w:ascii="Verdana" w:hAnsi="Verdana" w:cs="Arial"/>
                <w:b/>
                <w:szCs w:val="24"/>
              </w:rPr>
              <w:t xml:space="preserve"> </w:t>
            </w:r>
          </w:p>
        </w:tc>
        <w:sdt>
          <w:sdtPr>
            <w:rPr>
              <w:rFonts w:ascii="Verdana" w:hAnsi="Verdana" w:cs="Arial"/>
              <w:szCs w:val="24"/>
            </w:rPr>
            <w:id w:val="1644078862"/>
            <w:placeholder>
              <w:docPart w:val="458BE77059684FD1B65A546CD62CC18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E936EE" w:rsidRPr="00E23B12" w:rsidRDefault="0042607E" w:rsidP="00B72F20">
                <w:pPr>
                  <w:rPr>
                    <w:rFonts w:ascii="Verdana" w:hAnsi="Verdana" w:cs="Arial"/>
                    <w:szCs w:val="24"/>
                  </w:rPr>
                </w:pPr>
                <w:r>
                  <w:rPr>
                    <w:rFonts w:ascii="Verdana" w:hAnsi="Verdana" w:cs="Arial"/>
                    <w:szCs w:val="24"/>
                  </w:rPr>
                  <w:t>Yes (Please see detail below)</w:t>
                </w:r>
              </w:p>
            </w:tc>
          </w:sdtContent>
        </w:sdt>
      </w:tr>
      <w:tr w:rsidR="00E936EE" w:rsidRPr="00E23B12" w:rsidTr="00BB137A">
        <w:trPr>
          <w:trHeight w:val="70"/>
        </w:trPr>
        <w:tc>
          <w:tcPr>
            <w:tcW w:w="4111" w:type="dxa"/>
            <w:vMerge/>
            <w:shd w:val="clear" w:color="auto" w:fill="F2F2F2" w:themeFill="background1" w:themeFillShade="F2"/>
            <w:vAlign w:val="center"/>
          </w:tcPr>
          <w:p w:rsidR="00E936EE" w:rsidRPr="00E23B12" w:rsidRDefault="00E936EE" w:rsidP="00BB137A">
            <w:pPr>
              <w:rPr>
                <w:rFonts w:ascii="Verdana" w:hAnsi="Verdana" w:cs="Arial"/>
                <w:b/>
                <w:szCs w:val="24"/>
              </w:rPr>
            </w:pPr>
          </w:p>
        </w:tc>
        <w:tc>
          <w:tcPr>
            <w:tcW w:w="5245" w:type="dxa"/>
            <w:vAlign w:val="center"/>
          </w:tcPr>
          <w:p w:rsidR="00E936EE" w:rsidRPr="00E23B12" w:rsidRDefault="0042607E" w:rsidP="00B72F20">
            <w:pPr>
              <w:rPr>
                <w:rFonts w:ascii="Verdana" w:hAnsi="Verdana" w:cs="Arial"/>
                <w:szCs w:val="24"/>
              </w:rPr>
            </w:pPr>
            <w:r>
              <w:rPr>
                <w:rFonts w:ascii="Verdana" w:hAnsi="Verdana" w:cs="Arial"/>
                <w:szCs w:val="24"/>
              </w:rPr>
              <w:t>This report outlines key areas of quality across the Health Board.</w:t>
            </w:r>
          </w:p>
        </w:tc>
      </w:tr>
      <w:tr w:rsidR="00E936EE" w:rsidRPr="00E23B12" w:rsidTr="00BB137A">
        <w:trPr>
          <w:trHeight w:val="847"/>
        </w:trPr>
        <w:tc>
          <w:tcPr>
            <w:tcW w:w="4111" w:type="dxa"/>
            <w:vMerge w:val="restart"/>
            <w:shd w:val="clear" w:color="auto" w:fill="F2F2F2" w:themeFill="background1" w:themeFillShade="F2"/>
            <w:vAlign w:val="center"/>
          </w:tcPr>
          <w:p w:rsidR="00E936EE" w:rsidRPr="00E23B12" w:rsidRDefault="00E936EE" w:rsidP="00BB137A">
            <w:pPr>
              <w:rPr>
                <w:rFonts w:ascii="Verdana" w:hAnsi="Verdana" w:cs="Arial"/>
                <w:b/>
                <w:szCs w:val="24"/>
              </w:rPr>
            </w:pPr>
            <w:r>
              <w:rPr>
                <w:rFonts w:ascii="Verdana" w:hAnsi="Verdana" w:cs="Arial"/>
                <w:b/>
                <w:szCs w:val="24"/>
              </w:rPr>
              <w:t>Related H</w:t>
            </w:r>
            <w:r w:rsidRPr="00E23B12">
              <w:rPr>
                <w:rFonts w:ascii="Verdana" w:hAnsi="Verdana" w:cs="Arial"/>
                <w:b/>
                <w:szCs w:val="24"/>
              </w:rPr>
              <w:t>ealth</w:t>
            </w:r>
            <w:r>
              <w:rPr>
                <w:rFonts w:ascii="Verdana" w:hAnsi="Verdana" w:cs="Arial"/>
                <w:b/>
                <w:szCs w:val="24"/>
              </w:rPr>
              <w:t xml:space="preserve"> and Care standard(s)</w:t>
            </w:r>
          </w:p>
        </w:tc>
        <w:sdt>
          <w:sdtPr>
            <w:rPr>
              <w:rStyle w:val="Style31"/>
              <w:rFonts w:ascii="Verdana" w:hAnsi="Verdana"/>
              <w:szCs w:val="24"/>
            </w:rPr>
            <w:id w:val="439423197"/>
            <w:placeholder>
              <w:docPart w:val="67CF935EF38D49BFABCE73C5A45D33A9"/>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sz w:val="24"/>
            </w:rPr>
          </w:sdtEndPr>
          <w:sdtContent>
            <w:tc>
              <w:tcPr>
                <w:tcW w:w="5245" w:type="dxa"/>
                <w:vAlign w:val="center"/>
              </w:tcPr>
              <w:p w:rsidR="00E936EE" w:rsidRPr="00E23B12" w:rsidRDefault="00E936EE" w:rsidP="00B72F20">
                <w:pPr>
                  <w:rPr>
                    <w:rFonts w:ascii="Verdana" w:hAnsi="Verdana" w:cs="Arial"/>
                    <w:color w:val="FF0000"/>
                    <w:szCs w:val="24"/>
                  </w:rPr>
                </w:pPr>
                <w:r w:rsidRPr="00E23B12">
                  <w:rPr>
                    <w:rStyle w:val="PlaceholderText"/>
                    <w:rFonts w:ascii="Verdana" w:hAnsi="Verdana"/>
                    <w:szCs w:val="24"/>
                  </w:rPr>
                  <w:t>Choose an item.</w:t>
                </w:r>
              </w:p>
            </w:tc>
          </w:sdtContent>
        </w:sdt>
      </w:tr>
      <w:tr w:rsidR="00E936EE" w:rsidRPr="00E23B12" w:rsidTr="00BB137A">
        <w:trPr>
          <w:trHeight w:val="559"/>
        </w:trPr>
        <w:tc>
          <w:tcPr>
            <w:tcW w:w="4111" w:type="dxa"/>
            <w:vMerge/>
            <w:shd w:val="clear" w:color="auto" w:fill="F2F2F2" w:themeFill="background1" w:themeFillShade="F2"/>
            <w:vAlign w:val="center"/>
          </w:tcPr>
          <w:p w:rsidR="00E936EE" w:rsidRPr="00E23B12" w:rsidRDefault="00E936EE" w:rsidP="00BB137A">
            <w:pPr>
              <w:rPr>
                <w:rFonts w:ascii="Verdana" w:hAnsi="Verdana" w:cs="Arial"/>
                <w:b/>
                <w:szCs w:val="24"/>
              </w:rPr>
            </w:pPr>
          </w:p>
        </w:tc>
        <w:tc>
          <w:tcPr>
            <w:tcW w:w="5245" w:type="dxa"/>
            <w:vAlign w:val="center"/>
          </w:tcPr>
          <w:p w:rsidR="00E936EE" w:rsidRPr="00E23B12" w:rsidRDefault="0042607E" w:rsidP="00B72F20">
            <w:pPr>
              <w:rPr>
                <w:rStyle w:val="Style31"/>
                <w:rFonts w:ascii="Verdana" w:hAnsi="Verdana"/>
                <w:szCs w:val="24"/>
              </w:rPr>
            </w:pPr>
            <w:r w:rsidRPr="0042607E">
              <w:rPr>
                <w:rStyle w:val="Style31"/>
                <w:rFonts w:ascii="Verdana" w:hAnsi="Verdana"/>
                <w:szCs w:val="24"/>
              </w:rPr>
              <w:t>This report applies to all Health and Care Standards.</w:t>
            </w:r>
          </w:p>
        </w:tc>
      </w:tr>
      <w:tr w:rsidR="00E936EE" w:rsidRPr="00E23B12" w:rsidTr="00BB137A">
        <w:trPr>
          <w:trHeight w:val="787"/>
        </w:trPr>
        <w:tc>
          <w:tcPr>
            <w:tcW w:w="4111" w:type="dxa"/>
            <w:vMerge w:val="restart"/>
            <w:shd w:val="clear" w:color="auto" w:fill="F2F2F2" w:themeFill="background1" w:themeFillShade="F2"/>
            <w:vAlign w:val="center"/>
          </w:tcPr>
          <w:p w:rsidR="00E936EE" w:rsidRPr="00E23B12" w:rsidRDefault="00E936EE" w:rsidP="00BB137A">
            <w:pPr>
              <w:rPr>
                <w:rFonts w:ascii="Verdana" w:hAnsi="Verdana" w:cs="Arial"/>
                <w:b/>
                <w:szCs w:val="24"/>
              </w:rPr>
            </w:pPr>
            <w:r w:rsidRPr="00E23B12">
              <w:rPr>
                <w:rFonts w:ascii="Verdana" w:hAnsi="Verdana" w:cs="Arial"/>
                <w:b/>
                <w:szCs w:val="24"/>
              </w:rPr>
              <w:t>Equality impact assessment completed</w:t>
            </w:r>
          </w:p>
        </w:tc>
        <w:tc>
          <w:tcPr>
            <w:tcW w:w="5245" w:type="dxa"/>
            <w:vAlign w:val="center"/>
          </w:tcPr>
          <w:p w:rsidR="00E936EE" w:rsidRPr="00E23B12" w:rsidRDefault="0047423A" w:rsidP="00B72F20">
            <w:pPr>
              <w:rPr>
                <w:rFonts w:ascii="Verdana" w:hAnsi="Verdana"/>
                <w:szCs w:val="24"/>
              </w:rPr>
            </w:pPr>
            <w:sdt>
              <w:sdtPr>
                <w:rPr>
                  <w:rStyle w:val="Style32"/>
                  <w:rFonts w:ascii="Verdana" w:hAnsi="Verdana"/>
                  <w:szCs w:val="24"/>
                </w:rPr>
                <w:id w:val="1502166926"/>
                <w:placeholder>
                  <w:docPart w:val="D1D8BAF98BA9416B9BD1D7B86138C5D2"/>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sz w:val="24"/>
                </w:rPr>
              </w:sdtEndPr>
              <w:sdtContent>
                <w:r w:rsidR="0042607E">
                  <w:rPr>
                    <w:rStyle w:val="Style32"/>
                    <w:rFonts w:ascii="Verdana" w:hAnsi="Verdana"/>
                    <w:szCs w:val="24"/>
                  </w:rPr>
                  <w:t>Not required</w:t>
                </w:r>
              </w:sdtContent>
            </w:sdt>
          </w:p>
        </w:tc>
      </w:tr>
      <w:tr w:rsidR="00E936EE" w:rsidRPr="00E23B12" w:rsidTr="00BB137A">
        <w:trPr>
          <w:trHeight w:val="138"/>
        </w:trPr>
        <w:tc>
          <w:tcPr>
            <w:tcW w:w="4111" w:type="dxa"/>
            <w:vMerge/>
            <w:shd w:val="clear" w:color="auto" w:fill="F2F2F2" w:themeFill="background1" w:themeFillShade="F2"/>
            <w:vAlign w:val="center"/>
          </w:tcPr>
          <w:p w:rsidR="00E936EE" w:rsidRPr="00E23B12" w:rsidRDefault="00E936EE" w:rsidP="00BB137A">
            <w:pPr>
              <w:rPr>
                <w:rFonts w:ascii="Verdana" w:hAnsi="Verdana" w:cs="Arial"/>
                <w:b/>
                <w:szCs w:val="24"/>
              </w:rPr>
            </w:pPr>
          </w:p>
        </w:tc>
        <w:tc>
          <w:tcPr>
            <w:tcW w:w="5245" w:type="dxa"/>
            <w:vAlign w:val="center"/>
          </w:tcPr>
          <w:p w:rsidR="00E936EE" w:rsidRPr="00E23B12" w:rsidRDefault="00E936EE" w:rsidP="00B72F20">
            <w:pPr>
              <w:rPr>
                <w:rStyle w:val="Style32"/>
                <w:rFonts w:ascii="Verdana" w:hAnsi="Verdana"/>
                <w:szCs w:val="24"/>
              </w:rPr>
            </w:pPr>
          </w:p>
        </w:tc>
      </w:tr>
      <w:tr w:rsidR="00E936EE" w:rsidRPr="00E23B12" w:rsidTr="00BB137A">
        <w:trPr>
          <w:trHeight w:val="843"/>
        </w:trPr>
        <w:tc>
          <w:tcPr>
            <w:tcW w:w="4111" w:type="dxa"/>
            <w:vMerge w:val="restart"/>
            <w:shd w:val="clear" w:color="auto" w:fill="F2F2F2" w:themeFill="background1" w:themeFillShade="F2"/>
            <w:vAlign w:val="center"/>
          </w:tcPr>
          <w:p w:rsidR="00E936EE" w:rsidRPr="00E23B12" w:rsidRDefault="00E936EE" w:rsidP="00BB137A">
            <w:pPr>
              <w:rPr>
                <w:rFonts w:ascii="Verdana" w:hAnsi="Verdana" w:cs="Arial"/>
                <w:b/>
                <w:szCs w:val="24"/>
              </w:rPr>
            </w:pPr>
            <w:r w:rsidRPr="00E23B12">
              <w:rPr>
                <w:rFonts w:ascii="Verdana" w:hAnsi="Verdana" w:cs="Arial"/>
                <w:b/>
                <w:szCs w:val="24"/>
              </w:rPr>
              <w:t>Legal implications / impact</w:t>
            </w:r>
          </w:p>
        </w:tc>
        <w:sdt>
          <w:sdtPr>
            <w:rPr>
              <w:rFonts w:ascii="Verdana" w:hAnsi="Verdana" w:cs="Arial"/>
              <w:szCs w:val="24"/>
            </w:rPr>
            <w:id w:val="-1862651529"/>
            <w:placeholder>
              <w:docPart w:val="E6CD563AD2494FD1BCBD5E4AB79DC5BF"/>
            </w:placeholder>
            <w:showingPlcHd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E936EE" w:rsidRPr="00E23B12" w:rsidRDefault="0042607E" w:rsidP="00B72F20">
                <w:pPr>
                  <w:rPr>
                    <w:rFonts w:ascii="Verdana" w:hAnsi="Verdana" w:cs="Arial"/>
                    <w:szCs w:val="24"/>
                  </w:rPr>
                </w:pPr>
                <w:r w:rsidRPr="00E23B12">
                  <w:rPr>
                    <w:rStyle w:val="PlaceholderText"/>
                    <w:rFonts w:ascii="Verdana" w:hAnsi="Verdana"/>
                    <w:szCs w:val="24"/>
                  </w:rPr>
                  <w:t>Choose an item.</w:t>
                </w:r>
              </w:p>
            </w:tc>
          </w:sdtContent>
        </w:sdt>
      </w:tr>
      <w:tr w:rsidR="00E936EE" w:rsidRPr="00E23B12" w:rsidTr="00BB137A">
        <w:trPr>
          <w:trHeight w:val="277"/>
        </w:trPr>
        <w:tc>
          <w:tcPr>
            <w:tcW w:w="4111" w:type="dxa"/>
            <w:vMerge/>
            <w:shd w:val="clear" w:color="auto" w:fill="F2F2F2" w:themeFill="background1" w:themeFillShade="F2"/>
            <w:vAlign w:val="center"/>
          </w:tcPr>
          <w:p w:rsidR="00E936EE" w:rsidRPr="00E23B12" w:rsidRDefault="00E936EE" w:rsidP="00BB137A">
            <w:pPr>
              <w:rPr>
                <w:rFonts w:ascii="Verdana" w:hAnsi="Verdana" w:cs="Arial"/>
                <w:b/>
                <w:szCs w:val="24"/>
              </w:rPr>
            </w:pPr>
          </w:p>
        </w:tc>
        <w:tc>
          <w:tcPr>
            <w:tcW w:w="5245" w:type="dxa"/>
            <w:vAlign w:val="center"/>
          </w:tcPr>
          <w:p w:rsidR="00E936EE" w:rsidRPr="00E23B12" w:rsidRDefault="00E936EE" w:rsidP="00B72F20">
            <w:pPr>
              <w:rPr>
                <w:rFonts w:ascii="Verdana" w:hAnsi="Verdana" w:cs="Arial"/>
                <w:szCs w:val="24"/>
              </w:rPr>
            </w:pPr>
          </w:p>
        </w:tc>
      </w:tr>
      <w:tr w:rsidR="00E936EE" w:rsidRPr="00E23B12" w:rsidTr="00BB137A">
        <w:trPr>
          <w:trHeight w:val="831"/>
        </w:trPr>
        <w:tc>
          <w:tcPr>
            <w:tcW w:w="4111" w:type="dxa"/>
            <w:vMerge w:val="restart"/>
            <w:shd w:val="clear" w:color="auto" w:fill="F2F2F2" w:themeFill="background1" w:themeFillShade="F2"/>
            <w:vAlign w:val="center"/>
          </w:tcPr>
          <w:p w:rsidR="00E936EE" w:rsidRPr="00E23B12" w:rsidRDefault="00E936EE" w:rsidP="00BB137A">
            <w:pPr>
              <w:rPr>
                <w:rFonts w:ascii="Verdana" w:hAnsi="Verdana" w:cs="Arial"/>
                <w:b/>
                <w:szCs w:val="24"/>
              </w:rPr>
            </w:pPr>
            <w:r>
              <w:rPr>
                <w:rFonts w:ascii="Verdana" w:hAnsi="Verdana" w:cs="Arial"/>
                <w:b/>
                <w:szCs w:val="24"/>
              </w:rPr>
              <w:t>Resource (Capital/Revenue £/Workforce)</w:t>
            </w:r>
            <w:r w:rsidRPr="00E23B12">
              <w:rPr>
                <w:rFonts w:ascii="Verdana" w:hAnsi="Verdana" w:cs="Arial"/>
                <w:b/>
                <w:szCs w:val="24"/>
              </w:rPr>
              <w:t xml:space="preserve"> implications / </w:t>
            </w:r>
          </w:p>
          <w:p w:rsidR="00E936EE" w:rsidRPr="00E23B12" w:rsidRDefault="00E936EE" w:rsidP="00BB137A">
            <w:pPr>
              <w:rPr>
                <w:rFonts w:ascii="Verdana" w:hAnsi="Verdana" w:cs="Arial"/>
                <w:b/>
                <w:szCs w:val="24"/>
              </w:rPr>
            </w:pPr>
            <w:r w:rsidRPr="00E23B12">
              <w:rPr>
                <w:rFonts w:ascii="Verdana" w:hAnsi="Verdana" w:cs="Arial"/>
                <w:b/>
                <w:szCs w:val="24"/>
              </w:rPr>
              <w:t>Impact</w:t>
            </w:r>
          </w:p>
        </w:tc>
        <w:sdt>
          <w:sdtPr>
            <w:rPr>
              <w:rFonts w:ascii="Verdana" w:hAnsi="Verdana" w:cs="Arial"/>
              <w:szCs w:val="24"/>
            </w:rPr>
            <w:id w:val="-269172220"/>
            <w:placeholder>
              <w:docPart w:val="4268F7CFD64348BFA285C2458ADC68E9"/>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E936EE" w:rsidRPr="00E23B12" w:rsidRDefault="0042607E" w:rsidP="00B72F20">
                <w:pPr>
                  <w:rPr>
                    <w:rFonts w:ascii="Verdana" w:hAnsi="Verdana" w:cs="Arial"/>
                    <w:szCs w:val="24"/>
                  </w:rPr>
                </w:pPr>
                <w:r>
                  <w:rPr>
                    <w:rFonts w:ascii="Verdana" w:hAnsi="Verdana" w:cs="Arial"/>
                    <w:szCs w:val="24"/>
                  </w:rPr>
                  <w:t>Yes (Include further detail below)</w:t>
                </w:r>
              </w:p>
            </w:tc>
          </w:sdtContent>
        </w:sdt>
      </w:tr>
      <w:tr w:rsidR="00E936EE" w:rsidRPr="00E23B12" w:rsidTr="00BB137A">
        <w:trPr>
          <w:trHeight w:val="290"/>
        </w:trPr>
        <w:tc>
          <w:tcPr>
            <w:tcW w:w="4111" w:type="dxa"/>
            <w:vMerge/>
            <w:shd w:val="clear" w:color="auto" w:fill="F2F2F2" w:themeFill="background1" w:themeFillShade="F2"/>
            <w:vAlign w:val="center"/>
          </w:tcPr>
          <w:p w:rsidR="00E936EE" w:rsidRPr="00E23B12" w:rsidRDefault="00E936EE" w:rsidP="00BB137A">
            <w:pPr>
              <w:rPr>
                <w:rFonts w:ascii="Verdana" w:hAnsi="Verdana" w:cs="Arial"/>
                <w:b/>
                <w:szCs w:val="24"/>
              </w:rPr>
            </w:pPr>
          </w:p>
        </w:tc>
        <w:tc>
          <w:tcPr>
            <w:tcW w:w="5245" w:type="dxa"/>
            <w:vAlign w:val="center"/>
          </w:tcPr>
          <w:p w:rsidR="00E936EE" w:rsidRPr="00E23B12" w:rsidRDefault="0042607E" w:rsidP="00B72F20">
            <w:pPr>
              <w:rPr>
                <w:rFonts w:ascii="Verdana" w:hAnsi="Verdana" w:cs="Arial"/>
                <w:szCs w:val="24"/>
              </w:rPr>
            </w:pPr>
            <w:r>
              <w:rPr>
                <w:rFonts w:ascii="Verdana" w:hAnsi="Verdana" w:cs="Arial"/>
                <w:szCs w:val="24"/>
              </w:rPr>
              <w:t>The requirements to deliver safe, high quality care impact on resources including workforce. The new operating model will support delivery of safe, high quality care.</w:t>
            </w:r>
          </w:p>
        </w:tc>
      </w:tr>
      <w:tr w:rsidR="00E936EE" w:rsidRPr="00E23B12" w:rsidTr="00BB137A">
        <w:trPr>
          <w:trHeight w:val="875"/>
        </w:trPr>
        <w:tc>
          <w:tcPr>
            <w:tcW w:w="4111" w:type="dxa"/>
            <w:shd w:val="clear" w:color="auto" w:fill="F2F2F2" w:themeFill="background1" w:themeFillShade="F2"/>
            <w:vAlign w:val="center"/>
          </w:tcPr>
          <w:p w:rsidR="00E936EE" w:rsidRDefault="00E936EE" w:rsidP="00BB137A">
            <w:pPr>
              <w:rPr>
                <w:rFonts w:ascii="Verdana" w:hAnsi="Verdana" w:cs="Arial"/>
                <w:b/>
                <w:szCs w:val="24"/>
              </w:rPr>
            </w:pPr>
            <w:r>
              <w:rPr>
                <w:rFonts w:ascii="Verdana" w:hAnsi="Verdana" w:cs="Arial"/>
                <w:b/>
                <w:szCs w:val="24"/>
              </w:rPr>
              <w:t>Link to Main Strategic Objective</w:t>
            </w:r>
          </w:p>
          <w:p w:rsidR="00E936EE" w:rsidRDefault="00E936EE" w:rsidP="00BB137A">
            <w:pPr>
              <w:rPr>
                <w:rFonts w:ascii="Verdana" w:hAnsi="Verdana" w:cs="Arial"/>
                <w:b/>
                <w:szCs w:val="24"/>
              </w:rPr>
            </w:pPr>
          </w:p>
        </w:tc>
        <w:sdt>
          <w:sdtPr>
            <w:rPr>
              <w:rFonts w:ascii="Verdana" w:hAnsi="Verdana" w:cs="Arial"/>
              <w:szCs w:val="24"/>
            </w:rPr>
            <w:id w:val="-226461801"/>
            <w:placeholder>
              <w:docPart w:val="0DDB21FD854840A3B7AABA9126C97045"/>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E936EE" w:rsidRPr="00E23B12" w:rsidRDefault="0042607E" w:rsidP="00B72F20">
                <w:pPr>
                  <w:rPr>
                    <w:rFonts w:ascii="Verdana" w:hAnsi="Verdana" w:cs="Arial"/>
                    <w:szCs w:val="24"/>
                  </w:rPr>
                </w:pPr>
                <w:r>
                  <w:rPr>
                    <w:rFonts w:ascii="Verdana" w:hAnsi="Verdana" w:cs="Arial"/>
                    <w:szCs w:val="24"/>
                  </w:rPr>
                  <w:t>To Improve Quality, Safety &amp; Patient Experience</w:t>
                </w:r>
              </w:p>
            </w:tc>
          </w:sdtContent>
        </w:sdt>
      </w:tr>
      <w:tr w:rsidR="00E936EE" w:rsidRPr="00E23B12" w:rsidTr="00BB137A">
        <w:trPr>
          <w:trHeight w:val="875"/>
        </w:trPr>
        <w:tc>
          <w:tcPr>
            <w:tcW w:w="4111" w:type="dxa"/>
            <w:shd w:val="clear" w:color="auto" w:fill="F2F2F2" w:themeFill="background1" w:themeFillShade="F2"/>
            <w:vAlign w:val="center"/>
          </w:tcPr>
          <w:p w:rsidR="00E936EE" w:rsidRDefault="00E936EE" w:rsidP="00BB137A">
            <w:pPr>
              <w:rPr>
                <w:rFonts w:ascii="Verdana" w:hAnsi="Verdana" w:cs="Arial"/>
                <w:b/>
                <w:szCs w:val="24"/>
              </w:rPr>
            </w:pPr>
            <w:r>
              <w:rPr>
                <w:rFonts w:ascii="Verdana" w:hAnsi="Verdana" w:cs="Arial"/>
                <w:b/>
                <w:szCs w:val="24"/>
              </w:rPr>
              <w:t>Link to Main WBFG Act Objective</w:t>
            </w:r>
          </w:p>
          <w:p w:rsidR="00E936EE" w:rsidRDefault="00E936EE" w:rsidP="00BB137A">
            <w:pPr>
              <w:rPr>
                <w:rFonts w:ascii="Verdana" w:hAnsi="Verdana" w:cs="Arial"/>
                <w:b/>
                <w:szCs w:val="24"/>
              </w:rPr>
            </w:pPr>
          </w:p>
        </w:tc>
        <w:sdt>
          <w:sdtPr>
            <w:rPr>
              <w:rFonts w:ascii="Verdana" w:hAnsi="Verdana" w:cs="Arial"/>
              <w:szCs w:val="24"/>
            </w:rPr>
            <w:id w:val="1683709248"/>
            <w:placeholder>
              <w:docPart w:val="E2EE6B48360F4677A2D1C6DAE89AC1E4"/>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E936EE" w:rsidRDefault="0042607E" w:rsidP="00B72F20">
                <w:pPr>
                  <w:rPr>
                    <w:rFonts w:ascii="Verdana" w:hAnsi="Verdana" w:cs="Arial"/>
                    <w:szCs w:val="24"/>
                  </w:rPr>
                </w:pPr>
                <w:r>
                  <w:rPr>
                    <w:rFonts w:ascii="Verdana" w:hAnsi="Verdana" w:cs="Arial"/>
                    <w:szCs w:val="24"/>
                  </w:rPr>
                  <w:t>Provide high quality care as locally as possible wherever it is safe and sustainable</w:t>
                </w:r>
              </w:p>
            </w:tc>
          </w:sdtContent>
        </w:sdt>
      </w:tr>
    </w:tbl>
    <w:p w:rsidR="00B72F20" w:rsidRDefault="00B72F20">
      <w:pPr>
        <w:rPr>
          <w:rFonts w:ascii="Verdana" w:hAnsi="Verdana" w:cs="Arial"/>
          <w:b/>
          <w:szCs w:val="24"/>
        </w:rPr>
      </w:pPr>
    </w:p>
    <w:p w:rsidR="00685CD7" w:rsidRDefault="00E936EE" w:rsidP="00934688">
      <w:pPr>
        <w:pStyle w:val="ListParagraph"/>
        <w:numPr>
          <w:ilvl w:val="0"/>
          <w:numId w:val="1"/>
        </w:numPr>
        <w:contextualSpacing/>
        <w:rPr>
          <w:rFonts w:ascii="Verdana" w:hAnsi="Verdana" w:cs="Arial"/>
          <w:b/>
          <w:szCs w:val="24"/>
        </w:rPr>
      </w:pPr>
      <w:r w:rsidRPr="00E23B12">
        <w:rPr>
          <w:rFonts w:ascii="Verdana" w:hAnsi="Verdana" w:cs="Arial"/>
          <w:b/>
          <w:szCs w:val="24"/>
        </w:rPr>
        <w:t>RECOMMENDATION</w:t>
      </w:r>
    </w:p>
    <w:p w:rsidR="00E936EE" w:rsidRDefault="00E936EE" w:rsidP="00E936EE">
      <w:pPr>
        <w:rPr>
          <w:rFonts w:ascii="Verdana" w:hAnsi="Verdana" w:cs="Arial"/>
          <w:szCs w:val="24"/>
        </w:rPr>
      </w:pPr>
    </w:p>
    <w:p w:rsidR="00810870" w:rsidRDefault="00E00937" w:rsidP="00E936EE">
      <w:pPr>
        <w:rPr>
          <w:rFonts w:ascii="Verdana" w:hAnsi="Verdana" w:cs="Arial"/>
          <w:szCs w:val="24"/>
        </w:rPr>
      </w:pPr>
      <w:r>
        <w:rPr>
          <w:rFonts w:ascii="Verdana" w:hAnsi="Verdana" w:cs="Arial"/>
          <w:szCs w:val="24"/>
        </w:rPr>
        <w:t xml:space="preserve">Members of the </w:t>
      </w:r>
      <w:r w:rsidR="00F65815">
        <w:rPr>
          <w:rFonts w:ascii="Verdana" w:hAnsi="Verdana" w:cs="Arial"/>
          <w:szCs w:val="24"/>
        </w:rPr>
        <w:t>Board</w:t>
      </w:r>
      <w:r w:rsidR="00810870">
        <w:rPr>
          <w:rFonts w:ascii="Verdana" w:hAnsi="Verdana" w:cs="Arial"/>
          <w:szCs w:val="24"/>
        </w:rPr>
        <w:t xml:space="preserve"> are asked to:</w:t>
      </w:r>
    </w:p>
    <w:p w:rsidR="000A6BA8" w:rsidRDefault="00E00937" w:rsidP="00934688">
      <w:pPr>
        <w:pStyle w:val="ListParagraph"/>
        <w:numPr>
          <w:ilvl w:val="1"/>
          <w:numId w:val="1"/>
        </w:numPr>
        <w:spacing w:before="120" w:after="120"/>
        <w:rPr>
          <w:rFonts w:ascii="Verdana" w:hAnsi="Verdana" w:cs="Arial"/>
          <w:szCs w:val="24"/>
        </w:rPr>
      </w:pPr>
      <w:r w:rsidRPr="00E00937">
        <w:rPr>
          <w:rFonts w:ascii="Verdana" w:hAnsi="Verdana" w:cs="Arial"/>
          <w:b/>
          <w:szCs w:val="24"/>
        </w:rPr>
        <w:t>NOTE</w:t>
      </w:r>
      <w:r w:rsidR="000A6BA8">
        <w:rPr>
          <w:rFonts w:ascii="Verdana" w:hAnsi="Verdana" w:cs="Arial"/>
          <w:szCs w:val="24"/>
        </w:rPr>
        <w:t xml:space="preserve"> the content of the report in relation to </w:t>
      </w:r>
      <w:r w:rsidR="006A19F6">
        <w:rPr>
          <w:rFonts w:ascii="Verdana" w:hAnsi="Verdana" w:cs="Arial"/>
          <w:szCs w:val="24"/>
        </w:rPr>
        <w:t>the Health Board</w:t>
      </w:r>
      <w:r w:rsidR="000A6BA8">
        <w:rPr>
          <w:rFonts w:ascii="Verdana" w:hAnsi="Verdana" w:cs="Arial"/>
          <w:szCs w:val="24"/>
        </w:rPr>
        <w:t xml:space="preserve"> quality data</w:t>
      </w:r>
      <w:r w:rsidR="006A19F6">
        <w:rPr>
          <w:rFonts w:ascii="Verdana" w:hAnsi="Verdana" w:cs="Arial"/>
          <w:szCs w:val="24"/>
        </w:rPr>
        <w:t xml:space="preserve"> up to January 2020</w:t>
      </w:r>
    </w:p>
    <w:p w:rsidR="000A6BA8" w:rsidRDefault="00E00937" w:rsidP="00934688">
      <w:pPr>
        <w:pStyle w:val="ListParagraph"/>
        <w:numPr>
          <w:ilvl w:val="1"/>
          <w:numId w:val="1"/>
        </w:numPr>
        <w:spacing w:before="120" w:after="120"/>
        <w:rPr>
          <w:rFonts w:ascii="Verdana" w:hAnsi="Verdana" w:cs="Arial"/>
          <w:szCs w:val="24"/>
        </w:rPr>
      </w:pPr>
      <w:r w:rsidRPr="00E00937">
        <w:rPr>
          <w:rFonts w:ascii="Verdana" w:hAnsi="Verdana" w:cs="Arial"/>
          <w:b/>
          <w:szCs w:val="24"/>
        </w:rPr>
        <w:t>DISCUSS</w:t>
      </w:r>
      <w:r w:rsidR="000A6BA8">
        <w:rPr>
          <w:rFonts w:ascii="Verdana" w:hAnsi="Verdana" w:cs="Arial"/>
          <w:szCs w:val="24"/>
        </w:rPr>
        <w:t xml:space="preserve"> the content of the report and flag areas </w:t>
      </w:r>
      <w:r w:rsidR="00810870">
        <w:rPr>
          <w:rFonts w:ascii="Verdana" w:hAnsi="Verdana" w:cs="Arial"/>
          <w:szCs w:val="24"/>
        </w:rPr>
        <w:t xml:space="preserve">(if not already identified) </w:t>
      </w:r>
      <w:r w:rsidR="000A6BA8">
        <w:rPr>
          <w:rFonts w:ascii="Verdana" w:hAnsi="Verdana" w:cs="Arial"/>
          <w:szCs w:val="24"/>
        </w:rPr>
        <w:t>where further assurance is required</w:t>
      </w:r>
    </w:p>
    <w:p w:rsidR="00531907" w:rsidRDefault="00E00937" w:rsidP="00934688">
      <w:pPr>
        <w:pStyle w:val="ListParagraph"/>
        <w:numPr>
          <w:ilvl w:val="1"/>
          <w:numId w:val="1"/>
        </w:numPr>
        <w:spacing w:before="120" w:after="120"/>
        <w:rPr>
          <w:rFonts w:ascii="Verdana" w:hAnsi="Verdana" w:cs="Arial"/>
          <w:szCs w:val="24"/>
        </w:rPr>
      </w:pPr>
      <w:r w:rsidRPr="00E00937">
        <w:rPr>
          <w:rFonts w:ascii="Verdana" w:hAnsi="Verdana" w:cs="Arial"/>
          <w:b/>
          <w:szCs w:val="24"/>
        </w:rPr>
        <w:t xml:space="preserve">NOTE </w:t>
      </w:r>
      <w:r w:rsidR="00531907">
        <w:rPr>
          <w:rFonts w:ascii="Verdana" w:hAnsi="Verdana" w:cs="Arial"/>
          <w:szCs w:val="24"/>
        </w:rPr>
        <w:t xml:space="preserve">the risks identified </w:t>
      </w:r>
    </w:p>
    <w:p w:rsidR="000A6BA8" w:rsidRPr="002C0E31" w:rsidRDefault="00E00937" w:rsidP="00934688">
      <w:pPr>
        <w:pStyle w:val="ListParagraph"/>
        <w:numPr>
          <w:ilvl w:val="1"/>
          <w:numId w:val="1"/>
        </w:numPr>
        <w:spacing w:before="120" w:after="120"/>
        <w:rPr>
          <w:rFonts w:ascii="Verdana" w:hAnsi="Verdana" w:cs="Arial"/>
          <w:szCs w:val="24"/>
        </w:rPr>
      </w:pPr>
      <w:r w:rsidRPr="00E00937">
        <w:rPr>
          <w:rFonts w:ascii="Verdana" w:hAnsi="Verdana" w:cs="Arial"/>
          <w:b/>
          <w:szCs w:val="24"/>
        </w:rPr>
        <w:t>SUPPORT</w:t>
      </w:r>
      <w:r w:rsidR="001C6CC0">
        <w:rPr>
          <w:rFonts w:ascii="Verdana" w:hAnsi="Verdana" w:cs="Arial"/>
          <w:szCs w:val="24"/>
        </w:rPr>
        <w:t xml:space="preserve"> the</w:t>
      </w:r>
      <w:r w:rsidR="00527696">
        <w:rPr>
          <w:rFonts w:ascii="Verdana" w:hAnsi="Verdana" w:cs="Arial"/>
          <w:szCs w:val="24"/>
        </w:rPr>
        <w:t xml:space="preserve"> </w:t>
      </w:r>
      <w:r w:rsidR="000A6BA8" w:rsidRPr="002C0E31">
        <w:rPr>
          <w:rFonts w:ascii="Verdana" w:hAnsi="Verdana" w:cs="Arial"/>
          <w:szCs w:val="24"/>
        </w:rPr>
        <w:t xml:space="preserve">improvement trajectories </w:t>
      </w:r>
      <w:r w:rsidR="006C15B1">
        <w:rPr>
          <w:rFonts w:ascii="Verdana" w:hAnsi="Verdana" w:cs="Arial"/>
          <w:szCs w:val="24"/>
        </w:rPr>
        <w:t>proposed in this report</w:t>
      </w:r>
      <w:r w:rsidR="009F68CA">
        <w:rPr>
          <w:rFonts w:ascii="Verdana" w:hAnsi="Verdana" w:cs="Arial"/>
          <w:szCs w:val="24"/>
        </w:rPr>
        <w:t>, noting that others will be developed in future months</w:t>
      </w:r>
    </w:p>
    <w:p w:rsidR="000A6BA8" w:rsidRPr="00106B16" w:rsidRDefault="000A6BA8" w:rsidP="000A6BA8">
      <w:pPr>
        <w:rPr>
          <w:rFonts w:cs="Arial"/>
          <w:b/>
          <w:szCs w:val="24"/>
        </w:rPr>
      </w:pPr>
    </w:p>
    <w:p w:rsidR="001855C1" w:rsidRDefault="001855C1" w:rsidP="007A5F15">
      <w:pPr>
        <w:rPr>
          <w:rFonts w:cs="Arial"/>
          <w:b/>
          <w:szCs w:val="24"/>
        </w:rPr>
        <w:sectPr w:rsidR="001855C1" w:rsidSect="000300A2">
          <w:headerReference w:type="first" r:id="rId63"/>
          <w:pgSz w:w="12240" w:h="15840"/>
          <w:pgMar w:top="1440" w:right="1440" w:bottom="1440" w:left="1440" w:header="283" w:footer="362" w:gutter="0"/>
          <w:cols w:space="708"/>
          <w:docGrid w:linePitch="360"/>
        </w:sectPr>
      </w:pPr>
    </w:p>
    <w:tbl>
      <w:tblPr>
        <w:tblW w:w="510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692"/>
        <w:gridCol w:w="5960"/>
        <w:gridCol w:w="6806"/>
        <w:gridCol w:w="1273"/>
      </w:tblGrid>
      <w:tr w:rsidR="00B07403" w:rsidRPr="00687831" w:rsidTr="00B43256">
        <w:trPr>
          <w:jc w:val="center"/>
        </w:trPr>
        <w:tc>
          <w:tcPr>
            <w:tcW w:w="235" w:type="pct"/>
            <w:shd w:val="clear" w:color="auto" w:fill="D9E2F3" w:themeFill="accent5" w:themeFillTint="33"/>
            <w:vAlign w:val="center"/>
            <w:hideMark/>
          </w:tcPr>
          <w:p w:rsidR="00687831" w:rsidRPr="00687831" w:rsidRDefault="00687831" w:rsidP="00687831">
            <w:pPr>
              <w:spacing w:line="256" w:lineRule="auto"/>
              <w:ind w:left="-123" w:right="-107"/>
              <w:jc w:val="center"/>
              <w:rPr>
                <w:rFonts w:asciiTheme="minorHAnsi" w:eastAsia="Calibri" w:hAnsiTheme="minorHAnsi" w:cs="Tahoma"/>
                <w:b/>
                <w:sz w:val="20"/>
                <w:lang w:eastAsia="en-US"/>
              </w:rPr>
            </w:pPr>
            <w:r w:rsidRPr="00687831">
              <w:rPr>
                <w:rFonts w:asciiTheme="minorHAnsi" w:eastAsia="Calibri" w:hAnsiTheme="minorHAnsi" w:cs="Tahoma"/>
                <w:b/>
                <w:sz w:val="20"/>
                <w:lang w:eastAsia="en-US"/>
              </w:rPr>
              <w:t>Grade</w:t>
            </w:r>
          </w:p>
        </w:tc>
        <w:tc>
          <w:tcPr>
            <w:tcW w:w="2023" w:type="pct"/>
            <w:shd w:val="clear" w:color="auto" w:fill="D9E2F3" w:themeFill="accent5" w:themeFillTint="33"/>
            <w:vAlign w:val="center"/>
            <w:hideMark/>
          </w:tcPr>
          <w:p w:rsidR="00687831" w:rsidRPr="00687831" w:rsidRDefault="00687831" w:rsidP="00687831">
            <w:pPr>
              <w:spacing w:line="256" w:lineRule="auto"/>
              <w:jc w:val="center"/>
              <w:rPr>
                <w:rFonts w:asciiTheme="minorHAnsi" w:eastAsia="Calibri" w:hAnsiTheme="minorHAnsi" w:cs="Tahoma"/>
                <w:b/>
                <w:szCs w:val="24"/>
                <w:lang w:eastAsia="en-US"/>
              </w:rPr>
            </w:pPr>
            <w:r w:rsidRPr="00687831">
              <w:rPr>
                <w:rFonts w:asciiTheme="minorHAnsi" w:eastAsia="Calibri" w:hAnsiTheme="minorHAnsi" w:cs="Tahoma"/>
                <w:b/>
                <w:szCs w:val="24"/>
                <w:lang w:eastAsia="en-US"/>
              </w:rPr>
              <w:t>NPSA level of harm</w:t>
            </w:r>
          </w:p>
        </w:tc>
        <w:tc>
          <w:tcPr>
            <w:tcW w:w="2310" w:type="pct"/>
            <w:shd w:val="clear" w:color="auto" w:fill="D9E2F3" w:themeFill="accent5" w:themeFillTint="33"/>
            <w:vAlign w:val="center"/>
            <w:hideMark/>
          </w:tcPr>
          <w:p w:rsidR="00687831" w:rsidRPr="00687831" w:rsidRDefault="00687831" w:rsidP="00687831">
            <w:pPr>
              <w:spacing w:line="256" w:lineRule="auto"/>
              <w:jc w:val="center"/>
              <w:rPr>
                <w:rFonts w:asciiTheme="minorHAnsi" w:eastAsia="Calibri" w:hAnsiTheme="minorHAnsi" w:cs="Tahoma"/>
                <w:b/>
                <w:szCs w:val="24"/>
                <w:lang w:eastAsia="en-US"/>
              </w:rPr>
            </w:pPr>
            <w:r w:rsidRPr="00687831">
              <w:rPr>
                <w:rFonts w:asciiTheme="minorHAnsi" w:eastAsia="Calibri" w:hAnsiTheme="minorHAnsi" w:cs="Tahoma"/>
                <w:b/>
                <w:szCs w:val="24"/>
                <w:lang w:eastAsia="en-US"/>
              </w:rPr>
              <w:t>Examples of concerns</w:t>
            </w:r>
          </w:p>
        </w:tc>
        <w:tc>
          <w:tcPr>
            <w:tcW w:w="432" w:type="pct"/>
            <w:shd w:val="clear" w:color="auto" w:fill="D9E2F3" w:themeFill="accent5" w:themeFillTint="33"/>
            <w:vAlign w:val="center"/>
            <w:hideMark/>
          </w:tcPr>
          <w:p w:rsidR="00687831" w:rsidRPr="00687831" w:rsidRDefault="00687831" w:rsidP="00A63860">
            <w:pPr>
              <w:spacing w:line="256" w:lineRule="auto"/>
              <w:ind w:left="-107" w:right="-123"/>
              <w:jc w:val="center"/>
              <w:rPr>
                <w:rFonts w:asciiTheme="minorHAnsi" w:eastAsia="Calibri" w:hAnsiTheme="minorHAnsi" w:cs="Tahoma"/>
                <w:b/>
                <w:sz w:val="20"/>
                <w:lang w:eastAsia="en-US"/>
              </w:rPr>
            </w:pPr>
            <w:r w:rsidRPr="00687831">
              <w:rPr>
                <w:rFonts w:asciiTheme="minorHAnsi" w:eastAsia="Calibri" w:hAnsiTheme="minorHAnsi" w:cs="Tahoma"/>
                <w:b/>
                <w:sz w:val="20"/>
                <w:lang w:eastAsia="en-US"/>
              </w:rPr>
              <w:t>Redress Potential</w:t>
            </w:r>
          </w:p>
        </w:tc>
      </w:tr>
      <w:tr w:rsidR="00687831" w:rsidRPr="00687831" w:rsidTr="00B43256">
        <w:trPr>
          <w:jc w:val="center"/>
        </w:trPr>
        <w:tc>
          <w:tcPr>
            <w:tcW w:w="235" w:type="pct"/>
          </w:tcPr>
          <w:p w:rsidR="00687831" w:rsidRPr="00687831" w:rsidRDefault="00687831" w:rsidP="00687831">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1</w:t>
            </w: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tc>
        <w:tc>
          <w:tcPr>
            <w:tcW w:w="2023" w:type="pct"/>
            <w:hideMark/>
          </w:tcPr>
          <w:p w:rsidR="00687831" w:rsidRPr="00687831" w:rsidRDefault="00687831" w:rsidP="00687831">
            <w:pPr>
              <w:spacing w:line="256" w:lineRule="auto"/>
              <w:rPr>
                <w:rFonts w:asciiTheme="minorHAnsi" w:eastAsia="Calibri" w:hAnsiTheme="minorHAnsi" w:cs="Tahoma"/>
                <w:b/>
                <w:sz w:val="20"/>
                <w:lang w:eastAsia="en-US"/>
              </w:rPr>
            </w:pPr>
            <w:r w:rsidRPr="00687831">
              <w:rPr>
                <w:rFonts w:asciiTheme="minorHAnsi" w:eastAsia="Calibri" w:hAnsiTheme="minorHAnsi" w:cs="Tahoma"/>
                <w:b/>
                <w:sz w:val="20"/>
                <w:lang w:eastAsia="en-US"/>
              </w:rPr>
              <w:t>No harm</w:t>
            </w:r>
          </w:p>
          <w:p w:rsidR="00687831" w:rsidRPr="00687831" w:rsidRDefault="00687831" w:rsidP="00687831">
            <w:pPr>
              <w:spacing w:line="256" w:lineRule="auto"/>
              <w:rPr>
                <w:rFonts w:asciiTheme="minorHAnsi" w:eastAsia="Calibri" w:hAnsiTheme="minorHAnsi" w:cs="Tahoma"/>
                <w:sz w:val="18"/>
                <w:szCs w:val="18"/>
                <w:lang w:eastAsia="en-US"/>
              </w:rPr>
            </w:pPr>
            <w:r w:rsidRPr="00687831">
              <w:rPr>
                <w:rFonts w:asciiTheme="minorHAnsi" w:eastAsia="Calibri" w:hAnsiTheme="minorHAnsi" w:cs="Tahoma"/>
                <w:sz w:val="18"/>
                <w:szCs w:val="18"/>
                <w:lang w:eastAsia="en-US"/>
              </w:rPr>
              <w:t xml:space="preserve">Impact Prevented – any patient safety incident that had the potential to cause harm but was prevented, resulting in no harm to people receiving NHS funded care </w:t>
            </w:r>
            <w:r w:rsidRPr="00687831">
              <w:rPr>
                <w:rFonts w:asciiTheme="minorHAnsi" w:eastAsia="Calibri" w:hAnsiTheme="minorHAnsi" w:cs="Tahoma"/>
                <w:b/>
                <w:sz w:val="18"/>
                <w:szCs w:val="18"/>
                <w:lang w:eastAsia="en-US"/>
              </w:rPr>
              <w:t>OR</w:t>
            </w:r>
            <w:r w:rsidRPr="00687831">
              <w:rPr>
                <w:rFonts w:asciiTheme="minorHAnsi" w:eastAsia="Calibri" w:hAnsiTheme="minorHAnsi" w:cs="Tahoma"/>
                <w:sz w:val="18"/>
                <w:szCs w:val="18"/>
                <w:lang w:eastAsia="en-US"/>
              </w:rPr>
              <w:t xml:space="preserve">  Impact not prevented – any patient safety incident that ran to completion but no harm occurred to people receiving NHS-funded care.  </w:t>
            </w:r>
          </w:p>
        </w:tc>
        <w:tc>
          <w:tcPr>
            <w:tcW w:w="2310" w:type="pct"/>
            <w:vAlign w:val="center"/>
            <w:hideMark/>
          </w:tcPr>
          <w:p w:rsidR="00687831" w:rsidRPr="00687831" w:rsidRDefault="00687831" w:rsidP="00687831">
            <w:p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Concerns which normally involve issues that can be easily / speedily addressed, with no harm having arisen. For example:</w:t>
            </w:r>
          </w:p>
          <w:p w:rsidR="00687831" w:rsidRPr="00687831" w:rsidRDefault="00687831" w:rsidP="00934688">
            <w:pPr>
              <w:numPr>
                <w:ilvl w:val="0"/>
                <w:numId w:val="4"/>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outpatient appointment delayed, but no consequences in terms of health</w:t>
            </w:r>
          </w:p>
          <w:p w:rsidR="00687831" w:rsidRPr="00687831" w:rsidRDefault="00687831" w:rsidP="00934688">
            <w:pPr>
              <w:numPr>
                <w:ilvl w:val="0"/>
                <w:numId w:val="4"/>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 xml:space="preserve">difficulty in car parking </w:t>
            </w:r>
          </w:p>
          <w:p w:rsidR="00687831" w:rsidRPr="00687831" w:rsidRDefault="00687831" w:rsidP="00934688">
            <w:pPr>
              <w:numPr>
                <w:ilvl w:val="0"/>
                <w:numId w:val="4"/>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Concerns which have impacted on a positive patient experience</w:t>
            </w:r>
          </w:p>
        </w:tc>
        <w:tc>
          <w:tcPr>
            <w:tcW w:w="432" w:type="pct"/>
            <w:hideMark/>
          </w:tcPr>
          <w:p w:rsidR="00687831" w:rsidRPr="00687831" w:rsidRDefault="00687831" w:rsidP="00A63860">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Highly unlikely</w:t>
            </w:r>
          </w:p>
        </w:tc>
      </w:tr>
      <w:tr w:rsidR="00687831" w:rsidRPr="00687831" w:rsidTr="00B43256">
        <w:trPr>
          <w:jc w:val="center"/>
        </w:trPr>
        <w:tc>
          <w:tcPr>
            <w:tcW w:w="235" w:type="pct"/>
          </w:tcPr>
          <w:p w:rsidR="00687831" w:rsidRPr="00687831" w:rsidRDefault="00687831" w:rsidP="00687831">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2</w:t>
            </w: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tc>
        <w:tc>
          <w:tcPr>
            <w:tcW w:w="2023" w:type="pct"/>
          </w:tcPr>
          <w:p w:rsidR="00687831" w:rsidRPr="00687831" w:rsidRDefault="00687831" w:rsidP="00687831">
            <w:pPr>
              <w:spacing w:line="256" w:lineRule="auto"/>
              <w:rPr>
                <w:rFonts w:asciiTheme="minorHAnsi" w:eastAsia="Calibri" w:hAnsiTheme="minorHAnsi" w:cs="Tahoma"/>
                <w:b/>
                <w:i/>
                <w:sz w:val="20"/>
                <w:lang w:eastAsia="en-US"/>
              </w:rPr>
            </w:pPr>
            <w:r w:rsidRPr="00687831">
              <w:rPr>
                <w:rFonts w:asciiTheme="minorHAnsi" w:eastAsia="Calibri" w:hAnsiTheme="minorHAnsi" w:cs="Tahoma"/>
                <w:b/>
                <w:sz w:val="20"/>
                <w:lang w:eastAsia="en-US"/>
              </w:rPr>
              <w:t>Low harm</w:t>
            </w:r>
            <w:r w:rsidRPr="00687831">
              <w:rPr>
                <w:rFonts w:asciiTheme="minorHAnsi" w:eastAsia="Calibri" w:hAnsiTheme="minorHAnsi" w:cs="Tahoma"/>
                <w:b/>
                <w:i/>
                <w:sz w:val="20"/>
                <w:lang w:eastAsia="en-US"/>
              </w:rPr>
              <w:t xml:space="preserve"> </w:t>
            </w:r>
          </w:p>
          <w:p w:rsidR="00687831" w:rsidRPr="00687831" w:rsidRDefault="00687831" w:rsidP="00687831">
            <w:pPr>
              <w:spacing w:line="256" w:lineRule="auto"/>
              <w:rPr>
                <w:rFonts w:asciiTheme="minorHAnsi" w:eastAsia="Calibri" w:hAnsiTheme="minorHAnsi" w:cs="Tahoma"/>
                <w:sz w:val="18"/>
                <w:szCs w:val="18"/>
                <w:lang w:eastAsia="en-US"/>
              </w:rPr>
            </w:pPr>
            <w:r w:rsidRPr="00687831">
              <w:rPr>
                <w:rFonts w:asciiTheme="minorHAnsi" w:eastAsia="Calibri" w:hAnsiTheme="minorHAnsi" w:cs="Tahoma"/>
                <w:sz w:val="18"/>
                <w:szCs w:val="18"/>
                <w:lang w:eastAsia="en-US"/>
              </w:rPr>
              <w:t>Any patient safety incident that required extra observation or minor treatment and caused minimal harm, to one or more persons receiving NHS-funded care. </w:t>
            </w:r>
          </w:p>
        </w:tc>
        <w:tc>
          <w:tcPr>
            <w:tcW w:w="2310" w:type="pct"/>
            <w:hideMark/>
          </w:tcPr>
          <w:p w:rsidR="00687831" w:rsidRPr="00687831" w:rsidRDefault="00687831" w:rsidP="00934688">
            <w:pPr>
              <w:numPr>
                <w:ilvl w:val="0"/>
                <w:numId w:val="5"/>
              </w:numPr>
              <w:tabs>
                <w:tab w:val="num" w:pos="317"/>
              </w:tabs>
              <w:spacing w:line="256" w:lineRule="auto"/>
              <w:ind w:left="360"/>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Concerns regarding care and treatment which span a number of different aspects/specialities</w:t>
            </w:r>
          </w:p>
          <w:p w:rsidR="00687831" w:rsidRPr="00687831" w:rsidRDefault="00687831" w:rsidP="00934688">
            <w:pPr>
              <w:numPr>
                <w:ilvl w:val="0"/>
                <w:numId w:val="6"/>
              </w:numPr>
              <w:tabs>
                <w:tab w:val="num" w:pos="317"/>
              </w:tabs>
              <w:spacing w:line="256" w:lineRule="auto"/>
              <w:ind w:left="360"/>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Increase in length of stay by 1 - 3 days</w:t>
            </w:r>
          </w:p>
          <w:p w:rsidR="00687831" w:rsidRPr="00687831" w:rsidRDefault="00687831" w:rsidP="00934688">
            <w:pPr>
              <w:numPr>
                <w:ilvl w:val="0"/>
                <w:numId w:val="7"/>
              </w:numPr>
              <w:tabs>
                <w:tab w:val="num" w:pos="317"/>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Patient fall - requiring treatment</w:t>
            </w:r>
          </w:p>
          <w:p w:rsidR="00687831" w:rsidRPr="00687831" w:rsidRDefault="00687831" w:rsidP="00934688">
            <w:pPr>
              <w:numPr>
                <w:ilvl w:val="0"/>
                <w:numId w:val="8"/>
              </w:numPr>
              <w:tabs>
                <w:tab w:val="num" w:pos="317"/>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Requiring time off work - 3 days</w:t>
            </w:r>
          </w:p>
          <w:p w:rsidR="00687831" w:rsidRPr="00687831" w:rsidRDefault="00687831" w:rsidP="00934688">
            <w:pPr>
              <w:numPr>
                <w:ilvl w:val="0"/>
                <w:numId w:val="8"/>
              </w:numPr>
              <w:tabs>
                <w:tab w:val="num" w:pos="317"/>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 involves a single failure to meet internal standards but with minor implications for patient safety</w:t>
            </w:r>
          </w:p>
          <w:p w:rsidR="00687831" w:rsidRPr="00687831" w:rsidRDefault="00687831" w:rsidP="00934688">
            <w:pPr>
              <w:numPr>
                <w:ilvl w:val="0"/>
                <w:numId w:val="8"/>
              </w:numPr>
              <w:tabs>
                <w:tab w:val="num" w:pos="317"/>
              </w:tabs>
              <w:spacing w:line="256" w:lineRule="auto"/>
              <w:ind w:left="317"/>
              <w:jc w:val="both"/>
              <w:rPr>
                <w:rFonts w:asciiTheme="minorHAnsi" w:eastAsia="Calibri" w:hAnsiTheme="minorHAnsi" w:cs="Tahoma"/>
                <w:i/>
                <w:sz w:val="16"/>
                <w:szCs w:val="16"/>
                <w:lang w:eastAsia="en-US"/>
              </w:rPr>
            </w:pPr>
            <w:r w:rsidRPr="00687831">
              <w:rPr>
                <w:rFonts w:asciiTheme="minorHAnsi" w:eastAsia="Calibri" w:hAnsiTheme="minorHAnsi" w:cs="Tahoma"/>
                <w:sz w:val="16"/>
                <w:szCs w:val="16"/>
                <w:lang w:eastAsia="en-US"/>
              </w:rPr>
              <w:t>Return for minor treatment, e.g. local anaesthetic</w:t>
            </w:r>
          </w:p>
        </w:tc>
        <w:tc>
          <w:tcPr>
            <w:tcW w:w="432" w:type="pct"/>
            <w:hideMark/>
          </w:tcPr>
          <w:p w:rsidR="00687831" w:rsidRPr="00687831" w:rsidRDefault="00687831" w:rsidP="00A63860">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Unlikely</w:t>
            </w:r>
          </w:p>
        </w:tc>
      </w:tr>
      <w:tr w:rsidR="00687831" w:rsidRPr="00687831" w:rsidTr="00B43256">
        <w:trPr>
          <w:jc w:val="center"/>
        </w:trPr>
        <w:tc>
          <w:tcPr>
            <w:tcW w:w="235" w:type="pct"/>
          </w:tcPr>
          <w:p w:rsidR="00687831" w:rsidRPr="00687831" w:rsidRDefault="00687831" w:rsidP="00687831">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3</w:t>
            </w: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tc>
        <w:tc>
          <w:tcPr>
            <w:tcW w:w="2023" w:type="pct"/>
          </w:tcPr>
          <w:p w:rsidR="00687831" w:rsidRPr="00687831" w:rsidRDefault="00687831" w:rsidP="00687831">
            <w:pPr>
              <w:spacing w:line="256" w:lineRule="auto"/>
              <w:rPr>
                <w:rFonts w:asciiTheme="minorHAnsi" w:eastAsia="Calibri" w:hAnsiTheme="minorHAnsi" w:cs="Tahoma"/>
                <w:b/>
                <w:sz w:val="20"/>
                <w:lang w:eastAsia="en-US"/>
              </w:rPr>
            </w:pPr>
            <w:r w:rsidRPr="00687831">
              <w:rPr>
                <w:rFonts w:asciiTheme="minorHAnsi" w:eastAsia="Calibri" w:hAnsiTheme="minorHAnsi" w:cs="Tahoma"/>
                <w:b/>
                <w:sz w:val="20"/>
                <w:lang w:eastAsia="en-US"/>
              </w:rPr>
              <w:t>Moderate harm</w:t>
            </w:r>
          </w:p>
          <w:p w:rsidR="00687831" w:rsidRPr="00687831" w:rsidRDefault="00687831" w:rsidP="00687831">
            <w:pPr>
              <w:spacing w:line="256" w:lineRule="auto"/>
              <w:rPr>
                <w:rFonts w:asciiTheme="minorHAnsi" w:eastAsia="Calibri" w:hAnsiTheme="minorHAnsi" w:cs="Tahoma"/>
                <w:sz w:val="18"/>
                <w:szCs w:val="18"/>
                <w:lang w:eastAsia="en-US"/>
              </w:rPr>
            </w:pPr>
            <w:r w:rsidRPr="00687831">
              <w:rPr>
                <w:rFonts w:asciiTheme="minorHAnsi" w:eastAsia="Calibri" w:hAnsiTheme="minorHAnsi" w:cs="Tahoma"/>
                <w:sz w:val="18"/>
                <w:szCs w:val="18"/>
                <w:lang w:eastAsia="en-US"/>
              </w:rPr>
              <w:t>Any patient safety incident that resulted in a moderate increase in treatment and which caused significant but not permanent harm, to one or more persons receiving NHS-funded care. </w:t>
            </w:r>
          </w:p>
          <w:p w:rsidR="00687831" w:rsidRPr="00687831" w:rsidRDefault="00687831" w:rsidP="00687831">
            <w:pPr>
              <w:spacing w:line="256" w:lineRule="auto"/>
              <w:rPr>
                <w:rFonts w:asciiTheme="minorHAnsi" w:eastAsia="Calibri" w:hAnsiTheme="minorHAnsi" w:cs="Tahoma"/>
                <w:sz w:val="18"/>
                <w:szCs w:val="18"/>
                <w:lang w:eastAsia="en-US"/>
              </w:rPr>
            </w:pPr>
          </w:p>
        </w:tc>
        <w:tc>
          <w:tcPr>
            <w:tcW w:w="2310" w:type="pct"/>
            <w:hideMark/>
          </w:tcPr>
          <w:p w:rsidR="00687831" w:rsidRPr="00687831" w:rsidRDefault="00687831" w:rsidP="00934688">
            <w:pPr>
              <w:numPr>
                <w:ilvl w:val="0"/>
                <w:numId w:val="9"/>
              </w:numPr>
              <w:tabs>
                <w:tab w:val="num" w:pos="623"/>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Clinical / process issues that have resulted in avoidable, semi permanent injury or impairment of health or damage that require intervention;</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Additional interventions required or treatment / appointments needed to be cancelled;</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Readmission or return to surgery, e.g. general anaesthetic;</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Necessity for transfer to another centre for treatment / care</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Increase in length of stay by 4 -15 days</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RIDDOR Reportable Incident</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Requiring time off work 4 -14 days</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Concerns that outline more than one failure to meet internal standards</w:t>
            </w:r>
          </w:p>
          <w:p w:rsidR="00687831" w:rsidRPr="00687831" w:rsidRDefault="00687831" w:rsidP="00934688">
            <w:pPr>
              <w:numPr>
                <w:ilvl w:val="0"/>
                <w:numId w:val="9"/>
              </w:numPr>
              <w:tabs>
                <w:tab w:val="num" w:pos="623"/>
                <w:tab w:val="num" w:pos="720"/>
              </w:tabs>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Moderate patient safety implications</w:t>
            </w:r>
          </w:p>
          <w:p w:rsidR="00687831" w:rsidRPr="00687831" w:rsidRDefault="00687831" w:rsidP="00934688">
            <w:pPr>
              <w:numPr>
                <w:ilvl w:val="0"/>
                <w:numId w:val="9"/>
              </w:numPr>
              <w:spacing w:line="256" w:lineRule="auto"/>
              <w:jc w:val="both"/>
              <w:rPr>
                <w:rFonts w:asciiTheme="minorHAnsi" w:eastAsia="Calibri" w:hAnsiTheme="minorHAnsi" w:cs="Tahoma"/>
                <w:i/>
                <w:sz w:val="16"/>
                <w:szCs w:val="16"/>
                <w:lang w:eastAsia="en-US"/>
              </w:rPr>
            </w:pPr>
            <w:r w:rsidRPr="00687831">
              <w:rPr>
                <w:rFonts w:asciiTheme="minorHAnsi" w:eastAsia="Calibri" w:hAnsiTheme="minorHAnsi" w:cs="Tahoma"/>
                <w:sz w:val="16"/>
                <w:szCs w:val="16"/>
                <w:lang w:eastAsia="en-US"/>
              </w:rPr>
              <w:t>Concerns that involve more than one organisation</w:t>
            </w:r>
            <w:r w:rsidRPr="00687831">
              <w:rPr>
                <w:rFonts w:asciiTheme="minorHAnsi" w:eastAsia="Calibri" w:hAnsiTheme="minorHAnsi" w:cs="Tahoma"/>
                <w:i/>
                <w:sz w:val="16"/>
                <w:szCs w:val="16"/>
                <w:lang w:eastAsia="en-US"/>
              </w:rPr>
              <w:t xml:space="preserve"> </w:t>
            </w:r>
          </w:p>
        </w:tc>
        <w:tc>
          <w:tcPr>
            <w:tcW w:w="432" w:type="pct"/>
            <w:hideMark/>
          </w:tcPr>
          <w:p w:rsidR="00687831" w:rsidRPr="00687831" w:rsidRDefault="00687831" w:rsidP="00A63860">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Possible in some cases</w:t>
            </w:r>
          </w:p>
        </w:tc>
      </w:tr>
      <w:tr w:rsidR="00687831" w:rsidRPr="00687831" w:rsidTr="00B43256">
        <w:trPr>
          <w:jc w:val="center"/>
        </w:trPr>
        <w:tc>
          <w:tcPr>
            <w:tcW w:w="235" w:type="pct"/>
          </w:tcPr>
          <w:p w:rsidR="00687831" w:rsidRPr="00687831" w:rsidRDefault="00687831" w:rsidP="00687831">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4</w:t>
            </w: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tabs>
                <w:tab w:val="left" w:pos="1105"/>
              </w:tabs>
              <w:spacing w:line="256" w:lineRule="auto"/>
              <w:jc w:val="center"/>
              <w:rPr>
                <w:rFonts w:asciiTheme="minorHAnsi" w:eastAsia="Calibri" w:hAnsiTheme="minorHAnsi" w:cs="Tahoma"/>
                <w:sz w:val="20"/>
                <w:lang w:eastAsia="en-US"/>
              </w:rPr>
            </w:pPr>
          </w:p>
        </w:tc>
        <w:tc>
          <w:tcPr>
            <w:tcW w:w="2023" w:type="pct"/>
          </w:tcPr>
          <w:p w:rsidR="00687831" w:rsidRPr="00687831" w:rsidRDefault="00687831" w:rsidP="00687831">
            <w:pPr>
              <w:spacing w:line="256" w:lineRule="auto"/>
              <w:rPr>
                <w:rFonts w:asciiTheme="minorHAnsi" w:eastAsia="Calibri" w:hAnsiTheme="minorHAnsi" w:cs="Tahoma"/>
                <w:b/>
                <w:sz w:val="20"/>
                <w:lang w:eastAsia="en-US"/>
              </w:rPr>
            </w:pPr>
            <w:r w:rsidRPr="00687831">
              <w:rPr>
                <w:rFonts w:asciiTheme="minorHAnsi" w:eastAsia="Calibri" w:hAnsiTheme="minorHAnsi" w:cs="Tahoma"/>
                <w:b/>
                <w:sz w:val="20"/>
                <w:lang w:eastAsia="en-US"/>
              </w:rPr>
              <w:t>Severe harm</w:t>
            </w:r>
          </w:p>
          <w:p w:rsidR="00687831" w:rsidRPr="00687831" w:rsidRDefault="00687831" w:rsidP="00687831">
            <w:pPr>
              <w:spacing w:line="256" w:lineRule="auto"/>
              <w:rPr>
                <w:rFonts w:asciiTheme="minorHAnsi" w:eastAsia="Calibri" w:hAnsiTheme="minorHAnsi" w:cs="Tahoma"/>
                <w:sz w:val="18"/>
                <w:szCs w:val="18"/>
                <w:lang w:eastAsia="en-US"/>
              </w:rPr>
            </w:pPr>
            <w:r w:rsidRPr="00687831">
              <w:rPr>
                <w:rFonts w:asciiTheme="minorHAnsi" w:eastAsia="Calibri" w:hAnsiTheme="minorHAnsi" w:cs="Tahoma"/>
                <w:sz w:val="18"/>
                <w:szCs w:val="18"/>
                <w:lang w:eastAsia="en-US"/>
              </w:rPr>
              <w:t>Any patient safety incident that appears to have resulted in permanent harm to one or more persons receiving NHS-funded care. </w:t>
            </w:r>
          </w:p>
        </w:tc>
        <w:tc>
          <w:tcPr>
            <w:tcW w:w="2310" w:type="pct"/>
            <w:vAlign w:val="center"/>
            <w:hideMark/>
          </w:tcPr>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Clinical process issues that have resulted in avoidable; semi-permanent harm or impairment of health or damage leading to incapacity or disability;</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Additional interventions required or treatment needed to be cancelled;</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Unexpected readmission or unplanned return to surgery;</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Increase in length of stay by &gt;15 days</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Necessity for transfer to another centre for treatment / care</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Requiring time off work &gt;14 days</w:t>
            </w:r>
          </w:p>
          <w:p w:rsidR="00687831" w:rsidRPr="00687831" w:rsidRDefault="00687831" w:rsidP="00934688">
            <w:pPr>
              <w:numPr>
                <w:ilvl w:val="0"/>
                <w:numId w:val="10"/>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A concern, outlining non compliance with national standards with significant risk to patient safety</w:t>
            </w:r>
          </w:p>
          <w:p w:rsidR="00687831" w:rsidRPr="00687831" w:rsidRDefault="00687831" w:rsidP="00934688">
            <w:pPr>
              <w:numPr>
                <w:ilvl w:val="0"/>
                <w:numId w:val="10"/>
              </w:numPr>
              <w:spacing w:line="256" w:lineRule="auto"/>
              <w:rPr>
                <w:rFonts w:asciiTheme="minorHAnsi" w:eastAsia="Calibri" w:hAnsiTheme="minorHAnsi" w:cs="Tahoma"/>
                <w:i/>
                <w:sz w:val="16"/>
                <w:szCs w:val="16"/>
                <w:lang w:eastAsia="en-US"/>
              </w:rPr>
            </w:pPr>
            <w:r w:rsidRPr="00687831">
              <w:rPr>
                <w:rFonts w:asciiTheme="minorHAnsi" w:eastAsia="Calibri" w:hAnsiTheme="minorHAnsi" w:cs="Tahoma"/>
                <w:sz w:val="16"/>
                <w:szCs w:val="16"/>
                <w:lang w:eastAsia="en-US"/>
              </w:rPr>
              <w:t>RIDDOR Reportable Incident</w:t>
            </w:r>
          </w:p>
        </w:tc>
        <w:tc>
          <w:tcPr>
            <w:tcW w:w="432" w:type="pct"/>
            <w:hideMark/>
          </w:tcPr>
          <w:p w:rsidR="00687831" w:rsidRPr="00687831" w:rsidRDefault="00687831" w:rsidP="00A63860">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Likely in many cases</w:t>
            </w:r>
          </w:p>
        </w:tc>
      </w:tr>
      <w:tr w:rsidR="00687831" w:rsidRPr="00687831" w:rsidTr="00B43256">
        <w:trPr>
          <w:trHeight w:val="1721"/>
          <w:jc w:val="center"/>
        </w:trPr>
        <w:tc>
          <w:tcPr>
            <w:tcW w:w="235" w:type="pct"/>
          </w:tcPr>
          <w:p w:rsidR="00687831" w:rsidRPr="00687831" w:rsidRDefault="00687831" w:rsidP="00687831">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5</w:t>
            </w: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p w:rsidR="00687831" w:rsidRPr="00687831" w:rsidRDefault="00687831" w:rsidP="00687831">
            <w:pPr>
              <w:spacing w:line="256" w:lineRule="auto"/>
              <w:jc w:val="center"/>
              <w:rPr>
                <w:rFonts w:asciiTheme="minorHAnsi" w:eastAsia="Calibri" w:hAnsiTheme="minorHAnsi" w:cs="Tahoma"/>
                <w:sz w:val="20"/>
                <w:lang w:eastAsia="en-US"/>
              </w:rPr>
            </w:pPr>
          </w:p>
        </w:tc>
        <w:tc>
          <w:tcPr>
            <w:tcW w:w="2023" w:type="pct"/>
            <w:hideMark/>
          </w:tcPr>
          <w:p w:rsidR="00687831" w:rsidRPr="00687831" w:rsidRDefault="00687831" w:rsidP="00687831">
            <w:pPr>
              <w:spacing w:line="256" w:lineRule="auto"/>
              <w:rPr>
                <w:rFonts w:asciiTheme="minorHAnsi" w:eastAsia="Calibri" w:hAnsiTheme="minorHAnsi" w:cs="Tahoma"/>
                <w:b/>
                <w:sz w:val="20"/>
                <w:lang w:eastAsia="en-US"/>
              </w:rPr>
            </w:pPr>
            <w:r w:rsidRPr="00687831">
              <w:rPr>
                <w:rFonts w:asciiTheme="minorHAnsi" w:eastAsia="Calibri" w:hAnsiTheme="minorHAnsi" w:cs="Tahoma"/>
                <w:b/>
                <w:sz w:val="20"/>
                <w:lang w:eastAsia="en-US"/>
              </w:rPr>
              <w:t xml:space="preserve">Death  </w:t>
            </w:r>
          </w:p>
          <w:p w:rsidR="00687831" w:rsidRPr="00687831" w:rsidRDefault="00687831" w:rsidP="00687831">
            <w:pPr>
              <w:spacing w:line="256" w:lineRule="auto"/>
              <w:rPr>
                <w:rFonts w:asciiTheme="minorHAnsi" w:eastAsia="Calibri" w:hAnsiTheme="minorHAnsi" w:cs="Tahoma"/>
                <w:sz w:val="18"/>
                <w:szCs w:val="18"/>
                <w:lang w:eastAsia="en-US"/>
              </w:rPr>
            </w:pPr>
            <w:r w:rsidRPr="00687831">
              <w:rPr>
                <w:rFonts w:asciiTheme="minorHAnsi" w:eastAsia="Calibri" w:hAnsiTheme="minorHAnsi" w:cs="Tahoma"/>
                <w:sz w:val="18"/>
                <w:szCs w:val="18"/>
                <w:lang w:eastAsia="en-US"/>
              </w:rPr>
              <w:t>Any patient safety incident that appears to have resulted in permanent harm to one or more persons receiving NHS-funded care, orAny patient safety incident that directly resulted in the death (or severe harm) of one or more persons receiving NHS-funded care.</w:t>
            </w:r>
            <w:r w:rsidRPr="00687831">
              <w:rPr>
                <w:rFonts w:asciiTheme="minorHAnsi" w:eastAsia="Calibri" w:hAnsiTheme="minorHAnsi" w:cs="Tahoma"/>
                <w:color w:val="008000"/>
                <w:sz w:val="18"/>
                <w:szCs w:val="18"/>
                <w:lang w:eastAsia="en-US"/>
              </w:rPr>
              <w:t> </w:t>
            </w:r>
          </w:p>
        </w:tc>
        <w:tc>
          <w:tcPr>
            <w:tcW w:w="2310" w:type="pct"/>
            <w:vAlign w:val="center"/>
            <w:hideMark/>
          </w:tcPr>
          <w:p w:rsidR="00687831" w:rsidRPr="00687831" w:rsidRDefault="00687831" w:rsidP="00934688">
            <w:pPr>
              <w:numPr>
                <w:ilvl w:val="0"/>
                <w:numId w:val="11"/>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 leading to unexpected death, multiple harm or irreversible health effects</w:t>
            </w:r>
          </w:p>
          <w:p w:rsidR="00687831" w:rsidRPr="00687831" w:rsidRDefault="00687831" w:rsidP="00934688">
            <w:pPr>
              <w:numPr>
                <w:ilvl w:val="0"/>
                <w:numId w:val="11"/>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Concern outlining gross failure to meet national standards</w:t>
            </w:r>
          </w:p>
          <w:p w:rsidR="00687831" w:rsidRPr="00687831" w:rsidRDefault="00687831" w:rsidP="00934688">
            <w:pPr>
              <w:numPr>
                <w:ilvl w:val="0"/>
                <w:numId w:val="11"/>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Normally clinical/process issues that have resulted in avoidable, irrevocable injury or impairment of health, having a lifelong adverse effect on lifestyle, quality of life, physical and/or mental well-being.</w:t>
            </w:r>
          </w:p>
          <w:p w:rsidR="00687831" w:rsidRPr="00687831" w:rsidRDefault="00687831" w:rsidP="00934688">
            <w:pPr>
              <w:numPr>
                <w:ilvl w:val="0"/>
                <w:numId w:val="11"/>
              </w:numPr>
              <w:spacing w:line="256" w:lineRule="auto"/>
              <w:rPr>
                <w:rFonts w:asciiTheme="minorHAnsi" w:eastAsia="Calibri" w:hAnsiTheme="minorHAnsi" w:cs="Tahoma"/>
                <w:sz w:val="16"/>
                <w:szCs w:val="16"/>
                <w:lang w:eastAsia="en-US"/>
              </w:rPr>
            </w:pPr>
            <w:r w:rsidRPr="00687831">
              <w:rPr>
                <w:rFonts w:asciiTheme="minorHAnsi" w:eastAsia="Calibri" w:hAnsiTheme="minorHAnsi" w:cs="Tahoma"/>
                <w:sz w:val="16"/>
                <w:szCs w:val="16"/>
                <w:lang w:eastAsia="en-US"/>
              </w:rPr>
              <w:t>Clinical or process issues that have resulted in avoidable loss of life</w:t>
            </w:r>
          </w:p>
          <w:p w:rsidR="00687831" w:rsidRPr="00687831" w:rsidRDefault="00687831" w:rsidP="00934688">
            <w:pPr>
              <w:numPr>
                <w:ilvl w:val="0"/>
                <w:numId w:val="11"/>
              </w:numPr>
              <w:spacing w:line="256" w:lineRule="auto"/>
              <w:rPr>
                <w:rFonts w:asciiTheme="minorHAnsi" w:eastAsia="Calibri" w:hAnsiTheme="minorHAnsi" w:cs="Tahoma"/>
                <w:i/>
                <w:sz w:val="16"/>
                <w:szCs w:val="16"/>
                <w:lang w:eastAsia="en-US"/>
              </w:rPr>
            </w:pPr>
            <w:r w:rsidRPr="00687831">
              <w:rPr>
                <w:rFonts w:asciiTheme="minorHAnsi" w:eastAsia="Calibri" w:hAnsiTheme="minorHAnsi" w:cs="Tahoma"/>
                <w:sz w:val="16"/>
                <w:szCs w:val="16"/>
                <w:lang w:eastAsia="en-US"/>
              </w:rPr>
              <w:t>RIDDOR Reportable Incident</w:t>
            </w:r>
          </w:p>
        </w:tc>
        <w:tc>
          <w:tcPr>
            <w:tcW w:w="432" w:type="pct"/>
            <w:hideMark/>
          </w:tcPr>
          <w:p w:rsidR="00687831" w:rsidRPr="00687831" w:rsidRDefault="00687831" w:rsidP="00A63860">
            <w:pPr>
              <w:spacing w:line="256" w:lineRule="auto"/>
              <w:jc w:val="center"/>
              <w:rPr>
                <w:rFonts w:asciiTheme="minorHAnsi" w:eastAsia="Calibri" w:hAnsiTheme="minorHAnsi" w:cs="Tahoma"/>
                <w:sz w:val="20"/>
                <w:lang w:eastAsia="en-US"/>
              </w:rPr>
            </w:pPr>
            <w:r w:rsidRPr="00687831">
              <w:rPr>
                <w:rFonts w:asciiTheme="minorHAnsi" w:eastAsia="Calibri" w:hAnsiTheme="minorHAnsi" w:cs="Tahoma"/>
                <w:sz w:val="20"/>
                <w:lang w:eastAsia="en-US"/>
              </w:rPr>
              <w:t>Very Likely</w:t>
            </w:r>
          </w:p>
        </w:tc>
      </w:tr>
    </w:tbl>
    <w:p w:rsidR="00687831" w:rsidRDefault="00687831" w:rsidP="007A5F15">
      <w:pPr>
        <w:rPr>
          <w:rFonts w:cs="Arial"/>
          <w:b/>
          <w:szCs w:val="24"/>
        </w:rPr>
        <w:sectPr w:rsidR="00687831" w:rsidSect="00A63860">
          <w:headerReference w:type="first" r:id="rId64"/>
          <w:footerReference w:type="first" r:id="rId65"/>
          <w:pgSz w:w="15840" w:h="12240" w:orient="landscape"/>
          <w:pgMar w:top="1418" w:right="672" w:bottom="709" w:left="709" w:header="283" w:footer="344" w:gutter="0"/>
          <w:cols w:space="708"/>
          <w:titlePg/>
          <w:docGrid w:linePitch="360"/>
        </w:sectPr>
      </w:pPr>
    </w:p>
    <w:tbl>
      <w:tblPr>
        <w:tblStyle w:val="TableGrid"/>
        <w:tblW w:w="14884" w:type="dxa"/>
        <w:tblInd w:w="-147"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shd w:val="clear" w:color="auto" w:fill="002060"/>
        <w:tblLayout w:type="fixed"/>
        <w:tblLook w:val="04A0" w:firstRow="1" w:lastRow="0" w:firstColumn="1" w:lastColumn="0" w:noHBand="0" w:noVBand="1"/>
      </w:tblPr>
      <w:tblGrid>
        <w:gridCol w:w="5954"/>
        <w:gridCol w:w="167"/>
        <w:gridCol w:w="5361"/>
        <w:gridCol w:w="3402"/>
      </w:tblGrid>
      <w:tr w:rsidR="00B07403" w:rsidRPr="00B07403" w:rsidTr="00626501">
        <w:tc>
          <w:tcPr>
            <w:tcW w:w="6121" w:type="dxa"/>
            <w:gridSpan w:val="2"/>
            <w:shd w:val="clear" w:color="auto" w:fill="002060"/>
          </w:tcPr>
          <w:p w:rsidR="00B07403" w:rsidRPr="00B07403" w:rsidRDefault="00B07403" w:rsidP="00B07403">
            <w:pPr>
              <w:rPr>
                <w:rFonts w:asciiTheme="minorHAnsi" w:hAnsiTheme="minorHAnsi"/>
                <w:noProof/>
                <w:szCs w:val="24"/>
              </w:rPr>
            </w:pPr>
            <w:r w:rsidRPr="00B07403">
              <w:rPr>
                <w:rFonts w:asciiTheme="minorHAnsi" w:hAnsiTheme="minorHAnsi"/>
                <w:noProof/>
                <w:szCs w:val="24"/>
              </w:rPr>
              <w:t>Real Time Patient Experience Feedback January 2020</w:t>
            </w:r>
          </w:p>
        </w:tc>
        <w:tc>
          <w:tcPr>
            <w:tcW w:w="5361" w:type="dxa"/>
            <w:shd w:val="clear" w:color="auto" w:fill="002060"/>
          </w:tcPr>
          <w:p w:rsidR="00B07403" w:rsidRPr="00B07403" w:rsidRDefault="00B07403" w:rsidP="00B07403">
            <w:pPr>
              <w:rPr>
                <w:rFonts w:ascii="Times New Roman" w:hAnsi="Times New Roman"/>
                <w:noProof/>
                <w:szCs w:val="24"/>
              </w:rPr>
            </w:pPr>
          </w:p>
        </w:tc>
        <w:tc>
          <w:tcPr>
            <w:tcW w:w="3402" w:type="dxa"/>
            <w:vMerge w:val="restart"/>
            <w:shd w:val="clear" w:color="auto" w:fill="FFFFFF" w:themeFill="background1"/>
          </w:tcPr>
          <w:p w:rsidR="00F532A2" w:rsidRDefault="00B07403" w:rsidP="008A10D9">
            <w:pPr>
              <w:spacing w:line="259" w:lineRule="auto"/>
              <w:rPr>
                <w:rFonts w:ascii="Verdana" w:eastAsiaTheme="minorHAnsi" w:hAnsi="Verdana" w:cs="Arial"/>
                <w:b/>
                <w:sz w:val="20"/>
                <w:lang w:eastAsia="en-US"/>
              </w:rPr>
            </w:pPr>
            <w:r w:rsidRPr="00B07403">
              <w:rPr>
                <w:rFonts w:ascii="Verdana" w:eastAsiaTheme="minorHAnsi" w:hAnsi="Verdana" w:cs="Arial"/>
                <w:b/>
                <w:bCs/>
                <w:sz w:val="20"/>
                <w:u w:val="single"/>
                <w:lang w:eastAsia="en-US"/>
              </w:rPr>
              <w:t xml:space="preserve">Positive Comments- </w:t>
            </w:r>
            <w:r w:rsidRPr="00B07403">
              <w:rPr>
                <w:rFonts w:ascii="Verdana" w:eastAsiaTheme="minorHAnsi" w:hAnsi="Verdana" w:cs="Arial"/>
                <w:b/>
                <w:sz w:val="20"/>
                <w:lang w:eastAsia="en-US"/>
              </w:rPr>
              <w:t>77%</w:t>
            </w:r>
          </w:p>
          <w:p w:rsidR="00B07403" w:rsidRPr="00F532A2" w:rsidRDefault="008A10D9" w:rsidP="008A10D9">
            <w:pPr>
              <w:spacing w:line="259" w:lineRule="auto"/>
              <w:rPr>
                <w:rFonts w:ascii="Verdana" w:eastAsiaTheme="minorHAnsi" w:hAnsi="Verdana" w:cs="Arial"/>
                <w:b/>
                <w:sz w:val="20"/>
                <w:lang w:eastAsia="en-US"/>
              </w:rPr>
            </w:pPr>
            <w:r>
              <w:rPr>
                <w:rFonts w:asciiTheme="majorHAnsi" w:hAnsiTheme="majorHAnsi" w:cs="Arial"/>
                <w:sz w:val="18"/>
                <w:szCs w:val="18"/>
              </w:rPr>
              <w:t>“</w:t>
            </w:r>
            <w:r w:rsidR="00B07403" w:rsidRPr="008A10D9">
              <w:rPr>
                <w:rFonts w:asciiTheme="majorHAnsi" w:hAnsiTheme="majorHAnsi" w:cs="Arial"/>
                <w:sz w:val="18"/>
                <w:szCs w:val="18"/>
              </w:rPr>
              <w:t>Staff have all been lovely</w:t>
            </w:r>
            <w:r>
              <w:rPr>
                <w:rFonts w:asciiTheme="majorHAnsi" w:hAnsiTheme="majorHAnsi" w:cs="Arial"/>
                <w:sz w:val="18"/>
                <w:szCs w:val="18"/>
              </w:rPr>
              <w:t>”</w:t>
            </w:r>
          </w:p>
          <w:p w:rsidR="00B07403" w:rsidRPr="008A10D9" w:rsidRDefault="008A10D9" w:rsidP="008A10D9">
            <w:pPr>
              <w:rPr>
                <w:rFonts w:asciiTheme="majorHAnsi" w:hAnsiTheme="majorHAnsi" w:cs="Arial"/>
                <w:sz w:val="18"/>
                <w:szCs w:val="18"/>
              </w:rPr>
            </w:pPr>
            <w:r>
              <w:rPr>
                <w:rFonts w:asciiTheme="majorHAnsi" w:hAnsiTheme="majorHAnsi" w:cs="Arial"/>
                <w:sz w:val="18"/>
                <w:szCs w:val="18"/>
              </w:rPr>
              <w:t>“</w:t>
            </w:r>
            <w:r w:rsidR="00B07403" w:rsidRPr="008A10D9">
              <w:rPr>
                <w:rFonts w:asciiTheme="majorHAnsi" w:hAnsiTheme="majorHAnsi" w:cs="Arial"/>
                <w:sz w:val="18"/>
                <w:szCs w:val="18"/>
              </w:rPr>
              <w:t>I th</w:t>
            </w:r>
            <w:r>
              <w:rPr>
                <w:rFonts w:asciiTheme="majorHAnsi" w:hAnsiTheme="majorHAnsi" w:cs="Arial"/>
                <w:sz w:val="18"/>
                <w:szCs w:val="18"/>
              </w:rPr>
              <w:t>ink the staff are all very nice”</w:t>
            </w:r>
          </w:p>
          <w:p w:rsidR="00B07403" w:rsidRPr="008A10D9" w:rsidRDefault="008A10D9" w:rsidP="00B07403">
            <w:pPr>
              <w:ind w:left="34"/>
              <w:rPr>
                <w:rFonts w:asciiTheme="majorHAnsi" w:hAnsiTheme="majorHAnsi" w:cs="Arial"/>
                <w:sz w:val="18"/>
                <w:szCs w:val="18"/>
              </w:rPr>
            </w:pPr>
            <w:r>
              <w:rPr>
                <w:rFonts w:asciiTheme="majorHAnsi" w:hAnsiTheme="majorHAnsi" w:cs="Arial"/>
                <w:sz w:val="18"/>
                <w:szCs w:val="18"/>
              </w:rPr>
              <w:t>“</w:t>
            </w:r>
            <w:r w:rsidR="00B07403" w:rsidRPr="008A10D9">
              <w:rPr>
                <w:rFonts w:asciiTheme="majorHAnsi" w:hAnsiTheme="majorHAnsi" w:cs="Arial"/>
                <w:sz w:val="18"/>
                <w:szCs w:val="18"/>
              </w:rPr>
              <w:t>Care has been</w:t>
            </w:r>
            <w:r>
              <w:rPr>
                <w:rFonts w:asciiTheme="majorHAnsi" w:hAnsiTheme="majorHAnsi" w:cs="Arial"/>
                <w:sz w:val="18"/>
                <w:szCs w:val="18"/>
              </w:rPr>
              <w:t xml:space="preserve"> good”</w:t>
            </w:r>
            <w:r w:rsidR="00B07403" w:rsidRPr="008A10D9">
              <w:rPr>
                <w:rFonts w:asciiTheme="majorHAnsi" w:hAnsiTheme="majorHAnsi" w:cs="Arial"/>
                <w:sz w:val="18"/>
                <w:szCs w:val="18"/>
              </w:rPr>
              <w:t>.</w:t>
            </w:r>
          </w:p>
          <w:p w:rsidR="00B07403" w:rsidRPr="008A10D9" w:rsidRDefault="008A10D9" w:rsidP="00B07403">
            <w:pPr>
              <w:ind w:left="34"/>
              <w:rPr>
                <w:rFonts w:asciiTheme="majorHAnsi" w:hAnsiTheme="majorHAnsi" w:cs="Arial"/>
                <w:sz w:val="18"/>
                <w:szCs w:val="18"/>
              </w:rPr>
            </w:pPr>
            <w:r>
              <w:rPr>
                <w:rFonts w:asciiTheme="majorHAnsi" w:hAnsiTheme="majorHAnsi" w:cs="Arial"/>
                <w:sz w:val="18"/>
                <w:szCs w:val="18"/>
              </w:rPr>
              <w:t>“</w:t>
            </w:r>
            <w:r w:rsidR="00B07403" w:rsidRPr="008A10D9">
              <w:rPr>
                <w:rFonts w:asciiTheme="majorHAnsi" w:hAnsiTheme="majorHAnsi" w:cs="Arial"/>
                <w:sz w:val="18"/>
                <w:szCs w:val="18"/>
              </w:rPr>
              <w:t>Staff h</w:t>
            </w:r>
            <w:r>
              <w:rPr>
                <w:rFonts w:asciiTheme="majorHAnsi" w:hAnsiTheme="majorHAnsi" w:cs="Arial"/>
                <w:sz w:val="18"/>
                <w:szCs w:val="18"/>
              </w:rPr>
              <w:t>ave all made me feel comfortable”</w:t>
            </w:r>
          </w:p>
          <w:p w:rsidR="00B07403" w:rsidRPr="008A10D9" w:rsidRDefault="008A10D9" w:rsidP="008A10D9">
            <w:pPr>
              <w:rPr>
                <w:rFonts w:asciiTheme="majorHAnsi" w:hAnsiTheme="majorHAnsi" w:cs="Arial"/>
                <w:sz w:val="18"/>
                <w:szCs w:val="18"/>
              </w:rPr>
            </w:pPr>
            <w:r>
              <w:rPr>
                <w:rFonts w:asciiTheme="majorHAnsi" w:hAnsiTheme="majorHAnsi" w:cs="Arial"/>
                <w:sz w:val="18"/>
                <w:szCs w:val="18"/>
              </w:rPr>
              <w:t>“All staff are very friendly”</w:t>
            </w:r>
          </w:p>
          <w:p w:rsidR="00B07403" w:rsidRPr="008A10D9" w:rsidRDefault="008A10D9" w:rsidP="00B07403">
            <w:pPr>
              <w:ind w:left="34"/>
              <w:rPr>
                <w:rFonts w:asciiTheme="majorHAnsi" w:hAnsiTheme="majorHAnsi" w:cs="Arial"/>
                <w:sz w:val="18"/>
                <w:szCs w:val="18"/>
              </w:rPr>
            </w:pPr>
            <w:r>
              <w:rPr>
                <w:rFonts w:asciiTheme="majorHAnsi" w:hAnsiTheme="majorHAnsi" w:cs="Arial"/>
                <w:sz w:val="18"/>
                <w:szCs w:val="18"/>
              </w:rPr>
              <w:t>“Staff have been brilliant”</w:t>
            </w:r>
          </w:p>
          <w:p w:rsidR="00B07403" w:rsidRPr="008A10D9" w:rsidRDefault="008A10D9" w:rsidP="00B07403">
            <w:pPr>
              <w:ind w:left="34"/>
              <w:rPr>
                <w:rFonts w:asciiTheme="majorHAnsi" w:hAnsiTheme="majorHAnsi" w:cs="Arial"/>
                <w:sz w:val="18"/>
                <w:szCs w:val="18"/>
              </w:rPr>
            </w:pPr>
            <w:r>
              <w:rPr>
                <w:rFonts w:asciiTheme="majorHAnsi" w:hAnsiTheme="majorHAnsi" w:cs="Arial"/>
                <w:sz w:val="18"/>
                <w:szCs w:val="18"/>
              </w:rPr>
              <w:t>“</w:t>
            </w:r>
            <w:r w:rsidR="00B07403" w:rsidRPr="008A10D9">
              <w:rPr>
                <w:rFonts w:asciiTheme="majorHAnsi" w:hAnsiTheme="majorHAnsi" w:cs="Arial"/>
                <w:sz w:val="18"/>
                <w:szCs w:val="18"/>
              </w:rPr>
              <w:t>Staff are all ver</w:t>
            </w:r>
            <w:r>
              <w:rPr>
                <w:rFonts w:asciiTheme="majorHAnsi" w:hAnsiTheme="majorHAnsi" w:cs="Arial"/>
                <w:sz w:val="18"/>
                <w:szCs w:val="18"/>
              </w:rPr>
              <w:t>y good but extremely overworked”</w:t>
            </w:r>
          </w:p>
          <w:p w:rsidR="00B07403" w:rsidRPr="008A10D9" w:rsidRDefault="008A10D9" w:rsidP="00B07403">
            <w:pPr>
              <w:ind w:left="34"/>
              <w:rPr>
                <w:rFonts w:asciiTheme="majorHAnsi" w:hAnsiTheme="majorHAnsi" w:cs="Arial"/>
                <w:sz w:val="18"/>
                <w:szCs w:val="18"/>
              </w:rPr>
            </w:pPr>
            <w:r>
              <w:rPr>
                <w:rFonts w:asciiTheme="majorHAnsi" w:hAnsiTheme="majorHAnsi" w:cs="Arial"/>
                <w:sz w:val="18"/>
                <w:szCs w:val="18"/>
              </w:rPr>
              <w:t>“</w:t>
            </w:r>
            <w:r w:rsidR="00B07403" w:rsidRPr="008A10D9">
              <w:rPr>
                <w:rFonts w:asciiTheme="majorHAnsi" w:hAnsiTheme="majorHAnsi" w:cs="Arial"/>
                <w:sz w:val="18"/>
                <w:szCs w:val="18"/>
              </w:rPr>
              <w:t>Nurses are happy an</w:t>
            </w:r>
            <w:r>
              <w:rPr>
                <w:rFonts w:asciiTheme="majorHAnsi" w:hAnsiTheme="majorHAnsi" w:cs="Arial"/>
                <w:sz w:val="18"/>
                <w:szCs w:val="18"/>
              </w:rPr>
              <w:t>d will do anything you ask them”</w:t>
            </w:r>
          </w:p>
          <w:p w:rsidR="008A10D9" w:rsidRPr="008A10D9" w:rsidRDefault="008A10D9" w:rsidP="008A10D9">
            <w:pPr>
              <w:rPr>
                <w:rFonts w:asciiTheme="majorHAnsi" w:hAnsiTheme="majorHAnsi" w:cs="Arial"/>
                <w:sz w:val="18"/>
                <w:szCs w:val="18"/>
              </w:rPr>
            </w:pPr>
            <w:r w:rsidRPr="008A10D9">
              <w:rPr>
                <w:rFonts w:asciiTheme="majorHAnsi" w:hAnsiTheme="majorHAnsi" w:cs="Arial"/>
                <w:sz w:val="18"/>
                <w:szCs w:val="18"/>
              </w:rPr>
              <w:t xml:space="preserve"> </w:t>
            </w:r>
            <w:r>
              <w:rPr>
                <w:rFonts w:asciiTheme="majorHAnsi" w:hAnsiTheme="majorHAnsi" w:cs="Arial"/>
                <w:sz w:val="18"/>
                <w:szCs w:val="18"/>
              </w:rPr>
              <w:t>“</w:t>
            </w:r>
            <w:r w:rsidRPr="008A10D9">
              <w:rPr>
                <w:rFonts w:asciiTheme="majorHAnsi" w:hAnsiTheme="majorHAnsi" w:cs="Arial"/>
                <w:sz w:val="18"/>
                <w:szCs w:val="18"/>
              </w:rPr>
              <w:t>I</w:t>
            </w:r>
            <w:r>
              <w:rPr>
                <w:rFonts w:asciiTheme="majorHAnsi" w:hAnsiTheme="majorHAnsi" w:cs="Arial"/>
                <w:sz w:val="18"/>
                <w:szCs w:val="18"/>
              </w:rPr>
              <w:t xml:space="preserve"> have received extemporary care”</w:t>
            </w:r>
          </w:p>
          <w:p w:rsidR="008A10D9" w:rsidRPr="008A10D9" w:rsidRDefault="008A10D9" w:rsidP="008A10D9">
            <w:pPr>
              <w:rPr>
                <w:rFonts w:asciiTheme="majorHAnsi" w:hAnsiTheme="majorHAnsi" w:cs="Arial"/>
                <w:sz w:val="18"/>
                <w:szCs w:val="18"/>
              </w:rPr>
            </w:pPr>
            <w:r>
              <w:rPr>
                <w:rFonts w:asciiTheme="majorHAnsi" w:hAnsiTheme="majorHAnsi" w:cs="Arial"/>
                <w:sz w:val="18"/>
                <w:szCs w:val="18"/>
              </w:rPr>
              <w:t>“</w:t>
            </w:r>
            <w:r w:rsidRPr="008A10D9">
              <w:rPr>
                <w:rFonts w:asciiTheme="majorHAnsi" w:hAnsiTheme="majorHAnsi" w:cs="Arial"/>
                <w:sz w:val="18"/>
                <w:szCs w:val="18"/>
              </w:rPr>
              <w:t>The standard of care I have received in comparison to other hosp</w:t>
            </w:r>
            <w:r>
              <w:rPr>
                <w:rFonts w:asciiTheme="majorHAnsi" w:hAnsiTheme="majorHAnsi" w:cs="Arial"/>
                <w:sz w:val="18"/>
                <w:szCs w:val="18"/>
              </w:rPr>
              <w:t>itals is leaps and bounds ahead”</w:t>
            </w:r>
          </w:p>
          <w:p w:rsidR="008A10D9" w:rsidRPr="008A10D9" w:rsidRDefault="008A10D9" w:rsidP="008A10D9">
            <w:pPr>
              <w:rPr>
                <w:rFonts w:asciiTheme="majorHAnsi" w:hAnsiTheme="majorHAnsi" w:cs="Arial"/>
                <w:sz w:val="18"/>
                <w:szCs w:val="18"/>
              </w:rPr>
            </w:pPr>
            <w:r>
              <w:rPr>
                <w:rFonts w:asciiTheme="majorHAnsi" w:hAnsiTheme="majorHAnsi" w:cs="Arial"/>
                <w:sz w:val="18"/>
                <w:szCs w:val="18"/>
              </w:rPr>
              <w:t>“</w:t>
            </w:r>
            <w:r w:rsidRPr="008A10D9">
              <w:rPr>
                <w:rFonts w:asciiTheme="majorHAnsi" w:hAnsiTheme="majorHAnsi" w:cs="Arial"/>
                <w:sz w:val="18"/>
                <w:szCs w:val="18"/>
              </w:rPr>
              <w:t>It feels like I am at a private hos</w:t>
            </w:r>
            <w:r>
              <w:rPr>
                <w:rFonts w:asciiTheme="majorHAnsi" w:hAnsiTheme="majorHAnsi" w:cs="Arial"/>
                <w:sz w:val="18"/>
                <w:szCs w:val="18"/>
              </w:rPr>
              <w:t>pital”</w:t>
            </w:r>
          </w:p>
          <w:p w:rsidR="008A10D9" w:rsidRPr="008A10D9" w:rsidRDefault="008A10D9" w:rsidP="008A10D9">
            <w:pPr>
              <w:rPr>
                <w:rFonts w:asciiTheme="majorHAnsi" w:hAnsiTheme="majorHAnsi" w:cs="Arial"/>
                <w:sz w:val="18"/>
                <w:szCs w:val="18"/>
              </w:rPr>
            </w:pPr>
            <w:r>
              <w:rPr>
                <w:rFonts w:asciiTheme="majorHAnsi" w:hAnsiTheme="majorHAnsi" w:cs="Arial"/>
                <w:sz w:val="18"/>
                <w:szCs w:val="18"/>
              </w:rPr>
              <w:t>“</w:t>
            </w:r>
            <w:r w:rsidRPr="008A10D9">
              <w:rPr>
                <w:rFonts w:asciiTheme="majorHAnsi" w:hAnsiTheme="majorHAnsi" w:cs="Arial"/>
                <w:sz w:val="18"/>
                <w:szCs w:val="18"/>
              </w:rPr>
              <w:t>When I leave I am contacting my local MP to inform him of the outstanding care I have received and will be asking for all my hosp</w:t>
            </w:r>
            <w:r>
              <w:rPr>
                <w:rFonts w:asciiTheme="majorHAnsi" w:hAnsiTheme="majorHAnsi" w:cs="Arial"/>
                <w:sz w:val="18"/>
                <w:szCs w:val="18"/>
              </w:rPr>
              <w:t>ital care be transferred to PCH”</w:t>
            </w:r>
          </w:p>
          <w:p w:rsidR="00B07403" w:rsidRDefault="008A10D9" w:rsidP="008A10D9">
            <w:pPr>
              <w:rPr>
                <w:rFonts w:asciiTheme="majorHAnsi" w:hAnsiTheme="majorHAnsi" w:cs="Arial"/>
                <w:sz w:val="18"/>
                <w:szCs w:val="18"/>
              </w:rPr>
            </w:pPr>
            <w:r>
              <w:rPr>
                <w:rFonts w:asciiTheme="majorHAnsi" w:hAnsiTheme="majorHAnsi" w:cs="Arial"/>
                <w:sz w:val="18"/>
                <w:szCs w:val="18"/>
              </w:rPr>
              <w:t>“</w:t>
            </w:r>
            <w:r w:rsidRPr="008A10D9">
              <w:rPr>
                <w:rFonts w:asciiTheme="majorHAnsi" w:hAnsiTheme="majorHAnsi" w:cs="Arial"/>
                <w:sz w:val="18"/>
                <w:szCs w:val="18"/>
              </w:rPr>
              <w:t>My family are so impressed with the le</w:t>
            </w:r>
            <w:r>
              <w:rPr>
                <w:rFonts w:asciiTheme="majorHAnsi" w:hAnsiTheme="majorHAnsi" w:cs="Arial"/>
                <w:sz w:val="18"/>
                <w:szCs w:val="18"/>
              </w:rPr>
              <w:t>vel of care that I am receiving”</w:t>
            </w:r>
          </w:p>
          <w:p w:rsidR="008A10D9" w:rsidRPr="008A10D9" w:rsidRDefault="008A10D9" w:rsidP="008A10D9">
            <w:pPr>
              <w:rPr>
                <w:rFonts w:asciiTheme="majorHAnsi" w:hAnsiTheme="majorHAnsi" w:cs="Arial"/>
                <w:sz w:val="18"/>
                <w:szCs w:val="18"/>
              </w:rPr>
            </w:pPr>
          </w:p>
          <w:p w:rsidR="008A10D9" w:rsidRPr="008A10D9" w:rsidRDefault="00B07403" w:rsidP="008A10D9">
            <w:pPr>
              <w:spacing w:line="259" w:lineRule="auto"/>
              <w:rPr>
                <w:rFonts w:ascii="Verdana" w:eastAsiaTheme="minorHAnsi" w:hAnsi="Verdana" w:cs="Arial"/>
                <w:b/>
                <w:bCs/>
                <w:sz w:val="20"/>
                <w:u w:val="single"/>
                <w:lang w:eastAsia="en-US"/>
              </w:rPr>
            </w:pPr>
            <w:r w:rsidRPr="00B07403">
              <w:rPr>
                <w:rFonts w:ascii="Verdana" w:eastAsiaTheme="minorHAnsi" w:hAnsi="Verdana" w:cs="Arial"/>
                <w:b/>
                <w:bCs/>
                <w:sz w:val="20"/>
                <w:u w:val="single"/>
                <w:lang w:eastAsia="en-US"/>
              </w:rPr>
              <w:t>Negative Comments- 23%</w:t>
            </w:r>
          </w:p>
          <w:p w:rsidR="00B07403" w:rsidRPr="008A10D9" w:rsidRDefault="00B07403" w:rsidP="008A10D9">
            <w:pPr>
              <w:pStyle w:val="ListParagraph"/>
              <w:numPr>
                <w:ilvl w:val="0"/>
                <w:numId w:val="14"/>
              </w:numPr>
              <w:spacing w:line="259" w:lineRule="auto"/>
              <w:rPr>
                <w:rFonts w:ascii="Verdana" w:eastAsiaTheme="minorHAnsi" w:hAnsi="Verdana" w:cs="Arial"/>
                <w:b/>
                <w:sz w:val="20"/>
                <w:lang w:eastAsia="en-US"/>
              </w:rPr>
            </w:pPr>
            <w:r w:rsidRPr="008A10D9">
              <w:rPr>
                <w:rFonts w:ascii="Verdana" w:eastAsiaTheme="minorHAnsi" w:hAnsi="Verdana" w:cs="Arial"/>
                <w:b/>
                <w:sz w:val="20"/>
                <w:lang w:eastAsia="en-US"/>
              </w:rPr>
              <w:t>Lack of staff</w:t>
            </w:r>
          </w:p>
          <w:p w:rsidR="00B07403" w:rsidRPr="008A10D9" w:rsidRDefault="00B07403" w:rsidP="00B07403">
            <w:pPr>
              <w:ind w:left="34"/>
              <w:rPr>
                <w:rFonts w:asciiTheme="majorHAnsi" w:hAnsiTheme="majorHAnsi" w:cs="Arial"/>
                <w:sz w:val="18"/>
                <w:szCs w:val="18"/>
              </w:rPr>
            </w:pPr>
            <w:r w:rsidRPr="008A10D9">
              <w:rPr>
                <w:rFonts w:asciiTheme="majorHAnsi" w:hAnsiTheme="majorHAnsi" w:cs="Arial"/>
                <w:sz w:val="18"/>
                <w:szCs w:val="18"/>
              </w:rPr>
              <w:t>"I feel the ward is very short staffed as the buzzers can ring for a very long time before a nurse comes.  My son bought in my ear defenders as the noise from the buzzers is painful”.</w:t>
            </w:r>
          </w:p>
          <w:p w:rsidR="00B07403" w:rsidRPr="008A10D9" w:rsidRDefault="00B07403" w:rsidP="00B07403">
            <w:pPr>
              <w:ind w:left="34"/>
              <w:rPr>
                <w:rFonts w:asciiTheme="majorHAnsi" w:hAnsiTheme="majorHAnsi" w:cs="Arial"/>
                <w:sz w:val="18"/>
                <w:szCs w:val="18"/>
              </w:rPr>
            </w:pPr>
            <w:r w:rsidRPr="008A10D9">
              <w:rPr>
                <w:rFonts w:asciiTheme="majorHAnsi" w:hAnsiTheme="majorHAnsi" w:cs="Arial"/>
                <w:sz w:val="18"/>
                <w:szCs w:val="18"/>
              </w:rPr>
              <w:t>“Staff are so busy it’s not always easy to find someone to talk to.”</w:t>
            </w:r>
          </w:p>
          <w:p w:rsidR="00B07403" w:rsidRPr="008A10D9" w:rsidRDefault="00B07403" w:rsidP="00B07403">
            <w:pPr>
              <w:ind w:left="34"/>
              <w:rPr>
                <w:rFonts w:asciiTheme="majorHAnsi" w:hAnsiTheme="majorHAnsi" w:cs="Arial"/>
                <w:sz w:val="18"/>
                <w:szCs w:val="18"/>
              </w:rPr>
            </w:pPr>
            <w:r w:rsidRPr="008A10D9">
              <w:rPr>
                <w:rFonts w:asciiTheme="majorHAnsi" w:hAnsiTheme="majorHAnsi" w:cs="Arial"/>
                <w:sz w:val="18"/>
                <w:szCs w:val="18"/>
              </w:rPr>
              <w:t>“Staff need to have breaks, they work so hard.”</w:t>
            </w:r>
          </w:p>
          <w:p w:rsidR="00B07403" w:rsidRPr="008A10D9" w:rsidRDefault="00B07403" w:rsidP="008A10D9">
            <w:pPr>
              <w:pStyle w:val="ListParagraph"/>
              <w:numPr>
                <w:ilvl w:val="0"/>
                <w:numId w:val="14"/>
              </w:numPr>
              <w:rPr>
                <w:rFonts w:ascii="Verdana" w:hAnsi="Verdana" w:cs="Arial"/>
                <w:b/>
                <w:sz w:val="20"/>
              </w:rPr>
            </w:pPr>
            <w:r w:rsidRPr="008A10D9">
              <w:rPr>
                <w:rFonts w:ascii="Verdana" w:hAnsi="Verdana" w:cs="Arial"/>
                <w:b/>
                <w:sz w:val="20"/>
              </w:rPr>
              <w:t>Lack of Empathy, Dignity &amp; Respect</w:t>
            </w:r>
          </w:p>
          <w:p w:rsidR="00277231" w:rsidRPr="008A10D9" w:rsidRDefault="00B07403" w:rsidP="008A10D9">
            <w:pPr>
              <w:ind w:left="34"/>
              <w:rPr>
                <w:rFonts w:asciiTheme="majorHAnsi" w:hAnsiTheme="majorHAnsi" w:cs="Arial"/>
                <w:sz w:val="18"/>
                <w:szCs w:val="18"/>
              </w:rPr>
            </w:pPr>
            <w:r w:rsidRPr="008A10D9">
              <w:rPr>
                <w:rFonts w:asciiTheme="majorHAnsi" w:hAnsiTheme="majorHAnsi" w:cs="Arial"/>
                <w:sz w:val="18"/>
                <w:szCs w:val="18"/>
              </w:rPr>
              <w:t>Elderly gentleman was crying as he felt staff were rushing him particular in the morning when he feels most the most pain with his arthritis.</w:t>
            </w:r>
          </w:p>
          <w:p w:rsidR="00277231" w:rsidRDefault="00277231" w:rsidP="00B07403">
            <w:pPr>
              <w:ind w:left="34"/>
              <w:rPr>
                <w:rFonts w:cs="Arial"/>
                <w:sz w:val="20"/>
              </w:rPr>
            </w:pPr>
          </w:p>
          <w:p w:rsidR="00277231" w:rsidRDefault="00277231" w:rsidP="00B07403">
            <w:pPr>
              <w:ind w:left="34"/>
              <w:rPr>
                <w:rFonts w:cs="Arial"/>
                <w:sz w:val="20"/>
              </w:rPr>
            </w:pPr>
          </w:p>
          <w:p w:rsidR="00277231" w:rsidRPr="00F532A2" w:rsidRDefault="00277231" w:rsidP="00B07403">
            <w:pPr>
              <w:ind w:left="34"/>
              <w:rPr>
                <w:rFonts w:cs="Arial"/>
                <w:b/>
                <w:i/>
                <w:sz w:val="16"/>
                <w:szCs w:val="16"/>
              </w:rPr>
            </w:pPr>
            <w:r w:rsidRPr="00F532A2">
              <w:rPr>
                <w:rFonts w:cs="Arial"/>
                <w:b/>
                <w:i/>
                <w:sz w:val="16"/>
                <w:szCs w:val="16"/>
              </w:rPr>
              <w:t xml:space="preserve">Source of data: </w:t>
            </w:r>
          </w:p>
          <w:p w:rsidR="00277231" w:rsidRPr="00277231" w:rsidRDefault="00F532A2" w:rsidP="00B07403">
            <w:pPr>
              <w:ind w:left="34"/>
              <w:rPr>
                <w:rFonts w:eastAsiaTheme="minorHAnsi" w:cs="Arial"/>
                <w:b/>
                <w:bCs/>
                <w:sz w:val="16"/>
                <w:szCs w:val="16"/>
                <w:u w:val="single"/>
                <w:lang w:eastAsia="en-US"/>
              </w:rPr>
            </w:pPr>
            <w:r>
              <w:rPr>
                <w:rFonts w:cs="Arial"/>
                <w:b/>
                <w:i/>
                <w:sz w:val="16"/>
                <w:szCs w:val="16"/>
              </w:rPr>
              <w:t>‘</w:t>
            </w:r>
            <w:r w:rsidR="00277231" w:rsidRPr="00F532A2">
              <w:rPr>
                <w:rFonts w:cs="Arial"/>
                <w:b/>
                <w:i/>
                <w:sz w:val="16"/>
                <w:szCs w:val="16"/>
              </w:rPr>
              <w:t>Real Time</w:t>
            </w:r>
            <w:r>
              <w:rPr>
                <w:rFonts w:cs="Arial"/>
                <w:b/>
                <w:i/>
                <w:sz w:val="16"/>
                <w:szCs w:val="16"/>
              </w:rPr>
              <w:t>’ Ward Survey PCH Jan</w:t>
            </w:r>
            <w:r w:rsidR="00277231" w:rsidRPr="00F532A2">
              <w:rPr>
                <w:rFonts w:cs="Arial"/>
                <w:b/>
                <w:i/>
                <w:sz w:val="16"/>
                <w:szCs w:val="16"/>
              </w:rPr>
              <w:t xml:space="preserve"> 2020</w:t>
            </w:r>
          </w:p>
        </w:tc>
      </w:tr>
      <w:tr w:rsidR="00B07403" w:rsidRPr="00B07403" w:rsidTr="00626501">
        <w:tc>
          <w:tcPr>
            <w:tcW w:w="6121" w:type="dxa"/>
            <w:gridSpan w:val="2"/>
            <w:shd w:val="clear" w:color="auto" w:fill="002060"/>
          </w:tcPr>
          <w:p w:rsidR="00B07403" w:rsidRPr="00B07403" w:rsidRDefault="00B07403" w:rsidP="00B07403">
            <w:pPr>
              <w:rPr>
                <w:rFonts w:ascii="Times New Roman" w:hAnsi="Times New Roman"/>
                <w:noProof/>
                <w:szCs w:val="24"/>
              </w:rPr>
            </w:pPr>
          </w:p>
        </w:tc>
        <w:tc>
          <w:tcPr>
            <w:tcW w:w="5361" w:type="dxa"/>
            <w:shd w:val="clear" w:color="auto" w:fill="002060"/>
          </w:tcPr>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cs="Arial"/>
                <w:sz w:val="16"/>
                <w:szCs w:val="16"/>
              </w:rPr>
            </w:pPr>
          </w:p>
        </w:tc>
      </w:tr>
      <w:tr w:rsidR="00B07403" w:rsidRPr="00B07403" w:rsidTr="00626501">
        <w:tc>
          <w:tcPr>
            <w:tcW w:w="11482" w:type="dxa"/>
            <w:gridSpan w:val="3"/>
            <w:shd w:val="clear" w:color="auto" w:fill="002060"/>
          </w:tcPr>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cs="Arial"/>
                <w:sz w:val="16"/>
                <w:szCs w:val="16"/>
              </w:rPr>
            </w:pPr>
          </w:p>
        </w:tc>
      </w:tr>
      <w:tr w:rsidR="00B07403" w:rsidRPr="00B07403" w:rsidTr="00626501">
        <w:tc>
          <w:tcPr>
            <w:tcW w:w="6121" w:type="dxa"/>
            <w:gridSpan w:val="2"/>
            <w:shd w:val="clear" w:color="auto" w:fill="002060"/>
          </w:tcPr>
          <w:p w:rsidR="00B07403" w:rsidRPr="00B07403" w:rsidRDefault="00B07403" w:rsidP="00B07403">
            <w:pPr>
              <w:jc w:val="center"/>
              <w:rPr>
                <w:rFonts w:ascii="Calibri" w:hAnsi="Calibri"/>
                <w:color w:val="000000"/>
                <w:sz w:val="8"/>
                <w:szCs w:val="8"/>
              </w:rPr>
            </w:pPr>
          </w:p>
        </w:tc>
        <w:tc>
          <w:tcPr>
            <w:tcW w:w="5361" w:type="dxa"/>
            <w:shd w:val="clear" w:color="auto" w:fill="002060"/>
          </w:tcPr>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cs="Arial"/>
                <w:sz w:val="16"/>
                <w:szCs w:val="16"/>
              </w:rPr>
            </w:pPr>
          </w:p>
        </w:tc>
      </w:tr>
      <w:tr w:rsidR="00B07403" w:rsidRPr="00B07403" w:rsidTr="00626501">
        <w:tc>
          <w:tcPr>
            <w:tcW w:w="11482" w:type="dxa"/>
            <w:gridSpan w:val="3"/>
            <w:shd w:val="clear" w:color="auto" w:fill="002060"/>
          </w:tcPr>
          <w:p w:rsidR="00B07403" w:rsidRPr="00B07403" w:rsidRDefault="00B07403" w:rsidP="00B07403">
            <w:pPr>
              <w:rPr>
                <w:rFonts w:ascii="Times New Roman" w:hAnsi="Times New Roman"/>
                <w:noProof/>
                <w:szCs w:val="24"/>
              </w:rPr>
            </w:pPr>
            <w:r w:rsidRPr="00B07403">
              <w:rPr>
                <w:rFonts w:ascii="Times New Roman" w:hAnsi="Times New Roman"/>
                <w:noProof/>
                <w:szCs w:val="24"/>
              </w:rPr>
              <w:drawing>
                <wp:anchor distT="0" distB="0" distL="114300" distR="114300" simplePos="0" relativeHeight="251951616" behindDoc="0" locked="0" layoutInCell="1" allowOverlap="1" wp14:anchorId="26E3A136" wp14:editId="1F6B8EC0">
                  <wp:simplePos x="0" y="0"/>
                  <wp:positionH relativeFrom="column">
                    <wp:posOffset>21591</wp:posOffset>
                  </wp:positionH>
                  <wp:positionV relativeFrom="paragraph">
                    <wp:posOffset>-419100</wp:posOffset>
                  </wp:positionV>
                  <wp:extent cx="7086600" cy="1654479"/>
                  <wp:effectExtent l="0" t="0" r="0" b="3175"/>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7095100" cy="1656463"/>
                          </a:xfrm>
                          <a:prstGeom prst="rect">
                            <a:avLst/>
                          </a:prstGeom>
                          <a:noFill/>
                        </pic:spPr>
                      </pic:pic>
                    </a:graphicData>
                  </a:graphic>
                  <wp14:sizeRelH relativeFrom="page">
                    <wp14:pctWidth>0</wp14:pctWidth>
                  </wp14:sizeRelH>
                  <wp14:sizeRelV relativeFrom="page">
                    <wp14:pctHeight>0</wp14:pctHeight>
                  </wp14:sizeRelV>
                </wp:anchor>
              </w:drawing>
            </w: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cs="Arial"/>
                <w:sz w:val="16"/>
                <w:szCs w:val="16"/>
              </w:rPr>
            </w:pPr>
          </w:p>
        </w:tc>
      </w:tr>
      <w:tr w:rsidR="00B07403" w:rsidRPr="00B07403" w:rsidTr="00626501">
        <w:trPr>
          <w:trHeight w:val="1251"/>
        </w:trPr>
        <w:tc>
          <w:tcPr>
            <w:tcW w:w="5954" w:type="dxa"/>
            <w:shd w:val="clear" w:color="auto" w:fill="002060"/>
          </w:tcPr>
          <w:p w:rsidR="00B07403" w:rsidRPr="00B07403" w:rsidRDefault="00B07403" w:rsidP="00B07403">
            <w:pPr>
              <w:rPr>
                <w:rFonts w:ascii="Times New Roman" w:hAnsi="Times New Roman"/>
                <w:noProof/>
                <w:szCs w:val="24"/>
              </w:rPr>
            </w:pPr>
          </w:p>
        </w:tc>
        <w:tc>
          <w:tcPr>
            <w:tcW w:w="5528" w:type="dxa"/>
            <w:gridSpan w:val="2"/>
            <w:vMerge w:val="restart"/>
            <w:shd w:val="clear" w:color="auto" w:fill="002060"/>
          </w:tcPr>
          <w:p w:rsidR="00B07403" w:rsidRPr="00B07403" w:rsidRDefault="00B07403" w:rsidP="00B07403">
            <w:pPr>
              <w:rPr>
                <w:rFonts w:ascii="Verdana" w:hAnsi="Verdana"/>
                <w:noProof/>
                <w:sz w:val="20"/>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cs="Arial"/>
                <w:sz w:val="16"/>
                <w:szCs w:val="16"/>
              </w:rPr>
            </w:pPr>
          </w:p>
        </w:tc>
      </w:tr>
      <w:tr w:rsidR="00B07403" w:rsidRPr="00B07403" w:rsidTr="00626501">
        <w:trPr>
          <w:trHeight w:val="2737"/>
        </w:trPr>
        <w:tc>
          <w:tcPr>
            <w:tcW w:w="5954" w:type="dxa"/>
            <w:shd w:val="clear" w:color="auto" w:fill="002060"/>
          </w:tcPr>
          <w:p w:rsidR="00B07403" w:rsidRPr="00B07403" w:rsidRDefault="00B07403" w:rsidP="00B07403">
            <w:pPr>
              <w:rPr>
                <w:rFonts w:ascii="Times New Roman" w:hAnsi="Times New Roman"/>
                <w:noProof/>
                <w:szCs w:val="24"/>
              </w:rPr>
            </w:pPr>
            <w:r w:rsidRPr="00B07403">
              <w:rPr>
                <w:rFonts w:ascii="Times New Roman" w:hAnsi="Times New Roman"/>
                <w:noProof/>
                <w:szCs w:val="24"/>
              </w:rPr>
              <w:drawing>
                <wp:anchor distT="0" distB="0" distL="114300" distR="114300" simplePos="0" relativeHeight="251952640" behindDoc="0" locked="0" layoutInCell="1" allowOverlap="1" wp14:anchorId="3D8A5010" wp14:editId="71F8A719">
                  <wp:simplePos x="0" y="0"/>
                  <wp:positionH relativeFrom="column">
                    <wp:posOffset>50165</wp:posOffset>
                  </wp:positionH>
                  <wp:positionV relativeFrom="paragraph">
                    <wp:posOffset>-780415</wp:posOffset>
                  </wp:positionV>
                  <wp:extent cx="7029450" cy="3352800"/>
                  <wp:effectExtent l="0" t="0" r="0" b="0"/>
                  <wp:wrapNone/>
                  <wp:docPr id="88" name="Chart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page">
                    <wp14:pctWidth>0</wp14:pctWidth>
                  </wp14:sizeRelH>
                  <wp14:sizeRelV relativeFrom="page">
                    <wp14:pctHeight>0</wp14:pctHeight>
                  </wp14:sizeRelV>
                </wp:anchor>
              </w:drawing>
            </w: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p w:rsidR="00B07403" w:rsidRPr="00B07403" w:rsidRDefault="00B07403" w:rsidP="00B07403">
            <w:pPr>
              <w:rPr>
                <w:rFonts w:ascii="Times New Roman" w:hAnsi="Times New Roman"/>
                <w:noProof/>
                <w:szCs w:val="24"/>
              </w:rPr>
            </w:pPr>
          </w:p>
        </w:tc>
        <w:tc>
          <w:tcPr>
            <w:tcW w:w="5528" w:type="dxa"/>
            <w:gridSpan w:val="2"/>
            <w:vMerge/>
            <w:shd w:val="clear" w:color="auto" w:fill="002060"/>
          </w:tcPr>
          <w:p w:rsidR="00B07403" w:rsidRPr="00B07403" w:rsidRDefault="00B07403" w:rsidP="00B07403">
            <w:pPr>
              <w:rPr>
                <w:rFonts w:ascii="Times New Roman" w:hAnsi="Times New Roman"/>
                <w:noProof/>
                <w:szCs w:val="24"/>
              </w:rPr>
            </w:pPr>
          </w:p>
        </w:tc>
        <w:tc>
          <w:tcPr>
            <w:tcW w:w="3402" w:type="dxa"/>
            <w:vMerge/>
            <w:shd w:val="clear" w:color="auto" w:fill="FFFFFF" w:themeFill="background1"/>
          </w:tcPr>
          <w:p w:rsidR="00B07403" w:rsidRPr="00B07403" w:rsidRDefault="00B07403" w:rsidP="00B07403">
            <w:pPr>
              <w:spacing w:line="259" w:lineRule="auto"/>
              <w:rPr>
                <w:rFonts w:eastAsiaTheme="minorHAnsi" w:cs="Arial"/>
                <w:sz w:val="16"/>
                <w:szCs w:val="16"/>
                <w:lang w:eastAsia="en-US"/>
              </w:rPr>
            </w:pPr>
          </w:p>
        </w:tc>
      </w:tr>
      <w:tr w:rsidR="00B07403" w:rsidRPr="00B07403" w:rsidTr="00626501">
        <w:trPr>
          <w:trHeight w:val="1041"/>
        </w:trPr>
        <w:tc>
          <w:tcPr>
            <w:tcW w:w="5954" w:type="dxa"/>
            <w:shd w:val="clear" w:color="auto" w:fill="002060"/>
          </w:tcPr>
          <w:p w:rsidR="00B07403" w:rsidRPr="00B07403" w:rsidRDefault="00B07403" w:rsidP="00B07403">
            <w:pPr>
              <w:rPr>
                <w:rFonts w:ascii="Times New Roman" w:hAnsi="Times New Roman"/>
                <w:noProof/>
                <w:sz w:val="16"/>
                <w:szCs w:val="16"/>
              </w:rPr>
            </w:pPr>
          </w:p>
        </w:tc>
        <w:tc>
          <w:tcPr>
            <w:tcW w:w="5528" w:type="dxa"/>
            <w:gridSpan w:val="2"/>
            <w:shd w:val="clear" w:color="auto" w:fill="002060"/>
          </w:tcPr>
          <w:p w:rsidR="00B07403" w:rsidRPr="00B07403" w:rsidRDefault="00B07403" w:rsidP="00B07403">
            <w:pPr>
              <w:rPr>
                <w:rFonts w:ascii="Times New Roman" w:hAnsi="Times New Roman"/>
                <w:noProof/>
                <w:sz w:val="16"/>
                <w:szCs w:val="16"/>
              </w:rPr>
            </w:pPr>
          </w:p>
        </w:tc>
        <w:tc>
          <w:tcPr>
            <w:tcW w:w="3402" w:type="dxa"/>
            <w:vMerge/>
            <w:shd w:val="clear" w:color="auto" w:fill="FFFFFF" w:themeFill="background1"/>
          </w:tcPr>
          <w:p w:rsidR="00B07403" w:rsidRPr="00B07403" w:rsidRDefault="00B07403" w:rsidP="00B07403">
            <w:pPr>
              <w:spacing w:line="259" w:lineRule="auto"/>
              <w:rPr>
                <w:rFonts w:ascii="Verdana" w:eastAsiaTheme="minorHAnsi" w:hAnsi="Verdana" w:cs="Arial"/>
                <w:b/>
                <w:bCs/>
                <w:sz w:val="17"/>
                <w:szCs w:val="17"/>
                <w:u w:val="single"/>
                <w:lang w:eastAsia="en-US"/>
              </w:rPr>
            </w:pPr>
          </w:p>
        </w:tc>
      </w:tr>
      <w:tr w:rsidR="00B07403" w:rsidRPr="00B07403" w:rsidTr="00626501">
        <w:trPr>
          <w:trHeight w:val="1196"/>
        </w:trPr>
        <w:tc>
          <w:tcPr>
            <w:tcW w:w="11482" w:type="dxa"/>
            <w:gridSpan w:val="3"/>
            <w:shd w:val="clear" w:color="auto" w:fill="002060"/>
          </w:tcPr>
          <w:p w:rsidR="00B07403" w:rsidRPr="00B07403" w:rsidRDefault="00B07403" w:rsidP="00B07403">
            <w:pPr>
              <w:rPr>
                <w:rFonts w:ascii="Verdana" w:hAnsi="Verdana"/>
                <w:noProof/>
                <w:sz w:val="16"/>
                <w:szCs w:val="16"/>
              </w:rPr>
            </w:pPr>
          </w:p>
        </w:tc>
        <w:tc>
          <w:tcPr>
            <w:tcW w:w="3402" w:type="dxa"/>
            <w:vMerge/>
            <w:shd w:val="clear" w:color="auto" w:fill="FFFFFF" w:themeFill="background1"/>
          </w:tcPr>
          <w:p w:rsidR="00B07403" w:rsidRPr="00B07403" w:rsidRDefault="00B07403" w:rsidP="00B07403">
            <w:pPr>
              <w:spacing w:line="259" w:lineRule="auto"/>
              <w:rPr>
                <w:rFonts w:ascii="Verdana" w:eastAsiaTheme="minorHAnsi" w:hAnsi="Verdana" w:cs="Arial"/>
                <w:b/>
                <w:bCs/>
                <w:sz w:val="17"/>
                <w:szCs w:val="17"/>
                <w:u w:val="single"/>
                <w:lang w:eastAsia="en-US"/>
              </w:rPr>
            </w:pPr>
          </w:p>
        </w:tc>
      </w:tr>
      <w:tr w:rsidR="00B43256" w:rsidRPr="00B07403" w:rsidTr="00626501">
        <w:trPr>
          <w:trHeight w:val="977"/>
        </w:trPr>
        <w:tc>
          <w:tcPr>
            <w:tcW w:w="11482" w:type="dxa"/>
            <w:gridSpan w:val="3"/>
            <w:shd w:val="clear" w:color="auto" w:fill="002060"/>
          </w:tcPr>
          <w:p w:rsidR="00B43256" w:rsidRPr="00B07403" w:rsidRDefault="00B43256" w:rsidP="00B07403">
            <w:pPr>
              <w:rPr>
                <w:rFonts w:asciiTheme="minorHAnsi" w:hAnsiTheme="minorHAnsi"/>
                <w:noProof/>
                <w:sz w:val="22"/>
                <w:szCs w:val="22"/>
              </w:rPr>
            </w:pPr>
            <w:r w:rsidRPr="00B07403">
              <w:rPr>
                <w:rFonts w:ascii="Times New Roman" w:hAnsi="Times New Roman"/>
                <w:noProof/>
                <w:szCs w:val="24"/>
              </w:rPr>
              <w:drawing>
                <wp:anchor distT="0" distB="0" distL="114300" distR="114300" simplePos="0" relativeHeight="251958784" behindDoc="0" locked="0" layoutInCell="1" allowOverlap="1" wp14:anchorId="5910CE8B" wp14:editId="67D3406B">
                  <wp:simplePos x="0" y="0"/>
                  <wp:positionH relativeFrom="column">
                    <wp:posOffset>50995</wp:posOffset>
                  </wp:positionH>
                  <wp:positionV relativeFrom="paragraph">
                    <wp:posOffset>257175</wp:posOffset>
                  </wp:positionV>
                  <wp:extent cx="7077075" cy="1694379"/>
                  <wp:effectExtent l="0" t="0" r="0" b="127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7077075" cy="1694379"/>
                          </a:xfrm>
                          <a:prstGeom prst="rect">
                            <a:avLst/>
                          </a:prstGeom>
                          <a:noFill/>
                        </pic:spPr>
                      </pic:pic>
                    </a:graphicData>
                  </a:graphic>
                  <wp14:sizeRelH relativeFrom="page">
                    <wp14:pctWidth>0</wp14:pctWidth>
                  </wp14:sizeRelH>
                  <wp14:sizeRelV relativeFrom="page">
                    <wp14:pctHeight>0</wp14:pctHeight>
                  </wp14:sizeRelV>
                </wp:anchor>
              </w:drawing>
            </w:r>
            <w:r w:rsidRPr="00B07403">
              <w:rPr>
                <w:rFonts w:asciiTheme="minorHAnsi" w:hAnsiTheme="minorHAnsi"/>
                <w:noProof/>
                <w:sz w:val="22"/>
                <w:szCs w:val="22"/>
              </w:rPr>
              <w:t>Real Time Patient Experience Feedback January 2020</w:t>
            </w:r>
          </w:p>
        </w:tc>
        <w:tc>
          <w:tcPr>
            <w:tcW w:w="3402" w:type="dxa"/>
            <w:vMerge w:val="restart"/>
            <w:shd w:val="clear" w:color="auto" w:fill="FFFFFF" w:themeFill="background1"/>
          </w:tcPr>
          <w:p w:rsidR="00B43256" w:rsidRPr="00B07403" w:rsidRDefault="00B43256" w:rsidP="00B07403">
            <w:pPr>
              <w:rPr>
                <w:rFonts w:ascii="Verdana" w:hAnsi="Verdana" w:cs="Arial"/>
                <w:b/>
                <w:sz w:val="20"/>
              </w:rPr>
            </w:pPr>
            <w:r w:rsidRPr="00B07403">
              <w:rPr>
                <w:rFonts w:ascii="Verdana" w:hAnsi="Verdana" w:cs="Arial"/>
                <w:b/>
                <w:sz w:val="20"/>
              </w:rPr>
              <w:t>Services with the lowest domain scores are:</w:t>
            </w:r>
          </w:p>
          <w:p w:rsidR="00B43256" w:rsidRPr="00626501" w:rsidRDefault="00B43256" w:rsidP="00B07403">
            <w:pPr>
              <w:ind w:left="34"/>
              <w:rPr>
                <w:rFonts w:ascii="Verdana" w:hAnsi="Verdana" w:cs="Arial"/>
                <w:b/>
                <w:sz w:val="16"/>
                <w:szCs w:val="16"/>
              </w:rPr>
            </w:pPr>
          </w:p>
          <w:p w:rsidR="00B43256" w:rsidRPr="00B07403" w:rsidRDefault="00B43256" w:rsidP="00B07403">
            <w:pPr>
              <w:ind w:left="34"/>
              <w:rPr>
                <w:rFonts w:ascii="Verdana" w:hAnsi="Verdana" w:cs="Arial"/>
                <w:b/>
                <w:sz w:val="20"/>
              </w:rPr>
            </w:pPr>
            <w:r w:rsidRPr="00B07403">
              <w:rPr>
                <w:rFonts w:ascii="Verdana" w:hAnsi="Verdana" w:cs="Arial"/>
                <w:b/>
                <w:sz w:val="20"/>
              </w:rPr>
              <w:t xml:space="preserve">Maternity Services PCH </w:t>
            </w:r>
          </w:p>
          <w:p w:rsidR="00B43256" w:rsidRPr="00B07403" w:rsidRDefault="00B43256" w:rsidP="00B07403">
            <w:pPr>
              <w:jc w:val="both"/>
              <w:rPr>
                <w:rFonts w:ascii="Verdana" w:hAnsi="Verdana" w:cs="Arial"/>
                <w:b/>
                <w:sz w:val="18"/>
                <w:szCs w:val="18"/>
              </w:rPr>
            </w:pPr>
            <w:r w:rsidRPr="00B07403">
              <w:rPr>
                <w:rFonts w:ascii="Verdana" w:hAnsi="Verdana" w:cs="Arial"/>
                <w:sz w:val="18"/>
                <w:szCs w:val="18"/>
              </w:rPr>
              <w:t xml:space="preserve">This service had a reduction in domain score from 9.51 in November 2019 to 8.05.  </w:t>
            </w:r>
          </w:p>
          <w:p w:rsidR="00B43256" w:rsidRPr="00B07403" w:rsidRDefault="00B43256" w:rsidP="00B07403">
            <w:pPr>
              <w:jc w:val="both"/>
              <w:rPr>
                <w:rFonts w:ascii="Verdana" w:hAnsi="Verdana" w:cs="Arial"/>
                <w:b/>
                <w:sz w:val="18"/>
                <w:szCs w:val="18"/>
              </w:rPr>
            </w:pPr>
            <w:r w:rsidRPr="00B07403">
              <w:rPr>
                <w:rFonts w:ascii="Verdana" w:hAnsi="Verdana" w:cs="Arial"/>
                <w:sz w:val="18"/>
                <w:szCs w:val="18"/>
              </w:rPr>
              <w:t xml:space="preserve">The lowest scores were in consistency and coordination of care and noise at night. The domain score in kindness and compassion reduced from 9.95 to 8.23 in this reporting period. </w:t>
            </w:r>
          </w:p>
          <w:p w:rsidR="00B43256" w:rsidRPr="00B07403" w:rsidRDefault="00B43256" w:rsidP="00B07403">
            <w:pPr>
              <w:ind w:left="34"/>
              <w:rPr>
                <w:rFonts w:ascii="Verdana" w:hAnsi="Verdana" w:cs="Arial"/>
                <w:b/>
                <w:sz w:val="16"/>
                <w:szCs w:val="16"/>
              </w:rPr>
            </w:pPr>
          </w:p>
          <w:p w:rsidR="00B43256" w:rsidRPr="00B07403" w:rsidRDefault="00B43256" w:rsidP="00B07403">
            <w:pPr>
              <w:rPr>
                <w:rFonts w:ascii="Verdana" w:hAnsi="Verdana" w:cs="Arial"/>
                <w:b/>
                <w:sz w:val="20"/>
              </w:rPr>
            </w:pPr>
            <w:r w:rsidRPr="00B07403">
              <w:rPr>
                <w:rFonts w:ascii="Verdana" w:hAnsi="Verdana" w:cs="Arial"/>
                <w:b/>
                <w:sz w:val="20"/>
              </w:rPr>
              <w:t xml:space="preserve">Mental Health Services RGH </w:t>
            </w:r>
          </w:p>
          <w:p w:rsidR="00B43256" w:rsidRPr="00B07403" w:rsidRDefault="00B43256" w:rsidP="00B07403">
            <w:pPr>
              <w:spacing w:line="259" w:lineRule="auto"/>
              <w:jc w:val="both"/>
              <w:rPr>
                <w:rFonts w:ascii="Verdana" w:eastAsiaTheme="minorHAnsi" w:hAnsi="Verdana" w:cs="Arial"/>
                <w:b/>
                <w:bCs/>
                <w:sz w:val="18"/>
                <w:szCs w:val="18"/>
                <w:u w:val="single"/>
                <w:lang w:eastAsia="en-US"/>
              </w:rPr>
            </w:pPr>
            <w:r w:rsidRPr="00B07403">
              <w:rPr>
                <w:rFonts w:ascii="Verdana" w:hAnsi="Verdana" w:cs="Arial"/>
                <w:sz w:val="18"/>
                <w:szCs w:val="18"/>
              </w:rPr>
              <w:t xml:space="preserve">This service had the lowest domain average across all areas and this service was also the lowest in the last report.  The low scores relate to consistency and coordination of care, availability of Doctors and noise at night.  Kindness and compassion scored the highest in their domain score. </w:t>
            </w:r>
          </w:p>
          <w:p w:rsidR="00B43256" w:rsidRPr="00B07403" w:rsidRDefault="00B43256" w:rsidP="00B07403">
            <w:pPr>
              <w:spacing w:line="259" w:lineRule="auto"/>
              <w:rPr>
                <w:rFonts w:ascii="Verdana" w:eastAsiaTheme="minorHAnsi" w:hAnsi="Verdana" w:cs="Arial"/>
                <w:b/>
                <w:bCs/>
                <w:sz w:val="16"/>
                <w:szCs w:val="16"/>
                <w:u w:val="single"/>
                <w:lang w:eastAsia="en-US"/>
              </w:rPr>
            </w:pPr>
          </w:p>
          <w:p w:rsidR="00B43256" w:rsidRPr="00B07403" w:rsidRDefault="00B43256" w:rsidP="00B07403">
            <w:pPr>
              <w:spacing w:line="259" w:lineRule="auto"/>
              <w:rPr>
                <w:rFonts w:ascii="Verdana" w:eastAsiaTheme="minorHAnsi" w:hAnsi="Verdana" w:cs="Arial"/>
                <w:b/>
                <w:bCs/>
                <w:sz w:val="20"/>
                <w:u w:val="single"/>
                <w:lang w:eastAsia="en-US"/>
              </w:rPr>
            </w:pPr>
            <w:r w:rsidRPr="00B07403">
              <w:rPr>
                <w:rFonts w:ascii="Verdana" w:eastAsiaTheme="minorHAnsi" w:hAnsi="Verdana" w:cs="Arial"/>
                <w:b/>
                <w:bCs/>
                <w:sz w:val="20"/>
                <w:u w:val="single"/>
                <w:lang w:eastAsia="en-US"/>
              </w:rPr>
              <w:t xml:space="preserve">Immediate Actions: </w:t>
            </w:r>
          </w:p>
          <w:p w:rsidR="00B43256" w:rsidRPr="00B07403" w:rsidRDefault="00B43256" w:rsidP="00B07403">
            <w:pPr>
              <w:spacing w:line="259" w:lineRule="auto"/>
              <w:jc w:val="both"/>
              <w:rPr>
                <w:rFonts w:ascii="Verdana" w:eastAsiaTheme="minorHAnsi" w:hAnsi="Verdana" w:cs="Arial"/>
                <w:sz w:val="18"/>
                <w:szCs w:val="18"/>
                <w:lang w:eastAsia="en-US"/>
              </w:rPr>
            </w:pPr>
            <w:r w:rsidRPr="00B07403">
              <w:rPr>
                <w:rFonts w:ascii="Verdana" w:eastAsiaTheme="minorHAnsi" w:hAnsi="Verdana" w:cs="Arial"/>
                <w:sz w:val="18"/>
                <w:szCs w:val="18"/>
                <w:lang w:eastAsia="en-US"/>
              </w:rPr>
              <w:t>All comments are immediately shared with the Ward Manager for action.</w:t>
            </w:r>
          </w:p>
          <w:p w:rsidR="00B43256" w:rsidRPr="00B07403" w:rsidRDefault="00B43256" w:rsidP="00B07403">
            <w:pPr>
              <w:spacing w:line="259" w:lineRule="auto"/>
              <w:jc w:val="both"/>
              <w:rPr>
                <w:rFonts w:ascii="Verdana" w:eastAsiaTheme="minorHAnsi" w:hAnsi="Verdana" w:cs="Arial"/>
                <w:sz w:val="18"/>
                <w:szCs w:val="18"/>
                <w:lang w:eastAsia="en-US"/>
              </w:rPr>
            </w:pPr>
            <w:r w:rsidRPr="00B07403">
              <w:rPr>
                <w:rFonts w:ascii="Verdana" w:eastAsiaTheme="minorHAnsi" w:hAnsi="Verdana" w:cs="Arial"/>
                <w:sz w:val="18"/>
                <w:szCs w:val="18"/>
                <w:lang w:eastAsia="en-US"/>
              </w:rPr>
              <w:t>All Real Time surveys are shared with the Executive leads for those areas and also the Executive nurse and medical director.</w:t>
            </w:r>
          </w:p>
          <w:p w:rsidR="00B43256" w:rsidRPr="00B07403" w:rsidRDefault="00B43256" w:rsidP="00B07403">
            <w:pPr>
              <w:spacing w:line="259" w:lineRule="auto"/>
              <w:jc w:val="both"/>
              <w:rPr>
                <w:rFonts w:eastAsiaTheme="minorHAnsi" w:cs="Arial"/>
                <w:b/>
                <w:bCs/>
                <w:sz w:val="16"/>
                <w:szCs w:val="16"/>
                <w:u w:val="single"/>
                <w:lang w:eastAsia="en-US"/>
              </w:rPr>
            </w:pPr>
            <w:r w:rsidRPr="00B07403">
              <w:rPr>
                <w:rFonts w:ascii="Verdana" w:eastAsiaTheme="minorHAnsi" w:hAnsi="Verdana" w:cs="Arial"/>
                <w:sz w:val="18"/>
                <w:szCs w:val="18"/>
                <w:lang w:eastAsia="en-US"/>
              </w:rPr>
              <w:t>The Friends and Family Test is being introduced in April 2020 as part of the Once for Wales programme. CTMUHB has been chosen as an early implementer site, which will enable all service areas to capture and report service user experience.</w:t>
            </w:r>
            <w:r w:rsidRPr="00B07403">
              <w:rPr>
                <w:rFonts w:ascii="Verdana" w:eastAsiaTheme="minorHAnsi" w:hAnsi="Verdana" w:cs="Arial"/>
                <w:sz w:val="20"/>
                <w:lang w:eastAsia="en-US"/>
              </w:rPr>
              <w:t xml:space="preserve"> </w:t>
            </w:r>
          </w:p>
        </w:tc>
      </w:tr>
      <w:tr w:rsidR="00B43256" w:rsidRPr="00B07403" w:rsidTr="00626501">
        <w:trPr>
          <w:trHeight w:val="8633"/>
        </w:trPr>
        <w:tc>
          <w:tcPr>
            <w:tcW w:w="11482" w:type="dxa"/>
            <w:gridSpan w:val="3"/>
            <w:shd w:val="clear" w:color="auto" w:fill="002060"/>
          </w:tcPr>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r w:rsidRPr="00B07403">
              <w:rPr>
                <w:rFonts w:ascii="Times New Roman" w:hAnsi="Times New Roman"/>
                <w:noProof/>
                <w:szCs w:val="24"/>
              </w:rPr>
              <w:drawing>
                <wp:anchor distT="0" distB="0" distL="114300" distR="114300" simplePos="0" relativeHeight="251957760" behindDoc="0" locked="0" layoutInCell="1" allowOverlap="1" wp14:anchorId="02349D98" wp14:editId="4168B4A9">
                  <wp:simplePos x="0" y="0"/>
                  <wp:positionH relativeFrom="column">
                    <wp:posOffset>47625</wp:posOffset>
                  </wp:positionH>
                  <wp:positionV relativeFrom="paragraph">
                    <wp:posOffset>74930</wp:posOffset>
                  </wp:positionV>
                  <wp:extent cx="7038975" cy="3162300"/>
                  <wp:effectExtent l="0" t="0" r="9525" b="0"/>
                  <wp:wrapNone/>
                  <wp:docPr id="94" name="Chart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14:sizeRelH relativeFrom="page">
                    <wp14:pctWidth>0</wp14:pctWidth>
                  </wp14:sizeRelH>
                  <wp14:sizeRelV relativeFrom="page">
                    <wp14:pctHeight>0</wp14:pctHeight>
                  </wp14:sizeRelV>
                </wp:anchor>
              </w:drawing>
            </w: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p>
          <w:p w:rsidR="00B43256" w:rsidRPr="00B07403" w:rsidRDefault="00B43256" w:rsidP="00B07403">
            <w:pPr>
              <w:rPr>
                <w:rFonts w:ascii="Verdana" w:hAnsi="Verdana"/>
                <w:noProof/>
                <w:sz w:val="16"/>
                <w:szCs w:val="16"/>
              </w:rPr>
            </w:pPr>
            <w:r w:rsidRPr="00B43256">
              <w:rPr>
                <w:rFonts w:ascii="Verdana" w:hAnsi="Verdana"/>
                <w:noProof/>
                <w:sz w:val="16"/>
                <w:szCs w:val="16"/>
              </w:rPr>
              <mc:AlternateContent>
                <mc:Choice Requires="wps">
                  <w:drawing>
                    <wp:anchor distT="45720" distB="45720" distL="114300" distR="114300" simplePos="0" relativeHeight="251962880" behindDoc="0" locked="0" layoutInCell="1" allowOverlap="1" wp14:anchorId="3C2DACA8" wp14:editId="0F5403A2">
                      <wp:simplePos x="0" y="0"/>
                      <wp:positionH relativeFrom="column">
                        <wp:posOffset>3689985</wp:posOffset>
                      </wp:positionH>
                      <wp:positionV relativeFrom="paragraph">
                        <wp:posOffset>283845</wp:posOffset>
                      </wp:positionV>
                      <wp:extent cx="3390900" cy="1404620"/>
                      <wp:effectExtent l="0" t="0" r="0" b="0"/>
                      <wp:wrapSquare wrapText="bothSides"/>
                      <wp:docPr id="1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1404620"/>
                              </a:xfrm>
                              <a:prstGeom prst="rect">
                                <a:avLst/>
                              </a:prstGeom>
                              <a:noFill/>
                              <a:ln w="9525">
                                <a:noFill/>
                                <a:miter lim="800000"/>
                                <a:headEnd/>
                                <a:tailEnd/>
                              </a:ln>
                            </wps:spPr>
                            <wps:txbx>
                              <w:txbxContent>
                                <w:p w:rsidR="00DD62B8" w:rsidRPr="00B43256" w:rsidRDefault="00DD62B8" w:rsidP="00B43256">
                                  <w:pPr>
                                    <w:rPr>
                                      <w:rFonts w:ascii="Verdana" w:hAnsi="Verdana"/>
                                      <w:noProof/>
                                      <w:color w:val="FFFFFF" w:themeColor="background1"/>
                                      <w:sz w:val="16"/>
                                      <w:szCs w:val="16"/>
                                    </w:rPr>
                                  </w:pPr>
                                  <w:r w:rsidRPr="00B43256">
                                    <w:rPr>
                                      <w:rFonts w:ascii="Verdana" w:hAnsi="Verdana"/>
                                      <w:noProof/>
                                      <w:color w:val="FFFFFF" w:themeColor="background1"/>
                                      <w:sz w:val="16"/>
                                      <w:szCs w:val="16"/>
                                    </w:rPr>
                                    <w:t xml:space="preserve">Positive feedback is also shared with individuals and some feedback is placed on the hospital TV’s.  </w:t>
                                  </w:r>
                                </w:p>
                                <w:p w:rsidR="00DD62B8" w:rsidRPr="00B43256" w:rsidRDefault="00DD62B8" w:rsidP="00B43256">
                                  <w:pPr>
                                    <w:rPr>
                                      <w:color w:val="FFFFFF" w:themeColor="background1"/>
                                    </w:rPr>
                                  </w:pPr>
                                  <w:r w:rsidRPr="00B43256">
                                    <w:rPr>
                                      <w:rFonts w:ascii="Verdana" w:hAnsi="Verdana"/>
                                      <w:noProof/>
                                      <w:color w:val="FFFFFF" w:themeColor="background1"/>
                                      <w:sz w:val="16"/>
                                      <w:szCs w:val="16"/>
                                    </w:rPr>
                                    <w:t>There is a bi monthly ‘Listening and Learning’ Newsletter shared with staff groups and also placed on the intranet.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DACA8" id="_x0000_s1031" type="#_x0000_t202" style="position:absolute;margin-left:290.55pt;margin-top:22.35pt;width:267pt;height:110.6pt;z-index:2519628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" filled="f" stroked="f">
                      <v:textbox style="mso-fit-shape-to-text:t">
                        <w:txbxContent>
                          <w:p w:rsidR="00DD62B8" w:rsidRPr="00B43256" w:rsidRDefault="00DD62B8" w:rsidP="00B43256">
                            <w:pPr>
                              <w:rPr>
                                <w:rFonts w:ascii="Verdana" w:hAnsi="Verdana"/>
                                <w:noProof/>
                                <w:color w:val="FFFFFF" w:themeColor="background1"/>
                                <w:sz w:val="16"/>
                                <w:szCs w:val="16"/>
                              </w:rPr>
                            </w:pPr>
                            <w:r w:rsidRPr="00B43256">
                              <w:rPr>
                                <w:rFonts w:ascii="Verdana" w:hAnsi="Verdana"/>
                                <w:noProof/>
                                <w:color w:val="FFFFFF" w:themeColor="background1"/>
                                <w:sz w:val="16"/>
                                <w:szCs w:val="16"/>
                              </w:rPr>
                              <w:t xml:space="preserve">Positive feedback is also shared with individuals and some feedback is placed on the hospital TV’s.  </w:t>
                            </w:r>
                          </w:p>
                          <w:p w:rsidR="00DD62B8" w:rsidRPr="00B43256" w:rsidRDefault="00DD62B8" w:rsidP="00B43256">
                            <w:pPr>
                              <w:rPr>
                                <w:color w:val="FFFFFF" w:themeColor="background1"/>
                              </w:rPr>
                            </w:pPr>
                            <w:r w:rsidRPr="00B43256">
                              <w:rPr>
                                <w:rFonts w:ascii="Verdana" w:hAnsi="Verdana"/>
                                <w:noProof/>
                                <w:color w:val="FFFFFF" w:themeColor="background1"/>
                                <w:sz w:val="16"/>
                                <w:szCs w:val="16"/>
                              </w:rPr>
                              <w:t>There is a bi monthly ‘Listening and Learning’ Newsletter shared with staff groups and also placed on the intranet.</w:t>
                            </w:r>
                          </w:p>
                        </w:txbxContent>
                      </v:textbox>
                      <w10:wrap type="square"/>
                    </v:shape>
                  </w:pict>
                </mc:Fallback>
              </mc:AlternateContent>
            </w:r>
          </w:p>
          <w:p w:rsidR="00B43256" w:rsidRPr="00B07403" w:rsidRDefault="00B43256" w:rsidP="00B07403">
            <w:pPr>
              <w:rPr>
                <w:rFonts w:ascii="Verdana" w:hAnsi="Verdana"/>
                <w:noProof/>
                <w:sz w:val="16"/>
                <w:szCs w:val="16"/>
              </w:rPr>
            </w:pPr>
            <w:r w:rsidRPr="00B43256">
              <w:rPr>
                <w:rFonts w:ascii="Verdana" w:hAnsi="Verdana"/>
                <w:noProof/>
                <w:sz w:val="16"/>
                <w:szCs w:val="16"/>
              </w:rPr>
              <mc:AlternateContent>
                <mc:Choice Requires="wps">
                  <w:drawing>
                    <wp:anchor distT="45720" distB="45720" distL="114300" distR="114300" simplePos="0" relativeHeight="251960832" behindDoc="0" locked="0" layoutInCell="1" allowOverlap="1" wp14:anchorId="43635194" wp14:editId="7BF2D555">
                      <wp:simplePos x="0" y="0"/>
                      <wp:positionH relativeFrom="column">
                        <wp:posOffset>69215</wp:posOffset>
                      </wp:positionH>
                      <wp:positionV relativeFrom="paragraph">
                        <wp:posOffset>155575</wp:posOffset>
                      </wp:positionV>
                      <wp:extent cx="3390900" cy="1404620"/>
                      <wp:effectExtent l="0" t="0" r="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1404620"/>
                              </a:xfrm>
                              <a:prstGeom prst="rect">
                                <a:avLst/>
                              </a:prstGeom>
                              <a:noFill/>
                              <a:ln w="9525">
                                <a:noFill/>
                                <a:miter lim="800000"/>
                                <a:headEnd/>
                                <a:tailEnd/>
                              </a:ln>
                            </wps:spPr>
                            <wps:txbx>
                              <w:txbxContent>
                                <w:p w:rsidR="00DD62B8" w:rsidRPr="00B43256" w:rsidRDefault="00DD62B8">
                                  <w:pPr>
                                    <w:rPr>
                                      <w:color w:val="FFFFFF" w:themeColor="background1"/>
                                    </w:rPr>
                                  </w:pPr>
                                  <w:r w:rsidRPr="00B07403">
                                    <w:rPr>
                                      <w:rFonts w:ascii="Verdana" w:hAnsi="Verdana"/>
                                      <w:noProof/>
                                      <w:color w:val="FFFFFF" w:themeColor="background1"/>
                                      <w:sz w:val="16"/>
                                      <w:szCs w:val="16"/>
                                    </w:rPr>
                                    <w:t xml:space="preserve">Patient experience feedback is shared with staff via departmental and unit meetings and also at corporate level via the concerns scrutiny panel, the patient experience and quality, governance and learning subcomittees of the Quality and Safety committee.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635194" id="_x0000_s1032" type="#_x0000_t202" style="position:absolute;margin-left:5.45pt;margin-top:12.25pt;width:267pt;height:110.6pt;z-index:2519608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" filled="f" stroked="f">
                      <v:textbox style="mso-fit-shape-to-text:t">
                        <w:txbxContent>
                          <w:p w:rsidR="00DD62B8" w:rsidRPr="00B43256" w:rsidRDefault="00DD62B8">
                            <w:pPr>
                              <w:rPr>
                                <w:color w:val="FFFFFF" w:themeColor="background1"/>
                              </w:rPr>
                            </w:pPr>
                            <w:r w:rsidRPr="00B07403">
                              <w:rPr>
                                <w:rFonts w:ascii="Verdana" w:hAnsi="Verdana"/>
                                <w:noProof/>
                                <w:color w:val="FFFFFF" w:themeColor="background1"/>
                                <w:sz w:val="16"/>
                                <w:szCs w:val="16"/>
                              </w:rPr>
                              <w:t xml:space="preserve">Patient experience feedback is shared with staff via departmental and unit meetings and also at corporate level via the concerns scrutiny panel, the patient experience and quality, governance and learning subcomittees of the Quality and Safety committee.  </w:t>
                            </w:r>
                          </w:p>
                        </w:txbxContent>
                      </v:textbox>
                      <w10:wrap type="square"/>
                    </v:shape>
                  </w:pict>
                </mc:Fallback>
              </mc:AlternateContent>
            </w:r>
          </w:p>
        </w:tc>
        <w:tc>
          <w:tcPr>
            <w:tcW w:w="3402" w:type="dxa"/>
            <w:vMerge/>
            <w:shd w:val="clear" w:color="auto" w:fill="FFFFFF" w:themeFill="background1"/>
          </w:tcPr>
          <w:p w:rsidR="00B43256" w:rsidRPr="00B07403" w:rsidRDefault="00B43256" w:rsidP="00B07403">
            <w:pPr>
              <w:spacing w:line="259" w:lineRule="auto"/>
              <w:rPr>
                <w:rFonts w:ascii="Verdana" w:eastAsiaTheme="minorHAnsi" w:hAnsi="Verdana" w:cs="Arial"/>
                <w:b/>
                <w:bCs/>
                <w:sz w:val="17"/>
                <w:szCs w:val="17"/>
                <w:u w:val="single"/>
                <w:lang w:eastAsia="en-US"/>
              </w:rPr>
            </w:pPr>
          </w:p>
        </w:tc>
      </w:tr>
    </w:tbl>
    <w:p w:rsidR="00DD62B8" w:rsidRDefault="00DD62B8" w:rsidP="00F532A2">
      <w:pPr>
        <w:rPr>
          <w:rFonts w:cs="Arial"/>
          <w:b/>
          <w:szCs w:val="24"/>
        </w:rPr>
      </w:pPr>
    </w:p>
    <w:p w:rsidR="00DD62B8" w:rsidRPr="00DD62B8" w:rsidRDefault="00DD62B8" w:rsidP="00DD62B8">
      <w:pPr>
        <w:spacing w:before="120" w:after="120"/>
        <w:rPr>
          <w:rFonts w:cs="Arial"/>
          <w:b/>
          <w:szCs w:val="24"/>
        </w:rPr>
      </w:pPr>
      <w:r w:rsidRPr="00DD62B8">
        <w:rPr>
          <w:rFonts w:cs="Arial"/>
          <w:b/>
          <w:szCs w:val="24"/>
        </w:rPr>
        <w:t>Princess of Wales Hospital – Patient Experience</w:t>
      </w:r>
    </w:p>
    <w:p w:rsidR="00DD62B8" w:rsidRPr="009721B8" w:rsidRDefault="00DD62B8" w:rsidP="009721B8">
      <w:pPr>
        <w:spacing w:before="120" w:after="120"/>
        <w:rPr>
          <w:rFonts w:cs="Arial"/>
          <w:b/>
          <w:szCs w:val="24"/>
        </w:rPr>
      </w:pPr>
      <w:r w:rsidRPr="009721B8">
        <w:rPr>
          <w:rFonts w:cs="Arial"/>
          <w:b/>
          <w:szCs w:val="24"/>
        </w:rPr>
        <w:t>Have Your Say</w:t>
      </w:r>
    </w:p>
    <w:p w:rsidR="00DD62B8" w:rsidRPr="00E9656E" w:rsidRDefault="00DD62B8" w:rsidP="00DD62B8">
      <w:pPr>
        <w:spacing w:before="120" w:after="120"/>
        <w:jc w:val="both"/>
        <w:rPr>
          <w:rFonts w:cs="Arial"/>
          <w:szCs w:val="24"/>
        </w:rPr>
      </w:pPr>
      <w:r>
        <w:rPr>
          <w:rFonts w:cs="Arial"/>
          <w:szCs w:val="24"/>
        </w:rPr>
        <w:t xml:space="preserve">‘Have your say’ cards are available across the site of Princess of Wales Hospital to allow patients, families, visitors and carers alike the opportunity to provide anonymous feedback to allow services an insight into how we are meeting the needs of our community.  </w:t>
      </w:r>
      <w:r w:rsidRPr="00E9656E">
        <w:rPr>
          <w:rFonts w:cs="Arial"/>
          <w:szCs w:val="24"/>
        </w:rPr>
        <w:t>The ward</w:t>
      </w:r>
      <w:r>
        <w:rPr>
          <w:rFonts w:cs="Arial"/>
          <w:szCs w:val="24"/>
        </w:rPr>
        <w:t>s receive</w:t>
      </w:r>
      <w:r w:rsidRPr="00E9656E">
        <w:rPr>
          <w:rFonts w:cs="Arial"/>
          <w:szCs w:val="24"/>
        </w:rPr>
        <w:t xml:space="preserve"> a weekly </w:t>
      </w:r>
      <w:r>
        <w:rPr>
          <w:rFonts w:cs="Arial"/>
          <w:szCs w:val="24"/>
        </w:rPr>
        <w:t>‘Have Your Say’ report</w:t>
      </w:r>
      <w:r w:rsidRPr="00E9656E">
        <w:rPr>
          <w:rFonts w:cs="Arial"/>
          <w:szCs w:val="24"/>
        </w:rPr>
        <w:t xml:space="preserve"> </w:t>
      </w:r>
      <w:r>
        <w:rPr>
          <w:rFonts w:cs="Arial"/>
          <w:szCs w:val="24"/>
        </w:rPr>
        <w:t>in the form of a word document to help staff gain an</w:t>
      </w:r>
      <w:r w:rsidRPr="00E9656E">
        <w:rPr>
          <w:rFonts w:cs="Arial"/>
          <w:szCs w:val="24"/>
        </w:rPr>
        <w:t xml:space="preserve"> understand</w:t>
      </w:r>
      <w:r>
        <w:rPr>
          <w:rFonts w:cs="Arial"/>
          <w:szCs w:val="24"/>
        </w:rPr>
        <w:t>ing how</w:t>
      </w:r>
      <w:r w:rsidRPr="00E9656E">
        <w:rPr>
          <w:rFonts w:cs="Arial"/>
          <w:szCs w:val="24"/>
        </w:rPr>
        <w:t xml:space="preserve"> patients and their families feel ab</w:t>
      </w:r>
      <w:r>
        <w:rPr>
          <w:rFonts w:cs="Arial"/>
          <w:szCs w:val="24"/>
        </w:rPr>
        <w:t>out the care they are receiving.</w:t>
      </w:r>
    </w:p>
    <w:p w:rsidR="00DD62B8" w:rsidRDefault="00DD62B8" w:rsidP="00DD62B8">
      <w:pPr>
        <w:spacing w:before="120" w:after="120"/>
        <w:jc w:val="both"/>
        <w:rPr>
          <w:rFonts w:cs="Arial"/>
          <w:szCs w:val="24"/>
        </w:rPr>
      </w:pPr>
      <w:r w:rsidRPr="00E9656E">
        <w:rPr>
          <w:rFonts w:cs="Arial"/>
          <w:szCs w:val="24"/>
        </w:rPr>
        <w:t xml:space="preserve">Where feedback is received and contact details have been provided the PALS </w:t>
      </w:r>
      <w:r>
        <w:rPr>
          <w:rFonts w:cs="Arial"/>
          <w:szCs w:val="24"/>
        </w:rPr>
        <w:t xml:space="preserve">(Patient Advisory Liaison Support) </w:t>
      </w:r>
      <w:r w:rsidRPr="00E9656E">
        <w:rPr>
          <w:rFonts w:cs="Arial"/>
          <w:szCs w:val="24"/>
        </w:rPr>
        <w:t xml:space="preserve">will make contact </w:t>
      </w:r>
      <w:r>
        <w:rPr>
          <w:rFonts w:cs="Arial"/>
          <w:szCs w:val="24"/>
        </w:rPr>
        <w:t xml:space="preserve">to discuss the comments that have been left.  </w:t>
      </w:r>
      <w:r w:rsidRPr="00E9656E">
        <w:rPr>
          <w:rFonts w:cs="Arial"/>
          <w:szCs w:val="24"/>
        </w:rPr>
        <w:t>Actions taken as a result of the feedback received are recorded on Datix.</w:t>
      </w:r>
    </w:p>
    <w:p w:rsidR="00DD62B8" w:rsidRDefault="00DD62B8" w:rsidP="00DD62B8">
      <w:pPr>
        <w:spacing w:before="120" w:after="120"/>
        <w:jc w:val="both"/>
        <w:rPr>
          <w:rFonts w:cs="Arial"/>
          <w:szCs w:val="24"/>
        </w:rPr>
      </w:pPr>
      <w:r>
        <w:rPr>
          <w:rFonts w:cs="Arial"/>
          <w:szCs w:val="24"/>
        </w:rPr>
        <w:t>There were 226 ‘Have Your Say’ cards received in January 2020, 82% of these were complimentary.  The current facilities for recording ‘Have Your Say’ does not enable us to break down the data in a report format and CTM Health Board are in the process of introducing another system for patient feedback that will enable this.  Please see some examples below of feedback received via ‘Have your Say’:</w:t>
      </w:r>
    </w:p>
    <w:p w:rsidR="00DD62B8" w:rsidRPr="00F24FDA" w:rsidRDefault="00DD62B8" w:rsidP="00DD62B8">
      <w:pPr>
        <w:pStyle w:val="ListParagraph"/>
        <w:numPr>
          <w:ilvl w:val="0"/>
          <w:numId w:val="15"/>
        </w:numPr>
        <w:spacing w:before="120" w:after="120" w:line="259" w:lineRule="auto"/>
        <w:rPr>
          <w:b/>
          <w:szCs w:val="24"/>
        </w:rPr>
      </w:pPr>
      <w:r w:rsidRPr="00F24FDA">
        <w:rPr>
          <w:rFonts w:cs="Arial"/>
          <w:b/>
          <w:szCs w:val="24"/>
        </w:rPr>
        <w:t xml:space="preserve">Endoscopy: </w:t>
      </w:r>
      <w:r w:rsidRPr="00F24FDA">
        <w:rPr>
          <w:b/>
          <w:szCs w:val="24"/>
        </w:rPr>
        <w:t xml:space="preserve">Excellent service.  Staff were very friendly and ensured you understood everything.  Thank you all.   </w:t>
      </w:r>
    </w:p>
    <w:p w:rsidR="00DD62B8" w:rsidRPr="00F24FDA" w:rsidRDefault="00DD62B8" w:rsidP="00DD62B8">
      <w:pPr>
        <w:pStyle w:val="ListParagraph"/>
        <w:numPr>
          <w:ilvl w:val="0"/>
          <w:numId w:val="15"/>
        </w:numPr>
        <w:spacing w:before="120" w:after="120" w:line="259" w:lineRule="auto"/>
        <w:rPr>
          <w:b/>
          <w:szCs w:val="24"/>
        </w:rPr>
      </w:pPr>
      <w:r w:rsidRPr="00F24FDA">
        <w:rPr>
          <w:b/>
          <w:szCs w:val="24"/>
        </w:rPr>
        <w:t>Endoscopy: Thank you for the excellent care and attention lovely doctors and nurses with good bedside manner.</w:t>
      </w:r>
    </w:p>
    <w:p w:rsidR="00DD62B8" w:rsidRPr="00F24FDA" w:rsidRDefault="00DD62B8" w:rsidP="00DD62B8">
      <w:pPr>
        <w:pStyle w:val="ListParagraph"/>
        <w:numPr>
          <w:ilvl w:val="0"/>
          <w:numId w:val="15"/>
        </w:numPr>
        <w:spacing w:before="120" w:after="120" w:line="259" w:lineRule="auto"/>
        <w:rPr>
          <w:b/>
          <w:szCs w:val="24"/>
        </w:rPr>
      </w:pPr>
      <w:r>
        <w:rPr>
          <w:b/>
          <w:szCs w:val="24"/>
        </w:rPr>
        <w:t xml:space="preserve">Ward 9       </w:t>
      </w:r>
      <w:r w:rsidRPr="00F24FDA">
        <w:rPr>
          <w:b/>
          <w:szCs w:val="24"/>
        </w:rPr>
        <w:t>: The care has been amazing.  I cannot fault them and if I am in pain then they are always there to help.</w:t>
      </w:r>
    </w:p>
    <w:p w:rsidR="00DD62B8" w:rsidRPr="00614520" w:rsidRDefault="00DD62B8" w:rsidP="00DD62B8">
      <w:pPr>
        <w:pStyle w:val="ListParagraph"/>
        <w:numPr>
          <w:ilvl w:val="0"/>
          <w:numId w:val="16"/>
        </w:numPr>
        <w:spacing w:before="120" w:after="120" w:line="259" w:lineRule="auto"/>
        <w:rPr>
          <w:b/>
          <w:szCs w:val="24"/>
        </w:rPr>
      </w:pPr>
      <w:r>
        <w:rPr>
          <w:b/>
          <w:szCs w:val="24"/>
        </w:rPr>
        <w:t xml:space="preserve">A &amp; E         </w:t>
      </w:r>
      <w:r w:rsidRPr="004E12D9">
        <w:rPr>
          <w:b/>
          <w:szCs w:val="24"/>
        </w:rPr>
        <w:t>:</w:t>
      </w:r>
      <w:r w:rsidRPr="004E12D9">
        <w:rPr>
          <w:szCs w:val="24"/>
        </w:rPr>
        <w:t xml:space="preserve"> </w:t>
      </w:r>
      <w:r>
        <w:rPr>
          <w:szCs w:val="24"/>
        </w:rPr>
        <w:t xml:space="preserve"> </w:t>
      </w:r>
      <w:r w:rsidRPr="00614520">
        <w:rPr>
          <w:b/>
          <w:szCs w:val="24"/>
        </w:rPr>
        <w:t>Attentive staff, kept up to date with progress.</w:t>
      </w:r>
    </w:p>
    <w:p w:rsidR="00DD62B8" w:rsidRDefault="00DD62B8" w:rsidP="00DD62B8">
      <w:pPr>
        <w:pStyle w:val="ListParagraph"/>
        <w:numPr>
          <w:ilvl w:val="0"/>
          <w:numId w:val="16"/>
        </w:numPr>
        <w:spacing w:before="120" w:after="120" w:line="259" w:lineRule="auto"/>
        <w:rPr>
          <w:b/>
          <w:szCs w:val="24"/>
        </w:rPr>
      </w:pPr>
      <w:r w:rsidRPr="00614520">
        <w:rPr>
          <w:b/>
          <w:szCs w:val="24"/>
        </w:rPr>
        <w:t>A &amp; E         :  Staff were so lovely, polite and kind, attentive</w:t>
      </w:r>
    </w:p>
    <w:p w:rsidR="009721B8" w:rsidRPr="00614520" w:rsidRDefault="009721B8" w:rsidP="009721B8">
      <w:pPr>
        <w:pStyle w:val="ListParagraph"/>
        <w:spacing w:before="120" w:after="120" w:line="259" w:lineRule="auto"/>
        <w:rPr>
          <w:b/>
          <w:szCs w:val="24"/>
        </w:rPr>
      </w:pPr>
    </w:p>
    <w:p w:rsidR="00DD62B8" w:rsidRPr="009721B8" w:rsidRDefault="00DD62B8" w:rsidP="009721B8">
      <w:pPr>
        <w:spacing w:before="120" w:after="120"/>
        <w:rPr>
          <w:rFonts w:cs="Arial"/>
          <w:b/>
          <w:szCs w:val="24"/>
        </w:rPr>
      </w:pPr>
      <w:r w:rsidRPr="009721B8">
        <w:rPr>
          <w:rFonts w:cs="Arial"/>
          <w:b/>
          <w:szCs w:val="24"/>
        </w:rPr>
        <w:t>PALS (Patient Advisory Liaison Service)</w:t>
      </w:r>
    </w:p>
    <w:p w:rsidR="00DD62B8" w:rsidRPr="00DD62B8" w:rsidRDefault="00DD62B8" w:rsidP="00DD62B8">
      <w:pPr>
        <w:spacing w:before="120" w:after="120"/>
        <w:rPr>
          <w:rFonts w:cs="Arial"/>
          <w:szCs w:val="24"/>
        </w:rPr>
      </w:pPr>
      <w:r w:rsidRPr="00DD62B8">
        <w:rPr>
          <w:rFonts w:cs="Arial"/>
          <w:szCs w:val="24"/>
        </w:rPr>
        <w:t>PALS have made 200 contacts with patients, families, carers and visitors alike in January 2020.  The graph below provides a breakdown of where these contacts were made and the locations these relate to.</w:t>
      </w:r>
    </w:p>
    <w:p w:rsidR="00DD62B8" w:rsidRDefault="00DD62B8" w:rsidP="00F532A2">
      <w:pPr>
        <w:rPr>
          <w:rFonts w:cs="Arial"/>
          <w:b/>
          <w:szCs w:val="24"/>
        </w:rPr>
      </w:pPr>
      <w:r w:rsidRPr="00D60827">
        <w:rPr>
          <w:noProof/>
        </w:rPr>
        <w:drawing>
          <wp:anchor distT="0" distB="0" distL="114300" distR="114300" simplePos="0" relativeHeight="251964928" behindDoc="0" locked="0" layoutInCell="1" allowOverlap="1">
            <wp:simplePos x="0" y="0"/>
            <wp:positionH relativeFrom="margin">
              <wp:align>right</wp:align>
            </wp:positionH>
            <wp:positionV relativeFrom="paragraph">
              <wp:posOffset>1905</wp:posOffset>
            </wp:positionV>
            <wp:extent cx="9144000" cy="2019300"/>
            <wp:effectExtent l="0" t="0" r="0" b="0"/>
            <wp:wrapNone/>
            <wp:docPr id="42" name="Chart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14:sizeRelH relativeFrom="page">
              <wp14:pctWidth>0</wp14:pctWidth>
            </wp14:sizeRelH>
            <wp14:sizeRelV relativeFrom="page">
              <wp14:pctHeight>0</wp14:pctHeight>
            </wp14:sizeRelV>
          </wp:anchor>
        </w:drawing>
      </w: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Pr="009721B8" w:rsidRDefault="009721B8" w:rsidP="009721B8">
      <w:pPr>
        <w:jc w:val="both"/>
        <w:rPr>
          <w:rFonts w:cs="Arial"/>
          <w:szCs w:val="24"/>
        </w:rPr>
      </w:pPr>
      <w:r w:rsidRPr="009721B8">
        <w:rPr>
          <w:rFonts w:cs="Arial"/>
          <w:szCs w:val="24"/>
        </w:rPr>
        <w:t>The largest trend relates to ‘Patient’s home’ and PALS receive telephone calls regarding various queries surrounding appointments, referrals, cancellations and admissions. Patients can access the service from their home to deal with any queries they have and this can be sometimes following discharge as an inpatient.</w:t>
      </w:r>
    </w:p>
    <w:p w:rsidR="009721B8" w:rsidRDefault="009721B8" w:rsidP="009721B8">
      <w:pPr>
        <w:spacing w:after="200" w:line="276" w:lineRule="auto"/>
        <w:rPr>
          <w:rFonts w:cs="Arial"/>
          <w:szCs w:val="24"/>
        </w:rPr>
      </w:pPr>
    </w:p>
    <w:p w:rsidR="009721B8" w:rsidRPr="00072495" w:rsidRDefault="009721B8" w:rsidP="009721B8">
      <w:pPr>
        <w:spacing w:after="200" w:line="276" w:lineRule="auto"/>
        <w:rPr>
          <w:rFonts w:cs="Arial"/>
          <w:b/>
          <w:szCs w:val="24"/>
        </w:rPr>
      </w:pPr>
      <w:r w:rsidRPr="00072495">
        <w:rPr>
          <w:rFonts w:cs="Arial"/>
          <w:b/>
          <w:szCs w:val="24"/>
        </w:rPr>
        <w:t xml:space="preserve">Highest Themes </w:t>
      </w:r>
    </w:p>
    <w:p w:rsidR="009721B8" w:rsidRDefault="009721B8" w:rsidP="009721B8">
      <w:pPr>
        <w:rPr>
          <w:rFonts w:cs="Arial"/>
          <w:szCs w:val="24"/>
        </w:rPr>
      </w:pPr>
      <w:r>
        <w:rPr>
          <w:rFonts w:cs="Arial"/>
          <w:szCs w:val="24"/>
        </w:rPr>
        <w:t xml:space="preserve">The below graph demonstrates the four highest subjects reported in January 2020 for PALS. </w:t>
      </w:r>
    </w:p>
    <w:p w:rsidR="009721B8" w:rsidRDefault="009721B8" w:rsidP="009721B8">
      <w:pPr>
        <w:rPr>
          <w:rFonts w:cs="Arial"/>
          <w:szCs w:val="24"/>
        </w:rPr>
      </w:pPr>
      <w:r>
        <w:rPr>
          <w:rFonts w:cs="Arial"/>
          <w:szCs w:val="24"/>
        </w:rPr>
        <w:t xml:space="preserve"> </w:t>
      </w:r>
    </w:p>
    <w:p w:rsidR="009721B8" w:rsidRDefault="009721B8" w:rsidP="009721B8">
      <w:pPr>
        <w:rPr>
          <w:noProof/>
        </w:rPr>
      </w:pPr>
      <w:r w:rsidRPr="00913560">
        <w:rPr>
          <w:noProof/>
        </w:rPr>
        <w:drawing>
          <wp:inline distT="0" distB="0" distL="0" distR="0">
            <wp:extent cx="6962775" cy="2283460"/>
            <wp:effectExtent l="0" t="0" r="0" b="2540"/>
            <wp:docPr id="46" name="Chart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9721B8" w:rsidRDefault="009721B8" w:rsidP="009721B8">
      <w:pPr>
        <w:rPr>
          <w:noProof/>
        </w:rPr>
      </w:pPr>
    </w:p>
    <w:p w:rsidR="009721B8" w:rsidRDefault="009721B8" w:rsidP="009721B8">
      <w:pPr>
        <w:rPr>
          <w:noProof/>
        </w:rPr>
      </w:pPr>
    </w:p>
    <w:p w:rsidR="009721B8" w:rsidRPr="00072495" w:rsidRDefault="009721B8" w:rsidP="009721B8">
      <w:pPr>
        <w:jc w:val="both"/>
        <w:rPr>
          <w:rFonts w:cs="Arial"/>
          <w:szCs w:val="24"/>
        </w:rPr>
      </w:pPr>
      <w:r w:rsidRPr="00072495">
        <w:rPr>
          <w:rFonts w:cs="Arial"/>
          <w:noProof/>
          <w:szCs w:val="24"/>
        </w:rPr>
        <w:t xml:space="preserve">Reports are run on a weekly basis </w:t>
      </w:r>
      <w:r>
        <w:rPr>
          <w:rFonts w:cs="Arial"/>
          <w:noProof/>
          <w:szCs w:val="24"/>
        </w:rPr>
        <w:t>by the PALS team and shared with the Triumverate, Senior Managers/Matrons and Ward Managers to ensure they are aware of the feedback relating to the services they provide.</w:t>
      </w: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Default="00DD62B8" w:rsidP="00F532A2">
      <w:pPr>
        <w:rPr>
          <w:rFonts w:cs="Arial"/>
          <w:b/>
          <w:szCs w:val="24"/>
        </w:rPr>
      </w:pPr>
    </w:p>
    <w:p w:rsidR="00DD62B8" w:rsidRPr="00106B16" w:rsidRDefault="00DD62B8" w:rsidP="00F532A2">
      <w:pPr>
        <w:rPr>
          <w:rFonts w:cs="Arial"/>
          <w:b/>
          <w:szCs w:val="24"/>
        </w:rPr>
      </w:pPr>
    </w:p>
    <w:sectPr w:rsidR="00DD62B8" w:rsidRPr="00106B16" w:rsidSect="00B43256">
      <w:headerReference w:type="default" r:id="rId72"/>
      <w:headerReference w:type="first" r:id="rId73"/>
      <w:footerReference w:type="first" r:id="rId74"/>
      <w:pgSz w:w="15840" w:h="12240" w:orient="landscape"/>
      <w:pgMar w:top="1418" w:right="720" w:bottom="567" w:left="720" w:header="283" w:footer="36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62B8" w:rsidRDefault="00DD62B8" w:rsidP="00195984">
      <w:r>
        <w:separator/>
      </w:r>
    </w:p>
  </w:endnote>
  <w:endnote w:type="continuationSeparator" w:id="0">
    <w:p w:rsidR="00DD62B8" w:rsidRDefault="00DD62B8" w:rsidP="001959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Default="00DD62B8" w:rsidP="00CC25A1"/>
  <w:p w:rsidR="00DD62B8" w:rsidRPr="00F703A9" w:rsidRDefault="0047423A" w:rsidP="00CC25A1">
    <w:pPr>
      <w:pStyle w:val="Header"/>
      <w:tabs>
        <w:tab w:val="left" w:pos="7655"/>
      </w:tabs>
      <w:spacing w:before="60"/>
      <w:jc w:val="center"/>
      <w:rPr>
        <w:sz w:val="20"/>
      </w:rPr>
    </w:pPr>
    <w:sdt>
      <w:sdtPr>
        <w:rPr>
          <w:sz w:val="20"/>
        </w:rPr>
        <w:id w:val="-1590461365"/>
        <w:docPartObj>
          <w:docPartGallery w:val="Page Numbers (Bottom of Page)"/>
          <w:docPartUnique/>
        </w:docPartObj>
      </w:sdtPr>
      <w:sdtEndPr/>
      <w:sdtContent>
        <w:sdt>
          <w:sdtPr>
            <w:rPr>
              <w:sz w:val="20"/>
            </w:rPr>
            <w:id w:val="-1470814050"/>
            <w:docPartObj>
              <w:docPartGallery w:val="Page Numbers (Top of Page)"/>
              <w:docPartUnique/>
            </w:docPartObj>
          </w:sdtPr>
          <w:sdtEndPr/>
          <w:sdtContent>
            <w:r w:rsidR="00DD62B8" w:rsidRPr="00F703A9">
              <w:rPr>
                <w:sz w:val="20"/>
              </w:rPr>
              <w:t xml:space="preserve">Page </w:t>
            </w:r>
            <w:r w:rsidR="00DD62B8" w:rsidRPr="00F703A9">
              <w:rPr>
                <w:b/>
                <w:bCs/>
                <w:sz w:val="20"/>
              </w:rPr>
              <w:fldChar w:fldCharType="begin"/>
            </w:r>
            <w:r w:rsidR="00DD62B8" w:rsidRPr="00F703A9">
              <w:rPr>
                <w:b/>
                <w:bCs/>
                <w:sz w:val="20"/>
              </w:rPr>
              <w:instrText xml:space="preserve"> PAGE </w:instrText>
            </w:r>
            <w:r w:rsidR="00DD62B8" w:rsidRPr="00F703A9">
              <w:rPr>
                <w:b/>
                <w:bCs/>
                <w:sz w:val="20"/>
              </w:rPr>
              <w:fldChar w:fldCharType="separate"/>
            </w:r>
            <w:r>
              <w:rPr>
                <w:b/>
                <w:bCs/>
                <w:noProof/>
                <w:sz w:val="20"/>
              </w:rPr>
              <w:t>1</w:t>
            </w:r>
            <w:r w:rsidR="00DD62B8" w:rsidRPr="00F703A9">
              <w:rPr>
                <w:b/>
                <w:bCs/>
                <w:sz w:val="20"/>
              </w:rPr>
              <w:fldChar w:fldCharType="end"/>
            </w:r>
            <w:r w:rsidR="00DD62B8" w:rsidRPr="00F703A9">
              <w:rPr>
                <w:sz w:val="20"/>
              </w:rPr>
              <w:t xml:space="preserve"> of </w:t>
            </w:r>
            <w:r w:rsidR="00DD62B8" w:rsidRPr="00F703A9">
              <w:rPr>
                <w:b/>
                <w:bCs/>
                <w:sz w:val="20"/>
              </w:rPr>
              <w:fldChar w:fldCharType="begin"/>
            </w:r>
            <w:r w:rsidR="00DD62B8" w:rsidRPr="00F703A9">
              <w:rPr>
                <w:b/>
                <w:bCs/>
                <w:sz w:val="20"/>
              </w:rPr>
              <w:instrText xml:space="preserve"> NUMPAGES  </w:instrText>
            </w:r>
            <w:r w:rsidR="00DD62B8" w:rsidRPr="00F703A9">
              <w:rPr>
                <w:b/>
                <w:bCs/>
                <w:sz w:val="20"/>
              </w:rPr>
              <w:fldChar w:fldCharType="separate"/>
            </w:r>
            <w:r>
              <w:rPr>
                <w:b/>
                <w:bCs/>
                <w:noProof/>
                <w:sz w:val="20"/>
              </w:rPr>
              <w:t>3</w:t>
            </w:r>
            <w:r w:rsidR="00DD62B8" w:rsidRPr="00F703A9">
              <w:rPr>
                <w:b/>
                <w:bCs/>
                <w:sz w:val="20"/>
              </w:rPr>
              <w:fldChar w:fldCharType="end"/>
            </w:r>
          </w:sdtContent>
        </w:sdt>
      </w:sdtContent>
    </w:sdt>
  </w:p>
  <w:p w:rsidR="00DD62B8" w:rsidRPr="00F5087D" w:rsidRDefault="00DD62B8" w:rsidP="00BD2E78">
    <w:pPr>
      <w:pStyle w:val="Header"/>
      <w:tabs>
        <w:tab w:val="left" w:pos="7655"/>
      </w:tabs>
      <w:rPr>
        <w:rFonts w:cs="Arial"/>
        <w:sz w:val="16"/>
        <w:szCs w:val="16"/>
      </w:rPr>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F703A9" w:rsidRDefault="0047423A" w:rsidP="00A63860">
    <w:pPr>
      <w:pStyle w:val="Header"/>
      <w:tabs>
        <w:tab w:val="left" w:pos="7655"/>
      </w:tabs>
      <w:spacing w:before="60"/>
      <w:jc w:val="center"/>
      <w:rPr>
        <w:sz w:val="20"/>
      </w:rPr>
    </w:pPr>
    <w:sdt>
      <w:sdtPr>
        <w:rPr>
          <w:sz w:val="20"/>
        </w:rPr>
        <w:id w:val="912361646"/>
        <w:docPartObj>
          <w:docPartGallery w:val="Page Numbers (Bottom of Page)"/>
          <w:docPartUnique/>
        </w:docPartObj>
      </w:sdtPr>
      <w:sdtEndPr/>
      <w:sdtContent>
        <w:sdt>
          <w:sdtPr>
            <w:rPr>
              <w:sz w:val="20"/>
            </w:rPr>
            <w:id w:val="-789595937"/>
            <w:docPartObj>
              <w:docPartGallery w:val="Page Numbers (Top of Page)"/>
              <w:docPartUnique/>
            </w:docPartObj>
          </w:sdtPr>
          <w:sdtEndPr/>
          <w:sdtContent>
            <w:r w:rsidR="00DD62B8" w:rsidRPr="00F703A9">
              <w:rPr>
                <w:sz w:val="20"/>
              </w:rPr>
              <w:t xml:space="preserve">Page </w:t>
            </w:r>
            <w:r w:rsidR="00DD62B8" w:rsidRPr="00F703A9">
              <w:rPr>
                <w:b/>
                <w:bCs/>
                <w:sz w:val="20"/>
              </w:rPr>
              <w:fldChar w:fldCharType="begin"/>
            </w:r>
            <w:r w:rsidR="00DD62B8" w:rsidRPr="00F703A9">
              <w:rPr>
                <w:b/>
                <w:bCs/>
                <w:sz w:val="20"/>
              </w:rPr>
              <w:instrText xml:space="preserve"> PAGE </w:instrText>
            </w:r>
            <w:r w:rsidR="00DD62B8" w:rsidRPr="00F703A9">
              <w:rPr>
                <w:b/>
                <w:bCs/>
                <w:sz w:val="20"/>
              </w:rPr>
              <w:fldChar w:fldCharType="separate"/>
            </w:r>
            <w:r w:rsidR="00DD62B8">
              <w:rPr>
                <w:b/>
                <w:bCs/>
                <w:noProof/>
                <w:sz w:val="20"/>
              </w:rPr>
              <w:t>17</w:t>
            </w:r>
            <w:r w:rsidR="00DD62B8" w:rsidRPr="00F703A9">
              <w:rPr>
                <w:b/>
                <w:bCs/>
                <w:sz w:val="20"/>
              </w:rPr>
              <w:fldChar w:fldCharType="end"/>
            </w:r>
            <w:r w:rsidR="00DD62B8" w:rsidRPr="00F703A9">
              <w:rPr>
                <w:sz w:val="20"/>
              </w:rPr>
              <w:t xml:space="preserve"> of </w:t>
            </w:r>
            <w:r w:rsidR="00DD62B8" w:rsidRPr="00F703A9">
              <w:rPr>
                <w:b/>
                <w:bCs/>
                <w:sz w:val="20"/>
              </w:rPr>
              <w:fldChar w:fldCharType="begin"/>
            </w:r>
            <w:r w:rsidR="00DD62B8" w:rsidRPr="00F703A9">
              <w:rPr>
                <w:b/>
                <w:bCs/>
                <w:sz w:val="20"/>
              </w:rPr>
              <w:instrText xml:space="preserve"> NUMPAGES  </w:instrText>
            </w:r>
            <w:r w:rsidR="00DD62B8" w:rsidRPr="00F703A9">
              <w:rPr>
                <w:b/>
                <w:bCs/>
                <w:sz w:val="20"/>
              </w:rPr>
              <w:fldChar w:fldCharType="separate"/>
            </w:r>
            <w:r w:rsidR="00DD62B8">
              <w:rPr>
                <w:b/>
                <w:bCs/>
                <w:noProof/>
                <w:sz w:val="20"/>
              </w:rPr>
              <w:t>22</w:t>
            </w:r>
            <w:r w:rsidR="00DD62B8" w:rsidRPr="00F703A9">
              <w:rPr>
                <w:b/>
                <w:bCs/>
                <w:sz w:val="20"/>
              </w:rPr>
              <w:fldChar w:fldCharType="end"/>
            </w:r>
          </w:sdtContent>
        </w:sdt>
      </w:sdtContent>
    </w:sdt>
  </w:p>
  <w:p w:rsidR="00DD62B8" w:rsidRDefault="00DD62B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F703A9" w:rsidRDefault="0047423A" w:rsidP="00F703A9">
    <w:pPr>
      <w:pStyle w:val="Header"/>
      <w:tabs>
        <w:tab w:val="left" w:pos="7655"/>
      </w:tabs>
      <w:spacing w:before="60"/>
      <w:jc w:val="center"/>
      <w:rPr>
        <w:sz w:val="20"/>
      </w:rPr>
    </w:pPr>
    <w:sdt>
      <w:sdtPr>
        <w:rPr>
          <w:sz w:val="20"/>
        </w:rPr>
        <w:id w:val="-1867595687"/>
        <w:docPartObj>
          <w:docPartGallery w:val="Page Numbers (Bottom of Page)"/>
          <w:docPartUnique/>
        </w:docPartObj>
      </w:sdtPr>
      <w:sdtEndPr/>
      <w:sdtContent>
        <w:sdt>
          <w:sdtPr>
            <w:rPr>
              <w:sz w:val="20"/>
            </w:rPr>
            <w:id w:val="-2109568246"/>
            <w:docPartObj>
              <w:docPartGallery w:val="Page Numbers (Top of Page)"/>
              <w:docPartUnique/>
            </w:docPartObj>
          </w:sdtPr>
          <w:sdtEndPr/>
          <w:sdtContent>
            <w:r w:rsidR="00DD62B8" w:rsidRPr="00F703A9">
              <w:rPr>
                <w:sz w:val="20"/>
              </w:rPr>
              <w:t xml:space="preserve">Page </w:t>
            </w:r>
            <w:r w:rsidR="00DD62B8" w:rsidRPr="00F703A9">
              <w:rPr>
                <w:b/>
                <w:bCs/>
                <w:sz w:val="20"/>
              </w:rPr>
              <w:fldChar w:fldCharType="begin"/>
            </w:r>
            <w:r w:rsidR="00DD62B8" w:rsidRPr="00F703A9">
              <w:rPr>
                <w:b/>
                <w:bCs/>
                <w:sz w:val="20"/>
              </w:rPr>
              <w:instrText xml:space="preserve"> PAGE </w:instrText>
            </w:r>
            <w:r w:rsidR="00DD62B8" w:rsidRPr="00F703A9">
              <w:rPr>
                <w:b/>
                <w:bCs/>
                <w:sz w:val="20"/>
              </w:rPr>
              <w:fldChar w:fldCharType="separate"/>
            </w:r>
            <w:r w:rsidR="00F65815">
              <w:rPr>
                <w:b/>
                <w:bCs/>
                <w:noProof/>
                <w:sz w:val="20"/>
              </w:rPr>
              <w:t>24</w:t>
            </w:r>
            <w:r w:rsidR="00DD62B8" w:rsidRPr="00F703A9">
              <w:rPr>
                <w:b/>
                <w:bCs/>
                <w:sz w:val="20"/>
              </w:rPr>
              <w:fldChar w:fldCharType="end"/>
            </w:r>
            <w:r w:rsidR="00DD62B8" w:rsidRPr="00F703A9">
              <w:rPr>
                <w:sz w:val="20"/>
              </w:rPr>
              <w:t xml:space="preserve"> of </w:t>
            </w:r>
            <w:r w:rsidR="00DD62B8" w:rsidRPr="00F703A9">
              <w:rPr>
                <w:b/>
                <w:bCs/>
                <w:sz w:val="20"/>
              </w:rPr>
              <w:fldChar w:fldCharType="begin"/>
            </w:r>
            <w:r w:rsidR="00DD62B8" w:rsidRPr="00F703A9">
              <w:rPr>
                <w:b/>
                <w:bCs/>
                <w:sz w:val="20"/>
              </w:rPr>
              <w:instrText xml:space="preserve"> NUMPAGES  </w:instrText>
            </w:r>
            <w:r w:rsidR="00DD62B8" w:rsidRPr="00F703A9">
              <w:rPr>
                <w:b/>
                <w:bCs/>
                <w:sz w:val="20"/>
              </w:rPr>
              <w:fldChar w:fldCharType="separate"/>
            </w:r>
            <w:r w:rsidR="00F65815">
              <w:rPr>
                <w:b/>
                <w:bCs/>
                <w:noProof/>
                <w:sz w:val="20"/>
              </w:rPr>
              <w:t>24</w:t>
            </w:r>
            <w:r w:rsidR="00DD62B8" w:rsidRPr="00F703A9">
              <w:rPr>
                <w:b/>
                <w:bCs/>
                <w:sz w:val="20"/>
              </w:rPr>
              <w:fldChar w:fldCharType="end"/>
            </w:r>
          </w:sdtContent>
        </w:sdt>
      </w:sdtContent>
    </w:sdt>
  </w:p>
  <w:p w:rsidR="00DD62B8" w:rsidRPr="00F5087D" w:rsidRDefault="00DD62B8" w:rsidP="00BD2E78">
    <w:pPr>
      <w:pStyle w:val="Header"/>
      <w:tabs>
        <w:tab w:val="left" w:pos="7655"/>
      </w:tabs>
      <w:rPr>
        <w:rFonts w:cs="Arial"/>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F703A9" w:rsidRDefault="0047423A" w:rsidP="00A63860">
    <w:pPr>
      <w:pStyle w:val="Header"/>
      <w:tabs>
        <w:tab w:val="left" w:pos="7655"/>
      </w:tabs>
      <w:spacing w:before="60"/>
      <w:jc w:val="center"/>
      <w:rPr>
        <w:sz w:val="20"/>
      </w:rPr>
    </w:pPr>
    <w:sdt>
      <w:sdtPr>
        <w:rPr>
          <w:sz w:val="20"/>
        </w:rPr>
        <w:id w:val="1965539042"/>
        <w:docPartObj>
          <w:docPartGallery w:val="Page Numbers (Bottom of Page)"/>
          <w:docPartUnique/>
        </w:docPartObj>
      </w:sdtPr>
      <w:sdtEndPr/>
      <w:sdtContent>
        <w:sdt>
          <w:sdtPr>
            <w:rPr>
              <w:sz w:val="20"/>
            </w:rPr>
            <w:id w:val="1421373658"/>
            <w:docPartObj>
              <w:docPartGallery w:val="Page Numbers (Top of Page)"/>
              <w:docPartUnique/>
            </w:docPartObj>
          </w:sdtPr>
          <w:sdtEndPr/>
          <w:sdtContent>
            <w:r w:rsidR="00DD62B8" w:rsidRPr="00F703A9">
              <w:rPr>
                <w:sz w:val="20"/>
              </w:rPr>
              <w:t xml:space="preserve">Page </w:t>
            </w:r>
            <w:r w:rsidR="00DD62B8" w:rsidRPr="00F703A9">
              <w:rPr>
                <w:b/>
                <w:bCs/>
                <w:sz w:val="20"/>
              </w:rPr>
              <w:fldChar w:fldCharType="begin"/>
            </w:r>
            <w:r w:rsidR="00DD62B8" w:rsidRPr="00F703A9">
              <w:rPr>
                <w:b/>
                <w:bCs/>
                <w:sz w:val="20"/>
              </w:rPr>
              <w:instrText xml:space="preserve"> PAGE </w:instrText>
            </w:r>
            <w:r w:rsidR="00DD62B8" w:rsidRPr="00F703A9">
              <w:rPr>
                <w:b/>
                <w:bCs/>
                <w:sz w:val="20"/>
              </w:rPr>
              <w:fldChar w:fldCharType="separate"/>
            </w:r>
            <w:r w:rsidR="00F65815">
              <w:rPr>
                <w:b/>
                <w:bCs/>
                <w:noProof/>
                <w:sz w:val="20"/>
              </w:rPr>
              <w:t>20</w:t>
            </w:r>
            <w:r w:rsidR="00DD62B8" w:rsidRPr="00F703A9">
              <w:rPr>
                <w:b/>
                <w:bCs/>
                <w:sz w:val="20"/>
              </w:rPr>
              <w:fldChar w:fldCharType="end"/>
            </w:r>
            <w:r w:rsidR="00DD62B8" w:rsidRPr="00F703A9">
              <w:rPr>
                <w:sz w:val="20"/>
              </w:rPr>
              <w:t xml:space="preserve"> of </w:t>
            </w:r>
            <w:r w:rsidR="00DD62B8" w:rsidRPr="00F703A9">
              <w:rPr>
                <w:b/>
                <w:bCs/>
                <w:sz w:val="20"/>
              </w:rPr>
              <w:fldChar w:fldCharType="begin"/>
            </w:r>
            <w:r w:rsidR="00DD62B8" w:rsidRPr="00F703A9">
              <w:rPr>
                <w:b/>
                <w:bCs/>
                <w:sz w:val="20"/>
              </w:rPr>
              <w:instrText xml:space="preserve"> NUMPAGES  </w:instrText>
            </w:r>
            <w:r w:rsidR="00DD62B8" w:rsidRPr="00F703A9">
              <w:rPr>
                <w:b/>
                <w:bCs/>
                <w:sz w:val="20"/>
              </w:rPr>
              <w:fldChar w:fldCharType="separate"/>
            </w:r>
            <w:r w:rsidR="00F65815">
              <w:rPr>
                <w:b/>
                <w:bCs/>
                <w:noProof/>
                <w:sz w:val="20"/>
              </w:rPr>
              <w:t>22</w:t>
            </w:r>
            <w:r w:rsidR="00DD62B8" w:rsidRPr="00F703A9">
              <w:rPr>
                <w:b/>
                <w:bCs/>
                <w:sz w:val="20"/>
              </w:rPr>
              <w:fldChar w:fldCharType="end"/>
            </w:r>
          </w:sdtContent>
        </w:sdt>
      </w:sdtContent>
    </w:sdt>
  </w:p>
  <w:p w:rsidR="00DD62B8" w:rsidRDefault="00DD62B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F703A9" w:rsidRDefault="0047423A" w:rsidP="00A63860">
    <w:pPr>
      <w:pStyle w:val="Header"/>
      <w:tabs>
        <w:tab w:val="left" w:pos="7655"/>
      </w:tabs>
      <w:spacing w:before="60"/>
      <w:jc w:val="center"/>
      <w:rPr>
        <w:sz w:val="20"/>
      </w:rPr>
    </w:pPr>
    <w:sdt>
      <w:sdtPr>
        <w:rPr>
          <w:sz w:val="20"/>
        </w:rPr>
        <w:id w:val="1308594300"/>
        <w:docPartObj>
          <w:docPartGallery w:val="Page Numbers (Bottom of Page)"/>
          <w:docPartUnique/>
        </w:docPartObj>
      </w:sdtPr>
      <w:sdtEndPr/>
      <w:sdtContent>
        <w:sdt>
          <w:sdtPr>
            <w:rPr>
              <w:sz w:val="20"/>
            </w:rPr>
            <w:id w:val="1026983208"/>
            <w:docPartObj>
              <w:docPartGallery w:val="Page Numbers (Top of Page)"/>
              <w:docPartUnique/>
            </w:docPartObj>
          </w:sdtPr>
          <w:sdtEndPr/>
          <w:sdtContent>
            <w:r w:rsidR="00DD62B8" w:rsidRPr="00F703A9">
              <w:rPr>
                <w:sz w:val="20"/>
              </w:rPr>
              <w:t xml:space="preserve">Page </w:t>
            </w:r>
            <w:r w:rsidR="00DD62B8" w:rsidRPr="00F703A9">
              <w:rPr>
                <w:b/>
                <w:bCs/>
                <w:sz w:val="20"/>
              </w:rPr>
              <w:fldChar w:fldCharType="begin"/>
            </w:r>
            <w:r w:rsidR="00DD62B8" w:rsidRPr="00F703A9">
              <w:rPr>
                <w:b/>
                <w:bCs/>
                <w:sz w:val="20"/>
              </w:rPr>
              <w:instrText xml:space="preserve"> PAGE </w:instrText>
            </w:r>
            <w:r w:rsidR="00DD62B8" w:rsidRPr="00F703A9">
              <w:rPr>
                <w:b/>
                <w:bCs/>
                <w:sz w:val="20"/>
              </w:rPr>
              <w:fldChar w:fldCharType="separate"/>
            </w:r>
            <w:r w:rsidR="00DD62B8">
              <w:rPr>
                <w:b/>
                <w:bCs/>
                <w:noProof/>
                <w:sz w:val="20"/>
              </w:rPr>
              <w:t>19</w:t>
            </w:r>
            <w:r w:rsidR="00DD62B8" w:rsidRPr="00F703A9">
              <w:rPr>
                <w:b/>
                <w:bCs/>
                <w:sz w:val="20"/>
              </w:rPr>
              <w:fldChar w:fldCharType="end"/>
            </w:r>
            <w:r w:rsidR="00DD62B8" w:rsidRPr="00F703A9">
              <w:rPr>
                <w:sz w:val="20"/>
              </w:rPr>
              <w:t xml:space="preserve"> of </w:t>
            </w:r>
            <w:r w:rsidR="00DD62B8" w:rsidRPr="00F703A9">
              <w:rPr>
                <w:b/>
                <w:bCs/>
                <w:sz w:val="20"/>
              </w:rPr>
              <w:fldChar w:fldCharType="begin"/>
            </w:r>
            <w:r w:rsidR="00DD62B8" w:rsidRPr="00F703A9">
              <w:rPr>
                <w:b/>
                <w:bCs/>
                <w:sz w:val="20"/>
              </w:rPr>
              <w:instrText xml:space="preserve"> NUMPAGES  </w:instrText>
            </w:r>
            <w:r w:rsidR="00DD62B8" w:rsidRPr="00F703A9">
              <w:rPr>
                <w:b/>
                <w:bCs/>
                <w:sz w:val="20"/>
              </w:rPr>
              <w:fldChar w:fldCharType="separate"/>
            </w:r>
            <w:r w:rsidR="00DD62B8">
              <w:rPr>
                <w:b/>
                <w:bCs/>
                <w:noProof/>
                <w:sz w:val="20"/>
              </w:rPr>
              <w:t>22</w:t>
            </w:r>
            <w:r w:rsidR="00DD62B8" w:rsidRPr="00F703A9">
              <w:rPr>
                <w:b/>
                <w:bCs/>
                <w:sz w:val="20"/>
              </w:rPr>
              <w:fldChar w:fldCharType="end"/>
            </w:r>
          </w:sdtContent>
        </w:sdt>
      </w:sdtContent>
    </w:sdt>
  </w:p>
  <w:p w:rsidR="00DD62B8" w:rsidRDefault="00DD62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62B8" w:rsidRDefault="00DD62B8" w:rsidP="00195984">
      <w:r>
        <w:separator/>
      </w:r>
    </w:p>
  </w:footnote>
  <w:footnote w:type="continuationSeparator" w:id="0">
    <w:p w:rsidR="00DD62B8" w:rsidRDefault="00DD62B8" w:rsidP="001959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Default="00DD62B8" w:rsidP="00E936EE">
    <w:pPr>
      <w:pStyle w:val="Header"/>
      <w:jc w:val="center"/>
    </w:pPr>
    <w:r>
      <w:rPr>
        <w:rFonts w:ascii="Segoe UI" w:hAnsi="Segoe UI" w:cs="Segoe UI"/>
        <w:noProof/>
        <w:color w:val="444444"/>
        <w:sz w:val="20"/>
        <w:lang w:eastAsia="en-GB"/>
      </w:rPr>
      <w:drawing>
        <wp:inline distT="0" distB="0" distL="0" distR="0" wp14:anchorId="2CFE8312" wp14:editId="3AF71511">
          <wp:extent cx="2703443" cy="686193"/>
          <wp:effectExtent l="0" t="0" r="1905" b="0"/>
          <wp:docPr id="67" name="Picture 6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B43256" w:rsidRDefault="00DD62B8" w:rsidP="00B43256">
    <w:pPr>
      <w:pStyle w:val="Header"/>
      <w:jc w:val="center"/>
    </w:pPr>
    <w:r>
      <w:rPr>
        <w:noProof/>
        <w:lang w:eastAsia="en-GB"/>
      </w:rPr>
      <w:drawing>
        <wp:inline distT="0" distB="0" distL="0" distR="0" wp14:anchorId="4350DEF9" wp14:editId="4A7A09FA">
          <wp:extent cx="2700655" cy="688975"/>
          <wp:effectExtent l="0" t="0" r="444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0655" cy="688975"/>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Default="00DD62B8" w:rsidP="00BB137A">
    <w:pPr>
      <w:pStyle w:val="Header"/>
      <w:jc w:val="center"/>
    </w:pPr>
    <w:r>
      <w:rPr>
        <w:rFonts w:ascii="Segoe UI" w:hAnsi="Segoe UI" w:cs="Segoe UI"/>
        <w:noProof/>
        <w:color w:val="444444"/>
        <w:sz w:val="20"/>
        <w:lang w:eastAsia="en-GB"/>
      </w:rPr>
      <w:drawing>
        <wp:inline distT="0" distB="0" distL="0" distR="0" wp14:anchorId="4FA7DDC4" wp14:editId="75F38868">
          <wp:extent cx="2703443" cy="686193"/>
          <wp:effectExtent l="0" t="0" r="1905" b="0"/>
          <wp:docPr id="80" name="Picture 80"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DD62B8" w:rsidRDefault="00DD62B8" w:rsidP="00BB137A">
    <w:pPr>
      <w:pStyle w:val="NoSpacing"/>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Default="00DD62B8" w:rsidP="00BB137A">
    <w:pPr>
      <w:pStyle w:val="Header"/>
      <w:jc w:val="center"/>
    </w:pPr>
    <w:r>
      <w:rPr>
        <w:rFonts w:ascii="Segoe UI" w:hAnsi="Segoe UI" w:cs="Segoe UI"/>
        <w:noProof/>
        <w:color w:val="444444"/>
        <w:sz w:val="20"/>
        <w:lang w:eastAsia="en-GB"/>
      </w:rPr>
      <w:drawing>
        <wp:anchor distT="0" distB="0" distL="114300" distR="114300" simplePos="0" relativeHeight="251658240" behindDoc="0" locked="0" layoutInCell="1" allowOverlap="1" wp14:anchorId="2C867C30" wp14:editId="13DF0714">
          <wp:simplePos x="0" y="0"/>
          <wp:positionH relativeFrom="margin">
            <wp:align>right</wp:align>
          </wp:positionH>
          <wp:positionV relativeFrom="paragraph">
            <wp:posOffset>-8255</wp:posOffset>
          </wp:positionV>
          <wp:extent cx="2703443" cy="686193"/>
          <wp:effectExtent l="0" t="0" r="1905" b="0"/>
          <wp:wrapNone/>
          <wp:docPr id="86" name="Picture 86"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03443" cy="68619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D62B8" w:rsidRPr="00A63860" w:rsidRDefault="00DD62B8" w:rsidP="00A63860">
    <w:pPr>
      <w:spacing w:before="120" w:line="257" w:lineRule="auto"/>
      <w:rPr>
        <w:rFonts w:ascii="Tahoma" w:eastAsia="Calibri" w:hAnsi="Tahoma" w:cs="Tahoma"/>
        <w:b/>
        <w:sz w:val="22"/>
        <w:szCs w:val="22"/>
        <w:lang w:eastAsia="en-US"/>
      </w:rPr>
    </w:pPr>
    <w:r>
      <w:rPr>
        <w:rFonts w:ascii="Tahoma" w:eastAsia="Calibri" w:hAnsi="Tahoma" w:cs="Tahoma"/>
        <w:b/>
        <w:sz w:val="22"/>
        <w:szCs w:val="22"/>
        <w:lang w:eastAsia="en-US"/>
      </w:rPr>
      <w:t>A</w:t>
    </w:r>
    <w:r w:rsidRPr="00A63860">
      <w:rPr>
        <w:rFonts w:ascii="Tahoma" w:eastAsia="Calibri" w:hAnsi="Tahoma" w:cs="Tahoma"/>
        <w:b/>
        <w:sz w:val="22"/>
        <w:szCs w:val="22"/>
        <w:lang w:eastAsia="en-US"/>
      </w:rPr>
      <w:t>ppendix 1</w:t>
    </w:r>
    <w:r>
      <w:rPr>
        <w:rFonts w:ascii="Tahoma" w:eastAsia="Calibri" w:hAnsi="Tahoma" w:cs="Tahoma"/>
        <w:b/>
        <w:sz w:val="22"/>
        <w:szCs w:val="22"/>
        <w:lang w:eastAsia="en-US"/>
      </w:rPr>
      <w:t xml:space="preserve">: </w:t>
    </w:r>
    <w:r w:rsidRPr="00A63860">
      <w:rPr>
        <w:rFonts w:ascii="Tahoma" w:eastAsia="Calibri" w:hAnsi="Tahoma" w:cs="Tahoma"/>
        <w:b/>
        <w:sz w:val="22"/>
        <w:szCs w:val="22"/>
        <w:lang w:eastAsia="en-US"/>
      </w:rPr>
      <w:t>NPSA Grading Framew</w:t>
    </w:r>
    <w:r>
      <w:rPr>
        <w:rFonts w:ascii="Tahoma" w:eastAsia="Calibri" w:hAnsi="Tahoma" w:cs="Tahoma"/>
        <w:b/>
        <w:sz w:val="22"/>
        <w:szCs w:val="22"/>
        <w:lang w:eastAsia="en-US"/>
      </w:rPr>
      <w:t>ork for Complexity of Complaint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Default="00DD62B8" w:rsidP="000300A2">
    <w:pPr>
      <w:pStyle w:val="Header"/>
    </w:pPr>
    <w:r w:rsidRPr="000300A2">
      <w:rPr>
        <w:b/>
        <w:noProof/>
        <w:lang w:eastAsia="en-GB"/>
      </w:rPr>
      <w:drawing>
        <wp:anchor distT="0" distB="0" distL="114300" distR="114300" simplePos="0" relativeHeight="251661312" behindDoc="0" locked="0" layoutInCell="1" allowOverlap="1">
          <wp:simplePos x="0" y="0"/>
          <wp:positionH relativeFrom="margin">
            <wp:posOffset>6438900</wp:posOffset>
          </wp:positionH>
          <wp:positionV relativeFrom="paragraph">
            <wp:posOffset>5080</wp:posOffset>
          </wp:positionV>
          <wp:extent cx="2700655" cy="688975"/>
          <wp:effectExtent l="0" t="0" r="4445"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0655" cy="688975"/>
                  </a:xfrm>
                  <a:prstGeom prst="rect">
                    <a:avLst/>
                  </a:prstGeom>
                  <a:noFill/>
                </pic:spPr>
              </pic:pic>
            </a:graphicData>
          </a:graphic>
          <wp14:sizeRelH relativeFrom="page">
            <wp14:pctWidth>0</wp14:pctWidth>
          </wp14:sizeRelH>
          <wp14:sizeRelV relativeFrom="page">
            <wp14:pctHeight>0</wp14:pctHeight>
          </wp14:sizeRelV>
        </wp:anchor>
      </w:drawing>
    </w:r>
  </w:p>
  <w:p w:rsidR="00DD62B8" w:rsidRPr="000300A2" w:rsidRDefault="00DD62B8" w:rsidP="000300A2">
    <w:pPr>
      <w:pStyle w:val="Header"/>
      <w:rPr>
        <w:b/>
      </w:rPr>
    </w:pPr>
    <w:r w:rsidRPr="000300A2">
      <w:rPr>
        <w:b/>
      </w:rPr>
      <w:t xml:space="preserve">Appendix </w:t>
    </w:r>
    <w:r>
      <w:rPr>
        <w:b/>
      </w:rPr>
      <w:t>2</w:t>
    </w:r>
    <w:r w:rsidRPr="000300A2">
      <w:rPr>
        <w:b/>
      </w:rPr>
      <w:t xml:space="preserve">: </w:t>
    </w:r>
    <w:r>
      <w:rPr>
        <w:b/>
      </w:rPr>
      <w:t>Patient Experience</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62B8" w:rsidRPr="00B07403" w:rsidRDefault="00DD62B8" w:rsidP="00B07403">
    <w:pPr>
      <w:spacing w:before="240" w:line="257" w:lineRule="auto"/>
      <w:rPr>
        <w:rFonts w:ascii="Tahoma" w:eastAsia="Calibri" w:hAnsi="Tahoma" w:cs="Tahoma"/>
        <w:b/>
        <w:sz w:val="22"/>
        <w:szCs w:val="22"/>
        <w:lang w:eastAsia="en-US"/>
      </w:rPr>
    </w:pPr>
    <w:r w:rsidRPr="00B07403">
      <w:rPr>
        <w:rFonts w:ascii="Tahoma" w:eastAsia="Calibri" w:hAnsi="Tahoma" w:cs="Tahoma"/>
        <w:b/>
        <w:sz w:val="22"/>
        <w:szCs w:val="22"/>
        <w:lang w:eastAsia="en-US"/>
      </w:rPr>
      <w:t>Appendix 2</w:t>
    </w:r>
    <w:r>
      <w:rPr>
        <w:rFonts w:ascii="Tahoma" w:eastAsia="Calibri" w:hAnsi="Tahoma" w:cs="Tahoma"/>
        <w:b/>
        <w:sz w:val="22"/>
        <w:szCs w:val="22"/>
        <w:lang w:eastAsia="en-US"/>
      </w:rPr>
      <w:t>:</w:t>
    </w:r>
    <w:r w:rsidRPr="00B07403">
      <w:rPr>
        <w:rFonts w:ascii="Tahoma" w:eastAsia="Calibri" w:hAnsi="Tahoma" w:cs="Tahoma"/>
        <w:b/>
        <w:sz w:val="22"/>
        <w:szCs w:val="22"/>
        <w:lang w:eastAsia="en-US"/>
      </w:rPr>
      <w:t xml:space="preserve"> Patient Experience feedback</w:t>
    </w:r>
    <w:r>
      <w:rPr>
        <w:rFonts w:ascii="Segoe UI" w:hAnsi="Segoe UI" w:cs="Segoe UI"/>
        <w:noProof/>
        <w:color w:val="444444"/>
        <w:sz w:val="20"/>
      </w:rPr>
      <w:drawing>
        <wp:anchor distT="0" distB="0" distL="114300" distR="114300" simplePos="0" relativeHeight="251660288" behindDoc="0" locked="0" layoutInCell="1" allowOverlap="1" wp14:anchorId="5B5A7A20" wp14:editId="63034CDD">
          <wp:simplePos x="0" y="0"/>
          <wp:positionH relativeFrom="margin">
            <wp:align>right</wp:align>
          </wp:positionH>
          <wp:positionV relativeFrom="paragraph">
            <wp:posOffset>-55880</wp:posOffset>
          </wp:positionV>
          <wp:extent cx="2703443" cy="686193"/>
          <wp:effectExtent l="0" t="0" r="1905" b="0"/>
          <wp:wrapNone/>
          <wp:docPr id="44" name="Picture 44"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03443" cy="68619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D62B8" w:rsidRDefault="00DD62B8" w:rsidP="00BB137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1E739D"/>
    <w:multiLevelType w:val="hybridMultilevel"/>
    <w:tmpl w:val="8B12D948"/>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720"/>
        </w:tabs>
        <w:ind w:left="720" w:hanging="360"/>
      </w:pPr>
    </w:lvl>
    <w:lvl w:ilvl="2" w:tplc="0809001B">
      <w:start w:val="1"/>
      <w:numFmt w:val="lowerRoman"/>
      <w:lvlText w:val="%3."/>
      <w:lvlJc w:val="right"/>
      <w:pPr>
        <w:tabs>
          <w:tab w:val="num" w:pos="1440"/>
        </w:tabs>
        <w:ind w:left="1440" w:hanging="180"/>
      </w:pPr>
    </w:lvl>
    <w:lvl w:ilvl="3" w:tplc="0809000F">
      <w:start w:val="1"/>
      <w:numFmt w:val="decimal"/>
      <w:lvlText w:val="%4."/>
      <w:lvlJc w:val="left"/>
      <w:pPr>
        <w:tabs>
          <w:tab w:val="num" w:pos="2160"/>
        </w:tabs>
        <w:ind w:left="2160" w:hanging="360"/>
      </w:pPr>
    </w:lvl>
    <w:lvl w:ilvl="4" w:tplc="08090019">
      <w:start w:val="1"/>
      <w:numFmt w:val="lowerLetter"/>
      <w:lvlText w:val="%5."/>
      <w:lvlJc w:val="left"/>
      <w:pPr>
        <w:tabs>
          <w:tab w:val="num" w:pos="2880"/>
        </w:tabs>
        <w:ind w:left="2880" w:hanging="360"/>
      </w:pPr>
    </w:lvl>
    <w:lvl w:ilvl="5" w:tplc="0809001B">
      <w:start w:val="1"/>
      <w:numFmt w:val="lowerRoman"/>
      <w:lvlText w:val="%6."/>
      <w:lvlJc w:val="right"/>
      <w:pPr>
        <w:tabs>
          <w:tab w:val="num" w:pos="3600"/>
        </w:tabs>
        <w:ind w:left="3600" w:hanging="180"/>
      </w:pPr>
    </w:lvl>
    <w:lvl w:ilvl="6" w:tplc="0809000F">
      <w:start w:val="1"/>
      <w:numFmt w:val="decimal"/>
      <w:lvlText w:val="%7."/>
      <w:lvlJc w:val="left"/>
      <w:pPr>
        <w:tabs>
          <w:tab w:val="num" w:pos="4320"/>
        </w:tabs>
        <w:ind w:left="4320" w:hanging="360"/>
      </w:pPr>
    </w:lvl>
    <w:lvl w:ilvl="7" w:tplc="08090019">
      <w:start w:val="1"/>
      <w:numFmt w:val="lowerLetter"/>
      <w:lvlText w:val="%8."/>
      <w:lvlJc w:val="left"/>
      <w:pPr>
        <w:tabs>
          <w:tab w:val="num" w:pos="5040"/>
        </w:tabs>
        <w:ind w:left="5040" w:hanging="360"/>
      </w:pPr>
    </w:lvl>
    <w:lvl w:ilvl="8" w:tplc="0809001B">
      <w:start w:val="1"/>
      <w:numFmt w:val="lowerRoman"/>
      <w:lvlText w:val="%9."/>
      <w:lvlJc w:val="right"/>
      <w:pPr>
        <w:tabs>
          <w:tab w:val="num" w:pos="5760"/>
        </w:tabs>
        <w:ind w:left="5760" w:hanging="180"/>
      </w:pPr>
    </w:lvl>
  </w:abstractNum>
  <w:abstractNum w:abstractNumId="1" w15:restartNumberingAfterBreak="0">
    <w:nsid w:val="168232A2"/>
    <w:multiLevelType w:val="hybridMultilevel"/>
    <w:tmpl w:val="53F8C48C"/>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 w15:restartNumberingAfterBreak="0">
    <w:nsid w:val="1E41559D"/>
    <w:multiLevelType w:val="hybridMultilevel"/>
    <w:tmpl w:val="64DCB2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1D2808"/>
    <w:multiLevelType w:val="hybridMultilevel"/>
    <w:tmpl w:val="218A1678"/>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4" w15:restartNumberingAfterBreak="0">
    <w:nsid w:val="29A15174"/>
    <w:multiLevelType w:val="hybridMultilevel"/>
    <w:tmpl w:val="2A1E4EE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B872823"/>
    <w:multiLevelType w:val="hybridMultilevel"/>
    <w:tmpl w:val="EEB2C7B2"/>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6"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4880552"/>
    <w:multiLevelType w:val="hybridMultilevel"/>
    <w:tmpl w:val="A530AD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B1962B5"/>
    <w:multiLevelType w:val="multilevel"/>
    <w:tmpl w:val="72549594"/>
    <w:lvl w:ilvl="0">
      <w:start w:val="1"/>
      <w:numFmt w:val="decimal"/>
      <w:lvlText w:val="%1."/>
      <w:lvlJc w:val="left"/>
      <w:pPr>
        <w:ind w:left="720" w:hanging="720"/>
      </w:pPr>
      <w:rPr>
        <w:rFonts w:ascii="Calibri" w:hAnsi="Calibri" w:hint="default"/>
        <w:b/>
        <w:i w:val="0"/>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52030A6D"/>
    <w:multiLevelType w:val="hybridMultilevel"/>
    <w:tmpl w:val="4C3E4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1B61AB"/>
    <w:multiLevelType w:val="hybridMultilevel"/>
    <w:tmpl w:val="4B568176"/>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11" w15:restartNumberingAfterBreak="0">
    <w:nsid w:val="57312996"/>
    <w:multiLevelType w:val="hybridMultilevel"/>
    <w:tmpl w:val="59B62A0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592D5CD0"/>
    <w:multiLevelType w:val="hybridMultilevel"/>
    <w:tmpl w:val="D97AA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0A12F3"/>
    <w:multiLevelType w:val="hybridMultilevel"/>
    <w:tmpl w:val="5B30C59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4" w15:restartNumberingAfterBreak="0">
    <w:nsid w:val="61303A35"/>
    <w:multiLevelType w:val="hybridMultilevel"/>
    <w:tmpl w:val="A1DC1BEA"/>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15" w15:restartNumberingAfterBreak="0">
    <w:nsid w:val="6B8B03C1"/>
    <w:multiLevelType w:val="hybridMultilevel"/>
    <w:tmpl w:val="EB9C86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3C1CE7"/>
    <w:multiLevelType w:val="hybridMultilevel"/>
    <w:tmpl w:val="0F72D12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6"/>
  </w:num>
  <w:num w:numId="3">
    <w:abstractNumId w:val="2"/>
  </w:num>
  <w:num w:numId="4">
    <w:abstractNumId w:val="4"/>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num>
  <w:num w:numId="14">
    <w:abstractNumId w:val="13"/>
  </w:num>
  <w:num w:numId="15">
    <w:abstractNumId w:val="12"/>
  </w:num>
  <w:num w:numId="16">
    <w:abstractNumId w:val="9"/>
  </w:num>
  <w:num w:numId="17">
    <w:abstractNumId w:val="15"/>
  </w:num>
  <w:num w:numId="18">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271"/>
    <w:rsid w:val="000019E8"/>
    <w:rsid w:val="00002042"/>
    <w:rsid w:val="0000256B"/>
    <w:rsid w:val="0000282F"/>
    <w:rsid w:val="00003C99"/>
    <w:rsid w:val="00004739"/>
    <w:rsid w:val="0001268A"/>
    <w:rsid w:val="00017D29"/>
    <w:rsid w:val="00020FB2"/>
    <w:rsid w:val="00021325"/>
    <w:rsid w:val="000300A2"/>
    <w:rsid w:val="00042AD6"/>
    <w:rsid w:val="00044A0F"/>
    <w:rsid w:val="0004681B"/>
    <w:rsid w:val="00046A59"/>
    <w:rsid w:val="00046F9A"/>
    <w:rsid w:val="00050DAD"/>
    <w:rsid w:val="000515D3"/>
    <w:rsid w:val="00052BB7"/>
    <w:rsid w:val="0005460E"/>
    <w:rsid w:val="00055AD5"/>
    <w:rsid w:val="0006091B"/>
    <w:rsid w:val="0006095B"/>
    <w:rsid w:val="00062F30"/>
    <w:rsid w:val="00065B59"/>
    <w:rsid w:val="000666C4"/>
    <w:rsid w:val="00071528"/>
    <w:rsid w:val="00077ABF"/>
    <w:rsid w:val="00082B73"/>
    <w:rsid w:val="00097451"/>
    <w:rsid w:val="000A00E1"/>
    <w:rsid w:val="000A22E8"/>
    <w:rsid w:val="000A3940"/>
    <w:rsid w:val="000A4EC8"/>
    <w:rsid w:val="000A6BA8"/>
    <w:rsid w:val="000A7DA8"/>
    <w:rsid w:val="000B3709"/>
    <w:rsid w:val="000C1004"/>
    <w:rsid w:val="000C2DB3"/>
    <w:rsid w:val="000C4456"/>
    <w:rsid w:val="000C7F26"/>
    <w:rsid w:val="000D22DC"/>
    <w:rsid w:val="000D44DE"/>
    <w:rsid w:val="000D4E08"/>
    <w:rsid w:val="000D7BF1"/>
    <w:rsid w:val="000E24C6"/>
    <w:rsid w:val="000E6C0C"/>
    <w:rsid w:val="000E6D94"/>
    <w:rsid w:val="000F349C"/>
    <w:rsid w:val="000F37A8"/>
    <w:rsid w:val="000F6CB1"/>
    <w:rsid w:val="0010080B"/>
    <w:rsid w:val="001016F2"/>
    <w:rsid w:val="00101801"/>
    <w:rsid w:val="00103271"/>
    <w:rsid w:val="0010545B"/>
    <w:rsid w:val="00106B16"/>
    <w:rsid w:val="00110918"/>
    <w:rsid w:val="001129F8"/>
    <w:rsid w:val="00114E6B"/>
    <w:rsid w:val="0012470A"/>
    <w:rsid w:val="00126E4D"/>
    <w:rsid w:val="00131F6A"/>
    <w:rsid w:val="00140D64"/>
    <w:rsid w:val="0014224E"/>
    <w:rsid w:val="001423AB"/>
    <w:rsid w:val="00143071"/>
    <w:rsid w:val="00150A39"/>
    <w:rsid w:val="001532EF"/>
    <w:rsid w:val="00154009"/>
    <w:rsid w:val="00154413"/>
    <w:rsid w:val="00155492"/>
    <w:rsid w:val="00162DA4"/>
    <w:rsid w:val="00163694"/>
    <w:rsid w:val="00164B41"/>
    <w:rsid w:val="001667AB"/>
    <w:rsid w:val="001746EB"/>
    <w:rsid w:val="001855C1"/>
    <w:rsid w:val="00185AD6"/>
    <w:rsid w:val="00190406"/>
    <w:rsid w:val="00195984"/>
    <w:rsid w:val="001A2400"/>
    <w:rsid w:val="001A5B30"/>
    <w:rsid w:val="001B335F"/>
    <w:rsid w:val="001B375E"/>
    <w:rsid w:val="001B4189"/>
    <w:rsid w:val="001B49CD"/>
    <w:rsid w:val="001C19EC"/>
    <w:rsid w:val="001C6CC0"/>
    <w:rsid w:val="001D0E98"/>
    <w:rsid w:val="001E16A3"/>
    <w:rsid w:val="001E568B"/>
    <w:rsid w:val="001E5E38"/>
    <w:rsid w:val="001F767E"/>
    <w:rsid w:val="00201DA8"/>
    <w:rsid w:val="002055B6"/>
    <w:rsid w:val="002067E1"/>
    <w:rsid w:val="00214A75"/>
    <w:rsid w:val="00216977"/>
    <w:rsid w:val="00217AE6"/>
    <w:rsid w:val="00220F12"/>
    <w:rsid w:val="002257AA"/>
    <w:rsid w:val="00232B39"/>
    <w:rsid w:val="002332F9"/>
    <w:rsid w:val="0023778D"/>
    <w:rsid w:val="00240A06"/>
    <w:rsid w:val="0024204D"/>
    <w:rsid w:val="002444F9"/>
    <w:rsid w:val="00245FBA"/>
    <w:rsid w:val="00247B4C"/>
    <w:rsid w:val="00264A3B"/>
    <w:rsid w:val="00264E5A"/>
    <w:rsid w:val="00265C61"/>
    <w:rsid w:val="002672EF"/>
    <w:rsid w:val="00275AB3"/>
    <w:rsid w:val="00277231"/>
    <w:rsid w:val="00286CF0"/>
    <w:rsid w:val="00290AB2"/>
    <w:rsid w:val="00291C91"/>
    <w:rsid w:val="002937C1"/>
    <w:rsid w:val="00294C22"/>
    <w:rsid w:val="00297316"/>
    <w:rsid w:val="00297F97"/>
    <w:rsid w:val="002A0C72"/>
    <w:rsid w:val="002A1A88"/>
    <w:rsid w:val="002A2D3A"/>
    <w:rsid w:val="002A3AFC"/>
    <w:rsid w:val="002B0C0F"/>
    <w:rsid w:val="002B1DC4"/>
    <w:rsid w:val="002B3AC7"/>
    <w:rsid w:val="002B4764"/>
    <w:rsid w:val="002B5810"/>
    <w:rsid w:val="002B7866"/>
    <w:rsid w:val="002C2484"/>
    <w:rsid w:val="002C390B"/>
    <w:rsid w:val="002C4817"/>
    <w:rsid w:val="002C6102"/>
    <w:rsid w:val="002D0B2A"/>
    <w:rsid w:val="002D6C62"/>
    <w:rsid w:val="002D7B06"/>
    <w:rsid w:val="002E0512"/>
    <w:rsid w:val="002E2C39"/>
    <w:rsid w:val="002E31D2"/>
    <w:rsid w:val="002E78E6"/>
    <w:rsid w:val="002F23B3"/>
    <w:rsid w:val="002F481B"/>
    <w:rsid w:val="002F5D21"/>
    <w:rsid w:val="002F74EC"/>
    <w:rsid w:val="0030024A"/>
    <w:rsid w:val="00302101"/>
    <w:rsid w:val="003045A1"/>
    <w:rsid w:val="00306145"/>
    <w:rsid w:val="003073B1"/>
    <w:rsid w:val="00311706"/>
    <w:rsid w:val="00311B30"/>
    <w:rsid w:val="0031521F"/>
    <w:rsid w:val="00315D47"/>
    <w:rsid w:val="00315ED3"/>
    <w:rsid w:val="003174F3"/>
    <w:rsid w:val="00320A40"/>
    <w:rsid w:val="00320CCD"/>
    <w:rsid w:val="00324362"/>
    <w:rsid w:val="003243DB"/>
    <w:rsid w:val="00324D25"/>
    <w:rsid w:val="0032513E"/>
    <w:rsid w:val="00336F30"/>
    <w:rsid w:val="00342D9A"/>
    <w:rsid w:val="00343150"/>
    <w:rsid w:val="00353A26"/>
    <w:rsid w:val="0035656D"/>
    <w:rsid w:val="003629E6"/>
    <w:rsid w:val="00363F55"/>
    <w:rsid w:val="00372818"/>
    <w:rsid w:val="00373CCE"/>
    <w:rsid w:val="00376AE5"/>
    <w:rsid w:val="0037750B"/>
    <w:rsid w:val="00381002"/>
    <w:rsid w:val="00382D0A"/>
    <w:rsid w:val="00384A8F"/>
    <w:rsid w:val="00390026"/>
    <w:rsid w:val="00392778"/>
    <w:rsid w:val="003929ED"/>
    <w:rsid w:val="003939AB"/>
    <w:rsid w:val="003A171A"/>
    <w:rsid w:val="003B0982"/>
    <w:rsid w:val="003B0D83"/>
    <w:rsid w:val="003B76E4"/>
    <w:rsid w:val="003C1DA7"/>
    <w:rsid w:val="003C3B05"/>
    <w:rsid w:val="003C4E50"/>
    <w:rsid w:val="003C545E"/>
    <w:rsid w:val="003C57DB"/>
    <w:rsid w:val="003D0C1B"/>
    <w:rsid w:val="003E7A5C"/>
    <w:rsid w:val="003F6224"/>
    <w:rsid w:val="003F65D0"/>
    <w:rsid w:val="003F7259"/>
    <w:rsid w:val="00402E7A"/>
    <w:rsid w:val="004031B2"/>
    <w:rsid w:val="00404893"/>
    <w:rsid w:val="00405786"/>
    <w:rsid w:val="004151FC"/>
    <w:rsid w:val="00415B06"/>
    <w:rsid w:val="00415F52"/>
    <w:rsid w:val="00423AE5"/>
    <w:rsid w:val="00425289"/>
    <w:rsid w:val="0042607E"/>
    <w:rsid w:val="004268FB"/>
    <w:rsid w:val="00440A03"/>
    <w:rsid w:val="004503DC"/>
    <w:rsid w:val="00454771"/>
    <w:rsid w:val="00454D1D"/>
    <w:rsid w:val="004551EC"/>
    <w:rsid w:val="00455692"/>
    <w:rsid w:val="00462E4D"/>
    <w:rsid w:val="004637C7"/>
    <w:rsid w:val="00463883"/>
    <w:rsid w:val="0046390C"/>
    <w:rsid w:val="00471A53"/>
    <w:rsid w:val="0047270C"/>
    <w:rsid w:val="004727A2"/>
    <w:rsid w:val="0047423A"/>
    <w:rsid w:val="00474F62"/>
    <w:rsid w:val="00475F14"/>
    <w:rsid w:val="00476D48"/>
    <w:rsid w:val="00482B3D"/>
    <w:rsid w:val="00486C0E"/>
    <w:rsid w:val="00494781"/>
    <w:rsid w:val="004A519C"/>
    <w:rsid w:val="004A7C3E"/>
    <w:rsid w:val="004B0192"/>
    <w:rsid w:val="004C09B8"/>
    <w:rsid w:val="004C0DA0"/>
    <w:rsid w:val="004D56CF"/>
    <w:rsid w:val="004D58F7"/>
    <w:rsid w:val="004D720A"/>
    <w:rsid w:val="004D7FEA"/>
    <w:rsid w:val="004E27CF"/>
    <w:rsid w:val="004E3A21"/>
    <w:rsid w:val="004E4C22"/>
    <w:rsid w:val="004E62B7"/>
    <w:rsid w:val="004F18CF"/>
    <w:rsid w:val="004F2AFF"/>
    <w:rsid w:val="00505A97"/>
    <w:rsid w:val="00511090"/>
    <w:rsid w:val="005111FB"/>
    <w:rsid w:val="0051613B"/>
    <w:rsid w:val="00516A62"/>
    <w:rsid w:val="00516CC0"/>
    <w:rsid w:val="0052475E"/>
    <w:rsid w:val="005256E7"/>
    <w:rsid w:val="00527696"/>
    <w:rsid w:val="00527E5E"/>
    <w:rsid w:val="00531907"/>
    <w:rsid w:val="005327FC"/>
    <w:rsid w:val="005336B4"/>
    <w:rsid w:val="005358B1"/>
    <w:rsid w:val="00535D95"/>
    <w:rsid w:val="00541E5E"/>
    <w:rsid w:val="00542887"/>
    <w:rsid w:val="00542CCF"/>
    <w:rsid w:val="005446B8"/>
    <w:rsid w:val="005453F0"/>
    <w:rsid w:val="00551C6F"/>
    <w:rsid w:val="00551D49"/>
    <w:rsid w:val="0055434F"/>
    <w:rsid w:val="00554641"/>
    <w:rsid w:val="00556368"/>
    <w:rsid w:val="005602C4"/>
    <w:rsid w:val="00562318"/>
    <w:rsid w:val="00564DDF"/>
    <w:rsid w:val="00566B3B"/>
    <w:rsid w:val="00570250"/>
    <w:rsid w:val="0057751D"/>
    <w:rsid w:val="005836F2"/>
    <w:rsid w:val="00586705"/>
    <w:rsid w:val="00593E4A"/>
    <w:rsid w:val="00596D8B"/>
    <w:rsid w:val="005A153C"/>
    <w:rsid w:val="005C02F8"/>
    <w:rsid w:val="005C43A9"/>
    <w:rsid w:val="005D1472"/>
    <w:rsid w:val="005D17C3"/>
    <w:rsid w:val="005D77E1"/>
    <w:rsid w:val="005E00E2"/>
    <w:rsid w:val="005F4127"/>
    <w:rsid w:val="005F43C4"/>
    <w:rsid w:val="006005AD"/>
    <w:rsid w:val="006055C4"/>
    <w:rsid w:val="00613941"/>
    <w:rsid w:val="00616891"/>
    <w:rsid w:val="00616C81"/>
    <w:rsid w:val="006231AB"/>
    <w:rsid w:val="00626501"/>
    <w:rsid w:val="00631D52"/>
    <w:rsid w:val="00633BE9"/>
    <w:rsid w:val="00636050"/>
    <w:rsid w:val="00637042"/>
    <w:rsid w:val="0063753B"/>
    <w:rsid w:val="0064217E"/>
    <w:rsid w:val="006426E6"/>
    <w:rsid w:val="00644BD3"/>
    <w:rsid w:val="006549A7"/>
    <w:rsid w:val="00657A23"/>
    <w:rsid w:val="00660F32"/>
    <w:rsid w:val="00663F21"/>
    <w:rsid w:val="00663F2E"/>
    <w:rsid w:val="00663FC4"/>
    <w:rsid w:val="00674777"/>
    <w:rsid w:val="00676E53"/>
    <w:rsid w:val="006800A8"/>
    <w:rsid w:val="00681D43"/>
    <w:rsid w:val="00685CD7"/>
    <w:rsid w:val="00687831"/>
    <w:rsid w:val="0069141C"/>
    <w:rsid w:val="0069355F"/>
    <w:rsid w:val="006963E6"/>
    <w:rsid w:val="006A19F6"/>
    <w:rsid w:val="006B0298"/>
    <w:rsid w:val="006B28F9"/>
    <w:rsid w:val="006B777F"/>
    <w:rsid w:val="006B7B05"/>
    <w:rsid w:val="006C0E8C"/>
    <w:rsid w:val="006C15B1"/>
    <w:rsid w:val="006C1E22"/>
    <w:rsid w:val="006C3E73"/>
    <w:rsid w:val="006C4944"/>
    <w:rsid w:val="006C65F4"/>
    <w:rsid w:val="006C7FE2"/>
    <w:rsid w:val="006D0506"/>
    <w:rsid w:val="006D3800"/>
    <w:rsid w:val="006D541F"/>
    <w:rsid w:val="006E0159"/>
    <w:rsid w:val="006E4259"/>
    <w:rsid w:val="006E4D88"/>
    <w:rsid w:val="006F77D4"/>
    <w:rsid w:val="00701DA5"/>
    <w:rsid w:val="007039E4"/>
    <w:rsid w:val="00705037"/>
    <w:rsid w:val="00715D76"/>
    <w:rsid w:val="00720B85"/>
    <w:rsid w:val="007314FE"/>
    <w:rsid w:val="007323DC"/>
    <w:rsid w:val="0073356A"/>
    <w:rsid w:val="007352AD"/>
    <w:rsid w:val="00736CF7"/>
    <w:rsid w:val="0074133A"/>
    <w:rsid w:val="00745E27"/>
    <w:rsid w:val="007539E0"/>
    <w:rsid w:val="007564FC"/>
    <w:rsid w:val="00756ACF"/>
    <w:rsid w:val="00760EEB"/>
    <w:rsid w:val="0076533D"/>
    <w:rsid w:val="00770A11"/>
    <w:rsid w:val="007756E1"/>
    <w:rsid w:val="00776433"/>
    <w:rsid w:val="00781102"/>
    <w:rsid w:val="00784B97"/>
    <w:rsid w:val="0078573B"/>
    <w:rsid w:val="007861E0"/>
    <w:rsid w:val="00787E2E"/>
    <w:rsid w:val="00791A7B"/>
    <w:rsid w:val="00792B8C"/>
    <w:rsid w:val="00794926"/>
    <w:rsid w:val="00794ACC"/>
    <w:rsid w:val="007A0C29"/>
    <w:rsid w:val="007A5F15"/>
    <w:rsid w:val="007A7A40"/>
    <w:rsid w:val="007B0B08"/>
    <w:rsid w:val="007B11FA"/>
    <w:rsid w:val="007B5BAA"/>
    <w:rsid w:val="007B6EE3"/>
    <w:rsid w:val="007C3D94"/>
    <w:rsid w:val="007C68F2"/>
    <w:rsid w:val="007D337C"/>
    <w:rsid w:val="007D4445"/>
    <w:rsid w:val="007E1822"/>
    <w:rsid w:val="007E71E0"/>
    <w:rsid w:val="007F0198"/>
    <w:rsid w:val="007F225F"/>
    <w:rsid w:val="007F3B9C"/>
    <w:rsid w:val="007F4C67"/>
    <w:rsid w:val="00802C77"/>
    <w:rsid w:val="0080310F"/>
    <w:rsid w:val="00810870"/>
    <w:rsid w:val="008137AF"/>
    <w:rsid w:val="00813B4C"/>
    <w:rsid w:val="00815777"/>
    <w:rsid w:val="00825069"/>
    <w:rsid w:val="0083006C"/>
    <w:rsid w:val="008309E6"/>
    <w:rsid w:val="008322A2"/>
    <w:rsid w:val="008324F9"/>
    <w:rsid w:val="00836E36"/>
    <w:rsid w:val="00837D1D"/>
    <w:rsid w:val="0084296B"/>
    <w:rsid w:val="00844D1C"/>
    <w:rsid w:val="008518D0"/>
    <w:rsid w:val="00851D76"/>
    <w:rsid w:val="0085346C"/>
    <w:rsid w:val="00872E58"/>
    <w:rsid w:val="00873BF5"/>
    <w:rsid w:val="00874AD5"/>
    <w:rsid w:val="00874BF5"/>
    <w:rsid w:val="00877C31"/>
    <w:rsid w:val="008820B5"/>
    <w:rsid w:val="00883086"/>
    <w:rsid w:val="0089183F"/>
    <w:rsid w:val="00891B66"/>
    <w:rsid w:val="00893C55"/>
    <w:rsid w:val="008953D0"/>
    <w:rsid w:val="00896F19"/>
    <w:rsid w:val="008A0415"/>
    <w:rsid w:val="008A10D9"/>
    <w:rsid w:val="008A23DC"/>
    <w:rsid w:val="008A25DA"/>
    <w:rsid w:val="008B2076"/>
    <w:rsid w:val="008B6343"/>
    <w:rsid w:val="008C2218"/>
    <w:rsid w:val="008C2D07"/>
    <w:rsid w:val="008C55CE"/>
    <w:rsid w:val="008C7A70"/>
    <w:rsid w:val="008D1B95"/>
    <w:rsid w:val="008D26F7"/>
    <w:rsid w:val="008D7A3E"/>
    <w:rsid w:val="008E4943"/>
    <w:rsid w:val="008E6D5F"/>
    <w:rsid w:val="008F16BC"/>
    <w:rsid w:val="008F712E"/>
    <w:rsid w:val="0090253C"/>
    <w:rsid w:val="00903281"/>
    <w:rsid w:val="00903CB1"/>
    <w:rsid w:val="00905CC2"/>
    <w:rsid w:val="00913D55"/>
    <w:rsid w:val="00914288"/>
    <w:rsid w:val="00915370"/>
    <w:rsid w:val="009242AF"/>
    <w:rsid w:val="00930225"/>
    <w:rsid w:val="00932397"/>
    <w:rsid w:val="00934688"/>
    <w:rsid w:val="00934911"/>
    <w:rsid w:val="00936DC2"/>
    <w:rsid w:val="00937478"/>
    <w:rsid w:val="009406F3"/>
    <w:rsid w:val="009439D7"/>
    <w:rsid w:val="00943E5C"/>
    <w:rsid w:val="009446FB"/>
    <w:rsid w:val="00945B5F"/>
    <w:rsid w:val="0094712D"/>
    <w:rsid w:val="00950B78"/>
    <w:rsid w:val="00953C11"/>
    <w:rsid w:val="00955742"/>
    <w:rsid w:val="00955870"/>
    <w:rsid w:val="00956D3B"/>
    <w:rsid w:val="00964FC1"/>
    <w:rsid w:val="009721B8"/>
    <w:rsid w:val="00973655"/>
    <w:rsid w:val="00975C8C"/>
    <w:rsid w:val="00976E12"/>
    <w:rsid w:val="00986237"/>
    <w:rsid w:val="00987942"/>
    <w:rsid w:val="009944BD"/>
    <w:rsid w:val="0099694A"/>
    <w:rsid w:val="009A0CE7"/>
    <w:rsid w:val="009A2432"/>
    <w:rsid w:val="009A26E6"/>
    <w:rsid w:val="009A3C2B"/>
    <w:rsid w:val="009A4F27"/>
    <w:rsid w:val="009B06C1"/>
    <w:rsid w:val="009B701A"/>
    <w:rsid w:val="009D09E3"/>
    <w:rsid w:val="009D27C7"/>
    <w:rsid w:val="009E0370"/>
    <w:rsid w:val="009E5F1E"/>
    <w:rsid w:val="009F0E5F"/>
    <w:rsid w:val="009F4BDA"/>
    <w:rsid w:val="009F51E9"/>
    <w:rsid w:val="009F68CA"/>
    <w:rsid w:val="009F74AD"/>
    <w:rsid w:val="00A011D5"/>
    <w:rsid w:val="00A06B99"/>
    <w:rsid w:val="00A06F31"/>
    <w:rsid w:val="00A11A69"/>
    <w:rsid w:val="00A174BC"/>
    <w:rsid w:val="00A22443"/>
    <w:rsid w:val="00A263F5"/>
    <w:rsid w:val="00A26DEF"/>
    <w:rsid w:val="00A2783D"/>
    <w:rsid w:val="00A31B8E"/>
    <w:rsid w:val="00A350E6"/>
    <w:rsid w:val="00A40C87"/>
    <w:rsid w:val="00A4308C"/>
    <w:rsid w:val="00A45227"/>
    <w:rsid w:val="00A46691"/>
    <w:rsid w:val="00A547EC"/>
    <w:rsid w:val="00A54962"/>
    <w:rsid w:val="00A63860"/>
    <w:rsid w:val="00A650CB"/>
    <w:rsid w:val="00A7527D"/>
    <w:rsid w:val="00A76FA1"/>
    <w:rsid w:val="00A773C7"/>
    <w:rsid w:val="00A81325"/>
    <w:rsid w:val="00A87D63"/>
    <w:rsid w:val="00A94DD4"/>
    <w:rsid w:val="00A94E4C"/>
    <w:rsid w:val="00A97A42"/>
    <w:rsid w:val="00AA6561"/>
    <w:rsid w:val="00AA6BA9"/>
    <w:rsid w:val="00AB4324"/>
    <w:rsid w:val="00AB5379"/>
    <w:rsid w:val="00AB60B3"/>
    <w:rsid w:val="00AC3FDA"/>
    <w:rsid w:val="00AD0DE6"/>
    <w:rsid w:val="00AD16FB"/>
    <w:rsid w:val="00AD42E2"/>
    <w:rsid w:val="00AD66ED"/>
    <w:rsid w:val="00AD696F"/>
    <w:rsid w:val="00AE362F"/>
    <w:rsid w:val="00AE3A02"/>
    <w:rsid w:val="00AE6CD9"/>
    <w:rsid w:val="00AF02A2"/>
    <w:rsid w:val="00AF5B5A"/>
    <w:rsid w:val="00B02D47"/>
    <w:rsid w:val="00B07403"/>
    <w:rsid w:val="00B10E8B"/>
    <w:rsid w:val="00B125FF"/>
    <w:rsid w:val="00B15685"/>
    <w:rsid w:val="00B15A6C"/>
    <w:rsid w:val="00B15F38"/>
    <w:rsid w:val="00B17775"/>
    <w:rsid w:val="00B17EDF"/>
    <w:rsid w:val="00B24841"/>
    <w:rsid w:val="00B27CAD"/>
    <w:rsid w:val="00B3233C"/>
    <w:rsid w:val="00B427ED"/>
    <w:rsid w:val="00B43256"/>
    <w:rsid w:val="00B51220"/>
    <w:rsid w:val="00B51464"/>
    <w:rsid w:val="00B517E2"/>
    <w:rsid w:val="00B51F49"/>
    <w:rsid w:val="00B538F1"/>
    <w:rsid w:val="00B5492B"/>
    <w:rsid w:val="00B670E2"/>
    <w:rsid w:val="00B67D42"/>
    <w:rsid w:val="00B72F20"/>
    <w:rsid w:val="00B73FB4"/>
    <w:rsid w:val="00B74D46"/>
    <w:rsid w:val="00B83C5F"/>
    <w:rsid w:val="00B87324"/>
    <w:rsid w:val="00B91A29"/>
    <w:rsid w:val="00B92378"/>
    <w:rsid w:val="00B947E8"/>
    <w:rsid w:val="00B95211"/>
    <w:rsid w:val="00BA22D6"/>
    <w:rsid w:val="00BA3E1E"/>
    <w:rsid w:val="00BA5094"/>
    <w:rsid w:val="00BA59F9"/>
    <w:rsid w:val="00BA73EB"/>
    <w:rsid w:val="00BB0206"/>
    <w:rsid w:val="00BB137A"/>
    <w:rsid w:val="00BB228B"/>
    <w:rsid w:val="00BC07D4"/>
    <w:rsid w:val="00BD2E78"/>
    <w:rsid w:val="00BD31F1"/>
    <w:rsid w:val="00BD6BD9"/>
    <w:rsid w:val="00BD6C8E"/>
    <w:rsid w:val="00BD75B2"/>
    <w:rsid w:val="00BE12C0"/>
    <w:rsid w:val="00BF01B7"/>
    <w:rsid w:val="00BF07F1"/>
    <w:rsid w:val="00BF5D79"/>
    <w:rsid w:val="00C0368C"/>
    <w:rsid w:val="00C05B09"/>
    <w:rsid w:val="00C05FF1"/>
    <w:rsid w:val="00C067F4"/>
    <w:rsid w:val="00C12225"/>
    <w:rsid w:val="00C1248C"/>
    <w:rsid w:val="00C16A6B"/>
    <w:rsid w:val="00C1793B"/>
    <w:rsid w:val="00C23D1F"/>
    <w:rsid w:val="00C244C5"/>
    <w:rsid w:val="00C35E78"/>
    <w:rsid w:val="00C37287"/>
    <w:rsid w:val="00C3745E"/>
    <w:rsid w:val="00C37C28"/>
    <w:rsid w:val="00C43FFD"/>
    <w:rsid w:val="00C505F9"/>
    <w:rsid w:val="00C56AD0"/>
    <w:rsid w:val="00C631EE"/>
    <w:rsid w:val="00C6397D"/>
    <w:rsid w:val="00C64BBD"/>
    <w:rsid w:val="00C66382"/>
    <w:rsid w:val="00C67F8D"/>
    <w:rsid w:val="00C727E7"/>
    <w:rsid w:val="00C72A0A"/>
    <w:rsid w:val="00C773EE"/>
    <w:rsid w:val="00C8255C"/>
    <w:rsid w:val="00C84E65"/>
    <w:rsid w:val="00C86F96"/>
    <w:rsid w:val="00C87C29"/>
    <w:rsid w:val="00C91988"/>
    <w:rsid w:val="00C93B1D"/>
    <w:rsid w:val="00C946F0"/>
    <w:rsid w:val="00C94818"/>
    <w:rsid w:val="00C97407"/>
    <w:rsid w:val="00C97B23"/>
    <w:rsid w:val="00CA28D5"/>
    <w:rsid w:val="00CA34C2"/>
    <w:rsid w:val="00CA6471"/>
    <w:rsid w:val="00CB370B"/>
    <w:rsid w:val="00CC020B"/>
    <w:rsid w:val="00CC25A1"/>
    <w:rsid w:val="00CC68EE"/>
    <w:rsid w:val="00CD19AE"/>
    <w:rsid w:val="00CD317A"/>
    <w:rsid w:val="00CD328C"/>
    <w:rsid w:val="00CD3D36"/>
    <w:rsid w:val="00CD5169"/>
    <w:rsid w:val="00CE3017"/>
    <w:rsid w:val="00CF49BB"/>
    <w:rsid w:val="00CF4A62"/>
    <w:rsid w:val="00D016A6"/>
    <w:rsid w:val="00D07CDA"/>
    <w:rsid w:val="00D1184F"/>
    <w:rsid w:val="00D12883"/>
    <w:rsid w:val="00D12CFD"/>
    <w:rsid w:val="00D148CF"/>
    <w:rsid w:val="00D167CC"/>
    <w:rsid w:val="00D16F2C"/>
    <w:rsid w:val="00D22F33"/>
    <w:rsid w:val="00D23C1C"/>
    <w:rsid w:val="00D24ACD"/>
    <w:rsid w:val="00D278B1"/>
    <w:rsid w:val="00D53D99"/>
    <w:rsid w:val="00D54920"/>
    <w:rsid w:val="00D574E1"/>
    <w:rsid w:val="00D6364A"/>
    <w:rsid w:val="00D64EFF"/>
    <w:rsid w:val="00D6507F"/>
    <w:rsid w:val="00D66721"/>
    <w:rsid w:val="00D703EB"/>
    <w:rsid w:val="00D70BC3"/>
    <w:rsid w:val="00D75E6C"/>
    <w:rsid w:val="00D768D5"/>
    <w:rsid w:val="00D81C84"/>
    <w:rsid w:val="00D83E07"/>
    <w:rsid w:val="00D916EE"/>
    <w:rsid w:val="00D91B0C"/>
    <w:rsid w:val="00D9578F"/>
    <w:rsid w:val="00DB2271"/>
    <w:rsid w:val="00DB63CC"/>
    <w:rsid w:val="00DB6C86"/>
    <w:rsid w:val="00DB7199"/>
    <w:rsid w:val="00DC154B"/>
    <w:rsid w:val="00DC21B6"/>
    <w:rsid w:val="00DD191A"/>
    <w:rsid w:val="00DD38F3"/>
    <w:rsid w:val="00DD5EC5"/>
    <w:rsid w:val="00DD62B8"/>
    <w:rsid w:val="00DD7551"/>
    <w:rsid w:val="00DD7E02"/>
    <w:rsid w:val="00DE2936"/>
    <w:rsid w:val="00DE3297"/>
    <w:rsid w:val="00DE37BD"/>
    <w:rsid w:val="00DE6C03"/>
    <w:rsid w:val="00DE6E0E"/>
    <w:rsid w:val="00DF11E6"/>
    <w:rsid w:val="00DF1995"/>
    <w:rsid w:val="00DF65C7"/>
    <w:rsid w:val="00E00937"/>
    <w:rsid w:val="00E0129D"/>
    <w:rsid w:val="00E041D7"/>
    <w:rsid w:val="00E117CE"/>
    <w:rsid w:val="00E11C29"/>
    <w:rsid w:val="00E1435A"/>
    <w:rsid w:val="00E176E6"/>
    <w:rsid w:val="00E21945"/>
    <w:rsid w:val="00E22D72"/>
    <w:rsid w:val="00E23817"/>
    <w:rsid w:val="00E25149"/>
    <w:rsid w:val="00E277EA"/>
    <w:rsid w:val="00E437F9"/>
    <w:rsid w:val="00E45070"/>
    <w:rsid w:val="00E46361"/>
    <w:rsid w:val="00E50CA4"/>
    <w:rsid w:val="00E5157B"/>
    <w:rsid w:val="00E55C8B"/>
    <w:rsid w:val="00E56508"/>
    <w:rsid w:val="00E60033"/>
    <w:rsid w:val="00E62355"/>
    <w:rsid w:val="00E64DD2"/>
    <w:rsid w:val="00E737A5"/>
    <w:rsid w:val="00E811F4"/>
    <w:rsid w:val="00E82D1A"/>
    <w:rsid w:val="00E83B09"/>
    <w:rsid w:val="00E863D0"/>
    <w:rsid w:val="00E86E03"/>
    <w:rsid w:val="00E91F77"/>
    <w:rsid w:val="00E936EE"/>
    <w:rsid w:val="00E94D79"/>
    <w:rsid w:val="00E954D8"/>
    <w:rsid w:val="00E95D25"/>
    <w:rsid w:val="00E96D45"/>
    <w:rsid w:val="00EA094F"/>
    <w:rsid w:val="00EA4476"/>
    <w:rsid w:val="00EA79CF"/>
    <w:rsid w:val="00EB5CCF"/>
    <w:rsid w:val="00EC20FF"/>
    <w:rsid w:val="00ED28BA"/>
    <w:rsid w:val="00ED3DE4"/>
    <w:rsid w:val="00EE2885"/>
    <w:rsid w:val="00EE28B2"/>
    <w:rsid w:val="00EE3FCE"/>
    <w:rsid w:val="00EE5712"/>
    <w:rsid w:val="00EF0AE7"/>
    <w:rsid w:val="00EF422E"/>
    <w:rsid w:val="00F00144"/>
    <w:rsid w:val="00F0184B"/>
    <w:rsid w:val="00F11CF9"/>
    <w:rsid w:val="00F1392B"/>
    <w:rsid w:val="00F13DDA"/>
    <w:rsid w:val="00F22A93"/>
    <w:rsid w:val="00F260DB"/>
    <w:rsid w:val="00F347F0"/>
    <w:rsid w:val="00F41DE9"/>
    <w:rsid w:val="00F439FA"/>
    <w:rsid w:val="00F50E25"/>
    <w:rsid w:val="00F51175"/>
    <w:rsid w:val="00F52C39"/>
    <w:rsid w:val="00F532A2"/>
    <w:rsid w:val="00F65815"/>
    <w:rsid w:val="00F67C90"/>
    <w:rsid w:val="00F703A9"/>
    <w:rsid w:val="00F7449F"/>
    <w:rsid w:val="00F90370"/>
    <w:rsid w:val="00FA17FA"/>
    <w:rsid w:val="00FA2701"/>
    <w:rsid w:val="00FA3BDD"/>
    <w:rsid w:val="00FA6F8F"/>
    <w:rsid w:val="00FB408E"/>
    <w:rsid w:val="00FB5047"/>
    <w:rsid w:val="00FB6ECF"/>
    <w:rsid w:val="00FC026E"/>
    <w:rsid w:val="00FC5655"/>
    <w:rsid w:val="00FC5C88"/>
    <w:rsid w:val="00FD1296"/>
    <w:rsid w:val="00FD1711"/>
    <w:rsid w:val="00FD35C9"/>
    <w:rsid w:val="00FE0DE7"/>
    <w:rsid w:val="00FE6947"/>
    <w:rsid w:val="00FE6ACE"/>
    <w:rsid w:val="00FE7A2D"/>
    <w:rsid w:val="00FF11DA"/>
    <w:rsid w:val="00FF34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chartTrackingRefBased/>
  <w15:docId w15:val="{4BE2DBA7-E32B-483A-BCE1-40B01F2CD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2E78"/>
    <w:rPr>
      <w:rFonts w:ascii="Arial" w:hAnsi="Arial"/>
      <w:sz w:val="24"/>
    </w:rPr>
  </w:style>
  <w:style w:type="paragraph" w:styleId="Heading2">
    <w:name w:val="heading 2"/>
    <w:basedOn w:val="Normal"/>
    <w:next w:val="Normal"/>
    <w:qFormat/>
    <w:rsid w:val="00DB2271"/>
    <w:pPr>
      <w:keepNext/>
      <w:tabs>
        <w:tab w:val="left" w:pos="3436"/>
      </w:tabs>
      <w:outlineLvl w:val="1"/>
    </w:pPr>
    <w:rPr>
      <w:i/>
      <w:sz w:val="22"/>
      <w:lang w:eastAsia="en-US"/>
    </w:rPr>
  </w:style>
  <w:style w:type="paragraph" w:styleId="Heading9">
    <w:name w:val="heading 9"/>
    <w:basedOn w:val="Normal"/>
    <w:next w:val="Normal"/>
    <w:qFormat/>
    <w:rsid w:val="00DB2271"/>
    <w:pPr>
      <w:keepNext/>
      <w:tabs>
        <w:tab w:val="center" w:pos="5245"/>
      </w:tabs>
      <w:spacing w:after="120"/>
      <w:jc w:val="right"/>
      <w:outlineLvl w:val="8"/>
    </w:pPr>
    <w:rPr>
      <w:rFonts w:ascii="Times New Roman" w:hAnsi="Times New Roman"/>
      <w:b/>
      <w:color w:val="FF000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DB2271"/>
    <w:pPr>
      <w:jc w:val="center"/>
    </w:pPr>
    <w:rPr>
      <w:sz w:val="36"/>
      <w:lang w:eastAsia="en-US"/>
    </w:rPr>
  </w:style>
  <w:style w:type="paragraph" w:styleId="Header">
    <w:name w:val="header"/>
    <w:basedOn w:val="Normal"/>
    <w:link w:val="HeaderChar"/>
    <w:uiPriority w:val="99"/>
    <w:rsid w:val="00DB2271"/>
    <w:pPr>
      <w:tabs>
        <w:tab w:val="center" w:pos="4153"/>
        <w:tab w:val="right" w:pos="8306"/>
      </w:tabs>
    </w:pPr>
    <w:rPr>
      <w:lang w:eastAsia="en-US"/>
    </w:rPr>
  </w:style>
  <w:style w:type="character" w:styleId="Hyperlink">
    <w:name w:val="Hyperlink"/>
    <w:uiPriority w:val="99"/>
    <w:rsid w:val="00DB2271"/>
    <w:rPr>
      <w:color w:val="0000FF"/>
      <w:u w:val="single"/>
    </w:rPr>
  </w:style>
  <w:style w:type="table" w:styleId="TableGrid">
    <w:name w:val="Table Grid"/>
    <w:basedOn w:val="TableNormal"/>
    <w:rsid w:val="007D33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423AB"/>
    <w:pPr>
      <w:ind w:left="720"/>
    </w:pPr>
  </w:style>
  <w:style w:type="paragraph" w:styleId="Footer">
    <w:name w:val="footer"/>
    <w:basedOn w:val="Normal"/>
    <w:link w:val="FooterChar"/>
    <w:uiPriority w:val="99"/>
    <w:rsid w:val="00195984"/>
    <w:pPr>
      <w:tabs>
        <w:tab w:val="center" w:pos="4513"/>
        <w:tab w:val="right" w:pos="9026"/>
      </w:tabs>
    </w:pPr>
  </w:style>
  <w:style w:type="character" w:customStyle="1" w:styleId="FooterChar">
    <w:name w:val="Footer Char"/>
    <w:link w:val="Footer"/>
    <w:uiPriority w:val="99"/>
    <w:rsid w:val="00195984"/>
    <w:rPr>
      <w:rFonts w:ascii="Arial" w:hAnsi="Arial"/>
      <w:sz w:val="24"/>
    </w:rPr>
  </w:style>
  <w:style w:type="numbering" w:customStyle="1" w:styleId="NoList1">
    <w:name w:val="No List1"/>
    <w:next w:val="NoList"/>
    <w:uiPriority w:val="99"/>
    <w:semiHidden/>
    <w:unhideWhenUsed/>
    <w:rsid w:val="00F347F0"/>
  </w:style>
  <w:style w:type="paragraph" w:styleId="NormalWeb">
    <w:name w:val="Normal (Web)"/>
    <w:basedOn w:val="Normal"/>
    <w:uiPriority w:val="99"/>
    <w:unhideWhenUsed/>
    <w:rsid w:val="00F347F0"/>
    <w:pPr>
      <w:spacing w:before="100" w:beforeAutospacing="1" w:after="100" w:afterAutospacing="1"/>
    </w:pPr>
    <w:rPr>
      <w:rFonts w:ascii="Times New Roman" w:hAnsi="Times New Roman"/>
      <w:szCs w:val="24"/>
    </w:rPr>
  </w:style>
  <w:style w:type="paragraph" w:styleId="NoSpacing">
    <w:name w:val="No Spacing"/>
    <w:uiPriority w:val="1"/>
    <w:qFormat/>
    <w:rsid w:val="00F347F0"/>
    <w:rPr>
      <w:rFonts w:ascii="Calibri" w:eastAsia="Calibri" w:hAnsi="Calibri"/>
      <w:sz w:val="22"/>
      <w:szCs w:val="22"/>
      <w:lang w:eastAsia="en-US"/>
    </w:rPr>
  </w:style>
  <w:style w:type="character" w:styleId="Strong">
    <w:name w:val="Strong"/>
    <w:uiPriority w:val="22"/>
    <w:qFormat/>
    <w:rsid w:val="00F347F0"/>
    <w:rPr>
      <w:rFonts w:ascii="Times New Roman" w:hAnsi="Times New Roman" w:cs="Times New Roman" w:hint="default"/>
      <w:b/>
      <w:bCs/>
    </w:rPr>
  </w:style>
  <w:style w:type="table" w:customStyle="1" w:styleId="TableGrid1">
    <w:name w:val="Table Grid1"/>
    <w:basedOn w:val="TableNormal"/>
    <w:next w:val="TableGrid"/>
    <w:uiPriority w:val="59"/>
    <w:rsid w:val="00F347F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F347F0"/>
    <w:rPr>
      <w:rFonts w:ascii="Times New Roman" w:hAnsi="Times New Roman"/>
      <w:sz w:val="20"/>
    </w:rPr>
  </w:style>
  <w:style w:type="character" w:customStyle="1" w:styleId="CommentTextChar">
    <w:name w:val="Comment Text Char"/>
    <w:basedOn w:val="DefaultParagraphFont"/>
    <w:link w:val="CommentText"/>
    <w:uiPriority w:val="99"/>
    <w:rsid w:val="00F347F0"/>
  </w:style>
  <w:style w:type="character" w:customStyle="1" w:styleId="HeaderChar">
    <w:name w:val="Header Char"/>
    <w:link w:val="Header"/>
    <w:uiPriority w:val="99"/>
    <w:rsid w:val="00F347F0"/>
    <w:rPr>
      <w:rFonts w:ascii="Arial" w:hAnsi="Arial"/>
      <w:sz w:val="24"/>
      <w:lang w:eastAsia="en-US"/>
    </w:rPr>
  </w:style>
  <w:style w:type="character" w:styleId="CommentReference">
    <w:name w:val="annotation reference"/>
    <w:uiPriority w:val="99"/>
    <w:unhideWhenUsed/>
    <w:rsid w:val="00F347F0"/>
    <w:rPr>
      <w:sz w:val="16"/>
      <w:szCs w:val="16"/>
    </w:rPr>
  </w:style>
  <w:style w:type="paragraph" w:styleId="CommentSubject">
    <w:name w:val="annotation subject"/>
    <w:basedOn w:val="CommentText"/>
    <w:next w:val="CommentText"/>
    <w:link w:val="CommentSubjectChar"/>
    <w:uiPriority w:val="99"/>
    <w:unhideWhenUsed/>
    <w:rsid w:val="00F347F0"/>
    <w:rPr>
      <w:b/>
      <w:bCs/>
    </w:rPr>
  </w:style>
  <w:style w:type="character" w:customStyle="1" w:styleId="CommentSubjectChar">
    <w:name w:val="Comment Subject Char"/>
    <w:link w:val="CommentSubject"/>
    <w:uiPriority w:val="99"/>
    <w:rsid w:val="00F347F0"/>
    <w:rPr>
      <w:b/>
      <w:bCs/>
    </w:rPr>
  </w:style>
  <w:style w:type="paragraph" w:styleId="BalloonText">
    <w:name w:val="Balloon Text"/>
    <w:basedOn w:val="Normal"/>
    <w:link w:val="BalloonTextChar"/>
    <w:uiPriority w:val="99"/>
    <w:unhideWhenUsed/>
    <w:rsid w:val="00F347F0"/>
    <w:rPr>
      <w:rFonts w:ascii="Tahoma" w:hAnsi="Tahoma" w:cs="Tahoma"/>
      <w:sz w:val="16"/>
      <w:szCs w:val="16"/>
    </w:rPr>
  </w:style>
  <w:style w:type="character" w:customStyle="1" w:styleId="BalloonTextChar">
    <w:name w:val="Balloon Text Char"/>
    <w:link w:val="BalloonText"/>
    <w:uiPriority w:val="99"/>
    <w:rsid w:val="00F347F0"/>
    <w:rPr>
      <w:rFonts w:ascii="Tahoma" w:hAnsi="Tahoma" w:cs="Tahoma"/>
      <w:sz w:val="16"/>
      <w:szCs w:val="16"/>
    </w:rPr>
  </w:style>
  <w:style w:type="character" w:styleId="FollowedHyperlink">
    <w:name w:val="FollowedHyperlink"/>
    <w:uiPriority w:val="99"/>
    <w:unhideWhenUsed/>
    <w:rsid w:val="00F347F0"/>
    <w:rPr>
      <w:color w:val="800080"/>
      <w:u w:val="single"/>
    </w:rPr>
  </w:style>
  <w:style w:type="paragraph" w:customStyle="1" w:styleId="Default">
    <w:name w:val="Default"/>
    <w:rsid w:val="00F347F0"/>
    <w:pPr>
      <w:autoSpaceDE w:val="0"/>
      <w:autoSpaceDN w:val="0"/>
      <w:adjustRightInd w:val="0"/>
    </w:pPr>
    <w:rPr>
      <w:rFonts w:ascii="Arial" w:eastAsia="Calibri" w:hAnsi="Arial" w:cs="Arial"/>
      <w:color w:val="000000"/>
      <w:sz w:val="24"/>
      <w:szCs w:val="24"/>
      <w:lang w:eastAsia="en-US"/>
    </w:rPr>
  </w:style>
  <w:style w:type="character" w:styleId="Emphasis">
    <w:name w:val="Emphasis"/>
    <w:qFormat/>
    <w:rsid w:val="00353A26"/>
    <w:rPr>
      <w:i/>
      <w:iCs/>
    </w:rPr>
  </w:style>
  <w:style w:type="character" w:styleId="PlaceholderText">
    <w:name w:val="Placeholder Text"/>
    <w:basedOn w:val="DefaultParagraphFont"/>
    <w:uiPriority w:val="99"/>
    <w:semiHidden/>
    <w:rsid w:val="00CC25A1"/>
    <w:rPr>
      <w:color w:val="808080"/>
    </w:rPr>
  </w:style>
  <w:style w:type="character" w:customStyle="1" w:styleId="Style7">
    <w:name w:val="Style7"/>
    <w:basedOn w:val="DefaultParagraphFont"/>
    <w:uiPriority w:val="1"/>
    <w:rsid w:val="00CC25A1"/>
    <w:rPr>
      <w:rFonts w:ascii="Arial Bold" w:hAnsi="Arial Bold"/>
      <w:b/>
      <w:caps/>
      <w:smallCaps w:val="0"/>
      <w:sz w:val="32"/>
    </w:rPr>
  </w:style>
  <w:style w:type="character" w:customStyle="1" w:styleId="Style8">
    <w:name w:val="Style8"/>
    <w:basedOn w:val="DefaultParagraphFont"/>
    <w:uiPriority w:val="1"/>
    <w:rsid w:val="00CC25A1"/>
    <w:rPr>
      <w:rFonts w:ascii="Arial" w:hAnsi="Arial"/>
      <w:caps w:val="0"/>
      <w:smallCaps w:val="0"/>
      <w:sz w:val="24"/>
    </w:rPr>
  </w:style>
  <w:style w:type="character" w:customStyle="1" w:styleId="Style17">
    <w:name w:val="Style17"/>
    <w:basedOn w:val="DefaultParagraphFont"/>
    <w:uiPriority w:val="1"/>
    <w:rsid w:val="00CC25A1"/>
    <w:rPr>
      <w:rFonts w:ascii="Arial" w:hAnsi="Arial"/>
      <w:caps/>
      <w:smallCaps w:val="0"/>
      <w:color w:val="auto"/>
      <w:sz w:val="22"/>
    </w:rPr>
  </w:style>
  <w:style w:type="character" w:customStyle="1" w:styleId="Style19">
    <w:name w:val="Style19"/>
    <w:basedOn w:val="DefaultParagraphFont"/>
    <w:uiPriority w:val="1"/>
    <w:rsid w:val="00CC25A1"/>
    <w:rPr>
      <w:rFonts w:ascii="Arial" w:hAnsi="Arial"/>
      <w:sz w:val="22"/>
    </w:rPr>
  </w:style>
  <w:style w:type="character" w:customStyle="1" w:styleId="Style21">
    <w:name w:val="Style21"/>
    <w:basedOn w:val="DefaultParagraphFont"/>
    <w:uiPriority w:val="1"/>
    <w:rsid w:val="00CC25A1"/>
    <w:rPr>
      <w:rFonts w:ascii="Arial Bold" w:hAnsi="Arial Bold"/>
      <w:b/>
      <w:caps/>
      <w:smallCaps w:val="0"/>
      <w:sz w:val="32"/>
    </w:rPr>
  </w:style>
  <w:style w:type="character" w:customStyle="1" w:styleId="Style22">
    <w:name w:val="Style22"/>
    <w:basedOn w:val="DefaultParagraphFont"/>
    <w:uiPriority w:val="1"/>
    <w:rsid w:val="00CC25A1"/>
    <w:rPr>
      <w:rFonts w:ascii="Arial" w:hAnsi="Arial"/>
      <w:caps/>
      <w:smallCaps w:val="0"/>
      <w:vanish w:val="0"/>
      <w:sz w:val="22"/>
    </w:rPr>
  </w:style>
  <w:style w:type="character" w:customStyle="1" w:styleId="Style26">
    <w:name w:val="Style26"/>
    <w:basedOn w:val="DefaultParagraphFont"/>
    <w:uiPriority w:val="1"/>
    <w:rsid w:val="00CC25A1"/>
    <w:rPr>
      <w:rFonts w:ascii="Arial" w:hAnsi="Arial"/>
      <w:sz w:val="22"/>
    </w:rPr>
  </w:style>
  <w:style w:type="character" w:customStyle="1" w:styleId="Style33">
    <w:name w:val="Style33"/>
    <w:basedOn w:val="DefaultParagraphFont"/>
    <w:uiPriority w:val="1"/>
    <w:rsid w:val="00CC25A1"/>
    <w:rPr>
      <w:rFonts w:ascii="Arial" w:hAnsi="Arial"/>
      <w:sz w:val="22"/>
    </w:rPr>
  </w:style>
  <w:style w:type="character" w:customStyle="1" w:styleId="Style31">
    <w:name w:val="Style31"/>
    <w:basedOn w:val="DefaultParagraphFont"/>
    <w:uiPriority w:val="1"/>
    <w:rsid w:val="00E936EE"/>
    <w:rPr>
      <w:rFonts w:ascii="Arial" w:hAnsi="Arial"/>
      <w:sz w:val="22"/>
    </w:rPr>
  </w:style>
  <w:style w:type="character" w:customStyle="1" w:styleId="Style32">
    <w:name w:val="Style32"/>
    <w:basedOn w:val="DefaultParagraphFont"/>
    <w:uiPriority w:val="1"/>
    <w:rsid w:val="00E936EE"/>
    <w:rPr>
      <w:rFonts w:ascii="Arial" w:hAnsi="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72971">
      <w:bodyDiv w:val="1"/>
      <w:marLeft w:val="0"/>
      <w:marRight w:val="0"/>
      <w:marTop w:val="0"/>
      <w:marBottom w:val="0"/>
      <w:divBdr>
        <w:top w:val="none" w:sz="0" w:space="0" w:color="auto"/>
        <w:left w:val="none" w:sz="0" w:space="0" w:color="auto"/>
        <w:bottom w:val="none" w:sz="0" w:space="0" w:color="auto"/>
        <w:right w:val="none" w:sz="0" w:space="0" w:color="auto"/>
      </w:divBdr>
    </w:div>
    <w:div w:id="156194551">
      <w:bodyDiv w:val="1"/>
      <w:marLeft w:val="0"/>
      <w:marRight w:val="0"/>
      <w:marTop w:val="0"/>
      <w:marBottom w:val="0"/>
      <w:divBdr>
        <w:top w:val="none" w:sz="0" w:space="0" w:color="auto"/>
        <w:left w:val="none" w:sz="0" w:space="0" w:color="auto"/>
        <w:bottom w:val="none" w:sz="0" w:space="0" w:color="auto"/>
        <w:right w:val="none" w:sz="0" w:space="0" w:color="auto"/>
      </w:divBdr>
    </w:div>
    <w:div w:id="241182522">
      <w:bodyDiv w:val="1"/>
      <w:marLeft w:val="0"/>
      <w:marRight w:val="0"/>
      <w:marTop w:val="0"/>
      <w:marBottom w:val="0"/>
      <w:divBdr>
        <w:top w:val="none" w:sz="0" w:space="0" w:color="auto"/>
        <w:left w:val="none" w:sz="0" w:space="0" w:color="auto"/>
        <w:bottom w:val="none" w:sz="0" w:space="0" w:color="auto"/>
        <w:right w:val="none" w:sz="0" w:space="0" w:color="auto"/>
      </w:divBdr>
    </w:div>
    <w:div w:id="268978250">
      <w:bodyDiv w:val="1"/>
      <w:marLeft w:val="0"/>
      <w:marRight w:val="0"/>
      <w:marTop w:val="0"/>
      <w:marBottom w:val="0"/>
      <w:divBdr>
        <w:top w:val="none" w:sz="0" w:space="0" w:color="auto"/>
        <w:left w:val="none" w:sz="0" w:space="0" w:color="auto"/>
        <w:bottom w:val="none" w:sz="0" w:space="0" w:color="auto"/>
        <w:right w:val="none" w:sz="0" w:space="0" w:color="auto"/>
      </w:divBdr>
    </w:div>
    <w:div w:id="269318972">
      <w:bodyDiv w:val="1"/>
      <w:marLeft w:val="0"/>
      <w:marRight w:val="0"/>
      <w:marTop w:val="0"/>
      <w:marBottom w:val="0"/>
      <w:divBdr>
        <w:top w:val="none" w:sz="0" w:space="0" w:color="auto"/>
        <w:left w:val="none" w:sz="0" w:space="0" w:color="auto"/>
        <w:bottom w:val="none" w:sz="0" w:space="0" w:color="auto"/>
        <w:right w:val="none" w:sz="0" w:space="0" w:color="auto"/>
      </w:divBdr>
    </w:div>
    <w:div w:id="334503585">
      <w:bodyDiv w:val="1"/>
      <w:marLeft w:val="0"/>
      <w:marRight w:val="0"/>
      <w:marTop w:val="0"/>
      <w:marBottom w:val="0"/>
      <w:divBdr>
        <w:top w:val="none" w:sz="0" w:space="0" w:color="auto"/>
        <w:left w:val="none" w:sz="0" w:space="0" w:color="auto"/>
        <w:bottom w:val="none" w:sz="0" w:space="0" w:color="auto"/>
        <w:right w:val="none" w:sz="0" w:space="0" w:color="auto"/>
      </w:divBdr>
    </w:div>
    <w:div w:id="479999358">
      <w:bodyDiv w:val="1"/>
      <w:marLeft w:val="0"/>
      <w:marRight w:val="0"/>
      <w:marTop w:val="0"/>
      <w:marBottom w:val="0"/>
      <w:divBdr>
        <w:top w:val="none" w:sz="0" w:space="0" w:color="auto"/>
        <w:left w:val="none" w:sz="0" w:space="0" w:color="auto"/>
        <w:bottom w:val="none" w:sz="0" w:space="0" w:color="auto"/>
        <w:right w:val="none" w:sz="0" w:space="0" w:color="auto"/>
      </w:divBdr>
    </w:div>
    <w:div w:id="482433046">
      <w:bodyDiv w:val="1"/>
      <w:marLeft w:val="0"/>
      <w:marRight w:val="0"/>
      <w:marTop w:val="0"/>
      <w:marBottom w:val="0"/>
      <w:divBdr>
        <w:top w:val="none" w:sz="0" w:space="0" w:color="auto"/>
        <w:left w:val="none" w:sz="0" w:space="0" w:color="auto"/>
        <w:bottom w:val="none" w:sz="0" w:space="0" w:color="auto"/>
        <w:right w:val="none" w:sz="0" w:space="0" w:color="auto"/>
      </w:divBdr>
    </w:div>
    <w:div w:id="502551216">
      <w:bodyDiv w:val="1"/>
      <w:marLeft w:val="0"/>
      <w:marRight w:val="0"/>
      <w:marTop w:val="0"/>
      <w:marBottom w:val="0"/>
      <w:divBdr>
        <w:top w:val="none" w:sz="0" w:space="0" w:color="auto"/>
        <w:left w:val="none" w:sz="0" w:space="0" w:color="auto"/>
        <w:bottom w:val="none" w:sz="0" w:space="0" w:color="auto"/>
        <w:right w:val="none" w:sz="0" w:space="0" w:color="auto"/>
      </w:divBdr>
    </w:div>
    <w:div w:id="579825532">
      <w:bodyDiv w:val="1"/>
      <w:marLeft w:val="0"/>
      <w:marRight w:val="0"/>
      <w:marTop w:val="0"/>
      <w:marBottom w:val="0"/>
      <w:divBdr>
        <w:top w:val="none" w:sz="0" w:space="0" w:color="auto"/>
        <w:left w:val="none" w:sz="0" w:space="0" w:color="auto"/>
        <w:bottom w:val="none" w:sz="0" w:space="0" w:color="auto"/>
        <w:right w:val="none" w:sz="0" w:space="0" w:color="auto"/>
      </w:divBdr>
    </w:div>
    <w:div w:id="761799577">
      <w:bodyDiv w:val="1"/>
      <w:marLeft w:val="0"/>
      <w:marRight w:val="0"/>
      <w:marTop w:val="0"/>
      <w:marBottom w:val="0"/>
      <w:divBdr>
        <w:top w:val="none" w:sz="0" w:space="0" w:color="auto"/>
        <w:left w:val="none" w:sz="0" w:space="0" w:color="auto"/>
        <w:bottom w:val="none" w:sz="0" w:space="0" w:color="auto"/>
        <w:right w:val="none" w:sz="0" w:space="0" w:color="auto"/>
      </w:divBdr>
    </w:div>
    <w:div w:id="810364950">
      <w:bodyDiv w:val="1"/>
      <w:marLeft w:val="0"/>
      <w:marRight w:val="0"/>
      <w:marTop w:val="0"/>
      <w:marBottom w:val="0"/>
      <w:divBdr>
        <w:top w:val="none" w:sz="0" w:space="0" w:color="auto"/>
        <w:left w:val="none" w:sz="0" w:space="0" w:color="auto"/>
        <w:bottom w:val="none" w:sz="0" w:space="0" w:color="auto"/>
        <w:right w:val="none" w:sz="0" w:space="0" w:color="auto"/>
      </w:divBdr>
    </w:div>
    <w:div w:id="822039670">
      <w:bodyDiv w:val="1"/>
      <w:marLeft w:val="0"/>
      <w:marRight w:val="0"/>
      <w:marTop w:val="0"/>
      <w:marBottom w:val="0"/>
      <w:divBdr>
        <w:top w:val="none" w:sz="0" w:space="0" w:color="auto"/>
        <w:left w:val="none" w:sz="0" w:space="0" w:color="auto"/>
        <w:bottom w:val="none" w:sz="0" w:space="0" w:color="auto"/>
        <w:right w:val="none" w:sz="0" w:space="0" w:color="auto"/>
      </w:divBdr>
    </w:div>
    <w:div w:id="860826415">
      <w:bodyDiv w:val="1"/>
      <w:marLeft w:val="0"/>
      <w:marRight w:val="0"/>
      <w:marTop w:val="0"/>
      <w:marBottom w:val="0"/>
      <w:divBdr>
        <w:top w:val="none" w:sz="0" w:space="0" w:color="auto"/>
        <w:left w:val="none" w:sz="0" w:space="0" w:color="auto"/>
        <w:bottom w:val="none" w:sz="0" w:space="0" w:color="auto"/>
        <w:right w:val="none" w:sz="0" w:space="0" w:color="auto"/>
      </w:divBdr>
    </w:div>
    <w:div w:id="920332174">
      <w:bodyDiv w:val="1"/>
      <w:marLeft w:val="0"/>
      <w:marRight w:val="0"/>
      <w:marTop w:val="0"/>
      <w:marBottom w:val="0"/>
      <w:divBdr>
        <w:top w:val="none" w:sz="0" w:space="0" w:color="auto"/>
        <w:left w:val="none" w:sz="0" w:space="0" w:color="auto"/>
        <w:bottom w:val="none" w:sz="0" w:space="0" w:color="auto"/>
        <w:right w:val="none" w:sz="0" w:space="0" w:color="auto"/>
      </w:divBdr>
    </w:div>
    <w:div w:id="981807614">
      <w:bodyDiv w:val="1"/>
      <w:marLeft w:val="0"/>
      <w:marRight w:val="0"/>
      <w:marTop w:val="0"/>
      <w:marBottom w:val="0"/>
      <w:divBdr>
        <w:top w:val="none" w:sz="0" w:space="0" w:color="auto"/>
        <w:left w:val="none" w:sz="0" w:space="0" w:color="auto"/>
        <w:bottom w:val="none" w:sz="0" w:space="0" w:color="auto"/>
        <w:right w:val="none" w:sz="0" w:space="0" w:color="auto"/>
      </w:divBdr>
    </w:div>
    <w:div w:id="1022703943">
      <w:bodyDiv w:val="1"/>
      <w:marLeft w:val="0"/>
      <w:marRight w:val="0"/>
      <w:marTop w:val="0"/>
      <w:marBottom w:val="0"/>
      <w:divBdr>
        <w:top w:val="none" w:sz="0" w:space="0" w:color="auto"/>
        <w:left w:val="none" w:sz="0" w:space="0" w:color="auto"/>
        <w:bottom w:val="none" w:sz="0" w:space="0" w:color="auto"/>
        <w:right w:val="none" w:sz="0" w:space="0" w:color="auto"/>
      </w:divBdr>
    </w:div>
    <w:div w:id="1078018732">
      <w:bodyDiv w:val="1"/>
      <w:marLeft w:val="0"/>
      <w:marRight w:val="0"/>
      <w:marTop w:val="0"/>
      <w:marBottom w:val="0"/>
      <w:divBdr>
        <w:top w:val="none" w:sz="0" w:space="0" w:color="auto"/>
        <w:left w:val="none" w:sz="0" w:space="0" w:color="auto"/>
        <w:bottom w:val="none" w:sz="0" w:space="0" w:color="auto"/>
        <w:right w:val="none" w:sz="0" w:space="0" w:color="auto"/>
      </w:divBdr>
    </w:div>
    <w:div w:id="1085688177">
      <w:bodyDiv w:val="1"/>
      <w:marLeft w:val="0"/>
      <w:marRight w:val="0"/>
      <w:marTop w:val="0"/>
      <w:marBottom w:val="0"/>
      <w:divBdr>
        <w:top w:val="none" w:sz="0" w:space="0" w:color="auto"/>
        <w:left w:val="none" w:sz="0" w:space="0" w:color="auto"/>
        <w:bottom w:val="none" w:sz="0" w:space="0" w:color="auto"/>
        <w:right w:val="none" w:sz="0" w:space="0" w:color="auto"/>
      </w:divBdr>
    </w:div>
    <w:div w:id="1112433465">
      <w:bodyDiv w:val="1"/>
      <w:marLeft w:val="0"/>
      <w:marRight w:val="0"/>
      <w:marTop w:val="0"/>
      <w:marBottom w:val="0"/>
      <w:divBdr>
        <w:top w:val="none" w:sz="0" w:space="0" w:color="auto"/>
        <w:left w:val="none" w:sz="0" w:space="0" w:color="auto"/>
        <w:bottom w:val="none" w:sz="0" w:space="0" w:color="auto"/>
        <w:right w:val="none" w:sz="0" w:space="0" w:color="auto"/>
      </w:divBdr>
    </w:div>
    <w:div w:id="1117990940">
      <w:bodyDiv w:val="1"/>
      <w:marLeft w:val="0"/>
      <w:marRight w:val="0"/>
      <w:marTop w:val="0"/>
      <w:marBottom w:val="0"/>
      <w:divBdr>
        <w:top w:val="none" w:sz="0" w:space="0" w:color="auto"/>
        <w:left w:val="none" w:sz="0" w:space="0" w:color="auto"/>
        <w:bottom w:val="none" w:sz="0" w:space="0" w:color="auto"/>
        <w:right w:val="none" w:sz="0" w:space="0" w:color="auto"/>
      </w:divBdr>
    </w:div>
    <w:div w:id="1256085761">
      <w:bodyDiv w:val="1"/>
      <w:marLeft w:val="0"/>
      <w:marRight w:val="0"/>
      <w:marTop w:val="0"/>
      <w:marBottom w:val="0"/>
      <w:divBdr>
        <w:top w:val="none" w:sz="0" w:space="0" w:color="auto"/>
        <w:left w:val="none" w:sz="0" w:space="0" w:color="auto"/>
        <w:bottom w:val="none" w:sz="0" w:space="0" w:color="auto"/>
        <w:right w:val="none" w:sz="0" w:space="0" w:color="auto"/>
      </w:divBdr>
    </w:div>
    <w:div w:id="1261256041">
      <w:bodyDiv w:val="1"/>
      <w:marLeft w:val="0"/>
      <w:marRight w:val="0"/>
      <w:marTop w:val="0"/>
      <w:marBottom w:val="0"/>
      <w:divBdr>
        <w:top w:val="none" w:sz="0" w:space="0" w:color="auto"/>
        <w:left w:val="none" w:sz="0" w:space="0" w:color="auto"/>
        <w:bottom w:val="none" w:sz="0" w:space="0" w:color="auto"/>
        <w:right w:val="none" w:sz="0" w:space="0" w:color="auto"/>
      </w:divBdr>
    </w:div>
    <w:div w:id="1277448894">
      <w:bodyDiv w:val="1"/>
      <w:marLeft w:val="0"/>
      <w:marRight w:val="0"/>
      <w:marTop w:val="0"/>
      <w:marBottom w:val="0"/>
      <w:divBdr>
        <w:top w:val="none" w:sz="0" w:space="0" w:color="auto"/>
        <w:left w:val="none" w:sz="0" w:space="0" w:color="auto"/>
        <w:bottom w:val="none" w:sz="0" w:space="0" w:color="auto"/>
        <w:right w:val="none" w:sz="0" w:space="0" w:color="auto"/>
      </w:divBdr>
    </w:div>
    <w:div w:id="1305814398">
      <w:bodyDiv w:val="1"/>
      <w:marLeft w:val="0"/>
      <w:marRight w:val="0"/>
      <w:marTop w:val="0"/>
      <w:marBottom w:val="0"/>
      <w:divBdr>
        <w:top w:val="none" w:sz="0" w:space="0" w:color="auto"/>
        <w:left w:val="none" w:sz="0" w:space="0" w:color="auto"/>
        <w:bottom w:val="none" w:sz="0" w:space="0" w:color="auto"/>
        <w:right w:val="none" w:sz="0" w:space="0" w:color="auto"/>
      </w:divBdr>
    </w:div>
    <w:div w:id="1307854827">
      <w:bodyDiv w:val="1"/>
      <w:marLeft w:val="0"/>
      <w:marRight w:val="0"/>
      <w:marTop w:val="0"/>
      <w:marBottom w:val="0"/>
      <w:divBdr>
        <w:top w:val="none" w:sz="0" w:space="0" w:color="auto"/>
        <w:left w:val="none" w:sz="0" w:space="0" w:color="auto"/>
        <w:bottom w:val="none" w:sz="0" w:space="0" w:color="auto"/>
        <w:right w:val="none" w:sz="0" w:space="0" w:color="auto"/>
      </w:divBdr>
    </w:div>
    <w:div w:id="1310400017">
      <w:bodyDiv w:val="1"/>
      <w:marLeft w:val="0"/>
      <w:marRight w:val="0"/>
      <w:marTop w:val="0"/>
      <w:marBottom w:val="0"/>
      <w:divBdr>
        <w:top w:val="none" w:sz="0" w:space="0" w:color="auto"/>
        <w:left w:val="none" w:sz="0" w:space="0" w:color="auto"/>
        <w:bottom w:val="none" w:sz="0" w:space="0" w:color="auto"/>
        <w:right w:val="none" w:sz="0" w:space="0" w:color="auto"/>
      </w:divBdr>
    </w:div>
    <w:div w:id="1321927670">
      <w:bodyDiv w:val="1"/>
      <w:marLeft w:val="0"/>
      <w:marRight w:val="0"/>
      <w:marTop w:val="0"/>
      <w:marBottom w:val="0"/>
      <w:divBdr>
        <w:top w:val="none" w:sz="0" w:space="0" w:color="auto"/>
        <w:left w:val="none" w:sz="0" w:space="0" w:color="auto"/>
        <w:bottom w:val="none" w:sz="0" w:space="0" w:color="auto"/>
        <w:right w:val="none" w:sz="0" w:space="0" w:color="auto"/>
      </w:divBdr>
    </w:div>
    <w:div w:id="1413890618">
      <w:bodyDiv w:val="1"/>
      <w:marLeft w:val="0"/>
      <w:marRight w:val="0"/>
      <w:marTop w:val="0"/>
      <w:marBottom w:val="0"/>
      <w:divBdr>
        <w:top w:val="none" w:sz="0" w:space="0" w:color="auto"/>
        <w:left w:val="none" w:sz="0" w:space="0" w:color="auto"/>
        <w:bottom w:val="none" w:sz="0" w:space="0" w:color="auto"/>
        <w:right w:val="none" w:sz="0" w:space="0" w:color="auto"/>
      </w:divBdr>
    </w:div>
    <w:div w:id="1417096706">
      <w:bodyDiv w:val="1"/>
      <w:marLeft w:val="0"/>
      <w:marRight w:val="0"/>
      <w:marTop w:val="0"/>
      <w:marBottom w:val="0"/>
      <w:divBdr>
        <w:top w:val="none" w:sz="0" w:space="0" w:color="auto"/>
        <w:left w:val="none" w:sz="0" w:space="0" w:color="auto"/>
        <w:bottom w:val="none" w:sz="0" w:space="0" w:color="auto"/>
        <w:right w:val="none" w:sz="0" w:space="0" w:color="auto"/>
      </w:divBdr>
    </w:div>
    <w:div w:id="1418482058">
      <w:bodyDiv w:val="1"/>
      <w:marLeft w:val="0"/>
      <w:marRight w:val="0"/>
      <w:marTop w:val="0"/>
      <w:marBottom w:val="0"/>
      <w:divBdr>
        <w:top w:val="none" w:sz="0" w:space="0" w:color="auto"/>
        <w:left w:val="none" w:sz="0" w:space="0" w:color="auto"/>
        <w:bottom w:val="none" w:sz="0" w:space="0" w:color="auto"/>
        <w:right w:val="none" w:sz="0" w:space="0" w:color="auto"/>
      </w:divBdr>
    </w:div>
    <w:div w:id="1432966823">
      <w:bodyDiv w:val="1"/>
      <w:marLeft w:val="0"/>
      <w:marRight w:val="0"/>
      <w:marTop w:val="0"/>
      <w:marBottom w:val="0"/>
      <w:divBdr>
        <w:top w:val="none" w:sz="0" w:space="0" w:color="auto"/>
        <w:left w:val="none" w:sz="0" w:space="0" w:color="auto"/>
        <w:bottom w:val="none" w:sz="0" w:space="0" w:color="auto"/>
        <w:right w:val="none" w:sz="0" w:space="0" w:color="auto"/>
      </w:divBdr>
    </w:div>
    <w:div w:id="1441031766">
      <w:bodyDiv w:val="1"/>
      <w:marLeft w:val="0"/>
      <w:marRight w:val="0"/>
      <w:marTop w:val="0"/>
      <w:marBottom w:val="0"/>
      <w:divBdr>
        <w:top w:val="none" w:sz="0" w:space="0" w:color="auto"/>
        <w:left w:val="none" w:sz="0" w:space="0" w:color="auto"/>
        <w:bottom w:val="none" w:sz="0" w:space="0" w:color="auto"/>
        <w:right w:val="none" w:sz="0" w:space="0" w:color="auto"/>
      </w:divBdr>
    </w:div>
    <w:div w:id="1446343649">
      <w:bodyDiv w:val="1"/>
      <w:marLeft w:val="0"/>
      <w:marRight w:val="0"/>
      <w:marTop w:val="0"/>
      <w:marBottom w:val="0"/>
      <w:divBdr>
        <w:top w:val="none" w:sz="0" w:space="0" w:color="auto"/>
        <w:left w:val="none" w:sz="0" w:space="0" w:color="auto"/>
        <w:bottom w:val="none" w:sz="0" w:space="0" w:color="auto"/>
        <w:right w:val="none" w:sz="0" w:space="0" w:color="auto"/>
      </w:divBdr>
    </w:div>
    <w:div w:id="1456749789">
      <w:bodyDiv w:val="1"/>
      <w:marLeft w:val="0"/>
      <w:marRight w:val="0"/>
      <w:marTop w:val="0"/>
      <w:marBottom w:val="0"/>
      <w:divBdr>
        <w:top w:val="none" w:sz="0" w:space="0" w:color="auto"/>
        <w:left w:val="none" w:sz="0" w:space="0" w:color="auto"/>
        <w:bottom w:val="none" w:sz="0" w:space="0" w:color="auto"/>
        <w:right w:val="none" w:sz="0" w:space="0" w:color="auto"/>
      </w:divBdr>
    </w:div>
    <w:div w:id="1647664378">
      <w:bodyDiv w:val="1"/>
      <w:marLeft w:val="0"/>
      <w:marRight w:val="0"/>
      <w:marTop w:val="0"/>
      <w:marBottom w:val="0"/>
      <w:divBdr>
        <w:top w:val="none" w:sz="0" w:space="0" w:color="auto"/>
        <w:left w:val="none" w:sz="0" w:space="0" w:color="auto"/>
        <w:bottom w:val="none" w:sz="0" w:space="0" w:color="auto"/>
        <w:right w:val="none" w:sz="0" w:space="0" w:color="auto"/>
      </w:divBdr>
    </w:div>
    <w:div w:id="1751154189">
      <w:bodyDiv w:val="1"/>
      <w:marLeft w:val="0"/>
      <w:marRight w:val="0"/>
      <w:marTop w:val="0"/>
      <w:marBottom w:val="0"/>
      <w:divBdr>
        <w:top w:val="none" w:sz="0" w:space="0" w:color="auto"/>
        <w:left w:val="none" w:sz="0" w:space="0" w:color="auto"/>
        <w:bottom w:val="none" w:sz="0" w:space="0" w:color="auto"/>
        <w:right w:val="none" w:sz="0" w:space="0" w:color="auto"/>
      </w:divBdr>
    </w:div>
    <w:div w:id="1761834202">
      <w:bodyDiv w:val="1"/>
      <w:marLeft w:val="0"/>
      <w:marRight w:val="0"/>
      <w:marTop w:val="0"/>
      <w:marBottom w:val="0"/>
      <w:divBdr>
        <w:top w:val="none" w:sz="0" w:space="0" w:color="auto"/>
        <w:left w:val="none" w:sz="0" w:space="0" w:color="auto"/>
        <w:bottom w:val="none" w:sz="0" w:space="0" w:color="auto"/>
        <w:right w:val="none" w:sz="0" w:space="0" w:color="auto"/>
      </w:divBdr>
    </w:div>
    <w:div w:id="1780754925">
      <w:bodyDiv w:val="1"/>
      <w:marLeft w:val="0"/>
      <w:marRight w:val="0"/>
      <w:marTop w:val="0"/>
      <w:marBottom w:val="0"/>
      <w:divBdr>
        <w:top w:val="none" w:sz="0" w:space="0" w:color="auto"/>
        <w:left w:val="none" w:sz="0" w:space="0" w:color="auto"/>
        <w:bottom w:val="none" w:sz="0" w:space="0" w:color="auto"/>
        <w:right w:val="none" w:sz="0" w:space="0" w:color="auto"/>
      </w:divBdr>
    </w:div>
    <w:div w:id="1836457922">
      <w:bodyDiv w:val="1"/>
      <w:marLeft w:val="0"/>
      <w:marRight w:val="0"/>
      <w:marTop w:val="0"/>
      <w:marBottom w:val="0"/>
      <w:divBdr>
        <w:top w:val="none" w:sz="0" w:space="0" w:color="auto"/>
        <w:left w:val="none" w:sz="0" w:space="0" w:color="auto"/>
        <w:bottom w:val="none" w:sz="0" w:space="0" w:color="auto"/>
        <w:right w:val="none" w:sz="0" w:space="0" w:color="auto"/>
      </w:divBdr>
    </w:div>
    <w:div w:id="1859927257">
      <w:bodyDiv w:val="1"/>
      <w:marLeft w:val="0"/>
      <w:marRight w:val="0"/>
      <w:marTop w:val="0"/>
      <w:marBottom w:val="0"/>
      <w:divBdr>
        <w:top w:val="none" w:sz="0" w:space="0" w:color="auto"/>
        <w:left w:val="none" w:sz="0" w:space="0" w:color="auto"/>
        <w:bottom w:val="none" w:sz="0" w:space="0" w:color="auto"/>
        <w:right w:val="none" w:sz="0" w:space="0" w:color="auto"/>
      </w:divBdr>
    </w:div>
    <w:div w:id="1900748151">
      <w:bodyDiv w:val="1"/>
      <w:marLeft w:val="0"/>
      <w:marRight w:val="0"/>
      <w:marTop w:val="0"/>
      <w:marBottom w:val="0"/>
      <w:divBdr>
        <w:top w:val="none" w:sz="0" w:space="0" w:color="auto"/>
        <w:left w:val="none" w:sz="0" w:space="0" w:color="auto"/>
        <w:bottom w:val="none" w:sz="0" w:space="0" w:color="auto"/>
        <w:right w:val="none" w:sz="0" w:space="0" w:color="auto"/>
      </w:divBdr>
    </w:div>
    <w:div w:id="1930770549">
      <w:bodyDiv w:val="1"/>
      <w:marLeft w:val="0"/>
      <w:marRight w:val="0"/>
      <w:marTop w:val="0"/>
      <w:marBottom w:val="0"/>
      <w:divBdr>
        <w:top w:val="none" w:sz="0" w:space="0" w:color="auto"/>
        <w:left w:val="none" w:sz="0" w:space="0" w:color="auto"/>
        <w:bottom w:val="none" w:sz="0" w:space="0" w:color="auto"/>
        <w:right w:val="none" w:sz="0" w:space="0" w:color="auto"/>
      </w:divBdr>
    </w:div>
    <w:div w:id="1964995925">
      <w:bodyDiv w:val="1"/>
      <w:marLeft w:val="0"/>
      <w:marRight w:val="0"/>
      <w:marTop w:val="0"/>
      <w:marBottom w:val="0"/>
      <w:divBdr>
        <w:top w:val="none" w:sz="0" w:space="0" w:color="auto"/>
        <w:left w:val="none" w:sz="0" w:space="0" w:color="auto"/>
        <w:bottom w:val="none" w:sz="0" w:space="0" w:color="auto"/>
        <w:right w:val="none" w:sz="0" w:space="0" w:color="auto"/>
      </w:divBdr>
    </w:div>
    <w:div w:id="2042316271">
      <w:bodyDiv w:val="1"/>
      <w:marLeft w:val="0"/>
      <w:marRight w:val="0"/>
      <w:marTop w:val="0"/>
      <w:marBottom w:val="0"/>
      <w:divBdr>
        <w:top w:val="none" w:sz="0" w:space="0" w:color="auto"/>
        <w:left w:val="none" w:sz="0" w:space="0" w:color="auto"/>
        <w:bottom w:val="none" w:sz="0" w:space="0" w:color="auto"/>
        <w:right w:val="none" w:sz="0" w:space="0" w:color="auto"/>
      </w:divBdr>
    </w:div>
    <w:div w:id="2052222071">
      <w:bodyDiv w:val="1"/>
      <w:marLeft w:val="0"/>
      <w:marRight w:val="0"/>
      <w:marTop w:val="0"/>
      <w:marBottom w:val="0"/>
      <w:divBdr>
        <w:top w:val="none" w:sz="0" w:space="0" w:color="auto"/>
        <w:left w:val="none" w:sz="0" w:space="0" w:color="auto"/>
        <w:bottom w:val="none" w:sz="0" w:space="0" w:color="auto"/>
        <w:right w:val="none" w:sz="0" w:space="0" w:color="auto"/>
      </w:divBdr>
      <w:divsChild>
        <w:div w:id="1494371863">
          <w:marLeft w:val="-300"/>
          <w:marRight w:val="-300"/>
          <w:marTop w:val="0"/>
          <w:marBottom w:val="0"/>
          <w:divBdr>
            <w:top w:val="none" w:sz="0" w:space="0" w:color="auto"/>
            <w:left w:val="none" w:sz="0" w:space="0" w:color="auto"/>
            <w:bottom w:val="none" w:sz="0" w:space="0" w:color="auto"/>
            <w:right w:val="none" w:sz="0" w:space="0" w:color="auto"/>
          </w:divBdr>
          <w:divsChild>
            <w:div w:id="1861581661">
              <w:marLeft w:val="-300"/>
              <w:marRight w:val="-300"/>
              <w:marTop w:val="0"/>
              <w:marBottom w:val="0"/>
              <w:divBdr>
                <w:top w:val="none" w:sz="0" w:space="0" w:color="auto"/>
                <w:left w:val="none" w:sz="0" w:space="0" w:color="auto"/>
                <w:bottom w:val="none" w:sz="0" w:space="0" w:color="auto"/>
                <w:right w:val="none" w:sz="0" w:space="0" w:color="auto"/>
              </w:divBdr>
              <w:divsChild>
                <w:div w:id="1202402681">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2054041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5.xml"/><Relationship Id="rId26" Type="http://schemas.openxmlformats.org/officeDocument/2006/relationships/hyperlink" Target="http://www.patientsafety.wales.nhs.uk/sitesplus/documents/1104/PSN046%20-%20Resources%20to%20support%20safer%20bowel%20care.pdf" TargetMode="External"/><Relationship Id="rId39" Type="http://schemas.openxmlformats.org/officeDocument/2006/relationships/chart" Target="charts/chart22.xml"/><Relationship Id="rId21" Type="http://schemas.openxmlformats.org/officeDocument/2006/relationships/chart" Target="charts/chart8.xml"/><Relationship Id="rId34" Type="http://schemas.openxmlformats.org/officeDocument/2006/relationships/chart" Target="charts/chart17.xml"/><Relationship Id="rId42" Type="http://schemas.openxmlformats.org/officeDocument/2006/relationships/chart" Target="charts/chart25.xml"/><Relationship Id="rId47" Type="http://schemas.openxmlformats.org/officeDocument/2006/relationships/image" Target="media/image5.png"/><Relationship Id="rId50" Type="http://schemas.openxmlformats.org/officeDocument/2006/relationships/chart" Target="charts/chart29.xml"/><Relationship Id="rId55" Type="http://schemas.openxmlformats.org/officeDocument/2006/relationships/chart" Target="charts/chart34.xml"/><Relationship Id="rId63" Type="http://schemas.openxmlformats.org/officeDocument/2006/relationships/header" Target="header3.xml"/><Relationship Id="rId68" Type="http://schemas.openxmlformats.org/officeDocument/2006/relationships/image" Target="media/image9.png"/><Relationship Id="rId76" Type="http://schemas.openxmlformats.org/officeDocument/2006/relationships/glossaryDocument" Target="glossary/document.xml"/><Relationship Id="rId7" Type="http://schemas.openxmlformats.org/officeDocument/2006/relationships/endnotes" Target="endnotes.xml"/><Relationship Id="rId71" Type="http://schemas.openxmlformats.org/officeDocument/2006/relationships/chart" Target="charts/chart43.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2.xml"/><Relationship Id="rId11" Type="http://schemas.openxmlformats.org/officeDocument/2006/relationships/header" Target="header1.xml"/><Relationship Id="rId24" Type="http://schemas.openxmlformats.org/officeDocument/2006/relationships/hyperlink" Target="http://www.patientsafety.wales.nhs.uk/sitesplus/documents/1104/22501_asphyxiation_patient%20safety%20leaflet_WEB.PDF" TargetMode="Externa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image" Target="media/image3.png"/><Relationship Id="rId53" Type="http://schemas.openxmlformats.org/officeDocument/2006/relationships/chart" Target="charts/chart32.xml"/><Relationship Id="rId58" Type="http://schemas.openxmlformats.org/officeDocument/2006/relationships/chart" Target="charts/chart37.xml"/><Relationship Id="rId66" Type="http://schemas.openxmlformats.org/officeDocument/2006/relationships/image" Target="media/image8.png"/><Relationship Id="rId7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chart" Target="charts/chart28.xml"/><Relationship Id="rId57" Type="http://schemas.openxmlformats.org/officeDocument/2006/relationships/chart" Target="charts/chart36.xml"/><Relationship Id="rId61" Type="http://schemas.openxmlformats.org/officeDocument/2006/relationships/header" Target="header2.xml"/><Relationship Id="rId10" Type="http://schemas.openxmlformats.org/officeDocument/2006/relationships/hyperlink" Target="mailto:Ruth.friel@wales.nhs.uk" TargetMode="External"/><Relationship Id="rId19" Type="http://schemas.openxmlformats.org/officeDocument/2006/relationships/chart" Target="charts/chart6.xml"/><Relationship Id="rId31" Type="http://schemas.openxmlformats.org/officeDocument/2006/relationships/chart" Target="charts/chart14.xml"/><Relationship Id="rId44" Type="http://schemas.openxmlformats.org/officeDocument/2006/relationships/image" Target="media/image2.png"/><Relationship Id="rId52" Type="http://schemas.openxmlformats.org/officeDocument/2006/relationships/chart" Target="charts/chart31.xml"/><Relationship Id="rId60" Type="http://schemas.openxmlformats.org/officeDocument/2006/relationships/chart" Target="charts/chart39.xml"/><Relationship Id="rId65" Type="http://schemas.openxmlformats.org/officeDocument/2006/relationships/footer" Target="footer4.xml"/><Relationship Id="rId73"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yperlink" Target="mailto:eiri.jones3@wales.nhs.uk" TargetMode="Externa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hyperlink" Target="http://www.patientsafety.wales.nhs.uk/safety-solutions-compliance-data" TargetMode="Externa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chart" Target="charts/chart26.xml"/><Relationship Id="rId48" Type="http://schemas.openxmlformats.org/officeDocument/2006/relationships/chart" Target="charts/chart27.xml"/><Relationship Id="rId56" Type="http://schemas.openxmlformats.org/officeDocument/2006/relationships/chart" Target="charts/chart35.xml"/><Relationship Id="rId64" Type="http://schemas.openxmlformats.org/officeDocument/2006/relationships/header" Target="header4.xml"/><Relationship Id="rId69" Type="http://schemas.openxmlformats.org/officeDocument/2006/relationships/chart" Target="charts/chart41.xml"/><Relationship Id="rId77" Type="http://schemas.openxmlformats.org/officeDocument/2006/relationships/theme" Target="theme/theme1.xml"/><Relationship Id="rId8" Type="http://schemas.openxmlformats.org/officeDocument/2006/relationships/hyperlink" Target="mailto:mark.townsend@wales.nhs.uk" TargetMode="External"/><Relationship Id="rId51" Type="http://schemas.openxmlformats.org/officeDocument/2006/relationships/chart" Target="charts/chart30.xml"/><Relationship Id="rId72" Type="http://schemas.openxmlformats.org/officeDocument/2006/relationships/header" Target="header5.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4.xml"/><Relationship Id="rId25" Type="http://schemas.openxmlformats.org/officeDocument/2006/relationships/hyperlink" Target="http://www.patientsafety.wales.nhs.uk/sitesplus/documents/1104/PSN030%20Safe%20storage%20of%20medicines%20cupboards.pdf" TargetMode="Externa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image" Target="media/image4.png"/><Relationship Id="rId59" Type="http://schemas.openxmlformats.org/officeDocument/2006/relationships/chart" Target="charts/chart38.xml"/><Relationship Id="rId67" Type="http://schemas.openxmlformats.org/officeDocument/2006/relationships/chart" Target="charts/chart40.xml"/><Relationship Id="rId20" Type="http://schemas.openxmlformats.org/officeDocument/2006/relationships/chart" Target="charts/chart7.xml"/><Relationship Id="rId41" Type="http://schemas.openxmlformats.org/officeDocument/2006/relationships/chart" Target="charts/chart24.xml"/><Relationship Id="rId54" Type="http://schemas.openxmlformats.org/officeDocument/2006/relationships/chart" Target="charts/chart33.xml"/><Relationship Id="rId62" Type="http://schemas.openxmlformats.org/officeDocument/2006/relationships/footer" Target="footer3.xml"/><Relationship Id="rId70" Type="http://schemas.openxmlformats.org/officeDocument/2006/relationships/chart" Target="charts/chart4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7.jpeg"/></Relationships>
</file>

<file path=word/_rels/header5.xml.rels><?xml version="1.0" encoding="UTF-8" standalone="yes"?>
<Relationships xmlns="http://schemas.openxmlformats.org/package/2006/relationships"><Relationship Id="rId1" Type="http://schemas.openxmlformats.org/officeDocument/2006/relationships/image" Target="media/image6.png"/></Relationships>
</file>

<file path=word/_rels/header6.xml.rels><?xml version="1.0" encoding="UTF-8" standalone="yes"?>
<Relationships xmlns="http://schemas.openxmlformats.org/package/2006/relationships"><Relationship Id="rId1"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7A5B1SRVFIL0001\work$\Patient%20Care%20and%20Safety%20Unit\Patient%20Care%20&amp;%20Safety%20Team\013%20Clinical%20Audit%20&amp;%20Quality%20Informatics\22%20Health%20Board%20Reporting%20Service\QualityDashboardPECMetricsVer1_0Mar2020.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1.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2.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3.xlsx"/></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28.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29.xlsx"/><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package" Target="../embeddings/Microsoft_Excel_Worksheet30.xlsx"/><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package" Target="../embeddings/Microsoft_Excel_Worksheet31.xlsx"/><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package" Target="../embeddings/Microsoft_Excel_Worksheet32.xlsx"/><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package" Target="../embeddings/Microsoft_Excel_Worksheet33.xlsx"/><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package" Target="../embeddings/Microsoft_Excel_Worksheet34.xlsx"/><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package" Target="../embeddings/Microsoft_Excel_Worksheet35.xlsx"/><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6.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37.xlsx"/></Relationships>
</file>

<file path=word/charts/_rels/chart39.xml.rels><?xml version="1.0" encoding="UTF-8" standalone="yes"?>
<Relationships xmlns="http://schemas.openxmlformats.org/package/2006/relationships"><Relationship Id="rId3" Type="http://schemas.openxmlformats.org/officeDocument/2006/relationships/package" Target="../embeddings/Microsoft_Excel_Worksheet38.xlsx"/><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39.xlsx"/></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40.xlsx"/></Relationships>
</file>

<file path=word/charts/_rels/chart4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5.xml"/></Relationships>
</file>

<file path=word/charts/_rels/chart4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16.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Dashboard'!$C$7:$O$7</c:f>
              <c:numCache>
                <c:formatCode>General</c:formatCode>
                <c:ptCount val="13"/>
                <c:pt idx="0">
                  <c:v>0</c:v>
                </c:pt>
                <c:pt idx="1">
                  <c:v>0</c:v>
                </c:pt>
                <c:pt idx="2">
                  <c:v>0</c:v>
                </c:pt>
                <c:pt idx="3">
                  <c:v>0</c:v>
                </c:pt>
                <c:pt idx="4">
                  <c:v>0</c:v>
                </c:pt>
                <c:pt idx="5">
                  <c:v>0</c:v>
                </c:pt>
                <c:pt idx="6">
                  <c:v>1</c:v>
                </c:pt>
                <c:pt idx="7">
                  <c:v>0</c:v>
                </c:pt>
                <c:pt idx="8">
                  <c:v>0</c:v>
                </c:pt>
                <c:pt idx="9">
                  <c:v>2</c:v>
                </c:pt>
                <c:pt idx="10">
                  <c:v>1</c:v>
                </c:pt>
                <c:pt idx="11">
                  <c:v>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2643872"/>
        <c:axId val="602644264"/>
      </c:lineChart>
      <c:catAx>
        <c:axId val="602643872"/>
        <c:scaling>
          <c:orientation val="minMax"/>
        </c:scaling>
        <c:delete val="1"/>
        <c:axPos val="b"/>
        <c:numFmt formatCode="mmm\-yy" sourceLinked="1"/>
        <c:majorTickMark val="none"/>
        <c:minorTickMark val="none"/>
        <c:tickLblPos val="nextTo"/>
        <c:crossAx val="602644264"/>
        <c:crosses val="autoZero"/>
        <c:auto val="1"/>
        <c:lblAlgn val="ctr"/>
        <c:lblOffset val="100"/>
        <c:noMultiLvlLbl val="0"/>
      </c:catAx>
      <c:valAx>
        <c:axId val="60264426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26438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r>
              <a:rPr lang="en-GB" sz="900">
                <a:solidFill>
                  <a:schemeClr val="tx1"/>
                </a:solidFill>
                <a:latin typeface="+mn-lt"/>
              </a:rPr>
              <a:t>Figure</a:t>
            </a:r>
            <a:r>
              <a:rPr lang="en-GB" sz="900" baseline="0">
                <a:solidFill>
                  <a:schemeClr val="tx1"/>
                </a:solidFill>
                <a:latin typeface="+mn-lt"/>
              </a:rPr>
              <a:t> 3: </a:t>
            </a:r>
            <a:r>
              <a:rPr lang="en-GB" sz="900">
                <a:solidFill>
                  <a:schemeClr val="tx1"/>
                </a:solidFill>
                <a:latin typeface="+mn-lt"/>
              </a:rPr>
              <a:t>Response within 30 working days</a:t>
            </a:r>
          </a:p>
        </c:rich>
      </c:tx>
      <c:overlay val="0"/>
      <c:spPr>
        <a:noFill/>
        <a:ln>
          <a:noFill/>
        </a:ln>
        <a:effectLst/>
      </c:spPr>
      <c:txPr>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endParaRPr lang="en-US"/>
        </a:p>
      </c:txPr>
    </c:title>
    <c:autoTitleDeleted val="0"/>
    <c:plotArea>
      <c:layout>
        <c:manualLayout>
          <c:layoutTarget val="inner"/>
          <c:xMode val="edge"/>
          <c:yMode val="edge"/>
          <c:x val="0.11614020631142037"/>
          <c:y val="0.31568776125206571"/>
          <c:w val="0.87359792568853167"/>
          <c:h val="0.3430050873270471"/>
        </c:manualLayout>
      </c:layout>
      <c:lineChart>
        <c:grouping val="standard"/>
        <c:varyColors val="0"/>
        <c:ser>
          <c:idx val="0"/>
          <c:order val="0"/>
          <c:tx>
            <c:strRef>
              <c:f>'Sec3 Complaints'!$B$18</c:f>
              <c:strCache>
                <c:ptCount val="1"/>
                <c:pt idx="0">
                  <c:v>Response within 30 working days</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Pt>
            <c:idx val="11"/>
            <c:marker>
              <c:symbol val="circle"/>
              <c:size val="6"/>
              <c:spPr>
                <a:solidFill>
                  <a:schemeClr val="accent1">
                    <a:lumMod val="20000"/>
                    <a:lumOff val="80000"/>
                  </a:schemeClr>
                </a:solidFill>
                <a:ln w="15875">
                  <a:solidFill>
                    <a:schemeClr val="accent1"/>
                  </a:solidFill>
                  <a:round/>
                </a:ln>
                <a:effectLst/>
              </c:spPr>
            </c:marker>
            <c:bubble3D val="0"/>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'Sec3 Complaints'!$C$17:$N$17</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'Sec3 Complaints'!$C$18:$N$18</c:f>
              <c:numCache>
                <c:formatCode>0%</c:formatCode>
                <c:ptCount val="12"/>
                <c:pt idx="0">
                  <c:v>0.26</c:v>
                </c:pt>
                <c:pt idx="1">
                  <c:v>0.19</c:v>
                </c:pt>
                <c:pt idx="2">
                  <c:v>0.52</c:v>
                </c:pt>
                <c:pt idx="3">
                  <c:v>0.68</c:v>
                </c:pt>
                <c:pt idx="4">
                  <c:v>0.77</c:v>
                </c:pt>
                <c:pt idx="5">
                  <c:v>0.78</c:v>
                </c:pt>
                <c:pt idx="6">
                  <c:v>0.88</c:v>
                </c:pt>
                <c:pt idx="7">
                  <c:v>0.7</c:v>
                </c:pt>
                <c:pt idx="8">
                  <c:v>0.8</c:v>
                </c:pt>
                <c:pt idx="9">
                  <c:v>0.67</c:v>
                </c:pt>
                <c:pt idx="10">
                  <c:v>0.7</c:v>
                </c:pt>
                <c:pt idx="11">
                  <c:v>0.71</c:v>
                </c:pt>
              </c:numCache>
            </c:numRef>
          </c:val>
          <c:smooth val="0"/>
        </c:ser>
        <c:ser>
          <c:idx val="1"/>
          <c:order val="1"/>
          <c:tx>
            <c:strRef>
              <c:f>'Sec3 Complaints'!$B$19</c:f>
              <c:strCache>
                <c:ptCount val="1"/>
                <c:pt idx="0">
                  <c:v>Mean</c:v>
                </c:pt>
              </c:strCache>
            </c:strRef>
          </c:tx>
          <c:spPr>
            <a:ln w="22225" cap="rnd">
              <a:solidFill>
                <a:schemeClr val="accent2"/>
              </a:solidFill>
              <a:round/>
            </a:ln>
            <a:effectLst/>
          </c:spPr>
          <c:marker>
            <c:symbol val="none"/>
          </c:marker>
          <c:cat>
            <c:numRef>
              <c:f>'Sec3 Complaints'!$C$17:$N$17</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'Sec3 Complaints'!$C$19:$N$19</c:f>
              <c:numCache>
                <c:formatCode>General</c:formatCode>
                <c:ptCount val="12"/>
                <c:pt idx="0">
                  <c:v>0.60615384615384615</c:v>
                </c:pt>
                <c:pt idx="1">
                  <c:v>0.60615384615384615</c:v>
                </c:pt>
                <c:pt idx="2">
                  <c:v>0.60615384615384615</c:v>
                </c:pt>
                <c:pt idx="3">
                  <c:v>0.60615384615384615</c:v>
                </c:pt>
                <c:pt idx="4">
                  <c:v>0.60615384615384615</c:v>
                </c:pt>
                <c:pt idx="5">
                  <c:v>0.60615384615384615</c:v>
                </c:pt>
                <c:pt idx="6">
                  <c:v>0.60615384615384615</c:v>
                </c:pt>
                <c:pt idx="7">
                  <c:v>0.60615384615384615</c:v>
                </c:pt>
                <c:pt idx="8">
                  <c:v>0.60615384615384615</c:v>
                </c:pt>
                <c:pt idx="9">
                  <c:v>0.60615384615384615</c:v>
                </c:pt>
                <c:pt idx="10">
                  <c:v>0.60615384615384615</c:v>
                </c:pt>
                <c:pt idx="11">
                  <c:v>0.60615384615384615</c:v>
                </c:pt>
              </c:numCache>
            </c:numRef>
          </c:val>
          <c:smooth val="0"/>
        </c:ser>
        <c:dLbls>
          <c:showLegendKey val="0"/>
          <c:showVal val="0"/>
          <c:showCatName val="0"/>
          <c:showSerName val="0"/>
          <c:showPercent val="0"/>
          <c:showBubbleSize val="0"/>
        </c:dLbls>
        <c:marker val="1"/>
        <c:smooth val="0"/>
        <c:axId val="603259696"/>
        <c:axId val="603260088"/>
      </c:lineChart>
      <c:dateAx>
        <c:axId val="603259696"/>
        <c:scaling>
          <c:orientation val="minMax"/>
        </c:scaling>
        <c:delete val="0"/>
        <c:axPos val="b"/>
        <c:numFmt formatCode="mmm\-yy" sourceLinked="1"/>
        <c:majorTickMark val="out"/>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03260088"/>
        <c:crosses val="autoZero"/>
        <c:auto val="1"/>
        <c:lblOffset val="100"/>
        <c:baseTimeUnit val="months"/>
        <c:majorUnit val="1"/>
        <c:majorTimeUnit val="months"/>
      </c:dateAx>
      <c:valAx>
        <c:axId val="60326008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03259696"/>
        <c:crosses val="autoZero"/>
        <c:crossBetween val="between"/>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8.9695674229646957E-2"/>
          <c:y val="0.82421751968503942"/>
          <c:w val="0.85993972079056691"/>
          <c:h val="0.175782480314960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Sheet3!$D$7</c:f>
              <c:strCache>
                <c:ptCount val="1"/>
                <c:pt idx="0">
                  <c:v>Number of never events in month</c:v>
                </c:pt>
              </c:strCache>
            </c:strRef>
          </c:tx>
          <c:spPr>
            <a:ln w="28575" cap="rnd">
              <a:solidFill>
                <a:schemeClr val="accent1"/>
              </a:solidFill>
              <a:round/>
            </a:ln>
            <a:effectLst/>
          </c:spPr>
          <c:marker>
            <c:symbol val="none"/>
          </c:marker>
          <c:cat>
            <c:numRef>
              <c:f>Sheet1!$D$3:$O$3</c:f>
              <c:numCache>
                <c:formatCode>mmm\-yy</c:formatCode>
                <c:ptCount val="12"/>
                <c:pt idx="0">
                  <c:v>43344</c:v>
                </c:pt>
                <c:pt idx="1">
                  <c:v>43374</c:v>
                </c:pt>
                <c:pt idx="2">
                  <c:v>43405</c:v>
                </c:pt>
                <c:pt idx="3">
                  <c:v>43435</c:v>
                </c:pt>
                <c:pt idx="4">
                  <c:v>43466</c:v>
                </c:pt>
                <c:pt idx="5">
                  <c:v>43497</c:v>
                </c:pt>
                <c:pt idx="6">
                  <c:v>43525</c:v>
                </c:pt>
                <c:pt idx="7">
                  <c:v>43556</c:v>
                </c:pt>
                <c:pt idx="8">
                  <c:v>43586</c:v>
                </c:pt>
                <c:pt idx="9">
                  <c:v>43617</c:v>
                </c:pt>
                <c:pt idx="10">
                  <c:v>43647</c:v>
                </c:pt>
              </c:numCache>
            </c:numRef>
          </c:cat>
          <c:val>
            <c:numRef>
              <c:f>Sheet3!$E$20:$Q$20</c:f>
              <c:numCache>
                <c:formatCode>General</c:formatCode>
                <c:ptCount val="13"/>
                <c:pt idx="0">
                  <c:v>212</c:v>
                </c:pt>
                <c:pt idx="1">
                  <c:v>225</c:v>
                </c:pt>
                <c:pt idx="2">
                  <c:v>195</c:v>
                </c:pt>
                <c:pt idx="3">
                  <c:v>193</c:v>
                </c:pt>
                <c:pt idx="4">
                  <c:v>264</c:v>
                </c:pt>
                <c:pt idx="5">
                  <c:v>268</c:v>
                </c:pt>
                <c:pt idx="6">
                  <c:v>238</c:v>
                </c:pt>
                <c:pt idx="7">
                  <c:v>254</c:v>
                </c:pt>
                <c:pt idx="8">
                  <c:v>271</c:v>
                </c:pt>
                <c:pt idx="9">
                  <c:v>268</c:v>
                </c:pt>
                <c:pt idx="10">
                  <c:v>264</c:v>
                </c:pt>
                <c:pt idx="11">
                  <c:v>246</c:v>
                </c:pt>
              </c:numCache>
            </c:numRef>
          </c:val>
          <c:smooth val="0"/>
          <c:extLst xmlns:c16r2="http://schemas.microsoft.com/office/drawing/2015/06/chart">
            <c:ext xmlns:c16="http://schemas.microsoft.com/office/drawing/2014/chart" uri="{C3380CC4-5D6E-409C-BE32-E72D297353CC}">
              <c16:uniqueId val="{00000000-ABA6-4744-9F05-EC3E156CE919}"/>
            </c:ext>
          </c:extLst>
        </c:ser>
        <c:dLbls>
          <c:showLegendKey val="0"/>
          <c:showVal val="0"/>
          <c:showCatName val="0"/>
          <c:showSerName val="0"/>
          <c:showPercent val="0"/>
          <c:showBubbleSize val="0"/>
        </c:dLbls>
        <c:smooth val="0"/>
        <c:axId val="609963856"/>
        <c:axId val="609964248"/>
      </c:lineChart>
      <c:dateAx>
        <c:axId val="609963856"/>
        <c:scaling>
          <c:orientation val="minMax"/>
        </c:scaling>
        <c:delete val="1"/>
        <c:axPos val="b"/>
        <c:numFmt formatCode="mmm\-yy" sourceLinked="1"/>
        <c:majorTickMark val="none"/>
        <c:minorTickMark val="none"/>
        <c:tickLblPos val="nextTo"/>
        <c:crossAx val="609964248"/>
        <c:crosses val="autoZero"/>
        <c:auto val="1"/>
        <c:lblOffset val="100"/>
        <c:baseTimeUnit val="months"/>
      </c:dateAx>
      <c:valAx>
        <c:axId val="609964248"/>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99638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Dashboard'!$C$21:$O$21</c:f>
              <c:numCache>
                <c:formatCode>General</c:formatCode>
                <c:ptCount val="13"/>
                <c:pt idx="0">
                  <c:v>4</c:v>
                </c:pt>
                <c:pt idx="1">
                  <c:v>8</c:v>
                </c:pt>
                <c:pt idx="2">
                  <c:v>12</c:v>
                </c:pt>
                <c:pt idx="3">
                  <c:v>6</c:v>
                </c:pt>
                <c:pt idx="4">
                  <c:v>6</c:v>
                </c:pt>
                <c:pt idx="5">
                  <c:v>13</c:v>
                </c:pt>
                <c:pt idx="6">
                  <c:v>17</c:v>
                </c:pt>
                <c:pt idx="7">
                  <c:v>13</c:v>
                </c:pt>
                <c:pt idx="8">
                  <c:v>14</c:v>
                </c:pt>
                <c:pt idx="9">
                  <c:v>15</c:v>
                </c:pt>
                <c:pt idx="10">
                  <c:v>12</c:v>
                </c:pt>
                <c:pt idx="11">
                  <c:v>10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r2="http://schemas.microsoft.com/office/drawing/2015/06/chart" xmlns:c16="http://schemas.microsoft.com/office/drawing/2014/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9965032"/>
        <c:axId val="609965424"/>
      </c:lineChart>
      <c:catAx>
        <c:axId val="609965032"/>
        <c:scaling>
          <c:orientation val="minMax"/>
        </c:scaling>
        <c:delete val="1"/>
        <c:axPos val="b"/>
        <c:numFmt formatCode="mmm\-yy" sourceLinked="1"/>
        <c:majorTickMark val="none"/>
        <c:minorTickMark val="none"/>
        <c:tickLblPos val="nextTo"/>
        <c:crossAx val="609965424"/>
        <c:crosses val="autoZero"/>
        <c:auto val="1"/>
        <c:lblAlgn val="ctr"/>
        <c:lblOffset val="100"/>
        <c:noMultiLvlLbl val="0"/>
      </c:catAx>
      <c:valAx>
        <c:axId val="60996542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99650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Dashboard'!$C$22:$O$22</c:f>
              <c:numCache>
                <c:formatCode>General</c:formatCode>
                <c:ptCount val="13"/>
                <c:pt idx="0">
                  <c:v>51</c:v>
                </c:pt>
                <c:pt idx="1">
                  <c:v>41</c:v>
                </c:pt>
                <c:pt idx="2">
                  <c:v>92</c:v>
                </c:pt>
                <c:pt idx="3">
                  <c:v>80</c:v>
                </c:pt>
                <c:pt idx="4">
                  <c:v>78</c:v>
                </c:pt>
                <c:pt idx="5">
                  <c:v>99</c:v>
                </c:pt>
                <c:pt idx="6">
                  <c:v>76</c:v>
                </c:pt>
                <c:pt idx="7">
                  <c:v>66</c:v>
                </c:pt>
                <c:pt idx="8">
                  <c:v>87</c:v>
                </c:pt>
                <c:pt idx="9">
                  <c:v>85</c:v>
                </c:pt>
                <c:pt idx="10">
                  <c:v>105</c:v>
                </c:pt>
                <c:pt idx="11">
                  <c:v>111</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r2="http://schemas.microsoft.com/office/drawing/2015/06/chart" xmlns:c16="http://schemas.microsoft.com/office/drawing/2014/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0227352"/>
        <c:axId val="610227744"/>
      </c:lineChart>
      <c:catAx>
        <c:axId val="610227352"/>
        <c:scaling>
          <c:orientation val="minMax"/>
        </c:scaling>
        <c:delete val="1"/>
        <c:axPos val="b"/>
        <c:numFmt formatCode="mmm\-yy" sourceLinked="1"/>
        <c:majorTickMark val="none"/>
        <c:minorTickMark val="none"/>
        <c:tickLblPos val="nextTo"/>
        <c:crossAx val="610227744"/>
        <c:crosses val="autoZero"/>
        <c:auto val="1"/>
        <c:lblAlgn val="ctr"/>
        <c:lblOffset val="100"/>
        <c:noMultiLvlLbl val="0"/>
      </c:catAx>
      <c:valAx>
        <c:axId val="61022774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02273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Dashboard'!$C$23:$O$23</c:f>
              <c:numCache>
                <c:formatCode>General</c:formatCode>
                <c:ptCount val="13"/>
                <c:pt idx="0">
                  <c:v>6</c:v>
                </c:pt>
                <c:pt idx="1">
                  <c:v>1</c:v>
                </c:pt>
                <c:pt idx="2">
                  <c:v>2</c:v>
                </c:pt>
                <c:pt idx="3">
                  <c:v>6</c:v>
                </c:pt>
                <c:pt idx="4">
                  <c:v>4</c:v>
                </c:pt>
                <c:pt idx="5">
                  <c:v>10</c:v>
                </c:pt>
                <c:pt idx="6">
                  <c:v>3</c:v>
                </c:pt>
                <c:pt idx="7">
                  <c:v>2</c:v>
                </c:pt>
                <c:pt idx="8">
                  <c:v>1</c:v>
                </c:pt>
                <c:pt idx="9">
                  <c:v>4</c:v>
                </c:pt>
                <c:pt idx="10">
                  <c:v>6</c:v>
                </c:pt>
                <c:pt idx="11">
                  <c:v>3</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3445800"/>
        <c:axId val="603446192"/>
      </c:lineChart>
      <c:catAx>
        <c:axId val="603445800"/>
        <c:scaling>
          <c:orientation val="minMax"/>
        </c:scaling>
        <c:delete val="1"/>
        <c:axPos val="b"/>
        <c:numFmt formatCode="mmm\-yy" sourceLinked="1"/>
        <c:majorTickMark val="none"/>
        <c:minorTickMark val="none"/>
        <c:tickLblPos val="nextTo"/>
        <c:crossAx val="603446192"/>
        <c:crosses val="autoZero"/>
        <c:auto val="1"/>
        <c:lblAlgn val="ctr"/>
        <c:lblOffset val="100"/>
        <c:noMultiLvlLbl val="0"/>
      </c:catAx>
      <c:valAx>
        <c:axId val="603446192"/>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34458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Dashboard'!$C$24:$O$24</c:f>
              <c:numCache>
                <c:formatCode>General</c:formatCode>
                <c:ptCount val="13"/>
                <c:pt idx="0">
                  <c:v>0</c:v>
                </c:pt>
                <c:pt idx="1">
                  <c:v>0</c:v>
                </c:pt>
                <c:pt idx="2">
                  <c:v>11</c:v>
                </c:pt>
                <c:pt idx="3">
                  <c:v>11</c:v>
                </c:pt>
                <c:pt idx="4">
                  <c:v>4</c:v>
                </c:pt>
                <c:pt idx="5">
                  <c:v>12</c:v>
                </c:pt>
                <c:pt idx="6">
                  <c:v>11</c:v>
                </c:pt>
                <c:pt idx="7">
                  <c:v>8</c:v>
                </c:pt>
                <c:pt idx="8">
                  <c:v>11</c:v>
                </c:pt>
                <c:pt idx="9">
                  <c:v>3</c:v>
                </c:pt>
                <c:pt idx="10">
                  <c:v>10</c:v>
                </c:pt>
                <c:pt idx="11">
                  <c:v>14</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3446976"/>
        <c:axId val="603447368"/>
      </c:lineChart>
      <c:catAx>
        <c:axId val="603446976"/>
        <c:scaling>
          <c:orientation val="minMax"/>
        </c:scaling>
        <c:delete val="1"/>
        <c:axPos val="b"/>
        <c:numFmt formatCode="mmm\-yy" sourceLinked="1"/>
        <c:majorTickMark val="none"/>
        <c:minorTickMark val="none"/>
        <c:tickLblPos val="nextTo"/>
        <c:crossAx val="603447368"/>
        <c:crosses val="autoZero"/>
        <c:auto val="1"/>
        <c:lblAlgn val="ctr"/>
        <c:lblOffset val="100"/>
        <c:noMultiLvlLbl val="0"/>
      </c:catAx>
      <c:valAx>
        <c:axId val="603447368"/>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34469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Dashboard'!$C$25:$O$25</c:f>
              <c:numCache>
                <c:formatCode>0.0%</c:formatCode>
                <c:ptCount val="13"/>
                <c:pt idx="0">
                  <c:v>0.88</c:v>
                </c:pt>
                <c:pt idx="1">
                  <c:v>0.98</c:v>
                </c:pt>
                <c:pt idx="2">
                  <c:v>0.91100000000000003</c:v>
                </c:pt>
                <c:pt idx="3">
                  <c:v>0.92300000000000004</c:v>
                </c:pt>
                <c:pt idx="4">
                  <c:v>0.93300000000000005</c:v>
                </c:pt>
                <c:pt idx="5">
                  <c:v>0.92500000000000004</c:v>
                </c:pt>
                <c:pt idx="6">
                  <c:v>0.85699999999999998</c:v>
                </c:pt>
                <c:pt idx="7">
                  <c:v>0.97799999999999998</c:v>
                </c:pt>
                <c:pt idx="8">
                  <c:v>0.84399999999999997</c:v>
                </c:pt>
                <c:pt idx="9">
                  <c:v>0.88300000000000001</c:v>
                </c:pt>
                <c:pt idx="10">
                  <c:v>0.95</c:v>
                </c:pt>
                <c:pt idx="11">
                  <c:v>0.9</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r2="http://schemas.microsoft.com/office/drawing/2015/06/chart" xmlns:c16="http://schemas.microsoft.com/office/drawing/2014/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1025728"/>
        <c:axId val="611026120"/>
      </c:lineChart>
      <c:catAx>
        <c:axId val="611025728"/>
        <c:scaling>
          <c:orientation val="minMax"/>
        </c:scaling>
        <c:delete val="1"/>
        <c:axPos val="b"/>
        <c:numFmt formatCode="mmm\-yy" sourceLinked="1"/>
        <c:majorTickMark val="none"/>
        <c:minorTickMark val="none"/>
        <c:tickLblPos val="nextTo"/>
        <c:crossAx val="611026120"/>
        <c:crosses val="autoZero"/>
        <c:auto val="1"/>
        <c:lblAlgn val="ctr"/>
        <c:lblOffset val="100"/>
        <c:noMultiLvlLbl val="0"/>
      </c:catAx>
      <c:valAx>
        <c:axId val="611026120"/>
        <c:scaling>
          <c:orientation val="minMax"/>
        </c:scaling>
        <c:delete val="1"/>
        <c:axPos val="l"/>
        <c:majorGridlines>
          <c:spPr>
            <a:ln w="9525" cap="flat" cmpd="sng" algn="ctr">
              <a:noFill/>
              <a:round/>
            </a:ln>
            <a:effectLst/>
          </c:spPr>
        </c:majorGridlines>
        <c:numFmt formatCode="0.0%" sourceLinked="1"/>
        <c:majorTickMark val="none"/>
        <c:minorTickMark val="none"/>
        <c:tickLblPos val="nextTo"/>
        <c:crossAx val="6110257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Dashboard'!$C$26:$O$26</c:f>
              <c:numCache>
                <c:formatCode>General</c:formatCode>
                <c:ptCount val="13"/>
                <c:pt idx="0">
                  <c:v>56</c:v>
                </c:pt>
                <c:pt idx="1">
                  <c:v>53</c:v>
                </c:pt>
                <c:pt idx="2">
                  <c:v>60</c:v>
                </c:pt>
                <c:pt idx="3">
                  <c:v>47</c:v>
                </c:pt>
                <c:pt idx="4">
                  <c:v>42</c:v>
                </c:pt>
                <c:pt idx="5">
                  <c:v>60</c:v>
                </c:pt>
                <c:pt idx="6">
                  <c:v>32</c:v>
                </c:pt>
                <c:pt idx="7">
                  <c:v>34</c:v>
                </c:pt>
                <c:pt idx="8">
                  <c:v>37</c:v>
                </c:pt>
                <c:pt idx="9">
                  <c:v>53</c:v>
                </c:pt>
                <c:pt idx="10">
                  <c:v>56</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1026904"/>
        <c:axId val="611940304"/>
      </c:lineChart>
      <c:catAx>
        <c:axId val="611026904"/>
        <c:scaling>
          <c:orientation val="minMax"/>
        </c:scaling>
        <c:delete val="1"/>
        <c:axPos val="b"/>
        <c:numFmt formatCode="mmm\-yy" sourceLinked="1"/>
        <c:majorTickMark val="none"/>
        <c:minorTickMark val="none"/>
        <c:tickLblPos val="nextTo"/>
        <c:crossAx val="611940304"/>
        <c:crosses val="autoZero"/>
        <c:auto val="1"/>
        <c:lblAlgn val="ctr"/>
        <c:lblOffset val="100"/>
        <c:noMultiLvlLbl val="0"/>
      </c:catAx>
      <c:valAx>
        <c:axId val="61194030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10269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Dashboard'!$C$28:$O$28</c:f>
              <c:numCache>
                <c:formatCode>General</c:formatCode>
                <c:ptCount val="13"/>
                <c:pt idx="0">
                  <c:v>1.42</c:v>
                </c:pt>
                <c:pt idx="1">
                  <c:v>1.3</c:v>
                </c:pt>
                <c:pt idx="2">
                  <c:v>1.31</c:v>
                </c:pt>
                <c:pt idx="3">
                  <c:v>2.29</c:v>
                </c:pt>
                <c:pt idx="4">
                  <c:v>1.4</c:v>
                </c:pt>
                <c:pt idx="5">
                  <c:v>2</c:v>
                </c:pt>
                <c:pt idx="6">
                  <c:v>1.1200000000000001</c:v>
                </c:pt>
                <c:pt idx="7">
                  <c:v>2.3199999999999998</c:v>
                </c:pt>
                <c:pt idx="8">
                  <c:v>1.96</c:v>
                </c:pt>
                <c:pt idx="9">
                  <c:v>1.54</c:v>
                </c:pt>
                <c:pt idx="10">
                  <c:v>0.62</c:v>
                </c:pt>
                <c:pt idx="11">
                  <c:v>0.85</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1941088"/>
        <c:axId val="611941480"/>
      </c:lineChart>
      <c:catAx>
        <c:axId val="611941088"/>
        <c:scaling>
          <c:orientation val="minMax"/>
        </c:scaling>
        <c:delete val="1"/>
        <c:axPos val="b"/>
        <c:numFmt formatCode="mmm\-yy" sourceLinked="1"/>
        <c:majorTickMark val="none"/>
        <c:minorTickMark val="none"/>
        <c:tickLblPos val="nextTo"/>
        <c:crossAx val="611941480"/>
        <c:crosses val="autoZero"/>
        <c:auto val="1"/>
        <c:lblAlgn val="ctr"/>
        <c:lblOffset val="100"/>
        <c:noMultiLvlLbl val="0"/>
      </c:catAx>
      <c:valAx>
        <c:axId val="61194148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1941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Dashboard'!$C$29:$O$29</c:f>
              <c:numCache>
                <c:formatCode>General</c:formatCode>
                <c:ptCount val="13"/>
                <c:pt idx="0">
                  <c:v>0</c:v>
                </c:pt>
                <c:pt idx="1">
                  <c:v>0</c:v>
                </c:pt>
                <c:pt idx="2">
                  <c:v>0</c:v>
                </c:pt>
                <c:pt idx="3">
                  <c:v>0.14000000000000001</c:v>
                </c:pt>
                <c:pt idx="4">
                  <c:v>0</c:v>
                </c:pt>
                <c:pt idx="5">
                  <c:v>0</c:v>
                </c:pt>
                <c:pt idx="6">
                  <c:v>0</c:v>
                </c:pt>
                <c:pt idx="7">
                  <c:v>0.15</c:v>
                </c:pt>
                <c:pt idx="8">
                  <c:v>0</c:v>
                </c:pt>
                <c:pt idx="9">
                  <c:v>0.31</c:v>
                </c:pt>
                <c:pt idx="10">
                  <c:v>0.16</c:v>
                </c:pt>
                <c:pt idx="11">
                  <c:v>0.28000000000000003</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1564704"/>
        <c:axId val="611565096"/>
      </c:lineChart>
      <c:catAx>
        <c:axId val="611564704"/>
        <c:scaling>
          <c:orientation val="minMax"/>
        </c:scaling>
        <c:delete val="1"/>
        <c:axPos val="b"/>
        <c:numFmt formatCode="mmm\-yy" sourceLinked="1"/>
        <c:majorTickMark val="none"/>
        <c:minorTickMark val="none"/>
        <c:tickLblPos val="nextTo"/>
        <c:crossAx val="611565096"/>
        <c:crosses val="autoZero"/>
        <c:auto val="1"/>
        <c:lblAlgn val="ctr"/>
        <c:lblOffset val="100"/>
        <c:noMultiLvlLbl val="0"/>
      </c:catAx>
      <c:valAx>
        <c:axId val="611565096"/>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15647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Dashboard'!$C$8:$O$8</c:f>
              <c:numCache>
                <c:formatCode>General</c:formatCode>
                <c:ptCount val="13"/>
                <c:pt idx="0">
                  <c:v>16</c:v>
                </c:pt>
                <c:pt idx="1">
                  <c:v>15</c:v>
                </c:pt>
                <c:pt idx="2">
                  <c:v>27</c:v>
                </c:pt>
                <c:pt idx="3">
                  <c:v>29</c:v>
                </c:pt>
                <c:pt idx="4">
                  <c:v>9</c:v>
                </c:pt>
                <c:pt idx="5">
                  <c:v>18</c:v>
                </c:pt>
                <c:pt idx="6">
                  <c:v>31</c:v>
                </c:pt>
                <c:pt idx="7">
                  <c:v>21</c:v>
                </c:pt>
                <c:pt idx="8">
                  <c:v>19</c:v>
                </c:pt>
                <c:pt idx="9">
                  <c:v>33</c:v>
                </c:pt>
                <c:pt idx="10">
                  <c:v>36</c:v>
                </c:pt>
                <c:pt idx="11">
                  <c:v>38</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2645048"/>
        <c:axId val="602645440"/>
      </c:lineChart>
      <c:catAx>
        <c:axId val="602645048"/>
        <c:scaling>
          <c:orientation val="minMax"/>
        </c:scaling>
        <c:delete val="1"/>
        <c:axPos val="b"/>
        <c:numFmt formatCode="mmm\-yy" sourceLinked="1"/>
        <c:majorTickMark val="none"/>
        <c:minorTickMark val="none"/>
        <c:tickLblPos val="nextTo"/>
        <c:crossAx val="602645440"/>
        <c:crosses val="autoZero"/>
        <c:auto val="1"/>
        <c:lblAlgn val="ctr"/>
        <c:lblOffset val="100"/>
        <c:noMultiLvlLbl val="0"/>
      </c:catAx>
      <c:valAx>
        <c:axId val="60264544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26450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Dashboard'!$C$30:$O$30</c:f>
              <c:numCache>
                <c:formatCode>General</c:formatCode>
                <c:ptCount val="13"/>
                <c:pt idx="0">
                  <c:v>1.7</c:v>
                </c:pt>
                <c:pt idx="1">
                  <c:v>1.7</c:v>
                </c:pt>
                <c:pt idx="2">
                  <c:v>0.88</c:v>
                </c:pt>
                <c:pt idx="3">
                  <c:v>1.72</c:v>
                </c:pt>
                <c:pt idx="4">
                  <c:v>1.86</c:v>
                </c:pt>
                <c:pt idx="5">
                  <c:v>2</c:v>
                </c:pt>
                <c:pt idx="6">
                  <c:v>1.28</c:v>
                </c:pt>
                <c:pt idx="7">
                  <c:v>1.55</c:v>
                </c:pt>
                <c:pt idx="8">
                  <c:v>1.26</c:v>
                </c:pt>
                <c:pt idx="9">
                  <c:v>2.16</c:v>
                </c:pt>
                <c:pt idx="10">
                  <c:v>2.48</c:v>
                </c:pt>
                <c:pt idx="11">
                  <c:v>1.42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1565880"/>
        <c:axId val="611566272"/>
      </c:lineChart>
      <c:catAx>
        <c:axId val="611565880"/>
        <c:scaling>
          <c:orientation val="minMax"/>
        </c:scaling>
        <c:delete val="1"/>
        <c:axPos val="b"/>
        <c:numFmt formatCode="mmm\-yy" sourceLinked="1"/>
        <c:majorTickMark val="none"/>
        <c:minorTickMark val="none"/>
        <c:tickLblPos val="nextTo"/>
        <c:crossAx val="611566272"/>
        <c:crosses val="autoZero"/>
        <c:auto val="1"/>
        <c:lblAlgn val="ctr"/>
        <c:lblOffset val="100"/>
        <c:noMultiLvlLbl val="0"/>
      </c:catAx>
      <c:valAx>
        <c:axId val="611566272"/>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15658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Dashboard'!$C$31:$O$31</c:f>
              <c:numCache>
                <c:formatCode>General</c:formatCode>
                <c:ptCount val="13"/>
                <c:pt idx="0">
                  <c:v>3.7</c:v>
                </c:pt>
                <c:pt idx="1">
                  <c:v>5.67</c:v>
                </c:pt>
                <c:pt idx="2">
                  <c:v>7.15</c:v>
                </c:pt>
                <c:pt idx="3">
                  <c:v>4.72</c:v>
                </c:pt>
                <c:pt idx="4">
                  <c:v>3.88</c:v>
                </c:pt>
                <c:pt idx="5">
                  <c:v>4.8600000000000003</c:v>
                </c:pt>
                <c:pt idx="6">
                  <c:v>6.55</c:v>
                </c:pt>
                <c:pt idx="7">
                  <c:v>4.0199999999999996</c:v>
                </c:pt>
                <c:pt idx="8">
                  <c:v>5.33</c:v>
                </c:pt>
                <c:pt idx="9">
                  <c:v>5.55</c:v>
                </c:pt>
                <c:pt idx="10">
                  <c:v>4.6500000000000004</c:v>
                </c:pt>
                <c:pt idx="11">
                  <c:v>3.83</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2844072"/>
        <c:axId val="612844464"/>
      </c:lineChart>
      <c:catAx>
        <c:axId val="612844072"/>
        <c:scaling>
          <c:orientation val="minMax"/>
        </c:scaling>
        <c:delete val="1"/>
        <c:axPos val="b"/>
        <c:numFmt formatCode="mmm\-yy" sourceLinked="1"/>
        <c:majorTickMark val="none"/>
        <c:minorTickMark val="none"/>
        <c:tickLblPos val="nextTo"/>
        <c:crossAx val="612844464"/>
        <c:crosses val="autoZero"/>
        <c:auto val="1"/>
        <c:lblAlgn val="ctr"/>
        <c:lblOffset val="100"/>
        <c:noMultiLvlLbl val="0"/>
      </c:catAx>
      <c:valAx>
        <c:axId val="61284446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28440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Dashboard'!$C$32:$O$32</c:f>
              <c:numCache>
                <c:formatCode>0.00%</c:formatCode>
                <c:ptCount val="13"/>
                <c:pt idx="0">
                  <c:v>0.82699999999999996</c:v>
                </c:pt>
                <c:pt idx="1">
                  <c:v>0.879</c:v>
                </c:pt>
                <c:pt idx="2">
                  <c:v>0.79500000000000004</c:v>
                </c:pt>
                <c:pt idx="3">
                  <c:v>0.752</c:v>
                </c:pt>
                <c:pt idx="4">
                  <c:v>0.81799999999999995</c:v>
                </c:pt>
                <c:pt idx="5">
                  <c:v>0.80100000000000005</c:v>
                </c:pt>
                <c:pt idx="6">
                  <c:v>0.83599999999999997</c:v>
                </c:pt>
                <c:pt idx="7">
                  <c:v>0.76100000000000001</c:v>
                </c:pt>
                <c:pt idx="8">
                  <c:v>0.70499999999999996</c:v>
                </c:pt>
                <c:pt idx="9">
                  <c:v>0.78800000000000003</c:v>
                </c:pt>
                <c:pt idx="10">
                  <c:v>0.68359999999999999</c:v>
                </c:pt>
                <c:pt idx="11">
                  <c:v>0.71250000000000002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4327808"/>
        <c:axId val="614328200"/>
      </c:lineChart>
      <c:catAx>
        <c:axId val="614327808"/>
        <c:scaling>
          <c:orientation val="minMax"/>
        </c:scaling>
        <c:delete val="1"/>
        <c:axPos val="b"/>
        <c:numFmt formatCode="mmm\-yy" sourceLinked="1"/>
        <c:majorTickMark val="none"/>
        <c:minorTickMark val="none"/>
        <c:tickLblPos val="nextTo"/>
        <c:crossAx val="614328200"/>
        <c:crosses val="autoZero"/>
        <c:auto val="1"/>
        <c:lblAlgn val="ctr"/>
        <c:lblOffset val="100"/>
        <c:noMultiLvlLbl val="0"/>
      </c:catAx>
      <c:valAx>
        <c:axId val="614328200"/>
        <c:scaling>
          <c:orientation val="minMax"/>
        </c:scaling>
        <c:delete val="1"/>
        <c:axPos val="l"/>
        <c:majorGridlines>
          <c:spPr>
            <a:ln w="9525" cap="flat" cmpd="sng" algn="ctr">
              <a:noFill/>
              <a:round/>
            </a:ln>
            <a:effectLst/>
          </c:spPr>
        </c:majorGridlines>
        <c:numFmt formatCode="0.00%" sourceLinked="1"/>
        <c:majorTickMark val="none"/>
        <c:minorTickMark val="none"/>
        <c:tickLblPos val="nextTo"/>
        <c:crossAx val="6143278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Dashboard'!$C$33:$O$33</c:f>
              <c:numCache>
                <c:formatCode>0.00%</c:formatCode>
                <c:ptCount val="13"/>
                <c:pt idx="0">
                  <c:v>0.96399999999999997</c:v>
                </c:pt>
                <c:pt idx="1">
                  <c:v>0.97299999999999998</c:v>
                </c:pt>
                <c:pt idx="2">
                  <c:v>0.95599999999999996</c:v>
                </c:pt>
                <c:pt idx="3">
                  <c:v>0.95899999999999996</c:v>
                </c:pt>
                <c:pt idx="4">
                  <c:v>0.94399999999999995</c:v>
                </c:pt>
                <c:pt idx="5">
                  <c:v>0.95799999999999996</c:v>
                </c:pt>
                <c:pt idx="6">
                  <c:v>0.96599999999999997</c:v>
                </c:pt>
                <c:pt idx="7">
                  <c:v>0.95199999999999996</c:v>
                </c:pt>
                <c:pt idx="8">
                  <c:v>0.94499999999999995</c:v>
                </c:pt>
                <c:pt idx="9">
                  <c:v>0.92600000000000005</c:v>
                </c:pt>
                <c:pt idx="10">
                  <c:v>0.93730000000000002</c:v>
                </c:pt>
                <c:pt idx="11">
                  <c:v>0.91559999999999997</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4328984"/>
        <c:axId val="614536448"/>
      </c:lineChart>
      <c:catAx>
        <c:axId val="614328984"/>
        <c:scaling>
          <c:orientation val="minMax"/>
        </c:scaling>
        <c:delete val="1"/>
        <c:axPos val="b"/>
        <c:numFmt formatCode="mmm\-yy" sourceLinked="1"/>
        <c:majorTickMark val="none"/>
        <c:minorTickMark val="none"/>
        <c:tickLblPos val="nextTo"/>
        <c:crossAx val="614536448"/>
        <c:crosses val="autoZero"/>
        <c:auto val="1"/>
        <c:lblAlgn val="ctr"/>
        <c:lblOffset val="100"/>
        <c:noMultiLvlLbl val="0"/>
      </c:catAx>
      <c:valAx>
        <c:axId val="614536448"/>
        <c:scaling>
          <c:orientation val="minMax"/>
        </c:scaling>
        <c:delete val="1"/>
        <c:axPos val="l"/>
        <c:majorGridlines>
          <c:spPr>
            <a:ln w="9525" cap="flat" cmpd="sng" algn="ctr">
              <a:noFill/>
              <a:round/>
            </a:ln>
            <a:effectLst/>
          </c:spPr>
        </c:majorGridlines>
        <c:numFmt formatCode="0.00%" sourceLinked="1"/>
        <c:majorTickMark val="none"/>
        <c:minorTickMark val="none"/>
        <c:tickLblPos val="nextTo"/>
        <c:crossAx val="6143289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Dashboard'!$C$34:$O$34</c:f>
              <c:numCache>
                <c:formatCode>General</c:formatCode>
                <c:ptCount val="13"/>
                <c:pt idx="0">
                  <c:v>4.7</c:v>
                </c:pt>
                <c:pt idx="1">
                  <c:v>4.0999999999999996</c:v>
                </c:pt>
                <c:pt idx="2">
                  <c:v>4.7</c:v>
                </c:pt>
                <c:pt idx="3">
                  <c:v>4.5</c:v>
                </c:pt>
                <c:pt idx="4">
                  <c:v>4.2</c:v>
                </c:pt>
                <c:pt idx="5">
                  <c:v>4.8</c:v>
                </c:pt>
                <c:pt idx="6">
                  <c:v>5.4</c:v>
                </c:pt>
                <c:pt idx="7">
                  <c:v>3.63</c:v>
                </c:pt>
                <c:pt idx="8">
                  <c:v>4.7</c:v>
                </c:pt>
                <c:pt idx="9">
                  <c:v>4.8499999999999996</c:v>
                </c:pt>
                <c:pt idx="10">
                  <c:v>4.22</c:v>
                </c:pt>
                <c:pt idx="11">
                  <c:v>4.83</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4537232"/>
        <c:axId val="614537624"/>
      </c:lineChart>
      <c:catAx>
        <c:axId val="614537232"/>
        <c:scaling>
          <c:orientation val="minMax"/>
        </c:scaling>
        <c:delete val="1"/>
        <c:axPos val="b"/>
        <c:numFmt formatCode="mmm\-yy" sourceLinked="1"/>
        <c:majorTickMark val="none"/>
        <c:minorTickMark val="none"/>
        <c:tickLblPos val="nextTo"/>
        <c:crossAx val="614537624"/>
        <c:crosses val="autoZero"/>
        <c:auto val="1"/>
        <c:lblAlgn val="ctr"/>
        <c:lblOffset val="100"/>
        <c:noMultiLvlLbl val="0"/>
      </c:catAx>
      <c:valAx>
        <c:axId val="61453762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45372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ysClr val="windowText" lastClr="000000"/>
                </a:solidFill>
                <a:latin typeface="+mj-lt"/>
                <a:ea typeface="+mj-ea"/>
                <a:cs typeface="+mj-cs"/>
              </a:defRPr>
            </a:pPr>
            <a:r>
              <a:rPr lang="en-GB" sz="1200">
                <a:solidFill>
                  <a:sysClr val="windowText" lastClr="000000"/>
                </a:solidFill>
              </a:rPr>
              <a:t>Falls where harm has occured (moderate, severe</a:t>
            </a:r>
            <a:r>
              <a:rPr lang="en-GB" sz="1200" baseline="0">
                <a:solidFill>
                  <a:sysClr val="windowText" lastClr="000000"/>
                </a:solidFill>
              </a:rPr>
              <a:t> and death)</a:t>
            </a:r>
            <a:endParaRPr lang="en-GB" sz="1200">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ysClr val="windowText" lastClr="000000"/>
              </a:solidFill>
              <a:latin typeface="+mj-lt"/>
              <a:ea typeface="+mj-ea"/>
              <a:cs typeface="+mj-cs"/>
            </a:defRPr>
          </a:pPr>
          <a:endParaRPr lang="en-US"/>
        </a:p>
      </c:txPr>
    </c:title>
    <c:autoTitleDeleted val="0"/>
    <c:plotArea>
      <c:layout/>
      <c:barChart>
        <c:barDir val="col"/>
        <c:grouping val="clustered"/>
        <c:varyColors val="0"/>
        <c:ser>
          <c:idx val="0"/>
          <c:order val="0"/>
          <c:tx>
            <c:strRef>
              <c:f>FALLS!$E$8</c:f>
              <c:strCache>
                <c:ptCount val="1"/>
                <c:pt idx="0">
                  <c:v>Total No. Falls where harm has occurred</c:v>
                </c:pt>
              </c:strCache>
            </c:strRef>
          </c:tx>
          <c:spPr>
            <a:solidFill>
              <a:schemeClr val="accent1"/>
            </a:solidFill>
            <a:ln>
              <a:noFill/>
            </a:ln>
            <a:effectLst/>
          </c:spPr>
          <c:invertIfNegative val="0"/>
          <c:cat>
            <c:numRef>
              <c:f>FALLS!$F$7:$Q$7</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FALLS!$F$8:$Q$8</c:f>
              <c:numCache>
                <c:formatCode>General</c:formatCode>
                <c:ptCount val="12"/>
                <c:pt idx="0">
                  <c:v>4</c:v>
                </c:pt>
                <c:pt idx="1">
                  <c:v>8</c:v>
                </c:pt>
                <c:pt idx="2">
                  <c:v>12</c:v>
                </c:pt>
                <c:pt idx="3">
                  <c:v>6</c:v>
                </c:pt>
                <c:pt idx="4">
                  <c:v>6</c:v>
                </c:pt>
                <c:pt idx="5">
                  <c:v>13</c:v>
                </c:pt>
                <c:pt idx="6">
                  <c:v>17</c:v>
                </c:pt>
                <c:pt idx="7">
                  <c:v>13</c:v>
                </c:pt>
                <c:pt idx="8">
                  <c:v>14</c:v>
                </c:pt>
                <c:pt idx="9">
                  <c:v>15</c:v>
                </c:pt>
                <c:pt idx="10">
                  <c:v>12</c:v>
                </c:pt>
                <c:pt idx="11">
                  <c:v>17</c:v>
                </c:pt>
              </c:numCache>
            </c:numRef>
          </c:val>
        </c:ser>
        <c:dLbls>
          <c:showLegendKey val="0"/>
          <c:showVal val="0"/>
          <c:showCatName val="0"/>
          <c:showSerName val="0"/>
          <c:showPercent val="0"/>
          <c:showBubbleSize val="0"/>
        </c:dLbls>
        <c:gapWidth val="78"/>
        <c:axId val="615459080"/>
        <c:axId val="615459472"/>
      </c:barChart>
      <c:lineChart>
        <c:grouping val="standard"/>
        <c:varyColors val="0"/>
        <c:ser>
          <c:idx val="1"/>
          <c:order val="1"/>
          <c:tx>
            <c:strRef>
              <c:f>FALLS!$E$9</c:f>
              <c:strCache>
                <c:ptCount val="1"/>
                <c:pt idx="0">
                  <c:v>FY Cumulative Total (2019-20)</c:v>
                </c:pt>
              </c:strCache>
            </c:strRef>
          </c:tx>
          <c:spPr>
            <a:ln w="22225" cap="rnd">
              <a:solidFill>
                <a:schemeClr val="accent2"/>
              </a:solidFill>
              <a:round/>
            </a:ln>
            <a:effectLst/>
          </c:spPr>
          <c:marker>
            <c:symbol val="none"/>
          </c:marker>
          <c:val>
            <c:numRef>
              <c:f>FALLS!$F$9:$Q$9</c:f>
              <c:numCache>
                <c:formatCode>General</c:formatCode>
                <c:ptCount val="12"/>
                <c:pt idx="0">
                  <c:v>4</c:v>
                </c:pt>
                <c:pt idx="1">
                  <c:v>12</c:v>
                </c:pt>
                <c:pt idx="2">
                  <c:v>24</c:v>
                </c:pt>
                <c:pt idx="3">
                  <c:v>30</c:v>
                </c:pt>
                <c:pt idx="4">
                  <c:v>36</c:v>
                </c:pt>
                <c:pt idx="5">
                  <c:v>49</c:v>
                </c:pt>
                <c:pt idx="6">
                  <c:v>66</c:v>
                </c:pt>
                <c:pt idx="7">
                  <c:v>79</c:v>
                </c:pt>
                <c:pt idx="8">
                  <c:v>93</c:v>
                </c:pt>
                <c:pt idx="9">
                  <c:v>108</c:v>
                </c:pt>
                <c:pt idx="10">
                  <c:v>120</c:v>
                </c:pt>
                <c:pt idx="11">
                  <c:v>137</c:v>
                </c:pt>
              </c:numCache>
            </c:numRef>
          </c:val>
          <c:smooth val="0"/>
        </c:ser>
        <c:ser>
          <c:idx val="2"/>
          <c:order val="2"/>
          <c:tx>
            <c:strRef>
              <c:f>FALLS!$E$10</c:f>
              <c:strCache>
                <c:ptCount val="1"/>
                <c:pt idx="0">
                  <c:v>Reduction target 2020-21 (20%)</c:v>
                </c:pt>
              </c:strCache>
            </c:strRef>
          </c:tx>
          <c:spPr>
            <a:ln w="22225" cap="rnd">
              <a:solidFill>
                <a:srgbClr val="C00000"/>
              </a:solidFill>
              <a:round/>
            </a:ln>
            <a:effectLst/>
          </c:spPr>
          <c:marker>
            <c:symbol val="none"/>
          </c:marker>
          <c:val>
            <c:numRef>
              <c:f>FALLS!$F$10:$Q$10</c:f>
              <c:numCache>
                <c:formatCode>General</c:formatCode>
                <c:ptCount val="12"/>
                <c:pt idx="0">
                  <c:v>3.2</c:v>
                </c:pt>
                <c:pt idx="1">
                  <c:v>9.6</c:v>
                </c:pt>
                <c:pt idx="2">
                  <c:v>19.2</c:v>
                </c:pt>
                <c:pt idx="3">
                  <c:v>24</c:v>
                </c:pt>
                <c:pt idx="4">
                  <c:v>28.8</c:v>
                </c:pt>
                <c:pt idx="5">
                  <c:v>39.200000000000003</c:v>
                </c:pt>
                <c:pt idx="6">
                  <c:v>52.8</c:v>
                </c:pt>
                <c:pt idx="7">
                  <c:v>63.2</c:v>
                </c:pt>
                <c:pt idx="8">
                  <c:v>74.400000000000006</c:v>
                </c:pt>
                <c:pt idx="9">
                  <c:v>86.4</c:v>
                </c:pt>
                <c:pt idx="10">
                  <c:v>96</c:v>
                </c:pt>
                <c:pt idx="11">
                  <c:v>109.6</c:v>
                </c:pt>
              </c:numCache>
            </c:numRef>
          </c:val>
          <c:smooth val="0"/>
        </c:ser>
        <c:dLbls>
          <c:showLegendKey val="0"/>
          <c:showVal val="0"/>
          <c:showCatName val="0"/>
          <c:showSerName val="0"/>
          <c:showPercent val="0"/>
          <c:showBubbleSize val="0"/>
        </c:dLbls>
        <c:marker val="1"/>
        <c:smooth val="0"/>
        <c:axId val="615460256"/>
        <c:axId val="615459864"/>
      </c:lineChart>
      <c:dateAx>
        <c:axId val="615459080"/>
        <c:scaling>
          <c:orientation val="minMax"/>
        </c:scaling>
        <c:delete val="0"/>
        <c:axPos val="b"/>
        <c:numFmt formatCode="mmm\-yy"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15459472"/>
        <c:crosses val="autoZero"/>
        <c:auto val="1"/>
        <c:lblOffset val="100"/>
        <c:baseTimeUnit val="months"/>
      </c:dateAx>
      <c:valAx>
        <c:axId val="61545947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US" b="0"/>
                  <a:t>Total number per</a:t>
                </a:r>
                <a:r>
                  <a:rPr lang="en-US" b="0" baseline="0"/>
                  <a:t> month</a:t>
                </a:r>
                <a:endParaRPr lang="en-US" b="0"/>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15459080"/>
        <c:crosses val="autoZero"/>
        <c:crossBetween val="between"/>
      </c:valAx>
      <c:valAx>
        <c:axId val="615459864"/>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GB" b="0"/>
                  <a:t>Cumulative  Totals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15460256"/>
        <c:crosses val="max"/>
        <c:crossBetween val="between"/>
      </c:valAx>
      <c:catAx>
        <c:axId val="615460256"/>
        <c:scaling>
          <c:orientation val="minMax"/>
        </c:scaling>
        <c:delete val="1"/>
        <c:axPos val="b"/>
        <c:majorGridlines>
          <c:spPr>
            <a:ln w="9525" cap="flat" cmpd="sng" algn="ctr">
              <a:solidFill>
                <a:schemeClr val="dk1">
                  <a:lumMod val="15000"/>
                  <a:lumOff val="85000"/>
                </a:schemeClr>
              </a:solidFill>
              <a:round/>
            </a:ln>
            <a:effectLst/>
          </c:spPr>
        </c:majorGridlines>
        <c:majorTickMark val="out"/>
        <c:minorTickMark val="none"/>
        <c:tickLblPos val="nextTo"/>
        <c:crossAx val="615459864"/>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layout>
        <c:manualLayout>
          <c:xMode val="edge"/>
          <c:yMode val="edge"/>
          <c:x val="8.4434645669291333E-2"/>
          <c:y val="0.80459649440371672"/>
          <c:w val="0.87476707229778095"/>
          <c:h val="0.164752164600114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ysClr val="windowText" lastClr="000000"/>
                </a:solidFill>
                <a:latin typeface="+mj-lt"/>
                <a:ea typeface="+mj-ea"/>
                <a:cs typeface="+mj-cs"/>
              </a:defRPr>
            </a:pPr>
            <a:r>
              <a:rPr lang="en-GB" sz="1200">
                <a:solidFill>
                  <a:sysClr val="windowText" lastClr="000000"/>
                </a:solidFill>
              </a:rPr>
              <a:t>Grade 3 &amp; 4 Healthcare Acquired Pressure Ulcers</a:t>
            </a: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ysClr val="windowText" lastClr="000000"/>
              </a:solidFill>
              <a:latin typeface="+mj-lt"/>
              <a:ea typeface="+mj-ea"/>
              <a:cs typeface="+mj-cs"/>
            </a:defRPr>
          </a:pPr>
          <a:endParaRPr lang="en-US"/>
        </a:p>
      </c:txPr>
    </c:title>
    <c:autoTitleDeleted val="0"/>
    <c:plotArea>
      <c:layout>
        <c:manualLayout>
          <c:layoutTarget val="inner"/>
          <c:xMode val="edge"/>
          <c:yMode val="edge"/>
          <c:x val="0.1167441520009202"/>
          <c:y val="0.1735204678362573"/>
          <c:w val="0.75440014221329899"/>
          <c:h val="0.42473269788644841"/>
        </c:manualLayout>
      </c:layout>
      <c:barChart>
        <c:barDir val="col"/>
        <c:grouping val="clustered"/>
        <c:varyColors val="0"/>
        <c:ser>
          <c:idx val="0"/>
          <c:order val="0"/>
          <c:tx>
            <c:strRef>
              <c:f>HAPUs!$E$8</c:f>
              <c:strCache>
                <c:ptCount val="1"/>
                <c:pt idx="0">
                  <c:v>Total No. Grade 3 &amp; 4 HAPUs per month </c:v>
                </c:pt>
              </c:strCache>
            </c:strRef>
          </c:tx>
          <c:spPr>
            <a:solidFill>
              <a:schemeClr val="accent1"/>
            </a:solidFill>
            <a:ln>
              <a:noFill/>
            </a:ln>
            <a:effectLst/>
          </c:spPr>
          <c:invertIfNegative val="0"/>
          <c:cat>
            <c:numRef>
              <c:f>HAPUs!$F$7:$Q$7</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HAPUs!$F$8:$Q$8</c:f>
              <c:numCache>
                <c:formatCode>General</c:formatCode>
                <c:ptCount val="12"/>
                <c:pt idx="0">
                  <c:v>4</c:v>
                </c:pt>
                <c:pt idx="1">
                  <c:v>5</c:v>
                </c:pt>
                <c:pt idx="2">
                  <c:v>8</c:v>
                </c:pt>
                <c:pt idx="3">
                  <c:v>11</c:v>
                </c:pt>
                <c:pt idx="4">
                  <c:v>4</c:v>
                </c:pt>
                <c:pt idx="5">
                  <c:v>12</c:v>
                </c:pt>
                <c:pt idx="6">
                  <c:v>11</c:v>
                </c:pt>
                <c:pt idx="7">
                  <c:v>8</c:v>
                </c:pt>
                <c:pt idx="8">
                  <c:v>11</c:v>
                </c:pt>
                <c:pt idx="9">
                  <c:v>3</c:v>
                </c:pt>
                <c:pt idx="10">
                  <c:v>10</c:v>
                </c:pt>
                <c:pt idx="11">
                  <c:v>14</c:v>
                </c:pt>
              </c:numCache>
            </c:numRef>
          </c:val>
        </c:ser>
        <c:dLbls>
          <c:showLegendKey val="0"/>
          <c:showVal val="0"/>
          <c:showCatName val="0"/>
          <c:showSerName val="0"/>
          <c:showPercent val="0"/>
          <c:showBubbleSize val="0"/>
        </c:dLbls>
        <c:gapWidth val="78"/>
        <c:axId val="615461520"/>
        <c:axId val="615461912"/>
      </c:barChart>
      <c:lineChart>
        <c:grouping val="standard"/>
        <c:varyColors val="0"/>
        <c:ser>
          <c:idx val="1"/>
          <c:order val="1"/>
          <c:tx>
            <c:strRef>
              <c:f>HAPUs!$E$9</c:f>
              <c:strCache>
                <c:ptCount val="1"/>
                <c:pt idx="0">
                  <c:v>FY Cumulative Total (2019-20)</c:v>
                </c:pt>
              </c:strCache>
            </c:strRef>
          </c:tx>
          <c:spPr>
            <a:ln w="22225" cap="rnd">
              <a:solidFill>
                <a:schemeClr val="accent2"/>
              </a:solidFill>
              <a:round/>
            </a:ln>
            <a:effectLst/>
          </c:spPr>
          <c:marker>
            <c:symbol val="none"/>
          </c:marker>
          <c:val>
            <c:numRef>
              <c:f>HAPUs!$F$9:$Q$9</c:f>
              <c:numCache>
                <c:formatCode>General</c:formatCode>
                <c:ptCount val="12"/>
                <c:pt idx="0">
                  <c:v>4</c:v>
                </c:pt>
                <c:pt idx="1">
                  <c:v>9</c:v>
                </c:pt>
                <c:pt idx="2">
                  <c:v>17</c:v>
                </c:pt>
                <c:pt idx="3">
                  <c:v>28</c:v>
                </c:pt>
                <c:pt idx="4">
                  <c:v>32</c:v>
                </c:pt>
                <c:pt idx="5">
                  <c:v>44</c:v>
                </c:pt>
                <c:pt idx="6">
                  <c:v>55</c:v>
                </c:pt>
                <c:pt idx="7">
                  <c:v>63</c:v>
                </c:pt>
                <c:pt idx="8">
                  <c:v>74</c:v>
                </c:pt>
                <c:pt idx="9">
                  <c:v>77</c:v>
                </c:pt>
                <c:pt idx="10">
                  <c:v>87</c:v>
                </c:pt>
                <c:pt idx="11">
                  <c:v>101</c:v>
                </c:pt>
              </c:numCache>
            </c:numRef>
          </c:val>
          <c:smooth val="0"/>
        </c:ser>
        <c:ser>
          <c:idx val="2"/>
          <c:order val="2"/>
          <c:tx>
            <c:strRef>
              <c:f>HAPUs!$E$10</c:f>
              <c:strCache>
                <c:ptCount val="1"/>
                <c:pt idx="0">
                  <c:v>Reduction target 2020-21 (50%)</c:v>
                </c:pt>
              </c:strCache>
            </c:strRef>
          </c:tx>
          <c:spPr>
            <a:ln w="22225" cap="rnd">
              <a:solidFill>
                <a:srgbClr val="C00000"/>
              </a:solidFill>
              <a:round/>
            </a:ln>
            <a:effectLst/>
          </c:spPr>
          <c:marker>
            <c:symbol val="none"/>
          </c:marker>
          <c:val>
            <c:numRef>
              <c:f>HAPUs!$F$10:$Q$10</c:f>
              <c:numCache>
                <c:formatCode>General</c:formatCode>
                <c:ptCount val="12"/>
                <c:pt idx="0">
                  <c:v>2</c:v>
                </c:pt>
                <c:pt idx="1">
                  <c:v>4.5</c:v>
                </c:pt>
                <c:pt idx="2">
                  <c:v>8.5</c:v>
                </c:pt>
                <c:pt idx="3">
                  <c:v>14</c:v>
                </c:pt>
                <c:pt idx="4">
                  <c:v>16</c:v>
                </c:pt>
                <c:pt idx="5">
                  <c:v>22</c:v>
                </c:pt>
                <c:pt idx="6">
                  <c:v>27.5</c:v>
                </c:pt>
                <c:pt idx="7">
                  <c:v>31.5</c:v>
                </c:pt>
                <c:pt idx="8">
                  <c:v>37</c:v>
                </c:pt>
                <c:pt idx="9">
                  <c:v>38.5</c:v>
                </c:pt>
                <c:pt idx="10">
                  <c:v>43.5</c:v>
                </c:pt>
                <c:pt idx="11">
                  <c:v>50.5</c:v>
                </c:pt>
              </c:numCache>
            </c:numRef>
          </c:val>
          <c:smooth val="0"/>
        </c:ser>
        <c:dLbls>
          <c:showLegendKey val="0"/>
          <c:showVal val="0"/>
          <c:showCatName val="0"/>
          <c:showSerName val="0"/>
          <c:showPercent val="0"/>
          <c:showBubbleSize val="0"/>
        </c:dLbls>
        <c:marker val="1"/>
        <c:smooth val="0"/>
        <c:axId val="615462696"/>
        <c:axId val="615462304"/>
      </c:lineChart>
      <c:dateAx>
        <c:axId val="615461520"/>
        <c:scaling>
          <c:orientation val="minMax"/>
        </c:scaling>
        <c:delete val="0"/>
        <c:axPos val="b"/>
        <c:numFmt formatCode="mmm\-yy"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15461912"/>
        <c:crosses val="autoZero"/>
        <c:auto val="1"/>
        <c:lblOffset val="100"/>
        <c:baseTimeUnit val="months"/>
      </c:dateAx>
      <c:valAx>
        <c:axId val="61546191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US" b="0"/>
                  <a:t>Total number per month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15461520"/>
        <c:crosses val="autoZero"/>
        <c:crossBetween val="between"/>
      </c:valAx>
      <c:valAx>
        <c:axId val="615462304"/>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GB" b="0"/>
                  <a:t>Cumulative  Totals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15462696"/>
        <c:crosses val="max"/>
        <c:crossBetween val="between"/>
      </c:valAx>
      <c:catAx>
        <c:axId val="615462696"/>
        <c:scaling>
          <c:orientation val="minMax"/>
        </c:scaling>
        <c:delete val="1"/>
        <c:axPos val="b"/>
        <c:majorGridlines>
          <c:spPr>
            <a:ln w="9525" cap="flat" cmpd="sng" algn="ctr">
              <a:solidFill>
                <a:schemeClr val="dk1">
                  <a:lumMod val="15000"/>
                  <a:lumOff val="85000"/>
                </a:schemeClr>
              </a:solidFill>
              <a:round/>
            </a:ln>
            <a:effectLst/>
          </c:spPr>
        </c:majorGridlines>
        <c:majorTickMark val="out"/>
        <c:minorTickMark val="none"/>
        <c:tickLblPos val="nextTo"/>
        <c:crossAx val="615462304"/>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layout>
        <c:manualLayout>
          <c:xMode val="edge"/>
          <c:yMode val="edge"/>
          <c:x val="2.8843575827921915E-2"/>
          <c:y val="0.79824395634756184"/>
          <c:w val="0.94231263920695196"/>
          <c:h val="0.1736858682138416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Dashboard'!$C$40:$O$40</c:f>
              <c:numCache>
                <c:formatCode>#,##0</c:formatCode>
                <c:ptCount val="13"/>
                <c:pt idx="0">
                  <c:v>6055</c:v>
                </c:pt>
                <c:pt idx="1">
                  <c:v>5227</c:v>
                </c:pt>
                <c:pt idx="2">
                  <c:v>5985</c:v>
                </c:pt>
                <c:pt idx="3">
                  <c:v>6269</c:v>
                </c:pt>
                <c:pt idx="4">
                  <c:v>5952</c:v>
                </c:pt>
                <c:pt idx="5">
                  <c:v>5706</c:v>
                </c:pt>
                <c:pt idx="6">
                  <c:v>5346</c:v>
                </c:pt>
                <c:pt idx="7">
                  <c:v>5614</c:v>
                </c:pt>
                <c:pt idx="8">
                  <c:v>5298</c:v>
                </c:pt>
                <c:pt idx="9">
                  <c:v>5450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9835912"/>
        <c:axId val="609836304"/>
      </c:lineChart>
      <c:catAx>
        <c:axId val="609835912"/>
        <c:scaling>
          <c:orientation val="minMax"/>
        </c:scaling>
        <c:delete val="1"/>
        <c:axPos val="b"/>
        <c:numFmt formatCode="mmm\-yy" sourceLinked="1"/>
        <c:majorTickMark val="none"/>
        <c:minorTickMark val="none"/>
        <c:tickLblPos val="nextTo"/>
        <c:crossAx val="609836304"/>
        <c:crosses val="autoZero"/>
        <c:auto val="1"/>
        <c:lblAlgn val="ctr"/>
        <c:lblOffset val="100"/>
        <c:noMultiLvlLbl val="0"/>
      </c:catAx>
      <c:valAx>
        <c:axId val="609836304"/>
        <c:scaling>
          <c:orientation val="minMax"/>
        </c:scaling>
        <c:delete val="1"/>
        <c:axPos val="l"/>
        <c:majorGridlines>
          <c:spPr>
            <a:ln w="9525" cap="flat" cmpd="sng" algn="ctr">
              <a:noFill/>
              <a:round/>
            </a:ln>
            <a:effectLst/>
          </c:spPr>
        </c:majorGridlines>
        <c:numFmt formatCode="#,##0" sourceLinked="1"/>
        <c:majorTickMark val="none"/>
        <c:minorTickMark val="none"/>
        <c:tickLblPos val="nextTo"/>
        <c:crossAx val="6098359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Dashboard'!$C$41:$O$41</c:f>
              <c:numCache>
                <c:formatCode>0.00%</c:formatCode>
                <c:ptCount val="13"/>
                <c:pt idx="0">
                  <c:v>4.5999999999999999E-2</c:v>
                </c:pt>
                <c:pt idx="1">
                  <c:v>2.9000000000000001E-2</c:v>
                </c:pt>
                <c:pt idx="2">
                  <c:v>3.3000000000000002E-2</c:v>
                </c:pt>
                <c:pt idx="3">
                  <c:v>0.03</c:v>
                </c:pt>
                <c:pt idx="4">
                  <c:v>4.2000000000000003E-2</c:v>
                </c:pt>
                <c:pt idx="5">
                  <c:v>3.5000000000000003E-2</c:v>
                </c:pt>
                <c:pt idx="6">
                  <c:v>4.2000000000000003E-2</c:v>
                </c:pt>
                <c:pt idx="7">
                  <c:v>4.2000000000000003E-2</c:v>
                </c:pt>
                <c:pt idx="8">
                  <c:v>4.7E-2</c:v>
                </c:pt>
                <c:pt idx="9">
                  <c:v>4.2000000000000003E-2</c:v>
                </c:pt>
                <c:pt idx="10">
                  <c:v>5.3999999999999999E-2</c:v>
                </c:pt>
                <c:pt idx="11">
                  <c:v>4.1000000000000002E-2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9837088"/>
        <c:axId val="609837480"/>
      </c:lineChart>
      <c:catAx>
        <c:axId val="609837088"/>
        <c:scaling>
          <c:orientation val="minMax"/>
        </c:scaling>
        <c:delete val="1"/>
        <c:axPos val="b"/>
        <c:numFmt formatCode="mmm\-yy" sourceLinked="1"/>
        <c:majorTickMark val="none"/>
        <c:minorTickMark val="none"/>
        <c:tickLblPos val="nextTo"/>
        <c:crossAx val="609837480"/>
        <c:crosses val="autoZero"/>
        <c:auto val="1"/>
        <c:lblAlgn val="ctr"/>
        <c:lblOffset val="100"/>
        <c:noMultiLvlLbl val="0"/>
      </c:catAx>
      <c:valAx>
        <c:axId val="609837480"/>
        <c:scaling>
          <c:orientation val="minMax"/>
        </c:scaling>
        <c:delete val="1"/>
        <c:axPos val="l"/>
        <c:majorGridlines>
          <c:spPr>
            <a:ln w="9525" cap="flat" cmpd="sng" algn="ctr">
              <a:noFill/>
              <a:round/>
            </a:ln>
            <a:effectLst/>
          </c:spPr>
        </c:majorGridlines>
        <c:numFmt formatCode="0.00%" sourceLinked="1"/>
        <c:majorTickMark val="none"/>
        <c:minorTickMark val="none"/>
        <c:tickLblPos val="nextTo"/>
        <c:crossAx val="609837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Dashboard'!$C$47:$O$47</c:f>
              <c:numCache>
                <c:formatCode>General</c:formatCode>
                <c:ptCount val="13"/>
                <c:pt idx="0">
                  <c:v>21655</c:v>
                </c:pt>
                <c:pt idx="1">
                  <c:v>21655</c:v>
                </c:pt>
                <c:pt idx="2">
                  <c:v>21655</c:v>
                </c:pt>
                <c:pt idx="3">
                  <c:v>21655</c:v>
                </c:pt>
                <c:pt idx="4">
                  <c:v>21655</c:v>
                </c:pt>
                <c:pt idx="5">
                  <c:v>21655</c:v>
                </c:pt>
                <c:pt idx="6">
                  <c:v>21655</c:v>
                </c:pt>
                <c:pt idx="7">
                  <c:v>47733</c:v>
                </c:pt>
                <c:pt idx="8">
                  <c:v>21655</c:v>
                </c:pt>
                <c:pt idx="9">
                  <c:v>16307</c:v>
                </c:pt>
                <c:pt idx="10">
                  <c:v>14838</c:v>
                </c:pt>
                <c:pt idx="11">
                  <c:v>17755</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r2="http://schemas.microsoft.com/office/drawing/2015/06/chart" xmlns:c16="http://schemas.microsoft.com/office/drawing/2014/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6603792"/>
        <c:axId val="616604184"/>
      </c:lineChart>
      <c:catAx>
        <c:axId val="616603792"/>
        <c:scaling>
          <c:orientation val="minMax"/>
        </c:scaling>
        <c:delete val="1"/>
        <c:axPos val="b"/>
        <c:numFmt formatCode="mmm\-yy" sourceLinked="1"/>
        <c:majorTickMark val="none"/>
        <c:minorTickMark val="none"/>
        <c:tickLblPos val="nextTo"/>
        <c:crossAx val="616604184"/>
        <c:crosses val="autoZero"/>
        <c:auto val="1"/>
        <c:lblAlgn val="ctr"/>
        <c:lblOffset val="100"/>
        <c:noMultiLvlLbl val="0"/>
      </c:catAx>
      <c:valAx>
        <c:axId val="61660418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66037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Dashboard'!$C$10:$O$10</c:f>
              <c:numCache>
                <c:formatCode>General</c:formatCode>
                <c:ptCount val="13"/>
                <c:pt idx="0">
                  <c:v>30</c:v>
                </c:pt>
                <c:pt idx="1">
                  <c:v>28</c:v>
                </c:pt>
                <c:pt idx="2">
                  <c:v>53</c:v>
                </c:pt>
                <c:pt idx="3">
                  <c:v>72</c:v>
                </c:pt>
                <c:pt idx="4">
                  <c:v>101</c:v>
                </c:pt>
                <c:pt idx="5">
                  <c:v>162</c:v>
                </c:pt>
                <c:pt idx="6">
                  <c:v>158</c:v>
                </c:pt>
                <c:pt idx="7">
                  <c:v>109</c:v>
                </c:pt>
                <c:pt idx="8">
                  <c:v>151</c:v>
                </c:pt>
                <c:pt idx="9">
                  <c:v>128</c:v>
                </c:pt>
                <c:pt idx="10">
                  <c:v>98</c:v>
                </c:pt>
                <c:pt idx="11">
                  <c:v>138</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5307288"/>
        <c:axId val="605307680"/>
      </c:lineChart>
      <c:catAx>
        <c:axId val="605307288"/>
        <c:scaling>
          <c:orientation val="minMax"/>
        </c:scaling>
        <c:delete val="1"/>
        <c:axPos val="b"/>
        <c:numFmt formatCode="mmm\-yy" sourceLinked="1"/>
        <c:majorTickMark val="none"/>
        <c:minorTickMark val="none"/>
        <c:tickLblPos val="nextTo"/>
        <c:crossAx val="605307680"/>
        <c:crosses val="autoZero"/>
        <c:auto val="1"/>
        <c:lblAlgn val="ctr"/>
        <c:lblOffset val="100"/>
        <c:noMultiLvlLbl val="0"/>
      </c:catAx>
      <c:valAx>
        <c:axId val="60530768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53072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Dashboard'!$C$48:$O$48</c:f>
              <c:numCache>
                <c:formatCode>General</c:formatCode>
                <c:ptCount val="13"/>
                <c:pt idx="0">
                  <c:v>181</c:v>
                </c:pt>
                <c:pt idx="1">
                  <c:v>173</c:v>
                </c:pt>
                <c:pt idx="2">
                  <c:v>193</c:v>
                </c:pt>
                <c:pt idx="3">
                  <c:v>183</c:v>
                </c:pt>
                <c:pt idx="4">
                  <c:v>160</c:v>
                </c:pt>
                <c:pt idx="5">
                  <c:v>193</c:v>
                </c:pt>
                <c:pt idx="6">
                  <c:v>147</c:v>
                </c:pt>
                <c:pt idx="7">
                  <c:v>153</c:v>
                </c:pt>
                <c:pt idx="8">
                  <c:v>179</c:v>
                </c:pt>
                <c:pt idx="9">
                  <c:v>164</c:v>
                </c:pt>
                <c:pt idx="10">
                  <c:v>136</c:v>
                </c:pt>
                <c:pt idx="11">
                  <c:v>193</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r2="http://schemas.microsoft.com/office/drawing/2015/06/chart" xmlns:c16="http://schemas.microsoft.com/office/drawing/2014/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6604968"/>
        <c:axId val="616963888"/>
      </c:lineChart>
      <c:catAx>
        <c:axId val="616604968"/>
        <c:scaling>
          <c:orientation val="minMax"/>
        </c:scaling>
        <c:delete val="1"/>
        <c:axPos val="b"/>
        <c:numFmt formatCode="mmm\-yy" sourceLinked="1"/>
        <c:majorTickMark val="none"/>
        <c:minorTickMark val="none"/>
        <c:tickLblPos val="nextTo"/>
        <c:crossAx val="616963888"/>
        <c:crosses val="autoZero"/>
        <c:auto val="1"/>
        <c:lblAlgn val="ctr"/>
        <c:lblOffset val="100"/>
        <c:noMultiLvlLbl val="0"/>
      </c:catAx>
      <c:valAx>
        <c:axId val="616963888"/>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66049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Dashboard'!$C$49:$O$49</c:f>
              <c:numCache>
                <c:formatCode>General</c:formatCode>
                <c:ptCount val="13"/>
                <c:pt idx="2">
                  <c:v>53</c:v>
                </c:pt>
                <c:pt idx="3">
                  <c:v>35</c:v>
                </c:pt>
                <c:pt idx="4">
                  <c:v>32</c:v>
                </c:pt>
                <c:pt idx="5">
                  <c:v>40</c:v>
                </c:pt>
                <c:pt idx="6">
                  <c:v>36</c:v>
                </c:pt>
                <c:pt idx="7">
                  <c:v>42</c:v>
                </c:pt>
                <c:pt idx="8">
                  <c:v>46</c:v>
                </c:pt>
                <c:pt idx="9">
                  <c:v>24</c:v>
                </c:pt>
                <c:pt idx="10">
                  <c:v>0</c:v>
                </c:pt>
                <c:pt idx="11">
                  <c:v>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6964672"/>
        <c:axId val="616965064"/>
      </c:lineChart>
      <c:catAx>
        <c:axId val="616964672"/>
        <c:scaling>
          <c:orientation val="minMax"/>
        </c:scaling>
        <c:delete val="1"/>
        <c:axPos val="b"/>
        <c:numFmt formatCode="mmm\-yy" sourceLinked="1"/>
        <c:majorTickMark val="none"/>
        <c:minorTickMark val="none"/>
        <c:tickLblPos val="nextTo"/>
        <c:crossAx val="616965064"/>
        <c:crosses val="autoZero"/>
        <c:auto val="1"/>
        <c:lblAlgn val="ctr"/>
        <c:lblOffset val="100"/>
        <c:noMultiLvlLbl val="0"/>
      </c:catAx>
      <c:valAx>
        <c:axId val="61696506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69646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Dashboard'!$C$50:$O$50</c:f>
              <c:numCache>
                <c:formatCode>General</c:formatCode>
                <c:ptCount val="13"/>
                <c:pt idx="0">
                  <c:v>47</c:v>
                </c:pt>
                <c:pt idx="1">
                  <c:v>45</c:v>
                </c:pt>
                <c:pt idx="2">
                  <c:v>51</c:v>
                </c:pt>
                <c:pt idx="3">
                  <c:v>42</c:v>
                </c:pt>
                <c:pt idx="4">
                  <c:v>46</c:v>
                </c:pt>
                <c:pt idx="5">
                  <c:v>48</c:v>
                </c:pt>
                <c:pt idx="6">
                  <c:v>53</c:v>
                </c:pt>
                <c:pt idx="7">
                  <c:v>40</c:v>
                </c:pt>
                <c:pt idx="8">
                  <c:v>55</c:v>
                </c:pt>
                <c:pt idx="9">
                  <c:v>42</c:v>
                </c:pt>
                <c:pt idx="10">
                  <c:v>49</c:v>
                </c:pt>
                <c:pt idx="11">
                  <c:v>51</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6965848"/>
        <c:axId val="616966240"/>
      </c:lineChart>
      <c:catAx>
        <c:axId val="616965848"/>
        <c:scaling>
          <c:orientation val="minMax"/>
        </c:scaling>
        <c:delete val="1"/>
        <c:axPos val="b"/>
        <c:numFmt formatCode="mmm\-yy" sourceLinked="1"/>
        <c:majorTickMark val="none"/>
        <c:minorTickMark val="none"/>
        <c:tickLblPos val="nextTo"/>
        <c:crossAx val="616966240"/>
        <c:crosses val="autoZero"/>
        <c:auto val="1"/>
        <c:lblAlgn val="ctr"/>
        <c:lblOffset val="100"/>
        <c:noMultiLvlLbl val="0"/>
      </c:catAx>
      <c:valAx>
        <c:axId val="61696624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69658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Dashboard'!$C$51:$O$51</c:f>
              <c:numCache>
                <c:formatCode>General</c:formatCode>
                <c:ptCount val="13"/>
                <c:pt idx="0">
                  <c:v>55</c:v>
                </c:pt>
                <c:pt idx="1">
                  <c:v>51</c:v>
                </c:pt>
                <c:pt idx="2">
                  <c:v>55</c:v>
                </c:pt>
                <c:pt idx="3">
                  <c:v>50</c:v>
                </c:pt>
                <c:pt idx="4">
                  <c:v>52</c:v>
                </c:pt>
                <c:pt idx="5">
                  <c:v>50</c:v>
                </c:pt>
                <c:pt idx="6">
                  <c:v>67</c:v>
                </c:pt>
                <c:pt idx="7">
                  <c:v>63</c:v>
                </c:pt>
                <c:pt idx="8">
                  <c:v>62</c:v>
                </c:pt>
                <c:pt idx="9">
                  <c:v>67</c:v>
                </c:pt>
                <c:pt idx="10">
                  <c:v>47</c:v>
                </c:pt>
                <c:pt idx="11">
                  <c:v>56</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16967024"/>
        <c:axId val="616967416"/>
      </c:lineChart>
      <c:catAx>
        <c:axId val="616967024"/>
        <c:scaling>
          <c:orientation val="minMax"/>
        </c:scaling>
        <c:delete val="1"/>
        <c:axPos val="b"/>
        <c:numFmt formatCode="mmm\-yy" sourceLinked="1"/>
        <c:majorTickMark val="none"/>
        <c:minorTickMark val="none"/>
        <c:tickLblPos val="nextTo"/>
        <c:crossAx val="616967416"/>
        <c:crosses val="autoZero"/>
        <c:auto val="1"/>
        <c:lblAlgn val="ctr"/>
        <c:lblOffset val="100"/>
        <c:noMultiLvlLbl val="0"/>
      </c:catAx>
      <c:valAx>
        <c:axId val="616967416"/>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169670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Dashboard'!$C$53:$O$53</c:f>
              <c:numCache>
                <c:formatCode>General</c:formatCode>
                <c:ptCount val="13"/>
                <c:pt idx="0">
                  <c:v>17</c:v>
                </c:pt>
                <c:pt idx="1">
                  <c:v>10</c:v>
                </c:pt>
                <c:pt idx="2">
                  <c:v>21</c:v>
                </c:pt>
                <c:pt idx="3">
                  <c:v>8</c:v>
                </c:pt>
                <c:pt idx="4">
                  <c:v>6</c:v>
                </c:pt>
                <c:pt idx="5">
                  <c:v>14</c:v>
                </c:pt>
                <c:pt idx="6">
                  <c:v>12</c:v>
                </c:pt>
                <c:pt idx="7">
                  <c:v>30</c:v>
                </c:pt>
                <c:pt idx="8">
                  <c:v>19</c:v>
                </c:pt>
                <c:pt idx="9">
                  <c:v>10</c:v>
                </c:pt>
                <c:pt idx="10">
                  <c:v>14</c:v>
                </c:pt>
                <c:pt idx="11">
                  <c:v>7</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5530360"/>
        <c:axId val="635530752"/>
      </c:lineChart>
      <c:catAx>
        <c:axId val="635530360"/>
        <c:scaling>
          <c:orientation val="minMax"/>
        </c:scaling>
        <c:delete val="1"/>
        <c:axPos val="b"/>
        <c:numFmt formatCode="mmm\-yy" sourceLinked="1"/>
        <c:majorTickMark val="none"/>
        <c:minorTickMark val="none"/>
        <c:tickLblPos val="nextTo"/>
        <c:crossAx val="635530752"/>
        <c:crosses val="autoZero"/>
        <c:auto val="1"/>
        <c:lblAlgn val="ctr"/>
        <c:lblOffset val="100"/>
        <c:noMultiLvlLbl val="0"/>
      </c:catAx>
      <c:valAx>
        <c:axId val="635530752"/>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5530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Dashboard'!$C$54:$O$54</c:f>
              <c:numCache>
                <c:formatCode>General</c:formatCode>
                <c:ptCount val="13"/>
                <c:pt idx="0">
                  <c:v>10</c:v>
                </c:pt>
                <c:pt idx="1">
                  <c:v>27</c:v>
                </c:pt>
                <c:pt idx="2">
                  <c:v>40</c:v>
                </c:pt>
                <c:pt idx="3">
                  <c:v>18</c:v>
                </c:pt>
                <c:pt idx="4">
                  <c:v>21</c:v>
                </c:pt>
                <c:pt idx="5">
                  <c:v>18</c:v>
                </c:pt>
                <c:pt idx="6">
                  <c:v>12</c:v>
                </c:pt>
                <c:pt idx="7">
                  <c:v>18</c:v>
                </c:pt>
                <c:pt idx="8">
                  <c:v>25</c:v>
                </c:pt>
                <c:pt idx="9">
                  <c:v>29</c:v>
                </c:pt>
                <c:pt idx="10">
                  <c:v>16</c:v>
                </c:pt>
                <c:pt idx="11">
                  <c:v>25</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5531536"/>
        <c:axId val="635531928"/>
      </c:lineChart>
      <c:catAx>
        <c:axId val="635531536"/>
        <c:scaling>
          <c:orientation val="minMax"/>
        </c:scaling>
        <c:delete val="1"/>
        <c:axPos val="b"/>
        <c:numFmt formatCode="mmm\-yy" sourceLinked="1"/>
        <c:majorTickMark val="none"/>
        <c:minorTickMark val="none"/>
        <c:tickLblPos val="nextTo"/>
        <c:crossAx val="635531928"/>
        <c:crosses val="autoZero"/>
        <c:auto val="1"/>
        <c:lblAlgn val="ctr"/>
        <c:lblOffset val="100"/>
        <c:noMultiLvlLbl val="0"/>
      </c:catAx>
      <c:valAx>
        <c:axId val="635531928"/>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5531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Dashboard'!$C$54:$O$54</c:f>
              <c:numCache>
                <c:formatCode>General</c:formatCode>
                <c:ptCount val="13"/>
                <c:pt idx="0">
                  <c:v>10</c:v>
                </c:pt>
                <c:pt idx="1">
                  <c:v>27</c:v>
                </c:pt>
                <c:pt idx="2">
                  <c:v>40</c:v>
                </c:pt>
                <c:pt idx="3">
                  <c:v>18</c:v>
                </c:pt>
                <c:pt idx="4">
                  <c:v>21</c:v>
                </c:pt>
                <c:pt idx="5">
                  <c:v>18</c:v>
                </c:pt>
                <c:pt idx="6">
                  <c:v>12</c:v>
                </c:pt>
                <c:pt idx="7">
                  <c:v>18</c:v>
                </c:pt>
                <c:pt idx="8">
                  <c:v>25</c:v>
                </c:pt>
                <c:pt idx="9">
                  <c:v>29</c:v>
                </c:pt>
                <c:pt idx="10">
                  <c:v>16</c:v>
                </c:pt>
                <c:pt idx="11">
                  <c:v>25</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5532712"/>
        <c:axId val="635533104"/>
      </c:lineChart>
      <c:catAx>
        <c:axId val="635532712"/>
        <c:scaling>
          <c:orientation val="minMax"/>
        </c:scaling>
        <c:delete val="1"/>
        <c:axPos val="b"/>
        <c:numFmt formatCode="mmm\-yy" sourceLinked="1"/>
        <c:majorTickMark val="none"/>
        <c:minorTickMark val="none"/>
        <c:tickLblPos val="nextTo"/>
        <c:crossAx val="635533104"/>
        <c:crosses val="autoZero"/>
        <c:auto val="1"/>
        <c:lblAlgn val="ctr"/>
        <c:lblOffset val="100"/>
        <c:noMultiLvlLbl val="0"/>
      </c:catAx>
      <c:valAx>
        <c:axId val="63553310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55327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Dashboard'!$C$61:$O$61</c:f>
              <c:numCache>
                <c:formatCode>General</c:formatCode>
                <c:ptCount val="13"/>
                <c:pt idx="0">
                  <c:v>0</c:v>
                </c:pt>
                <c:pt idx="1">
                  <c:v>0</c:v>
                </c:pt>
                <c:pt idx="2">
                  <c:v>0</c:v>
                </c:pt>
                <c:pt idx="3">
                  <c:v>0</c:v>
                </c:pt>
                <c:pt idx="4">
                  <c:v>0</c:v>
                </c:pt>
                <c:pt idx="5">
                  <c:v>0</c:v>
                </c:pt>
                <c:pt idx="6">
                  <c:v>0</c:v>
                </c:pt>
                <c:pt idx="7">
                  <c:v>1</c:v>
                </c:pt>
                <c:pt idx="8">
                  <c:v>0</c:v>
                </c:pt>
                <c:pt idx="9">
                  <c:v>0</c:v>
                </c:pt>
                <c:pt idx="10">
                  <c:v>0</c:v>
                </c:pt>
                <c:pt idx="11">
                  <c:v>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7074472"/>
        <c:axId val="637074864"/>
      </c:lineChart>
      <c:catAx>
        <c:axId val="637074472"/>
        <c:scaling>
          <c:orientation val="minMax"/>
        </c:scaling>
        <c:delete val="1"/>
        <c:axPos val="b"/>
        <c:numFmt formatCode="mmm\-yy" sourceLinked="1"/>
        <c:majorTickMark val="none"/>
        <c:minorTickMark val="none"/>
        <c:tickLblPos val="nextTo"/>
        <c:crossAx val="637074864"/>
        <c:crosses val="autoZero"/>
        <c:auto val="1"/>
        <c:lblAlgn val="ctr"/>
        <c:lblOffset val="100"/>
        <c:noMultiLvlLbl val="0"/>
      </c:catAx>
      <c:valAx>
        <c:axId val="637074864"/>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70744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Dashboard'!$C$62:$O$62</c:f>
              <c:numCache>
                <c:formatCode>General</c:formatCode>
                <c:ptCount val="13"/>
                <c:pt idx="0">
                  <c:v>8</c:v>
                </c:pt>
                <c:pt idx="1">
                  <c:v>8</c:v>
                </c:pt>
                <c:pt idx="2">
                  <c:v>24</c:v>
                </c:pt>
                <c:pt idx="3">
                  <c:v>20</c:v>
                </c:pt>
                <c:pt idx="4">
                  <c:v>15</c:v>
                </c:pt>
                <c:pt idx="5">
                  <c:v>25</c:v>
                </c:pt>
                <c:pt idx="6">
                  <c:v>14</c:v>
                </c:pt>
                <c:pt idx="7">
                  <c:v>15</c:v>
                </c:pt>
                <c:pt idx="8">
                  <c:v>10</c:v>
                </c:pt>
                <c:pt idx="9">
                  <c:v>46</c:v>
                </c:pt>
                <c:pt idx="10">
                  <c:v>26</c:v>
                </c:pt>
                <c:pt idx="11">
                  <c:v>17</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7075648"/>
        <c:axId val="637076040"/>
      </c:lineChart>
      <c:catAx>
        <c:axId val="637075648"/>
        <c:scaling>
          <c:orientation val="minMax"/>
        </c:scaling>
        <c:delete val="1"/>
        <c:axPos val="b"/>
        <c:numFmt formatCode="mmm\-yy" sourceLinked="1"/>
        <c:majorTickMark val="none"/>
        <c:minorTickMark val="none"/>
        <c:tickLblPos val="nextTo"/>
        <c:crossAx val="637076040"/>
        <c:crosses val="autoZero"/>
        <c:auto val="1"/>
        <c:lblAlgn val="ctr"/>
        <c:lblOffset val="100"/>
        <c:noMultiLvlLbl val="0"/>
      </c:catAx>
      <c:valAx>
        <c:axId val="63707604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70756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Dashboard'!$C$63:$O$63</c:f>
              <c:numCache>
                <c:formatCode>General</c:formatCode>
                <c:ptCount val="13"/>
                <c:pt idx="0">
                  <c:v>13</c:v>
                </c:pt>
                <c:pt idx="1">
                  <c:v>13</c:v>
                </c:pt>
                <c:pt idx="2">
                  <c:v>25</c:v>
                </c:pt>
                <c:pt idx="3">
                  <c:v>17</c:v>
                </c:pt>
                <c:pt idx="4">
                  <c:v>20</c:v>
                </c:pt>
                <c:pt idx="5">
                  <c:v>30</c:v>
                </c:pt>
                <c:pt idx="6">
                  <c:v>16</c:v>
                </c:pt>
                <c:pt idx="7">
                  <c:v>17</c:v>
                </c:pt>
                <c:pt idx="8">
                  <c:v>0</c:v>
                </c:pt>
                <c:pt idx="9">
                  <c:v>0</c:v>
                </c:pt>
                <c:pt idx="10">
                  <c:v>0</c:v>
                </c:pt>
                <c:pt idx="11">
                  <c:v>0</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37076824"/>
        <c:axId val="637077216"/>
      </c:lineChart>
      <c:catAx>
        <c:axId val="637076824"/>
        <c:scaling>
          <c:orientation val="minMax"/>
        </c:scaling>
        <c:delete val="1"/>
        <c:axPos val="b"/>
        <c:numFmt formatCode="mmm\-yy" sourceLinked="1"/>
        <c:majorTickMark val="none"/>
        <c:minorTickMark val="none"/>
        <c:tickLblPos val="nextTo"/>
        <c:crossAx val="637077216"/>
        <c:crosses val="autoZero"/>
        <c:auto val="1"/>
        <c:lblAlgn val="ctr"/>
        <c:lblOffset val="100"/>
        <c:noMultiLvlLbl val="0"/>
      </c:catAx>
      <c:valAx>
        <c:axId val="637077216"/>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370768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Dashboard'!$C$11:$O$11</c:f>
              <c:numCache>
                <c:formatCode>General</c:formatCode>
                <c:ptCount val="13"/>
                <c:pt idx="0">
                  <c:v>182</c:v>
                </c:pt>
                <c:pt idx="1">
                  <c:v>85</c:v>
                </c:pt>
                <c:pt idx="2">
                  <c:v>171</c:v>
                </c:pt>
                <c:pt idx="3">
                  <c:v>225</c:v>
                </c:pt>
                <c:pt idx="4">
                  <c:v>154</c:v>
                </c:pt>
                <c:pt idx="5">
                  <c:v>146</c:v>
                </c:pt>
                <c:pt idx="6">
                  <c:v>359</c:v>
                </c:pt>
                <c:pt idx="7">
                  <c:v>161</c:v>
                </c:pt>
                <c:pt idx="8">
                  <c:v>189</c:v>
                </c:pt>
                <c:pt idx="9">
                  <c:v>123</c:v>
                </c:pt>
                <c:pt idx="10">
                  <c:v>39</c:v>
                </c:pt>
                <c:pt idx="11">
                  <c:v>32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5308464"/>
        <c:axId val="603526296"/>
      </c:lineChart>
      <c:catAx>
        <c:axId val="605308464"/>
        <c:scaling>
          <c:orientation val="minMax"/>
        </c:scaling>
        <c:delete val="1"/>
        <c:axPos val="b"/>
        <c:numFmt formatCode="mmm\-yy" sourceLinked="1"/>
        <c:majorTickMark val="none"/>
        <c:minorTickMark val="none"/>
        <c:tickLblPos val="nextTo"/>
        <c:crossAx val="603526296"/>
        <c:crosses val="autoZero"/>
        <c:auto val="1"/>
        <c:lblAlgn val="ctr"/>
        <c:lblOffset val="100"/>
        <c:noMultiLvlLbl val="0"/>
      </c:catAx>
      <c:valAx>
        <c:axId val="603526296"/>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53084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Figure 1b: Prince Charles Hospital January 2020 Data</a:t>
            </a:r>
          </a:p>
        </c:rich>
      </c:tx>
      <c:layout>
        <c:manualLayout>
          <c:xMode val="edge"/>
          <c:yMode val="edge"/>
          <c:x val="0.31482884376295067"/>
          <c:y val="0"/>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843432490765306E-2"/>
          <c:y val="0.12330857790503462"/>
          <c:w val="0.92837722478622997"/>
          <c:h val="0.47618020758768792"/>
        </c:manualLayout>
      </c:layout>
      <c:barChart>
        <c:barDir val="col"/>
        <c:grouping val="clustered"/>
        <c:varyColors val="0"/>
        <c:ser>
          <c:idx val="0"/>
          <c:order val="0"/>
          <c:tx>
            <c:strRef>
              <c:f>Sheet2!$G$7</c:f>
              <c:strCache>
                <c:ptCount val="1"/>
                <c:pt idx="0">
                  <c:v>Ward 2</c:v>
                </c:pt>
              </c:strCache>
            </c:strRef>
          </c:tx>
          <c:spPr>
            <a:solidFill>
              <a:schemeClr val="accent1"/>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Sheet2!$H$7:$R$7</c:f>
              <c:numCache>
                <c:formatCode>General</c:formatCode>
                <c:ptCount val="11"/>
                <c:pt idx="0">
                  <c:v>9.5</c:v>
                </c:pt>
                <c:pt idx="1">
                  <c:v>10</c:v>
                </c:pt>
                <c:pt idx="2">
                  <c:v>9.66</c:v>
                </c:pt>
                <c:pt idx="3">
                  <c:v>10</c:v>
                </c:pt>
                <c:pt idx="4">
                  <c:v>10</c:v>
                </c:pt>
                <c:pt idx="5">
                  <c:v>9.92</c:v>
                </c:pt>
                <c:pt idx="6">
                  <c:v>10</c:v>
                </c:pt>
                <c:pt idx="7">
                  <c:v>10</c:v>
                </c:pt>
                <c:pt idx="8">
                  <c:v>7.88</c:v>
                </c:pt>
                <c:pt idx="9">
                  <c:v>10</c:v>
                </c:pt>
                <c:pt idx="10">
                  <c:v>9.69</c:v>
                </c:pt>
              </c:numCache>
            </c:numRef>
          </c:val>
        </c:ser>
        <c:ser>
          <c:idx val="3"/>
          <c:order val="1"/>
          <c:tx>
            <c:strRef>
              <c:f>Sheet2!$G$8</c:f>
              <c:strCache>
                <c:ptCount val="1"/>
                <c:pt idx="0">
                  <c:v>Ward 3</c:v>
                </c:pt>
              </c:strCache>
            </c:strRef>
          </c:tx>
          <c:spPr>
            <a:solidFill>
              <a:schemeClr val="accent4"/>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Sheet2!$H$8:$R$8</c:f>
              <c:numCache>
                <c:formatCode>General</c:formatCode>
                <c:ptCount val="11"/>
                <c:pt idx="0">
                  <c:v>9.1999999999999993</c:v>
                </c:pt>
                <c:pt idx="1">
                  <c:v>9.32</c:v>
                </c:pt>
                <c:pt idx="2">
                  <c:v>9.77</c:v>
                </c:pt>
                <c:pt idx="3">
                  <c:v>9.5500000000000007</c:v>
                </c:pt>
                <c:pt idx="4">
                  <c:v>9.5500000000000007</c:v>
                </c:pt>
                <c:pt idx="5">
                  <c:v>9.5399999999999991</c:v>
                </c:pt>
                <c:pt idx="6">
                  <c:v>8.89</c:v>
                </c:pt>
                <c:pt idx="7">
                  <c:v>10</c:v>
                </c:pt>
                <c:pt idx="8">
                  <c:v>8.86</c:v>
                </c:pt>
                <c:pt idx="9">
                  <c:v>9.5500000000000007</c:v>
                </c:pt>
                <c:pt idx="10">
                  <c:v>9.42</c:v>
                </c:pt>
              </c:numCache>
            </c:numRef>
          </c:val>
        </c:ser>
        <c:ser>
          <c:idx val="4"/>
          <c:order val="2"/>
          <c:tx>
            <c:strRef>
              <c:f>Sheet2!$G$9</c:f>
              <c:strCache>
                <c:ptCount val="1"/>
                <c:pt idx="0">
                  <c:v>Ward 4</c:v>
                </c:pt>
              </c:strCache>
            </c:strRef>
          </c:tx>
          <c:spPr>
            <a:solidFill>
              <a:schemeClr val="accent5"/>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Sheet2!$H$9:$R$9</c:f>
              <c:numCache>
                <c:formatCode>General</c:formatCode>
                <c:ptCount val="11"/>
                <c:pt idx="0">
                  <c:v>9.58</c:v>
                </c:pt>
                <c:pt idx="1">
                  <c:v>10</c:v>
                </c:pt>
                <c:pt idx="2">
                  <c:v>10</c:v>
                </c:pt>
                <c:pt idx="3">
                  <c:v>9.93</c:v>
                </c:pt>
                <c:pt idx="4">
                  <c:v>10</c:v>
                </c:pt>
                <c:pt idx="5">
                  <c:v>9.44</c:v>
                </c:pt>
                <c:pt idx="6">
                  <c:v>10</c:v>
                </c:pt>
                <c:pt idx="7">
                  <c:v>10</c:v>
                </c:pt>
                <c:pt idx="8">
                  <c:v>8.9600000000000009</c:v>
                </c:pt>
                <c:pt idx="9">
                  <c:v>10</c:v>
                </c:pt>
                <c:pt idx="10">
                  <c:v>9.7899999999999991</c:v>
                </c:pt>
              </c:numCache>
            </c:numRef>
          </c:val>
        </c:ser>
        <c:ser>
          <c:idx val="5"/>
          <c:order val="3"/>
          <c:tx>
            <c:strRef>
              <c:f>Sheet2!$G$10</c:f>
              <c:strCache>
                <c:ptCount val="1"/>
                <c:pt idx="0">
                  <c:v>ward 7</c:v>
                </c:pt>
              </c:strCache>
            </c:strRef>
          </c:tx>
          <c:spPr>
            <a:solidFill>
              <a:schemeClr val="accent6"/>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Sheet2!$H$10:$R$10</c:f>
              <c:numCache>
                <c:formatCode>General</c:formatCode>
                <c:ptCount val="11"/>
                <c:pt idx="0">
                  <c:v>8.5</c:v>
                </c:pt>
                <c:pt idx="1">
                  <c:v>10</c:v>
                </c:pt>
                <c:pt idx="2">
                  <c:v>9.5</c:v>
                </c:pt>
                <c:pt idx="3">
                  <c:v>10</c:v>
                </c:pt>
                <c:pt idx="4">
                  <c:v>10</c:v>
                </c:pt>
                <c:pt idx="5">
                  <c:v>10</c:v>
                </c:pt>
                <c:pt idx="6">
                  <c:v>10</c:v>
                </c:pt>
                <c:pt idx="7">
                  <c:v>10</c:v>
                </c:pt>
                <c:pt idx="8">
                  <c:v>9.75</c:v>
                </c:pt>
                <c:pt idx="9">
                  <c:v>10</c:v>
                </c:pt>
                <c:pt idx="10">
                  <c:v>8.7799999999999994</c:v>
                </c:pt>
              </c:numCache>
            </c:numRef>
          </c:val>
        </c:ser>
        <c:ser>
          <c:idx val="6"/>
          <c:order val="4"/>
          <c:tx>
            <c:strRef>
              <c:f>Sheet2!$G$11</c:f>
              <c:strCache>
                <c:ptCount val="1"/>
                <c:pt idx="0">
                  <c:v>Ward 9</c:v>
                </c:pt>
              </c:strCache>
            </c:strRef>
          </c:tx>
          <c:spPr>
            <a:solidFill>
              <a:schemeClr val="accent1">
                <a:lumMod val="60000"/>
              </a:schemeClr>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Sheet2!$H$11:$R$11</c:f>
              <c:numCache>
                <c:formatCode>General</c:formatCode>
                <c:ptCount val="11"/>
                <c:pt idx="0">
                  <c:v>9.5</c:v>
                </c:pt>
                <c:pt idx="1">
                  <c:v>10</c:v>
                </c:pt>
                <c:pt idx="2">
                  <c:v>10</c:v>
                </c:pt>
                <c:pt idx="3">
                  <c:v>9.33</c:v>
                </c:pt>
                <c:pt idx="4">
                  <c:v>10</c:v>
                </c:pt>
                <c:pt idx="5">
                  <c:v>10</c:v>
                </c:pt>
                <c:pt idx="6">
                  <c:v>10</c:v>
                </c:pt>
                <c:pt idx="7">
                  <c:v>10</c:v>
                </c:pt>
                <c:pt idx="8">
                  <c:v>10</c:v>
                </c:pt>
                <c:pt idx="9">
                  <c:v>10</c:v>
                </c:pt>
                <c:pt idx="10">
                  <c:v>9.8800000000000008</c:v>
                </c:pt>
              </c:numCache>
            </c:numRef>
          </c:val>
        </c:ser>
        <c:ser>
          <c:idx val="1"/>
          <c:order val="5"/>
          <c:tx>
            <c:strRef>
              <c:f>Sheet2!$G$12</c:f>
              <c:strCache>
                <c:ptCount val="1"/>
                <c:pt idx="0">
                  <c:v>Ward 10</c:v>
                </c:pt>
              </c:strCache>
            </c:strRef>
          </c:tx>
          <c:spPr>
            <a:solidFill>
              <a:schemeClr val="accent2"/>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Sheet2!$H$12:$R$12</c:f>
              <c:numCache>
                <c:formatCode>General</c:formatCode>
                <c:ptCount val="11"/>
                <c:pt idx="0">
                  <c:v>9</c:v>
                </c:pt>
                <c:pt idx="1">
                  <c:v>10</c:v>
                </c:pt>
                <c:pt idx="2">
                  <c:v>10</c:v>
                </c:pt>
                <c:pt idx="3">
                  <c:v>10</c:v>
                </c:pt>
                <c:pt idx="4">
                  <c:v>10</c:v>
                </c:pt>
                <c:pt idx="5">
                  <c:v>10</c:v>
                </c:pt>
                <c:pt idx="6">
                  <c:v>10</c:v>
                </c:pt>
                <c:pt idx="7">
                  <c:v>10</c:v>
                </c:pt>
                <c:pt idx="8">
                  <c:v>8.5</c:v>
                </c:pt>
                <c:pt idx="9">
                  <c:v>10</c:v>
                </c:pt>
                <c:pt idx="10">
                  <c:v>9.75</c:v>
                </c:pt>
              </c:numCache>
            </c:numRef>
          </c:val>
        </c:ser>
        <c:ser>
          <c:idx val="2"/>
          <c:order val="6"/>
          <c:tx>
            <c:strRef>
              <c:f>Sheet2!$G$13</c:f>
              <c:strCache>
                <c:ptCount val="1"/>
                <c:pt idx="0">
                  <c:v>Ward 11</c:v>
                </c:pt>
              </c:strCache>
            </c:strRef>
          </c:tx>
          <c:spPr>
            <a:solidFill>
              <a:schemeClr val="accent3"/>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Sheet2!$H$13:$R$13</c:f>
              <c:numCache>
                <c:formatCode>General</c:formatCode>
                <c:ptCount val="11"/>
                <c:pt idx="0">
                  <c:v>10</c:v>
                </c:pt>
                <c:pt idx="1">
                  <c:v>9.5</c:v>
                </c:pt>
                <c:pt idx="2">
                  <c:v>9.75</c:v>
                </c:pt>
                <c:pt idx="3">
                  <c:v>9.67</c:v>
                </c:pt>
                <c:pt idx="4">
                  <c:v>9.67</c:v>
                </c:pt>
                <c:pt idx="5">
                  <c:v>10</c:v>
                </c:pt>
                <c:pt idx="6">
                  <c:v>10</c:v>
                </c:pt>
                <c:pt idx="7">
                  <c:v>10</c:v>
                </c:pt>
                <c:pt idx="8">
                  <c:v>9.5</c:v>
                </c:pt>
                <c:pt idx="9">
                  <c:v>10</c:v>
                </c:pt>
                <c:pt idx="10">
                  <c:v>9.81</c:v>
                </c:pt>
              </c:numCache>
            </c:numRef>
          </c:val>
        </c:ser>
        <c:ser>
          <c:idx val="7"/>
          <c:order val="7"/>
          <c:tx>
            <c:strRef>
              <c:f>Sheet2!$G$14</c:f>
              <c:strCache>
                <c:ptCount val="1"/>
                <c:pt idx="0">
                  <c:v>Ward 12</c:v>
                </c:pt>
              </c:strCache>
            </c:strRef>
          </c:tx>
          <c:spPr>
            <a:solidFill>
              <a:schemeClr val="accent2">
                <a:lumMod val="60000"/>
              </a:schemeClr>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Sheet2!$H$14:$R$14</c:f>
              <c:numCache>
                <c:formatCode>General</c:formatCode>
                <c:ptCount val="11"/>
                <c:pt idx="0">
                  <c:v>9.64</c:v>
                </c:pt>
                <c:pt idx="1">
                  <c:v>10</c:v>
                </c:pt>
                <c:pt idx="2">
                  <c:v>10</c:v>
                </c:pt>
                <c:pt idx="3">
                  <c:v>9.4</c:v>
                </c:pt>
                <c:pt idx="4">
                  <c:v>9.52</c:v>
                </c:pt>
                <c:pt idx="5">
                  <c:v>10</c:v>
                </c:pt>
                <c:pt idx="6">
                  <c:v>8.93</c:v>
                </c:pt>
                <c:pt idx="7">
                  <c:v>10</c:v>
                </c:pt>
                <c:pt idx="8">
                  <c:v>9.11</c:v>
                </c:pt>
                <c:pt idx="9">
                  <c:v>10</c:v>
                </c:pt>
                <c:pt idx="10">
                  <c:v>9.02</c:v>
                </c:pt>
              </c:numCache>
            </c:numRef>
          </c:val>
        </c:ser>
        <c:ser>
          <c:idx val="8"/>
          <c:order val="8"/>
          <c:tx>
            <c:strRef>
              <c:f>Sheet2!$G$15</c:f>
              <c:strCache>
                <c:ptCount val="1"/>
                <c:pt idx="0">
                  <c:v>Maternity</c:v>
                </c:pt>
              </c:strCache>
            </c:strRef>
          </c:tx>
          <c:spPr>
            <a:solidFill>
              <a:schemeClr val="accent3">
                <a:lumMod val="60000"/>
              </a:schemeClr>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Sheet2!$H$15:$R$15</c:f>
              <c:numCache>
                <c:formatCode>General</c:formatCode>
                <c:ptCount val="11"/>
                <c:pt idx="0">
                  <c:v>7.52</c:v>
                </c:pt>
                <c:pt idx="1">
                  <c:v>8.3699999999999992</c:v>
                </c:pt>
                <c:pt idx="2">
                  <c:v>8.19</c:v>
                </c:pt>
                <c:pt idx="3">
                  <c:v>8.3000000000000007</c:v>
                </c:pt>
                <c:pt idx="4">
                  <c:v>8.3800000000000008</c:v>
                </c:pt>
                <c:pt idx="5">
                  <c:v>8.3000000000000007</c:v>
                </c:pt>
                <c:pt idx="6">
                  <c:v>8.11</c:v>
                </c:pt>
                <c:pt idx="7">
                  <c:v>8.57</c:v>
                </c:pt>
                <c:pt idx="8">
                  <c:v>7.53</c:v>
                </c:pt>
                <c:pt idx="9">
                  <c:v>8.23</c:v>
                </c:pt>
                <c:pt idx="10">
                  <c:v>8.0500000000000007</c:v>
                </c:pt>
              </c:numCache>
            </c:numRef>
          </c:val>
        </c:ser>
        <c:ser>
          <c:idx val="9"/>
          <c:order val="9"/>
          <c:tx>
            <c:strRef>
              <c:f>Sheet2!$G$16</c:f>
              <c:strCache>
                <c:ptCount val="1"/>
                <c:pt idx="0">
                  <c:v>A &amp; E </c:v>
                </c:pt>
              </c:strCache>
            </c:strRef>
          </c:tx>
          <c:spPr>
            <a:solidFill>
              <a:schemeClr val="accent4">
                <a:lumMod val="60000"/>
              </a:schemeClr>
            </a:solidFill>
            <a:ln>
              <a:noFill/>
            </a:ln>
            <a:effectLst/>
          </c:spPr>
          <c:invertIfNegative val="0"/>
          <c:cat>
            <c:strRef>
              <c:f>Sheet2!$H$6:$R$6</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Sheet2!$H$16:$R$16</c:f>
              <c:numCache>
                <c:formatCode>General</c:formatCode>
                <c:ptCount val="11"/>
                <c:pt idx="0">
                  <c:v>1.25</c:v>
                </c:pt>
                <c:pt idx="1">
                  <c:v>10</c:v>
                </c:pt>
                <c:pt idx="2">
                  <c:v>9.5500000000000007</c:v>
                </c:pt>
                <c:pt idx="3">
                  <c:v>9.6999999999999993</c:v>
                </c:pt>
                <c:pt idx="4">
                  <c:v>9.85</c:v>
                </c:pt>
                <c:pt idx="5">
                  <c:v>10</c:v>
                </c:pt>
                <c:pt idx="6">
                  <c:v>10</c:v>
                </c:pt>
                <c:pt idx="7">
                  <c:v>10</c:v>
                </c:pt>
                <c:pt idx="8">
                  <c:v>8.98</c:v>
                </c:pt>
                <c:pt idx="9">
                  <c:v>10</c:v>
                </c:pt>
                <c:pt idx="10">
                  <c:v>8.93</c:v>
                </c:pt>
              </c:numCache>
            </c:numRef>
          </c:val>
        </c:ser>
        <c:dLbls>
          <c:showLegendKey val="0"/>
          <c:showVal val="0"/>
          <c:showCatName val="0"/>
          <c:showSerName val="0"/>
          <c:showPercent val="0"/>
          <c:showBubbleSize val="0"/>
        </c:dLbls>
        <c:gapWidth val="219"/>
        <c:overlap val="-27"/>
        <c:axId val="637078000"/>
        <c:axId val="638348936"/>
      </c:barChart>
      <c:catAx>
        <c:axId val="63707800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638348936"/>
        <c:crosses val="autoZero"/>
        <c:auto val="1"/>
        <c:lblAlgn val="ctr"/>
        <c:lblOffset val="100"/>
        <c:noMultiLvlLbl val="0"/>
      </c:catAx>
      <c:valAx>
        <c:axId val="638348936"/>
        <c:scaling>
          <c:orientation val="minMax"/>
          <c:max val="10"/>
          <c:min val="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637078000"/>
        <c:crosses val="autoZero"/>
        <c:crossBetween val="between"/>
        <c:majorUnit val="5"/>
        <c:minorUnit val="0.1"/>
      </c:valAx>
      <c:spPr>
        <a:noFill/>
        <a:ln>
          <a:noFill/>
        </a:ln>
        <a:effectLst/>
      </c:spPr>
    </c:plotArea>
    <c:legend>
      <c:legendPos val="b"/>
      <c:layout>
        <c:manualLayout>
          <c:xMode val="edge"/>
          <c:yMode val="edge"/>
          <c:x val="0.20188710411198602"/>
          <c:y val="0.77110594130279164"/>
          <c:w val="0.68710565461433193"/>
          <c:h val="0.183591326652350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Figure 2b: Royal Glamorgan Hospital January 2020 Data</a:t>
            </a:r>
          </a:p>
        </c:rich>
      </c:tx>
      <c:layout>
        <c:manualLayout>
          <c:xMode val="edge"/>
          <c:yMode val="edge"/>
          <c:x val="0.30388437556416559"/>
          <c:y val="0"/>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843432490765306E-2"/>
          <c:y val="0.10314280858777546"/>
          <c:w val="0.92837722478622997"/>
          <c:h val="0.55703355425895518"/>
        </c:manualLayout>
      </c:layout>
      <c:barChart>
        <c:barDir val="col"/>
        <c:grouping val="clustered"/>
        <c:varyColors val="0"/>
        <c:ser>
          <c:idx val="0"/>
          <c:order val="0"/>
          <c:tx>
            <c:strRef>
              <c:f>Sheet2!$G$34</c:f>
              <c:strCache>
                <c:ptCount val="1"/>
                <c:pt idx="0">
                  <c:v>Ward 2</c:v>
                </c:pt>
              </c:strCache>
            </c:strRef>
          </c:tx>
          <c:spPr>
            <a:solidFill>
              <a:schemeClr val="accent1"/>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Sheet2!$H$34:$R$34</c:f>
              <c:numCache>
                <c:formatCode>General</c:formatCode>
                <c:ptCount val="11"/>
                <c:pt idx="0">
                  <c:v>9.5</c:v>
                </c:pt>
                <c:pt idx="1">
                  <c:v>10</c:v>
                </c:pt>
                <c:pt idx="2">
                  <c:v>9.66</c:v>
                </c:pt>
                <c:pt idx="3">
                  <c:v>10</c:v>
                </c:pt>
                <c:pt idx="4">
                  <c:v>10</c:v>
                </c:pt>
                <c:pt idx="5">
                  <c:v>9.92</c:v>
                </c:pt>
                <c:pt idx="6">
                  <c:v>10</c:v>
                </c:pt>
                <c:pt idx="7">
                  <c:v>10</c:v>
                </c:pt>
                <c:pt idx="8">
                  <c:v>7.88</c:v>
                </c:pt>
                <c:pt idx="9">
                  <c:v>10</c:v>
                </c:pt>
                <c:pt idx="10">
                  <c:v>9.69</c:v>
                </c:pt>
              </c:numCache>
            </c:numRef>
          </c:val>
        </c:ser>
        <c:ser>
          <c:idx val="3"/>
          <c:order val="1"/>
          <c:tx>
            <c:strRef>
              <c:f>Sheet2!$G$35</c:f>
              <c:strCache>
                <c:ptCount val="1"/>
                <c:pt idx="0">
                  <c:v>Ward 3</c:v>
                </c:pt>
              </c:strCache>
            </c:strRef>
          </c:tx>
          <c:spPr>
            <a:solidFill>
              <a:schemeClr val="accent4"/>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Sheet2!$H$35:$R$35</c:f>
              <c:numCache>
                <c:formatCode>General</c:formatCode>
                <c:ptCount val="11"/>
                <c:pt idx="0">
                  <c:v>9.1999999999999993</c:v>
                </c:pt>
                <c:pt idx="1">
                  <c:v>9.32</c:v>
                </c:pt>
                <c:pt idx="2">
                  <c:v>9.77</c:v>
                </c:pt>
                <c:pt idx="3">
                  <c:v>9.5500000000000007</c:v>
                </c:pt>
                <c:pt idx="4">
                  <c:v>9.5500000000000007</c:v>
                </c:pt>
                <c:pt idx="5">
                  <c:v>9.5399999999999991</c:v>
                </c:pt>
                <c:pt idx="6">
                  <c:v>8.89</c:v>
                </c:pt>
                <c:pt idx="7">
                  <c:v>10</c:v>
                </c:pt>
                <c:pt idx="8">
                  <c:v>8.86</c:v>
                </c:pt>
                <c:pt idx="9">
                  <c:v>9.5500000000000007</c:v>
                </c:pt>
                <c:pt idx="10">
                  <c:v>9.42</c:v>
                </c:pt>
              </c:numCache>
            </c:numRef>
          </c:val>
        </c:ser>
        <c:ser>
          <c:idx val="4"/>
          <c:order val="2"/>
          <c:tx>
            <c:strRef>
              <c:f>Sheet2!$G$36</c:f>
              <c:strCache>
                <c:ptCount val="1"/>
                <c:pt idx="0">
                  <c:v>Ward 4</c:v>
                </c:pt>
              </c:strCache>
            </c:strRef>
          </c:tx>
          <c:spPr>
            <a:solidFill>
              <a:schemeClr val="accent5"/>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Sheet2!$H$36:$R$36</c:f>
              <c:numCache>
                <c:formatCode>General</c:formatCode>
                <c:ptCount val="11"/>
                <c:pt idx="0">
                  <c:v>9.58</c:v>
                </c:pt>
                <c:pt idx="1">
                  <c:v>10</c:v>
                </c:pt>
                <c:pt idx="2">
                  <c:v>10</c:v>
                </c:pt>
                <c:pt idx="3">
                  <c:v>9.93</c:v>
                </c:pt>
                <c:pt idx="4">
                  <c:v>10</c:v>
                </c:pt>
                <c:pt idx="5">
                  <c:v>9.44</c:v>
                </c:pt>
                <c:pt idx="6">
                  <c:v>10</c:v>
                </c:pt>
                <c:pt idx="7">
                  <c:v>10</c:v>
                </c:pt>
                <c:pt idx="8">
                  <c:v>8.9600000000000009</c:v>
                </c:pt>
                <c:pt idx="9">
                  <c:v>10</c:v>
                </c:pt>
                <c:pt idx="10">
                  <c:v>9.7899999999999991</c:v>
                </c:pt>
              </c:numCache>
            </c:numRef>
          </c:val>
        </c:ser>
        <c:ser>
          <c:idx val="5"/>
          <c:order val="3"/>
          <c:tx>
            <c:strRef>
              <c:f>Sheet2!$G$37</c:f>
              <c:strCache>
                <c:ptCount val="1"/>
                <c:pt idx="0">
                  <c:v>ward 7</c:v>
                </c:pt>
              </c:strCache>
            </c:strRef>
          </c:tx>
          <c:spPr>
            <a:solidFill>
              <a:schemeClr val="accent6"/>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Sheet2!$H$37:$R$37</c:f>
              <c:numCache>
                <c:formatCode>General</c:formatCode>
                <c:ptCount val="11"/>
                <c:pt idx="0">
                  <c:v>8.5</c:v>
                </c:pt>
                <c:pt idx="1">
                  <c:v>10</c:v>
                </c:pt>
                <c:pt idx="2">
                  <c:v>9.5</c:v>
                </c:pt>
                <c:pt idx="3">
                  <c:v>10</c:v>
                </c:pt>
                <c:pt idx="4">
                  <c:v>10</c:v>
                </c:pt>
                <c:pt idx="5">
                  <c:v>10</c:v>
                </c:pt>
                <c:pt idx="6">
                  <c:v>10</c:v>
                </c:pt>
                <c:pt idx="7">
                  <c:v>10</c:v>
                </c:pt>
                <c:pt idx="8">
                  <c:v>9.75</c:v>
                </c:pt>
                <c:pt idx="9">
                  <c:v>10</c:v>
                </c:pt>
                <c:pt idx="10">
                  <c:v>8.7799999999999994</c:v>
                </c:pt>
              </c:numCache>
            </c:numRef>
          </c:val>
        </c:ser>
        <c:ser>
          <c:idx val="6"/>
          <c:order val="4"/>
          <c:tx>
            <c:strRef>
              <c:f>Sheet2!$G$38</c:f>
              <c:strCache>
                <c:ptCount val="1"/>
                <c:pt idx="0">
                  <c:v>Ward 9</c:v>
                </c:pt>
              </c:strCache>
            </c:strRef>
          </c:tx>
          <c:spPr>
            <a:solidFill>
              <a:schemeClr val="accent1">
                <a:lumMod val="60000"/>
              </a:schemeClr>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Sheet2!$H$38:$R$38</c:f>
              <c:numCache>
                <c:formatCode>General</c:formatCode>
                <c:ptCount val="11"/>
                <c:pt idx="0">
                  <c:v>9.5</c:v>
                </c:pt>
                <c:pt idx="1">
                  <c:v>10</c:v>
                </c:pt>
                <c:pt idx="2">
                  <c:v>10</c:v>
                </c:pt>
                <c:pt idx="3">
                  <c:v>9.33</c:v>
                </c:pt>
                <c:pt idx="4">
                  <c:v>10</c:v>
                </c:pt>
                <c:pt idx="5">
                  <c:v>10</c:v>
                </c:pt>
                <c:pt idx="6">
                  <c:v>10</c:v>
                </c:pt>
                <c:pt idx="7">
                  <c:v>10</c:v>
                </c:pt>
                <c:pt idx="8">
                  <c:v>10</c:v>
                </c:pt>
                <c:pt idx="9">
                  <c:v>10</c:v>
                </c:pt>
                <c:pt idx="10">
                  <c:v>9.8800000000000008</c:v>
                </c:pt>
              </c:numCache>
            </c:numRef>
          </c:val>
        </c:ser>
        <c:ser>
          <c:idx val="1"/>
          <c:order val="5"/>
          <c:tx>
            <c:strRef>
              <c:f>Sheet2!$G$39</c:f>
              <c:strCache>
                <c:ptCount val="1"/>
                <c:pt idx="0">
                  <c:v>Ward 10</c:v>
                </c:pt>
              </c:strCache>
            </c:strRef>
          </c:tx>
          <c:spPr>
            <a:solidFill>
              <a:schemeClr val="accent2"/>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Sheet2!$H$39:$R$39</c:f>
              <c:numCache>
                <c:formatCode>General</c:formatCode>
                <c:ptCount val="11"/>
                <c:pt idx="0">
                  <c:v>9</c:v>
                </c:pt>
                <c:pt idx="1">
                  <c:v>10</c:v>
                </c:pt>
                <c:pt idx="2">
                  <c:v>10</c:v>
                </c:pt>
                <c:pt idx="3">
                  <c:v>10</c:v>
                </c:pt>
                <c:pt idx="4">
                  <c:v>10</c:v>
                </c:pt>
                <c:pt idx="5">
                  <c:v>10</c:v>
                </c:pt>
                <c:pt idx="6">
                  <c:v>10</c:v>
                </c:pt>
                <c:pt idx="7">
                  <c:v>10</c:v>
                </c:pt>
                <c:pt idx="8">
                  <c:v>8.5</c:v>
                </c:pt>
                <c:pt idx="9">
                  <c:v>10</c:v>
                </c:pt>
                <c:pt idx="10">
                  <c:v>9.75</c:v>
                </c:pt>
              </c:numCache>
            </c:numRef>
          </c:val>
        </c:ser>
        <c:ser>
          <c:idx val="2"/>
          <c:order val="6"/>
          <c:tx>
            <c:strRef>
              <c:f>Sheet2!$G$40</c:f>
              <c:strCache>
                <c:ptCount val="1"/>
                <c:pt idx="0">
                  <c:v>Ward 11</c:v>
                </c:pt>
              </c:strCache>
            </c:strRef>
          </c:tx>
          <c:spPr>
            <a:solidFill>
              <a:schemeClr val="accent3"/>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Sheet2!$H$40:$R$40</c:f>
              <c:numCache>
                <c:formatCode>General</c:formatCode>
                <c:ptCount val="11"/>
                <c:pt idx="0">
                  <c:v>10</c:v>
                </c:pt>
                <c:pt idx="1">
                  <c:v>9.5</c:v>
                </c:pt>
                <c:pt idx="2">
                  <c:v>9.75</c:v>
                </c:pt>
                <c:pt idx="3">
                  <c:v>9.67</c:v>
                </c:pt>
                <c:pt idx="4">
                  <c:v>9.67</c:v>
                </c:pt>
                <c:pt idx="5">
                  <c:v>10</c:v>
                </c:pt>
                <c:pt idx="6">
                  <c:v>10</c:v>
                </c:pt>
                <c:pt idx="7">
                  <c:v>10</c:v>
                </c:pt>
                <c:pt idx="8">
                  <c:v>9.5</c:v>
                </c:pt>
                <c:pt idx="9">
                  <c:v>10</c:v>
                </c:pt>
                <c:pt idx="10">
                  <c:v>9.81</c:v>
                </c:pt>
              </c:numCache>
            </c:numRef>
          </c:val>
        </c:ser>
        <c:ser>
          <c:idx val="7"/>
          <c:order val="7"/>
          <c:tx>
            <c:strRef>
              <c:f>Sheet2!$G$41</c:f>
              <c:strCache>
                <c:ptCount val="1"/>
                <c:pt idx="0">
                  <c:v>Ward 12</c:v>
                </c:pt>
              </c:strCache>
            </c:strRef>
          </c:tx>
          <c:spPr>
            <a:solidFill>
              <a:schemeClr val="accent2">
                <a:lumMod val="60000"/>
              </a:schemeClr>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Sheet2!$H$41:$R$41</c:f>
              <c:numCache>
                <c:formatCode>General</c:formatCode>
                <c:ptCount val="11"/>
                <c:pt idx="0">
                  <c:v>9.64</c:v>
                </c:pt>
                <c:pt idx="1">
                  <c:v>10</c:v>
                </c:pt>
                <c:pt idx="2">
                  <c:v>10</c:v>
                </c:pt>
                <c:pt idx="3">
                  <c:v>9.4</c:v>
                </c:pt>
                <c:pt idx="4">
                  <c:v>9.52</c:v>
                </c:pt>
                <c:pt idx="5">
                  <c:v>10</c:v>
                </c:pt>
                <c:pt idx="6">
                  <c:v>8.93</c:v>
                </c:pt>
                <c:pt idx="7">
                  <c:v>10</c:v>
                </c:pt>
                <c:pt idx="8">
                  <c:v>9.11</c:v>
                </c:pt>
                <c:pt idx="9">
                  <c:v>10</c:v>
                </c:pt>
                <c:pt idx="10">
                  <c:v>9.02</c:v>
                </c:pt>
              </c:numCache>
            </c:numRef>
          </c:val>
        </c:ser>
        <c:ser>
          <c:idx val="8"/>
          <c:order val="8"/>
          <c:tx>
            <c:strRef>
              <c:f>Sheet2!$G$42</c:f>
              <c:strCache>
                <c:ptCount val="1"/>
                <c:pt idx="0">
                  <c:v>A &amp; E</c:v>
                </c:pt>
              </c:strCache>
            </c:strRef>
          </c:tx>
          <c:spPr>
            <a:solidFill>
              <a:schemeClr val="accent3">
                <a:lumMod val="60000"/>
              </a:schemeClr>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Sheet2!$H$42:$R$42</c:f>
              <c:numCache>
                <c:formatCode>General</c:formatCode>
                <c:ptCount val="11"/>
                <c:pt idx="0">
                  <c:v>1.56</c:v>
                </c:pt>
                <c:pt idx="1">
                  <c:v>9.58</c:v>
                </c:pt>
                <c:pt idx="2">
                  <c:v>8.4499999999999993</c:v>
                </c:pt>
                <c:pt idx="3">
                  <c:v>8.6</c:v>
                </c:pt>
                <c:pt idx="4">
                  <c:v>8.1300000000000008</c:v>
                </c:pt>
                <c:pt idx="5">
                  <c:v>9.08</c:v>
                </c:pt>
                <c:pt idx="6">
                  <c:v>8.57</c:v>
                </c:pt>
                <c:pt idx="7">
                  <c:v>10</c:v>
                </c:pt>
                <c:pt idx="8">
                  <c:v>6.67</c:v>
                </c:pt>
                <c:pt idx="9">
                  <c:v>10</c:v>
                </c:pt>
                <c:pt idx="10">
                  <c:v>8.06</c:v>
                </c:pt>
              </c:numCache>
            </c:numRef>
          </c:val>
        </c:ser>
        <c:ser>
          <c:idx val="9"/>
          <c:order val="9"/>
          <c:tx>
            <c:strRef>
              <c:f>Sheet2!$G$43</c:f>
              <c:strCache>
                <c:ptCount val="1"/>
                <c:pt idx="0">
                  <c:v>MH Wards 21 &amp; 22 </c:v>
                </c:pt>
              </c:strCache>
            </c:strRef>
          </c:tx>
          <c:spPr>
            <a:solidFill>
              <a:schemeClr val="accent4">
                <a:lumMod val="60000"/>
              </a:schemeClr>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Sheet2!$H$43:$R$43</c:f>
              <c:numCache>
                <c:formatCode>General</c:formatCode>
                <c:ptCount val="11"/>
                <c:pt idx="0">
                  <c:v>7.59</c:v>
                </c:pt>
                <c:pt idx="1">
                  <c:v>8.75</c:v>
                </c:pt>
                <c:pt idx="2">
                  <c:v>7.72</c:v>
                </c:pt>
                <c:pt idx="3">
                  <c:v>3.54</c:v>
                </c:pt>
                <c:pt idx="4">
                  <c:v>8.43</c:v>
                </c:pt>
                <c:pt idx="5">
                  <c:v>6.92</c:v>
                </c:pt>
                <c:pt idx="7">
                  <c:v>5.49</c:v>
                </c:pt>
                <c:pt idx="8">
                  <c:v>6.67</c:v>
                </c:pt>
                <c:pt idx="9">
                  <c:v>8.75</c:v>
                </c:pt>
                <c:pt idx="10">
                  <c:v>6.39</c:v>
                </c:pt>
              </c:numCache>
            </c:numRef>
          </c:val>
        </c:ser>
        <c:ser>
          <c:idx val="10"/>
          <c:order val="10"/>
          <c:tx>
            <c:strRef>
              <c:f>Sheet2!$G$44</c:f>
              <c:strCache>
                <c:ptCount val="1"/>
                <c:pt idx="0">
                  <c:v>MH Admissions Unit</c:v>
                </c:pt>
              </c:strCache>
            </c:strRef>
          </c:tx>
          <c:spPr>
            <a:solidFill>
              <a:schemeClr val="accent5">
                <a:lumMod val="60000"/>
              </a:schemeClr>
            </a:solidFill>
            <a:ln>
              <a:noFill/>
            </a:ln>
            <a:effectLst/>
          </c:spPr>
          <c:invertIfNegative val="0"/>
          <c:cat>
            <c:strRef>
              <c:f>Sheet2!$H$33:$R$33</c:f>
              <c:strCache>
                <c:ptCount val="11"/>
                <c:pt idx="0">
                  <c:v>Consistency &amp; Coordination</c:v>
                </c:pt>
                <c:pt idx="1">
                  <c:v>Respect &amp; dignity</c:v>
                </c:pt>
                <c:pt idx="2">
                  <c:v>Involvement</c:v>
                </c:pt>
                <c:pt idx="3">
                  <c:v>Doctors</c:v>
                </c:pt>
                <c:pt idx="4">
                  <c:v>Nurses</c:v>
                </c:pt>
                <c:pt idx="5">
                  <c:v>Cleanliness</c:v>
                </c:pt>
                <c:pt idx="6">
                  <c:v>Pain Control</c:v>
                </c:pt>
                <c:pt idx="7">
                  <c:v>Medicines</c:v>
                </c:pt>
                <c:pt idx="8">
                  <c:v>Noise at Night</c:v>
                </c:pt>
                <c:pt idx="9">
                  <c:v>Kindness &amp; Compassion</c:v>
                </c:pt>
                <c:pt idx="10">
                  <c:v>Domain Average</c:v>
                </c:pt>
              </c:strCache>
            </c:strRef>
          </c:cat>
          <c:val>
            <c:numRef>
              <c:f>Sheet2!$H$44:$R$44</c:f>
              <c:numCache>
                <c:formatCode>General</c:formatCode>
                <c:ptCount val="11"/>
                <c:pt idx="0">
                  <c:v>7.38</c:v>
                </c:pt>
                <c:pt idx="1">
                  <c:v>9.5</c:v>
                </c:pt>
                <c:pt idx="2">
                  <c:v>8.19</c:v>
                </c:pt>
                <c:pt idx="3">
                  <c:v>3.63</c:v>
                </c:pt>
                <c:pt idx="4">
                  <c:v>9.17</c:v>
                </c:pt>
                <c:pt idx="5">
                  <c:v>8.67</c:v>
                </c:pt>
                <c:pt idx="7">
                  <c:v>4.83</c:v>
                </c:pt>
                <c:pt idx="8">
                  <c:v>7.13</c:v>
                </c:pt>
                <c:pt idx="9">
                  <c:v>9.5</c:v>
                </c:pt>
                <c:pt idx="10">
                  <c:v>6.8</c:v>
                </c:pt>
              </c:numCache>
            </c:numRef>
          </c:val>
        </c:ser>
        <c:dLbls>
          <c:showLegendKey val="0"/>
          <c:showVal val="0"/>
          <c:showCatName val="0"/>
          <c:showSerName val="0"/>
          <c:showPercent val="0"/>
          <c:showBubbleSize val="0"/>
        </c:dLbls>
        <c:gapWidth val="219"/>
        <c:overlap val="-27"/>
        <c:axId val="638349720"/>
        <c:axId val="638350112"/>
      </c:barChart>
      <c:catAx>
        <c:axId val="63834972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638350112"/>
        <c:crosses val="autoZero"/>
        <c:auto val="1"/>
        <c:lblAlgn val="ctr"/>
        <c:lblOffset val="100"/>
        <c:noMultiLvlLbl val="0"/>
      </c:catAx>
      <c:valAx>
        <c:axId val="638350112"/>
        <c:scaling>
          <c:orientation val="minMax"/>
          <c:max val="10"/>
          <c:min val="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638349720"/>
        <c:crosses val="autoZero"/>
        <c:crossBetween val="between"/>
        <c:majorUnit val="5"/>
        <c:minorUnit val="0.1"/>
      </c:valAx>
      <c:spPr>
        <a:noFill/>
        <a:ln>
          <a:noFill/>
        </a:ln>
        <a:effectLst/>
      </c:spPr>
    </c:plotArea>
    <c:legend>
      <c:legendPos val="b"/>
      <c:layout>
        <c:manualLayout>
          <c:xMode val="edge"/>
          <c:yMode val="edge"/>
          <c:x val="5.2045855379188724E-2"/>
          <c:y val="0.7824709681074038"/>
          <c:w val="0.93031732144593038"/>
          <c:h val="0.2072996091315923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137182852143482E-2"/>
          <c:y val="8.2240886555847187E-2"/>
          <c:w val="0.93335039370078743"/>
          <c:h val="0.39843738282714658"/>
        </c:manualLayout>
      </c:layout>
      <c:barChart>
        <c:barDir val="col"/>
        <c:grouping val="clustered"/>
        <c:varyColors val="0"/>
        <c:ser>
          <c:idx val="0"/>
          <c:order val="0"/>
          <c:tx>
            <c:strRef>
              <c:f>'[Worksheet in C  Users ch185154 AppData Local Microsoft Windows INetCache Content.Outlook OTX2JQT3 P.E.doc]Data'!$A$1</c:f>
              <c:strCache>
                <c:ptCount val="1"/>
                <c:pt idx="0">
                  <c:v>X-axis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'[Worksheet in C  Users ch185154 AppData Local Microsoft Windows INetCache Content.Outlook OTX2JQT3 P.E.doc]Data'!$A$2:$A$40</c:f>
              <c:strCache>
                <c:ptCount val="39"/>
                <c:pt idx="0">
                  <c:v>Patient's Home</c:v>
                </c:pt>
                <c:pt idx="1">
                  <c:v>Ward 10 </c:v>
                </c:pt>
                <c:pt idx="2">
                  <c:v>ED</c:v>
                </c:pt>
                <c:pt idx="3">
                  <c:v>Ward 12 </c:v>
                </c:pt>
                <c:pt idx="4">
                  <c:v>Ward 5 </c:v>
                </c:pt>
                <c:pt idx="5">
                  <c:v>Ward 7 </c:v>
                </c:pt>
                <c:pt idx="6">
                  <c:v>Ward 8 </c:v>
                </c:pt>
                <c:pt idx="7">
                  <c:v>Ward 9 </c:v>
                </c:pt>
                <c:pt idx="8">
                  <c:v>Ward 18 </c:v>
                </c:pt>
                <c:pt idx="9">
                  <c:v>Ward 19 </c:v>
                </c:pt>
                <c:pt idx="10">
                  <c:v>Ward 4 </c:v>
                </c:pt>
                <c:pt idx="11">
                  <c:v>Ward 6</c:v>
                </c:pt>
                <c:pt idx="12">
                  <c:v>Ward 11 </c:v>
                </c:pt>
                <c:pt idx="13">
                  <c:v>Reception area/Offices</c:v>
                </c:pt>
                <c:pt idx="14">
                  <c:v>Staff Car Park</c:v>
                </c:pt>
                <c:pt idx="15">
                  <c:v>AMU</c:v>
                </c:pt>
                <c:pt idx="16">
                  <c:v>Ward 20 </c:v>
                </c:pt>
                <c:pt idx="17">
                  <c:v>Fracture Clinic</c:v>
                </c:pt>
                <c:pt idx="18">
                  <c:v>Outpatients </c:v>
                </c:pt>
                <c:pt idx="19">
                  <c:v>Ward 2</c:v>
                </c:pt>
                <c:pt idx="20">
                  <c:v>Eye Clinic </c:v>
                </c:pt>
                <c:pt idx="21">
                  <c:v>Short Stay Unit </c:v>
                </c:pt>
                <c:pt idx="22">
                  <c:v>Ty Llidiard</c:v>
                </c:pt>
                <c:pt idx="23">
                  <c:v>Bridgend Clinic</c:v>
                </c:pt>
                <c:pt idx="24">
                  <c:v>Cardiac Investigation Unit</c:v>
                </c:pt>
                <c:pt idx="25">
                  <c:v>Childrens Centre</c:v>
                </c:pt>
                <c:pt idx="26">
                  <c:v>Childrens Outpatients</c:v>
                </c:pt>
                <c:pt idx="27">
                  <c:v>Childrens Ward </c:v>
                </c:pt>
                <c:pt idx="28">
                  <c:v>Community Worker Base</c:v>
                </c:pt>
                <c:pt idx="29">
                  <c:v>Day Surgery Unit </c:v>
                </c:pt>
                <c:pt idx="30">
                  <c:v>Departmental office</c:v>
                </c:pt>
                <c:pt idx="31">
                  <c:v>Discharge Lounge </c:v>
                </c:pt>
                <c:pt idx="32">
                  <c:v>Endoscopy Unit</c:v>
                </c:pt>
                <c:pt idx="33">
                  <c:v>Hospital grounds</c:v>
                </c:pt>
                <c:pt idx="34">
                  <c:v>Pre-Assessment Clinic</c:v>
                </c:pt>
                <c:pt idx="35">
                  <c:v>Mental Health Wellbeing Clinic </c:v>
                </c:pt>
                <c:pt idx="36">
                  <c:v>Radiology </c:v>
                </c:pt>
                <c:pt idx="37">
                  <c:v>Rheumatology Day Unit </c:v>
                </c:pt>
                <c:pt idx="38">
                  <c:v>Urology Unit </c:v>
                </c:pt>
              </c:strCache>
            </c:strRef>
          </c:cat>
          <c:val>
            <c:numRef>
              <c:f>'[Worksheet in C  Users ch185154 AppData Local Microsoft Windows INetCache Content.Outlook OTX2JQT3 P.E.doc]Data'!$B$2:$B$40</c:f>
              <c:numCache>
                <c:formatCode>General</c:formatCode>
                <c:ptCount val="39"/>
                <c:pt idx="0">
                  <c:v>29</c:v>
                </c:pt>
                <c:pt idx="1">
                  <c:v>16</c:v>
                </c:pt>
                <c:pt idx="2">
                  <c:v>15</c:v>
                </c:pt>
                <c:pt idx="3">
                  <c:v>10</c:v>
                </c:pt>
                <c:pt idx="4">
                  <c:v>10</c:v>
                </c:pt>
                <c:pt idx="5">
                  <c:v>10</c:v>
                </c:pt>
                <c:pt idx="6">
                  <c:v>10</c:v>
                </c:pt>
                <c:pt idx="7">
                  <c:v>10</c:v>
                </c:pt>
                <c:pt idx="8">
                  <c:v>8</c:v>
                </c:pt>
                <c:pt idx="9">
                  <c:v>8</c:v>
                </c:pt>
                <c:pt idx="10">
                  <c:v>8</c:v>
                </c:pt>
                <c:pt idx="11">
                  <c:v>8</c:v>
                </c:pt>
                <c:pt idx="12">
                  <c:v>7</c:v>
                </c:pt>
                <c:pt idx="13">
                  <c:v>6</c:v>
                </c:pt>
                <c:pt idx="14">
                  <c:v>6</c:v>
                </c:pt>
                <c:pt idx="15">
                  <c:v>4</c:v>
                </c:pt>
                <c:pt idx="16">
                  <c:v>4</c:v>
                </c:pt>
                <c:pt idx="17">
                  <c:v>3</c:v>
                </c:pt>
                <c:pt idx="18">
                  <c:v>3</c:v>
                </c:pt>
                <c:pt idx="19">
                  <c:v>3</c:v>
                </c:pt>
                <c:pt idx="20">
                  <c:v>2</c:v>
                </c:pt>
                <c:pt idx="21">
                  <c:v>2</c:v>
                </c:pt>
                <c:pt idx="22">
                  <c:v>2</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numCache>
            </c:numRef>
          </c:val>
          <c:extLst xmlns:c16r2="http://schemas.microsoft.com/office/drawing/2015/06/chart">
            <c:ext xmlns:c16="http://schemas.microsoft.com/office/drawing/2014/chart" uri="{C3380CC4-5D6E-409C-BE32-E72D297353CC}">
              <c16:uniqueId val="{00000000-9388-4152-B6E5-F14B0B16C10D}"/>
            </c:ext>
          </c:extLst>
        </c:ser>
        <c:dLbls>
          <c:showLegendKey val="0"/>
          <c:showVal val="0"/>
          <c:showCatName val="0"/>
          <c:showSerName val="0"/>
          <c:showPercent val="0"/>
          <c:showBubbleSize val="0"/>
        </c:dLbls>
        <c:gapWidth val="150"/>
        <c:axId val="638351288"/>
        <c:axId val="638351680"/>
      </c:barChart>
      <c:catAx>
        <c:axId val="638351288"/>
        <c:scaling>
          <c:orientation val="minMax"/>
        </c:scaling>
        <c:delete val="0"/>
        <c:axPos val="b"/>
        <c:numFmt formatCode="General" sourceLinked="1"/>
        <c:majorTickMark val="out"/>
        <c:minorTickMark val="none"/>
        <c:tickLblPos val="nextTo"/>
        <c:txPr>
          <a:bodyPr/>
          <a:lstStyle/>
          <a:p>
            <a:pPr>
              <a:defRPr sz="800"/>
            </a:pPr>
            <a:endParaRPr lang="en-US"/>
          </a:p>
        </c:txPr>
        <c:crossAx val="638351680"/>
        <c:crosses val="autoZero"/>
        <c:auto val="1"/>
        <c:lblAlgn val="ctr"/>
        <c:lblOffset val="100"/>
        <c:noMultiLvlLbl val="0"/>
      </c:catAx>
      <c:valAx>
        <c:axId val="638351680"/>
        <c:scaling>
          <c:orientation val="minMax"/>
        </c:scaling>
        <c:delete val="0"/>
        <c:axPos val="l"/>
        <c:numFmt formatCode="General" sourceLinked="1"/>
        <c:majorTickMark val="out"/>
        <c:minorTickMark val="none"/>
        <c:tickLblPos val="nextTo"/>
        <c:crossAx val="638351680"/>
        <c:crosses val="autoZero"/>
        <c:crossBetween val="midCat"/>
        <c:majorUnit val="10"/>
      </c:valAx>
    </c:plotArea>
    <c:plotVisOnly val="1"/>
    <c:dispBlanksAs val="gap"/>
    <c:showDLblsOverMax val="0"/>
  </c:chart>
  <c:spPr>
    <a:noFill/>
    <a:ln>
      <a:noFill/>
    </a:ln>
  </c:spPr>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[DatixWebReport.xlsx]Data!$A$1</c:f>
              <c:strCache>
                <c:ptCount val="1"/>
                <c:pt idx="0">
                  <c:v>X-axis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[DatixWebReport.xlsx]Data!$A$2:$A$5</c:f>
              <c:strCache>
                <c:ptCount val="4"/>
                <c:pt idx="0">
                  <c:v>Patient Support</c:v>
                </c:pt>
                <c:pt idx="1">
                  <c:v>Delays/Cancellation</c:v>
                </c:pt>
                <c:pt idx="2">
                  <c:v>General enquiries</c:v>
                </c:pt>
                <c:pt idx="3">
                  <c:v>Expression of Thanks</c:v>
                </c:pt>
              </c:strCache>
            </c:strRef>
          </c:cat>
          <c:val>
            <c:numRef>
              <c:f>[DatixWebReport.xlsx]Data!$B$2:$B$5</c:f>
              <c:numCache>
                <c:formatCode>General</c:formatCode>
                <c:ptCount val="4"/>
                <c:pt idx="0">
                  <c:v>30</c:v>
                </c:pt>
                <c:pt idx="1">
                  <c:v>20</c:v>
                </c:pt>
                <c:pt idx="2">
                  <c:v>20</c:v>
                </c:pt>
                <c:pt idx="3">
                  <c:v>15</c:v>
                </c:pt>
              </c:numCache>
            </c:numRef>
          </c:val>
          <c:extLst xmlns:c16r2="http://schemas.microsoft.com/office/drawing/2015/06/chart">
            <c:ext xmlns:c16="http://schemas.microsoft.com/office/drawing/2014/chart" uri="{C3380CC4-5D6E-409C-BE32-E72D297353CC}">
              <c16:uniqueId val="{00000000-8DF1-4A2D-9BE3-A10034A2A538}"/>
            </c:ext>
          </c:extLst>
        </c:ser>
        <c:dLbls>
          <c:showLegendKey val="0"/>
          <c:showVal val="0"/>
          <c:showCatName val="0"/>
          <c:showSerName val="0"/>
          <c:showPercent val="0"/>
          <c:showBubbleSize val="0"/>
        </c:dLbls>
        <c:gapWidth val="150"/>
        <c:axId val="638352464"/>
        <c:axId val="639422152"/>
      </c:barChart>
      <c:catAx>
        <c:axId val="638352464"/>
        <c:scaling>
          <c:orientation val="minMax"/>
        </c:scaling>
        <c:delete val="0"/>
        <c:axPos val="b"/>
        <c:numFmt formatCode="General" sourceLinked="1"/>
        <c:majorTickMark val="out"/>
        <c:minorTickMark val="none"/>
        <c:tickLblPos val="nextTo"/>
        <c:crossAx val="639422152"/>
        <c:crosses val="autoZero"/>
        <c:auto val="1"/>
        <c:lblAlgn val="ctr"/>
        <c:lblOffset val="100"/>
        <c:noMultiLvlLbl val="0"/>
      </c:catAx>
      <c:valAx>
        <c:axId val="639422152"/>
        <c:scaling>
          <c:orientation val="minMax"/>
        </c:scaling>
        <c:delete val="0"/>
        <c:axPos val="l"/>
        <c:numFmt formatCode="General" sourceLinked="1"/>
        <c:majorTickMark val="out"/>
        <c:minorTickMark val="none"/>
        <c:tickLblPos val="nextTo"/>
        <c:crossAx val="639422152"/>
        <c:crosses val="autoZero"/>
        <c:crossBetween val="midCat"/>
      </c:valAx>
    </c:plotArea>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Dashboard'!$C$12:$O$12</c:f>
              <c:numCache>
                <c:formatCode>General</c:formatCode>
                <c:ptCount val="13"/>
                <c:pt idx="0">
                  <c:v>7</c:v>
                </c:pt>
                <c:pt idx="1">
                  <c:v>14</c:v>
                </c:pt>
                <c:pt idx="2">
                  <c:v>11</c:v>
                </c:pt>
                <c:pt idx="3">
                  <c:v>12</c:v>
                </c:pt>
                <c:pt idx="4">
                  <c:v>17</c:v>
                </c:pt>
                <c:pt idx="5">
                  <c:v>27</c:v>
                </c:pt>
                <c:pt idx="6">
                  <c:v>22</c:v>
                </c:pt>
                <c:pt idx="7">
                  <c:v>22</c:v>
                </c:pt>
                <c:pt idx="8">
                  <c:v>21</c:v>
                </c:pt>
                <c:pt idx="9">
                  <c:v>11</c:v>
                </c:pt>
                <c:pt idx="10">
                  <c:v>18</c:v>
                </c:pt>
                <c:pt idx="11">
                  <c:v>21</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3527080"/>
        <c:axId val="603527472"/>
      </c:lineChart>
      <c:catAx>
        <c:axId val="603527080"/>
        <c:scaling>
          <c:orientation val="minMax"/>
        </c:scaling>
        <c:delete val="1"/>
        <c:axPos val="b"/>
        <c:numFmt formatCode="mmm\-yy" sourceLinked="1"/>
        <c:majorTickMark val="none"/>
        <c:minorTickMark val="none"/>
        <c:tickLblPos val="nextTo"/>
        <c:crossAx val="603527472"/>
        <c:crosses val="autoZero"/>
        <c:auto val="1"/>
        <c:lblAlgn val="ctr"/>
        <c:lblOffset val="100"/>
        <c:noMultiLvlLbl val="0"/>
      </c:catAx>
      <c:valAx>
        <c:axId val="603527472"/>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35270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Dashboard'!$C$13:$O$13</c:f>
              <c:numCache>
                <c:formatCode>General</c:formatCode>
                <c:ptCount val="13"/>
                <c:pt idx="0">
                  <c:v>17</c:v>
                </c:pt>
                <c:pt idx="1">
                  <c:v>19</c:v>
                </c:pt>
                <c:pt idx="2">
                  <c:v>42</c:v>
                </c:pt>
                <c:pt idx="3">
                  <c:v>43</c:v>
                </c:pt>
                <c:pt idx="4">
                  <c:v>45</c:v>
                </c:pt>
                <c:pt idx="5">
                  <c:v>50</c:v>
                </c:pt>
                <c:pt idx="6">
                  <c:v>40</c:v>
                </c:pt>
                <c:pt idx="7">
                  <c:v>48</c:v>
                </c:pt>
                <c:pt idx="8">
                  <c:v>59</c:v>
                </c:pt>
                <c:pt idx="9">
                  <c:v>48</c:v>
                </c:pt>
                <c:pt idx="10">
                  <c:v>31</c:v>
                </c:pt>
                <c:pt idx="11">
                  <c:v>42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6830800"/>
        <c:axId val="606831192"/>
      </c:lineChart>
      <c:catAx>
        <c:axId val="606830800"/>
        <c:scaling>
          <c:orientation val="minMax"/>
        </c:scaling>
        <c:delete val="1"/>
        <c:axPos val="b"/>
        <c:numFmt formatCode="mmm\-yy" sourceLinked="1"/>
        <c:majorTickMark val="none"/>
        <c:minorTickMark val="none"/>
        <c:tickLblPos val="nextTo"/>
        <c:crossAx val="606831192"/>
        <c:crosses val="autoZero"/>
        <c:auto val="1"/>
        <c:lblAlgn val="ctr"/>
        <c:lblOffset val="100"/>
        <c:noMultiLvlLbl val="0"/>
      </c:catAx>
      <c:valAx>
        <c:axId val="606831192"/>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6068308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432366256231397E-2"/>
          <c:y val="0.13754257462003297"/>
          <c:w val="0.97427983539094654"/>
          <c:h val="0.61439540987609098"/>
        </c:manualLayout>
      </c:layout>
      <c:lineChart>
        <c:grouping val="standard"/>
        <c:varyColors val="0"/>
        <c:ser>
          <c:idx val="0"/>
          <c:order val="0"/>
          <c:tx>
            <c:strRef>
              <c:f>'Quality Dashboard'!$B$7</c:f>
              <c:strCache>
                <c:ptCount val="1"/>
                <c:pt idx="0">
                  <c:v>Number of never events in month</c:v>
                </c:pt>
              </c:strCache>
            </c:strRef>
          </c:tx>
          <c:spPr>
            <a:ln w="28575" cap="rnd">
              <a:solidFill>
                <a:schemeClr val="accent1"/>
              </a:solidFill>
              <a:round/>
            </a:ln>
            <a:effectLst/>
          </c:spPr>
          <c:marker>
            <c:symbol val="none"/>
          </c:marker>
          <c:val>
            <c:numRef>
              <c:f>'Quality Dashboard'!$C$14:$O$14</c:f>
              <c:numCache>
                <c:formatCode>0.00%</c:formatCode>
                <c:ptCount val="13"/>
                <c:pt idx="0">
                  <c:v>2.8500000000000001E-2</c:v>
                </c:pt>
                <c:pt idx="1">
                  <c:v>2.06E-2</c:v>
                </c:pt>
                <c:pt idx="2">
                  <c:v>2.5399999999999999E-2</c:v>
                </c:pt>
                <c:pt idx="3">
                  <c:v>2.1899999999999999E-2</c:v>
                </c:pt>
                <c:pt idx="4">
                  <c:v>2.1399999999999999E-2</c:v>
                </c:pt>
                <c:pt idx="5">
                  <c:v>2.3300000000000001E-2</c:v>
                </c:pt>
                <c:pt idx="6">
                  <c:v>2.4299999999999999E-2</c:v>
                </c:pt>
                <c:pt idx="7">
                  <c:v>2.1700000000000001E-2</c:v>
                </c:pt>
                <c:pt idx="8">
                  <c:v>2.4899999999999999E-2</c:v>
                </c:pt>
                <c:pt idx="9">
                  <c:v>2.3800000000000002E-2</c:v>
                </c:pt>
                <c:pt idx="10">
                  <c:v>3.1E-2</c:v>
                </c:pt>
                <c:pt idx="11">
                  <c:v>2.7699999999999999E-2</c:v>
                </c:pt>
              </c:numCache>
            </c:numRef>
          </c:val>
          <c:smooth val="0"/>
          <c:extLst xmlns:c16r2="http://schemas.microsoft.com/office/drawing/2015/06/chart">
            <c:ext xmlns:c16="http://schemas.microsoft.com/office/drawing/2014/chart" uri="{C3380CC4-5D6E-409C-BE32-E72D297353CC}">
              <c16:uniqueId val="{00000000-ABA6-4744-9F05-EC3E156CE919}"/>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#REF!</c15:sqref>
                        </c15:formulaRef>
                      </c:ext>
                    </c:extLst>
                  </c:multiLvlStrRef>
                </c15:cat>
              </c15:filteredCategoryTitle>
            </c:ext>
          </c:extLst>
        </c:ser>
        <c:dLbls>
          <c:showLegendKey val="0"/>
          <c:showVal val="0"/>
          <c:showCatName val="0"/>
          <c:showSerName val="0"/>
          <c:showPercent val="0"/>
          <c:showBubbleSize val="0"/>
        </c:dLbls>
        <c:smooth val="0"/>
        <c:axId val="606830408"/>
        <c:axId val="606831976"/>
      </c:lineChart>
      <c:catAx>
        <c:axId val="606830408"/>
        <c:scaling>
          <c:orientation val="minMax"/>
        </c:scaling>
        <c:delete val="1"/>
        <c:axPos val="b"/>
        <c:numFmt formatCode="mmm\-yy" sourceLinked="1"/>
        <c:majorTickMark val="none"/>
        <c:minorTickMark val="none"/>
        <c:tickLblPos val="nextTo"/>
        <c:crossAx val="606831976"/>
        <c:crosses val="autoZero"/>
        <c:auto val="1"/>
        <c:lblAlgn val="ctr"/>
        <c:lblOffset val="100"/>
        <c:noMultiLvlLbl val="0"/>
      </c:catAx>
      <c:valAx>
        <c:axId val="606831976"/>
        <c:scaling>
          <c:orientation val="minMax"/>
        </c:scaling>
        <c:delete val="1"/>
        <c:axPos val="l"/>
        <c:majorGridlines>
          <c:spPr>
            <a:ln w="9525" cap="flat" cmpd="sng" algn="ctr">
              <a:noFill/>
              <a:round/>
            </a:ln>
            <a:effectLst/>
          </c:spPr>
        </c:majorGridlines>
        <c:numFmt formatCode="0.00%" sourceLinked="1"/>
        <c:majorTickMark val="none"/>
        <c:minorTickMark val="none"/>
        <c:tickLblPos val="nextTo"/>
        <c:crossAx val="6068304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r>
              <a:rPr lang="en-GB" sz="900">
                <a:solidFill>
                  <a:schemeClr val="tx1"/>
                </a:solidFill>
                <a:latin typeface="+mn-lt"/>
              </a:rPr>
              <a:t>Figure</a:t>
            </a:r>
            <a:r>
              <a:rPr lang="en-GB" sz="900" baseline="0">
                <a:solidFill>
                  <a:schemeClr val="tx1"/>
                </a:solidFill>
                <a:latin typeface="+mn-lt"/>
              </a:rPr>
              <a:t> 1:  Total number of serious </a:t>
            </a:r>
            <a:r>
              <a:rPr lang="en-GB" sz="900">
                <a:solidFill>
                  <a:schemeClr val="tx1"/>
                </a:solidFill>
                <a:latin typeface="+mn-lt"/>
              </a:rPr>
              <a:t>incidents</a:t>
            </a:r>
          </a:p>
        </c:rich>
      </c:tx>
      <c:overlay val="0"/>
      <c:spPr>
        <a:noFill/>
        <a:ln>
          <a:noFill/>
        </a:ln>
        <a:effectLst/>
      </c:spPr>
      <c:txPr>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endParaRPr lang="en-US"/>
        </a:p>
      </c:txPr>
    </c:title>
    <c:autoTitleDeleted val="0"/>
    <c:plotArea>
      <c:layout>
        <c:manualLayout>
          <c:layoutTarget val="inner"/>
          <c:xMode val="edge"/>
          <c:yMode val="edge"/>
          <c:x val="8.6640642899937531E-2"/>
          <c:y val="0.24984416010498689"/>
          <c:w val="0.87359792568853167"/>
          <c:h val="0.38570269625387743"/>
        </c:manualLayout>
      </c:layout>
      <c:lineChart>
        <c:grouping val="standard"/>
        <c:varyColors val="0"/>
        <c:ser>
          <c:idx val="0"/>
          <c:order val="0"/>
          <c:tx>
            <c:strRef>
              <c:f>'Sec2 Serious Incidents'!$B$16</c:f>
              <c:strCache>
                <c:ptCount val="1"/>
                <c:pt idx="0">
                  <c:v>Totals</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'Sec2 Serious Incidents'!$C$54:$N$54</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'Sec2 Serious Incidents'!$C$16:$N$16</c:f>
              <c:numCache>
                <c:formatCode>General</c:formatCode>
                <c:ptCount val="12"/>
                <c:pt idx="0">
                  <c:v>16</c:v>
                </c:pt>
                <c:pt idx="1">
                  <c:v>15</c:v>
                </c:pt>
                <c:pt idx="2">
                  <c:v>27</c:v>
                </c:pt>
                <c:pt idx="3">
                  <c:v>29</c:v>
                </c:pt>
                <c:pt idx="4">
                  <c:v>9</c:v>
                </c:pt>
                <c:pt idx="5">
                  <c:v>18</c:v>
                </c:pt>
                <c:pt idx="6">
                  <c:v>31</c:v>
                </c:pt>
                <c:pt idx="7">
                  <c:v>21</c:v>
                </c:pt>
                <c:pt idx="8">
                  <c:v>19</c:v>
                </c:pt>
                <c:pt idx="9">
                  <c:v>33</c:v>
                </c:pt>
                <c:pt idx="10">
                  <c:v>36</c:v>
                </c:pt>
                <c:pt idx="11">
                  <c:v>38</c:v>
                </c:pt>
              </c:numCache>
            </c:numRef>
          </c:val>
          <c:smooth val="0"/>
        </c:ser>
        <c:ser>
          <c:idx val="1"/>
          <c:order val="1"/>
          <c:tx>
            <c:strRef>
              <c:f>'Sec2 Serious Incidents'!$B$18</c:f>
              <c:strCache>
                <c:ptCount val="1"/>
                <c:pt idx="0">
                  <c:v>Mean</c:v>
                </c:pt>
              </c:strCache>
            </c:strRef>
          </c:tx>
          <c:spPr>
            <a:ln w="22225" cap="rnd">
              <a:solidFill>
                <a:schemeClr val="accent2"/>
              </a:solidFill>
              <a:round/>
            </a:ln>
            <a:effectLst/>
          </c:spPr>
          <c:marker>
            <c:symbol val="none"/>
          </c:marker>
          <c:cat>
            <c:numRef>
              <c:f>'Sec2 Serious Incidents'!$C$54:$N$54</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'Sec2 Serious Incidents'!$C$18:$N$18</c:f>
              <c:numCache>
                <c:formatCode>General</c:formatCode>
                <c:ptCount val="12"/>
                <c:pt idx="0">
                  <c:v>24.333333333333332</c:v>
                </c:pt>
                <c:pt idx="1">
                  <c:v>24.333333333333332</c:v>
                </c:pt>
                <c:pt idx="2">
                  <c:v>24.333333333333332</c:v>
                </c:pt>
                <c:pt idx="3">
                  <c:v>24.333333333333332</c:v>
                </c:pt>
                <c:pt idx="4">
                  <c:v>24.333333333333332</c:v>
                </c:pt>
                <c:pt idx="5">
                  <c:v>24.333333333333332</c:v>
                </c:pt>
                <c:pt idx="6">
                  <c:v>24.333333333333332</c:v>
                </c:pt>
                <c:pt idx="7">
                  <c:v>24.333333333333332</c:v>
                </c:pt>
                <c:pt idx="8">
                  <c:v>24.333333333333332</c:v>
                </c:pt>
                <c:pt idx="9">
                  <c:v>24.333333333333332</c:v>
                </c:pt>
                <c:pt idx="10">
                  <c:v>24.333333333333332</c:v>
                </c:pt>
                <c:pt idx="11">
                  <c:v>24.333333333333332</c:v>
                </c:pt>
              </c:numCache>
            </c:numRef>
          </c:val>
          <c:smooth val="0"/>
        </c:ser>
        <c:dLbls>
          <c:showLegendKey val="0"/>
          <c:showVal val="0"/>
          <c:showCatName val="0"/>
          <c:showSerName val="0"/>
          <c:showPercent val="0"/>
          <c:showBubbleSize val="0"/>
        </c:dLbls>
        <c:marker val="1"/>
        <c:smooth val="0"/>
        <c:axId val="606972128"/>
        <c:axId val="606972520"/>
      </c:lineChart>
      <c:dateAx>
        <c:axId val="606972128"/>
        <c:scaling>
          <c:orientation val="minMax"/>
        </c:scaling>
        <c:delete val="0"/>
        <c:axPos val="b"/>
        <c:numFmt formatCode="mmm\-yy" sourceLinked="1"/>
        <c:majorTickMark val="out"/>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800" b="0" i="0" u="none" strike="noStrike" kern="1200" cap="none" spc="0" normalizeH="0" baseline="0">
                <a:solidFill>
                  <a:schemeClr val="dk1">
                    <a:lumMod val="65000"/>
                    <a:lumOff val="35000"/>
                  </a:schemeClr>
                </a:solidFill>
                <a:latin typeface="+mn-lt"/>
                <a:ea typeface="+mn-ea"/>
                <a:cs typeface="+mn-cs"/>
              </a:defRPr>
            </a:pPr>
            <a:endParaRPr lang="en-US"/>
          </a:p>
        </c:txPr>
        <c:crossAx val="606972520"/>
        <c:crosses val="autoZero"/>
        <c:auto val="1"/>
        <c:lblOffset val="100"/>
        <c:baseTimeUnit val="months"/>
        <c:majorUnit val="1"/>
        <c:majorTimeUnit val="months"/>
      </c:dateAx>
      <c:valAx>
        <c:axId val="606972520"/>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06972128"/>
        <c:crosses val="autoZero"/>
        <c:crossBetween val="between"/>
        <c:majorUnit val="25"/>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8.9695674229646957E-2"/>
          <c:y val="0.88948552759576383"/>
          <c:w val="0.85993972079056691"/>
          <c:h val="0.1105144724042361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r>
              <a:rPr lang="en-GB" sz="900">
                <a:solidFill>
                  <a:schemeClr val="tx1"/>
                </a:solidFill>
                <a:latin typeface="+mn-lt"/>
              </a:rPr>
              <a:t>Figure</a:t>
            </a:r>
            <a:r>
              <a:rPr lang="en-GB" sz="900" baseline="0">
                <a:solidFill>
                  <a:schemeClr val="tx1"/>
                </a:solidFill>
                <a:latin typeface="+mn-lt"/>
              </a:rPr>
              <a:t> 2:  Formal complaints managed through PTR</a:t>
            </a:r>
            <a:endParaRPr lang="en-GB" sz="900">
              <a:solidFill>
                <a:schemeClr val="tx1"/>
              </a:solidFill>
              <a:latin typeface="+mn-lt"/>
            </a:endParaRPr>
          </a:p>
        </c:rich>
      </c:tx>
      <c:overlay val="0"/>
      <c:spPr>
        <a:noFill/>
        <a:ln>
          <a:noFill/>
        </a:ln>
        <a:effectLst/>
      </c:spPr>
      <c:txPr>
        <a:bodyPr rot="0" spcFirstLastPara="1" vertOverflow="ellipsis" vert="horz" wrap="square" anchor="ctr" anchorCtr="1"/>
        <a:lstStyle/>
        <a:p>
          <a:pPr>
            <a:defRPr sz="900" b="1" i="0" u="none" strike="noStrike" kern="1200" cap="none" spc="0" normalizeH="0" baseline="0">
              <a:solidFill>
                <a:schemeClr val="tx1"/>
              </a:solidFill>
              <a:latin typeface="+mn-lt"/>
              <a:ea typeface="+mj-ea"/>
              <a:cs typeface="+mj-cs"/>
            </a:defRPr>
          </a:pPr>
          <a:endParaRPr lang="en-US"/>
        </a:p>
      </c:txPr>
    </c:title>
    <c:autoTitleDeleted val="0"/>
    <c:plotArea>
      <c:layout>
        <c:manualLayout>
          <c:layoutTarget val="inner"/>
          <c:xMode val="edge"/>
          <c:yMode val="edge"/>
          <c:x val="8.6640642899937531E-2"/>
          <c:y val="0.24984416010498689"/>
          <c:w val="0.87359792568853167"/>
          <c:h val="0.4416470891958178"/>
        </c:manualLayout>
      </c:layout>
      <c:lineChart>
        <c:grouping val="standard"/>
        <c:varyColors val="0"/>
        <c:ser>
          <c:idx val="0"/>
          <c:order val="0"/>
          <c:tx>
            <c:strRef>
              <c:f>'Sec3 Complaints'!$B$5</c:f>
              <c:strCache>
                <c:ptCount val="1"/>
                <c:pt idx="0">
                  <c:v>Complaints</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'Sec3 Complaints'!$C$4:$N$4</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'Sec3 Complaints'!$C$5:$N$5</c:f>
              <c:numCache>
                <c:formatCode>General</c:formatCode>
                <c:ptCount val="12"/>
                <c:pt idx="0">
                  <c:v>30</c:v>
                </c:pt>
                <c:pt idx="1">
                  <c:v>28</c:v>
                </c:pt>
                <c:pt idx="2">
                  <c:v>53</c:v>
                </c:pt>
                <c:pt idx="3">
                  <c:v>72</c:v>
                </c:pt>
                <c:pt idx="4">
                  <c:v>101</c:v>
                </c:pt>
                <c:pt idx="5">
                  <c:v>162</c:v>
                </c:pt>
                <c:pt idx="6">
                  <c:v>158</c:v>
                </c:pt>
                <c:pt idx="7">
                  <c:v>109</c:v>
                </c:pt>
                <c:pt idx="8">
                  <c:v>151</c:v>
                </c:pt>
                <c:pt idx="9">
                  <c:v>128</c:v>
                </c:pt>
                <c:pt idx="10">
                  <c:v>98</c:v>
                </c:pt>
                <c:pt idx="11">
                  <c:v>147</c:v>
                </c:pt>
              </c:numCache>
            </c:numRef>
          </c:val>
          <c:smooth val="0"/>
        </c:ser>
        <c:ser>
          <c:idx val="1"/>
          <c:order val="1"/>
          <c:tx>
            <c:strRef>
              <c:f>'Sec3 Complaints'!$B$6</c:f>
              <c:strCache>
                <c:ptCount val="1"/>
                <c:pt idx="0">
                  <c:v>Mean</c:v>
                </c:pt>
              </c:strCache>
            </c:strRef>
          </c:tx>
          <c:spPr>
            <a:ln w="22225" cap="rnd">
              <a:solidFill>
                <a:schemeClr val="accent2"/>
              </a:solidFill>
              <a:round/>
            </a:ln>
            <a:effectLst/>
          </c:spPr>
          <c:marker>
            <c:symbol val="none"/>
          </c:marker>
          <c:cat>
            <c:numRef>
              <c:f>'Sec3 Complaints'!$C$4:$N$4</c:f>
              <c:numCache>
                <c:formatCode>mmm\-yy</c:formatCode>
                <c:ptCount val="12"/>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numCache>
            </c:numRef>
          </c:cat>
          <c:val>
            <c:numRef>
              <c:f>'Sec3 Complaints'!$C$6:$N$6</c:f>
              <c:numCache>
                <c:formatCode>General</c:formatCode>
                <c:ptCount val="12"/>
                <c:pt idx="0">
                  <c:v>103.08333333333333</c:v>
                </c:pt>
                <c:pt idx="1">
                  <c:v>103.08333333333333</c:v>
                </c:pt>
                <c:pt idx="2">
                  <c:v>103.08333333333333</c:v>
                </c:pt>
                <c:pt idx="3">
                  <c:v>103.08333333333333</c:v>
                </c:pt>
                <c:pt idx="4">
                  <c:v>103.08333333333333</c:v>
                </c:pt>
                <c:pt idx="5">
                  <c:v>103.08333333333333</c:v>
                </c:pt>
                <c:pt idx="6">
                  <c:v>103.08333333333333</c:v>
                </c:pt>
                <c:pt idx="7">
                  <c:v>103.08333333333333</c:v>
                </c:pt>
                <c:pt idx="8">
                  <c:v>103.08333333333333</c:v>
                </c:pt>
                <c:pt idx="9">
                  <c:v>103.08333333333333</c:v>
                </c:pt>
                <c:pt idx="10">
                  <c:v>103.08333333333333</c:v>
                </c:pt>
                <c:pt idx="11">
                  <c:v>103.08333333333333</c:v>
                </c:pt>
              </c:numCache>
            </c:numRef>
          </c:val>
          <c:smooth val="0"/>
        </c:ser>
        <c:dLbls>
          <c:showLegendKey val="0"/>
          <c:showVal val="0"/>
          <c:showCatName val="0"/>
          <c:showSerName val="0"/>
          <c:showPercent val="0"/>
          <c:showBubbleSize val="0"/>
        </c:dLbls>
        <c:marker val="1"/>
        <c:smooth val="0"/>
        <c:axId val="606973304"/>
        <c:axId val="603258912"/>
      </c:lineChart>
      <c:dateAx>
        <c:axId val="606973304"/>
        <c:scaling>
          <c:orientation val="minMax"/>
        </c:scaling>
        <c:delete val="0"/>
        <c:axPos val="b"/>
        <c:numFmt formatCode="mmm\-yy" sourceLinked="1"/>
        <c:majorTickMark val="out"/>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800" b="0" i="0" u="none" strike="noStrike" kern="1200" cap="none" spc="0" normalizeH="0" baseline="0">
                <a:solidFill>
                  <a:schemeClr val="dk1">
                    <a:lumMod val="65000"/>
                    <a:lumOff val="35000"/>
                  </a:schemeClr>
                </a:solidFill>
                <a:latin typeface="+mn-lt"/>
                <a:ea typeface="+mn-ea"/>
                <a:cs typeface="+mn-cs"/>
              </a:defRPr>
            </a:pPr>
            <a:endParaRPr lang="en-US"/>
          </a:p>
        </c:txPr>
        <c:crossAx val="603258912"/>
        <c:crosses val="autoZero"/>
        <c:auto val="0"/>
        <c:lblOffset val="100"/>
        <c:baseTimeUnit val="months"/>
        <c:majorUnit val="1"/>
        <c:majorTimeUnit val="months"/>
      </c:dateAx>
      <c:valAx>
        <c:axId val="603258912"/>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06973304"/>
        <c:crosses val="autoZero"/>
        <c:crossBetween val="between"/>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8.59809175041827E-2"/>
          <c:y val="0.85776061011241522"/>
          <c:w val="0.85993972079056691"/>
          <c:h val="0.1422393898875848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6.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9.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C863889ACE44C26BD508DDFC08B4FA6"/>
        <w:category>
          <w:name w:val="General"/>
          <w:gallery w:val="placeholder"/>
        </w:category>
        <w:types>
          <w:type w:val="bbPlcHdr"/>
        </w:types>
        <w:behaviors>
          <w:behavior w:val="content"/>
        </w:behaviors>
        <w:guid w:val="{F73266F5-03D2-4FC4-A272-B1050CE588CA}"/>
      </w:docPartPr>
      <w:docPartBody>
        <w:p w:rsidR="00B80B71" w:rsidRDefault="00B80B71" w:rsidP="00B80B71">
          <w:pPr>
            <w:pStyle w:val="6C863889ACE44C26BD508DDFC08B4FA6"/>
          </w:pPr>
          <w:r w:rsidRPr="00E23B12">
            <w:rPr>
              <w:rStyle w:val="PlaceholderText"/>
              <w:rFonts w:ascii="Verdana" w:hAnsi="Verdana"/>
              <w:sz w:val="24"/>
              <w:szCs w:val="24"/>
            </w:rPr>
            <w:t>Choose an item.</w:t>
          </w:r>
        </w:p>
      </w:docPartBody>
    </w:docPart>
    <w:docPart>
      <w:docPartPr>
        <w:name w:val="84C1C947BB42443FB72750B85C93DE72"/>
        <w:category>
          <w:name w:val="General"/>
          <w:gallery w:val="placeholder"/>
        </w:category>
        <w:types>
          <w:type w:val="bbPlcHdr"/>
        </w:types>
        <w:behaviors>
          <w:behavior w:val="content"/>
        </w:behaviors>
        <w:guid w:val="{DD7E3355-AFFC-4B95-B61E-26819C5FCD92}"/>
      </w:docPartPr>
      <w:docPartBody>
        <w:p w:rsidR="00B80B71" w:rsidRDefault="00B80B71" w:rsidP="00B80B71">
          <w:pPr>
            <w:pStyle w:val="84C1C947BB42443FB72750B85C93DE72"/>
          </w:pPr>
          <w:r w:rsidRPr="00E23B12">
            <w:rPr>
              <w:rStyle w:val="PlaceholderText"/>
              <w:rFonts w:ascii="Verdana" w:hAnsi="Verdana"/>
              <w:sz w:val="24"/>
              <w:szCs w:val="24"/>
            </w:rPr>
            <w:t>Choose an item.</w:t>
          </w:r>
        </w:p>
      </w:docPartBody>
    </w:docPart>
    <w:docPart>
      <w:docPartPr>
        <w:name w:val="32B6A16CA4FD48FD99BA0415DD56D898"/>
        <w:category>
          <w:name w:val="General"/>
          <w:gallery w:val="placeholder"/>
        </w:category>
        <w:types>
          <w:type w:val="bbPlcHdr"/>
        </w:types>
        <w:behaviors>
          <w:behavior w:val="content"/>
        </w:behaviors>
        <w:guid w:val="{CC1CEB28-3431-4DA9-BE29-F3A8C988FA0A}"/>
      </w:docPartPr>
      <w:docPartBody>
        <w:p w:rsidR="00B80B71" w:rsidRDefault="00B80B71" w:rsidP="00B80B71">
          <w:pPr>
            <w:pStyle w:val="32B6A16CA4FD48FD99BA0415DD56D898"/>
          </w:pPr>
          <w:r w:rsidRPr="005A0836">
            <w:rPr>
              <w:rStyle w:val="PlaceholderText"/>
              <w:rFonts w:ascii="Verdana" w:hAnsi="Verdana"/>
              <w:sz w:val="24"/>
              <w:szCs w:val="24"/>
            </w:rPr>
            <w:t>Choose an item.</w:t>
          </w:r>
        </w:p>
      </w:docPartBody>
    </w:docPart>
    <w:docPart>
      <w:docPartPr>
        <w:name w:val="7E47725B7FF840B2A35D5A62A82BBAD3"/>
        <w:category>
          <w:name w:val="General"/>
          <w:gallery w:val="placeholder"/>
        </w:category>
        <w:types>
          <w:type w:val="bbPlcHdr"/>
        </w:types>
        <w:behaviors>
          <w:behavior w:val="content"/>
        </w:behaviors>
        <w:guid w:val="{7092E566-5991-4302-9EF9-98CE2E4B10EF}"/>
      </w:docPartPr>
      <w:docPartBody>
        <w:p w:rsidR="00B80B71" w:rsidRDefault="00B80B71" w:rsidP="00B80B71">
          <w:pPr>
            <w:pStyle w:val="7E47725B7FF840B2A35D5A62A82BBAD3"/>
          </w:pPr>
          <w:r w:rsidRPr="00E23B12">
            <w:rPr>
              <w:rStyle w:val="PlaceholderText"/>
              <w:rFonts w:ascii="Verdana" w:hAnsi="Verdana"/>
              <w:sz w:val="24"/>
              <w:szCs w:val="24"/>
            </w:rPr>
            <w:t>Choose an item.</w:t>
          </w:r>
        </w:p>
      </w:docPartBody>
    </w:docPart>
    <w:docPart>
      <w:docPartPr>
        <w:name w:val="6E5FF1DDD1C94BAD864CC6932B41E4DB"/>
        <w:category>
          <w:name w:val="General"/>
          <w:gallery w:val="placeholder"/>
        </w:category>
        <w:types>
          <w:type w:val="bbPlcHdr"/>
        </w:types>
        <w:behaviors>
          <w:behavior w:val="content"/>
        </w:behaviors>
        <w:guid w:val="{A7B83BE8-10CF-4D05-B97D-D685F4601724}"/>
      </w:docPartPr>
      <w:docPartBody>
        <w:p w:rsidR="00B80B71" w:rsidRDefault="00B80B71" w:rsidP="00B80B71">
          <w:pPr>
            <w:pStyle w:val="6E5FF1DDD1C94BAD864CC6932B41E4DB"/>
          </w:pPr>
          <w:r w:rsidRPr="00E23B12">
            <w:rPr>
              <w:rStyle w:val="PlaceholderText"/>
              <w:rFonts w:ascii="Verdana" w:hAnsi="Verdana"/>
              <w:sz w:val="24"/>
              <w:szCs w:val="24"/>
            </w:rPr>
            <w:t>Choose an item.</w:t>
          </w:r>
        </w:p>
      </w:docPartBody>
    </w:docPart>
    <w:docPart>
      <w:docPartPr>
        <w:name w:val="458BE77059684FD1B65A546CD62CC186"/>
        <w:category>
          <w:name w:val="General"/>
          <w:gallery w:val="placeholder"/>
        </w:category>
        <w:types>
          <w:type w:val="bbPlcHdr"/>
        </w:types>
        <w:behaviors>
          <w:behavior w:val="content"/>
        </w:behaviors>
        <w:guid w:val="{AC0DB4DA-F90E-4CB2-8A9B-E8477A071BA9}"/>
      </w:docPartPr>
      <w:docPartBody>
        <w:p w:rsidR="00B80B71" w:rsidRDefault="00B80B71" w:rsidP="00B80B71">
          <w:pPr>
            <w:pStyle w:val="458BE77059684FD1B65A546CD62CC186"/>
          </w:pPr>
          <w:r w:rsidRPr="00E23B12">
            <w:rPr>
              <w:rStyle w:val="PlaceholderText"/>
              <w:rFonts w:ascii="Verdana" w:hAnsi="Verdana"/>
              <w:sz w:val="24"/>
              <w:szCs w:val="24"/>
            </w:rPr>
            <w:t>Choose an item.</w:t>
          </w:r>
        </w:p>
      </w:docPartBody>
    </w:docPart>
    <w:docPart>
      <w:docPartPr>
        <w:name w:val="67CF935EF38D49BFABCE73C5A45D33A9"/>
        <w:category>
          <w:name w:val="General"/>
          <w:gallery w:val="placeholder"/>
        </w:category>
        <w:types>
          <w:type w:val="bbPlcHdr"/>
        </w:types>
        <w:behaviors>
          <w:behavior w:val="content"/>
        </w:behaviors>
        <w:guid w:val="{E921A5A4-5FC6-479A-B179-93B1F7A62477}"/>
      </w:docPartPr>
      <w:docPartBody>
        <w:p w:rsidR="00B80B71" w:rsidRDefault="00B80B71" w:rsidP="00B80B71">
          <w:pPr>
            <w:pStyle w:val="67CF935EF38D49BFABCE73C5A45D33A9"/>
          </w:pPr>
          <w:r w:rsidRPr="00E23B12">
            <w:rPr>
              <w:rStyle w:val="PlaceholderText"/>
              <w:rFonts w:ascii="Verdana" w:hAnsi="Verdana"/>
              <w:sz w:val="24"/>
              <w:szCs w:val="24"/>
            </w:rPr>
            <w:t>Choose an item.</w:t>
          </w:r>
        </w:p>
      </w:docPartBody>
    </w:docPart>
    <w:docPart>
      <w:docPartPr>
        <w:name w:val="D1D8BAF98BA9416B9BD1D7B86138C5D2"/>
        <w:category>
          <w:name w:val="General"/>
          <w:gallery w:val="placeholder"/>
        </w:category>
        <w:types>
          <w:type w:val="bbPlcHdr"/>
        </w:types>
        <w:behaviors>
          <w:behavior w:val="content"/>
        </w:behaviors>
        <w:guid w:val="{81BF011E-5A19-4F97-9E16-2E8BC8B4B1BF}"/>
      </w:docPartPr>
      <w:docPartBody>
        <w:p w:rsidR="00B80B71" w:rsidRDefault="00B80B71" w:rsidP="00B80B71">
          <w:pPr>
            <w:pStyle w:val="D1D8BAF98BA9416B9BD1D7B86138C5D2"/>
          </w:pPr>
          <w:r w:rsidRPr="00E23B12">
            <w:rPr>
              <w:rStyle w:val="PlaceholderText"/>
              <w:rFonts w:ascii="Verdana" w:hAnsi="Verdana"/>
              <w:sz w:val="24"/>
              <w:szCs w:val="24"/>
            </w:rPr>
            <w:t>Choose an item.</w:t>
          </w:r>
        </w:p>
      </w:docPartBody>
    </w:docPart>
    <w:docPart>
      <w:docPartPr>
        <w:name w:val="E6CD563AD2494FD1BCBD5E4AB79DC5BF"/>
        <w:category>
          <w:name w:val="General"/>
          <w:gallery w:val="placeholder"/>
        </w:category>
        <w:types>
          <w:type w:val="bbPlcHdr"/>
        </w:types>
        <w:behaviors>
          <w:behavior w:val="content"/>
        </w:behaviors>
        <w:guid w:val="{36844E75-4DE9-412A-BE0F-536AF54FBE22}"/>
      </w:docPartPr>
      <w:docPartBody>
        <w:p w:rsidR="00B80B71" w:rsidRDefault="00B80B71" w:rsidP="00B80B71">
          <w:pPr>
            <w:pStyle w:val="E6CD563AD2494FD1BCBD5E4AB79DC5BF"/>
          </w:pPr>
          <w:r w:rsidRPr="00E23B12">
            <w:rPr>
              <w:rStyle w:val="PlaceholderText"/>
              <w:rFonts w:ascii="Verdana" w:hAnsi="Verdana"/>
              <w:sz w:val="24"/>
              <w:szCs w:val="24"/>
            </w:rPr>
            <w:t>Choose an item.</w:t>
          </w:r>
        </w:p>
      </w:docPartBody>
    </w:docPart>
    <w:docPart>
      <w:docPartPr>
        <w:name w:val="4268F7CFD64348BFA285C2458ADC68E9"/>
        <w:category>
          <w:name w:val="General"/>
          <w:gallery w:val="placeholder"/>
        </w:category>
        <w:types>
          <w:type w:val="bbPlcHdr"/>
        </w:types>
        <w:behaviors>
          <w:behavior w:val="content"/>
        </w:behaviors>
        <w:guid w:val="{C6888EBC-8220-4F96-BDEF-8F85E80E4A83}"/>
      </w:docPartPr>
      <w:docPartBody>
        <w:p w:rsidR="00B80B71" w:rsidRDefault="00B80B71" w:rsidP="00B80B71">
          <w:pPr>
            <w:pStyle w:val="4268F7CFD64348BFA285C2458ADC68E9"/>
          </w:pPr>
          <w:r w:rsidRPr="00E23B12">
            <w:rPr>
              <w:rStyle w:val="PlaceholderText"/>
              <w:rFonts w:ascii="Verdana" w:hAnsi="Verdana"/>
              <w:sz w:val="24"/>
              <w:szCs w:val="24"/>
            </w:rPr>
            <w:t>Choose an item.</w:t>
          </w:r>
        </w:p>
      </w:docPartBody>
    </w:docPart>
    <w:docPart>
      <w:docPartPr>
        <w:name w:val="0DDB21FD854840A3B7AABA9126C97045"/>
        <w:category>
          <w:name w:val="General"/>
          <w:gallery w:val="placeholder"/>
        </w:category>
        <w:types>
          <w:type w:val="bbPlcHdr"/>
        </w:types>
        <w:behaviors>
          <w:behavior w:val="content"/>
        </w:behaviors>
        <w:guid w:val="{FF4D72FD-8700-4035-9233-95DE4089AA85}"/>
      </w:docPartPr>
      <w:docPartBody>
        <w:p w:rsidR="00B80B71" w:rsidRDefault="00B80B71" w:rsidP="00B80B71">
          <w:pPr>
            <w:pStyle w:val="0DDB21FD854840A3B7AABA9126C97045"/>
          </w:pPr>
          <w:r w:rsidRPr="00E23B12">
            <w:rPr>
              <w:rStyle w:val="PlaceholderText"/>
              <w:rFonts w:ascii="Verdana" w:hAnsi="Verdana"/>
              <w:sz w:val="24"/>
              <w:szCs w:val="24"/>
            </w:rPr>
            <w:t>Choose an item.</w:t>
          </w:r>
        </w:p>
      </w:docPartBody>
    </w:docPart>
    <w:docPart>
      <w:docPartPr>
        <w:name w:val="E2EE6B48360F4677A2D1C6DAE89AC1E4"/>
        <w:category>
          <w:name w:val="General"/>
          <w:gallery w:val="placeholder"/>
        </w:category>
        <w:types>
          <w:type w:val="bbPlcHdr"/>
        </w:types>
        <w:behaviors>
          <w:behavior w:val="content"/>
        </w:behaviors>
        <w:guid w:val="{1916236A-7EAF-4D70-A5A5-FA7895CEE58D}"/>
      </w:docPartPr>
      <w:docPartBody>
        <w:p w:rsidR="00B80B71" w:rsidRDefault="00B80B71" w:rsidP="00B80B71">
          <w:pPr>
            <w:pStyle w:val="E2EE6B48360F4677A2D1C6DAE89AC1E4"/>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B71"/>
    <w:rsid w:val="0000299B"/>
    <w:rsid w:val="000314AB"/>
    <w:rsid w:val="00061455"/>
    <w:rsid w:val="001B584C"/>
    <w:rsid w:val="00286AC0"/>
    <w:rsid w:val="00577FF5"/>
    <w:rsid w:val="006D6BEC"/>
    <w:rsid w:val="006E2A96"/>
    <w:rsid w:val="00764BB5"/>
    <w:rsid w:val="0079763C"/>
    <w:rsid w:val="007D083E"/>
    <w:rsid w:val="00803936"/>
    <w:rsid w:val="00831FD2"/>
    <w:rsid w:val="00AC6691"/>
    <w:rsid w:val="00B80B71"/>
    <w:rsid w:val="00D30B66"/>
    <w:rsid w:val="00D31A18"/>
    <w:rsid w:val="00D320F7"/>
    <w:rsid w:val="00DE7033"/>
    <w:rsid w:val="00E453F4"/>
    <w:rsid w:val="00E90C22"/>
    <w:rsid w:val="00F047E7"/>
    <w:rsid w:val="00F133B2"/>
    <w:rsid w:val="00FD3F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80B71"/>
    <w:rPr>
      <w:color w:val="808080"/>
    </w:rPr>
  </w:style>
  <w:style w:type="paragraph" w:customStyle="1" w:styleId="E1C01FD7CD4843949B2E441B7C35B761">
    <w:name w:val="E1C01FD7CD4843949B2E441B7C35B761"/>
    <w:rsid w:val="00B80B71"/>
  </w:style>
  <w:style w:type="paragraph" w:customStyle="1" w:styleId="14E9ECC4195949F2A55D7B35BC609275">
    <w:name w:val="14E9ECC4195949F2A55D7B35BC609275"/>
    <w:rsid w:val="00B80B71"/>
  </w:style>
  <w:style w:type="paragraph" w:customStyle="1" w:styleId="5DEAACEFBA3841189B0FB897B2669655">
    <w:name w:val="5DEAACEFBA3841189B0FB897B2669655"/>
    <w:rsid w:val="00B80B71"/>
  </w:style>
  <w:style w:type="paragraph" w:customStyle="1" w:styleId="2022D3256DBB48B09B34C545C226F224">
    <w:name w:val="2022D3256DBB48B09B34C545C226F224"/>
    <w:rsid w:val="00B80B71"/>
  </w:style>
  <w:style w:type="paragraph" w:customStyle="1" w:styleId="85D6051E8B0645F7B99DE8AC863ACB98">
    <w:name w:val="85D6051E8B0645F7B99DE8AC863ACB98"/>
    <w:rsid w:val="00B80B71"/>
  </w:style>
  <w:style w:type="paragraph" w:customStyle="1" w:styleId="74CC2D759C1940E09409BD19BE907ABA">
    <w:name w:val="74CC2D759C1940E09409BD19BE907ABA"/>
    <w:rsid w:val="00B80B71"/>
  </w:style>
  <w:style w:type="paragraph" w:customStyle="1" w:styleId="44A816A441114913B233B037A7C13805">
    <w:name w:val="44A816A441114913B233B037A7C13805"/>
    <w:rsid w:val="00B80B71"/>
  </w:style>
  <w:style w:type="paragraph" w:customStyle="1" w:styleId="6C863889ACE44C26BD508DDFC08B4FA6">
    <w:name w:val="6C863889ACE44C26BD508DDFC08B4FA6"/>
    <w:rsid w:val="00B80B71"/>
  </w:style>
  <w:style w:type="paragraph" w:customStyle="1" w:styleId="84C1C947BB42443FB72750B85C93DE72">
    <w:name w:val="84C1C947BB42443FB72750B85C93DE72"/>
    <w:rsid w:val="00B80B71"/>
  </w:style>
  <w:style w:type="paragraph" w:customStyle="1" w:styleId="32B6A16CA4FD48FD99BA0415DD56D898">
    <w:name w:val="32B6A16CA4FD48FD99BA0415DD56D898"/>
    <w:rsid w:val="00B80B71"/>
  </w:style>
  <w:style w:type="paragraph" w:customStyle="1" w:styleId="72E8226531AD4622987F3346CDA8E50C">
    <w:name w:val="72E8226531AD4622987F3346CDA8E50C"/>
    <w:rsid w:val="00B80B71"/>
  </w:style>
  <w:style w:type="paragraph" w:customStyle="1" w:styleId="7E47725B7FF840B2A35D5A62A82BBAD3">
    <w:name w:val="7E47725B7FF840B2A35D5A62A82BBAD3"/>
    <w:rsid w:val="00B80B71"/>
  </w:style>
  <w:style w:type="paragraph" w:customStyle="1" w:styleId="6E5FF1DDD1C94BAD864CC6932B41E4DB">
    <w:name w:val="6E5FF1DDD1C94BAD864CC6932B41E4DB"/>
    <w:rsid w:val="00B80B71"/>
  </w:style>
  <w:style w:type="paragraph" w:customStyle="1" w:styleId="458BE77059684FD1B65A546CD62CC186">
    <w:name w:val="458BE77059684FD1B65A546CD62CC186"/>
    <w:rsid w:val="00B80B71"/>
  </w:style>
  <w:style w:type="paragraph" w:customStyle="1" w:styleId="67CF935EF38D49BFABCE73C5A45D33A9">
    <w:name w:val="67CF935EF38D49BFABCE73C5A45D33A9"/>
    <w:rsid w:val="00B80B71"/>
  </w:style>
  <w:style w:type="paragraph" w:customStyle="1" w:styleId="D1D8BAF98BA9416B9BD1D7B86138C5D2">
    <w:name w:val="D1D8BAF98BA9416B9BD1D7B86138C5D2"/>
    <w:rsid w:val="00B80B71"/>
  </w:style>
  <w:style w:type="paragraph" w:customStyle="1" w:styleId="E6CD563AD2494FD1BCBD5E4AB79DC5BF">
    <w:name w:val="E6CD563AD2494FD1BCBD5E4AB79DC5BF"/>
    <w:rsid w:val="00B80B71"/>
  </w:style>
  <w:style w:type="paragraph" w:customStyle="1" w:styleId="4268F7CFD64348BFA285C2458ADC68E9">
    <w:name w:val="4268F7CFD64348BFA285C2458ADC68E9"/>
    <w:rsid w:val="00B80B71"/>
  </w:style>
  <w:style w:type="paragraph" w:customStyle="1" w:styleId="0DDB21FD854840A3B7AABA9126C97045">
    <w:name w:val="0DDB21FD854840A3B7AABA9126C97045"/>
    <w:rsid w:val="00B80B71"/>
  </w:style>
  <w:style w:type="paragraph" w:customStyle="1" w:styleId="E2EE6B48360F4677A2D1C6DAE89AC1E4">
    <w:name w:val="E2EE6B48360F4677A2D1C6DAE89AC1E4"/>
    <w:rsid w:val="00B80B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ABD1F-51BB-4CBB-9031-02243123E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7</TotalTime>
  <Pages>3</Pages>
  <Words>4978</Words>
  <Characters>28380</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WN (Year) Number</vt:lpstr>
    </vt:vector>
  </TitlesOfParts>
  <Company>Welsh Assembly Government</Company>
  <LinksUpToDate>false</LinksUpToDate>
  <CharactersWithSpaces>33292</CharactersWithSpaces>
  <SharedDoc>false</SharedDoc>
  <HLinks>
    <vt:vector size="228" baseType="variant">
      <vt:variant>
        <vt:i4>6553649</vt:i4>
      </vt:variant>
      <vt:variant>
        <vt:i4>111</vt:i4>
      </vt:variant>
      <vt:variant>
        <vt:i4>0</vt:i4>
      </vt:variant>
      <vt:variant>
        <vt:i4>5</vt:i4>
      </vt:variant>
      <vt:variant>
        <vt:lpwstr>https://www.rcpsych.ac.uk/improving-care/ccqi/national-clinical-audits/national-clinical-audit-of-psychosis</vt:lpwstr>
      </vt:variant>
      <vt:variant>
        <vt:lpwstr/>
      </vt:variant>
      <vt:variant>
        <vt:i4>6357027</vt:i4>
      </vt:variant>
      <vt:variant>
        <vt:i4>108</vt:i4>
      </vt:variant>
      <vt:variant>
        <vt:i4>0</vt:i4>
      </vt:variant>
      <vt:variant>
        <vt:i4>5</vt:i4>
      </vt:variant>
      <vt:variant>
        <vt:lpwstr>https://www.rcpch.ac.uk/work-we-do/quality-improvement-patient-safety/epilepsy12-audit</vt:lpwstr>
      </vt:variant>
      <vt:variant>
        <vt:lpwstr/>
      </vt:variant>
      <vt:variant>
        <vt:i4>3407913</vt:i4>
      </vt:variant>
      <vt:variant>
        <vt:i4>105</vt:i4>
      </vt:variant>
      <vt:variant>
        <vt:i4>0</vt:i4>
      </vt:variant>
      <vt:variant>
        <vt:i4>5</vt:i4>
      </vt:variant>
      <vt:variant>
        <vt:lpwstr>http://www.maternityaudit.org.uk/pages/home</vt:lpwstr>
      </vt:variant>
      <vt:variant>
        <vt:lpwstr/>
      </vt:variant>
      <vt:variant>
        <vt:i4>3735650</vt:i4>
      </vt:variant>
      <vt:variant>
        <vt:i4>102</vt:i4>
      </vt:variant>
      <vt:variant>
        <vt:i4>0</vt:i4>
      </vt:variant>
      <vt:variant>
        <vt:i4>5</vt:i4>
      </vt:variant>
      <vt:variant>
        <vt:lpwstr>https://www.rcpch.ac.uk/work-we-do/quality-improvement-patient-safety/national-neonatal-audit-programme</vt:lpwstr>
      </vt:variant>
      <vt:variant>
        <vt:lpwstr/>
      </vt:variant>
      <vt:variant>
        <vt:i4>3932212</vt:i4>
      </vt:variant>
      <vt:variant>
        <vt:i4>99</vt:i4>
      </vt:variant>
      <vt:variant>
        <vt:i4>0</vt:i4>
      </vt:variant>
      <vt:variant>
        <vt:i4>5</vt:i4>
      </vt:variant>
      <vt:variant>
        <vt:lpwstr>https://www.picanet.org.uk/</vt:lpwstr>
      </vt:variant>
      <vt:variant>
        <vt:lpwstr/>
      </vt:variant>
      <vt:variant>
        <vt:i4>6094933</vt:i4>
      </vt:variant>
      <vt:variant>
        <vt:i4>96</vt:i4>
      </vt:variant>
      <vt:variant>
        <vt:i4>0</vt:i4>
      </vt:variant>
      <vt:variant>
        <vt:i4>5</vt:i4>
      </vt:variant>
      <vt:variant>
        <vt:lpwstr>https://www.nogca.org.uk/</vt:lpwstr>
      </vt:variant>
      <vt:variant>
        <vt:lpwstr/>
      </vt:variant>
      <vt:variant>
        <vt:i4>720980</vt:i4>
      </vt:variant>
      <vt:variant>
        <vt:i4>93</vt:i4>
      </vt:variant>
      <vt:variant>
        <vt:i4>0</vt:i4>
      </vt:variant>
      <vt:variant>
        <vt:i4>5</vt:i4>
      </vt:variant>
      <vt:variant>
        <vt:lpwstr>https://www.npca.org.uk/</vt:lpwstr>
      </vt:variant>
      <vt:variant>
        <vt:lpwstr/>
      </vt:variant>
      <vt:variant>
        <vt:i4>2818162</vt:i4>
      </vt:variant>
      <vt:variant>
        <vt:i4>90</vt:i4>
      </vt:variant>
      <vt:variant>
        <vt:i4>0</vt:i4>
      </vt:variant>
      <vt:variant>
        <vt:i4>5</vt:i4>
      </vt:variant>
      <vt:variant>
        <vt:lpwstr>https://www.rcplondon.ac.uk/projects/national-lung-cancer-audit</vt:lpwstr>
      </vt:variant>
      <vt:variant>
        <vt:lpwstr/>
      </vt:variant>
      <vt:variant>
        <vt:i4>86</vt:i4>
      </vt:variant>
      <vt:variant>
        <vt:i4>87</vt:i4>
      </vt:variant>
      <vt:variant>
        <vt:i4>0</vt:i4>
      </vt:variant>
      <vt:variant>
        <vt:i4>5</vt:i4>
      </vt:variant>
      <vt:variant>
        <vt:lpwstr>http://www.cardiacrehabilitation.org.uk/</vt:lpwstr>
      </vt:variant>
      <vt:variant>
        <vt:lpwstr/>
      </vt:variant>
      <vt:variant>
        <vt:i4>4915274</vt:i4>
      </vt:variant>
      <vt:variant>
        <vt:i4>84</vt:i4>
      </vt:variant>
      <vt:variant>
        <vt:i4>0</vt:i4>
      </vt:variant>
      <vt:variant>
        <vt:i4>5</vt:i4>
      </vt:variant>
      <vt:variant>
        <vt:lpwstr>https://www.vsqip.org.uk/</vt:lpwstr>
      </vt:variant>
      <vt:variant>
        <vt:lpwstr/>
      </vt:variant>
      <vt:variant>
        <vt:i4>4980745</vt:i4>
      </vt:variant>
      <vt:variant>
        <vt:i4>81</vt:i4>
      </vt:variant>
      <vt:variant>
        <vt:i4>0</vt:i4>
      </vt:variant>
      <vt:variant>
        <vt:i4>5</vt:i4>
      </vt:variant>
      <vt:variant>
        <vt:lpwstr>https://www.nicor.org.uk/national-cardiac-audit-programme/myocardial-ischaemia-minap-heart-attack-audit/</vt:lpwstr>
      </vt:variant>
      <vt:variant>
        <vt:lpwstr/>
      </vt:variant>
      <vt:variant>
        <vt:i4>2818156</vt:i4>
      </vt:variant>
      <vt:variant>
        <vt:i4>78</vt:i4>
      </vt:variant>
      <vt:variant>
        <vt:i4>0</vt:i4>
      </vt:variant>
      <vt:variant>
        <vt:i4>5</vt:i4>
      </vt:variant>
      <vt:variant>
        <vt:lpwstr>https://www.nicor.org.uk/national-cardiac-audit-programme/congenital-heart-disease-in-children-and-adults-congenital-audit/</vt:lpwstr>
      </vt:variant>
      <vt:variant>
        <vt:lpwstr/>
      </vt:variant>
      <vt:variant>
        <vt:i4>1572866</vt:i4>
      </vt:variant>
      <vt:variant>
        <vt:i4>75</vt:i4>
      </vt:variant>
      <vt:variant>
        <vt:i4>0</vt:i4>
      </vt:variant>
      <vt:variant>
        <vt:i4>5</vt:i4>
      </vt:variant>
      <vt:variant>
        <vt:lpwstr>https://www.nicor.org.uk/adult-percutaneous-coronary-interventions-angioplasty-audit/</vt:lpwstr>
      </vt:variant>
      <vt:variant>
        <vt:lpwstr/>
      </vt:variant>
      <vt:variant>
        <vt:i4>8323170</vt:i4>
      </vt:variant>
      <vt:variant>
        <vt:i4>72</vt:i4>
      </vt:variant>
      <vt:variant>
        <vt:i4>0</vt:i4>
      </vt:variant>
      <vt:variant>
        <vt:i4>5</vt:i4>
      </vt:variant>
      <vt:variant>
        <vt:lpwstr>https://www.nicor.org.uk/national-cardiac-audit-programme/adult-cardiac-surgery-surgery-audit/</vt:lpwstr>
      </vt:variant>
      <vt:variant>
        <vt:lpwstr/>
      </vt:variant>
      <vt:variant>
        <vt:i4>4259859</vt:i4>
      </vt:variant>
      <vt:variant>
        <vt:i4>69</vt:i4>
      </vt:variant>
      <vt:variant>
        <vt:i4>0</vt:i4>
      </vt:variant>
      <vt:variant>
        <vt:i4>5</vt:i4>
      </vt:variant>
      <vt:variant>
        <vt:lpwstr>https://www.nicor.org.uk/national-cardiac-audit-programme/cardiac-rhythm-management-arrhythmia-audit/</vt:lpwstr>
      </vt:variant>
      <vt:variant>
        <vt:lpwstr/>
      </vt:variant>
      <vt:variant>
        <vt:i4>1704011</vt:i4>
      </vt:variant>
      <vt:variant>
        <vt:i4>66</vt:i4>
      </vt:variant>
      <vt:variant>
        <vt:i4>0</vt:i4>
      </vt:variant>
      <vt:variant>
        <vt:i4>5</vt:i4>
      </vt:variant>
      <vt:variant>
        <vt:lpwstr>https://www.nicor.org.uk/national-cardiac-audit-programme/nicor-and-data-gov-uk/national-heart-failure-audit/</vt:lpwstr>
      </vt:variant>
      <vt:variant>
        <vt:lpwstr/>
      </vt:variant>
      <vt:variant>
        <vt:i4>5701698</vt:i4>
      </vt:variant>
      <vt:variant>
        <vt:i4>63</vt:i4>
      </vt:variant>
      <vt:variant>
        <vt:i4>0</vt:i4>
      </vt:variant>
      <vt:variant>
        <vt:i4>5</vt:i4>
      </vt:variant>
      <vt:variant>
        <vt:lpwstr>https://www.nicor.org.uk/</vt:lpwstr>
      </vt:variant>
      <vt:variant>
        <vt:lpwstr/>
      </vt:variant>
      <vt:variant>
        <vt:i4>6553723</vt:i4>
      </vt:variant>
      <vt:variant>
        <vt:i4>60</vt:i4>
      </vt:variant>
      <vt:variant>
        <vt:i4>0</vt:i4>
      </vt:variant>
      <vt:variant>
        <vt:i4>5</vt:i4>
      </vt:variant>
      <vt:variant>
        <vt:lpwstr>https://www.nhsbenchmarking.nhs.uk/news/nationalauditforcareattheendoflife</vt:lpwstr>
      </vt:variant>
      <vt:variant>
        <vt:lpwstr/>
      </vt:variant>
      <vt:variant>
        <vt:i4>6815802</vt:i4>
      </vt:variant>
      <vt:variant>
        <vt:i4>57</vt:i4>
      </vt:variant>
      <vt:variant>
        <vt:i4>0</vt:i4>
      </vt:variant>
      <vt:variant>
        <vt:i4>5</vt:i4>
      </vt:variant>
      <vt:variant>
        <vt:lpwstr>https://www.nabcop.org.uk/</vt:lpwstr>
      </vt:variant>
      <vt:variant>
        <vt:lpwstr/>
      </vt:variant>
      <vt:variant>
        <vt:i4>1376284</vt:i4>
      </vt:variant>
      <vt:variant>
        <vt:i4>54</vt:i4>
      </vt:variant>
      <vt:variant>
        <vt:i4>0</vt:i4>
      </vt:variant>
      <vt:variant>
        <vt:i4>5</vt:i4>
      </vt:variant>
      <vt:variant>
        <vt:lpwstr>https://www.rcpsych.ac.uk/improving-care/ccqi/national-clinical-audits/national-audit-of-dementia</vt:lpwstr>
      </vt:variant>
      <vt:variant>
        <vt:lpwstr/>
      </vt:variant>
      <vt:variant>
        <vt:i4>7143463</vt:i4>
      </vt:variant>
      <vt:variant>
        <vt:i4>51</vt:i4>
      </vt:variant>
      <vt:variant>
        <vt:i4>0</vt:i4>
      </vt:variant>
      <vt:variant>
        <vt:i4>5</vt:i4>
      </vt:variant>
      <vt:variant>
        <vt:lpwstr>https://www.nhfd.co.uk/20/hipfractureR.nsf/</vt:lpwstr>
      </vt:variant>
      <vt:variant>
        <vt:lpwstr/>
      </vt:variant>
      <vt:variant>
        <vt:i4>7667828</vt:i4>
      </vt:variant>
      <vt:variant>
        <vt:i4>48</vt:i4>
      </vt:variant>
      <vt:variant>
        <vt:i4>0</vt:i4>
      </vt:variant>
      <vt:variant>
        <vt:i4>5</vt:i4>
      </vt:variant>
      <vt:variant>
        <vt:lpwstr>https://www.rcplondon.ac.uk/projects/falls-and-fragility-fracture-audit-programme-fffap</vt:lpwstr>
      </vt:variant>
      <vt:variant>
        <vt:lpwstr/>
      </vt:variant>
      <vt:variant>
        <vt:i4>5832787</vt:i4>
      </vt:variant>
      <vt:variant>
        <vt:i4>45</vt:i4>
      </vt:variant>
      <vt:variant>
        <vt:i4>0</vt:i4>
      </vt:variant>
      <vt:variant>
        <vt:i4>5</vt:i4>
      </vt:variant>
      <vt:variant>
        <vt:lpwstr>https://www.strokeaudit.org/</vt:lpwstr>
      </vt:variant>
      <vt:variant>
        <vt:lpwstr/>
      </vt:variant>
      <vt:variant>
        <vt:i4>8257585</vt:i4>
      </vt:variant>
      <vt:variant>
        <vt:i4>42</vt:i4>
      </vt:variant>
      <vt:variant>
        <vt:i4>0</vt:i4>
      </vt:variant>
      <vt:variant>
        <vt:i4>5</vt:i4>
      </vt:variant>
      <vt:variant>
        <vt:lpwstr>https://ibdregistry.org.uk/</vt:lpwstr>
      </vt:variant>
      <vt:variant>
        <vt:lpwstr/>
      </vt:variant>
      <vt:variant>
        <vt:i4>2687084</vt:i4>
      </vt:variant>
      <vt:variant>
        <vt:i4>39</vt:i4>
      </vt:variant>
      <vt:variant>
        <vt:i4>0</vt:i4>
      </vt:variant>
      <vt:variant>
        <vt:i4>5</vt:i4>
      </vt:variant>
      <vt:variant>
        <vt:lpwstr>https://www.rheumatology.org.uk/Practice-Quality/Audits/NEIA-Audit</vt:lpwstr>
      </vt:variant>
      <vt:variant>
        <vt:lpwstr/>
      </vt:variant>
      <vt:variant>
        <vt:i4>5308425</vt:i4>
      </vt:variant>
      <vt:variant>
        <vt:i4>36</vt:i4>
      </vt:variant>
      <vt:variant>
        <vt:i4>0</vt:i4>
      </vt:variant>
      <vt:variant>
        <vt:i4>5</vt:i4>
      </vt:variant>
      <vt:variant>
        <vt:lpwstr>https://www.renalreg.org/</vt:lpwstr>
      </vt:variant>
      <vt:variant>
        <vt:lpwstr/>
      </vt:variant>
      <vt:variant>
        <vt:i4>2359340</vt:i4>
      </vt:variant>
      <vt:variant>
        <vt:i4>33</vt:i4>
      </vt:variant>
      <vt:variant>
        <vt:i4>0</vt:i4>
      </vt:variant>
      <vt:variant>
        <vt:i4>5</vt:i4>
      </vt:variant>
      <vt:variant>
        <vt:lpwstr>https://www.rcplondon.ac.uk/projects/national-asthma-and-copd-audit-programme-nacap</vt:lpwstr>
      </vt:variant>
      <vt:variant>
        <vt:lpwstr/>
      </vt:variant>
      <vt:variant>
        <vt:i4>786497</vt:i4>
      </vt:variant>
      <vt:variant>
        <vt:i4>30</vt:i4>
      </vt:variant>
      <vt:variant>
        <vt:i4>0</vt:i4>
      </vt:variant>
      <vt:variant>
        <vt:i4>5</vt:i4>
      </vt:variant>
      <vt:variant>
        <vt:lpwstr>https://www.rcpch.ac.uk/work-we-do/quality-improvement-patient-safety/national-paediatric-diabetes-audit</vt:lpwstr>
      </vt:variant>
      <vt:variant>
        <vt:lpwstr/>
      </vt:variant>
      <vt:variant>
        <vt:i4>6029388</vt:i4>
      </vt:variant>
      <vt:variant>
        <vt:i4>27</vt:i4>
      </vt:variant>
      <vt:variant>
        <vt:i4>0</vt:i4>
      </vt:variant>
      <vt:variant>
        <vt:i4>5</vt:i4>
      </vt:variant>
      <vt:variant>
        <vt:lpwstr>https://digital.nhs.uk/data-and-information/clinical-audits-and-registries/national-diabetes-transition-audit</vt:lpwstr>
      </vt:variant>
      <vt:variant>
        <vt:lpwstr/>
      </vt:variant>
      <vt:variant>
        <vt:i4>6357031</vt:i4>
      </vt:variant>
      <vt:variant>
        <vt:i4>24</vt:i4>
      </vt:variant>
      <vt:variant>
        <vt:i4>0</vt:i4>
      </vt:variant>
      <vt:variant>
        <vt:i4>5</vt:i4>
      </vt:variant>
      <vt:variant>
        <vt:lpwstr>https://digital.nhs.uk/data-and-information/clinical-audits-and-registries/national-diabetes-audit</vt:lpwstr>
      </vt:variant>
      <vt:variant>
        <vt:lpwstr/>
      </vt:variant>
      <vt:variant>
        <vt:i4>8126514</vt:i4>
      </vt:variant>
      <vt:variant>
        <vt:i4>21</vt:i4>
      </vt:variant>
      <vt:variant>
        <vt:i4>0</vt:i4>
      </vt:variant>
      <vt:variant>
        <vt:i4>5</vt:i4>
      </vt:variant>
      <vt:variant>
        <vt:lpwstr>https://digital.nhs.uk/data-and-information/clinical-audits-and-registries/national-pregnancy-in-diabetes-audit</vt:lpwstr>
      </vt:variant>
      <vt:variant>
        <vt:lpwstr/>
      </vt:variant>
      <vt:variant>
        <vt:i4>1900546</vt:i4>
      </vt:variant>
      <vt:variant>
        <vt:i4>18</vt:i4>
      </vt:variant>
      <vt:variant>
        <vt:i4>0</vt:i4>
      </vt:variant>
      <vt:variant>
        <vt:i4>5</vt:i4>
      </vt:variant>
      <vt:variant>
        <vt:lpwstr>https://digital.nhs.uk/data-and-information/clinical-audits-and-registries/national-diabetes-inpatient-audit</vt:lpwstr>
      </vt:variant>
      <vt:variant>
        <vt:lpwstr/>
      </vt:variant>
      <vt:variant>
        <vt:i4>4259840</vt:i4>
      </vt:variant>
      <vt:variant>
        <vt:i4>15</vt:i4>
      </vt:variant>
      <vt:variant>
        <vt:i4>0</vt:i4>
      </vt:variant>
      <vt:variant>
        <vt:i4>5</vt:i4>
      </vt:variant>
      <vt:variant>
        <vt:lpwstr>https://digital.nhs.uk/data-and-information/clinical-audits-and-registries/national-diabetes-foot-care-audit</vt:lpwstr>
      </vt:variant>
      <vt:variant>
        <vt:lpwstr/>
      </vt:variant>
      <vt:variant>
        <vt:i4>262223</vt:i4>
      </vt:variant>
      <vt:variant>
        <vt:i4>12</vt:i4>
      </vt:variant>
      <vt:variant>
        <vt:i4>0</vt:i4>
      </vt:variant>
      <vt:variant>
        <vt:i4>5</vt:i4>
      </vt:variant>
      <vt:variant>
        <vt:lpwstr>https://www.nodaudit.org.uk/</vt:lpwstr>
      </vt:variant>
      <vt:variant>
        <vt:lpwstr/>
      </vt:variant>
      <vt:variant>
        <vt:i4>6488190</vt:i4>
      </vt:variant>
      <vt:variant>
        <vt:i4>9</vt:i4>
      </vt:variant>
      <vt:variant>
        <vt:i4>0</vt:i4>
      </vt:variant>
      <vt:variant>
        <vt:i4>5</vt:i4>
      </vt:variant>
      <vt:variant>
        <vt:lpwstr>https://www.tarn.ac.uk/</vt:lpwstr>
      </vt:variant>
      <vt:variant>
        <vt:lpwstr/>
      </vt:variant>
      <vt:variant>
        <vt:i4>2162793</vt:i4>
      </vt:variant>
      <vt:variant>
        <vt:i4>6</vt:i4>
      </vt:variant>
      <vt:variant>
        <vt:i4>0</vt:i4>
      </vt:variant>
      <vt:variant>
        <vt:i4>5</vt:i4>
      </vt:variant>
      <vt:variant>
        <vt:lpwstr>https://www.icnarc.org/</vt:lpwstr>
      </vt:variant>
      <vt:variant>
        <vt:lpwstr/>
      </vt:variant>
      <vt:variant>
        <vt:i4>1966171</vt:i4>
      </vt:variant>
      <vt:variant>
        <vt:i4>3</vt:i4>
      </vt:variant>
      <vt:variant>
        <vt:i4>0</vt:i4>
      </vt:variant>
      <vt:variant>
        <vt:i4>5</vt:i4>
      </vt:variant>
      <vt:variant>
        <vt:lpwstr>https://www.nela.org.uk/</vt:lpwstr>
      </vt:variant>
      <vt:variant>
        <vt:lpwstr/>
      </vt:variant>
      <vt:variant>
        <vt:i4>6684710</vt:i4>
      </vt:variant>
      <vt:variant>
        <vt:i4>0</vt:i4>
      </vt:variant>
      <vt:variant>
        <vt:i4>0</vt:i4>
      </vt:variant>
      <vt:variant>
        <vt:i4>5</vt:i4>
      </vt:variant>
      <vt:variant>
        <vt:lpwstr>http://www.njrcentre.org.uk/njrcentre/default.aspx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WN (Year) Number</dc:title>
  <dc:subject/>
  <dc:creator>Ahmadt2</dc:creator>
  <cp:keywords/>
  <dc:description/>
  <cp:lastModifiedBy>Emma Walters (Cwm Taf UHB - Corporate Services)</cp:lastModifiedBy>
  <cp:revision>6</cp:revision>
  <cp:lastPrinted>2020-02-18T10:48:00Z</cp:lastPrinted>
  <dcterms:created xsi:type="dcterms:W3CDTF">2020-02-24T13:52:00Z</dcterms:created>
  <dcterms:modified xsi:type="dcterms:W3CDTF">2020-03-20T15:38:00Z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A24910287</vt:lpwstr>
  </property>
  <property fmtid="{D5CDD505-2E9C-101B-9397-08002B2CF9AE}" pid="3" name="Objective-Title">
    <vt:lpwstr>National Clinical Audit Annual Plan - English</vt:lpwstr>
  </property>
  <property fmtid="{D5CDD505-2E9C-101B-9397-08002B2CF9AE}" pid="4" name="Objective-Comment">
    <vt:lpwstr/>
  </property>
  <property fmtid="{D5CDD505-2E9C-101B-9397-08002B2CF9AE}" pid="5" name="Objective-CreationStamp">
    <vt:filetime>2019-01-17T09:08:41Z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2019-02-11T15:08:28Z</vt:filetime>
  </property>
  <property fmtid="{D5CDD505-2E9C-101B-9397-08002B2CF9AE}" pid="9" name="Objective-ModificationStamp">
    <vt:filetime>2019-02-11T15:08:28Z</vt:filetime>
  </property>
  <property fmtid="{D5CDD505-2E9C-101B-9397-08002B2CF9AE}" pid="10" name="Objective-Owner">
    <vt:lpwstr>Francis, Kevin (HSS-DPH-Business Unit)</vt:lpwstr>
  </property>
  <property fmtid="{D5CDD505-2E9C-101B-9397-08002B2CF9AE}" pid="11" name="Objective-Path">
    <vt:lpwstr>Objective Global Folder:Business File Plan:Health &amp; Social Services (HSS):Health &amp; Social Services (HSS) - DPH - Population Health:1 - Save:Major Health Conditions:Adult and Children's Health:National Clinical Audit Information:NCA Advisory Committee:Medi</vt:lpwstr>
  </property>
  <property fmtid="{D5CDD505-2E9C-101B-9397-08002B2CF9AE}" pid="12" name="Objective-Parent">
    <vt:lpwstr>ANNUAL PLAN 2019/20</vt:lpwstr>
  </property>
  <property fmtid="{D5CDD505-2E9C-101B-9397-08002B2CF9AE}" pid="13" name="Objective-State">
    <vt:lpwstr>Published</vt:lpwstr>
  </property>
  <property fmtid="{D5CDD505-2E9C-101B-9397-08002B2CF9AE}" pid="14" name="Objective-Version">
    <vt:lpwstr>14.0</vt:lpwstr>
  </property>
  <property fmtid="{D5CDD505-2E9C-101B-9397-08002B2CF9AE}" pid="15" name="Objective-VersionNumber">
    <vt:r8>14</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2018-07-26T00:00:00Z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Connect Creator [system]">
    <vt:lpwstr/>
  </property>
</Properties>
</file>